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8C20" w14:textId="5D5C2F4E" w:rsidR="00B778EC" w:rsidRPr="00701439" w:rsidRDefault="00837B60" w:rsidP="00837B60">
      <w:pPr>
        <w:pStyle w:val="NoSpacing"/>
        <w:jc w:val="center"/>
        <w:rPr>
          <w:rStyle w:val="Strong"/>
          <w:sz w:val="20"/>
          <w:szCs w:val="20"/>
        </w:rPr>
      </w:pPr>
      <w:bookmarkStart w:id="0" w:name="_Hlk69131166"/>
      <w:r>
        <w:rPr>
          <w:noProof/>
          <w:sz w:val="24"/>
          <w:szCs w:val="24"/>
          <w:lang w:eastAsia="en-GB"/>
        </w:rPr>
        <w:drawing>
          <wp:inline distT="0" distB="0" distL="0" distR="0" wp14:anchorId="27884885" wp14:editId="30EAFD4D">
            <wp:extent cx="3967692" cy="1095375"/>
            <wp:effectExtent l="0" t="0" r="0" b="0"/>
            <wp:docPr id="42929610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414959" descr="A blue and black logo&#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75980" cy="1097663"/>
                    </a:xfrm>
                    <a:prstGeom prst="rect">
                      <a:avLst/>
                    </a:prstGeom>
                    <a:noFill/>
                    <a:ln>
                      <a:noFill/>
                    </a:ln>
                  </pic:spPr>
                </pic:pic>
              </a:graphicData>
            </a:graphic>
          </wp:inline>
        </w:drawing>
      </w:r>
    </w:p>
    <w:p w14:paraId="794C8D20" w14:textId="24B45C9F" w:rsidR="00F01EC8" w:rsidRPr="00701439" w:rsidRDefault="00F01EC8" w:rsidP="00CE4DB4">
      <w:pPr>
        <w:pStyle w:val="NoSpacing"/>
        <w:rPr>
          <w:rStyle w:val="Strong"/>
          <w:sz w:val="20"/>
          <w:szCs w:val="20"/>
        </w:rPr>
      </w:pPr>
    </w:p>
    <w:bookmarkEnd w:id="0"/>
    <w:p w14:paraId="3ECED28C" w14:textId="77777777" w:rsidR="00F53939" w:rsidRPr="003679BE" w:rsidRDefault="00F53939" w:rsidP="00F53939">
      <w:pPr>
        <w:pStyle w:val="NoSpacing"/>
        <w:jc w:val="center"/>
        <w:rPr>
          <w:rStyle w:val="Strong"/>
        </w:rPr>
      </w:pPr>
      <w:r>
        <w:rPr>
          <w:rStyle w:val="Strong"/>
        </w:rPr>
        <w:t>Vanquis Banking Group interim r</w:t>
      </w:r>
      <w:r w:rsidRPr="003679BE">
        <w:rPr>
          <w:rStyle w:val="Strong"/>
        </w:rPr>
        <w:t xml:space="preserve">esults for the </w:t>
      </w:r>
      <w:r>
        <w:rPr>
          <w:rStyle w:val="Strong"/>
        </w:rPr>
        <w:t>six months</w:t>
      </w:r>
      <w:r w:rsidRPr="003679BE">
        <w:rPr>
          <w:rStyle w:val="Strong"/>
        </w:rPr>
        <w:t xml:space="preserve"> ended 3</w:t>
      </w:r>
      <w:r>
        <w:rPr>
          <w:rStyle w:val="Strong"/>
        </w:rPr>
        <w:t>0 June</w:t>
      </w:r>
      <w:r w:rsidRPr="003679BE">
        <w:rPr>
          <w:rStyle w:val="Strong"/>
        </w:rPr>
        <w:t xml:space="preserve"> 202</w:t>
      </w:r>
      <w:r>
        <w:rPr>
          <w:rStyle w:val="Strong"/>
        </w:rPr>
        <w:t>5</w:t>
      </w:r>
    </w:p>
    <w:p w14:paraId="1F7024C5" w14:textId="77777777" w:rsidR="00F53939" w:rsidRPr="009A0E50" w:rsidRDefault="00F53939" w:rsidP="00F53939">
      <w:pPr>
        <w:pStyle w:val="NoSpacing"/>
        <w:jc w:val="center"/>
        <w:rPr>
          <w:rStyle w:val="Strong"/>
        </w:rPr>
      </w:pPr>
      <w:r>
        <w:rPr>
          <w:rStyle w:val="Strong"/>
        </w:rPr>
        <w:t>Profitable and growing</w:t>
      </w:r>
    </w:p>
    <w:p w14:paraId="2C3F603A" w14:textId="77777777" w:rsidR="00F53939" w:rsidRPr="003679BE" w:rsidRDefault="00F53939" w:rsidP="00F53939">
      <w:pPr>
        <w:pStyle w:val="NoSpacing"/>
        <w:jc w:val="center"/>
      </w:pPr>
    </w:p>
    <w:p w14:paraId="165B4F90" w14:textId="2B7C1C10" w:rsidR="00F53939" w:rsidRDefault="00F53939" w:rsidP="00F53939">
      <w:pPr>
        <w:pStyle w:val="NoSpacing"/>
        <w:jc w:val="both"/>
      </w:pPr>
      <w:bookmarkStart w:id="1" w:name="_Hlk155949698"/>
      <w:r w:rsidRPr="003679BE">
        <w:t xml:space="preserve">London – </w:t>
      </w:r>
      <w:r>
        <w:t>7 August 2025</w:t>
      </w:r>
      <w:r w:rsidRPr="003679BE">
        <w:t xml:space="preserve"> - Vanquis Banking Group plc (‘the Group’</w:t>
      </w:r>
      <w:r>
        <w:t xml:space="preserve"> or ‘Vanquis’</w:t>
      </w:r>
      <w:r w:rsidRPr="003679BE">
        <w:t>)</w:t>
      </w:r>
      <w:r w:rsidR="00B77BE7">
        <w:t xml:space="preserve"> </w:t>
      </w:r>
      <w:r>
        <w:t xml:space="preserve">today published its interim results for the six months to 30 June 2025. </w:t>
      </w:r>
    </w:p>
    <w:p w14:paraId="48080D85" w14:textId="77777777" w:rsidR="00F53939" w:rsidRPr="005D454E" w:rsidRDefault="00F53939" w:rsidP="00F53939">
      <w:pPr>
        <w:pStyle w:val="NoSpacing"/>
        <w:jc w:val="both"/>
        <w:rPr>
          <w:rStyle w:val="Strong"/>
          <w:b w:val="0"/>
          <w:bCs w:val="0"/>
        </w:rPr>
      </w:pPr>
    </w:p>
    <w:bookmarkEnd w:id="1"/>
    <w:p w14:paraId="77FB88B8" w14:textId="611CC6D7" w:rsidR="00F53939" w:rsidRPr="00AE47BB" w:rsidRDefault="00F53939" w:rsidP="00F53939">
      <w:pPr>
        <w:jc w:val="both"/>
        <w:rPr>
          <w:rFonts w:asciiTheme="minorHAnsi" w:hAnsiTheme="minorHAnsi"/>
          <w:sz w:val="22"/>
          <w:szCs w:val="22"/>
        </w:rPr>
      </w:pPr>
      <w:r w:rsidRPr="4178D579">
        <w:rPr>
          <w:rStyle w:val="Strong"/>
          <w:rFonts w:asciiTheme="minorHAnsi" w:hAnsiTheme="minorHAnsi"/>
          <w:color w:val="4747FF"/>
          <w:sz w:val="22"/>
          <w:szCs w:val="22"/>
        </w:rPr>
        <w:t>Ian McLaughlin, Chief Executive Officer, commented:</w:t>
      </w:r>
      <w:r>
        <w:rPr>
          <w:rStyle w:val="Strong"/>
          <w:rFonts w:asciiTheme="minorHAnsi" w:hAnsiTheme="minorHAnsi"/>
          <w:color w:val="4747FF"/>
          <w:sz w:val="22"/>
          <w:szCs w:val="22"/>
        </w:rPr>
        <w:t xml:space="preserve"> </w:t>
      </w:r>
      <w:bookmarkStart w:id="2" w:name="_Hlk179548609"/>
      <w:r w:rsidRPr="00AE47BB">
        <w:rPr>
          <w:rFonts w:asciiTheme="minorHAnsi" w:hAnsiTheme="minorHAnsi"/>
          <w:sz w:val="22"/>
          <w:szCs w:val="22"/>
        </w:rPr>
        <w:t>“</w:t>
      </w:r>
      <w:r w:rsidR="007053EF">
        <w:rPr>
          <w:rFonts w:asciiTheme="minorHAnsi" w:hAnsiTheme="minorHAnsi"/>
          <w:sz w:val="22"/>
          <w:szCs w:val="22"/>
        </w:rPr>
        <w:t xml:space="preserve">The turnaround of </w:t>
      </w:r>
      <w:r w:rsidR="00E94FAF" w:rsidRPr="00E94FAF">
        <w:rPr>
          <w:rFonts w:asciiTheme="minorHAnsi" w:hAnsiTheme="minorHAnsi"/>
          <w:sz w:val="22"/>
          <w:szCs w:val="22"/>
        </w:rPr>
        <w:t>Vanquis</w:t>
      </w:r>
      <w:r w:rsidR="007053EF">
        <w:rPr>
          <w:rFonts w:asciiTheme="minorHAnsi" w:hAnsiTheme="minorHAnsi"/>
          <w:sz w:val="22"/>
          <w:szCs w:val="22"/>
        </w:rPr>
        <w:t xml:space="preserve"> </w:t>
      </w:r>
      <w:r w:rsidR="00E94FAF" w:rsidRPr="00E94FAF">
        <w:rPr>
          <w:rFonts w:asciiTheme="minorHAnsi" w:hAnsiTheme="minorHAnsi"/>
          <w:sz w:val="22"/>
          <w:szCs w:val="22"/>
        </w:rPr>
        <w:t>remains firmly on track and is gaining momentum</w:t>
      </w:r>
      <w:r w:rsidR="00E94FAF">
        <w:rPr>
          <w:rFonts w:asciiTheme="minorHAnsi" w:hAnsiTheme="minorHAnsi"/>
          <w:sz w:val="22"/>
          <w:szCs w:val="22"/>
        </w:rPr>
        <w:t>.</w:t>
      </w:r>
      <w:r w:rsidR="00E94FAF" w:rsidRPr="00E94FAF" w:rsidDel="00E94FAF">
        <w:rPr>
          <w:rFonts w:asciiTheme="minorHAnsi" w:hAnsiTheme="minorHAnsi"/>
          <w:sz w:val="22"/>
          <w:szCs w:val="22"/>
        </w:rPr>
        <w:t xml:space="preserve"> </w:t>
      </w:r>
      <w:r w:rsidRPr="00AE47BB">
        <w:rPr>
          <w:rFonts w:asciiTheme="minorHAnsi" w:hAnsiTheme="minorHAnsi"/>
          <w:sz w:val="22"/>
          <w:szCs w:val="22"/>
        </w:rPr>
        <w:t xml:space="preserve"> The Group delivered two consecutive quarters of profitability in the first half and has grown gross customer interest-earning balances over the last three quarters.</w:t>
      </w:r>
    </w:p>
    <w:p w14:paraId="07B90025" w14:textId="77777777" w:rsidR="00F53939" w:rsidRPr="00AE47BB" w:rsidRDefault="00F53939" w:rsidP="00F53939">
      <w:pPr>
        <w:jc w:val="both"/>
        <w:rPr>
          <w:rFonts w:asciiTheme="minorHAnsi" w:hAnsiTheme="minorHAnsi"/>
          <w:sz w:val="22"/>
          <w:szCs w:val="22"/>
        </w:rPr>
      </w:pPr>
    </w:p>
    <w:p w14:paraId="5F47444F" w14:textId="18EAB79B" w:rsidR="00F53939" w:rsidRPr="00AE47BB" w:rsidRDefault="00F53939" w:rsidP="00F53939">
      <w:pPr>
        <w:jc w:val="both"/>
        <w:rPr>
          <w:rFonts w:asciiTheme="minorHAnsi" w:hAnsiTheme="minorHAnsi"/>
          <w:sz w:val="22"/>
          <w:szCs w:val="22"/>
        </w:rPr>
      </w:pPr>
      <w:r w:rsidRPr="00AE47BB">
        <w:rPr>
          <w:rFonts w:asciiTheme="minorHAnsi" w:hAnsiTheme="minorHAnsi"/>
          <w:sz w:val="22"/>
          <w:szCs w:val="22"/>
        </w:rPr>
        <w:t>Credit quality</w:t>
      </w:r>
      <w:r>
        <w:rPr>
          <w:rFonts w:asciiTheme="minorHAnsi" w:hAnsiTheme="minorHAnsi"/>
          <w:sz w:val="22"/>
          <w:szCs w:val="22"/>
        </w:rPr>
        <w:t xml:space="preserve"> remains</w:t>
      </w:r>
      <w:r w:rsidRPr="00AE47BB">
        <w:rPr>
          <w:rFonts w:asciiTheme="minorHAnsi" w:hAnsiTheme="minorHAnsi"/>
          <w:sz w:val="22"/>
          <w:szCs w:val="22"/>
        </w:rPr>
        <w:t xml:space="preserve"> robust, with customers continuing to demonstrate financial resilience.</w:t>
      </w:r>
      <w:r>
        <w:rPr>
          <w:rFonts w:asciiTheme="minorHAnsi" w:hAnsiTheme="minorHAnsi"/>
          <w:sz w:val="22"/>
          <w:szCs w:val="22"/>
        </w:rPr>
        <w:t xml:space="preserve"> </w:t>
      </w:r>
      <w:r w:rsidRPr="00AE47BB">
        <w:rPr>
          <w:rFonts w:asciiTheme="minorHAnsi" w:hAnsiTheme="minorHAnsi"/>
          <w:sz w:val="22"/>
          <w:szCs w:val="22"/>
        </w:rPr>
        <w:t>Risk-adjusted income improved, supported by</w:t>
      </w:r>
      <w:r w:rsidR="00E97310">
        <w:rPr>
          <w:rFonts w:asciiTheme="minorHAnsi" w:hAnsiTheme="minorHAnsi"/>
          <w:sz w:val="22"/>
          <w:szCs w:val="22"/>
        </w:rPr>
        <w:t xml:space="preserve"> a</w:t>
      </w:r>
      <w:r w:rsidRPr="00AE47BB">
        <w:rPr>
          <w:rFonts w:asciiTheme="minorHAnsi" w:hAnsiTheme="minorHAnsi"/>
          <w:sz w:val="22"/>
          <w:szCs w:val="22"/>
        </w:rPr>
        <w:t xml:space="preserve"> </w:t>
      </w:r>
      <w:r>
        <w:rPr>
          <w:rFonts w:asciiTheme="minorHAnsi" w:hAnsiTheme="minorHAnsi"/>
          <w:sz w:val="22"/>
          <w:szCs w:val="22"/>
        </w:rPr>
        <w:t>lower cost of risk</w:t>
      </w:r>
      <w:r w:rsidRPr="00AE47BB">
        <w:rPr>
          <w:rFonts w:asciiTheme="minorHAnsi" w:hAnsiTheme="minorHAnsi"/>
          <w:sz w:val="22"/>
          <w:szCs w:val="22"/>
        </w:rPr>
        <w:t>.</w:t>
      </w:r>
    </w:p>
    <w:p w14:paraId="4C1485BB" w14:textId="77777777" w:rsidR="00F53939" w:rsidRDefault="00F53939" w:rsidP="00F53939">
      <w:pPr>
        <w:jc w:val="both"/>
        <w:rPr>
          <w:rFonts w:asciiTheme="minorHAnsi" w:hAnsiTheme="minorHAnsi"/>
          <w:sz w:val="22"/>
          <w:szCs w:val="22"/>
        </w:rPr>
      </w:pPr>
    </w:p>
    <w:p w14:paraId="4A5B3A83" w14:textId="5641C1B4" w:rsidR="00F53939" w:rsidRPr="00AE47BB" w:rsidRDefault="00F53939" w:rsidP="00F53939">
      <w:pPr>
        <w:jc w:val="both"/>
        <w:rPr>
          <w:rFonts w:asciiTheme="minorHAnsi" w:hAnsiTheme="minorHAnsi"/>
          <w:sz w:val="22"/>
          <w:szCs w:val="22"/>
        </w:rPr>
      </w:pPr>
      <w:r w:rsidRPr="00AE47BB">
        <w:rPr>
          <w:rFonts w:asciiTheme="minorHAnsi" w:hAnsiTheme="minorHAnsi"/>
          <w:sz w:val="22"/>
          <w:szCs w:val="22"/>
        </w:rPr>
        <w:t xml:space="preserve">Operating costs remained well controlled, </w:t>
      </w:r>
      <w:r>
        <w:rPr>
          <w:rFonts w:asciiTheme="minorHAnsi" w:hAnsiTheme="minorHAnsi"/>
          <w:sz w:val="22"/>
          <w:szCs w:val="22"/>
        </w:rPr>
        <w:t>with all necessary actions taken</w:t>
      </w:r>
      <w:r w:rsidRPr="00AE47BB">
        <w:rPr>
          <w:rFonts w:asciiTheme="minorHAnsi" w:hAnsiTheme="minorHAnsi"/>
          <w:sz w:val="22"/>
          <w:szCs w:val="22"/>
        </w:rPr>
        <w:t xml:space="preserve"> to deliver the additional £15 million in transformation savings</w:t>
      </w:r>
      <w:r>
        <w:rPr>
          <w:rFonts w:asciiTheme="minorHAnsi" w:hAnsiTheme="minorHAnsi"/>
          <w:sz w:val="22"/>
          <w:szCs w:val="22"/>
        </w:rPr>
        <w:t xml:space="preserve"> committed</w:t>
      </w:r>
      <w:r w:rsidRPr="00AE47BB">
        <w:rPr>
          <w:rFonts w:asciiTheme="minorHAnsi" w:hAnsiTheme="minorHAnsi"/>
          <w:sz w:val="22"/>
          <w:szCs w:val="22"/>
        </w:rPr>
        <w:t xml:space="preserve"> by </w:t>
      </w:r>
      <w:r w:rsidR="00342C46">
        <w:rPr>
          <w:rFonts w:asciiTheme="minorHAnsi" w:hAnsiTheme="minorHAnsi"/>
          <w:sz w:val="22"/>
          <w:szCs w:val="22"/>
        </w:rPr>
        <w:t>year</w:t>
      </w:r>
      <w:r w:rsidR="00961BB2">
        <w:rPr>
          <w:rFonts w:asciiTheme="minorHAnsi" w:hAnsiTheme="minorHAnsi"/>
          <w:sz w:val="22"/>
          <w:szCs w:val="22"/>
        </w:rPr>
        <w:t>-</w:t>
      </w:r>
      <w:r w:rsidRPr="00AE47BB">
        <w:rPr>
          <w:rFonts w:asciiTheme="minorHAnsi" w:hAnsiTheme="minorHAnsi"/>
          <w:sz w:val="22"/>
          <w:szCs w:val="22"/>
        </w:rPr>
        <w:t>end 2025. Our technology transformation programme, Gateway, is progressing as planned—enhancing efficiency, scalability, and unlocking long-term cost benefits.</w:t>
      </w:r>
    </w:p>
    <w:p w14:paraId="28E09CCA" w14:textId="77777777" w:rsidR="00F53939" w:rsidRDefault="00F53939" w:rsidP="00F53939">
      <w:pPr>
        <w:jc w:val="both"/>
        <w:rPr>
          <w:rFonts w:asciiTheme="minorHAnsi" w:hAnsiTheme="minorHAnsi"/>
          <w:sz w:val="22"/>
          <w:szCs w:val="22"/>
        </w:rPr>
      </w:pPr>
    </w:p>
    <w:p w14:paraId="4BEBCC1F" w14:textId="5C44F840" w:rsidR="00F53939" w:rsidRDefault="00F53939" w:rsidP="00F53939">
      <w:pPr>
        <w:jc w:val="both"/>
        <w:rPr>
          <w:rFonts w:asciiTheme="minorHAnsi" w:hAnsiTheme="minorHAnsi"/>
          <w:sz w:val="22"/>
          <w:szCs w:val="22"/>
        </w:rPr>
      </w:pPr>
      <w:r>
        <w:rPr>
          <w:rFonts w:asciiTheme="minorHAnsi" w:hAnsiTheme="minorHAnsi"/>
          <w:sz w:val="22"/>
          <w:szCs w:val="22"/>
        </w:rPr>
        <w:t>Complaint costs were meaningfully lower year</w:t>
      </w:r>
      <w:r w:rsidR="0083322E">
        <w:rPr>
          <w:rFonts w:asciiTheme="minorHAnsi" w:hAnsiTheme="minorHAnsi"/>
          <w:sz w:val="22"/>
          <w:szCs w:val="22"/>
        </w:rPr>
        <w:t>-</w:t>
      </w:r>
      <w:r>
        <w:rPr>
          <w:rFonts w:asciiTheme="minorHAnsi" w:hAnsiTheme="minorHAnsi"/>
          <w:sz w:val="22"/>
          <w:szCs w:val="22"/>
        </w:rPr>
        <w:t>on</w:t>
      </w:r>
      <w:r w:rsidR="0083322E">
        <w:rPr>
          <w:rFonts w:asciiTheme="minorHAnsi" w:hAnsiTheme="minorHAnsi"/>
          <w:sz w:val="22"/>
          <w:szCs w:val="22"/>
        </w:rPr>
        <w:t>-</w:t>
      </w:r>
      <w:r>
        <w:rPr>
          <w:rFonts w:asciiTheme="minorHAnsi" w:hAnsiTheme="minorHAnsi"/>
          <w:sz w:val="22"/>
          <w:szCs w:val="22"/>
        </w:rPr>
        <w:t xml:space="preserve">year, </w:t>
      </w:r>
      <w:r w:rsidR="00EC0DB6">
        <w:rPr>
          <w:rFonts w:asciiTheme="minorHAnsi" w:hAnsiTheme="minorHAnsi"/>
          <w:sz w:val="22"/>
          <w:szCs w:val="22"/>
        </w:rPr>
        <w:t>partly</w:t>
      </w:r>
      <w:r>
        <w:rPr>
          <w:rFonts w:asciiTheme="minorHAnsi" w:hAnsiTheme="minorHAnsi"/>
          <w:sz w:val="22"/>
          <w:szCs w:val="22"/>
        </w:rPr>
        <w:t xml:space="preserve"> reflecting t</w:t>
      </w:r>
      <w:r w:rsidRPr="00AE47BB">
        <w:rPr>
          <w:rFonts w:asciiTheme="minorHAnsi" w:hAnsiTheme="minorHAnsi"/>
          <w:sz w:val="22"/>
          <w:szCs w:val="22"/>
        </w:rPr>
        <w:t>he revised Financial Ombudsman Service (FOS) fee structure</w:t>
      </w:r>
      <w:r>
        <w:rPr>
          <w:rFonts w:asciiTheme="minorHAnsi" w:hAnsiTheme="minorHAnsi"/>
          <w:sz w:val="22"/>
          <w:szCs w:val="22"/>
        </w:rPr>
        <w:t xml:space="preserve"> implemented on 1 April 2025</w:t>
      </w:r>
      <w:r w:rsidR="00385086">
        <w:rPr>
          <w:rFonts w:asciiTheme="minorHAnsi" w:hAnsiTheme="minorHAnsi"/>
          <w:sz w:val="22"/>
          <w:szCs w:val="22"/>
        </w:rPr>
        <w:t>.  Since then</w:t>
      </w:r>
      <w:r w:rsidR="009E5632">
        <w:rPr>
          <w:rFonts w:asciiTheme="minorHAnsi" w:hAnsiTheme="minorHAnsi"/>
          <w:sz w:val="22"/>
          <w:szCs w:val="22"/>
        </w:rPr>
        <w:t>,</w:t>
      </w:r>
      <w:r w:rsidRPr="00AE47BB">
        <w:rPr>
          <w:rFonts w:asciiTheme="minorHAnsi" w:hAnsiTheme="minorHAnsi"/>
          <w:sz w:val="22"/>
          <w:szCs w:val="22"/>
        </w:rPr>
        <w:t xml:space="preserve"> </w:t>
      </w:r>
      <w:r w:rsidR="006D7EED">
        <w:rPr>
          <w:rFonts w:asciiTheme="minorHAnsi" w:hAnsiTheme="minorHAnsi"/>
          <w:sz w:val="22"/>
          <w:szCs w:val="22"/>
        </w:rPr>
        <w:t>negligible</w:t>
      </w:r>
      <w:r w:rsidRPr="00AE47BB">
        <w:rPr>
          <w:rFonts w:asciiTheme="minorHAnsi" w:hAnsiTheme="minorHAnsi"/>
          <w:sz w:val="22"/>
          <w:szCs w:val="22"/>
        </w:rPr>
        <w:t xml:space="preserve"> Vanquis-related Claims Management Company (CMC) complaint</w:t>
      </w:r>
      <w:r w:rsidR="00DE57AB">
        <w:rPr>
          <w:rFonts w:asciiTheme="minorHAnsi" w:hAnsiTheme="minorHAnsi"/>
          <w:sz w:val="22"/>
          <w:szCs w:val="22"/>
        </w:rPr>
        <w:t>s have been</w:t>
      </w:r>
      <w:r w:rsidRPr="00AE47BB">
        <w:rPr>
          <w:rFonts w:asciiTheme="minorHAnsi" w:hAnsiTheme="minorHAnsi"/>
          <w:sz w:val="22"/>
          <w:szCs w:val="22"/>
        </w:rPr>
        <w:t xml:space="preserve"> referr</w:t>
      </w:r>
      <w:r w:rsidR="00DE57AB">
        <w:rPr>
          <w:rFonts w:asciiTheme="minorHAnsi" w:hAnsiTheme="minorHAnsi"/>
          <w:sz w:val="22"/>
          <w:szCs w:val="22"/>
        </w:rPr>
        <w:t>ed</w:t>
      </w:r>
      <w:r w:rsidRPr="00AE47BB">
        <w:rPr>
          <w:rFonts w:asciiTheme="minorHAnsi" w:hAnsiTheme="minorHAnsi"/>
          <w:sz w:val="22"/>
          <w:szCs w:val="22"/>
        </w:rPr>
        <w:t xml:space="preserve"> to the FOS</w:t>
      </w:r>
      <w:r>
        <w:rPr>
          <w:rFonts w:asciiTheme="minorHAnsi" w:hAnsiTheme="minorHAnsi"/>
          <w:sz w:val="22"/>
          <w:szCs w:val="22"/>
        </w:rPr>
        <w:t xml:space="preserve">.  </w:t>
      </w:r>
    </w:p>
    <w:p w14:paraId="300299D4" w14:textId="77777777" w:rsidR="00F53939" w:rsidRDefault="00F53939" w:rsidP="00F53939">
      <w:pPr>
        <w:jc w:val="both"/>
        <w:rPr>
          <w:rFonts w:asciiTheme="minorHAnsi" w:hAnsiTheme="minorHAnsi"/>
          <w:sz w:val="22"/>
          <w:szCs w:val="22"/>
        </w:rPr>
      </w:pPr>
    </w:p>
    <w:p w14:paraId="0E7BE146" w14:textId="0DD635F9" w:rsidR="00E131D6" w:rsidRPr="00E131D6" w:rsidRDefault="00E131D6" w:rsidP="00E131D6">
      <w:pPr>
        <w:jc w:val="both"/>
        <w:rPr>
          <w:rFonts w:asciiTheme="minorHAnsi" w:hAnsiTheme="minorHAnsi"/>
          <w:sz w:val="22"/>
          <w:szCs w:val="22"/>
        </w:rPr>
      </w:pPr>
      <w:r w:rsidRPr="00E131D6">
        <w:rPr>
          <w:rFonts w:asciiTheme="minorHAnsi" w:hAnsiTheme="minorHAnsi"/>
          <w:sz w:val="22"/>
          <w:szCs w:val="22"/>
        </w:rPr>
        <w:t xml:space="preserve">The recent Supreme Court judgment provides much-needed clarity, and we </w:t>
      </w:r>
      <w:r w:rsidR="00007A6E">
        <w:rPr>
          <w:rFonts w:asciiTheme="minorHAnsi" w:hAnsiTheme="minorHAnsi"/>
          <w:sz w:val="22"/>
          <w:szCs w:val="22"/>
        </w:rPr>
        <w:t>acknowledge</w:t>
      </w:r>
      <w:r w:rsidRPr="00E131D6">
        <w:rPr>
          <w:rFonts w:asciiTheme="minorHAnsi" w:hAnsiTheme="minorHAnsi"/>
          <w:sz w:val="22"/>
          <w:szCs w:val="22"/>
        </w:rPr>
        <w:t xml:space="preserve"> the FCA’s decision to consult on a motor finance compensation scheme. Vanquis did not participate in discretionary commission arrangements</w:t>
      </w:r>
      <w:r>
        <w:rPr>
          <w:rFonts w:asciiTheme="minorHAnsi" w:hAnsiTheme="minorHAnsi"/>
          <w:sz w:val="22"/>
          <w:szCs w:val="22"/>
        </w:rPr>
        <w:t xml:space="preserve">. </w:t>
      </w:r>
      <w:r w:rsidR="00666CE0">
        <w:rPr>
          <w:rFonts w:asciiTheme="minorHAnsi" w:hAnsiTheme="minorHAnsi"/>
          <w:sz w:val="22"/>
          <w:szCs w:val="22"/>
        </w:rPr>
        <w:t>O</w:t>
      </w:r>
      <w:r w:rsidRPr="00E131D6">
        <w:rPr>
          <w:rFonts w:asciiTheme="minorHAnsi" w:hAnsiTheme="minorHAnsi"/>
          <w:sz w:val="22"/>
          <w:szCs w:val="22"/>
        </w:rPr>
        <w:t>ur position is clearly differentiated from the unfair relationship decision in the Johnson case</w:t>
      </w:r>
      <w:r>
        <w:rPr>
          <w:rFonts w:asciiTheme="minorHAnsi" w:hAnsiTheme="minorHAnsi"/>
          <w:sz w:val="22"/>
          <w:szCs w:val="22"/>
        </w:rPr>
        <w:t>,</w:t>
      </w:r>
      <w:r w:rsidRPr="00E131D6">
        <w:rPr>
          <w:rFonts w:asciiTheme="minorHAnsi" w:hAnsiTheme="minorHAnsi"/>
          <w:sz w:val="22"/>
          <w:szCs w:val="22"/>
        </w:rPr>
        <w:t xml:space="preserve"> supported by stronger disclosures, much lower average commissions and clear customer consent.</w:t>
      </w:r>
    </w:p>
    <w:p w14:paraId="5C1B7E25" w14:textId="77777777" w:rsidR="00F53939" w:rsidRPr="00AE47BB" w:rsidRDefault="00F53939" w:rsidP="00F53939">
      <w:pPr>
        <w:jc w:val="both"/>
        <w:rPr>
          <w:rFonts w:asciiTheme="minorHAnsi" w:hAnsiTheme="minorHAnsi"/>
          <w:sz w:val="22"/>
          <w:szCs w:val="22"/>
        </w:rPr>
      </w:pPr>
    </w:p>
    <w:bookmarkEnd w:id="2"/>
    <w:p w14:paraId="25C33FAA" w14:textId="77777777" w:rsidR="00F53939" w:rsidRPr="00AE47BB" w:rsidRDefault="00F53939" w:rsidP="00F53939">
      <w:pPr>
        <w:jc w:val="both"/>
        <w:rPr>
          <w:rFonts w:asciiTheme="minorHAnsi" w:hAnsiTheme="minorHAnsi"/>
          <w:sz w:val="22"/>
          <w:szCs w:val="22"/>
        </w:rPr>
      </w:pPr>
      <w:r w:rsidRPr="00AE47BB">
        <w:rPr>
          <w:rFonts w:asciiTheme="minorHAnsi" w:hAnsiTheme="minorHAnsi"/>
          <w:sz w:val="22"/>
          <w:szCs w:val="22"/>
        </w:rPr>
        <w:t>Vanquis plays an important role in UK banking, and I am pleased with the momentum we are building. We remain focused on supporting our customers while delivering sustainable and profitable growth for all stakeholders.”</w:t>
      </w:r>
    </w:p>
    <w:p w14:paraId="6E3A2EE4" w14:textId="77777777" w:rsidR="00666CE0" w:rsidRDefault="00666CE0" w:rsidP="00F53939">
      <w:pPr>
        <w:pStyle w:val="NoSpacing"/>
        <w:jc w:val="both"/>
        <w:rPr>
          <w:rStyle w:val="Strong"/>
          <w:color w:val="4747FF"/>
        </w:rPr>
      </w:pPr>
    </w:p>
    <w:p w14:paraId="635D048A" w14:textId="27BB2DA3" w:rsidR="00F53939" w:rsidRPr="00A166EB" w:rsidRDefault="00F53939" w:rsidP="00F53939">
      <w:pPr>
        <w:pStyle w:val="NoSpacing"/>
        <w:jc w:val="both"/>
        <w:rPr>
          <w:rStyle w:val="Strong"/>
          <w:color w:val="4747FF"/>
          <w:u w:val="single"/>
        </w:rPr>
      </w:pPr>
      <w:r w:rsidRPr="00A166EB">
        <w:rPr>
          <w:rStyle w:val="Strong"/>
          <w:color w:val="4747FF"/>
          <w:u w:val="single"/>
        </w:rPr>
        <w:t>Executive Summary</w:t>
      </w:r>
    </w:p>
    <w:p w14:paraId="0283FBAD" w14:textId="77777777" w:rsidR="00F53939" w:rsidRDefault="00F53939" w:rsidP="00F53939">
      <w:pPr>
        <w:rPr>
          <w:rStyle w:val="Strong"/>
          <w:color w:val="4747FF"/>
        </w:rPr>
      </w:pPr>
    </w:p>
    <w:p w14:paraId="1C5AD1A6" w14:textId="03CBCFF5" w:rsidR="00F53939" w:rsidRPr="009542D0" w:rsidRDefault="00F53939" w:rsidP="00F53939">
      <w:pPr>
        <w:jc w:val="both"/>
        <w:rPr>
          <w:rFonts w:asciiTheme="minorHAnsi" w:hAnsiTheme="minorHAnsi"/>
          <w:sz w:val="22"/>
          <w:szCs w:val="22"/>
        </w:rPr>
      </w:pPr>
      <w:r w:rsidRPr="00594806">
        <w:rPr>
          <w:rFonts w:asciiTheme="minorHAnsi" w:hAnsiTheme="minorHAnsi"/>
          <w:sz w:val="22"/>
          <w:szCs w:val="22"/>
        </w:rPr>
        <w:t>The Group returned to profit in 1H25, while delivering balance growth to drive long-term sustainable profitability</w:t>
      </w:r>
      <w:r>
        <w:rPr>
          <w:rFonts w:asciiTheme="minorHAnsi" w:hAnsiTheme="minorHAnsi"/>
          <w:sz w:val="22"/>
          <w:szCs w:val="22"/>
        </w:rPr>
        <w:t xml:space="preserve">. </w:t>
      </w:r>
      <w:r w:rsidR="005302BE">
        <w:rPr>
          <w:rFonts w:asciiTheme="minorHAnsi" w:hAnsiTheme="minorHAnsi"/>
          <w:sz w:val="22"/>
          <w:szCs w:val="22"/>
        </w:rPr>
        <w:t>Management remain</w:t>
      </w:r>
      <w:r w:rsidR="00D3040A">
        <w:rPr>
          <w:rFonts w:asciiTheme="minorHAnsi" w:hAnsiTheme="minorHAnsi"/>
          <w:sz w:val="22"/>
          <w:szCs w:val="22"/>
        </w:rPr>
        <w:t>s</w:t>
      </w:r>
      <w:r w:rsidR="005302BE">
        <w:rPr>
          <w:rFonts w:asciiTheme="minorHAnsi" w:hAnsiTheme="minorHAnsi"/>
          <w:sz w:val="22"/>
          <w:szCs w:val="22"/>
        </w:rPr>
        <w:t xml:space="preserve"> focused on</w:t>
      </w:r>
      <w:r>
        <w:rPr>
          <w:rFonts w:asciiTheme="minorHAnsi" w:hAnsiTheme="minorHAnsi"/>
          <w:sz w:val="22"/>
          <w:szCs w:val="22"/>
        </w:rPr>
        <w:t xml:space="preserve"> </w:t>
      </w:r>
      <w:r w:rsidRPr="009542D0">
        <w:rPr>
          <w:rFonts w:asciiTheme="minorHAnsi" w:hAnsiTheme="minorHAnsi"/>
          <w:sz w:val="22"/>
          <w:szCs w:val="22"/>
        </w:rPr>
        <w:t>operational efficiency</w:t>
      </w:r>
      <w:r w:rsidRPr="00A46D9F">
        <w:rPr>
          <w:rFonts w:asciiTheme="minorHAnsi" w:hAnsiTheme="minorHAnsi"/>
          <w:sz w:val="22"/>
          <w:szCs w:val="22"/>
        </w:rPr>
        <w:t xml:space="preserve"> and </w:t>
      </w:r>
      <w:r w:rsidRPr="009542D0">
        <w:rPr>
          <w:rFonts w:asciiTheme="minorHAnsi" w:hAnsiTheme="minorHAnsi"/>
          <w:sz w:val="22"/>
          <w:szCs w:val="22"/>
        </w:rPr>
        <w:t>deploying capital in the most accretive opportunities to generate highe</w:t>
      </w:r>
      <w:r>
        <w:rPr>
          <w:rFonts w:asciiTheme="minorHAnsi" w:hAnsiTheme="minorHAnsi"/>
          <w:sz w:val="22"/>
          <w:szCs w:val="22"/>
        </w:rPr>
        <w:t>r</w:t>
      </w:r>
      <w:r w:rsidRPr="009542D0">
        <w:rPr>
          <w:rFonts w:asciiTheme="minorHAnsi" w:hAnsiTheme="minorHAnsi"/>
          <w:sz w:val="22"/>
          <w:szCs w:val="22"/>
        </w:rPr>
        <w:t xml:space="preserve"> returns.</w:t>
      </w:r>
    </w:p>
    <w:p w14:paraId="632990D1" w14:textId="77777777" w:rsidR="00F53939" w:rsidRPr="006E1DEF" w:rsidRDefault="00F53939" w:rsidP="00F53939">
      <w:pPr>
        <w:jc w:val="both"/>
        <w:rPr>
          <w:rFonts w:asciiTheme="minorHAnsi" w:hAnsiTheme="minorHAnsi"/>
          <w:color w:val="FF0000"/>
          <w:sz w:val="22"/>
          <w:szCs w:val="22"/>
        </w:rPr>
      </w:pPr>
    </w:p>
    <w:p w14:paraId="4CA585A8" w14:textId="3B93B3B4" w:rsidR="00F53939" w:rsidRPr="00B716B8" w:rsidRDefault="00F53939" w:rsidP="00F53939">
      <w:pPr>
        <w:pStyle w:val="ListParagraph"/>
        <w:numPr>
          <w:ilvl w:val="0"/>
          <w:numId w:val="33"/>
        </w:numPr>
        <w:spacing w:line="278" w:lineRule="auto"/>
        <w:jc w:val="both"/>
        <w:rPr>
          <w:rFonts w:asciiTheme="minorHAnsi" w:hAnsiTheme="minorHAnsi" w:cstheme="minorHAnsi"/>
          <w:b/>
          <w:bCs/>
          <w:sz w:val="22"/>
          <w:szCs w:val="22"/>
        </w:rPr>
      </w:pPr>
      <w:r w:rsidRPr="00B716B8">
        <w:rPr>
          <w:rFonts w:asciiTheme="minorHAnsi" w:hAnsiTheme="minorHAnsi" w:cstheme="minorHAnsi"/>
          <w:b/>
          <w:bCs/>
          <w:sz w:val="22"/>
          <w:szCs w:val="22"/>
        </w:rPr>
        <w:t>Profitability:</w:t>
      </w:r>
      <w:r>
        <w:rPr>
          <w:rFonts w:asciiTheme="minorHAnsi" w:hAnsiTheme="minorHAnsi" w:cstheme="minorHAnsi"/>
          <w:b/>
          <w:bCs/>
          <w:sz w:val="22"/>
          <w:szCs w:val="22"/>
        </w:rPr>
        <w:t xml:space="preserve"> </w:t>
      </w:r>
      <w:r>
        <w:rPr>
          <w:rFonts w:asciiTheme="minorHAnsi" w:hAnsiTheme="minorHAnsi" w:cstheme="minorHAnsi"/>
          <w:sz w:val="22"/>
          <w:szCs w:val="22"/>
        </w:rPr>
        <w:t xml:space="preserve">The Group was profitable in both quarters of 1H25, delivering a statutory profit before tax from continuing operations of £6.2m (1H24: loss of £46.1m) and was capital accretive with a statutory return on tangible equity (ROTE) of </w:t>
      </w:r>
      <w:r w:rsidR="00A148CA">
        <w:rPr>
          <w:rFonts w:asciiTheme="minorHAnsi" w:hAnsiTheme="minorHAnsi" w:cstheme="minorHAnsi"/>
          <w:sz w:val="22"/>
          <w:szCs w:val="22"/>
        </w:rPr>
        <w:t>3.1</w:t>
      </w:r>
      <w:r>
        <w:rPr>
          <w:rFonts w:asciiTheme="minorHAnsi" w:hAnsiTheme="minorHAnsi" w:cstheme="minorHAnsi"/>
          <w:sz w:val="22"/>
          <w:szCs w:val="22"/>
        </w:rPr>
        <w:t>% (1H24: (18.</w:t>
      </w:r>
      <w:r w:rsidR="001068DA">
        <w:rPr>
          <w:rFonts w:asciiTheme="minorHAnsi" w:hAnsiTheme="minorHAnsi" w:cstheme="minorHAnsi"/>
          <w:sz w:val="22"/>
          <w:szCs w:val="22"/>
        </w:rPr>
        <w:t>9</w:t>
      </w:r>
      <w:r>
        <w:rPr>
          <w:rFonts w:asciiTheme="minorHAnsi" w:hAnsiTheme="minorHAnsi" w:cstheme="minorHAnsi"/>
          <w:sz w:val="22"/>
          <w:szCs w:val="22"/>
        </w:rPr>
        <w:t>)%), in line with the guidance of low single digit ROTE for 2025.</w:t>
      </w:r>
    </w:p>
    <w:p w14:paraId="05054ECF" w14:textId="3BD27055" w:rsidR="00F53939" w:rsidRPr="008A6E28" w:rsidRDefault="00F53939" w:rsidP="00F53939">
      <w:pPr>
        <w:pStyle w:val="ListParagraph"/>
        <w:numPr>
          <w:ilvl w:val="0"/>
          <w:numId w:val="33"/>
        </w:numPr>
        <w:spacing w:line="278" w:lineRule="auto"/>
        <w:jc w:val="both"/>
        <w:rPr>
          <w:rFonts w:asciiTheme="minorHAnsi" w:hAnsiTheme="minorHAnsi" w:cstheme="minorHAnsi"/>
          <w:sz w:val="22"/>
          <w:szCs w:val="22"/>
        </w:rPr>
      </w:pPr>
      <w:r w:rsidRPr="008A6E28">
        <w:rPr>
          <w:rFonts w:asciiTheme="minorHAnsi" w:hAnsiTheme="minorHAnsi" w:cstheme="minorHAnsi"/>
          <w:b/>
          <w:sz w:val="22"/>
          <w:szCs w:val="22"/>
        </w:rPr>
        <w:t>Balance growth:</w:t>
      </w:r>
      <w:r w:rsidRPr="008A6E28">
        <w:rPr>
          <w:rFonts w:asciiTheme="minorHAnsi" w:hAnsiTheme="minorHAnsi" w:cstheme="minorHAnsi"/>
          <w:sz w:val="22"/>
          <w:szCs w:val="22"/>
        </w:rPr>
        <w:t xml:space="preserve"> Gross customer interest-earning balances grew 7% in 1</w:t>
      </w:r>
      <w:r>
        <w:rPr>
          <w:rFonts w:asciiTheme="minorHAnsi" w:hAnsiTheme="minorHAnsi" w:cstheme="minorHAnsi"/>
          <w:sz w:val="22"/>
          <w:szCs w:val="22"/>
        </w:rPr>
        <w:t>H</w:t>
      </w:r>
      <w:r w:rsidRPr="008A6E28">
        <w:rPr>
          <w:rFonts w:asciiTheme="minorHAnsi" w:hAnsiTheme="minorHAnsi" w:cstheme="minorHAnsi"/>
          <w:sz w:val="22"/>
          <w:szCs w:val="22"/>
        </w:rPr>
        <w:t xml:space="preserve">25 to £2,459m and the Group </w:t>
      </w:r>
      <w:r w:rsidR="00717CB6">
        <w:rPr>
          <w:rFonts w:asciiTheme="minorHAnsi" w:hAnsiTheme="minorHAnsi" w:cstheme="minorHAnsi"/>
          <w:sz w:val="22"/>
          <w:szCs w:val="22"/>
        </w:rPr>
        <w:t>now expects</w:t>
      </w:r>
      <w:r w:rsidRPr="008A6E28">
        <w:rPr>
          <w:rFonts w:asciiTheme="minorHAnsi" w:hAnsiTheme="minorHAnsi" w:cstheme="minorHAnsi"/>
          <w:sz w:val="22"/>
          <w:szCs w:val="22"/>
        </w:rPr>
        <w:t xml:space="preserve"> to achieve </w:t>
      </w:r>
      <w:r w:rsidR="008D008B">
        <w:rPr>
          <w:rFonts w:asciiTheme="minorHAnsi" w:hAnsiTheme="minorHAnsi" w:cstheme="minorHAnsi"/>
          <w:sz w:val="22"/>
          <w:szCs w:val="22"/>
        </w:rPr>
        <w:t xml:space="preserve">greater than </w:t>
      </w:r>
      <w:r w:rsidRPr="008A6E28">
        <w:rPr>
          <w:rFonts w:asciiTheme="minorHAnsi" w:hAnsiTheme="minorHAnsi" w:cstheme="minorHAnsi"/>
          <w:sz w:val="22"/>
          <w:szCs w:val="22"/>
        </w:rPr>
        <w:t>£2.6bn of balances by the end of 2025</w:t>
      </w:r>
      <w:r w:rsidR="00F50E2C">
        <w:rPr>
          <w:rFonts w:asciiTheme="minorHAnsi" w:hAnsiTheme="minorHAnsi" w:cstheme="minorHAnsi"/>
          <w:sz w:val="22"/>
          <w:szCs w:val="22"/>
        </w:rPr>
        <w:t xml:space="preserve"> (c.£2.6bn previously)</w:t>
      </w:r>
      <w:r w:rsidRPr="008A6E28">
        <w:rPr>
          <w:rFonts w:asciiTheme="minorHAnsi" w:hAnsiTheme="minorHAnsi" w:cstheme="minorHAnsi"/>
          <w:sz w:val="22"/>
          <w:szCs w:val="22"/>
        </w:rPr>
        <w:t>.</w:t>
      </w:r>
    </w:p>
    <w:p w14:paraId="37AD0755" w14:textId="77777777" w:rsidR="00F53939" w:rsidRPr="008D587C" w:rsidRDefault="00F53939" w:rsidP="00F53939">
      <w:pPr>
        <w:pStyle w:val="ListParagraph"/>
        <w:numPr>
          <w:ilvl w:val="0"/>
          <w:numId w:val="33"/>
        </w:numPr>
        <w:spacing w:line="278" w:lineRule="auto"/>
        <w:jc w:val="both"/>
        <w:rPr>
          <w:rFonts w:asciiTheme="minorHAnsi" w:hAnsiTheme="minorHAnsi" w:cstheme="minorHAnsi"/>
          <w:b/>
          <w:bCs/>
          <w:sz w:val="22"/>
          <w:szCs w:val="22"/>
        </w:rPr>
      </w:pPr>
      <w:r>
        <w:rPr>
          <w:rFonts w:asciiTheme="minorHAnsi" w:hAnsiTheme="minorHAnsi" w:cstheme="minorHAnsi"/>
          <w:b/>
          <w:bCs/>
          <w:sz w:val="22"/>
          <w:szCs w:val="22"/>
        </w:rPr>
        <w:lastRenderedPageBreak/>
        <w:t>Increased risk adjusted income</w:t>
      </w:r>
      <w:r w:rsidRPr="008D587C">
        <w:rPr>
          <w:rFonts w:asciiTheme="minorHAnsi" w:hAnsiTheme="minorHAnsi" w:cstheme="minorHAnsi"/>
          <w:b/>
          <w:bCs/>
          <w:sz w:val="22"/>
          <w:szCs w:val="22"/>
        </w:rPr>
        <w:t xml:space="preserve">: </w:t>
      </w:r>
      <w:r>
        <w:rPr>
          <w:rFonts w:asciiTheme="minorHAnsi" w:hAnsiTheme="minorHAnsi" w:cstheme="minorHAnsi"/>
          <w:sz w:val="22"/>
          <w:szCs w:val="22"/>
        </w:rPr>
        <w:t>Improved credit quality drove a reduction in c</w:t>
      </w:r>
      <w:r w:rsidRPr="0089426F">
        <w:rPr>
          <w:rFonts w:asciiTheme="minorHAnsi" w:hAnsiTheme="minorHAnsi" w:cstheme="minorHAnsi"/>
          <w:sz w:val="22"/>
          <w:szCs w:val="22"/>
        </w:rPr>
        <w:t>ost of risk to 6.6% (1H2</w:t>
      </w:r>
      <w:r>
        <w:rPr>
          <w:rFonts w:asciiTheme="minorHAnsi" w:hAnsiTheme="minorHAnsi" w:cstheme="minorHAnsi"/>
          <w:sz w:val="22"/>
          <w:szCs w:val="22"/>
        </w:rPr>
        <w:t>4</w:t>
      </w:r>
      <w:r w:rsidRPr="0089426F">
        <w:rPr>
          <w:rFonts w:asciiTheme="minorHAnsi" w:hAnsiTheme="minorHAnsi" w:cstheme="minorHAnsi"/>
          <w:sz w:val="22"/>
          <w:szCs w:val="22"/>
        </w:rPr>
        <w:t>: 8.5%),</w:t>
      </w:r>
      <w:r>
        <w:rPr>
          <w:rFonts w:asciiTheme="minorHAnsi" w:hAnsiTheme="minorHAnsi" w:cstheme="minorHAnsi"/>
          <w:sz w:val="22"/>
          <w:szCs w:val="22"/>
        </w:rPr>
        <w:t xml:space="preserve"> resulting in a 7% increase in risk adjusted income to £143.6m.</w:t>
      </w:r>
    </w:p>
    <w:p w14:paraId="03FF2133" w14:textId="35C6720B" w:rsidR="00F53939" w:rsidRPr="008A6E28" w:rsidRDefault="00F53939" w:rsidP="00F53939">
      <w:pPr>
        <w:pStyle w:val="ListParagraph"/>
        <w:numPr>
          <w:ilvl w:val="0"/>
          <w:numId w:val="33"/>
        </w:numPr>
        <w:spacing w:line="278" w:lineRule="auto"/>
        <w:jc w:val="both"/>
        <w:rPr>
          <w:rFonts w:asciiTheme="minorHAnsi" w:hAnsiTheme="minorHAnsi" w:cstheme="minorHAnsi"/>
          <w:sz w:val="22"/>
          <w:szCs w:val="22"/>
        </w:rPr>
      </w:pPr>
      <w:r w:rsidRPr="008A6E28">
        <w:rPr>
          <w:rFonts w:asciiTheme="minorHAnsi" w:hAnsiTheme="minorHAnsi" w:cstheme="minorHAnsi"/>
          <w:b/>
          <w:bCs/>
          <w:sz w:val="22"/>
          <w:szCs w:val="22"/>
        </w:rPr>
        <w:t xml:space="preserve">Cost </w:t>
      </w:r>
      <w:r w:rsidR="00CB2841">
        <w:rPr>
          <w:rFonts w:asciiTheme="minorHAnsi" w:hAnsiTheme="minorHAnsi" w:cstheme="minorHAnsi"/>
          <w:b/>
          <w:bCs/>
          <w:sz w:val="22"/>
          <w:szCs w:val="22"/>
        </w:rPr>
        <w:t>discipline</w:t>
      </w:r>
      <w:r w:rsidRPr="008A6E28">
        <w:rPr>
          <w:rFonts w:asciiTheme="minorHAnsi" w:hAnsiTheme="minorHAnsi" w:cstheme="minorHAnsi"/>
          <w:b/>
          <w:bCs/>
          <w:sz w:val="22"/>
          <w:szCs w:val="22"/>
        </w:rPr>
        <w:t>:</w:t>
      </w:r>
      <w:r w:rsidRPr="008A6E28">
        <w:rPr>
          <w:rFonts w:asciiTheme="minorHAnsi" w:hAnsiTheme="minorHAnsi" w:cstheme="minorHAnsi"/>
          <w:sz w:val="22"/>
          <w:szCs w:val="22"/>
        </w:rPr>
        <w:t xml:space="preserve"> </w:t>
      </w:r>
      <w:r>
        <w:rPr>
          <w:rFonts w:asciiTheme="minorHAnsi" w:hAnsiTheme="minorHAnsi" w:cstheme="minorHAnsi"/>
          <w:sz w:val="22"/>
          <w:szCs w:val="22"/>
        </w:rPr>
        <w:t xml:space="preserve">Further transformation cost savings, lower complaint costs </w:t>
      </w:r>
      <w:r w:rsidRPr="008A6E28">
        <w:rPr>
          <w:rFonts w:asciiTheme="minorHAnsi" w:hAnsiTheme="minorHAnsi" w:cstheme="minorHAnsi"/>
          <w:sz w:val="22"/>
          <w:szCs w:val="22"/>
        </w:rPr>
        <w:t xml:space="preserve">and </w:t>
      </w:r>
      <w:r>
        <w:rPr>
          <w:rFonts w:asciiTheme="minorHAnsi" w:hAnsiTheme="minorHAnsi" w:cstheme="minorHAnsi"/>
          <w:sz w:val="22"/>
          <w:szCs w:val="22"/>
        </w:rPr>
        <w:t xml:space="preserve">the non-repeat of notable items </w:t>
      </w:r>
      <w:r w:rsidR="00421F06">
        <w:rPr>
          <w:rFonts w:asciiTheme="minorHAnsi" w:hAnsiTheme="minorHAnsi" w:cstheme="minorHAnsi"/>
          <w:sz w:val="22"/>
          <w:szCs w:val="22"/>
        </w:rPr>
        <w:t>impr</w:t>
      </w:r>
      <w:r w:rsidR="007352F0">
        <w:rPr>
          <w:rFonts w:asciiTheme="minorHAnsi" w:hAnsiTheme="minorHAnsi" w:cstheme="minorHAnsi"/>
          <w:sz w:val="22"/>
          <w:szCs w:val="22"/>
        </w:rPr>
        <w:t>oved</w:t>
      </w:r>
      <w:r>
        <w:rPr>
          <w:rFonts w:asciiTheme="minorHAnsi" w:hAnsiTheme="minorHAnsi" w:cstheme="minorHAnsi"/>
          <w:sz w:val="22"/>
          <w:szCs w:val="22"/>
        </w:rPr>
        <w:t xml:space="preserve"> the statutory cost: income ratio to 62.5% (1H24: 79.3%)</w:t>
      </w:r>
      <w:r w:rsidR="00E04408">
        <w:rPr>
          <w:rFonts w:asciiTheme="minorHAnsi" w:hAnsiTheme="minorHAnsi" w:cstheme="minorHAnsi"/>
          <w:sz w:val="22"/>
          <w:szCs w:val="22"/>
        </w:rPr>
        <w:t>,</w:t>
      </w:r>
      <w:r>
        <w:rPr>
          <w:rFonts w:asciiTheme="minorHAnsi" w:hAnsiTheme="minorHAnsi" w:cstheme="minorHAnsi"/>
          <w:sz w:val="22"/>
          <w:szCs w:val="22"/>
        </w:rPr>
        <w:t xml:space="preserve"> and </w:t>
      </w:r>
      <w:r w:rsidR="00E04408">
        <w:rPr>
          <w:rFonts w:asciiTheme="minorHAnsi" w:hAnsiTheme="minorHAnsi" w:cstheme="minorHAnsi"/>
          <w:sz w:val="22"/>
          <w:szCs w:val="22"/>
        </w:rPr>
        <w:t xml:space="preserve">the Group </w:t>
      </w:r>
      <w:r w:rsidRPr="008A6E28">
        <w:rPr>
          <w:rFonts w:asciiTheme="minorHAnsi" w:hAnsiTheme="minorHAnsi" w:cstheme="minorHAnsi"/>
          <w:sz w:val="22"/>
          <w:szCs w:val="22"/>
        </w:rPr>
        <w:t>remain</w:t>
      </w:r>
      <w:r w:rsidR="00E04408">
        <w:rPr>
          <w:rFonts w:asciiTheme="minorHAnsi" w:hAnsiTheme="minorHAnsi" w:cstheme="minorHAnsi"/>
          <w:sz w:val="22"/>
          <w:szCs w:val="22"/>
        </w:rPr>
        <w:t>s</w:t>
      </w:r>
      <w:r w:rsidRPr="008A6E28">
        <w:rPr>
          <w:rFonts w:asciiTheme="minorHAnsi" w:hAnsiTheme="minorHAnsi" w:cstheme="minorHAnsi"/>
          <w:sz w:val="22"/>
          <w:szCs w:val="22"/>
        </w:rPr>
        <w:t xml:space="preserve"> on track to achieve </w:t>
      </w:r>
      <w:r>
        <w:rPr>
          <w:rFonts w:asciiTheme="minorHAnsi" w:hAnsiTheme="minorHAnsi" w:cstheme="minorHAnsi"/>
          <w:sz w:val="22"/>
          <w:szCs w:val="22"/>
        </w:rPr>
        <w:t xml:space="preserve">a </w:t>
      </w:r>
      <w:r w:rsidRPr="008A6E28">
        <w:rPr>
          <w:rFonts w:asciiTheme="minorHAnsi" w:hAnsiTheme="minorHAnsi" w:cstheme="minorHAnsi"/>
          <w:sz w:val="22"/>
          <w:szCs w:val="22"/>
        </w:rPr>
        <w:t xml:space="preserve">high 50s percent cost: income ratio </w:t>
      </w:r>
      <w:r>
        <w:rPr>
          <w:rFonts w:asciiTheme="minorHAnsi" w:hAnsiTheme="minorHAnsi" w:cstheme="minorHAnsi"/>
          <w:sz w:val="22"/>
          <w:szCs w:val="22"/>
        </w:rPr>
        <w:t>for FY</w:t>
      </w:r>
      <w:r w:rsidRPr="008A6E28">
        <w:rPr>
          <w:rFonts w:asciiTheme="minorHAnsi" w:hAnsiTheme="minorHAnsi" w:cstheme="minorHAnsi"/>
          <w:sz w:val="22"/>
          <w:szCs w:val="22"/>
        </w:rPr>
        <w:t>25.</w:t>
      </w:r>
    </w:p>
    <w:p w14:paraId="6DA9426B" w14:textId="350EFBB5" w:rsidR="00F53939" w:rsidRPr="00972F61" w:rsidRDefault="00F53939" w:rsidP="00F53939">
      <w:pPr>
        <w:pStyle w:val="ListParagraph"/>
        <w:numPr>
          <w:ilvl w:val="0"/>
          <w:numId w:val="33"/>
        </w:numPr>
        <w:spacing w:line="278" w:lineRule="auto"/>
        <w:jc w:val="both"/>
        <w:rPr>
          <w:rFonts w:asciiTheme="minorHAnsi" w:hAnsiTheme="minorHAnsi" w:cstheme="minorHAnsi"/>
          <w:sz w:val="22"/>
          <w:szCs w:val="22"/>
        </w:rPr>
      </w:pPr>
      <w:r w:rsidRPr="00972F61">
        <w:rPr>
          <w:rFonts w:asciiTheme="minorHAnsi" w:hAnsiTheme="minorHAnsi" w:cstheme="minorHAnsi"/>
          <w:b/>
          <w:sz w:val="22"/>
          <w:szCs w:val="22"/>
        </w:rPr>
        <w:t>Complaints</w:t>
      </w:r>
      <w:r w:rsidRPr="00972F61">
        <w:rPr>
          <w:rFonts w:asciiTheme="minorHAnsi" w:hAnsiTheme="minorHAnsi" w:cstheme="minorHAnsi"/>
          <w:b/>
          <w:bCs/>
          <w:sz w:val="22"/>
          <w:szCs w:val="22"/>
        </w:rPr>
        <w:t>:</w:t>
      </w:r>
      <w:r w:rsidRPr="00972F61">
        <w:rPr>
          <w:rFonts w:asciiTheme="minorHAnsi" w:hAnsiTheme="minorHAnsi" w:cstheme="minorHAnsi"/>
          <w:sz w:val="22"/>
          <w:szCs w:val="22"/>
        </w:rPr>
        <w:t xml:space="preserve"> Complaint costs reduced 36% year-on-year to £16</w:t>
      </w:r>
      <w:r>
        <w:rPr>
          <w:rFonts w:asciiTheme="minorHAnsi" w:hAnsiTheme="minorHAnsi" w:cstheme="minorHAnsi"/>
          <w:sz w:val="22"/>
          <w:szCs w:val="22"/>
        </w:rPr>
        <w:t>.1</w:t>
      </w:r>
      <w:r w:rsidRPr="00972F61">
        <w:rPr>
          <w:rFonts w:asciiTheme="minorHAnsi" w:hAnsiTheme="minorHAnsi" w:cstheme="minorHAnsi"/>
          <w:sz w:val="22"/>
          <w:szCs w:val="22"/>
        </w:rPr>
        <w:t xml:space="preserve">m, with FOS fees reducing £8.6m to £4.5m. </w:t>
      </w:r>
      <w:r w:rsidRPr="004C2C3F">
        <w:rPr>
          <w:rFonts w:asciiTheme="minorHAnsi" w:hAnsiTheme="minorHAnsi" w:cstheme="minorHAnsi"/>
          <w:sz w:val="22"/>
          <w:szCs w:val="22"/>
        </w:rPr>
        <w:t>1Q25 complaint costs were in line with expectations, with a lower run rate from 2Q25, as expected</w:t>
      </w:r>
      <w:r w:rsidR="00195E38">
        <w:rPr>
          <w:rFonts w:asciiTheme="minorHAnsi" w:hAnsiTheme="minorHAnsi" w:cstheme="minorHAnsi"/>
          <w:sz w:val="22"/>
          <w:szCs w:val="22"/>
        </w:rPr>
        <w:t xml:space="preserve"> followi</w:t>
      </w:r>
      <w:r w:rsidR="00774C1D">
        <w:rPr>
          <w:rFonts w:asciiTheme="minorHAnsi" w:hAnsiTheme="minorHAnsi" w:cstheme="minorHAnsi"/>
          <w:sz w:val="22"/>
          <w:szCs w:val="22"/>
        </w:rPr>
        <w:t xml:space="preserve">ng the implementation of the revised FOS fee </w:t>
      </w:r>
      <w:r w:rsidR="006554EB">
        <w:rPr>
          <w:rFonts w:asciiTheme="minorHAnsi" w:hAnsiTheme="minorHAnsi" w:cstheme="minorHAnsi"/>
          <w:sz w:val="22"/>
          <w:szCs w:val="22"/>
        </w:rPr>
        <w:t>structure</w:t>
      </w:r>
      <w:r w:rsidRPr="004C2C3F">
        <w:rPr>
          <w:rFonts w:asciiTheme="minorHAnsi" w:hAnsiTheme="minorHAnsi" w:cstheme="minorHAnsi"/>
          <w:sz w:val="22"/>
          <w:szCs w:val="22"/>
        </w:rPr>
        <w:t>.</w:t>
      </w:r>
      <w:r w:rsidR="00D57D79">
        <w:rPr>
          <w:rFonts w:asciiTheme="minorHAnsi" w:hAnsiTheme="minorHAnsi" w:cstheme="minorHAnsi"/>
          <w:sz w:val="22"/>
          <w:szCs w:val="22"/>
        </w:rPr>
        <w:t xml:space="preserve"> The Group expects</w:t>
      </w:r>
      <w:r w:rsidRPr="00972F61">
        <w:rPr>
          <w:rFonts w:asciiTheme="minorHAnsi" w:hAnsiTheme="minorHAnsi" w:cstheme="minorHAnsi"/>
          <w:sz w:val="22"/>
          <w:szCs w:val="22"/>
        </w:rPr>
        <w:t xml:space="preserve"> 2H25 complaint costs to be lower than 1H25.</w:t>
      </w:r>
    </w:p>
    <w:p w14:paraId="1165F91C" w14:textId="62FABFE0" w:rsidR="00F53939" w:rsidRPr="00972F61" w:rsidRDefault="00F53939" w:rsidP="00F53939">
      <w:pPr>
        <w:pStyle w:val="ListParagraph"/>
        <w:numPr>
          <w:ilvl w:val="0"/>
          <w:numId w:val="33"/>
        </w:numPr>
        <w:spacing w:line="278" w:lineRule="auto"/>
        <w:jc w:val="both"/>
        <w:rPr>
          <w:rFonts w:asciiTheme="minorHAnsi" w:hAnsiTheme="minorHAnsi" w:cstheme="minorHAnsi"/>
          <w:b/>
          <w:sz w:val="22"/>
          <w:szCs w:val="22"/>
        </w:rPr>
      </w:pPr>
      <w:r w:rsidRPr="00972F61">
        <w:rPr>
          <w:rFonts w:asciiTheme="minorHAnsi" w:hAnsiTheme="minorHAnsi" w:cstheme="minorHAnsi"/>
          <w:b/>
          <w:sz w:val="22"/>
          <w:szCs w:val="22"/>
        </w:rPr>
        <w:t>Vehicle Finance commission disclosures:</w:t>
      </w:r>
      <w:r w:rsidRPr="00972F61">
        <w:rPr>
          <w:rFonts w:asciiTheme="minorHAnsi" w:hAnsiTheme="minorHAnsi"/>
          <w:sz w:val="22"/>
          <w:szCs w:val="22"/>
        </w:rPr>
        <w:t xml:space="preserve"> Vanquis did not participate in discretionary commission arrangements (DCAs)</w:t>
      </w:r>
      <w:r w:rsidR="00856CCA">
        <w:rPr>
          <w:rFonts w:asciiTheme="minorHAnsi" w:hAnsiTheme="minorHAnsi"/>
          <w:sz w:val="22"/>
          <w:szCs w:val="22"/>
        </w:rPr>
        <w:t xml:space="preserve">, </w:t>
      </w:r>
      <w:r w:rsidR="0049182A">
        <w:rPr>
          <w:rFonts w:asciiTheme="minorHAnsi" w:hAnsiTheme="minorHAnsi"/>
          <w:sz w:val="22"/>
          <w:szCs w:val="22"/>
        </w:rPr>
        <w:t xml:space="preserve">so </w:t>
      </w:r>
      <w:r w:rsidR="00232E9E">
        <w:rPr>
          <w:rFonts w:asciiTheme="minorHAnsi" w:hAnsiTheme="minorHAnsi"/>
          <w:sz w:val="22"/>
          <w:szCs w:val="22"/>
        </w:rPr>
        <w:t xml:space="preserve">the Group would not be in scope </w:t>
      </w:r>
      <w:r w:rsidR="00606E92">
        <w:rPr>
          <w:rFonts w:asciiTheme="minorHAnsi" w:hAnsiTheme="minorHAnsi"/>
          <w:sz w:val="22"/>
          <w:szCs w:val="22"/>
        </w:rPr>
        <w:t xml:space="preserve">for this element of any </w:t>
      </w:r>
      <w:r w:rsidR="004D1836">
        <w:rPr>
          <w:rFonts w:asciiTheme="minorHAnsi" w:hAnsiTheme="minorHAnsi"/>
          <w:sz w:val="22"/>
          <w:szCs w:val="22"/>
        </w:rPr>
        <w:t>Financial Conduct Authority (</w:t>
      </w:r>
      <w:r w:rsidR="007B1D46">
        <w:rPr>
          <w:rFonts w:asciiTheme="minorHAnsi" w:hAnsiTheme="minorHAnsi"/>
          <w:sz w:val="22"/>
          <w:szCs w:val="22"/>
        </w:rPr>
        <w:t>FCA</w:t>
      </w:r>
      <w:r w:rsidR="004D1836">
        <w:rPr>
          <w:rFonts w:asciiTheme="minorHAnsi" w:hAnsiTheme="minorHAnsi"/>
          <w:sz w:val="22"/>
          <w:szCs w:val="22"/>
        </w:rPr>
        <w:t>)</w:t>
      </w:r>
      <w:r w:rsidR="007B1D46">
        <w:rPr>
          <w:rFonts w:asciiTheme="minorHAnsi" w:hAnsiTheme="minorHAnsi"/>
          <w:sz w:val="22"/>
          <w:szCs w:val="22"/>
        </w:rPr>
        <w:t xml:space="preserve"> motor finance compensation </w:t>
      </w:r>
      <w:r w:rsidR="00606E92">
        <w:rPr>
          <w:rFonts w:asciiTheme="minorHAnsi" w:hAnsiTheme="minorHAnsi"/>
          <w:sz w:val="22"/>
          <w:szCs w:val="22"/>
        </w:rPr>
        <w:t>scheme</w:t>
      </w:r>
      <w:r w:rsidRPr="00972F61">
        <w:rPr>
          <w:rFonts w:asciiTheme="minorHAnsi" w:hAnsiTheme="minorHAnsi"/>
          <w:sz w:val="22"/>
          <w:szCs w:val="22"/>
        </w:rPr>
        <w:t>.</w:t>
      </w:r>
      <w:r w:rsidR="0049182A">
        <w:rPr>
          <w:rFonts w:asciiTheme="minorHAnsi" w:hAnsiTheme="minorHAnsi"/>
          <w:sz w:val="22"/>
          <w:szCs w:val="22"/>
        </w:rPr>
        <w:t xml:space="preserve">  Whilst the</w:t>
      </w:r>
      <w:r w:rsidR="00CD498E" w:rsidRPr="00293F7B">
        <w:rPr>
          <w:rFonts w:asciiTheme="minorHAnsi" w:hAnsiTheme="minorHAnsi"/>
          <w:sz w:val="22"/>
          <w:szCs w:val="22"/>
        </w:rPr>
        <w:t xml:space="preserve"> FCA intend</w:t>
      </w:r>
      <w:r w:rsidR="00850D34">
        <w:rPr>
          <w:rFonts w:asciiTheme="minorHAnsi" w:hAnsiTheme="minorHAnsi"/>
          <w:sz w:val="22"/>
          <w:szCs w:val="22"/>
        </w:rPr>
        <w:t>s</w:t>
      </w:r>
      <w:r w:rsidR="00CD498E" w:rsidRPr="00293F7B">
        <w:rPr>
          <w:rFonts w:asciiTheme="minorHAnsi" w:hAnsiTheme="minorHAnsi"/>
          <w:sz w:val="22"/>
          <w:szCs w:val="22"/>
        </w:rPr>
        <w:t xml:space="preserve"> to consult on the inclusion of certain non-discretionary commission arrangements</w:t>
      </w:r>
      <w:r w:rsidR="00377BA6" w:rsidRPr="00377BA6">
        <w:rPr>
          <w:rFonts w:asciiTheme="minorHAnsi" w:hAnsiTheme="minorHAnsi"/>
          <w:sz w:val="22"/>
          <w:szCs w:val="22"/>
        </w:rPr>
        <w:t xml:space="preserve"> </w:t>
      </w:r>
      <w:r w:rsidR="00377BA6" w:rsidRPr="00320F4C">
        <w:rPr>
          <w:rFonts w:asciiTheme="minorHAnsi" w:hAnsiTheme="minorHAnsi"/>
          <w:sz w:val="22"/>
          <w:szCs w:val="22"/>
        </w:rPr>
        <w:t>following the unfair relationship Supreme Court decision in the Johnson case</w:t>
      </w:r>
      <w:r w:rsidR="00CD498E" w:rsidRPr="00293F7B">
        <w:rPr>
          <w:rFonts w:asciiTheme="minorHAnsi" w:hAnsiTheme="minorHAnsi"/>
          <w:sz w:val="22"/>
          <w:szCs w:val="22"/>
        </w:rPr>
        <w:t>, Vanquis believes its position is clearly differentiated</w:t>
      </w:r>
      <w:r w:rsidR="00377BA6">
        <w:rPr>
          <w:rFonts w:asciiTheme="minorHAnsi" w:hAnsiTheme="minorHAnsi"/>
          <w:sz w:val="22"/>
          <w:szCs w:val="22"/>
        </w:rPr>
        <w:t xml:space="preserve"> on a number of grounds</w:t>
      </w:r>
      <w:r w:rsidR="00CD498E" w:rsidRPr="00293F7B">
        <w:rPr>
          <w:rFonts w:asciiTheme="minorHAnsi" w:hAnsiTheme="minorHAnsi"/>
          <w:sz w:val="22"/>
          <w:szCs w:val="22"/>
        </w:rPr>
        <w:t xml:space="preserve">. These include, but are not limited to, the fact the Group provided significantly better commission disclosures than those in Johnson, with substantially lower average commissions relative to the charge for credit. Vehicle </w:t>
      </w:r>
      <w:r w:rsidR="00EE4932">
        <w:rPr>
          <w:rFonts w:asciiTheme="minorHAnsi" w:hAnsiTheme="minorHAnsi"/>
          <w:sz w:val="22"/>
          <w:szCs w:val="22"/>
        </w:rPr>
        <w:t>F</w:t>
      </w:r>
      <w:r w:rsidR="00CD498E" w:rsidRPr="00293F7B">
        <w:rPr>
          <w:rFonts w:asciiTheme="minorHAnsi" w:hAnsiTheme="minorHAnsi"/>
          <w:sz w:val="22"/>
          <w:szCs w:val="22"/>
        </w:rPr>
        <w:t xml:space="preserve">inance customers </w:t>
      </w:r>
      <w:r w:rsidR="00377BA6">
        <w:rPr>
          <w:rFonts w:asciiTheme="minorHAnsi" w:hAnsiTheme="minorHAnsi"/>
          <w:sz w:val="22"/>
          <w:szCs w:val="22"/>
        </w:rPr>
        <w:t xml:space="preserve">also </w:t>
      </w:r>
      <w:r w:rsidR="00CD498E" w:rsidRPr="00293F7B">
        <w:rPr>
          <w:rFonts w:asciiTheme="minorHAnsi" w:hAnsiTheme="minorHAnsi"/>
          <w:sz w:val="22"/>
          <w:szCs w:val="22"/>
        </w:rPr>
        <w:t>signed pre-contractual documentation confirming that a commission w</w:t>
      </w:r>
      <w:r w:rsidR="00850D34">
        <w:rPr>
          <w:rFonts w:asciiTheme="minorHAnsi" w:hAnsiTheme="minorHAnsi"/>
          <w:sz w:val="22"/>
          <w:szCs w:val="22"/>
        </w:rPr>
        <w:t>ould</w:t>
      </w:r>
      <w:r w:rsidR="00CD498E" w:rsidRPr="00293F7B">
        <w:rPr>
          <w:rFonts w:asciiTheme="minorHAnsi" w:hAnsiTheme="minorHAnsi"/>
          <w:sz w:val="22"/>
          <w:szCs w:val="22"/>
        </w:rPr>
        <w:t xml:space="preserve"> be paid</w:t>
      </w:r>
      <w:r w:rsidR="00564D29" w:rsidRPr="00CD498E">
        <w:rPr>
          <w:rFonts w:asciiTheme="minorHAnsi" w:hAnsiTheme="minorHAnsi"/>
          <w:sz w:val="22"/>
          <w:szCs w:val="22"/>
        </w:rPr>
        <w:t>.</w:t>
      </w:r>
      <w:r w:rsidR="001007CE">
        <w:rPr>
          <w:rFonts w:asciiTheme="minorHAnsi" w:hAnsiTheme="minorHAnsi"/>
          <w:sz w:val="22"/>
        </w:rPr>
        <w:t xml:space="preserve"> </w:t>
      </w:r>
      <w:r w:rsidR="003B76AE">
        <w:rPr>
          <w:rFonts w:asciiTheme="minorHAnsi" w:hAnsiTheme="minorHAnsi"/>
          <w:sz w:val="22"/>
        </w:rPr>
        <w:t>As a result, and i</w:t>
      </w:r>
      <w:r w:rsidRPr="00972F61">
        <w:rPr>
          <w:rFonts w:asciiTheme="minorHAnsi" w:hAnsiTheme="minorHAnsi"/>
          <w:sz w:val="22"/>
        </w:rPr>
        <w:t>n accordance with IAS 37, the Group has not provided for this matter</w:t>
      </w:r>
      <w:r w:rsidR="00C07BF2">
        <w:rPr>
          <w:rFonts w:asciiTheme="minorHAnsi" w:hAnsiTheme="minorHAnsi"/>
          <w:sz w:val="22"/>
        </w:rPr>
        <w:t xml:space="preserve"> but has disclosed a contingent liability</w:t>
      </w:r>
      <w:r w:rsidRPr="00972F61">
        <w:rPr>
          <w:rFonts w:asciiTheme="minorHAnsi" w:hAnsiTheme="minorHAnsi"/>
          <w:sz w:val="22"/>
        </w:rPr>
        <w:t>.</w:t>
      </w:r>
    </w:p>
    <w:p w14:paraId="79C2B10F" w14:textId="31C21AEE" w:rsidR="00F53939" w:rsidRPr="000A2B9C" w:rsidRDefault="00F53939" w:rsidP="00B37864">
      <w:pPr>
        <w:pStyle w:val="ListParagraph"/>
        <w:numPr>
          <w:ilvl w:val="0"/>
          <w:numId w:val="33"/>
        </w:numPr>
        <w:spacing w:line="278" w:lineRule="auto"/>
        <w:jc w:val="both"/>
        <w:rPr>
          <w:rStyle w:val="Strong"/>
          <w:color w:val="4747FF"/>
        </w:rPr>
      </w:pPr>
      <w:r w:rsidRPr="000A2B9C">
        <w:rPr>
          <w:rFonts w:asciiTheme="minorHAnsi" w:hAnsiTheme="minorHAnsi" w:cstheme="minorHAnsi"/>
          <w:b/>
          <w:bCs/>
          <w:sz w:val="22"/>
          <w:szCs w:val="22"/>
        </w:rPr>
        <w:t>Robust liquidity, funding and capital:</w:t>
      </w:r>
      <w:r w:rsidRPr="000A2B9C">
        <w:rPr>
          <w:rFonts w:asciiTheme="minorHAnsi" w:hAnsiTheme="minorHAnsi" w:cstheme="minorHAnsi"/>
          <w:sz w:val="22"/>
          <w:szCs w:val="22"/>
        </w:rPr>
        <w:t xml:space="preserve"> The Group remained highly liquid, with a Liquidity Coverage Ratio (LCR) of 366% (December 2024: 359%), was 84.6% (December 2024: 85.6%) retail funded, a core strength of the Group, and had a Tier 1 capital ratio of 18.5% (December 2024: 18.8%), with sufficient capital for future growth.</w:t>
      </w:r>
    </w:p>
    <w:p w14:paraId="3D0F89E1" w14:textId="77777777" w:rsidR="00F53939" w:rsidRDefault="00F53939" w:rsidP="00F53939">
      <w:pPr>
        <w:rPr>
          <w:rStyle w:val="Strong"/>
          <w:color w:val="4747FF"/>
        </w:rPr>
      </w:pPr>
    </w:p>
    <w:p w14:paraId="234044C8" w14:textId="77777777" w:rsidR="00F53939" w:rsidRDefault="00F53939" w:rsidP="00F53939">
      <w:pPr>
        <w:rPr>
          <w:rStyle w:val="Strong"/>
          <w:rFonts w:asciiTheme="minorHAnsi" w:hAnsiTheme="minorHAnsi"/>
          <w:color w:val="4747FF"/>
          <w:sz w:val="22"/>
          <w:szCs w:val="22"/>
          <w:u w:val="single"/>
        </w:rPr>
      </w:pPr>
      <w:r w:rsidRPr="00A166EB">
        <w:rPr>
          <w:rStyle w:val="Strong"/>
          <w:rFonts w:asciiTheme="minorHAnsi" w:hAnsiTheme="minorHAnsi"/>
          <w:color w:val="4747FF"/>
          <w:sz w:val="22"/>
          <w:szCs w:val="22"/>
          <w:u w:val="single"/>
        </w:rPr>
        <w:t>Group financial results</w:t>
      </w:r>
    </w:p>
    <w:p w14:paraId="739B6839" w14:textId="77777777" w:rsidR="00F53939" w:rsidRPr="00A166EB" w:rsidRDefault="00F53939" w:rsidP="00F53939">
      <w:pPr>
        <w:rPr>
          <w:rStyle w:val="Strong"/>
          <w:rFonts w:asciiTheme="minorHAnsi" w:hAnsiTheme="minorHAnsi"/>
          <w:color w:val="4747FF"/>
          <w:sz w:val="22"/>
          <w:szCs w:val="22"/>
          <w:u w:val="single"/>
        </w:rPr>
      </w:pPr>
    </w:p>
    <w:tbl>
      <w:tblPr>
        <w:tblW w:w="5000" w:type="pct"/>
        <w:tblLayout w:type="fixed"/>
        <w:tblCellMar>
          <w:left w:w="0" w:type="dxa"/>
          <w:right w:w="0" w:type="dxa"/>
        </w:tblCellMar>
        <w:tblLook w:val="01E0" w:firstRow="1" w:lastRow="1" w:firstColumn="1" w:lastColumn="1" w:noHBand="0" w:noVBand="0"/>
      </w:tblPr>
      <w:tblGrid>
        <w:gridCol w:w="3754"/>
        <w:gridCol w:w="55"/>
        <w:gridCol w:w="1183"/>
        <w:gridCol w:w="1183"/>
        <w:gridCol w:w="1182"/>
        <w:gridCol w:w="1182"/>
        <w:gridCol w:w="1184"/>
      </w:tblGrid>
      <w:tr w:rsidR="00F53939" w:rsidRPr="005E46B1" w14:paraId="06E56FE3" w14:textId="77777777" w:rsidTr="00C45645">
        <w:trPr>
          <w:trHeight w:val="20"/>
        </w:trPr>
        <w:tc>
          <w:tcPr>
            <w:tcW w:w="1930" w:type="pct"/>
            <w:tcBorders>
              <w:left w:val="nil"/>
              <w:bottom w:val="single" w:sz="2" w:space="0" w:color="auto"/>
              <w:right w:val="nil"/>
            </w:tcBorders>
            <w:tcMar>
              <w:top w:w="74" w:type="dxa"/>
              <w:left w:w="15" w:type="dxa"/>
              <w:bottom w:w="74" w:type="dxa"/>
              <w:right w:w="15" w:type="dxa"/>
            </w:tcMar>
            <w:vAlign w:val="bottom"/>
            <w:hideMark/>
          </w:tcPr>
          <w:p w14:paraId="7A873FAC" w14:textId="77777777" w:rsidR="00F53939" w:rsidRPr="00F116E9" w:rsidRDefault="00F53939" w:rsidP="00A50D03">
            <w:pPr>
              <w:rPr>
                <w:rFonts w:asciiTheme="minorHAnsi" w:hAnsiTheme="minorHAnsi" w:cstheme="minorHAnsi"/>
                <w:b/>
                <w:bCs/>
                <w:sz w:val="22"/>
                <w:szCs w:val="22"/>
              </w:rPr>
            </w:pPr>
            <w:bookmarkStart w:id="3" w:name="_Hlk158129280"/>
            <w:r w:rsidRPr="00F116E9">
              <w:rPr>
                <w:rFonts w:asciiTheme="minorHAnsi" w:hAnsiTheme="minorHAnsi" w:cstheme="minorHAnsi"/>
                <w:b/>
                <w:bCs/>
                <w:sz w:val="22"/>
                <w:szCs w:val="22"/>
              </w:rPr>
              <w:t xml:space="preserve">Income </w:t>
            </w:r>
            <w:r w:rsidRPr="00AA1E38">
              <w:rPr>
                <w:rFonts w:asciiTheme="minorHAnsi" w:hAnsiTheme="minorHAnsi" w:cstheme="minorHAnsi"/>
                <w:b/>
                <w:bCs/>
                <w:sz w:val="22"/>
                <w:szCs w:val="22"/>
              </w:rPr>
              <w:t>Statement (£m)</w:t>
            </w:r>
          </w:p>
        </w:tc>
        <w:tc>
          <w:tcPr>
            <w:tcW w:w="28" w:type="pct"/>
            <w:tcBorders>
              <w:left w:val="nil"/>
              <w:bottom w:val="single" w:sz="2" w:space="0" w:color="auto"/>
              <w:right w:val="nil"/>
            </w:tcBorders>
            <w:tcMar>
              <w:top w:w="15" w:type="dxa"/>
              <w:left w:w="15" w:type="dxa"/>
              <w:bottom w:w="0" w:type="dxa"/>
              <w:right w:w="15" w:type="dxa"/>
            </w:tcMar>
            <w:vAlign w:val="center"/>
            <w:hideMark/>
          </w:tcPr>
          <w:p w14:paraId="31A2AC63" w14:textId="77777777" w:rsidR="00F53939" w:rsidRPr="005E46B1" w:rsidRDefault="00F53939" w:rsidP="00A50D03">
            <w:pPr>
              <w:rPr>
                <w:rFonts w:asciiTheme="minorHAnsi" w:hAnsiTheme="minorHAnsi" w:cstheme="minorHAnsi"/>
                <w:sz w:val="22"/>
                <w:szCs w:val="22"/>
              </w:rPr>
            </w:pPr>
          </w:p>
        </w:tc>
        <w:tc>
          <w:tcPr>
            <w:tcW w:w="608" w:type="pct"/>
            <w:tcBorders>
              <w:left w:val="nil"/>
              <w:bottom w:val="single" w:sz="2" w:space="0" w:color="auto"/>
              <w:right w:val="nil"/>
            </w:tcBorders>
            <w:shd w:val="clear" w:color="auto" w:fill="F2F2F2" w:themeFill="background1" w:themeFillShade="F2"/>
            <w:tcMar>
              <w:top w:w="15" w:type="dxa"/>
              <w:left w:w="15" w:type="dxa"/>
              <w:bottom w:w="0" w:type="dxa"/>
              <w:right w:w="15" w:type="dxa"/>
            </w:tcMar>
            <w:vAlign w:val="center"/>
            <w:hideMark/>
          </w:tcPr>
          <w:p w14:paraId="48BC1207" w14:textId="4C7CC63A" w:rsidR="00F53939" w:rsidRPr="005E46B1" w:rsidRDefault="00F84CA7" w:rsidP="00A50D03">
            <w:pPr>
              <w:ind w:right="115"/>
              <w:jc w:val="right"/>
              <w:rPr>
                <w:rFonts w:asciiTheme="minorHAnsi" w:hAnsiTheme="minorHAnsi" w:cstheme="minorHAnsi"/>
                <w:sz w:val="22"/>
                <w:szCs w:val="22"/>
              </w:rPr>
            </w:pPr>
            <w:r w:rsidRPr="00F84CA7">
              <w:rPr>
                <w:rFonts w:asciiTheme="minorHAnsi" w:hAnsiTheme="minorHAnsi" w:cstheme="minorHAnsi"/>
                <w:noProof/>
                <w:sz w:val="22"/>
                <w:szCs w:val="22"/>
              </w:rPr>
              <mc:AlternateContent>
                <mc:Choice Requires="wps">
                  <w:drawing>
                    <wp:anchor distT="45720" distB="45720" distL="114300" distR="114300" simplePos="0" relativeHeight="251661312" behindDoc="1" locked="0" layoutInCell="1" allowOverlap="1" wp14:anchorId="30E118C0" wp14:editId="4DB10CB2">
                      <wp:simplePos x="0" y="0"/>
                      <wp:positionH relativeFrom="column">
                        <wp:posOffset>45085</wp:posOffset>
                      </wp:positionH>
                      <wp:positionV relativeFrom="paragraph">
                        <wp:posOffset>186690</wp:posOffset>
                      </wp:positionV>
                      <wp:extent cx="796925" cy="262890"/>
                      <wp:effectExtent l="0" t="0" r="0" b="3810"/>
                      <wp:wrapTight wrapText="bothSides">
                        <wp:wrapPolygon edited="0">
                          <wp:start x="1549" y="0"/>
                          <wp:lineTo x="1549" y="20348"/>
                          <wp:lineTo x="19621" y="20348"/>
                          <wp:lineTo x="19621" y="0"/>
                          <wp:lineTo x="154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62890"/>
                              </a:xfrm>
                              <a:prstGeom prst="rect">
                                <a:avLst/>
                              </a:prstGeom>
                              <a:noFill/>
                              <a:ln w="9525">
                                <a:noFill/>
                                <a:miter lim="800000"/>
                                <a:headEnd/>
                                <a:tailEnd/>
                              </a:ln>
                            </wps:spPr>
                            <wps:txbx>
                              <w:txbxContent>
                                <w:p w14:paraId="2C88D5F2" w14:textId="74EB3387" w:rsidR="00F84CA7" w:rsidRDefault="00F84CA7" w:rsidP="00F84CA7">
                                  <w:pPr>
                                    <w:jc w:val="right"/>
                                  </w:pPr>
                                  <w:r>
                                    <w:rPr>
                                      <w:rFonts w:asciiTheme="minorHAnsi" w:eastAsia="Inter Medium" w:hAnsiTheme="minorHAnsi" w:cstheme="minorHAnsi"/>
                                      <w:b/>
                                      <w:kern w:val="24"/>
                                      <w:sz w:val="22"/>
                                      <w:szCs w:val="22"/>
                                    </w:rPr>
                                    <w:t>1H</w:t>
                                  </w:r>
                                  <w:r w:rsidRPr="005D1B6A">
                                    <w:rPr>
                                      <w:rFonts w:asciiTheme="minorHAnsi" w:eastAsia="Inter Medium" w:hAnsiTheme="minorHAnsi" w:cstheme="minorHAnsi"/>
                                      <w:b/>
                                      <w:kern w:val="24"/>
                                      <w:sz w:val="22"/>
                                      <w:szCs w:val="22"/>
                                    </w:rPr>
                                    <w:t>2</w:t>
                                  </w:r>
                                  <w:r>
                                    <w:rPr>
                                      <w:rFonts w:asciiTheme="minorHAnsi" w:eastAsia="Inter Medium" w:hAnsiTheme="minorHAnsi" w:cstheme="minorHAnsi"/>
                                      <w:b/>
                                      <w:kern w:val="24"/>
                                      <w:sz w:val="22"/>
                                      <w:szCs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118C0" id="_x0000_t202" coordsize="21600,21600" o:spt="202" path="m,l,21600r21600,l21600,xe">
                      <v:stroke joinstyle="miter"/>
                      <v:path gradientshapeok="t" o:connecttype="rect"/>
                    </v:shapetype>
                    <v:shape id="Text Box 2" o:spid="_x0000_s1026" type="#_x0000_t202" style="position:absolute;left:0;text-align:left;margin-left:3.55pt;margin-top:14.7pt;width:62.75pt;height:20.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" filled="f" stroked="f">
                      <v:textbox>
                        <w:txbxContent>
                          <w:p w14:paraId="2C88D5F2" w14:textId="74EB3387" w:rsidR="00F84CA7" w:rsidRDefault="00F84CA7" w:rsidP="00F84CA7">
                            <w:pPr>
                              <w:jc w:val="right"/>
                            </w:pPr>
                            <w:r>
                              <w:rPr>
                                <w:rFonts w:asciiTheme="minorHAnsi" w:eastAsia="Inter Medium" w:hAnsiTheme="minorHAnsi" w:cstheme="minorHAnsi"/>
                                <w:b/>
                                <w:kern w:val="24"/>
                                <w:sz w:val="22"/>
                                <w:szCs w:val="22"/>
                              </w:rPr>
                              <w:t>1H</w:t>
                            </w:r>
                            <w:r w:rsidRPr="005D1B6A">
                              <w:rPr>
                                <w:rFonts w:asciiTheme="minorHAnsi" w:eastAsia="Inter Medium" w:hAnsiTheme="minorHAnsi" w:cstheme="minorHAnsi"/>
                                <w:b/>
                                <w:kern w:val="24"/>
                                <w:sz w:val="22"/>
                                <w:szCs w:val="22"/>
                              </w:rPr>
                              <w:t>2</w:t>
                            </w:r>
                            <w:r>
                              <w:rPr>
                                <w:rFonts w:asciiTheme="minorHAnsi" w:eastAsia="Inter Medium" w:hAnsiTheme="minorHAnsi" w:cstheme="minorHAnsi"/>
                                <w:b/>
                                <w:kern w:val="24"/>
                                <w:sz w:val="22"/>
                                <w:szCs w:val="22"/>
                              </w:rPr>
                              <w:t>5</w:t>
                            </w:r>
                          </w:p>
                        </w:txbxContent>
                      </v:textbox>
                      <w10:wrap type="tight"/>
                    </v:shape>
                  </w:pict>
                </mc:Fallback>
              </mc:AlternateContent>
            </w:r>
          </w:p>
        </w:tc>
        <w:tc>
          <w:tcPr>
            <w:tcW w:w="608" w:type="pct"/>
            <w:tcBorders>
              <w:left w:val="nil"/>
              <w:bottom w:val="single" w:sz="2" w:space="0" w:color="auto"/>
              <w:right w:val="nil"/>
            </w:tcBorders>
            <w:tcMar>
              <w:top w:w="15" w:type="dxa"/>
              <w:left w:w="15" w:type="dxa"/>
              <w:bottom w:w="0" w:type="dxa"/>
              <w:right w:w="15" w:type="dxa"/>
            </w:tcMar>
            <w:vAlign w:val="center"/>
            <w:hideMark/>
          </w:tcPr>
          <w:p w14:paraId="720C7BFE" w14:textId="77777777" w:rsidR="00F53939"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2H24</w:t>
            </w:r>
          </w:p>
          <w:p w14:paraId="63FDBD3A" w14:textId="77777777" w:rsidR="00F53939" w:rsidRPr="00001E6A"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(Re-presented</w:t>
            </w:r>
            <w:r w:rsidRPr="00B024E4">
              <w:rPr>
                <w:rFonts w:asciiTheme="minorHAnsi" w:hAnsiTheme="minorHAnsi" w:cstheme="minorHAnsi"/>
                <w:kern w:val="24"/>
                <w:sz w:val="22"/>
                <w:szCs w:val="22"/>
                <w:vertAlign w:val="superscript"/>
              </w:rPr>
              <w:t>1</w:t>
            </w:r>
            <w:r>
              <w:rPr>
                <w:rFonts w:asciiTheme="minorHAnsi" w:hAnsiTheme="minorHAnsi" w:cstheme="minorHAnsi"/>
                <w:kern w:val="24"/>
                <w:sz w:val="22"/>
                <w:szCs w:val="22"/>
              </w:rPr>
              <w:t>)</w:t>
            </w:r>
          </w:p>
        </w:tc>
        <w:tc>
          <w:tcPr>
            <w:tcW w:w="608" w:type="pct"/>
            <w:tcBorders>
              <w:left w:val="nil"/>
              <w:bottom w:val="single" w:sz="2" w:space="0" w:color="auto"/>
              <w:right w:val="nil"/>
            </w:tcBorders>
            <w:vAlign w:val="center"/>
          </w:tcPr>
          <w:p w14:paraId="185140F3" w14:textId="77777777" w:rsidR="00F53939" w:rsidRDefault="00F53939" w:rsidP="00A50D03">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1H24</w:t>
            </w:r>
          </w:p>
          <w:p w14:paraId="00356CD1" w14:textId="77777777" w:rsidR="00F53939" w:rsidRPr="00001E6A" w:rsidRDefault="00F53939" w:rsidP="00A50D03">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(Re-presented</w:t>
            </w:r>
            <w:r w:rsidRPr="00B024E4">
              <w:rPr>
                <w:rFonts w:asciiTheme="minorHAnsi" w:hAnsiTheme="minorHAnsi" w:cstheme="minorHAnsi"/>
                <w:kern w:val="24"/>
                <w:sz w:val="22"/>
                <w:szCs w:val="22"/>
                <w:vertAlign w:val="superscript"/>
              </w:rPr>
              <w:t>1</w:t>
            </w:r>
            <w:r>
              <w:rPr>
                <w:rFonts w:asciiTheme="minorHAnsi" w:hAnsiTheme="minorHAnsi" w:cstheme="minorHAnsi"/>
                <w:kern w:val="24"/>
                <w:sz w:val="22"/>
                <w:szCs w:val="22"/>
              </w:rPr>
              <w:t>)</w:t>
            </w:r>
          </w:p>
        </w:tc>
        <w:tc>
          <w:tcPr>
            <w:tcW w:w="608" w:type="pct"/>
            <w:tcBorders>
              <w:left w:val="nil"/>
              <w:bottom w:val="single" w:sz="2" w:space="0" w:color="auto"/>
              <w:right w:val="nil"/>
            </w:tcBorders>
            <w:vAlign w:val="center"/>
          </w:tcPr>
          <w:p w14:paraId="1C9C4CCB" w14:textId="77777777" w:rsidR="00F53939" w:rsidRDefault="00F53939" w:rsidP="00A50D03">
            <w:pPr>
              <w:ind w:right="115"/>
              <w:jc w:val="right"/>
              <w:rPr>
                <w:rFonts w:asciiTheme="minorHAnsi" w:hAnsiTheme="minorHAnsi" w:cstheme="minorHAnsi"/>
                <w:kern w:val="24"/>
                <w:sz w:val="22"/>
                <w:szCs w:val="22"/>
              </w:rPr>
            </w:pPr>
            <w:proofErr w:type="spellStart"/>
            <w:r>
              <w:rPr>
                <w:rFonts w:asciiTheme="minorHAnsi" w:hAnsiTheme="minorHAnsi" w:cstheme="minorHAnsi"/>
                <w:kern w:val="24"/>
                <w:sz w:val="22"/>
                <w:szCs w:val="22"/>
              </w:rPr>
              <w:t>HoH</w:t>
            </w:r>
            <w:proofErr w:type="spellEnd"/>
          </w:p>
          <w:p w14:paraId="333ACA6F" w14:textId="77777777" w:rsidR="00F53939" w:rsidRPr="005D1B6A" w:rsidRDefault="00F53939" w:rsidP="00A50D03">
            <w:pPr>
              <w:ind w:right="115"/>
              <w:jc w:val="right"/>
              <w:rPr>
                <w:rFonts w:asciiTheme="minorHAnsi" w:hAnsiTheme="minorHAnsi" w:cstheme="minorHAnsi"/>
                <w:kern w:val="24"/>
                <w:sz w:val="22"/>
                <w:szCs w:val="22"/>
              </w:rPr>
            </w:pPr>
            <w:r w:rsidRPr="005D1B6A">
              <w:rPr>
                <w:rFonts w:asciiTheme="minorHAnsi" w:hAnsiTheme="minorHAnsi" w:cstheme="minorHAnsi"/>
                <w:kern w:val="24"/>
                <w:sz w:val="22"/>
                <w:szCs w:val="22"/>
              </w:rPr>
              <w:t>Change</w:t>
            </w:r>
            <w:r>
              <w:rPr>
                <w:rFonts w:asciiTheme="minorHAnsi" w:hAnsiTheme="minorHAnsi" w:cstheme="minorHAnsi"/>
                <w:kern w:val="24"/>
                <w:sz w:val="22"/>
                <w:szCs w:val="22"/>
              </w:rPr>
              <w:t xml:space="preserve"> </w:t>
            </w:r>
            <w:r w:rsidRPr="005D1B6A">
              <w:rPr>
                <w:rFonts w:asciiTheme="minorHAnsi" w:eastAsia="Inter Light BETA" w:hAnsiTheme="minorHAnsi" w:cstheme="minorHAnsi"/>
                <w:kern w:val="24"/>
                <w:sz w:val="22"/>
                <w:szCs w:val="22"/>
              </w:rPr>
              <w:t>%</w:t>
            </w:r>
          </w:p>
        </w:tc>
        <w:tc>
          <w:tcPr>
            <w:tcW w:w="609" w:type="pct"/>
            <w:tcBorders>
              <w:left w:val="nil"/>
              <w:bottom w:val="single" w:sz="2" w:space="0" w:color="auto"/>
              <w:right w:val="nil"/>
            </w:tcBorders>
            <w:tcMar>
              <w:top w:w="15" w:type="dxa"/>
              <w:left w:w="15" w:type="dxa"/>
              <w:bottom w:w="0" w:type="dxa"/>
              <w:right w:w="15" w:type="dxa"/>
            </w:tcMar>
            <w:vAlign w:val="center"/>
            <w:hideMark/>
          </w:tcPr>
          <w:p w14:paraId="7174DF82" w14:textId="77777777" w:rsidR="00F53939" w:rsidRDefault="00F53939" w:rsidP="00A50D03">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YoY</w:t>
            </w:r>
          </w:p>
          <w:p w14:paraId="2BAF809A" w14:textId="77777777" w:rsidR="00F53939" w:rsidRPr="005D1B6A" w:rsidRDefault="00F53939" w:rsidP="00A50D03">
            <w:pPr>
              <w:ind w:right="115"/>
              <w:jc w:val="right"/>
              <w:rPr>
                <w:rFonts w:asciiTheme="minorHAnsi" w:hAnsiTheme="minorHAnsi" w:cstheme="minorHAnsi"/>
                <w:sz w:val="22"/>
                <w:szCs w:val="22"/>
              </w:rPr>
            </w:pPr>
            <w:r w:rsidRPr="005D1B6A">
              <w:rPr>
                <w:rFonts w:asciiTheme="minorHAnsi" w:hAnsiTheme="minorHAnsi" w:cstheme="minorHAnsi"/>
                <w:kern w:val="24"/>
                <w:sz w:val="22"/>
                <w:szCs w:val="22"/>
              </w:rPr>
              <w:t>Change</w:t>
            </w:r>
            <w:r>
              <w:rPr>
                <w:rFonts w:asciiTheme="minorHAnsi" w:hAnsiTheme="minorHAnsi" w:cstheme="minorHAnsi"/>
                <w:kern w:val="24"/>
                <w:sz w:val="22"/>
                <w:szCs w:val="22"/>
              </w:rPr>
              <w:t xml:space="preserve"> </w:t>
            </w:r>
            <w:r w:rsidRPr="005D1B6A">
              <w:rPr>
                <w:rFonts w:asciiTheme="minorHAnsi" w:eastAsia="Inter Light BETA" w:hAnsiTheme="minorHAnsi" w:cstheme="minorHAnsi"/>
                <w:kern w:val="24"/>
                <w:sz w:val="22"/>
                <w:szCs w:val="22"/>
              </w:rPr>
              <w:t>%</w:t>
            </w:r>
          </w:p>
        </w:tc>
      </w:tr>
      <w:bookmarkEnd w:id="3"/>
      <w:tr w:rsidR="00F53939" w:rsidRPr="005E46B1" w14:paraId="084CDA74" w14:textId="77777777" w:rsidTr="00C45645">
        <w:trPr>
          <w:trHeight w:val="20"/>
        </w:trPr>
        <w:tc>
          <w:tcPr>
            <w:tcW w:w="1930" w:type="pct"/>
            <w:tcBorders>
              <w:top w:val="single" w:sz="2" w:space="0" w:color="auto"/>
              <w:left w:val="nil"/>
              <w:right w:val="nil"/>
            </w:tcBorders>
            <w:tcMar>
              <w:top w:w="15" w:type="dxa"/>
              <w:left w:w="15" w:type="dxa"/>
              <w:bottom w:w="0" w:type="dxa"/>
              <w:right w:w="15" w:type="dxa"/>
            </w:tcMar>
            <w:vAlign w:val="center"/>
            <w:hideMark/>
          </w:tcPr>
          <w:p w14:paraId="2B020612" w14:textId="77777777" w:rsidR="00F53939" w:rsidRPr="0072569B" w:rsidRDefault="00F53939" w:rsidP="00A50D03">
            <w:pPr>
              <w:ind w:right="115"/>
              <w:rPr>
                <w:rFonts w:asciiTheme="minorHAnsi" w:hAnsiTheme="minorHAnsi" w:cstheme="minorHAnsi"/>
                <w:sz w:val="22"/>
                <w:szCs w:val="22"/>
              </w:rPr>
            </w:pPr>
            <w:r w:rsidRPr="0072569B">
              <w:rPr>
                <w:rFonts w:asciiTheme="minorHAnsi" w:hAnsiTheme="minorHAnsi" w:cstheme="minorHAnsi"/>
                <w:kern w:val="24"/>
                <w:sz w:val="22"/>
                <w:szCs w:val="22"/>
              </w:rPr>
              <w:t>Interest income</w:t>
            </w:r>
          </w:p>
        </w:tc>
        <w:tc>
          <w:tcPr>
            <w:tcW w:w="28" w:type="pct"/>
            <w:tcBorders>
              <w:top w:val="single" w:sz="2" w:space="0" w:color="auto"/>
              <w:left w:val="nil"/>
              <w:right w:val="nil"/>
            </w:tcBorders>
            <w:tcMar>
              <w:top w:w="15" w:type="dxa"/>
              <w:left w:w="15" w:type="dxa"/>
              <w:bottom w:w="0" w:type="dxa"/>
              <w:right w:w="15" w:type="dxa"/>
            </w:tcMar>
            <w:vAlign w:val="center"/>
            <w:hideMark/>
          </w:tcPr>
          <w:p w14:paraId="07AFB9A2" w14:textId="77777777" w:rsidR="00F53939" w:rsidRPr="005D1B6A" w:rsidRDefault="00F53939" w:rsidP="00A50D03">
            <w:pPr>
              <w:rPr>
                <w:rFonts w:asciiTheme="minorHAnsi" w:hAnsiTheme="minorHAnsi" w:cstheme="minorHAnsi"/>
                <w:sz w:val="22"/>
                <w:szCs w:val="22"/>
              </w:rPr>
            </w:pPr>
          </w:p>
        </w:tc>
        <w:tc>
          <w:tcPr>
            <w:tcW w:w="608" w:type="pct"/>
            <w:tcBorders>
              <w:top w:val="single" w:sz="2" w:space="0" w:color="auto"/>
              <w:left w:val="nil"/>
              <w:right w:val="nil"/>
            </w:tcBorders>
            <w:shd w:val="clear" w:color="auto" w:fill="F2F2F2" w:themeFill="background1" w:themeFillShade="F2"/>
            <w:tcMar>
              <w:top w:w="15" w:type="dxa"/>
              <w:left w:w="15" w:type="dxa"/>
              <w:bottom w:w="0" w:type="dxa"/>
              <w:right w:w="15" w:type="dxa"/>
            </w:tcMar>
            <w:vAlign w:val="center"/>
          </w:tcPr>
          <w:p w14:paraId="7B712E33" w14:textId="77777777" w:rsidR="00F53939" w:rsidRPr="00537F5D" w:rsidRDefault="00F53939" w:rsidP="00A50D03">
            <w:pPr>
              <w:jc w:val="right"/>
              <w:textAlignment w:val="bottom"/>
              <w:rPr>
                <w:rFonts w:asciiTheme="minorHAnsi" w:hAnsiTheme="minorHAnsi" w:cstheme="minorHAnsi"/>
                <w:b/>
                <w:sz w:val="22"/>
                <w:szCs w:val="22"/>
              </w:rPr>
            </w:pPr>
            <w:r>
              <w:rPr>
                <w:rFonts w:asciiTheme="minorHAnsi" w:hAnsiTheme="minorHAnsi" w:cstheme="minorHAnsi"/>
                <w:b/>
                <w:sz w:val="22"/>
                <w:szCs w:val="22"/>
              </w:rPr>
              <w:t>274.9</w:t>
            </w:r>
          </w:p>
        </w:tc>
        <w:tc>
          <w:tcPr>
            <w:tcW w:w="608" w:type="pct"/>
            <w:tcBorders>
              <w:top w:val="single" w:sz="2" w:space="0" w:color="auto"/>
              <w:left w:val="nil"/>
              <w:right w:val="nil"/>
            </w:tcBorders>
            <w:tcMar>
              <w:top w:w="15" w:type="dxa"/>
              <w:left w:w="15" w:type="dxa"/>
              <w:bottom w:w="0" w:type="dxa"/>
              <w:right w:w="15" w:type="dxa"/>
            </w:tcMar>
          </w:tcPr>
          <w:p w14:paraId="40065D21" w14:textId="77777777" w:rsidR="00F53939" w:rsidRPr="002B4F04"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273.9</w:t>
            </w:r>
          </w:p>
        </w:tc>
        <w:tc>
          <w:tcPr>
            <w:tcW w:w="608" w:type="pct"/>
            <w:tcBorders>
              <w:top w:val="single" w:sz="2" w:space="0" w:color="auto"/>
              <w:left w:val="nil"/>
              <w:right w:val="nil"/>
            </w:tcBorders>
          </w:tcPr>
          <w:p w14:paraId="4F2F858B" w14:textId="77777777" w:rsidR="00F53939" w:rsidRPr="00F73C6C"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276.0</w:t>
            </w:r>
          </w:p>
        </w:tc>
        <w:tc>
          <w:tcPr>
            <w:tcW w:w="608" w:type="pct"/>
            <w:tcBorders>
              <w:top w:val="single" w:sz="2" w:space="0" w:color="auto"/>
              <w:left w:val="nil"/>
              <w:right w:val="nil"/>
            </w:tcBorders>
            <w:vAlign w:val="center"/>
          </w:tcPr>
          <w:p w14:paraId="6D22F511"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w:t>
            </w:r>
          </w:p>
        </w:tc>
        <w:tc>
          <w:tcPr>
            <w:tcW w:w="609" w:type="pct"/>
            <w:tcBorders>
              <w:top w:val="single" w:sz="2" w:space="0" w:color="auto"/>
              <w:left w:val="nil"/>
              <w:right w:val="nil"/>
            </w:tcBorders>
            <w:tcMar>
              <w:top w:w="15" w:type="dxa"/>
              <w:left w:w="15" w:type="dxa"/>
              <w:bottom w:w="0" w:type="dxa"/>
              <w:right w:w="15" w:type="dxa"/>
            </w:tcMar>
            <w:vAlign w:val="center"/>
          </w:tcPr>
          <w:p w14:paraId="712089A1" w14:textId="77777777" w:rsidR="00F53939" w:rsidRPr="00F73C6C" w:rsidRDefault="00F53939" w:rsidP="00A50D03">
            <w:pPr>
              <w:jc w:val="right"/>
              <w:textAlignment w:val="bottom"/>
              <w:rPr>
                <w:rFonts w:asciiTheme="minorHAnsi" w:hAnsiTheme="minorHAnsi" w:cstheme="minorHAnsi"/>
                <w:sz w:val="22"/>
                <w:szCs w:val="22"/>
              </w:rPr>
            </w:pPr>
            <w:r>
              <w:rPr>
                <w:rFonts w:asciiTheme="minorHAnsi" w:hAnsiTheme="minorHAnsi" w:cstheme="minorHAnsi"/>
                <w:sz w:val="22"/>
                <w:szCs w:val="22"/>
              </w:rPr>
              <w:t>-</w:t>
            </w:r>
          </w:p>
        </w:tc>
      </w:tr>
      <w:tr w:rsidR="00F53939" w:rsidRPr="005E46B1" w14:paraId="565E97FD" w14:textId="77777777" w:rsidTr="00C45645">
        <w:trPr>
          <w:trHeight w:val="20"/>
        </w:trPr>
        <w:tc>
          <w:tcPr>
            <w:tcW w:w="1930" w:type="pct"/>
            <w:tcBorders>
              <w:left w:val="nil"/>
              <w:right w:val="nil"/>
            </w:tcBorders>
            <w:tcMar>
              <w:top w:w="15" w:type="dxa"/>
              <w:left w:w="15" w:type="dxa"/>
              <w:bottom w:w="0" w:type="dxa"/>
              <w:right w:w="15" w:type="dxa"/>
            </w:tcMar>
            <w:vAlign w:val="center"/>
          </w:tcPr>
          <w:p w14:paraId="07655C73" w14:textId="77777777" w:rsidR="00F53939" w:rsidRPr="0072569B" w:rsidRDefault="00F53939" w:rsidP="00A50D03">
            <w:pPr>
              <w:ind w:right="115"/>
              <w:rPr>
                <w:rFonts w:asciiTheme="minorHAnsi" w:hAnsiTheme="minorHAnsi" w:cstheme="minorHAnsi"/>
                <w:kern w:val="24"/>
                <w:sz w:val="22"/>
                <w:szCs w:val="22"/>
              </w:rPr>
            </w:pPr>
            <w:r w:rsidRPr="0072569B">
              <w:rPr>
                <w:rFonts w:asciiTheme="minorHAnsi" w:hAnsiTheme="minorHAnsi" w:cstheme="minorHAnsi"/>
                <w:kern w:val="24"/>
                <w:sz w:val="22"/>
                <w:szCs w:val="22"/>
              </w:rPr>
              <w:t>Interest expense</w:t>
            </w:r>
          </w:p>
        </w:tc>
        <w:tc>
          <w:tcPr>
            <w:tcW w:w="28" w:type="pct"/>
            <w:tcBorders>
              <w:left w:val="nil"/>
              <w:right w:val="nil"/>
            </w:tcBorders>
            <w:tcMar>
              <w:top w:w="15" w:type="dxa"/>
              <w:left w:w="15" w:type="dxa"/>
              <w:bottom w:w="0" w:type="dxa"/>
              <w:right w:w="15" w:type="dxa"/>
            </w:tcMar>
            <w:vAlign w:val="center"/>
          </w:tcPr>
          <w:p w14:paraId="5698661E" w14:textId="77777777" w:rsidR="00F53939" w:rsidRPr="005D1B6A"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2F926B89" w14:textId="77777777" w:rsidR="00F53939" w:rsidRPr="00537F5D" w:rsidDel="00525B41"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(72.7)</w:t>
            </w:r>
          </w:p>
        </w:tc>
        <w:tc>
          <w:tcPr>
            <w:tcW w:w="608" w:type="pct"/>
            <w:tcBorders>
              <w:left w:val="nil"/>
              <w:right w:val="nil"/>
            </w:tcBorders>
            <w:tcMar>
              <w:top w:w="15" w:type="dxa"/>
              <w:left w:w="15" w:type="dxa"/>
              <w:bottom w:w="0" w:type="dxa"/>
              <w:right w:w="15" w:type="dxa"/>
            </w:tcMar>
          </w:tcPr>
          <w:p w14:paraId="1F342A0F" w14:textId="77777777" w:rsidR="00F53939" w:rsidRPr="00537F5D"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(73.3)</w:t>
            </w:r>
          </w:p>
        </w:tc>
        <w:tc>
          <w:tcPr>
            <w:tcW w:w="608" w:type="pct"/>
            <w:tcBorders>
              <w:left w:val="nil"/>
              <w:right w:val="nil"/>
            </w:tcBorders>
          </w:tcPr>
          <w:p w14:paraId="2F3E3946" w14:textId="77777777" w:rsidR="00F53939" w:rsidRPr="00F73C6C"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(68.7)</w:t>
            </w:r>
          </w:p>
        </w:tc>
        <w:tc>
          <w:tcPr>
            <w:tcW w:w="608" w:type="pct"/>
            <w:tcBorders>
              <w:left w:val="nil"/>
              <w:right w:val="nil"/>
            </w:tcBorders>
            <w:vAlign w:val="center"/>
          </w:tcPr>
          <w:p w14:paraId="0127F246"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w:t>
            </w:r>
          </w:p>
        </w:tc>
        <w:tc>
          <w:tcPr>
            <w:tcW w:w="609" w:type="pct"/>
            <w:tcBorders>
              <w:left w:val="nil"/>
              <w:right w:val="nil"/>
            </w:tcBorders>
            <w:tcMar>
              <w:top w:w="15" w:type="dxa"/>
              <w:left w:w="15" w:type="dxa"/>
              <w:bottom w:w="0" w:type="dxa"/>
              <w:right w:w="15" w:type="dxa"/>
            </w:tcMar>
            <w:vAlign w:val="center"/>
          </w:tcPr>
          <w:p w14:paraId="7486119D"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6</w:t>
            </w:r>
          </w:p>
        </w:tc>
      </w:tr>
      <w:tr w:rsidR="00F53939" w:rsidRPr="005E46B1" w14:paraId="7A823329" w14:textId="77777777" w:rsidTr="00C45645">
        <w:trPr>
          <w:trHeight w:val="20"/>
        </w:trPr>
        <w:tc>
          <w:tcPr>
            <w:tcW w:w="1930" w:type="pct"/>
            <w:tcBorders>
              <w:top w:val="single" w:sz="2" w:space="0" w:color="auto"/>
              <w:left w:val="nil"/>
              <w:right w:val="nil"/>
            </w:tcBorders>
            <w:tcMar>
              <w:top w:w="15" w:type="dxa"/>
              <w:left w:w="15" w:type="dxa"/>
              <w:bottom w:w="0" w:type="dxa"/>
              <w:right w:w="15" w:type="dxa"/>
            </w:tcMar>
            <w:vAlign w:val="center"/>
          </w:tcPr>
          <w:p w14:paraId="05F9B621" w14:textId="77777777" w:rsidR="00F53939" w:rsidRPr="0072569B" w:rsidRDefault="00F53939" w:rsidP="00A50D03">
            <w:pPr>
              <w:ind w:right="115"/>
              <w:rPr>
                <w:rFonts w:asciiTheme="minorHAnsi" w:hAnsiTheme="minorHAnsi" w:cstheme="minorHAnsi"/>
                <w:b/>
                <w:bCs/>
                <w:kern w:val="24"/>
                <w:sz w:val="22"/>
                <w:szCs w:val="22"/>
              </w:rPr>
            </w:pPr>
            <w:r w:rsidRPr="0072569B">
              <w:rPr>
                <w:rFonts w:asciiTheme="minorHAnsi" w:hAnsiTheme="minorHAnsi" w:cstheme="minorHAnsi"/>
                <w:b/>
                <w:bCs/>
                <w:kern w:val="24"/>
                <w:sz w:val="22"/>
                <w:szCs w:val="22"/>
              </w:rPr>
              <w:t>Net interest income</w:t>
            </w:r>
          </w:p>
        </w:tc>
        <w:tc>
          <w:tcPr>
            <w:tcW w:w="28" w:type="pct"/>
            <w:tcBorders>
              <w:top w:val="single" w:sz="2" w:space="0" w:color="auto"/>
              <w:left w:val="nil"/>
              <w:right w:val="nil"/>
            </w:tcBorders>
            <w:tcMar>
              <w:top w:w="15" w:type="dxa"/>
              <w:left w:w="15" w:type="dxa"/>
              <w:bottom w:w="0" w:type="dxa"/>
              <w:right w:w="15" w:type="dxa"/>
            </w:tcMar>
            <w:vAlign w:val="center"/>
          </w:tcPr>
          <w:p w14:paraId="57CCD512" w14:textId="77777777" w:rsidR="00F53939" w:rsidRPr="00F116E9" w:rsidRDefault="00F53939" w:rsidP="00A50D03">
            <w:pPr>
              <w:rPr>
                <w:rFonts w:asciiTheme="minorHAnsi" w:hAnsiTheme="minorHAnsi" w:cstheme="minorHAnsi"/>
                <w:b/>
                <w:bCs/>
                <w:sz w:val="22"/>
                <w:szCs w:val="22"/>
              </w:rPr>
            </w:pPr>
          </w:p>
        </w:tc>
        <w:tc>
          <w:tcPr>
            <w:tcW w:w="608" w:type="pct"/>
            <w:tcBorders>
              <w:top w:val="single" w:sz="2" w:space="0" w:color="auto"/>
              <w:left w:val="nil"/>
              <w:right w:val="nil"/>
            </w:tcBorders>
            <w:shd w:val="clear" w:color="auto" w:fill="F2F2F2" w:themeFill="background1" w:themeFillShade="F2"/>
            <w:tcMar>
              <w:top w:w="15" w:type="dxa"/>
              <w:left w:w="15" w:type="dxa"/>
              <w:bottom w:w="0" w:type="dxa"/>
              <w:right w:w="15" w:type="dxa"/>
            </w:tcMar>
            <w:vAlign w:val="center"/>
          </w:tcPr>
          <w:p w14:paraId="6816FF82" w14:textId="77777777" w:rsidR="00F53939" w:rsidRPr="00537F5D" w:rsidDel="00525B41"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202.2</w:t>
            </w:r>
          </w:p>
        </w:tc>
        <w:tc>
          <w:tcPr>
            <w:tcW w:w="608" w:type="pct"/>
            <w:tcBorders>
              <w:top w:val="single" w:sz="2" w:space="0" w:color="auto"/>
              <w:left w:val="nil"/>
              <w:right w:val="nil"/>
            </w:tcBorders>
            <w:tcMar>
              <w:top w:w="15" w:type="dxa"/>
              <w:left w:w="15" w:type="dxa"/>
              <w:bottom w:w="0" w:type="dxa"/>
              <w:right w:w="15" w:type="dxa"/>
            </w:tcMar>
          </w:tcPr>
          <w:p w14:paraId="5555149D" w14:textId="77777777" w:rsidR="00F53939" w:rsidRPr="00537F5D"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200.6</w:t>
            </w:r>
          </w:p>
        </w:tc>
        <w:tc>
          <w:tcPr>
            <w:tcW w:w="608" w:type="pct"/>
            <w:tcBorders>
              <w:top w:val="single" w:sz="2" w:space="0" w:color="auto"/>
              <w:left w:val="nil"/>
              <w:right w:val="nil"/>
            </w:tcBorders>
          </w:tcPr>
          <w:p w14:paraId="3C04A493" w14:textId="77777777" w:rsidR="00F53939" w:rsidRPr="00F73C6C"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207.3</w:t>
            </w:r>
          </w:p>
        </w:tc>
        <w:tc>
          <w:tcPr>
            <w:tcW w:w="608" w:type="pct"/>
            <w:tcBorders>
              <w:top w:val="single" w:sz="2" w:space="0" w:color="auto"/>
              <w:left w:val="nil"/>
              <w:right w:val="nil"/>
            </w:tcBorders>
            <w:vAlign w:val="center"/>
          </w:tcPr>
          <w:p w14:paraId="192A7791"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w:t>
            </w:r>
          </w:p>
        </w:tc>
        <w:tc>
          <w:tcPr>
            <w:tcW w:w="609" w:type="pct"/>
            <w:tcBorders>
              <w:top w:val="single" w:sz="2" w:space="0" w:color="auto"/>
              <w:left w:val="nil"/>
              <w:right w:val="nil"/>
            </w:tcBorders>
            <w:tcMar>
              <w:top w:w="15" w:type="dxa"/>
              <w:left w:w="15" w:type="dxa"/>
              <w:bottom w:w="0" w:type="dxa"/>
              <w:right w:w="15" w:type="dxa"/>
            </w:tcMar>
            <w:vAlign w:val="center"/>
          </w:tcPr>
          <w:p w14:paraId="0D39B931"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(2)</w:t>
            </w:r>
          </w:p>
        </w:tc>
      </w:tr>
      <w:tr w:rsidR="00F53939" w:rsidRPr="005E46B1" w14:paraId="6DDA0584" w14:textId="77777777" w:rsidTr="00C45645">
        <w:trPr>
          <w:trHeight w:val="20"/>
        </w:trPr>
        <w:tc>
          <w:tcPr>
            <w:tcW w:w="1930" w:type="pct"/>
            <w:tcBorders>
              <w:left w:val="nil"/>
              <w:bottom w:val="single" w:sz="2" w:space="0" w:color="auto"/>
              <w:right w:val="nil"/>
            </w:tcBorders>
            <w:tcMar>
              <w:top w:w="15" w:type="dxa"/>
              <w:left w:w="15" w:type="dxa"/>
              <w:bottom w:w="0" w:type="dxa"/>
              <w:right w:w="15" w:type="dxa"/>
            </w:tcMar>
            <w:vAlign w:val="center"/>
            <w:hideMark/>
          </w:tcPr>
          <w:p w14:paraId="6FF1AC18" w14:textId="77777777" w:rsidR="00F53939" w:rsidRPr="0072569B" w:rsidRDefault="00F53939" w:rsidP="00A50D03">
            <w:pPr>
              <w:ind w:right="115"/>
              <w:rPr>
                <w:rFonts w:asciiTheme="minorHAnsi" w:hAnsiTheme="minorHAnsi" w:cstheme="minorHAnsi"/>
                <w:sz w:val="22"/>
                <w:szCs w:val="22"/>
              </w:rPr>
            </w:pPr>
            <w:r w:rsidRPr="0072569B">
              <w:rPr>
                <w:rFonts w:asciiTheme="minorHAnsi" w:hAnsiTheme="minorHAnsi" w:cstheme="minorHAnsi"/>
                <w:kern w:val="24"/>
                <w:sz w:val="22"/>
                <w:szCs w:val="22"/>
              </w:rPr>
              <w:t>Non-interest income</w:t>
            </w:r>
          </w:p>
        </w:tc>
        <w:tc>
          <w:tcPr>
            <w:tcW w:w="28" w:type="pct"/>
            <w:tcBorders>
              <w:left w:val="nil"/>
              <w:bottom w:val="single" w:sz="2" w:space="0" w:color="auto"/>
              <w:right w:val="nil"/>
            </w:tcBorders>
            <w:tcMar>
              <w:top w:w="15" w:type="dxa"/>
              <w:left w:w="15" w:type="dxa"/>
              <w:bottom w:w="0" w:type="dxa"/>
              <w:right w:w="15" w:type="dxa"/>
            </w:tcMar>
            <w:vAlign w:val="center"/>
            <w:hideMark/>
          </w:tcPr>
          <w:p w14:paraId="25640CD5" w14:textId="77777777" w:rsidR="00F53939" w:rsidRPr="005D1B6A" w:rsidRDefault="00F53939" w:rsidP="00A50D03">
            <w:pPr>
              <w:rPr>
                <w:rFonts w:asciiTheme="minorHAnsi" w:hAnsiTheme="minorHAnsi" w:cstheme="minorHAnsi"/>
                <w:sz w:val="22"/>
                <w:szCs w:val="22"/>
              </w:rPr>
            </w:pPr>
          </w:p>
        </w:tc>
        <w:tc>
          <w:tcPr>
            <w:tcW w:w="608" w:type="pct"/>
            <w:tcBorders>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0A4D0174" w14:textId="77777777" w:rsidR="00F53939" w:rsidRPr="00537F5D" w:rsidRDefault="00F53939" w:rsidP="00A50D03">
            <w:pPr>
              <w:jc w:val="right"/>
              <w:textAlignment w:val="bottom"/>
              <w:rPr>
                <w:rFonts w:asciiTheme="minorHAnsi" w:hAnsiTheme="minorHAnsi" w:cstheme="minorHAnsi"/>
                <w:b/>
                <w:sz w:val="22"/>
                <w:szCs w:val="22"/>
              </w:rPr>
            </w:pPr>
            <w:r>
              <w:rPr>
                <w:rFonts w:asciiTheme="minorHAnsi" w:hAnsiTheme="minorHAnsi" w:cstheme="minorHAnsi"/>
                <w:b/>
                <w:sz w:val="22"/>
                <w:szCs w:val="22"/>
              </w:rPr>
              <w:t>17.5</w:t>
            </w:r>
          </w:p>
        </w:tc>
        <w:tc>
          <w:tcPr>
            <w:tcW w:w="608" w:type="pct"/>
            <w:tcBorders>
              <w:left w:val="nil"/>
              <w:bottom w:val="single" w:sz="2" w:space="0" w:color="auto"/>
              <w:right w:val="nil"/>
            </w:tcBorders>
            <w:tcMar>
              <w:top w:w="15" w:type="dxa"/>
              <w:left w:w="15" w:type="dxa"/>
              <w:bottom w:w="0" w:type="dxa"/>
              <w:right w:w="15" w:type="dxa"/>
            </w:tcMar>
          </w:tcPr>
          <w:p w14:paraId="473D69DA" w14:textId="77777777" w:rsidR="00F53939" w:rsidRPr="002B4F04"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19.0</w:t>
            </w:r>
          </w:p>
        </w:tc>
        <w:tc>
          <w:tcPr>
            <w:tcW w:w="608" w:type="pct"/>
            <w:tcBorders>
              <w:left w:val="nil"/>
              <w:bottom w:val="single" w:sz="2" w:space="0" w:color="auto"/>
              <w:right w:val="nil"/>
            </w:tcBorders>
          </w:tcPr>
          <w:p w14:paraId="1A129834" w14:textId="77777777" w:rsidR="00F53939" w:rsidRPr="00F73C6C"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19.5</w:t>
            </w:r>
          </w:p>
        </w:tc>
        <w:tc>
          <w:tcPr>
            <w:tcW w:w="608" w:type="pct"/>
            <w:tcBorders>
              <w:left w:val="nil"/>
              <w:bottom w:val="single" w:sz="2" w:space="0" w:color="auto"/>
              <w:right w:val="nil"/>
            </w:tcBorders>
            <w:vAlign w:val="center"/>
          </w:tcPr>
          <w:p w14:paraId="5665CBB8"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(8)</w:t>
            </w:r>
          </w:p>
        </w:tc>
        <w:tc>
          <w:tcPr>
            <w:tcW w:w="609" w:type="pct"/>
            <w:tcBorders>
              <w:left w:val="nil"/>
              <w:bottom w:val="single" w:sz="2" w:space="0" w:color="auto"/>
              <w:right w:val="nil"/>
            </w:tcBorders>
            <w:tcMar>
              <w:top w:w="15" w:type="dxa"/>
              <w:left w:w="15" w:type="dxa"/>
              <w:bottom w:w="0" w:type="dxa"/>
              <w:right w:w="15" w:type="dxa"/>
            </w:tcMar>
            <w:vAlign w:val="center"/>
          </w:tcPr>
          <w:p w14:paraId="1A4540F7" w14:textId="77777777" w:rsidR="00F53939" w:rsidRPr="00F73C6C" w:rsidRDefault="00F53939" w:rsidP="00A50D03">
            <w:pPr>
              <w:jc w:val="right"/>
              <w:textAlignment w:val="bottom"/>
              <w:rPr>
                <w:rFonts w:asciiTheme="minorHAnsi" w:hAnsiTheme="minorHAnsi" w:cstheme="minorHAnsi"/>
                <w:sz w:val="22"/>
                <w:szCs w:val="22"/>
              </w:rPr>
            </w:pPr>
            <w:r>
              <w:rPr>
                <w:rFonts w:asciiTheme="minorHAnsi" w:hAnsiTheme="minorHAnsi" w:cstheme="minorHAnsi"/>
                <w:sz w:val="22"/>
                <w:szCs w:val="22"/>
              </w:rPr>
              <w:t>(10)</w:t>
            </w:r>
          </w:p>
        </w:tc>
      </w:tr>
      <w:tr w:rsidR="00F53939" w:rsidRPr="005E46B1" w14:paraId="74D1787F" w14:textId="77777777" w:rsidTr="00C45645">
        <w:trPr>
          <w:trHeight w:val="20"/>
        </w:trPr>
        <w:tc>
          <w:tcPr>
            <w:tcW w:w="1930"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60128539" w14:textId="77777777" w:rsidR="00F53939" w:rsidRPr="0072569B" w:rsidRDefault="00F53939" w:rsidP="00A50D03">
            <w:pPr>
              <w:ind w:right="115"/>
              <w:rPr>
                <w:rFonts w:asciiTheme="minorHAnsi" w:hAnsiTheme="minorHAnsi" w:cstheme="minorHAnsi"/>
                <w:sz w:val="22"/>
                <w:szCs w:val="22"/>
              </w:rPr>
            </w:pPr>
            <w:r w:rsidRPr="0072569B">
              <w:rPr>
                <w:rFonts w:asciiTheme="minorHAnsi" w:hAnsiTheme="minorHAnsi" w:cstheme="minorHAnsi"/>
                <w:b/>
                <w:kern w:val="24"/>
                <w:sz w:val="22"/>
                <w:szCs w:val="22"/>
              </w:rPr>
              <w:t>Total income</w:t>
            </w:r>
          </w:p>
        </w:tc>
        <w:tc>
          <w:tcPr>
            <w:tcW w:w="28"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418DC7AE" w14:textId="77777777" w:rsidR="00F53939" w:rsidRPr="005D1B6A" w:rsidRDefault="00F53939" w:rsidP="00A50D03">
            <w:pPr>
              <w:rPr>
                <w:rFonts w:asciiTheme="minorHAnsi" w:hAnsiTheme="minorHAnsi" w:cstheme="minorHAnsi"/>
                <w:sz w:val="22"/>
                <w:szCs w:val="22"/>
              </w:rPr>
            </w:pPr>
          </w:p>
        </w:tc>
        <w:tc>
          <w:tcPr>
            <w:tcW w:w="608" w:type="pct"/>
            <w:tcBorders>
              <w:top w:val="single" w:sz="2" w:space="0" w:color="auto"/>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77322E3B" w14:textId="77777777" w:rsidR="00F53939" w:rsidRPr="00537F5D" w:rsidRDefault="00F53939" w:rsidP="00A50D03">
            <w:pPr>
              <w:jc w:val="right"/>
              <w:textAlignment w:val="bottom"/>
              <w:rPr>
                <w:rFonts w:asciiTheme="minorHAnsi" w:hAnsiTheme="minorHAnsi" w:cstheme="minorHAnsi"/>
                <w:b/>
                <w:sz w:val="22"/>
                <w:szCs w:val="22"/>
              </w:rPr>
            </w:pPr>
            <w:r>
              <w:rPr>
                <w:rFonts w:asciiTheme="minorHAnsi" w:hAnsiTheme="minorHAnsi" w:cstheme="minorHAnsi"/>
                <w:b/>
                <w:sz w:val="22"/>
                <w:szCs w:val="22"/>
              </w:rPr>
              <w:t>219.7</w:t>
            </w:r>
          </w:p>
        </w:tc>
        <w:tc>
          <w:tcPr>
            <w:tcW w:w="608" w:type="pct"/>
            <w:tcBorders>
              <w:top w:val="single" w:sz="2" w:space="0" w:color="auto"/>
              <w:left w:val="nil"/>
              <w:bottom w:val="single" w:sz="2" w:space="0" w:color="auto"/>
              <w:right w:val="nil"/>
            </w:tcBorders>
            <w:tcMar>
              <w:top w:w="15" w:type="dxa"/>
              <w:left w:w="15" w:type="dxa"/>
              <w:bottom w:w="0" w:type="dxa"/>
              <w:right w:w="15" w:type="dxa"/>
            </w:tcMar>
          </w:tcPr>
          <w:p w14:paraId="5B248D56" w14:textId="77777777" w:rsidR="00F53939" w:rsidRPr="002B4F04"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219.6</w:t>
            </w:r>
          </w:p>
        </w:tc>
        <w:tc>
          <w:tcPr>
            <w:tcW w:w="608" w:type="pct"/>
            <w:tcBorders>
              <w:top w:val="single" w:sz="2" w:space="0" w:color="auto"/>
              <w:left w:val="nil"/>
              <w:bottom w:val="single" w:sz="2" w:space="0" w:color="auto"/>
              <w:right w:val="nil"/>
            </w:tcBorders>
          </w:tcPr>
          <w:p w14:paraId="244EF87B" w14:textId="77777777" w:rsidR="00F53939" w:rsidRPr="00F73C6C"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226.8</w:t>
            </w:r>
          </w:p>
        </w:tc>
        <w:tc>
          <w:tcPr>
            <w:tcW w:w="608" w:type="pct"/>
            <w:tcBorders>
              <w:top w:val="single" w:sz="2" w:space="0" w:color="auto"/>
              <w:left w:val="nil"/>
              <w:bottom w:val="single" w:sz="2" w:space="0" w:color="auto"/>
              <w:right w:val="nil"/>
            </w:tcBorders>
            <w:vAlign w:val="center"/>
          </w:tcPr>
          <w:p w14:paraId="049F512B"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w:t>
            </w:r>
          </w:p>
        </w:tc>
        <w:tc>
          <w:tcPr>
            <w:tcW w:w="609" w:type="pct"/>
            <w:tcBorders>
              <w:top w:val="single" w:sz="2" w:space="0" w:color="auto"/>
              <w:left w:val="nil"/>
              <w:bottom w:val="single" w:sz="2" w:space="0" w:color="auto"/>
              <w:right w:val="nil"/>
            </w:tcBorders>
            <w:tcMar>
              <w:top w:w="15" w:type="dxa"/>
              <w:left w:w="15" w:type="dxa"/>
              <w:bottom w:w="0" w:type="dxa"/>
              <w:right w:w="15" w:type="dxa"/>
            </w:tcMar>
            <w:vAlign w:val="center"/>
          </w:tcPr>
          <w:p w14:paraId="6EF980DC" w14:textId="77777777" w:rsidR="00F53939" w:rsidRPr="00F73C6C" w:rsidRDefault="00F53939" w:rsidP="00A50D03">
            <w:pPr>
              <w:jc w:val="right"/>
              <w:textAlignment w:val="bottom"/>
              <w:rPr>
                <w:rFonts w:asciiTheme="minorHAnsi" w:hAnsiTheme="minorHAnsi" w:cstheme="minorHAnsi"/>
                <w:sz w:val="22"/>
                <w:szCs w:val="22"/>
              </w:rPr>
            </w:pPr>
            <w:r>
              <w:rPr>
                <w:rFonts w:asciiTheme="minorHAnsi" w:hAnsiTheme="minorHAnsi" w:cstheme="minorHAnsi"/>
                <w:sz w:val="22"/>
                <w:szCs w:val="22"/>
              </w:rPr>
              <w:t>(3)</w:t>
            </w:r>
          </w:p>
        </w:tc>
      </w:tr>
      <w:tr w:rsidR="00F53939" w:rsidRPr="005E46B1" w14:paraId="3B278DB2" w14:textId="77777777" w:rsidTr="00C45645">
        <w:trPr>
          <w:trHeight w:val="20"/>
        </w:trPr>
        <w:tc>
          <w:tcPr>
            <w:tcW w:w="1930"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230894A7" w14:textId="77777777" w:rsidR="00F53939" w:rsidRPr="0072569B" w:rsidRDefault="00F53939" w:rsidP="00A50D03">
            <w:pPr>
              <w:ind w:right="115"/>
              <w:rPr>
                <w:rFonts w:asciiTheme="minorHAnsi" w:hAnsiTheme="minorHAnsi" w:cstheme="minorHAnsi"/>
                <w:sz w:val="22"/>
                <w:szCs w:val="22"/>
              </w:rPr>
            </w:pPr>
            <w:r w:rsidRPr="0072569B">
              <w:rPr>
                <w:rFonts w:asciiTheme="minorHAnsi" w:eastAsia="Inter Medium" w:hAnsiTheme="minorHAnsi" w:cstheme="minorHAnsi"/>
                <w:kern w:val="24"/>
                <w:sz w:val="22"/>
                <w:szCs w:val="22"/>
                <w:lang w:val="en-US"/>
              </w:rPr>
              <w:t>Impairment charges</w:t>
            </w:r>
          </w:p>
        </w:tc>
        <w:tc>
          <w:tcPr>
            <w:tcW w:w="28"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1B3B8F88" w14:textId="77777777" w:rsidR="00F53939" w:rsidRPr="005D1B6A" w:rsidRDefault="00F53939" w:rsidP="00A50D03">
            <w:pPr>
              <w:rPr>
                <w:rFonts w:asciiTheme="minorHAnsi" w:hAnsiTheme="minorHAnsi" w:cstheme="minorHAnsi"/>
                <w:sz w:val="22"/>
                <w:szCs w:val="22"/>
              </w:rPr>
            </w:pPr>
          </w:p>
        </w:tc>
        <w:tc>
          <w:tcPr>
            <w:tcW w:w="608" w:type="pct"/>
            <w:tcBorders>
              <w:top w:val="single" w:sz="2" w:space="0" w:color="auto"/>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56FE051C" w14:textId="77777777" w:rsidR="00F53939" w:rsidRPr="00537F5D" w:rsidRDefault="00F53939" w:rsidP="00A50D03">
            <w:pPr>
              <w:jc w:val="right"/>
              <w:textAlignment w:val="center"/>
              <w:rPr>
                <w:rFonts w:asciiTheme="minorHAnsi" w:hAnsiTheme="minorHAnsi" w:cstheme="minorHAnsi"/>
                <w:b/>
                <w:sz w:val="22"/>
                <w:szCs w:val="22"/>
              </w:rPr>
            </w:pPr>
            <w:r>
              <w:rPr>
                <w:rFonts w:asciiTheme="minorHAnsi" w:hAnsiTheme="minorHAnsi" w:cstheme="minorHAnsi"/>
                <w:b/>
                <w:sz w:val="22"/>
                <w:szCs w:val="22"/>
              </w:rPr>
              <w:t>(76.1)</w:t>
            </w:r>
          </w:p>
        </w:tc>
        <w:tc>
          <w:tcPr>
            <w:tcW w:w="608" w:type="pct"/>
            <w:tcBorders>
              <w:top w:val="single" w:sz="2" w:space="0" w:color="auto"/>
              <w:left w:val="nil"/>
              <w:bottom w:val="single" w:sz="2" w:space="0" w:color="auto"/>
              <w:right w:val="nil"/>
            </w:tcBorders>
            <w:tcMar>
              <w:top w:w="15" w:type="dxa"/>
              <w:left w:w="15" w:type="dxa"/>
              <w:bottom w:w="0" w:type="dxa"/>
              <w:right w:w="15" w:type="dxa"/>
            </w:tcMar>
          </w:tcPr>
          <w:p w14:paraId="6A16DF8E" w14:textId="77777777" w:rsidR="00F53939" w:rsidRPr="002B4F04"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(92.3)</w:t>
            </w:r>
          </w:p>
        </w:tc>
        <w:tc>
          <w:tcPr>
            <w:tcW w:w="608" w:type="pct"/>
            <w:tcBorders>
              <w:top w:val="single" w:sz="2" w:space="0" w:color="auto"/>
              <w:left w:val="nil"/>
              <w:bottom w:val="single" w:sz="2" w:space="0" w:color="auto"/>
              <w:right w:val="nil"/>
            </w:tcBorders>
          </w:tcPr>
          <w:p w14:paraId="0A8B495E" w14:textId="77777777" w:rsidR="00F53939" w:rsidRPr="00F73C6C"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(93.0)</w:t>
            </w:r>
          </w:p>
        </w:tc>
        <w:tc>
          <w:tcPr>
            <w:tcW w:w="608" w:type="pct"/>
            <w:tcBorders>
              <w:top w:val="single" w:sz="2" w:space="0" w:color="auto"/>
              <w:left w:val="nil"/>
              <w:bottom w:val="single" w:sz="2" w:space="0" w:color="auto"/>
              <w:right w:val="nil"/>
            </w:tcBorders>
            <w:vAlign w:val="center"/>
          </w:tcPr>
          <w:p w14:paraId="1C8A5B84"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(18)</w:t>
            </w:r>
          </w:p>
        </w:tc>
        <w:tc>
          <w:tcPr>
            <w:tcW w:w="609" w:type="pct"/>
            <w:tcBorders>
              <w:top w:val="single" w:sz="2" w:space="0" w:color="auto"/>
              <w:left w:val="nil"/>
              <w:bottom w:val="single" w:sz="2" w:space="0" w:color="auto"/>
              <w:right w:val="nil"/>
            </w:tcBorders>
            <w:tcMar>
              <w:top w:w="15" w:type="dxa"/>
              <w:left w:w="15" w:type="dxa"/>
              <w:bottom w:w="0" w:type="dxa"/>
              <w:right w:w="15" w:type="dxa"/>
            </w:tcMar>
            <w:vAlign w:val="center"/>
          </w:tcPr>
          <w:p w14:paraId="02E58B8F" w14:textId="77777777" w:rsidR="00F53939" w:rsidRPr="00F73C6C" w:rsidRDefault="00F53939" w:rsidP="00A50D03">
            <w:pPr>
              <w:jc w:val="right"/>
              <w:textAlignment w:val="bottom"/>
              <w:rPr>
                <w:rFonts w:asciiTheme="minorHAnsi" w:hAnsiTheme="minorHAnsi" w:cstheme="minorHAnsi"/>
                <w:sz w:val="22"/>
                <w:szCs w:val="22"/>
              </w:rPr>
            </w:pPr>
            <w:r>
              <w:rPr>
                <w:rFonts w:asciiTheme="minorHAnsi" w:hAnsiTheme="minorHAnsi" w:cstheme="minorHAnsi"/>
                <w:sz w:val="22"/>
                <w:szCs w:val="22"/>
              </w:rPr>
              <w:t>(18)</w:t>
            </w:r>
          </w:p>
        </w:tc>
      </w:tr>
      <w:tr w:rsidR="00F53939" w:rsidRPr="005E46B1" w14:paraId="6A2E2CBF" w14:textId="77777777" w:rsidTr="00C45645">
        <w:trPr>
          <w:trHeight w:val="20"/>
        </w:trPr>
        <w:tc>
          <w:tcPr>
            <w:tcW w:w="1930"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7773A79A" w14:textId="77777777" w:rsidR="00F53939" w:rsidRPr="0072569B" w:rsidRDefault="00F53939" w:rsidP="00A50D03">
            <w:pPr>
              <w:ind w:right="115"/>
              <w:rPr>
                <w:rFonts w:asciiTheme="minorHAnsi" w:hAnsiTheme="minorHAnsi" w:cstheme="minorHAnsi"/>
                <w:sz w:val="22"/>
                <w:szCs w:val="22"/>
              </w:rPr>
            </w:pPr>
            <w:r w:rsidRPr="0072569B">
              <w:rPr>
                <w:rFonts w:asciiTheme="minorHAnsi" w:eastAsia="Inter Medium" w:hAnsiTheme="minorHAnsi" w:cstheme="minorHAnsi"/>
                <w:b/>
                <w:kern w:val="24"/>
                <w:sz w:val="22"/>
                <w:szCs w:val="22"/>
                <w:lang w:val="en-US"/>
              </w:rPr>
              <w:t>Risk-adjusted income</w:t>
            </w:r>
          </w:p>
        </w:tc>
        <w:tc>
          <w:tcPr>
            <w:tcW w:w="28"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2AF1A9CB" w14:textId="77777777" w:rsidR="00F53939" w:rsidRPr="005D1B6A" w:rsidRDefault="00F53939" w:rsidP="00A50D03">
            <w:pPr>
              <w:rPr>
                <w:rFonts w:asciiTheme="minorHAnsi" w:hAnsiTheme="minorHAnsi" w:cstheme="minorHAnsi"/>
                <w:sz w:val="22"/>
                <w:szCs w:val="22"/>
              </w:rPr>
            </w:pPr>
          </w:p>
        </w:tc>
        <w:tc>
          <w:tcPr>
            <w:tcW w:w="608" w:type="pct"/>
            <w:tcBorders>
              <w:top w:val="single" w:sz="2" w:space="0" w:color="auto"/>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140BAB7D" w14:textId="77777777" w:rsidR="00F53939" w:rsidRPr="00537F5D" w:rsidRDefault="00F53939" w:rsidP="00A50D03">
            <w:pPr>
              <w:jc w:val="right"/>
              <w:textAlignment w:val="bottom"/>
              <w:rPr>
                <w:rFonts w:asciiTheme="minorHAnsi" w:hAnsiTheme="minorHAnsi" w:cstheme="minorHAnsi"/>
                <w:b/>
                <w:sz w:val="22"/>
                <w:szCs w:val="22"/>
              </w:rPr>
            </w:pPr>
            <w:r>
              <w:rPr>
                <w:rFonts w:asciiTheme="minorHAnsi" w:hAnsiTheme="minorHAnsi" w:cstheme="minorHAnsi"/>
                <w:b/>
                <w:sz w:val="22"/>
                <w:szCs w:val="22"/>
              </w:rPr>
              <w:t>143.6</w:t>
            </w:r>
          </w:p>
        </w:tc>
        <w:tc>
          <w:tcPr>
            <w:tcW w:w="608" w:type="pct"/>
            <w:tcBorders>
              <w:top w:val="single" w:sz="2" w:space="0" w:color="auto"/>
              <w:left w:val="nil"/>
              <w:bottom w:val="single" w:sz="2" w:space="0" w:color="auto"/>
              <w:right w:val="nil"/>
            </w:tcBorders>
            <w:tcMar>
              <w:top w:w="15" w:type="dxa"/>
              <w:left w:w="15" w:type="dxa"/>
              <w:bottom w:w="0" w:type="dxa"/>
              <w:right w:w="15" w:type="dxa"/>
            </w:tcMar>
          </w:tcPr>
          <w:p w14:paraId="1EBE8C9D" w14:textId="77777777" w:rsidR="00F53939" w:rsidRPr="002B4F04"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127.3</w:t>
            </w:r>
          </w:p>
        </w:tc>
        <w:tc>
          <w:tcPr>
            <w:tcW w:w="608" w:type="pct"/>
            <w:tcBorders>
              <w:top w:val="single" w:sz="2" w:space="0" w:color="auto"/>
              <w:left w:val="nil"/>
              <w:bottom w:val="single" w:sz="2" w:space="0" w:color="auto"/>
              <w:right w:val="nil"/>
            </w:tcBorders>
          </w:tcPr>
          <w:p w14:paraId="0F253157" w14:textId="77777777" w:rsidR="00F53939" w:rsidRPr="00F73C6C"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133.8</w:t>
            </w:r>
          </w:p>
        </w:tc>
        <w:tc>
          <w:tcPr>
            <w:tcW w:w="608" w:type="pct"/>
            <w:tcBorders>
              <w:top w:val="single" w:sz="2" w:space="0" w:color="auto"/>
              <w:left w:val="nil"/>
              <w:bottom w:val="single" w:sz="2" w:space="0" w:color="auto"/>
              <w:right w:val="nil"/>
            </w:tcBorders>
            <w:vAlign w:val="center"/>
          </w:tcPr>
          <w:p w14:paraId="20E282F7"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13</w:t>
            </w:r>
          </w:p>
        </w:tc>
        <w:tc>
          <w:tcPr>
            <w:tcW w:w="609" w:type="pct"/>
            <w:tcBorders>
              <w:top w:val="single" w:sz="2" w:space="0" w:color="auto"/>
              <w:left w:val="nil"/>
              <w:bottom w:val="single" w:sz="2" w:space="0" w:color="auto"/>
              <w:right w:val="nil"/>
            </w:tcBorders>
            <w:tcMar>
              <w:top w:w="15" w:type="dxa"/>
              <w:left w:w="15" w:type="dxa"/>
              <w:bottom w:w="0" w:type="dxa"/>
              <w:right w:w="15" w:type="dxa"/>
            </w:tcMar>
            <w:vAlign w:val="center"/>
          </w:tcPr>
          <w:p w14:paraId="2CC70597" w14:textId="77777777" w:rsidR="00F53939" w:rsidRPr="00F73C6C" w:rsidRDefault="00F53939" w:rsidP="00A50D03">
            <w:pPr>
              <w:jc w:val="right"/>
              <w:textAlignment w:val="bottom"/>
              <w:rPr>
                <w:rFonts w:asciiTheme="minorHAnsi" w:hAnsiTheme="minorHAnsi" w:cstheme="minorHAnsi"/>
                <w:sz w:val="22"/>
                <w:szCs w:val="22"/>
              </w:rPr>
            </w:pPr>
            <w:r>
              <w:rPr>
                <w:rFonts w:asciiTheme="minorHAnsi" w:hAnsiTheme="minorHAnsi" w:cstheme="minorHAnsi"/>
                <w:sz w:val="22"/>
                <w:szCs w:val="22"/>
              </w:rPr>
              <w:t>7</w:t>
            </w:r>
          </w:p>
        </w:tc>
      </w:tr>
      <w:tr w:rsidR="00F53939" w:rsidRPr="005E46B1" w14:paraId="5FF71371" w14:textId="77777777" w:rsidTr="00C45645">
        <w:trPr>
          <w:trHeight w:val="20"/>
        </w:trPr>
        <w:tc>
          <w:tcPr>
            <w:tcW w:w="1930"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087792C0" w14:textId="77777777" w:rsidR="00F53939" w:rsidRPr="0072569B" w:rsidRDefault="00F53939" w:rsidP="00A50D03">
            <w:pPr>
              <w:ind w:right="115"/>
              <w:rPr>
                <w:rFonts w:asciiTheme="minorHAnsi" w:hAnsiTheme="minorHAnsi" w:cstheme="minorHAnsi"/>
                <w:sz w:val="22"/>
                <w:szCs w:val="22"/>
              </w:rPr>
            </w:pPr>
            <w:r w:rsidRPr="0072569B">
              <w:rPr>
                <w:rFonts w:asciiTheme="minorHAnsi" w:eastAsia="Inter Medium" w:hAnsiTheme="minorHAnsi" w:cstheme="minorHAnsi"/>
                <w:kern w:val="24"/>
                <w:sz w:val="22"/>
                <w:szCs w:val="22"/>
              </w:rPr>
              <w:t>Operating costs</w:t>
            </w:r>
          </w:p>
        </w:tc>
        <w:tc>
          <w:tcPr>
            <w:tcW w:w="28"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6E4590C9" w14:textId="77777777" w:rsidR="00F53939" w:rsidRPr="005D1B6A" w:rsidRDefault="00F53939" w:rsidP="00A50D03">
            <w:pPr>
              <w:rPr>
                <w:rFonts w:asciiTheme="minorHAnsi" w:hAnsiTheme="minorHAnsi" w:cstheme="minorHAnsi"/>
                <w:sz w:val="22"/>
                <w:szCs w:val="22"/>
              </w:rPr>
            </w:pPr>
          </w:p>
        </w:tc>
        <w:tc>
          <w:tcPr>
            <w:tcW w:w="608" w:type="pct"/>
            <w:tcBorders>
              <w:top w:val="single" w:sz="2" w:space="0" w:color="auto"/>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7DD06255" w14:textId="77777777" w:rsidR="00F53939" w:rsidRPr="00537F5D" w:rsidRDefault="00F53939" w:rsidP="00A50D03">
            <w:pPr>
              <w:jc w:val="right"/>
              <w:textAlignment w:val="bottom"/>
              <w:rPr>
                <w:rFonts w:asciiTheme="minorHAnsi" w:hAnsiTheme="minorHAnsi" w:cstheme="minorHAnsi"/>
                <w:b/>
                <w:sz w:val="22"/>
                <w:szCs w:val="22"/>
              </w:rPr>
            </w:pPr>
            <w:r>
              <w:rPr>
                <w:rFonts w:asciiTheme="minorHAnsi" w:hAnsiTheme="minorHAnsi" w:cstheme="minorHAnsi"/>
                <w:b/>
                <w:sz w:val="22"/>
                <w:szCs w:val="22"/>
              </w:rPr>
              <w:t>(137.4)</w:t>
            </w:r>
          </w:p>
        </w:tc>
        <w:tc>
          <w:tcPr>
            <w:tcW w:w="608" w:type="pct"/>
            <w:tcBorders>
              <w:top w:val="single" w:sz="2" w:space="0" w:color="auto"/>
              <w:left w:val="nil"/>
              <w:bottom w:val="single" w:sz="2" w:space="0" w:color="auto"/>
              <w:right w:val="nil"/>
            </w:tcBorders>
            <w:tcMar>
              <w:top w:w="15" w:type="dxa"/>
              <w:left w:w="15" w:type="dxa"/>
              <w:bottom w:w="0" w:type="dxa"/>
              <w:right w:w="15" w:type="dxa"/>
            </w:tcMar>
          </w:tcPr>
          <w:p w14:paraId="3E5945B3" w14:textId="77777777" w:rsidR="00F53939" w:rsidRPr="002B4F04"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(219.2)</w:t>
            </w:r>
          </w:p>
        </w:tc>
        <w:tc>
          <w:tcPr>
            <w:tcW w:w="608" w:type="pct"/>
            <w:tcBorders>
              <w:top w:val="single" w:sz="2" w:space="0" w:color="auto"/>
              <w:left w:val="nil"/>
              <w:bottom w:val="single" w:sz="2" w:space="0" w:color="auto"/>
              <w:right w:val="nil"/>
            </w:tcBorders>
          </w:tcPr>
          <w:p w14:paraId="01D3B062" w14:textId="77777777" w:rsidR="00F53939" w:rsidRPr="00F73C6C"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(179.9)</w:t>
            </w:r>
          </w:p>
        </w:tc>
        <w:tc>
          <w:tcPr>
            <w:tcW w:w="608" w:type="pct"/>
            <w:tcBorders>
              <w:top w:val="single" w:sz="2" w:space="0" w:color="auto"/>
              <w:left w:val="nil"/>
              <w:bottom w:val="single" w:sz="2" w:space="0" w:color="auto"/>
              <w:right w:val="nil"/>
            </w:tcBorders>
            <w:vAlign w:val="center"/>
          </w:tcPr>
          <w:p w14:paraId="3122569A"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(37)</w:t>
            </w:r>
          </w:p>
        </w:tc>
        <w:tc>
          <w:tcPr>
            <w:tcW w:w="609" w:type="pct"/>
            <w:tcBorders>
              <w:top w:val="single" w:sz="2" w:space="0" w:color="auto"/>
              <w:left w:val="nil"/>
              <w:bottom w:val="single" w:sz="2" w:space="0" w:color="auto"/>
              <w:right w:val="nil"/>
            </w:tcBorders>
            <w:tcMar>
              <w:top w:w="15" w:type="dxa"/>
              <w:left w:w="15" w:type="dxa"/>
              <w:bottom w:w="0" w:type="dxa"/>
              <w:right w:w="15" w:type="dxa"/>
            </w:tcMar>
            <w:vAlign w:val="center"/>
          </w:tcPr>
          <w:p w14:paraId="0D6111DD" w14:textId="77777777" w:rsidR="00F53939" w:rsidRPr="00F73C6C" w:rsidRDefault="00F53939" w:rsidP="00A50D03">
            <w:pPr>
              <w:jc w:val="right"/>
              <w:textAlignment w:val="bottom"/>
              <w:rPr>
                <w:rFonts w:asciiTheme="minorHAnsi" w:hAnsiTheme="minorHAnsi" w:cstheme="minorHAnsi"/>
                <w:sz w:val="22"/>
                <w:szCs w:val="22"/>
              </w:rPr>
            </w:pPr>
            <w:r>
              <w:rPr>
                <w:rFonts w:asciiTheme="minorHAnsi" w:hAnsiTheme="minorHAnsi" w:cstheme="minorHAnsi"/>
                <w:sz w:val="22"/>
                <w:szCs w:val="22"/>
              </w:rPr>
              <w:t>(24)</w:t>
            </w:r>
          </w:p>
        </w:tc>
      </w:tr>
      <w:tr w:rsidR="00F53939" w:rsidRPr="005E46B1" w14:paraId="2400117A" w14:textId="77777777" w:rsidTr="00C45645">
        <w:trPr>
          <w:trHeight w:val="20"/>
        </w:trPr>
        <w:tc>
          <w:tcPr>
            <w:tcW w:w="1930"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24B1ACD2" w14:textId="77777777" w:rsidR="00F53939" w:rsidRPr="0072569B" w:rsidRDefault="00F53939" w:rsidP="00A50D03">
            <w:pPr>
              <w:ind w:right="115"/>
              <w:rPr>
                <w:rFonts w:asciiTheme="minorHAnsi" w:hAnsiTheme="minorHAnsi" w:cstheme="minorHAnsi"/>
                <w:sz w:val="22"/>
                <w:szCs w:val="22"/>
              </w:rPr>
            </w:pPr>
            <w:r w:rsidRPr="0072569B">
              <w:rPr>
                <w:rFonts w:asciiTheme="minorHAnsi" w:eastAsia="Inter Medium" w:hAnsiTheme="minorHAnsi" w:cstheme="minorHAnsi"/>
                <w:b/>
                <w:kern w:val="24"/>
                <w:sz w:val="22"/>
                <w:szCs w:val="22"/>
              </w:rPr>
              <w:t>Profit/(loss) before tax from continuing operations</w:t>
            </w:r>
          </w:p>
        </w:tc>
        <w:tc>
          <w:tcPr>
            <w:tcW w:w="28" w:type="pct"/>
            <w:tcBorders>
              <w:top w:val="single" w:sz="2" w:space="0" w:color="auto"/>
              <w:left w:val="nil"/>
              <w:bottom w:val="single" w:sz="2" w:space="0" w:color="auto"/>
              <w:right w:val="nil"/>
            </w:tcBorders>
            <w:tcMar>
              <w:top w:w="15" w:type="dxa"/>
              <w:left w:w="15" w:type="dxa"/>
              <w:bottom w:w="0" w:type="dxa"/>
              <w:right w:w="15" w:type="dxa"/>
            </w:tcMar>
            <w:vAlign w:val="center"/>
            <w:hideMark/>
          </w:tcPr>
          <w:p w14:paraId="4F3FB4CD" w14:textId="77777777" w:rsidR="00F53939" w:rsidRPr="005D1B6A" w:rsidRDefault="00F53939" w:rsidP="00A50D03">
            <w:pPr>
              <w:rPr>
                <w:rFonts w:asciiTheme="minorHAnsi" w:hAnsiTheme="minorHAnsi" w:cstheme="minorHAnsi"/>
                <w:sz w:val="22"/>
                <w:szCs w:val="22"/>
              </w:rPr>
            </w:pPr>
          </w:p>
        </w:tc>
        <w:tc>
          <w:tcPr>
            <w:tcW w:w="608" w:type="pct"/>
            <w:tcBorders>
              <w:top w:val="single" w:sz="2" w:space="0" w:color="auto"/>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5A08055F" w14:textId="77777777" w:rsidR="00F53939" w:rsidRPr="00537F5D" w:rsidRDefault="00F53939" w:rsidP="00A50D03">
            <w:pPr>
              <w:jc w:val="right"/>
              <w:textAlignment w:val="bottom"/>
              <w:rPr>
                <w:rFonts w:asciiTheme="minorHAnsi" w:hAnsiTheme="minorHAnsi" w:cstheme="minorHAnsi"/>
                <w:b/>
                <w:sz w:val="22"/>
                <w:szCs w:val="22"/>
              </w:rPr>
            </w:pPr>
            <w:r>
              <w:rPr>
                <w:rFonts w:asciiTheme="minorHAnsi" w:hAnsiTheme="minorHAnsi" w:cstheme="minorHAnsi"/>
                <w:b/>
                <w:sz w:val="22"/>
                <w:szCs w:val="22"/>
              </w:rPr>
              <w:t>6.2</w:t>
            </w:r>
          </w:p>
        </w:tc>
        <w:tc>
          <w:tcPr>
            <w:tcW w:w="608" w:type="pct"/>
            <w:tcBorders>
              <w:top w:val="single" w:sz="2" w:space="0" w:color="auto"/>
              <w:left w:val="nil"/>
              <w:bottom w:val="single" w:sz="2" w:space="0" w:color="auto"/>
              <w:right w:val="nil"/>
            </w:tcBorders>
            <w:tcMar>
              <w:top w:w="15" w:type="dxa"/>
              <w:left w:w="15" w:type="dxa"/>
              <w:bottom w:w="0" w:type="dxa"/>
              <w:right w:w="15" w:type="dxa"/>
            </w:tcMar>
            <w:vAlign w:val="center"/>
          </w:tcPr>
          <w:p w14:paraId="00C2F2BE" w14:textId="77777777" w:rsidR="00F53939" w:rsidRPr="002B4F04"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(91.9)</w:t>
            </w:r>
          </w:p>
        </w:tc>
        <w:tc>
          <w:tcPr>
            <w:tcW w:w="608" w:type="pct"/>
            <w:tcBorders>
              <w:top w:val="single" w:sz="2" w:space="0" w:color="auto"/>
              <w:left w:val="nil"/>
              <w:bottom w:val="single" w:sz="2" w:space="0" w:color="auto"/>
              <w:right w:val="nil"/>
            </w:tcBorders>
            <w:vAlign w:val="center"/>
          </w:tcPr>
          <w:p w14:paraId="51E725B5" w14:textId="77777777" w:rsidR="00F53939" w:rsidRPr="0067778B"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(46.1)</w:t>
            </w:r>
          </w:p>
        </w:tc>
        <w:tc>
          <w:tcPr>
            <w:tcW w:w="608" w:type="pct"/>
            <w:tcBorders>
              <w:top w:val="single" w:sz="2" w:space="0" w:color="auto"/>
              <w:left w:val="nil"/>
              <w:bottom w:val="single" w:sz="2" w:space="0" w:color="auto"/>
              <w:right w:val="nil"/>
            </w:tcBorders>
            <w:vAlign w:val="center"/>
          </w:tcPr>
          <w:p w14:paraId="2B9E83EC" w14:textId="77777777" w:rsidR="00F53939" w:rsidRPr="00F73C6C" w:rsidRDefault="00F53939" w:rsidP="00A50D03">
            <w:pPr>
              <w:jc w:val="right"/>
              <w:textAlignment w:val="bottom"/>
              <w:rPr>
                <w:rFonts w:asciiTheme="minorHAnsi" w:hAnsiTheme="minorHAnsi" w:cstheme="minorHAnsi"/>
                <w:sz w:val="22"/>
                <w:szCs w:val="22"/>
              </w:rPr>
            </w:pPr>
          </w:p>
        </w:tc>
        <w:tc>
          <w:tcPr>
            <w:tcW w:w="609" w:type="pct"/>
            <w:tcBorders>
              <w:top w:val="single" w:sz="2" w:space="0" w:color="auto"/>
              <w:left w:val="nil"/>
              <w:bottom w:val="single" w:sz="2" w:space="0" w:color="auto"/>
              <w:right w:val="nil"/>
            </w:tcBorders>
            <w:tcMar>
              <w:top w:w="15" w:type="dxa"/>
              <w:left w:w="15" w:type="dxa"/>
              <w:bottom w:w="0" w:type="dxa"/>
              <w:right w:w="15" w:type="dxa"/>
            </w:tcMar>
            <w:vAlign w:val="center"/>
          </w:tcPr>
          <w:p w14:paraId="7B37BAA4" w14:textId="77777777" w:rsidR="00F53939" w:rsidRPr="00F73C6C" w:rsidRDefault="00F53939" w:rsidP="00A50D03">
            <w:pPr>
              <w:jc w:val="right"/>
              <w:textAlignment w:val="bottom"/>
              <w:rPr>
                <w:rFonts w:asciiTheme="minorHAnsi" w:hAnsiTheme="minorHAnsi" w:cstheme="minorHAnsi"/>
                <w:sz w:val="22"/>
                <w:szCs w:val="22"/>
              </w:rPr>
            </w:pPr>
          </w:p>
        </w:tc>
      </w:tr>
      <w:tr w:rsidR="00F53939" w:rsidRPr="005E46B1" w14:paraId="307A6DE3" w14:textId="77777777" w:rsidTr="00C45645">
        <w:trPr>
          <w:trHeight w:val="20"/>
        </w:trPr>
        <w:tc>
          <w:tcPr>
            <w:tcW w:w="1930" w:type="pct"/>
            <w:tcBorders>
              <w:top w:val="single" w:sz="2" w:space="0" w:color="auto"/>
              <w:left w:val="nil"/>
              <w:bottom w:val="single" w:sz="2" w:space="0" w:color="auto"/>
              <w:right w:val="nil"/>
            </w:tcBorders>
            <w:tcMar>
              <w:top w:w="15" w:type="dxa"/>
              <w:left w:w="15" w:type="dxa"/>
              <w:bottom w:w="0" w:type="dxa"/>
              <w:right w:w="15" w:type="dxa"/>
            </w:tcMar>
            <w:vAlign w:val="center"/>
          </w:tcPr>
          <w:p w14:paraId="31AB3E60" w14:textId="77777777" w:rsidR="00F53939" w:rsidRPr="0072569B" w:rsidRDefault="00F53939" w:rsidP="00A50D03">
            <w:pPr>
              <w:ind w:right="115"/>
              <w:rPr>
                <w:rFonts w:asciiTheme="minorHAnsi" w:eastAsia="Inter Medium" w:hAnsiTheme="minorHAnsi" w:cstheme="minorHAnsi"/>
                <w:bCs/>
                <w:kern w:val="24"/>
                <w:sz w:val="22"/>
                <w:szCs w:val="22"/>
              </w:rPr>
            </w:pPr>
            <w:r w:rsidRPr="0072569B">
              <w:rPr>
                <w:rFonts w:asciiTheme="minorHAnsi" w:eastAsia="Inter Medium" w:hAnsiTheme="minorHAnsi" w:cstheme="minorHAnsi"/>
                <w:bCs/>
                <w:kern w:val="24"/>
                <w:sz w:val="22"/>
                <w:szCs w:val="22"/>
              </w:rPr>
              <w:t>Tax (charge)/credit</w:t>
            </w:r>
          </w:p>
        </w:tc>
        <w:tc>
          <w:tcPr>
            <w:tcW w:w="28" w:type="pct"/>
            <w:tcBorders>
              <w:top w:val="single" w:sz="2" w:space="0" w:color="auto"/>
              <w:left w:val="nil"/>
              <w:bottom w:val="single" w:sz="2" w:space="0" w:color="auto"/>
              <w:right w:val="nil"/>
            </w:tcBorders>
            <w:tcMar>
              <w:top w:w="15" w:type="dxa"/>
              <w:left w:w="15" w:type="dxa"/>
              <w:bottom w:w="0" w:type="dxa"/>
              <w:right w:w="15" w:type="dxa"/>
            </w:tcMar>
            <w:vAlign w:val="center"/>
          </w:tcPr>
          <w:p w14:paraId="1184C68A" w14:textId="77777777" w:rsidR="00F53939" w:rsidRPr="005D1B6A" w:rsidRDefault="00F53939" w:rsidP="00A50D03">
            <w:pPr>
              <w:rPr>
                <w:rFonts w:asciiTheme="minorHAnsi" w:hAnsiTheme="minorHAnsi" w:cstheme="minorHAnsi"/>
                <w:sz w:val="22"/>
                <w:szCs w:val="22"/>
              </w:rPr>
            </w:pPr>
          </w:p>
        </w:tc>
        <w:tc>
          <w:tcPr>
            <w:tcW w:w="608" w:type="pct"/>
            <w:tcBorders>
              <w:top w:val="single" w:sz="2" w:space="0" w:color="auto"/>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2DC1518F" w14:textId="77777777" w:rsidR="00F53939" w:rsidRPr="00537F5D"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(1.3)</w:t>
            </w:r>
          </w:p>
        </w:tc>
        <w:tc>
          <w:tcPr>
            <w:tcW w:w="608" w:type="pct"/>
            <w:tcBorders>
              <w:top w:val="single" w:sz="2" w:space="0" w:color="auto"/>
              <w:left w:val="nil"/>
              <w:bottom w:val="single" w:sz="2" w:space="0" w:color="auto"/>
              <w:right w:val="nil"/>
            </w:tcBorders>
            <w:tcMar>
              <w:top w:w="15" w:type="dxa"/>
              <w:left w:w="15" w:type="dxa"/>
              <w:bottom w:w="0" w:type="dxa"/>
              <w:right w:w="15" w:type="dxa"/>
            </w:tcMar>
            <w:vAlign w:val="center"/>
          </w:tcPr>
          <w:p w14:paraId="6C62A1FB" w14:textId="77777777" w:rsidR="00F53939" w:rsidRPr="00537F5D"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6.8</w:t>
            </w:r>
          </w:p>
        </w:tc>
        <w:tc>
          <w:tcPr>
            <w:tcW w:w="608" w:type="pct"/>
            <w:tcBorders>
              <w:top w:val="single" w:sz="2" w:space="0" w:color="auto"/>
              <w:left w:val="nil"/>
              <w:bottom w:val="single" w:sz="2" w:space="0" w:color="auto"/>
              <w:right w:val="nil"/>
            </w:tcBorders>
            <w:vAlign w:val="center"/>
          </w:tcPr>
          <w:p w14:paraId="1EECFB85" w14:textId="77777777" w:rsidR="00F53939" w:rsidRPr="00537F5D"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10.6</w:t>
            </w:r>
          </w:p>
        </w:tc>
        <w:tc>
          <w:tcPr>
            <w:tcW w:w="608" w:type="pct"/>
            <w:tcBorders>
              <w:top w:val="single" w:sz="2" w:space="0" w:color="auto"/>
              <w:left w:val="nil"/>
              <w:bottom w:val="single" w:sz="2" w:space="0" w:color="auto"/>
              <w:right w:val="nil"/>
            </w:tcBorders>
            <w:vAlign w:val="center"/>
          </w:tcPr>
          <w:p w14:paraId="0479CEFF" w14:textId="77777777" w:rsidR="00F53939" w:rsidRPr="00F73C6C" w:rsidRDefault="00F53939" w:rsidP="00A50D03">
            <w:pPr>
              <w:jc w:val="right"/>
              <w:textAlignment w:val="bottom"/>
              <w:rPr>
                <w:rFonts w:asciiTheme="minorHAnsi" w:hAnsiTheme="minorHAnsi" w:cstheme="minorHAnsi"/>
                <w:sz w:val="22"/>
                <w:szCs w:val="22"/>
              </w:rPr>
            </w:pPr>
          </w:p>
        </w:tc>
        <w:tc>
          <w:tcPr>
            <w:tcW w:w="609" w:type="pct"/>
            <w:tcBorders>
              <w:top w:val="single" w:sz="2" w:space="0" w:color="auto"/>
              <w:left w:val="nil"/>
              <w:bottom w:val="single" w:sz="2" w:space="0" w:color="auto"/>
              <w:right w:val="nil"/>
            </w:tcBorders>
            <w:tcMar>
              <w:top w:w="15" w:type="dxa"/>
              <w:left w:w="15" w:type="dxa"/>
              <w:bottom w:w="0" w:type="dxa"/>
              <w:right w:w="15" w:type="dxa"/>
            </w:tcMar>
            <w:vAlign w:val="center"/>
          </w:tcPr>
          <w:p w14:paraId="5006D085" w14:textId="77777777" w:rsidR="00F53939" w:rsidRPr="00F73C6C" w:rsidRDefault="00F53939" w:rsidP="00A50D03">
            <w:pPr>
              <w:jc w:val="right"/>
              <w:textAlignment w:val="bottom"/>
              <w:rPr>
                <w:rFonts w:asciiTheme="minorHAnsi" w:hAnsiTheme="minorHAnsi" w:cstheme="minorHAnsi"/>
                <w:sz w:val="22"/>
                <w:szCs w:val="22"/>
              </w:rPr>
            </w:pPr>
          </w:p>
        </w:tc>
      </w:tr>
      <w:tr w:rsidR="00F53939" w:rsidRPr="005E46B1" w14:paraId="3C8246F4" w14:textId="77777777" w:rsidTr="00C45645">
        <w:trPr>
          <w:trHeight w:val="20"/>
        </w:trPr>
        <w:tc>
          <w:tcPr>
            <w:tcW w:w="1930" w:type="pct"/>
            <w:tcBorders>
              <w:top w:val="single" w:sz="2" w:space="0" w:color="auto"/>
              <w:left w:val="nil"/>
              <w:bottom w:val="single" w:sz="2" w:space="0" w:color="auto"/>
              <w:right w:val="nil"/>
            </w:tcBorders>
            <w:tcMar>
              <w:top w:w="15" w:type="dxa"/>
              <w:left w:w="15" w:type="dxa"/>
              <w:bottom w:w="0" w:type="dxa"/>
              <w:right w:w="15" w:type="dxa"/>
            </w:tcMar>
            <w:vAlign w:val="center"/>
          </w:tcPr>
          <w:p w14:paraId="63D662B2" w14:textId="77777777" w:rsidR="00F53939" w:rsidRPr="0072569B" w:rsidRDefault="00F53939" w:rsidP="00A50D03">
            <w:pPr>
              <w:ind w:right="115"/>
              <w:rPr>
                <w:rFonts w:asciiTheme="minorHAnsi" w:eastAsia="Inter Medium" w:hAnsiTheme="minorHAnsi" w:cstheme="minorHAnsi"/>
                <w:b/>
                <w:kern w:val="24"/>
                <w:sz w:val="22"/>
                <w:szCs w:val="22"/>
              </w:rPr>
            </w:pPr>
            <w:r w:rsidRPr="0072569B">
              <w:rPr>
                <w:rFonts w:asciiTheme="minorHAnsi" w:eastAsia="Inter Medium" w:hAnsiTheme="minorHAnsi" w:cstheme="minorHAnsi"/>
                <w:b/>
                <w:kern w:val="24"/>
                <w:sz w:val="22"/>
                <w:szCs w:val="22"/>
              </w:rPr>
              <w:t>Profit/(loss) after tax from continuing operations</w:t>
            </w:r>
          </w:p>
        </w:tc>
        <w:tc>
          <w:tcPr>
            <w:tcW w:w="28" w:type="pct"/>
            <w:tcBorders>
              <w:top w:val="single" w:sz="2" w:space="0" w:color="auto"/>
              <w:left w:val="nil"/>
              <w:bottom w:val="single" w:sz="2" w:space="0" w:color="auto"/>
              <w:right w:val="nil"/>
            </w:tcBorders>
            <w:tcMar>
              <w:top w:w="15" w:type="dxa"/>
              <w:left w:w="15" w:type="dxa"/>
              <w:bottom w:w="0" w:type="dxa"/>
              <w:right w:w="15" w:type="dxa"/>
            </w:tcMar>
            <w:vAlign w:val="center"/>
          </w:tcPr>
          <w:p w14:paraId="32954093" w14:textId="77777777" w:rsidR="00F53939" w:rsidRPr="005D1B6A" w:rsidRDefault="00F53939" w:rsidP="00A50D03">
            <w:pPr>
              <w:rPr>
                <w:rFonts w:asciiTheme="minorHAnsi" w:hAnsiTheme="minorHAnsi" w:cstheme="minorHAnsi"/>
                <w:sz w:val="22"/>
                <w:szCs w:val="22"/>
              </w:rPr>
            </w:pPr>
          </w:p>
        </w:tc>
        <w:tc>
          <w:tcPr>
            <w:tcW w:w="608" w:type="pct"/>
            <w:tcBorders>
              <w:top w:val="single" w:sz="2" w:space="0" w:color="auto"/>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22DB0F30" w14:textId="77777777" w:rsidR="00F53939" w:rsidRPr="00537F5D"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4.9</w:t>
            </w:r>
          </w:p>
        </w:tc>
        <w:tc>
          <w:tcPr>
            <w:tcW w:w="608" w:type="pct"/>
            <w:tcBorders>
              <w:top w:val="single" w:sz="2" w:space="0" w:color="auto"/>
              <w:left w:val="nil"/>
              <w:bottom w:val="single" w:sz="2" w:space="0" w:color="auto"/>
              <w:right w:val="nil"/>
            </w:tcBorders>
            <w:tcMar>
              <w:top w:w="15" w:type="dxa"/>
              <w:left w:w="15" w:type="dxa"/>
              <w:bottom w:w="0" w:type="dxa"/>
              <w:right w:w="15" w:type="dxa"/>
            </w:tcMar>
            <w:vAlign w:val="center"/>
          </w:tcPr>
          <w:p w14:paraId="48E2585D" w14:textId="77777777" w:rsidR="00F53939" w:rsidRPr="00537F5D"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(85.1)</w:t>
            </w:r>
          </w:p>
        </w:tc>
        <w:tc>
          <w:tcPr>
            <w:tcW w:w="608" w:type="pct"/>
            <w:tcBorders>
              <w:top w:val="single" w:sz="2" w:space="0" w:color="auto"/>
              <w:left w:val="nil"/>
              <w:bottom w:val="single" w:sz="2" w:space="0" w:color="auto"/>
              <w:right w:val="nil"/>
            </w:tcBorders>
            <w:vAlign w:val="center"/>
          </w:tcPr>
          <w:p w14:paraId="2E64BCE8" w14:textId="77777777" w:rsidR="00F53939" w:rsidRPr="00537F5D"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(35.5)</w:t>
            </w:r>
          </w:p>
        </w:tc>
        <w:tc>
          <w:tcPr>
            <w:tcW w:w="608" w:type="pct"/>
            <w:tcBorders>
              <w:top w:val="single" w:sz="2" w:space="0" w:color="auto"/>
              <w:left w:val="nil"/>
              <w:bottom w:val="single" w:sz="2" w:space="0" w:color="auto"/>
              <w:right w:val="nil"/>
            </w:tcBorders>
            <w:vAlign w:val="center"/>
          </w:tcPr>
          <w:p w14:paraId="69AFD0F1" w14:textId="77777777" w:rsidR="00F53939" w:rsidRPr="00F73C6C" w:rsidRDefault="00F53939" w:rsidP="00A50D03">
            <w:pPr>
              <w:jc w:val="right"/>
              <w:textAlignment w:val="bottom"/>
              <w:rPr>
                <w:rFonts w:asciiTheme="minorHAnsi" w:hAnsiTheme="minorHAnsi" w:cstheme="minorHAnsi"/>
                <w:sz w:val="22"/>
                <w:szCs w:val="22"/>
              </w:rPr>
            </w:pPr>
          </w:p>
        </w:tc>
        <w:tc>
          <w:tcPr>
            <w:tcW w:w="609" w:type="pct"/>
            <w:tcBorders>
              <w:top w:val="single" w:sz="2" w:space="0" w:color="auto"/>
              <w:left w:val="nil"/>
              <w:bottom w:val="single" w:sz="2" w:space="0" w:color="auto"/>
              <w:right w:val="nil"/>
            </w:tcBorders>
            <w:tcMar>
              <w:top w:w="15" w:type="dxa"/>
              <w:left w:w="15" w:type="dxa"/>
              <w:bottom w:w="0" w:type="dxa"/>
              <w:right w:w="15" w:type="dxa"/>
            </w:tcMar>
            <w:vAlign w:val="center"/>
          </w:tcPr>
          <w:p w14:paraId="18EFA464" w14:textId="77777777" w:rsidR="00F53939" w:rsidRPr="00F73C6C" w:rsidRDefault="00F53939" w:rsidP="00A50D03">
            <w:pPr>
              <w:jc w:val="right"/>
              <w:textAlignment w:val="bottom"/>
              <w:rPr>
                <w:rFonts w:asciiTheme="minorHAnsi" w:hAnsiTheme="minorHAnsi" w:cstheme="minorHAnsi"/>
                <w:sz w:val="22"/>
                <w:szCs w:val="22"/>
              </w:rPr>
            </w:pPr>
          </w:p>
        </w:tc>
      </w:tr>
      <w:tr w:rsidR="00F53939" w:rsidRPr="005E46B1" w14:paraId="316F2F66" w14:textId="77777777" w:rsidTr="00C45645">
        <w:trPr>
          <w:trHeight w:val="20"/>
        </w:trPr>
        <w:tc>
          <w:tcPr>
            <w:tcW w:w="1930" w:type="pct"/>
            <w:tcBorders>
              <w:top w:val="single" w:sz="4" w:space="0" w:color="auto"/>
              <w:left w:val="nil"/>
              <w:bottom w:val="single" w:sz="4" w:space="0" w:color="auto"/>
              <w:right w:val="nil"/>
            </w:tcBorders>
            <w:tcMar>
              <w:top w:w="15" w:type="dxa"/>
              <w:left w:w="15" w:type="dxa"/>
              <w:bottom w:w="0" w:type="dxa"/>
              <w:right w:w="15" w:type="dxa"/>
            </w:tcMar>
            <w:vAlign w:val="center"/>
            <w:hideMark/>
          </w:tcPr>
          <w:p w14:paraId="6CE8C213" w14:textId="77777777" w:rsidR="00F53939" w:rsidRPr="0072569B" w:rsidRDefault="00F53939" w:rsidP="00A50D03">
            <w:pPr>
              <w:ind w:right="115"/>
              <w:rPr>
                <w:rFonts w:asciiTheme="minorHAnsi" w:hAnsiTheme="minorHAnsi" w:cstheme="minorHAnsi"/>
                <w:bCs/>
                <w:sz w:val="22"/>
                <w:szCs w:val="22"/>
              </w:rPr>
            </w:pPr>
            <w:r w:rsidRPr="0072569B">
              <w:rPr>
                <w:rFonts w:asciiTheme="minorHAnsi" w:hAnsiTheme="minorHAnsi" w:cstheme="minorHAnsi"/>
                <w:bCs/>
                <w:kern w:val="24"/>
                <w:sz w:val="22"/>
                <w:szCs w:val="22"/>
                <w:lang w:val="en-US"/>
              </w:rPr>
              <w:t>Profit/(loss) after tax from discontinued operations</w:t>
            </w:r>
          </w:p>
        </w:tc>
        <w:tc>
          <w:tcPr>
            <w:tcW w:w="28" w:type="pct"/>
            <w:tcBorders>
              <w:top w:val="single" w:sz="4" w:space="0" w:color="auto"/>
              <w:left w:val="nil"/>
              <w:bottom w:val="single" w:sz="4" w:space="0" w:color="auto"/>
              <w:right w:val="nil"/>
            </w:tcBorders>
            <w:tcMar>
              <w:top w:w="15" w:type="dxa"/>
              <w:left w:w="15" w:type="dxa"/>
              <w:bottom w:w="0" w:type="dxa"/>
              <w:right w:w="15" w:type="dxa"/>
            </w:tcMar>
            <w:vAlign w:val="center"/>
            <w:hideMark/>
          </w:tcPr>
          <w:p w14:paraId="386A3F06" w14:textId="77777777" w:rsidR="00F53939" w:rsidRPr="005E46B1" w:rsidRDefault="00F53939" w:rsidP="00A50D03">
            <w:pPr>
              <w:rPr>
                <w:rFonts w:asciiTheme="minorHAnsi" w:hAnsiTheme="minorHAnsi" w:cstheme="minorHAnsi"/>
                <w:sz w:val="22"/>
                <w:szCs w:val="22"/>
              </w:rPr>
            </w:pPr>
          </w:p>
        </w:tc>
        <w:tc>
          <w:tcPr>
            <w:tcW w:w="608" w:type="pct"/>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00A737" w14:textId="77777777" w:rsidR="00F53939" w:rsidRPr="00537F5D" w:rsidRDefault="00F53939" w:rsidP="00A50D03">
            <w:pPr>
              <w:jc w:val="right"/>
              <w:textAlignment w:val="bottom"/>
              <w:rPr>
                <w:rFonts w:asciiTheme="minorHAnsi" w:hAnsiTheme="minorHAnsi" w:cstheme="minorHAnsi"/>
                <w:b/>
                <w:sz w:val="22"/>
                <w:szCs w:val="22"/>
              </w:rPr>
            </w:pPr>
            <w:r>
              <w:rPr>
                <w:rFonts w:asciiTheme="minorHAnsi" w:hAnsiTheme="minorHAnsi" w:cstheme="minorHAnsi"/>
                <w:b/>
                <w:sz w:val="22"/>
                <w:szCs w:val="22"/>
              </w:rPr>
              <w:t>0.7</w:t>
            </w:r>
          </w:p>
        </w:tc>
        <w:tc>
          <w:tcPr>
            <w:tcW w:w="608" w:type="pct"/>
            <w:tcBorders>
              <w:top w:val="single" w:sz="4" w:space="0" w:color="auto"/>
              <w:left w:val="nil"/>
              <w:bottom w:val="single" w:sz="4" w:space="0" w:color="auto"/>
              <w:right w:val="nil"/>
            </w:tcBorders>
            <w:tcMar>
              <w:top w:w="15" w:type="dxa"/>
              <w:left w:w="15" w:type="dxa"/>
              <w:bottom w:w="0" w:type="dxa"/>
              <w:right w:w="15" w:type="dxa"/>
            </w:tcMar>
            <w:vAlign w:val="center"/>
          </w:tcPr>
          <w:p w14:paraId="371BC13F" w14:textId="77777777" w:rsidR="00F53939" w:rsidRPr="002B4F04"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1.6</w:t>
            </w:r>
          </w:p>
        </w:tc>
        <w:tc>
          <w:tcPr>
            <w:tcW w:w="608" w:type="pct"/>
            <w:tcBorders>
              <w:top w:val="single" w:sz="4" w:space="0" w:color="auto"/>
              <w:left w:val="nil"/>
              <w:bottom w:val="single" w:sz="4" w:space="0" w:color="auto"/>
              <w:right w:val="nil"/>
            </w:tcBorders>
            <w:vAlign w:val="center"/>
          </w:tcPr>
          <w:p w14:paraId="3ED166AD" w14:textId="77777777" w:rsidR="00F53939" w:rsidRPr="0067778B"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(0.3)</w:t>
            </w:r>
          </w:p>
        </w:tc>
        <w:tc>
          <w:tcPr>
            <w:tcW w:w="608" w:type="pct"/>
            <w:tcBorders>
              <w:top w:val="single" w:sz="4" w:space="0" w:color="auto"/>
              <w:left w:val="nil"/>
              <w:bottom w:val="single" w:sz="4" w:space="0" w:color="auto"/>
              <w:right w:val="nil"/>
            </w:tcBorders>
            <w:vAlign w:val="center"/>
          </w:tcPr>
          <w:p w14:paraId="025CDE0F" w14:textId="77777777" w:rsidR="00F53939" w:rsidRPr="00F73C6C" w:rsidRDefault="00F53939" w:rsidP="00A50D03">
            <w:pPr>
              <w:jc w:val="right"/>
              <w:textAlignment w:val="bottom"/>
              <w:rPr>
                <w:rFonts w:asciiTheme="minorHAnsi" w:hAnsiTheme="minorHAnsi" w:cstheme="minorHAnsi"/>
                <w:sz w:val="22"/>
                <w:szCs w:val="22"/>
              </w:rPr>
            </w:pPr>
          </w:p>
        </w:tc>
        <w:tc>
          <w:tcPr>
            <w:tcW w:w="609" w:type="pct"/>
            <w:tcBorders>
              <w:top w:val="single" w:sz="4" w:space="0" w:color="auto"/>
              <w:left w:val="nil"/>
              <w:bottom w:val="single" w:sz="4" w:space="0" w:color="auto"/>
              <w:right w:val="nil"/>
            </w:tcBorders>
            <w:tcMar>
              <w:top w:w="15" w:type="dxa"/>
              <w:left w:w="15" w:type="dxa"/>
              <w:bottom w:w="0" w:type="dxa"/>
              <w:right w:w="15" w:type="dxa"/>
            </w:tcMar>
            <w:vAlign w:val="center"/>
          </w:tcPr>
          <w:p w14:paraId="3FBF8572" w14:textId="77777777" w:rsidR="00F53939" w:rsidRPr="00F73C6C" w:rsidRDefault="00F53939" w:rsidP="00A50D03">
            <w:pPr>
              <w:jc w:val="right"/>
              <w:textAlignment w:val="bottom"/>
              <w:rPr>
                <w:rFonts w:asciiTheme="minorHAnsi" w:hAnsiTheme="minorHAnsi" w:cstheme="minorHAnsi"/>
                <w:sz w:val="22"/>
                <w:szCs w:val="22"/>
              </w:rPr>
            </w:pPr>
          </w:p>
        </w:tc>
      </w:tr>
      <w:tr w:rsidR="00F53939" w:rsidRPr="005E46B1" w14:paraId="32F86C30" w14:textId="77777777" w:rsidTr="00C45645">
        <w:trPr>
          <w:trHeight w:val="20"/>
        </w:trPr>
        <w:tc>
          <w:tcPr>
            <w:tcW w:w="1930" w:type="pct"/>
            <w:tcBorders>
              <w:top w:val="single" w:sz="2" w:space="0" w:color="auto"/>
              <w:left w:val="nil"/>
              <w:bottom w:val="single" w:sz="8" w:space="0" w:color="auto"/>
              <w:right w:val="nil"/>
            </w:tcBorders>
            <w:tcMar>
              <w:top w:w="15" w:type="dxa"/>
              <w:left w:w="15" w:type="dxa"/>
              <w:bottom w:w="0" w:type="dxa"/>
              <w:right w:w="15" w:type="dxa"/>
            </w:tcMar>
            <w:vAlign w:val="center"/>
          </w:tcPr>
          <w:p w14:paraId="117A2364" w14:textId="77777777" w:rsidR="00F53939" w:rsidRPr="0072569B" w:rsidRDefault="00F53939" w:rsidP="00A50D03">
            <w:pPr>
              <w:ind w:right="115"/>
              <w:rPr>
                <w:rFonts w:asciiTheme="minorHAnsi" w:hAnsiTheme="minorHAnsi" w:cstheme="minorHAnsi"/>
                <w:b/>
                <w:bCs/>
                <w:sz w:val="22"/>
                <w:szCs w:val="22"/>
              </w:rPr>
            </w:pPr>
            <w:r w:rsidRPr="0072569B">
              <w:rPr>
                <w:rFonts w:asciiTheme="minorHAnsi" w:hAnsiTheme="minorHAnsi" w:cstheme="minorHAnsi"/>
                <w:b/>
                <w:bCs/>
                <w:sz w:val="22"/>
                <w:szCs w:val="22"/>
              </w:rPr>
              <w:t>Statutory profit/(loss) after tax</w:t>
            </w:r>
          </w:p>
        </w:tc>
        <w:tc>
          <w:tcPr>
            <w:tcW w:w="28" w:type="pct"/>
            <w:tcBorders>
              <w:top w:val="single" w:sz="2" w:space="0" w:color="auto"/>
              <w:left w:val="nil"/>
              <w:bottom w:val="single" w:sz="8" w:space="0" w:color="auto"/>
              <w:right w:val="nil"/>
            </w:tcBorders>
            <w:tcMar>
              <w:top w:w="15" w:type="dxa"/>
              <w:left w:w="15" w:type="dxa"/>
              <w:bottom w:w="0" w:type="dxa"/>
              <w:right w:w="15" w:type="dxa"/>
            </w:tcMar>
            <w:vAlign w:val="center"/>
          </w:tcPr>
          <w:p w14:paraId="15AC63CF" w14:textId="77777777" w:rsidR="00F53939" w:rsidRPr="005E46B1" w:rsidRDefault="00F53939" w:rsidP="00A50D03">
            <w:pPr>
              <w:rPr>
                <w:rFonts w:asciiTheme="minorHAnsi" w:hAnsiTheme="minorHAnsi" w:cstheme="minorHAnsi"/>
                <w:sz w:val="22"/>
                <w:szCs w:val="22"/>
              </w:rPr>
            </w:pPr>
          </w:p>
        </w:tc>
        <w:tc>
          <w:tcPr>
            <w:tcW w:w="608" w:type="pct"/>
            <w:tcBorders>
              <w:top w:val="single" w:sz="2" w:space="0" w:color="auto"/>
              <w:left w:val="nil"/>
              <w:bottom w:val="single" w:sz="8" w:space="0" w:color="auto"/>
              <w:right w:val="nil"/>
            </w:tcBorders>
            <w:shd w:val="clear" w:color="auto" w:fill="F2F2F2" w:themeFill="background1" w:themeFillShade="F2"/>
            <w:tcMar>
              <w:top w:w="15" w:type="dxa"/>
              <w:left w:w="15" w:type="dxa"/>
              <w:bottom w:w="0" w:type="dxa"/>
              <w:right w:w="15" w:type="dxa"/>
            </w:tcMar>
            <w:vAlign w:val="center"/>
          </w:tcPr>
          <w:p w14:paraId="117DC3AF" w14:textId="77777777" w:rsidR="00F53939" w:rsidRPr="00537F5D"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5.6</w:t>
            </w:r>
          </w:p>
        </w:tc>
        <w:tc>
          <w:tcPr>
            <w:tcW w:w="608" w:type="pct"/>
            <w:tcBorders>
              <w:top w:val="single" w:sz="2" w:space="0" w:color="auto"/>
              <w:left w:val="nil"/>
              <w:bottom w:val="single" w:sz="8" w:space="0" w:color="auto"/>
              <w:right w:val="nil"/>
            </w:tcBorders>
            <w:tcMar>
              <w:top w:w="15" w:type="dxa"/>
              <w:left w:w="15" w:type="dxa"/>
              <w:bottom w:w="0" w:type="dxa"/>
              <w:right w:w="15" w:type="dxa"/>
            </w:tcMar>
          </w:tcPr>
          <w:p w14:paraId="20C8CEFE" w14:textId="77777777" w:rsidR="00F53939" w:rsidRPr="00537F5D" w:rsidRDefault="00F53939" w:rsidP="00A50D03">
            <w:pPr>
              <w:jc w:val="right"/>
              <w:textAlignment w:val="bottom"/>
              <w:rPr>
                <w:rFonts w:asciiTheme="minorHAnsi" w:hAnsiTheme="minorHAnsi" w:cstheme="minorHAnsi"/>
                <w:kern w:val="24"/>
                <w:sz w:val="22"/>
                <w:szCs w:val="22"/>
              </w:rPr>
            </w:pPr>
            <w:r w:rsidRPr="002B4F04">
              <w:rPr>
                <w:rFonts w:asciiTheme="minorHAnsi" w:hAnsiTheme="minorHAnsi" w:cstheme="minorHAnsi"/>
                <w:kern w:val="24"/>
                <w:sz w:val="22"/>
                <w:szCs w:val="22"/>
              </w:rPr>
              <w:t>(83.5)</w:t>
            </w:r>
          </w:p>
        </w:tc>
        <w:tc>
          <w:tcPr>
            <w:tcW w:w="608" w:type="pct"/>
            <w:tcBorders>
              <w:top w:val="single" w:sz="2" w:space="0" w:color="auto"/>
              <w:left w:val="nil"/>
              <w:bottom w:val="single" w:sz="8" w:space="0" w:color="auto"/>
              <w:right w:val="nil"/>
            </w:tcBorders>
          </w:tcPr>
          <w:p w14:paraId="52B9A583" w14:textId="77777777" w:rsidR="00F53939" w:rsidRPr="00F73C6C" w:rsidRDefault="00F53939" w:rsidP="00A50D03">
            <w:pPr>
              <w:jc w:val="right"/>
              <w:textAlignment w:val="bottom"/>
              <w:rPr>
                <w:rFonts w:asciiTheme="minorHAnsi" w:hAnsiTheme="minorHAnsi" w:cstheme="minorHAnsi"/>
                <w:kern w:val="24"/>
                <w:sz w:val="22"/>
                <w:szCs w:val="22"/>
              </w:rPr>
            </w:pPr>
            <w:r w:rsidRPr="0067778B">
              <w:rPr>
                <w:rFonts w:asciiTheme="minorHAnsi" w:hAnsiTheme="minorHAnsi" w:cstheme="minorHAnsi"/>
                <w:kern w:val="24"/>
                <w:sz w:val="22"/>
                <w:szCs w:val="22"/>
              </w:rPr>
              <w:t>(35.8)</w:t>
            </w:r>
          </w:p>
        </w:tc>
        <w:tc>
          <w:tcPr>
            <w:tcW w:w="608" w:type="pct"/>
            <w:tcBorders>
              <w:top w:val="single" w:sz="2" w:space="0" w:color="auto"/>
              <w:left w:val="nil"/>
              <w:bottom w:val="single" w:sz="8" w:space="0" w:color="auto"/>
              <w:right w:val="nil"/>
            </w:tcBorders>
            <w:vAlign w:val="center"/>
          </w:tcPr>
          <w:p w14:paraId="370F781E" w14:textId="77777777" w:rsidR="00F53939" w:rsidRPr="00F73C6C" w:rsidRDefault="00F53939" w:rsidP="00A50D03">
            <w:pPr>
              <w:jc w:val="right"/>
              <w:textAlignment w:val="bottom"/>
              <w:rPr>
                <w:rFonts w:asciiTheme="minorHAnsi" w:hAnsiTheme="minorHAnsi" w:cstheme="minorHAnsi"/>
                <w:kern w:val="24"/>
                <w:sz w:val="22"/>
                <w:szCs w:val="22"/>
              </w:rPr>
            </w:pPr>
          </w:p>
        </w:tc>
        <w:tc>
          <w:tcPr>
            <w:tcW w:w="609" w:type="pct"/>
            <w:tcBorders>
              <w:top w:val="single" w:sz="2" w:space="0" w:color="auto"/>
              <w:left w:val="nil"/>
              <w:bottom w:val="single" w:sz="8" w:space="0" w:color="auto"/>
              <w:right w:val="nil"/>
            </w:tcBorders>
            <w:tcMar>
              <w:top w:w="15" w:type="dxa"/>
              <w:left w:w="15" w:type="dxa"/>
              <w:bottom w:w="0" w:type="dxa"/>
              <w:right w:w="15" w:type="dxa"/>
            </w:tcMar>
            <w:vAlign w:val="center"/>
          </w:tcPr>
          <w:p w14:paraId="677FF575" w14:textId="77777777" w:rsidR="00F53939" w:rsidRPr="00F73C6C" w:rsidRDefault="00F53939" w:rsidP="00A50D03">
            <w:pPr>
              <w:jc w:val="right"/>
              <w:textAlignment w:val="bottom"/>
              <w:rPr>
                <w:rFonts w:asciiTheme="minorHAnsi" w:hAnsiTheme="minorHAnsi" w:cstheme="minorHAnsi"/>
                <w:kern w:val="24"/>
                <w:sz w:val="22"/>
                <w:szCs w:val="22"/>
              </w:rPr>
            </w:pPr>
          </w:p>
        </w:tc>
      </w:tr>
      <w:tr w:rsidR="00F53939" w:rsidRPr="005E46B1" w14:paraId="3A11AF78" w14:textId="77777777" w:rsidTr="00C45645">
        <w:trPr>
          <w:trHeight w:val="20"/>
        </w:trPr>
        <w:tc>
          <w:tcPr>
            <w:tcW w:w="1930" w:type="pct"/>
            <w:tcBorders>
              <w:left w:val="nil"/>
              <w:bottom w:val="single" w:sz="2" w:space="0" w:color="auto"/>
              <w:right w:val="nil"/>
            </w:tcBorders>
            <w:tcMar>
              <w:top w:w="15" w:type="dxa"/>
              <w:left w:w="15" w:type="dxa"/>
              <w:bottom w:w="0" w:type="dxa"/>
              <w:right w:w="15" w:type="dxa"/>
            </w:tcMar>
            <w:vAlign w:val="center"/>
            <w:hideMark/>
          </w:tcPr>
          <w:p w14:paraId="7F5B2960" w14:textId="77777777" w:rsidR="00F53939" w:rsidRPr="00F116E9" w:rsidRDefault="00F53939" w:rsidP="00A50D03">
            <w:pPr>
              <w:textAlignment w:val="center"/>
              <w:rPr>
                <w:rFonts w:asciiTheme="minorHAnsi" w:hAnsiTheme="minorHAnsi" w:cstheme="minorHAnsi"/>
                <w:b/>
                <w:kern w:val="24"/>
                <w:sz w:val="22"/>
                <w:szCs w:val="22"/>
                <w:lang w:val="en-US"/>
              </w:rPr>
            </w:pPr>
            <w:r>
              <w:rPr>
                <w:rFonts w:asciiTheme="minorHAnsi" w:hAnsiTheme="minorHAnsi" w:cstheme="minorHAnsi"/>
                <w:b/>
                <w:kern w:val="24"/>
                <w:sz w:val="22"/>
                <w:szCs w:val="22"/>
                <w:lang w:val="en-US"/>
              </w:rPr>
              <w:t>Balance Sheet (£m)</w:t>
            </w:r>
          </w:p>
        </w:tc>
        <w:tc>
          <w:tcPr>
            <w:tcW w:w="28" w:type="pct"/>
            <w:tcBorders>
              <w:left w:val="nil"/>
              <w:bottom w:val="single" w:sz="2" w:space="0" w:color="auto"/>
              <w:right w:val="nil"/>
            </w:tcBorders>
            <w:tcMar>
              <w:top w:w="15" w:type="dxa"/>
              <w:left w:w="15" w:type="dxa"/>
              <w:bottom w:w="0" w:type="dxa"/>
              <w:right w:w="15" w:type="dxa"/>
            </w:tcMar>
            <w:vAlign w:val="center"/>
            <w:hideMark/>
          </w:tcPr>
          <w:p w14:paraId="674F5410" w14:textId="77777777" w:rsidR="00F53939" w:rsidRPr="005E46B1" w:rsidRDefault="00F53939" w:rsidP="00A50D03">
            <w:pPr>
              <w:rPr>
                <w:rFonts w:asciiTheme="minorHAnsi" w:hAnsiTheme="minorHAnsi" w:cstheme="minorHAnsi"/>
                <w:sz w:val="22"/>
                <w:szCs w:val="22"/>
              </w:rPr>
            </w:pPr>
          </w:p>
        </w:tc>
        <w:tc>
          <w:tcPr>
            <w:tcW w:w="608" w:type="pct"/>
            <w:tcBorders>
              <w:left w:val="nil"/>
              <w:bottom w:val="single" w:sz="2" w:space="0" w:color="auto"/>
              <w:right w:val="nil"/>
            </w:tcBorders>
            <w:shd w:val="clear" w:color="auto" w:fill="F2F2F2" w:themeFill="background1" w:themeFillShade="F2"/>
            <w:tcMar>
              <w:top w:w="15" w:type="dxa"/>
              <w:left w:w="15" w:type="dxa"/>
              <w:bottom w:w="0" w:type="dxa"/>
              <w:right w:w="15" w:type="dxa"/>
            </w:tcMar>
            <w:vAlign w:val="center"/>
            <w:hideMark/>
          </w:tcPr>
          <w:p w14:paraId="6958E451" w14:textId="77777777" w:rsidR="00F53939" w:rsidRPr="00F73C6C" w:rsidRDefault="00F53939" w:rsidP="00A50D03">
            <w:pPr>
              <w:ind w:right="115"/>
              <w:jc w:val="right"/>
              <w:rPr>
                <w:rFonts w:asciiTheme="minorHAnsi" w:hAnsiTheme="minorHAnsi" w:cstheme="minorHAnsi"/>
                <w:sz w:val="22"/>
                <w:szCs w:val="22"/>
              </w:rPr>
            </w:pPr>
            <w:r>
              <w:rPr>
                <w:rFonts w:asciiTheme="minorHAnsi" w:eastAsia="Inter Medium" w:hAnsiTheme="minorHAnsi" w:cstheme="minorHAnsi"/>
                <w:b/>
                <w:kern w:val="24"/>
                <w:sz w:val="22"/>
                <w:szCs w:val="22"/>
              </w:rPr>
              <w:t>Jun</w:t>
            </w:r>
            <w:r w:rsidRPr="00F73C6C">
              <w:rPr>
                <w:rFonts w:asciiTheme="minorHAnsi" w:eastAsia="Inter Medium" w:hAnsiTheme="minorHAnsi" w:cstheme="minorHAnsi"/>
                <w:b/>
                <w:kern w:val="24"/>
                <w:sz w:val="22"/>
                <w:szCs w:val="22"/>
              </w:rPr>
              <w:t>-2</w:t>
            </w:r>
            <w:r>
              <w:rPr>
                <w:rFonts w:asciiTheme="minorHAnsi" w:eastAsia="Inter Medium" w:hAnsiTheme="minorHAnsi" w:cstheme="minorHAnsi"/>
                <w:b/>
                <w:kern w:val="24"/>
                <w:sz w:val="22"/>
                <w:szCs w:val="22"/>
              </w:rPr>
              <w:t>5</w:t>
            </w:r>
          </w:p>
        </w:tc>
        <w:tc>
          <w:tcPr>
            <w:tcW w:w="608" w:type="pct"/>
            <w:tcBorders>
              <w:left w:val="nil"/>
              <w:bottom w:val="single" w:sz="2" w:space="0" w:color="auto"/>
              <w:right w:val="nil"/>
            </w:tcBorders>
            <w:tcMar>
              <w:top w:w="15" w:type="dxa"/>
              <w:left w:w="15" w:type="dxa"/>
              <w:bottom w:w="0" w:type="dxa"/>
              <w:right w:w="15" w:type="dxa"/>
            </w:tcMar>
            <w:vAlign w:val="center"/>
            <w:hideMark/>
          </w:tcPr>
          <w:p w14:paraId="123BF6F5" w14:textId="77777777" w:rsidR="00F53939" w:rsidRPr="00AA1E38" w:rsidRDefault="00F53939" w:rsidP="00A50D03">
            <w:pPr>
              <w:jc w:val="right"/>
              <w:textAlignment w:val="bottom"/>
              <w:rPr>
                <w:rFonts w:asciiTheme="minorHAnsi" w:hAnsiTheme="minorHAnsi" w:cstheme="minorHAnsi"/>
                <w:kern w:val="24"/>
                <w:sz w:val="22"/>
                <w:szCs w:val="22"/>
              </w:rPr>
            </w:pPr>
            <w:r w:rsidRPr="00F73C6C">
              <w:rPr>
                <w:rFonts w:asciiTheme="minorHAnsi" w:hAnsiTheme="minorHAnsi" w:cstheme="minorHAnsi"/>
                <w:kern w:val="24"/>
                <w:sz w:val="22"/>
                <w:szCs w:val="22"/>
              </w:rPr>
              <w:t>Dec-2</w:t>
            </w:r>
            <w:r>
              <w:rPr>
                <w:rFonts w:asciiTheme="minorHAnsi" w:hAnsiTheme="minorHAnsi" w:cstheme="minorHAnsi"/>
                <w:kern w:val="24"/>
                <w:sz w:val="22"/>
                <w:szCs w:val="22"/>
              </w:rPr>
              <w:t>4</w:t>
            </w:r>
          </w:p>
        </w:tc>
        <w:tc>
          <w:tcPr>
            <w:tcW w:w="608" w:type="pct"/>
            <w:tcBorders>
              <w:left w:val="nil"/>
              <w:bottom w:val="single" w:sz="2" w:space="0" w:color="auto"/>
              <w:right w:val="nil"/>
            </w:tcBorders>
            <w:vAlign w:val="center"/>
          </w:tcPr>
          <w:p w14:paraId="217DCE54" w14:textId="77777777" w:rsidR="00F53939" w:rsidRPr="00F73C6C" w:rsidRDefault="00F53939" w:rsidP="00A50D03">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Jun-</w:t>
            </w:r>
            <w:r w:rsidRPr="00F73C6C">
              <w:rPr>
                <w:rFonts w:asciiTheme="minorHAnsi" w:hAnsiTheme="minorHAnsi" w:cstheme="minorHAnsi"/>
                <w:kern w:val="24"/>
                <w:sz w:val="22"/>
                <w:szCs w:val="22"/>
              </w:rPr>
              <w:t>2</w:t>
            </w:r>
            <w:r>
              <w:rPr>
                <w:rFonts w:asciiTheme="minorHAnsi" w:hAnsiTheme="minorHAnsi" w:cstheme="minorHAnsi"/>
                <w:kern w:val="24"/>
                <w:sz w:val="22"/>
                <w:szCs w:val="22"/>
              </w:rPr>
              <w:t>4</w:t>
            </w:r>
          </w:p>
        </w:tc>
        <w:tc>
          <w:tcPr>
            <w:tcW w:w="608" w:type="pct"/>
            <w:tcBorders>
              <w:left w:val="nil"/>
              <w:bottom w:val="single" w:sz="2" w:space="0" w:color="auto"/>
              <w:right w:val="nil"/>
            </w:tcBorders>
            <w:vAlign w:val="center"/>
          </w:tcPr>
          <w:p w14:paraId="72611E44" w14:textId="77777777" w:rsidR="00F53939" w:rsidRDefault="00F53939" w:rsidP="00A50D03">
            <w:pPr>
              <w:ind w:right="115"/>
              <w:jc w:val="right"/>
              <w:rPr>
                <w:rFonts w:asciiTheme="minorHAnsi" w:hAnsiTheme="minorHAnsi" w:cstheme="minorHAnsi"/>
                <w:kern w:val="24"/>
                <w:sz w:val="22"/>
                <w:szCs w:val="22"/>
              </w:rPr>
            </w:pPr>
            <w:proofErr w:type="spellStart"/>
            <w:r>
              <w:rPr>
                <w:rFonts w:asciiTheme="minorHAnsi" w:hAnsiTheme="minorHAnsi" w:cstheme="minorHAnsi"/>
                <w:kern w:val="24"/>
                <w:sz w:val="22"/>
                <w:szCs w:val="22"/>
              </w:rPr>
              <w:t>HoH</w:t>
            </w:r>
            <w:proofErr w:type="spellEnd"/>
          </w:p>
          <w:p w14:paraId="12D307EC" w14:textId="77777777" w:rsidR="00F53939" w:rsidRPr="00F73C6C" w:rsidRDefault="00F53939" w:rsidP="00A50D03">
            <w:pPr>
              <w:ind w:right="115"/>
              <w:jc w:val="right"/>
              <w:rPr>
                <w:rFonts w:asciiTheme="minorHAnsi" w:hAnsiTheme="minorHAnsi" w:cstheme="minorHAnsi"/>
                <w:kern w:val="24"/>
                <w:sz w:val="22"/>
                <w:szCs w:val="22"/>
              </w:rPr>
            </w:pPr>
            <w:r w:rsidRPr="00F73C6C">
              <w:rPr>
                <w:rFonts w:asciiTheme="minorHAnsi" w:hAnsiTheme="minorHAnsi" w:cstheme="minorHAnsi"/>
                <w:kern w:val="24"/>
                <w:sz w:val="22"/>
                <w:szCs w:val="22"/>
              </w:rPr>
              <w:t>Change</w:t>
            </w:r>
            <w:r>
              <w:rPr>
                <w:rFonts w:asciiTheme="minorHAnsi" w:hAnsiTheme="minorHAnsi" w:cstheme="minorHAnsi"/>
                <w:kern w:val="24"/>
                <w:sz w:val="22"/>
                <w:szCs w:val="22"/>
              </w:rPr>
              <w:t xml:space="preserve"> </w:t>
            </w:r>
            <w:r w:rsidRPr="00F73C6C">
              <w:rPr>
                <w:rFonts w:asciiTheme="minorHAnsi" w:eastAsia="Inter Light BETA" w:hAnsiTheme="minorHAnsi" w:cstheme="minorHAnsi"/>
                <w:kern w:val="24"/>
                <w:sz w:val="22"/>
                <w:szCs w:val="22"/>
              </w:rPr>
              <w:t>%</w:t>
            </w:r>
          </w:p>
        </w:tc>
        <w:tc>
          <w:tcPr>
            <w:tcW w:w="609" w:type="pct"/>
            <w:tcBorders>
              <w:left w:val="nil"/>
              <w:bottom w:val="single" w:sz="2" w:space="0" w:color="auto"/>
              <w:right w:val="nil"/>
            </w:tcBorders>
            <w:tcMar>
              <w:top w:w="15" w:type="dxa"/>
              <w:left w:w="15" w:type="dxa"/>
              <w:bottom w:w="0" w:type="dxa"/>
              <w:right w:w="15" w:type="dxa"/>
            </w:tcMar>
            <w:vAlign w:val="center"/>
            <w:hideMark/>
          </w:tcPr>
          <w:p w14:paraId="44E3ADE5" w14:textId="77777777" w:rsidR="00F53939" w:rsidRDefault="00F53939" w:rsidP="00A50D03">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YoY</w:t>
            </w:r>
          </w:p>
          <w:p w14:paraId="6D92F6C4" w14:textId="77777777" w:rsidR="00F53939" w:rsidRPr="00F73C6C" w:rsidRDefault="00F53939" w:rsidP="00A50D03">
            <w:pPr>
              <w:ind w:right="115"/>
              <w:jc w:val="right"/>
              <w:rPr>
                <w:rFonts w:asciiTheme="minorHAnsi" w:hAnsiTheme="minorHAnsi" w:cstheme="minorHAnsi"/>
                <w:sz w:val="22"/>
                <w:szCs w:val="22"/>
              </w:rPr>
            </w:pPr>
            <w:r w:rsidRPr="00F73C6C">
              <w:rPr>
                <w:rFonts w:asciiTheme="minorHAnsi" w:hAnsiTheme="minorHAnsi" w:cstheme="minorHAnsi"/>
                <w:kern w:val="24"/>
                <w:sz w:val="22"/>
                <w:szCs w:val="22"/>
              </w:rPr>
              <w:t>Change</w:t>
            </w:r>
            <w:r>
              <w:rPr>
                <w:rFonts w:asciiTheme="minorHAnsi" w:hAnsiTheme="minorHAnsi" w:cstheme="minorHAnsi"/>
                <w:kern w:val="24"/>
                <w:sz w:val="22"/>
                <w:szCs w:val="22"/>
              </w:rPr>
              <w:t xml:space="preserve"> </w:t>
            </w:r>
            <w:r w:rsidRPr="00F73C6C">
              <w:rPr>
                <w:rFonts w:asciiTheme="minorHAnsi" w:eastAsia="Inter Light BETA" w:hAnsiTheme="minorHAnsi" w:cstheme="minorHAnsi"/>
                <w:kern w:val="24"/>
                <w:sz w:val="22"/>
                <w:szCs w:val="22"/>
              </w:rPr>
              <w:t>%</w:t>
            </w:r>
          </w:p>
        </w:tc>
      </w:tr>
      <w:tr w:rsidR="00F53939" w:rsidRPr="005E46B1" w14:paraId="6201C33F" w14:textId="77777777" w:rsidTr="00C45645">
        <w:trPr>
          <w:trHeight w:val="20"/>
        </w:trPr>
        <w:tc>
          <w:tcPr>
            <w:tcW w:w="1930" w:type="pct"/>
            <w:tcBorders>
              <w:top w:val="single" w:sz="2" w:space="0" w:color="auto"/>
              <w:left w:val="nil"/>
              <w:right w:val="nil"/>
            </w:tcBorders>
            <w:tcMar>
              <w:top w:w="15" w:type="dxa"/>
              <w:left w:w="15" w:type="dxa"/>
              <w:bottom w:w="0" w:type="dxa"/>
              <w:right w:w="15" w:type="dxa"/>
            </w:tcMar>
          </w:tcPr>
          <w:p w14:paraId="53856895" w14:textId="4F1B1160" w:rsidR="00F53939" w:rsidRPr="006F0AA0" w:rsidRDefault="00F53939" w:rsidP="00A50D03">
            <w:pPr>
              <w:textAlignment w:val="center"/>
              <w:rPr>
                <w:rFonts w:asciiTheme="minorHAnsi" w:hAnsiTheme="minorHAnsi" w:cstheme="minorHAnsi"/>
                <w:kern w:val="24"/>
                <w:sz w:val="22"/>
                <w:szCs w:val="22"/>
                <w:lang w:val="en-US"/>
              </w:rPr>
            </w:pPr>
            <w:r w:rsidRPr="00720CBF">
              <w:rPr>
                <w:rFonts w:asciiTheme="minorHAnsi" w:hAnsiTheme="minorHAnsi" w:cstheme="minorHAnsi"/>
                <w:bCs/>
                <w:kern w:val="24"/>
                <w:sz w:val="22"/>
                <w:szCs w:val="22"/>
                <w:lang w:val="en-US"/>
              </w:rPr>
              <w:lastRenderedPageBreak/>
              <w:t>Gross</w:t>
            </w:r>
            <w:r>
              <w:rPr>
                <w:rFonts w:asciiTheme="minorHAnsi" w:hAnsiTheme="minorHAnsi" w:cstheme="minorHAnsi"/>
                <w:bCs/>
                <w:kern w:val="24"/>
                <w:sz w:val="22"/>
                <w:szCs w:val="22"/>
                <w:lang w:val="en-US"/>
              </w:rPr>
              <w:t xml:space="preserve"> customer</w:t>
            </w:r>
            <w:r w:rsidRPr="00720CBF">
              <w:rPr>
                <w:rFonts w:asciiTheme="minorHAnsi" w:hAnsiTheme="minorHAnsi" w:cstheme="minorHAnsi"/>
                <w:bCs/>
                <w:kern w:val="24"/>
                <w:sz w:val="22"/>
                <w:szCs w:val="22"/>
                <w:lang w:val="en-US"/>
              </w:rPr>
              <w:t xml:space="preserve"> interest</w:t>
            </w:r>
            <w:r w:rsidR="005F1363">
              <w:rPr>
                <w:rFonts w:asciiTheme="minorHAnsi" w:hAnsiTheme="minorHAnsi" w:cstheme="minorHAnsi"/>
                <w:bCs/>
                <w:kern w:val="24"/>
                <w:sz w:val="22"/>
                <w:szCs w:val="22"/>
                <w:lang w:val="en-US"/>
              </w:rPr>
              <w:t>-</w:t>
            </w:r>
            <w:r w:rsidRPr="00720CBF">
              <w:rPr>
                <w:rFonts w:asciiTheme="minorHAnsi" w:hAnsiTheme="minorHAnsi" w:cstheme="minorHAnsi"/>
                <w:bCs/>
                <w:kern w:val="24"/>
                <w:sz w:val="22"/>
                <w:szCs w:val="22"/>
                <w:lang w:val="en-US"/>
              </w:rPr>
              <w:t xml:space="preserve">earning </w:t>
            </w:r>
            <w:r>
              <w:rPr>
                <w:rFonts w:asciiTheme="minorHAnsi" w:hAnsiTheme="minorHAnsi" w:cstheme="minorHAnsi"/>
                <w:bCs/>
                <w:kern w:val="24"/>
                <w:sz w:val="22"/>
                <w:szCs w:val="22"/>
                <w:lang w:val="en-US"/>
              </w:rPr>
              <w:t>balances</w:t>
            </w:r>
          </w:p>
        </w:tc>
        <w:tc>
          <w:tcPr>
            <w:tcW w:w="28" w:type="pct"/>
            <w:tcBorders>
              <w:top w:val="single" w:sz="2" w:space="0" w:color="auto"/>
              <w:left w:val="nil"/>
              <w:right w:val="nil"/>
            </w:tcBorders>
            <w:tcMar>
              <w:top w:w="15" w:type="dxa"/>
              <w:left w:w="15" w:type="dxa"/>
              <w:bottom w:w="0" w:type="dxa"/>
              <w:right w:w="15" w:type="dxa"/>
            </w:tcMar>
            <w:vAlign w:val="center"/>
          </w:tcPr>
          <w:p w14:paraId="4009FBBD" w14:textId="77777777" w:rsidR="00F53939" w:rsidRPr="005E46B1" w:rsidRDefault="00F53939" w:rsidP="00A50D03">
            <w:pPr>
              <w:rPr>
                <w:rFonts w:asciiTheme="minorHAnsi" w:hAnsiTheme="minorHAnsi" w:cstheme="minorHAnsi"/>
                <w:sz w:val="22"/>
                <w:szCs w:val="22"/>
              </w:rPr>
            </w:pPr>
          </w:p>
        </w:tc>
        <w:tc>
          <w:tcPr>
            <w:tcW w:w="608" w:type="pct"/>
            <w:tcBorders>
              <w:top w:val="single" w:sz="2" w:space="0" w:color="auto"/>
              <w:left w:val="nil"/>
              <w:right w:val="nil"/>
            </w:tcBorders>
            <w:shd w:val="clear" w:color="auto" w:fill="F2F2F2" w:themeFill="background1" w:themeFillShade="F2"/>
            <w:tcMar>
              <w:top w:w="15" w:type="dxa"/>
              <w:left w:w="15" w:type="dxa"/>
              <w:bottom w:w="0" w:type="dxa"/>
              <w:right w:w="15" w:type="dxa"/>
            </w:tcMar>
            <w:vAlign w:val="center"/>
          </w:tcPr>
          <w:p w14:paraId="5A0B52CE" w14:textId="77777777" w:rsidR="00F53939" w:rsidRPr="00F73C6C"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2,459</w:t>
            </w:r>
          </w:p>
        </w:tc>
        <w:tc>
          <w:tcPr>
            <w:tcW w:w="608" w:type="pct"/>
            <w:tcBorders>
              <w:top w:val="single" w:sz="2" w:space="0" w:color="auto"/>
              <w:left w:val="nil"/>
              <w:right w:val="nil"/>
            </w:tcBorders>
            <w:tcMar>
              <w:top w:w="15" w:type="dxa"/>
              <w:left w:w="15" w:type="dxa"/>
              <w:bottom w:w="0" w:type="dxa"/>
              <w:right w:w="15" w:type="dxa"/>
            </w:tcMar>
            <w:vAlign w:val="center"/>
          </w:tcPr>
          <w:p w14:paraId="7F749E2C" w14:textId="77777777"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2,308</w:t>
            </w:r>
          </w:p>
        </w:tc>
        <w:tc>
          <w:tcPr>
            <w:tcW w:w="608" w:type="pct"/>
            <w:tcBorders>
              <w:top w:val="single" w:sz="2" w:space="0" w:color="auto"/>
              <w:left w:val="nil"/>
              <w:right w:val="nil"/>
            </w:tcBorders>
            <w:vAlign w:val="center"/>
          </w:tcPr>
          <w:p w14:paraId="37E4E90F" w14:textId="77777777"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2,25</w:t>
            </w:r>
            <w:r>
              <w:rPr>
                <w:rFonts w:asciiTheme="minorHAnsi" w:hAnsiTheme="minorHAnsi" w:cstheme="minorHAnsi"/>
                <w:bCs/>
                <w:kern w:val="24"/>
                <w:sz w:val="22"/>
                <w:szCs w:val="22"/>
              </w:rPr>
              <w:t>2</w:t>
            </w:r>
          </w:p>
        </w:tc>
        <w:tc>
          <w:tcPr>
            <w:tcW w:w="608" w:type="pct"/>
            <w:tcBorders>
              <w:top w:val="single" w:sz="2" w:space="0" w:color="auto"/>
              <w:left w:val="nil"/>
              <w:right w:val="nil"/>
            </w:tcBorders>
            <w:vAlign w:val="center"/>
          </w:tcPr>
          <w:p w14:paraId="63CDADA7"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7</w:t>
            </w:r>
          </w:p>
        </w:tc>
        <w:tc>
          <w:tcPr>
            <w:tcW w:w="609" w:type="pct"/>
            <w:tcBorders>
              <w:top w:val="single" w:sz="2" w:space="0" w:color="auto"/>
              <w:left w:val="nil"/>
              <w:right w:val="nil"/>
            </w:tcBorders>
            <w:tcMar>
              <w:top w:w="15" w:type="dxa"/>
              <w:left w:w="15" w:type="dxa"/>
              <w:bottom w:w="0" w:type="dxa"/>
              <w:right w:w="15" w:type="dxa"/>
            </w:tcMar>
            <w:vAlign w:val="center"/>
          </w:tcPr>
          <w:p w14:paraId="648BCB43"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9</w:t>
            </w:r>
          </w:p>
        </w:tc>
      </w:tr>
      <w:tr w:rsidR="00F53939" w:rsidRPr="009B317D" w14:paraId="7DB64FEB" w14:textId="77777777" w:rsidTr="00C45645">
        <w:trPr>
          <w:trHeight w:val="20"/>
        </w:trPr>
        <w:tc>
          <w:tcPr>
            <w:tcW w:w="1930" w:type="pct"/>
            <w:tcBorders>
              <w:left w:val="nil"/>
              <w:right w:val="nil"/>
            </w:tcBorders>
            <w:tcMar>
              <w:top w:w="15" w:type="dxa"/>
              <w:left w:w="15" w:type="dxa"/>
              <w:bottom w:w="0" w:type="dxa"/>
              <w:right w:w="15" w:type="dxa"/>
            </w:tcMar>
          </w:tcPr>
          <w:p w14:paraId="78AC3607" w14:textId="3470FC4C" w:rsidR="00F53939" w:rsidRPr="00720CBF" w:rsidRDefault="00F53939" w:rsidP="00A50D03">
            <w:pPr>
              <w:textAlignment w:val="center"/>
              <w:rPr>
                <w:rFonts w:asciiTheme="minorHAnsi" w:hAnsiTheme="minorHAnsi" w:cstheme="minorHAnsi"/>
                <w:bCs/>
                <w:kern w:val="24"/>
                <w:sz w:val="22"/>
                <w:szCs w:val="22"/>
                <w:lang w:val="en-US"/>
              </w:rPr>
            </w:pPr>
            <w:r>
              <w:rPr>
                <w:rFonts w:asciiTheme="minorHAnsi" w:hAnsiTheme="minorHAnsi" w:cstheme="minorHAnsi"/>
                <w:bCs/>
                <w:kern w:val="24"/>
                <w:sz w:val="22"/>
                <w:szCs w:val="22"/>
                <w:lang w:val="en-US"/>
              </w:rPr>
              <w:t>Average gross customer interest</w:t>
            </w:r>
            <w:r w:rsidR="005F1363">
              <w:rPr>
                <w:rFonts w:asciiTheme="minorHAnsi" w:hAnsiTheme="minorHAnsi" w:cstheme="minorHAnsi"/>
                <w:bCs/>
                <w:kern w:val="24"/>
                <w:sz w:val="22"/>
                <w:szCs w:val="22"/>
                <w:lang w:val="en-US"/>
              </w:rPr>
              <w:t>-</w:t>
            </w:r>
            <w:r>
              <w:rPr>
                <w:rFonts w:asciiTheme="minorHAnsi" w:hAnsiTheme="minorHAnsi" w:cstheme="minorHAnsi"/>
                <w:bCs/>
                <w:kern w:val="24"/>
                <w:sz w:val="22"/>
                <w:szCs w:val="22"/>
                <w:lang w:val="en-US"/>
              </w:rPr>
              <w:t>earning balances</w:t>
            </w:r>
            <w:r w:rsidR="001A0636">
              <w:rPr>
                <w:rFonts w:asciiTheme="minorHAnsi" w:hAnsiTheme="minorHAnsi" w:cstheme="minorHAnsi"/>
                <w:bCs/>
                <w:kern w:val="24"/>
                <w:sz w:val="22"/>
                <w:szCs w:val="22"/>
                <w:lang w:val="en-US"/>
              </w:rPr>
              <w:t xml:space="preserve"> (excluding Personal Loans)</w:t>
            </w:r>
          </w:p>
        </w:tc>
        <w:tc>
          <w:tcPr>
            <w:tcW w:w="28" w:type="pct"/>
            <w:tcBorders>
              <w:left w:val="nil"/>
              <w:right w:val="nil"/>
            </w:tcBorders>
            <w:tcMar>
              <w:top w:w="15" w:type="dxa"/>
              <w:left w:w="15" w:type="dxa"/>
              <w:bottom w:w="0" w:type="dxa"/>
              <w:right w:w="15" w:type="dxa"/>
            </w:tcMar>
            <w:vAlign w:val="center"/>
          </w:tcPr>
          <w:p w14:paraId="01A1AB33" w14:textId="77777777" w:rsidR="00F53939" w:rsidRPr="009B317D" w:rsidRDefault="00F53939" w:rsidP="00A50D03">
            <w:pPr>
              <w:rPr>
                <w:rFonts w:asciiTheme="minorHAnsi" w:hAnsiTheme="minorHAnsi" w:cstheme="minorHAnsi"/>
                <w:bCs/>
                <w:kern w:val="24"/>
                <w:sz w:val="22"/>
                <w:szCs w:val="22"/>
                <w:lang w:val="en-US"/>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3231725C" w14:textId="77777777" w:rsidR="00F53939" w:rsidRPr="009B317D" w:rsidRDefault="00F53939" w:rsidP="00A50D03">
            <w:pPr>
              <w:jc w:val="right"/>
              <w:textAlignment w:val="bottom"/>
              <w:rPr>
                <w:rFonts w:asciiTheme="minorHAnsi" w:hAnsiTheme="minorHAnsi" w:cstheme="minorHAnsi"/>
                <w:b/>
                <w:kern w:val="24"/>
                <w:sz w:val="22"/>
                <w:szCs w:val="22"/>
                <w:lang w:val="en-US"/>
              </w:rPr>
            </w:pPr>
            <w:r>
              <w:rPr>
                <w:rFonts w:asciiTheme="minorHAnsi" w:hAnsiTheme="minorHAnsi" w:cstheme="minorHAnsi"/>
                <w:b/>
                <w:kern w:val="24"/>
                <w:sz w:val="22"/>
                <w:szCs w:val="22"/>
                <w:lang w:val="en-US"/>
              </w:rPr>
              <w:t>2,339</w:t>
            </w:r>
          </w:p>
        </w:tc>
        <w:tc>
          <w:tcPr>
            <w:tcW w:w="608" w:type="pct"/>
            <w:tcBorders>
              <w:left w:val="nil"/>
              <w:right w:val="nil"/>
            </w:tcBorders>
            <w:tcMar>
              <w:top w:w="15" w:type="dxa"/>
              <w:left w:w="15" w:type="dxa"/>
              <w:bottom w:w="0" w:type="dxa"/>
              <w:right w:w="15" w:type="dxa"/>
            </w:tcMar>
            <w:vAlign w:val="center"/>
          </w:tcPr>
          <w:p w14:paraId="2DFCFB0E" w14:textId="01493BC9"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2,</w:t>
            </w:r>
            <w:r>
              <w:rPr>
                <w:rFonts w:asciiTheme="minorHAnsi" w:hAnsiTheme="minorHAnsi" w:cstheme="minorHAnsi"/>
                <w:bCs/>
                <w:kern w:val="24"/>
                <w:sz w:val="22"/>
                <w:szCs w:val="22"/>
              </w:rPr>
              <w:t>2</w:t>
            </w:r>
            <w:r w:rsidR="00F63F00">
              <w:rPr>
                <w:rFonts w:asciiTheme="minorHAnsi" w:hAnsiTheme="minorHAnsi" w:cstheme="minorHAnsi"/>
                <w:bCs/>
                <w:kern w:val="24"/>
                <w:sz w:val="22"/>
                <w:szCs w:val="22"/>
              </w:rPr>
              <w:t>08</w:t>
            </w:r>
          </w:p>
        </w:tc>
        <w:tc>
          <w:tcPr>
            <w:tcW w:w="608" w:type="pct"/>
            <w:tcBorders>
              <w:left w:val="nil"/>
              <w:right w:val="nil"/>
            </w:tcBorders>
            <w:vAlign w:val="center"/>
          </w:tcPr>
          <w:p w14:paraId="5D381FF0" w14:textId="61636354"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2,2</w:t>
            </w:r>
            <w:r w:rsidR="00F63F00">
              <w:rPr>
                <w:rFonts w:asciiTheme="minorHAnsi" w:hAnsiTheme="minorHAnsi" w:cstheme="minorHAnsi"/>
                <w:bCs/>
                <w:kern w:val="24"/>
                <w:sz w:val="22"/>
                <w:szCs w:val="22"/>
              </w:rPr>
              <w:t>01</w:t>
            </w:r>
          </w:p>
        </w:tc>
        <w:tc>
          <w:tcPr>
            <w:tcW w:w="608" w:type="pct"/>
            <w:tcBorders>
              <w:left w:val="nil"/>
              <w:right w:val="nil"/>
            </w:tcBorders>
            <w:vAlign w:val="center"/>
          </w:tcPr>
          <w:p w14:paraId="4D2E2632" w14:textId="6977BD2A" w:rsidR="00F53939" w:rsidRPr="009B317D" w:rsidRDefault="00F61CB7" w:rsidP="00A50D03">
            <w:pPr>
              <w:jc w:val="right"/>
              <w:textAlignment w:val="bottom"/>
              <w:rPr>
                <w:rFonts w:asciiTheme="minorHAnsi" w:hAnsiTheme="minorHAnsi" w:cstheme="minorHAnsi"/>
                <w:bCs/>
                <w:kern w:val="24"/>
                <w:sz w:val="22"/>
                <w:szCs w:val="22"/>
                <w:lang w:val="en-US"/>
              </w:rPr>
            </w:pPr>
            <w:r>
              <w:rPr>
                <w:rFonts w:asciiTheme="minorHAnsi" w:hAnsiTheme="minorHAnsi" w:cstheme="minorHAnsi"/>
                <w:bCs/>
                <w:kern w:val="24"/>
                <w:sz w:val="22"/>
                <w:szCs w:val="22"/>
                <w:lang w:val="en-US"/>
              </w:rPr>
              <w:t>6</w:t>
            </w:r>
          </w:p>
        </w:tc>
        <w:tc>
          <w:tcPr>
            <w:tcW w:w="609" w:type="pct"/>
            <w:tcBorders>
              <w:left w:val="nil"/>
              <w:right w:val="nil"/>
            </w:tcBorders>
            <w:tcMar>
              <w:top w:w="15" w:type="dxa"/>
              <w:left w:w="15" w:type="dxa"/>
              <w:bottom w:w="0" w:type="dxa"/>
              <w:right w:w="15" w:type="dxa"/>
            </w:tcMar>
            <w:vAlign w:val="center"/>
          </w:tcPr>
          <w:p w14:paraId="7E7C32D0" w14:textId="03346E0F" w:rsidR="00F53939" w:rsidRPr="009B317D" w:rsidRDefault="00F61CB7" w:rsidP="00A50D03">
            <w:pPr>
              <w:jc w:val="right"/>
              <w:textAlignment w:val="bottom"/>
              <w:rPr>
                <w:rFonts w:asciiTheme="minorHAnsi" w:hAnsiTheme="minorHAnsi" w:cstheme="minorHAnsi"/>
                <w:bCs/>
                <w:kern w:val="24"/>
                <w:sz w:val="22"/>
                <w:szCs w:val="22"/>
                <w:lang w:val="en-US"/>
              </w:rPr>
            </w:pPr>
            <w:r>
              <w:rPr>
                <w:rFonts w:asciiTheme="minorHAnsi" w:hAnsiTheme="minorHAnsi" w:cstheme="minorHAnsi"/>
                <w:bCs/>
                <w:kern w:val="24"/>
                <w:sz w:val="22"/>
                <w:szCs w:val="22"/>
                <w:lang w:val="en-US"/>
              </w:rPr>
              <w:t>6</w:t>
            </w:r>
          </w:p>
        </w:tc>
      </w:tr>
      <w:tr w:rsidR="00F53939" w:rsidRPr="005E46B1" w14:paraId="3D0E7D8A" w14:textId="77777777" w:rsidTr="00C45645">
        <w:trPr>
          <w:trHeight w:val="20"/>
        </w:trPr>
        <w:tc>
          <w:tcPr>
            <w:tcW w:w="1930" w:type="pct"/>
            <w:tcBorders>
              <w:left w:val="nil"/>
              <w:right w:val="nil"/>
            </w:tcBorders>
            <w:tcMar>
              <w:top w:w="15" w:type="dxa"/>
              <w:left w:w="15" w:type="dxa"/>
              <w:bottom w:w="0" w:type="dxa"/>
              <w:right w:w="15" w:type="dxa"/>
            </w:tcMar>
          </w:tcPr>
          <w:p w14:paraId="5624DC09" w14:textId="77777777" w:rsidR="00F53939" w:rsidRPr="006F0AA0" w:rsidRDefault="00F53939" w:rsidP="00A50D03">
            <w:pPr>
              <w:textAlignment w:val="center"/>
              <w:rPr>
                <w:rFonts w:asciiTheme="minorHAnsi" w:hAnsiTheme="minorHAnsi" w:cstheme="minorHAnsi"/>
                <w:kern w:val="24"/>
                <w:sz w:val="22"/>
                <w:szCs w:val="22"/>
                <w:lang w:val="en-US"/>
              </w:rPr>
            </w:pPr>
            <w:r w:rsidRPr="00720CBF">
              <w:rPr>
                <w:rFonts w:asciiTheme="minorHAnsi" w:hAnsiTheme="minorHAnsi" w:cstheme="minorHAnsi"/>
                <w:bCs/>
                <w:kern w:val="24"/>
                <w:sz w:val="22"/>
                <w:szCs w:val="22"/>
                <w:lang w:val="en-US"/>
              </w:rPr>
              <w:t>Gross receivables</w:t>
            </w:r>
          </w:p>
        </w:tc>
        <w:tc>
          <w:tcPr>
            <w:tcW w:w="28" w:type="pct"/>
            <w:tcBorders>
              <w:left w:val="nil"/>
              <w:right w:val="nil"/>
            </w:tcBorders>
            <w:tcMar>
              <w:top w:w="15" w:type="dxa"/>
              <w:left w:w="15" w:type="dxa"/>
              <w:bottom w:w="0" w:type="dxa"/>
              <w:right w:w="15" w:type="dxa"/>
            </w:tcMar>
            <w:vAlign w:val="center"/>
          </w:tcPr>
          <w:p w14:paraId="5F1A343D" w14:textId="77777777" w:rsidR="00F53939" w:rsidRPr="005E46B1"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0B52E261" w14:textId="77777777" w:rsidR="00F53939" w:rsidRPr="00F73C6C" w:rsidRDefault="00F53939" w:rsidP="00A50D03">
            <w:pPr>
              <w:jc w:val="right"/>
              <w:textAlignment w:val="bottom"/>
              <w:rPr>
                <w:rFonts w:asciiTheme="minorHAnsi" w:hAnsiTheme="minorHAnsi"/>
                <w:b/>
                <w:bCs/>
                <w:noProof/>
                <w:sz w:val="22"/>
                <w:szCs w:val="22"/>
              </w:rPr>
            </w:pPr>
            <w:r>
              <w:rPr>
                <w:rFonts w:asciiTheme="minorHAnsi" w:hAnsiTheme="minorHAnsi"/>
                <w:b/>
                <w:bCs/>
                <w:noProof/>
                <w:sz w:val="22"/>
                <w:szCs w:val="22"/>
              </w:rPr>
              <w:t>2,570</w:t>
            </w:r>
          </w:p>
        </w:tc>
        <w:tc>
          <w:tcPr>
            <w:tcW w:w="608" w:type="pct"/>
            <w:tcBorders>
              <w:left w:val="nil"/>
              <w:right w:val="nil"/>
            </w:tcBorders>
            <w:tcMar>
              <w:top w:w="15" w:type="dxa"/>
              <w:left w:w="15" w:type="dxa"/>
              <w:bottom w:w="0" w:type="dxa"/>
              <w:right w:w="15" w:type="dxa"/>
            </w:tcMar>
          </w:tcPr>
          <w:p w14:paraId="05C34B07" w14:textId="77777777"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2,416</w:t>
            </w:r>
          </w:p>
        </w:tc>
        <w:tc>
          <w:tcPr>
            <w:tcW w:w="608" w:type="pct"/>
            <w:tcBorders>
              <w:left w:val="nil"/>
              <w:right w:val="nil"/>
            </w:tcBorders>
          </w:tcPr>
          <w:p w14:paraId="30221054" w14:textId="77777777"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2,361</w:t>
            </w:r>
          </w:p>
        </w:tc>
        <w:tc>
          <w:tcPr>
            <w:tcW w:w="608" w:type="pct"/>
            <w:tcBorders>
              <w:left w:val="nil"/>
              <w:right w:val="nil"/>
            </w:tcBorders>
            <w:vAlign w:val="center"/>
          </w:tcPr>
          <w:p w14:paraId="25D9369E"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6</w:t>
            </w:r>
          </w:p>
        </w:tc>
        <w:tc>
          <w:tcPr>
            <w:tcW w:w="609" w:type="pct"/>
            <w:tcBorders>
              <w:left w:val="nil"/>
              <w:right w:val="nil"/>
            </w:tcBorders>
            <w:tcMar>
              <w:top w:w="15" w:type="dxa"/>
              <w:left w:w="15" w:type="dxa"/>
              <w:bottom w:w="0" w:type="dxa"/>
              <w:right w:w="15" w:type="dxa"/>
            </w:tcMar>
            <w:vAlign w:val="center"/>
          </w:tcPr>
          <w:p w14:paraId="1911058C"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9</w:t>
            </w:r>
          </w:p>
        </w:tc>
      </w:tr>
      <w:tr w:rsidR="00F53939" w:rsidRPr="005E46B1" w14:paraId="3E302145" w14:textId="77777777" w:rsidTr="00C45645">
        <w:trPr>
          <w:trHeight w:val="20"/>
        </w:trPr>
        <w:tc>
          <w:tcPr>
            <w:tcW w:w="1930" w:type="pct"/>
            <w:tcBorders>
              <w:left w:val="nil"/>
              <w:right w:val="nil"/>
            </w:tcBorders>
            <w:tcMar>
              <w:top w:w="15" w:type="dxa"/>
              <w:left w:w="15" w:type="dxa"/>
              <w:bottom w:w="0" w:type="dxa"/>
              <w:right w:w="15" w:type="dxa"/>
            </w:tcMar>
          </w:tcPr>
          <w:p w14:paraId="6FF2DB04" w14:textId="77777777" w:rsidR="00F53939" w:rsidRPr="006F0AA0" w:rsidRDefault="00F53939" w:rsidP="00A50D03">
            <w:pPr>
              <w:textAlignment w:val="center"/>
              <w:rPr>
                <w:rFonts w:asciiTheme="minorHAnsi" w:hAnsiTheme="minorHAnsi" w:cstheme="minorHAnsi"/>
                <w:kern w:val="24"/>
                <w:sz w:val="22"/>
                <w:szCs w:val="22"/>
                <w:lang w:val="en-US"/>
              </w:rPr>
            </w:pPr>
            <w:r w:rsidRPr="00720CBF">
              <w:rPr>
                <w:rFonts w:asciiTheme="minorHAnsi" w:hAnsiTheme="minorHAnsi" w:cstheme="minorHAnsi"/>
                <w:bCs/>
                <w:kern w:val="24"/>
                <w:sz w:val="22"/>
                <w:szCs w:val="22"/>
                <w:lang w:val="en-US"/>
              </w:rPr>
              <w:t>Net receivables</w:t>
            </w:r>
          </w:p>
        </w:tc>
        <w:tc>
          <w:tcPr>
            <w:tcW w:w="28" w:type="pct"/>
            <w:tcBorders>
              <w:left w:val="nil"/>
              <w:right w:val="nil"/>
            </w:tcBorders>
            <w:tcMar>
              <w:top w:w="15" w:type="dxa"/>
              <w:left w:w="15" w:type="dxa"/>
              <w:bottom w:w="0" w:type="dxa"/>
              <w:right w:w="15" w:type="dxa"/>
            </w:tcMar>
            <w:vAlign w:val="center"/>
          </w:tcPr>
          <w:p w14:paraId="52C91805" w14:textId="77777777" w:rsidR="00F53939" w:rsidRPr="005E46B1"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07AB637E" w14:textId="3530C8A7" w:rsidR="00F53939" w:rsidRPr="00F73C6C" w:rsidRDefault="00F53939" w:rsidP="00A50D03">
            <w:pPr>
              <w:jc w:val="right"/>
              <w:textAlignment w:val="bottom"/>
              <w:rPr>
                <w:rFonts w:asciiTheme="minorHAnsi" w:hAnsiTheme="minorHAnsi"/>
                <w:b/>
                <w:sz w:val="22"/>
                <w:szCs w:val="22"/>
              </w:rPr>
            </w:pPr>
            <w:r>
              <w:rPr>
                <w:rFonts w:asciiTheme="minorHAnsi" w:hAnsiTheme="minorHAnsi"/>
                <w:b/>
                <w:sz w:val="22"/>
                <w:szCs w:val="22"/>
              </w:rPr>
              <w:t>2,32</w:t>
            </w:r>
            <w:r w:rsidR="0003618D">
              <w:rPr>
                <w:rFonts w:asciiTheme="minorHAnsi" w:hAnsiTheme="minorHAnsi"/>
                <w:b/>
                <w:sz w:val="22"/>
                <w:szCs w:val="22"/>
              </w:rPr>
              <w:t>5</w:t>
            </w:r>
          </w:p>
        </w:tc>
        <w:tc>
          <w:tcPr>
            <w:tcW w:w="608" w:type="pct"/>
            <w:tcBorders>
              <w:left w:val="nil"/>
              <w:right w:val="nil"/>
            </w:tcBorders>
            <w:tcMar>
              <w:top w:w="15" w:type="dxa"/>
              <w:left w:w="15" w:type="dxa"/>
              <w:bottom w:w="0" w:type="dxa"/>
              <w:right w:w="15" w:type="dxa"/>
            </w:tcMar>
          </w:tcPr>
          <w:p w14:paraId="55148CEC" w14:textId="77777777"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2,155</w:t>
            </w:r>
          </w:p>
        </w:tc>
        <w:tc>
          <w:tcPr>
            <w:tcW w:w="608" w:type="pct"/>
            <w:tcBorders>
              <w:left w:val="nil"/>
              <w:right w:val="nil"/>
            </w:tcBorders>
          </w:tcPr>
          <w:p w14:paraId="106F23C3" w14:textId="77777777"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2,010</w:t>
            </w:r>
          </w:p>
        </w:tc>
        <w:tc>
          <w:tcPr>
            <w:tcW w:w="608" w:type="pct"/>
            <w:tcBorders>
              <w:left w:val="nil"/>
              <w:right w:val="nil"/>
            </w:tcBorders>
            <w:vAlign w:val="center"/>
          </w:tcPr>
          <w:p w14:paraId="12BBA425"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8</w:t>
            </w:r>
          </w:p>
        </w:tc>
        <w:tc>
          <w:tcPr>
            <w:tcW w:w="609" w:type="pct"/>
            <w:tcBorders>
              <w:left w:val="nil"/>
              <w:right w:val="nil"/>
            </w:tcBorders>
            <w:tcMar>
              <w:top w:w="15" w:type="dxa"/>
              <w:left w:w="15" w:type="dxa"/>
              <w:bottom w:w="0" w:type="dxa"/>
              <w:right w:w="15" w:type="dxa"/>
            </w:tcMar>
            <w:vAlign w:val="center"/>
          </w:tcPr>
          <w:p w14:paraId="4394CAAD"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16</w:t>
            </w:r>
          </w:p>
        </w:tc>
      </w:tr>
      <w:tr w:rsidR="00F53939" w:rsidRPr="005E46B1" w14:paraId="35EBFD21" w14:textId="77777777" w:rsidTr="00C45645">
        <w:trPr>
          <w:trHeight w:val="20"/>
        </w:trPr>
        <w:tc>
          <w:tcPr>
            <w:tcW w:w="1930" w:type="pct"/>
            <w:tcBorders>
              <w:left w:val="nil"/>
              <w:right w:val="nil"/>
            </w:tcBorders>
            <w:tcMar>
              <w:top w:w="15" w:type="dxa"/>
              <w:left w:w="15" w:type="dxa"/>
              <w:bottom w:w="0" w:type="dxa"/>
              <w:right w:w="15" w:type="dxa"/>
            </w:tcMar>
          </w:tcPr>
          <w:p w14:paraId="57792669" w14:textId="1BE65A3C" w:rsidR="00F53939" w:rsidRDefault="00F53939" w:rsidP="00A50D03">
            <w:pPr>
              <w:textAlignment w:val="center"/>
              <w:rPr>
                <w:rFonts w:asciiTheme="minorHAnsi" w:hAnsiTheme="minorHAnsi" w:cstheme="minorHAnsi"/>
                <w:bCs/>
                <w:kern w:val="24"/>
                <w:sz w:val="22"/>
                <w:szCs w:val="22"/>
                <w:lang w:val="en-US"/>
              </w:rPr>
            </w:pPr>
            <w:r>
              <w:rPr>
                <w:rFonts w:asciiTheme="minorHAnsi" w:hAnsiTheme="minorHAnsi" w:cstheme="minorHAnsi"/>
                <w:bCs/>
                <w:kern w:val="24"/>
                <w:sz w:val="22"/>
                <w:szCs w:val="22"/>
                <w:lang w:val="en-US"/>
              </w:rPr>
              <w:t>Closing tangible net asset value (TNAV)</w:t>
            </w:r>
            <w:r w:rsidR="00117F7B" w:rsidRPr="00117F7B">
              <w:rPr>
                <w:rFonts w:asciiTheme="minorHAnsi" w:hAnsiTheme="minorHAnsi" w:cstheme="minorHAnsi"/>
                <w:bCs/>
                <w:kern w:val="24"/>
                <w:sz w:val="22"/>
                <w:szCs w:val="22"/>
                <w:vertAlign w:val="superscript"/>
                <w:lang w:val="en-US"/>
              </w:rPr>
              <w:t>10</w:t>
            </w:r>
          </w:p>
        </w:tc>
        <w:tc>
          <w:tcPr>
            <w:tcW w:w="28" w:type="pct"/>
            <w:tcBorders>
              <w:left w:val="nil"/>
              <w:right w:val="nil"/>
            </w:tcBorders>
            <w:tcMar>
              <w:top w:w="15" w:type="dxa"/>
              <w:left w:w="15" w:type="dxa"/>
              <w:bottom w:w="0" w:type="dxa"/>
              <w:right w:w="15" w:type="dxa"/>
            </w:tcMar>
            <w:vAlign w:val="center"/>
          </w:tcPr>
          <w:p w14:paraId="5DC37BE2" w14:textId="77777777" w:rsidR="00F53939" w:rsidRPr="005E46B1"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2F7482F7" w14:textId="0189EAB7" w:rsidR="00F53939" w:rsidRPr="00F73C6C"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36</w:t>
            </w:r>
            <w:r w:rsidR="0029710D">
              <w:rPr>
                <w:rFonts w:asciiTheme="minorHAnsi" w:hAnsiTheme="minorHAnsi" w:cstheme="minorHAnsi"/>
                <w:b/>
                <w:kern w:val="24"/>
                <w:sz w:val="22"/>
                <w:szCs w:val="22"/>
              </w:rPr>
              <w:t>2</w:t>
            </w:r>
          </w:p>
        </w:tc>
        <w:tc>
          <w:tcPr>
            <w:tcW w:w="608" w:type="pct"/>
            <w:tcBorders>
              <w:left w:val="nil"/>
              <w:right w:val="nil"/>
            </w:tcBorders>
            <w:tcMar>
              <w:top w:w="15" w:type="dxa"/>
              <w:left w:w="15" w:type="dxa"/>
              <w:bottom w:w="0" w:type="dxa"/>
              <w:right w:w="15" w:type="dxa"/>
            </w:tcMar>
          </w:tcPr>
          <w:p w14:paraId="23D10CDB" w14:textId="1AB9EB94"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35</w:t>
            </w:r>
            <w:r w:rsidR="00F61C14">
              <w:rPr>
                <w:rFonts w:asciiTheme="minorHAnsi" w:hAnsiTheme="minorHAnsi" w:cstheme="minorHAnsi"/>
                <w:bCs/>
                <w:kern w:val="24"/>
                <w:sz w:val="22"/>
                <w:szCs w:val="22"/>
              </w:rPr>
              <w:t>8</w:t>
            </w:r>
          </w:p>
        </w:tc>
        <w:tc>
          <w:tcPr>
            <w:tcW w:w="608" w:type="pct"/>
            <w:tcBorders>
              <w:left w:val="nil"/>
              <w:right w:val="nil"/>
            </w:tcBorders>
          </w:tcPr>
          <w:p w14:paraId="25E70035" w14:textId="35910FB0"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37</w:t>
            </w:r>
            <w:r w:rsidR="00802B06">
              <w:rPr>
                <w:rFonts w:asciiTheme="minorHAnsi" w:hAnsiTheme="minorHAnsi" w:cstheme="minorHAnsi"/>
                <w:bCs/>
                <w:kern w:val="24"/>
                <w:sz w:val="22"/>
                <w:szCs w:val="22"/>
              </w:rPr>
              <w:t>1</w:t>
            </w:r>
          </w:p>
        </w:tc>
        <w:tc>
          <w:tcPr>
            <w:tcW w:w="608" w:type="pct"/>
            <w:tcBorders>
              <w:left w:val="nil"/>
              <w:right w:val="nil"/>
            </w:tcBorders>
            <w:vAlign w:val="center"/>
          </w:tcPr>
          <w:p w14:paraId="29FFB225" w14:textId="6FC1BFE7" w:rsidR="00F53939" w:rsidRPr="00F73C6C" w:rsidRDefault="009D7838"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w:t>
            </w:r>
          </w:p>
        </w:tc>
        <w:tc>
          <w:tcPr>
            <w:tcW w:w="609" w:type="pct"/>
            <w:tcBorders>
              <w:left w:val="nil"/>
              <w:right w:val="nil"/>
            </w:tcBorders>
            <w:tcMar>
              <w:top w:w="15" w:type="dxa"/>
              <w:left w:w="15" w:type="dxa"/>
              <w:bottom w:w="0" w:type="dxa"/>
              <w:right w:w="15" w:type="dxa"/>
            </w:tcMar>
            <w:vAlign w:val="center"/>
          </w:tcPr>
          <w:p w14:paraId="5161F475"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(3)</w:t>
            </w:r>
          </w:p>
        </w:tc>
      </w:tr>
      <w:tr w:rsidR="00F53939" w:rsidRPr="005E46B1" w14:paraId="24D05874" w14:textId="77777777" w:rsidTr="00C45645">
        <w:trPr>
          <w:trHeight w:val="20"/>
        </w:trPr>
        <w:tc>
          <w:tcPr>
            <w:tcW w:w="1930" w:type="pct"/>
            <w:tcBorders>
              <w:left w:val="nil"/>
              <w:right w:val="nil"/>
            </w:tcBorders>
            <w:tcMar>
              <w:top w:w="15" w:type="dxa"/>
              <w:left w:w="15" w:type="dxa"/>
              <w:bottom w:w="0" w:type="dxa"/>
              <w:right w:w="15" w:type="dxa"/>
            </w:tcMar>
          </w:tcPr>
          <w:p w14:paraId="395A9F8C" w14:textId="46E28B65" w:rsidR="00F53939" w:rsidRDefault="00F53939" w:rsidP="00A50D03">
            <w:pPr>
              <w:textAlignment w:val="center"/>
              <w:rPr>
                <w:rFonts w:asciiTheme="minorHAnsi" w:hAnsiTheme="minorHAnsi" w:cstheme="minorHAnsi"/>
                <w:bCs/>
                <w:kern w:val="24"/>
                <w:sz w:val="22"/>
                <w:szCs w:val="22"/>
                <w:lang w:val="en-US"/>
              </w:rPr>
            </w:pPr>
            <w:r w:rsidRPr="001E1073">
              <w:rPr>
                <w:rFonts w:asciiTheme="minorHAnsi" w:eastAsia="Inter Medium" w:hAnsiTheme="minorHAnsi" w:cstheme="minorHAnsi"/>
                <w:color w:val="000000" w:themeColor="text1"/>
                <w:kern w:val="24"/>
                <w:sz w:val="22"/>
                <w:szCs w:val="22"/>
                <w:lang w:val="en-US"/>
              </w:rPr>
              <w:t>Average tangible equity</w:t>
            </w:r>
            <w:r w:rsidR="006E2FEF" w:rsidRPr="006E2FEF">
              <w:rPr>
                <w:rFonts w:asciiTheme="minorHAnsi" w:eastAsia="Inter Medium" w:hAnsiTheme="minorHAnsi" w:cstheme="minorHAnsi"/>
                <w:color w:val="000000" w:themeColor="text1"/>
                <w:kern w:val="24"/>
                <w:sz w:val="22"/>
                <w:szCs w:val="22"/>
                <w:vertAlign w:val="superscript"/>
                <w:lang w:val="en-US"/>
              </w:rPr>
              <w:t>8</w:t>
            </w:r>
          </w:p>
        </w:tc>
        <w:tc>
          <w:tcPr>
            <w:tcW w:w="28" w:type="pct"/>
            <w:tcBorders>
              <w:left w:val="nil"/>
              <w:right w:val="nil"/>
            </w:tcBorders>
            <w:tcMar>
              <w:top w:w="15" w:type="dxa"/>
              <w:left w:w="15" w:type="dxa"/>
              <w:bottom w:w="0" w:type="dxa"/>
              <w:right w:w="15" w:type="dxa"/>
            </w:tcMar>
            <w:vAlign w:val="center"/>
          </w:tcPr>
          <w:p w14:paraId="64A79F6A" w14:textId="77777777" w:rsidR="00F53939" w:rsidRPr="005E46B1"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0D9B9262" w14:textId="10E3DBA4" w:rsidR="00F53939" w:rsidRPr="00F73C6C"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36</w:t>
            </w:r>
            <w:r w:rsidR="005E3BC1">
              <w:rPr>
                <w:rFonts w:asciiTheme="minorHAnsi" w:hAnsiTheme="minorHAnsi" w:cstheme="minorHAnsi"/>
                <w:b/>
                <w:kern w:val="24"/>
                <w:sz w:val="22"/>
                <w:szCs w:val="22"/>
              </w:rPr>
              <w:t>1</w:t>
            </w:r>
          </w:p>
        </w:tc>
        <w:tc>
          <w:tcPr>
            <w:tcW w:w="608" w:type="pct"/>
            <w:tcBorders>
              <w:left w:val="nil"/>
              <w:right w:val="nil"/>
            </w:tcBorders>
            <w:tcMar>
              <w:top w:w="15" w:type="dxa"/>
              <w:left w:w="15" w:type="dxa"/>
              <w:bottom w:w="0" w:type="dxa"/>
              <w:right w:w="15" w:type="dxa"/>
            </w:tcMar>
          </w:tcPr>
          <w:p w14:paraId="244B6A28" w14:textId="2512B877" w:rsidR="00F53939" w:rsidRPr="00493979" w:rsidDel="008E3A8A"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3</w:t>
            </w:r>
            <w:r w:rsidR="00970C53">
              <w:rPr>
                <w:rFonts w:asciiTheme="minorHAnsi" w:hAnsiTheme="minorHAnsi" w:cstheme="minorHAnsi"/>
                <w:bCs/>
                <w:kern w:val="24"/>
                <w:sz w:val="22"/>
                <w:szCs w:val="22"/>
              </w:rPr>
              <w:t>62</w:t>
            </w:r>
          </w:p>
        </w:tc>
        <w:tc>
          <w:tcPr>
            <w:tcW w:w="608" w:type="pct"/>
            <w:tcBorders>
              <w:left w:val="nil"/>
              <w:right w:val="nil"/>
            </w:tcBorders>
          </w:tcPr>
          <w:p w14:paraId="7C344EFA" w14:textId="7D9B338A" w:rsidR="00F53939" w:rsidRPr="00493979" w:rsidRDefault="00F53939" w:rsidP="00A50D03">
            <w:pPr>
              <w:jc w:val="right"/>
              <w:textAlignment w:val="bottom"/>
              <w:rPr>
                <w:rFonts w:asciiTheme="minorHAnsi" w:hAnsiTheme="minorHAnsi" w:cstheme="minorHAnsi"/>
                <w:bCs/>
                <w:kern w:val="24"/>
                <w:sz w:val="22"/>
                <w:szCs w:val="22"/>
              </w:rPr>
            </w:pPr>
            <w:r w:rsidRPr="00493979">
              <w:rPr>
                <w:rFonts w:asciiTheme="minorHAnsi" w:hAnsiTheme="minorHAnsi" w:cstheme="minorHAnsi"/>
                <w:bCs/>
                <w:kern w:val="24"/>
                <w:sz w:val="22"/>
                <w:szCs w:val="22"/>
              </w:rPr>
              <w:t>3</w:t>
            </w:r>
            <w:r w:rsidR="00BB6968">
              <w:rPr>
                <w:rFonts w:asciiTheme="minorHAnsi" w:hAnsiTheme="minorHAnsi" w:cstheme="minorHAnsi"/>
                <w:bCs/>
                <w:kern w:val="24"/>
                <w:sz w:val="22"/>
                <w:szCs w:val="22"/>
              </w:rPr>
              <w:t>8</w:t>
            </w:r>
            <w:r w:rsidR="00BC6F8C">
              <w:rPr>
                <w:rFonts w:asciiTheme="minorHAnsi" w:hAnsiTheme="minorHAnsi" w:cstheme="minorHAnsi"/>
                <w:bCs/>
                <w:kern w:val="24"/>
                <w:sz w:val="22"/>
                <w:szCs w:val="22"/>
              </w:rPr>
              <w:t>2</w:t>
            </w:r>
          </w:p>
        </w:tc>
        <w:tc>
          <w:tcPr>
            <w:tcW w:w="608" w:type="pct"/>
            <w:tcBorders>
              <w:left w:val="nil"/>
              <w:right w:val="nil"/>
            </w:tcBorders>
            <w:vAlign w:val="center"/>
          </w:tcPr>
          <w:p w14:paraId="7DC6D3D6" w14:textId="2125007A"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w:t>
            </w:r>
            <w:r w:rsidR="00DC20FC">
              <w:rPr>
                <w:rFonts w:asciiTheme="minorHAnsi" w:hAnsiTheme="minorHAnsi" w:cstheme="minorHAnsi"/>
                <w:kern w:val="24"/>
                <w:sz w:val="22"/>
                <w:szCs w:val="22"/>
              </w:rPr>
              <w:t>-</w:t>
            </w:r>
            <w:r>
              <w:rPr>
                <w:rFonts w:asciiTheme="minorHAnsi" w:hAnsiTheme="minorHAnsi" w:cstheme="minorHAnsi"/>
                <w:kern w:val="24"/>
                <w:sz w:val="22"/>
                <w:szCs w:val="22"/>
              </w:rPr>
              <w:t>)</w:t>
            </w:r>
          </w:p>
        </w:tc>
        <w:tc>
          <w:tcPr>
            <w:tcW w:w="609" w:type="pct"/>
            <w:tcBorders>
              <w:left w:val="nil"/>
              <w:right w:val="nil"/>
            </w:tcBorders>
            <w:tcMar>
              <w:top w:w="15" w:type="dxa"/>
              <w:left w:w="15" w:type="dxa"/>
              <w:bottom w:w="0" w:type="dxa"/>
              <w:right w:w="15" w:type="dxa"/>
            </w:tcMar>
            <w:vAlign w:val="center"/>
          </w:tcPr>
          <w:p w14:paraId="4FB9C53B" w14:textId="7238D68A" w:rsidR="00F53939" w:rsidRPr="00F73C6C" w:rsidRDefault="00F53939" w:rsidP="00A50D03">
            <w:pPr>
              <w:jc w:val="right"/>
              <w:textAlignment w:val="bottom"/>
              <w:rPr>
                <w:rFonts w:asciiTheme="minorHAnsi" w:hAnsiTheme="minorHAnsi" w:cstheme="minorHAnsi"/>
                <w:bCs/>
                <w:kern w:val="24"/>
                <w:sz w:val="22"/>
                <w:szCs w:val="22"/>
              </w:rPr>
            </w:pPr>
            <w:r>
              <w:rPr>
                <w:rFonts w:asciiTheme="minorHAnsi" w:hAnsiTheme="minorHAnsi" w:cstheme="minorHAnsi"/>
                <w:bCs/>
                <w:kern w:val="24"/>
                <w:sz w:val="22"/>
                <w:szCs w:val="22"/>
              </w:rPr>
              <w:t>(</w:t>
            </w:r>
            <w:r w:rsidR="00E90A69">
              <w:rPr>
                <w:rFonts w:asciiTheme="minorHAnsi" w:hAnsiTheme="minorHAnsi" w:cstheme="minorHAnsi"/>
                <w:bCs/>
                <w:kern w:val="24"/>
                <w:sz w:val="22"/>
                <w:szCs w:val="22"/>
              </w:rPr>
              <w:t>5</w:t>
            </w:r>
            <w:r>
              <w:rPr>
                <w:rFonts w:asciiTheme="minorHAnsi" w:hAnsiTheme="minorHAnsi" w:cstheme="minorHAnsi"/>
                <w:bCs/>
                <w:kern w:val="24"/>
                <w:sz w:val="22"/>
                <w:szCs w:val="22"/>
              </w:rPr>
              <w:t>)</w:t>
            </w:r>
          </w:p>
        </w:tc>
      </w:tr>
      <w:tr w:rsidR="00F53939" w:rsidRPr="005E46B1" w14:paraId="7FFB86CE" w14:textId="77777777" w:rsidTr="00C45645">
        <w:trPr>
          <w:trHeight w:val="20"/>
        </w:trPr>
        <w:tc>
          <w:tcPr>
            <w:tcW w:w="1930" w:type="pct"/>
            <w:tcBorders>
              <w:left w:val="nil"/>
              <w:right w:val="nil"/>
            </w:tcBorders>
            <w:tcMar>
              <w:top w:w="15" w:type="dxa"/>
              <w:left w:w="15" w:type="dxa"/>
              <w:bottom w:w="0" w:type="dxa"/>
              <w:right w:w="15" w:type="dxa"/>
            </w:tcMar>
          </w:tcPr>
          <w:p w14:paraId="67DE22D2" w14:textId="77777777" w:rsidR="00F53939" w:rsidRPr="001E1073" w:rsidRDefault="00F53939" w:rsidP="00A50D03">
            <w:pPr>
              <w:textAlignment w:val="center"/>
              <w:rPr>
                <w:rFonts w:asciiTheme="minorHAnsi" w:eastAsia="Inter Medium" w:hAnsiTheme="minorHAnsi" w:cstheme="minorHAnsi"/>
                <w:color w:val="000000" w:themeColor="text1"/>
                <w:kern w:val="24"/>
                <w:sz w:val="22"/>
                <w:szCs w:val="22"/>
                <w:lang w:val="en-US"/>
              </w:rPr>
            </w:pPr>
          </w:p>
        </w:tc>
        <w:tc>
          <w:tcPr>
            <w:tcW w:w="28" w:type="pct"/>
            <w:tcBorders>
              <w:left w:val="nil"/>
              <w:right w:val="nil"/>
            </w:tcBorders>
            <w:tcMar>
              <w:top w:w="15" w:type="dxa"/>
              <w:left w:w="15" w:type="dxa"/>
              <w:bottom w:w="0" w:type="dxa"/>
              <w:right w:w="15" w:type="dxa"/>
            </w:tcMar>
            <w:vAlign w:val="center"/>
          </w:tcPr>
          <w:p w14:paraId="4FEAB378" w14:textId="77777777" w:rsidR="00F53939" w:rsidRPr="005E46B1"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79F3F2FC" w14:textId="77777777" w:rsidR="00F53939" w:rsidRPr="00F73C6C" w:rsidRDefault="00F53939" w:rsidP="00A50D03">
            <w:pPr>
              <w:jc w:val="right"/>
              <w:textAlignment w:val="bottom"/>
              <w:rPr>
                <w:rFonts w:asciiTheme="minorHAnsi" w:hAnsiTheme="minorHAnsi" w:cstheme="minorHAnsi"/>
                <w:b/>
                <w:kern w:val="24"/>
                <w:sz w:val="22"/>
                <w:szCs w:val="22"/>
              </w:rPr>
            </w:pPr>
          </w:p>
        </w:tc>
        <w:tc>
          <w:tcPr>
            <w:tcW w:w="608" w:type="pct"/>
            <w:tcBorders>
              <w:left w:val="nil"/>
              <w:right w:val="nil"/>
            </w:tcBorders>
            <w:tcMar>
              <w:top w:w="15" w:type="dxa"/>
              <w:left w:w="15" w:type="dxa"/>
              <w:bottom w:w="0" w:type="dxa"/>
              <w:right w:w="15" w:type="dxa"/>
            </w:tcMar>
            <w:vAlign w:val="center"/>
          </w:tcPr>
          <w:p w14:paraId="1EBD9912" w14:textId="77777777" w:rsidR="00F53939" w:rsidRPr="00F73C6C" w:rsidRDefault="00F53939" w:rsidP="00A50D03">
            <w:pPr>
              <w:jc w:val="right"/>
              <w:textAlignment w:val="bottom"/>
              <w:rPr>
                <w:rFonts w:asciiTheme="minorHAnsi" w:hAnsiTheme="minorHAnsi" w:cstheme="minorHAnsi"/>
                <w:bCs/>
                <w:kern w:val="24"/>
                <w:sz w:val="22"/>
                <w:szCs w:val="22"/>
              </w:rPr>
            </w:pPr>
          </w:p>
        </w:tc>
        <w:tc>
          <w:tcPr>
            <w:tcW w:w="608" w:type="pct"/>
            <w:tcBorders>
              <w:left w:val="nil"/>
              <w:right w:val="nil"/>
            </w:tcBorders>
            <w:vAlign w:val="center"/>
          </w:tcPr>
          <w:p w14:paraId="6AA61430" w14:textId="77777777" w:rsidR="00F53939" w:rsidRPr="00F73C6C" w:rsidRDefault="00F53939" w:rsidP="00A50D03">
            <w:pPr>
              <w:jc w:val="right"/>
              <w:textAlignment w:val="bottom"/>
              <w:rPr>
                <w:rFonts w:asciiTheme="minorHAnsi" w:hAnsiTheme="minorHAnsi" w:cstheme="minorHAnsi"/>
                <w:kern w:val="24"/>
                <w:sz w:val="22"/>
                <w:szCs w:val="22"/>
              </w:rPr>
            </w:pPr>
          </w:p>
        </w:tc>
        <w:tc>
          <w:tcPr>
            <w:tcW w:w="608" w:type="pct"/>
            <w:tcBorders>
              <w:left w:val="nil"/>
              <w:right w:val="nil"/>
            </w:tcBorders>
            <w:vAlign w:val="center"/>
          </w:tcPr>
          <w:p w14:paraId="00616EAD" w14:textId="77777777" w:rsidR="00F53939" w:rsidRPr="00F73C6C" w:rsidRDefault="00F53939" w:rsidP="00A50D03">
            <w:pPr>
              <w:jc w:val="right"/>
              <w:textAlignment w:val="bottom"/>
              <w:rPr>
                <w:rFonts w:asciiTheme="minorHAnsi" w:hAnsiTheme="minorHAnsi" w:cstheme="minorHAnsi"/>
                <w:kern w:val="24"/>
                <w:sz w:val="22"/>
                <w:szCs w:val="22"/>
              </w:rPr>
            </w:pPr>
          </w:p>
        </w:tc>
        <w:tc>
          <w:tcPr>
            <w:tcW w:w="609" w:type="pct"/>
            <w:tcBorders>
              <w:left w:val="nil"/>
              <w:right w:val="nil"/>
            </w:tcBorders>
            <w:tcMar>
              <w:top w:w="15" w:type="dxa"/>
              <w:left w:w="15" w:type="dxa"/>
              <w:bottom w:w="0" w:type="dxa"/>
              <w:right w:w="15" w:type="dxa"/>
            </w:tcMar>
            <w:vAlign w:val="center"/>
          </w:tcPr>
          <w:p w14:paraId="34DF9247" w14:textId="77777777" w:rsidR="00F53939" w:rsidRPr="00F73C6C" w:rsidRDefault="00F53939" w:rsidP="00A50D03">
            <w:pPr>
              <w:jc w:val="right"/>
              <w:textAlignment w:val="bottom"/>
              <w:rPr>
                <w:rFonts w:asciiTheme="minorHAnsi" w:hAnsiTheme="minorHAnsi" w:cstheme="minorHAnsi"/>
                <w:kern w:val="24"/>
                <w:sz w:val="22"/>
                <w:szCs w:val="22"/>
              </w:rPr>
            </w:pPr>
          </w:p>
        </w:tc>
      </w:tr>
      <w:tr w:rsidR="00F53939" w:rsidRPr="005E46B1" w14:paraId="283E91D2" w14:textId="77777777" w:rsidTr="00C45645">
        <w:trPr>
          <w:trHeight w:val="20"/>
        </w:trPr>
        <w:tc>
          <w:tcPr>
            <w:tcW w:w="1930" w:type="pct"/>
            <w:tcBorders>
              <w:left w:val="nil"/>
              <w:bottom w:val="single" w:sz="2" w:space="0" w:color="auto"/>
              <w:right w:val="nil"/>
            </w:tcBorders>
            <w:tcMar>
              <w:top w:w="15" w:type="dxa"/>
              <w:left w:w="15" w:type="dxa"/>
              <w:bottom w:w="0" w:type="dxa"/>
              <w:right w:w="15" w:type="dxa"/>
            </w:tcMar>
            <w:vAlign w:val="center"/>
          </w:tcPr>
          <w:p w14:paraId="6F6F9354" w14:textId="77777777" w:rsidR="00F53939" w:rsidRPr="003026AC" w:rsidRDefault="00F53939" w:rsidP="00A50D03">
            <w:pPr>
              <w:textAlignment w:val="center"/>
              <w:rPr>
                <w:rFonts w:asciiTheme="minorHAnsi" w:hAnsiTheme="minorHAnsi" w:cstheme="minorHAnsi"/>
                <w:b/>
                <w:bCs/>
                <w:kern w:val="24"/>
                <w:sz w:val="22"/>
                <w:szCs w:val="22"/>
                <w:lang w:val="en-US"/>
              </w:rPr>
            </w:pPr>
            <w:r w:rsidRPr="00F116E9">
              <w:rPr>
                <w:rFonts w:asciiTheme="minorHAnsi" w:eastAsia="Inter Medium" w:hAnsiTheme="minorHAnsi" w:cstheme="minorHAnsi"/>
                <w:b/>
                <w:bCs/>
                <w:color w:val="000000" w:themeColor="text1"/>
                <w:kern w:val="24"/>
                <w:sz w:val="22"/>
                <w:szCs w:val="22"/>
                <w:lang w:val="en-US"/>
              </w:rPr>
              <w:t>Selected key metric</w:t>
            </w:r>
            <w:r>
              <w:rPr>
                <w:rFonts w:asciiTheme="minorHAnsi" w:eastAsia="Inter Medium" w:hAnsiTheme="minorHAnsi" w:cstheme="minorHAnsi"/>
                <w:b/>
                <w:bCs/>
                <w:color w:val="000000" w:themeColor="text1"/>
                <w:kern w:val="24"/>
                <w:sz w:val="22"/>
                <w:szCs w:val="22"/>
                <w:lang w:val="en-US"/>
              </w:rPr>
              <w:t>s (%)</w:t>
            </w:r>
          </w:p>
        </w:tc>
        <w:tc>
          <w:tcPr>
            <w:tcW w:w="28" w:type="pct"/>
            <w:tcBorders>
              <w:left w:val="nil"/>
              <w:bottom w:val="single" w:sz="2" w:space="0" w:color="auto"/>
              <w:right w:val="nil"/>
            </w:tcBorders>
            <w:tcMar>
              <w:top w:w="15" w:type="dxa"/>
              <w:left w:w="15" w:type="dxa"/>
              <w:bottom w:w="0" w:type="dxa"/>
              <w:right w:w="15" w:type="dxa"/>
            </w:tcMar>
            <w:vAlign w:val="center"/>
          </w:tcPr>
          <w:p w14:paraId="2673FF85" w14:textId="77777777" w:rsidR="00F53939" w:rsidRPr="005E46B1" w:rsidRDefault="00F53939" w:rsidP="00A50D03">
            <w:pPr>
              <w:rPr>
                <w:rFonts w:asciiTheme="minorHAnsi" w:hAnsiTheme="minorHAnsi" w:cstheme="minorHAnsi"/>
                <w:sz w:val="22"/>
                <w:szCs w:val="22"/>
              </w:rPr>
            </w:pPr>
          </w:p>
        </w:tc>
        <w:tc>
          <w:tcPr>
            <w:tcW w:w="608" w:type="pct"/>
            <w:tcBorders>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4B1E4A7D" w14:textId="77777777" w:rsidR="00F53939" w:rsidRPr="003026AC" w:rsidRDefault="00F53939" w:rsidP="00A50D03">
            <w:pPr>
              <w:ind w:right="115"/>
              <w:jc w:val="right"/>
              <w:rPr>
                <w:rFonts w:asciiTheme="minorHAnsi" w:hAnsiTheme="minorHAnsi" w:cstheme="minorHAnsi"/>
                <w:sz w:val="22"/>
                <w:szCs w:val="22"/>
              </w:rPr>
            </w:pPr>
            <w:r>
              <w:rPr>
                <w:rFonts w:asciiTheme="minorHAnsi" w:eastAsia="Inter Medium" w:hAnsiTheme="minorHAnsi" w:cstheme="minorHAnsi"/>
                <w:b/>
                <w:kern w:val="24"/>
                <w:sz w:val="22"/>
                <w:szCs w:val="22"/>
              </w:rPr>
              <w:t>1H</w:t>
            </w:r>
            <w:r w:rsidRPr="005D1B6A">
              <w:rPr>
                <w:rFonts w:asciiTheme="minorHAnsi" w:eastAsia="Inter Medium" w:hAnsiTheme="minorHAnsi" w:cstheme="minorHAnsi"/>
                <w:b/>
                <w:kern w:val="24"/>
                <w:sz w:val="22"/>
                <w:szCs w:val="22"/>
              </w:rPr>
              <w:t>2</w:t>
            </w:r>
            <w:r>
              <w:rPr>
                <w:rFonts w:asciiTheme="minorHAnsi" w:eastAsia="Inter Medium" w:hAnsiTheme="minorHAnsi" w:cstheme="minorHAnsi"/>
                <w:b/>
                <w:kern w:val="24"/>
                <w:sz w:val="22"/>
                <w:szCs w:val="22"/>
              </w:rPr>
              <w:t>5</w:t>
            </w:r>
          </w:p>
        </w:tc>
        <w:tc>
          <w:tcPr>
            <w:tcW w:w="608" w:type="pct"/>
            <w:tcBorders>
              <w:left w:val="nil"/>
              <w:bottom w:val="single" w:sz="2" w:space="0" w:color="auto"/>
              <w:right w:val="nil"/>
            </w:tcBorders>
            <w:shd w:val="clear" w:color="auto" w:fill="auto"/>
            <w:tcMar>
              <w:top w:w="15" w:type="dxa"/>
              <w:left w:w="15" w:type="dxa"/>
              <w:bottom w:w="0" w:type="dxa"/>
              <w:right w:w="15" w:type="dxa"/>
            </w:tcMar>
            <w:vAlign w:val="center"/>
          </w:tcPr>
          <w:p w14:paraId="641C6796" w14:textId="77777777" w:rsidR="00F53939"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2H24</w:t>
            </w:r>
          </w:p>
          <w:p w14:paraId="30BEDEF4"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(Re-presented</w:t>
            </w:r>
            <w:r w:rsidRPr="00B024E4">
              <w:rPr>
                <w:rFonts w:asciiTheme="minorHAnsi" w:hAnsiTheme="minorHAnsi" w:cstheme="minorHAnsi"/>
                <w:kern w:val="24"/>
                <w:sz w:val="22"/>
                <w:szCs w:val="22"/>
                <w:vertAlign w:val="superscript"/>
              </w:rPr>
              <w:t>1</w:t>
            </w:r>
            <w:r>
              <w:rPr>
                <w:rFonts w:asciiTheme="minorHAnsi" w:hAnsiTheme="minorHAnsi" w:cstheme="minorHAnsi"/>
                <w:kern w:val="24"/>
                <w:sz w:val="22"/>
                <w:szCs w:val="22"/>
              </w:rPr>
              <w:t>)</w:t>
            </w:r>
          </w:p>
        </w:tc>
        <w:tc>
          <w:tcPr>
            <w:tcW w:w="608" w:type="pct"/>
            <w:tcBorders>
              <w:left w:val="nil"/>
              <w:bottom w:val="single" w:sz="2" w:space="0" w:color="auto"/>
              <w:right w:val="nil"/>
            </w:tcBorders>
            <w:vAlign w:val="center"/>
          </w:tcPr>
          <w:p w14:paraId="257BFAFA" w14:textId="77777777" w:rsidR="00F53939" w:rsidRDefault="00F53939" w:rsidP="00A50D03">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1H24</w:t>
            </w:r>
          </w:p>
          <w:p w14:paraId="20581579" w14:textId="77777777" w:rsidR="00F53939" w:rsidRPr="00F73C6C" w:rsidRDefault="00F53939" w:rsidP="00A50D03">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(Re-presented</w:t>
            </w:r>
            <w:r w:rsidRPr="00B024E4">
              <w:rPr>
                <w:rFonts w:asciiTheme="minorHAnsi" w:hAnsiTheme="minorHAnsi" w:cstheme="minorHAnsi"/>
                <w:kern w:val="24"/>
                <w:sz w:val="22"/>
                <w:szCs w:val="22"/>
                <w:vertAlign w:val="superscript"/>
              </w:rPr>
              <w:t>1</w:t>
            </w:r>
            <w:r>
              <w:rPr>
                <w:rFonts w:asciiTheme="minorHAnsi" w:hAnsiTheme="minorHAnsi" w:cstheme="minorHAnsi"/>
                <w:kern w:val="24"/>
                <w:sz w:val="22"/>
                <w:szCs w:val="22"/>
              </w:rPr>
              <w:t>)</w:t>
            </w:r>
          </w:p>
        </w:tc>
        <w:tc>
          <w:tcPr>
            <w:tcW w:w="608" w:type="pct"/>
            <w:tcBorders>
              <w:left w:val="nil"/>
              <w:bottom w:val="single" w:sz="2" w:space="0" w:color="auto"/>
              <w:right w:val="nil"/>
            </w:tcBorders>
            <w:vAlign w:val="center"/>
          </w:tcPr>
          <w:p w14:paraId="6E3C95D3" w14:textId="77777777" w:rsidR="00F53939" w:rsidRDefault="00F53939" w:rsidP="00A50D03">
            <w:pPr>
              <w:ind w:right="115"/>
              <w:jc w:val="right"/>
              <w:rPr>
                <w:rFonts w:asciiTheme="minorHAnsi" w:hAnsiTheme="minorHAnsi" w:cstheme="minorHAnsi"/>
                <w:kern w:val="24"/>
                <w:sz w:val="22"/>
                <w:szCs w:val="22"/>
              </w:rPr>
            </w:pPr>
            <w:proofErr w:type="spellStart"/>
            <w:r>
              <w:rPr>
                <w:rFonts w:asciiTheme="minorHAnsi" w:hAnsiTheme="minorHAnsi" w:cstheme="minorHAnsi"/>
                <w:kern w:val="24"/>
                <w:sz w:val="22"/>
                <w:szCs w:val="22"/>
              </w:rPr>
              <w:t>HoH</w:t>
            </w:r>
            <w:proofErr w:type="spellEnd"/>
          </w:p>
          <w:p w14:paraId="254CBBCF" w14:textId="77777777" w:rsidR="00F53939" w:rsidRPr="00F73C6C" w:rsidRDefault="00F53939" w:rsidP="00A50D03">
            <w:pPr>
              <w:ind w:right="115"/>
              <w:jc w:val="right"/>
              <w:rPr>
                <w:rFonts w:asciiTheme="minorHAnsi" w:hAnsiTheme="minorHAnsi" w:cstheme="minorHAnsi"/>
                <w:kern w:val="24"/>
                <w:sz w:val="22"/>
                <w:szCs w:val="22"/>
              </w:rPr>
            </w:pPr>
            <w:r w:rsidRPr="005D1B6A">
              <w:rPr>
                <w:rFonts w:asciiTheme="minorHAnsi" w:hAnsiTheme="minorHAnsi" w:cstheme="minorHAnsi"/>
                <w:kern w:val="24"/>
                <w:sz w:val="22"/>
                <w:szCs w:val="22"/>
              </w:rPr>
              <w:t>Change</w:t>
            </w:r>
          </w:p>
        </w:tc>
        <w:tc>
          <w:tcPr>
            <w:tcW w:w="609" w:type="pct"/>
            <w:tcBorders>
              <w:left w:val="nil"/>
              <w:bottom w:val="single" w:sz="2" w:space="0" w:color="auto"/>
              <w:right w:val="nil"/>
            </w:tcBorders>
            <w:tcMar>
              <w:top w:w="15" w:type="dxa"/>
              <w:left w:w="15" w:type="dxa"/>
              <w:bottom w:w="0" w:type="dxa"/>
              <w:right w:w="15" w:type="dxa"/>
            </w:tcMar>
            <w:vAlign w:val="center"/>
          </w:tcPr>
          <w:p w14:paraId="0BCDCD4B" w14:textId="77777777" w:rsidR="00F53939" w:rsidRDefault="00F53939" w:rsidP="00A50D03">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YoY</w:t>
            </w:r>
          </w:p>
          <w:p w14:paraId="71496898" w14:textId="77777777" w:rsidR="00F53939" w:rsidRPr="003026AC" w:rsidRDefault="00F53939" w:rsidP="00A50D03">
            <w:pPr>
              <w:ind w:right="115"/>
              <w:jc w:val="right"/>
              <w:rPr>
                <w:rFonts w:asciiTheme="minorHAnsi" w:hAnsiTheme="minorHAnsi" w:cstheme="minorHAnsi"/>
                <w:sz w:val="22"/>
                <w:szCs w:val="22"/>
              </w:rPr>
            </w:pPr>
            <w:r w:rsidRPr="005D1B6A">
              <w:rPr>
                <w:rFonts w:asciiTheme="minorHAnsi" w:hAnsiTheme="minorHAnsi" w:cstheme="minorHAnsi"/>
                <w:kern w:val="24"/>
                <w:sz w:val="22"/>
                <w:szCs w:val="22"/>
              </w:rPr>
              <w:t>Change</w:t>
            </w:r>
          </w:p>
        </w:tc>
      </w:tr>
      <w:tr w:rsidR="00F53939" w:rsidRPr="005E46B1" w14:paraId="4D9E7DCD" w14:textId="77777777" w:rsidTr="00C45645">
        <w:trPr>
          <w:trHeight w:val="20"/>
        </w:trPr>
        <w:tc>
          <w:tcPr>
            <w:tcW w:w="1930" w:type="pct"/>
            <w:tcBorders>
              <w:top w:val="single" w:sz="2" w:space="0" w:color="auto"/>
              <w:left w:val="nil"/>
              <w:right w:val="nil"/>
            </w:tcBorders>
            <w:tcMar>
              <w:top w:w="15" w:type="dxa"/>
              <w:left w:w="15" w:type="dxa"/>
              <w:bottom w:w="0" w:type="dxa"/>
              <w:right w:w="15" w:type="dxa"/>
            </w:tcMar>
            <w:vAlign w:val="center"/>
          </w:tcPr>
          <w:p w14:paraId="036CEFD9" w14:textId="77777777" w:rsidR="00F53939" w:rsidRPr="0072569B" w:rsidRDefault="00F53939" w:rsidP="00A50D03">
            <w:pPr>
              <w:textAlignment w:val="center"/>
              <w:rPr>
                <w:rFonts w:asciiTheme="minorHAnsi" w:hAnsiTheme="minorHAnsi" w:cstheme="minorHAnsi"/>
                <w:b/>
                <w:kern w:val="24"/>
                <w:sz w:val="22"/>
                <w:szCs w:val="22"/>
                <w:vertAlign w:val="superscript"/>
                <w:lang w:val="en-US"/>
              </w:rPr>
            </w:pPr>
            <w:r w:rsidRPr="0072569B">
              <w:rPr>
                <w:rFonts w:asciiTheme="minorHAnsi" w:eastAsia="Inter Light BETA" w:hAnsiTheme="minorHAnsi" w:cstheme="minorHAnsi"/>
                <w:color w:val="000000" w:themeColor="text1"/>
                <w:kern w:val="24"/>
                <w:sz w:val="22"/>
                <w:szCs w:val="22"/>
              </w:rPr>
              <w:t>Asset yield</w:t>
            </w:r>
            <w:r w:rsidRPr="0072569B">
              <w:rPr>
                <w:rFonts w:asciiTheme="minorHAnsi" w:eastAsia="Inter Light BETA" w:hAnsiTheme="minorHAnsi" w:cstheme="minorHAnsi"/>
                <w:color w:val="000000" w:themeColor="text1"/>
                <w:kern w:val="24"/>
                <w:sz w:val="22"/>
                <w:szCs w:val="22"/>
                <w:vertAlign w:val="superscript"/>
              </w:rPr>
              <w:t>2</w:t>
            </w:r>
          </w:p>
        </w:tc>
        <w:tc>
          <w:tcPr>
            <w:tcW w:w="28" w:type="pct"/>
            <w:tcBorders>
              <w:top w:val="single" w:sz="2" w:space="0" w:color="auto"/>
              <w:left w:val="nil"/>
              <w:right w:val="nil"/>
            </w:tcBorders>
            <w:tcMar>
              <w:top w:w="15" w:type="dxa"/>
              <w:left w:w="15" w:type="dxa"/>
              <w:bottom w:w="0" w:type="dxa"/>
              <w:right w:w="15" w:type="dxa"/>
            </w:tcMar>
            <w:vAlign w:val="center"/>
          </w:tcPr>
          <w:p w14:paraId="053A010C" w14:textId="77777777" w:rsidR="00F53939" w:rsidRPr="005E46B1" w:rsidRDefault="00F53939" w:rsidP="00A50D03">
            <w:pPr>
              <w:rPr>
                <w:rFonts w:asciiTheme="minorHAnsi" w:hAnsiTheme="minorHAnsi" w:cstheme="minorHAnsi"/>
                <w:sz w:val="22"/>
                <w:szCs w:val="22"/>
              </w:rPr>
            </w:pPr>
          </w:p>
        </w:tc>
        <w:tc>
          <w:tcPr>
            <w:tcW w:w="608" w:type="pct"/>
            <w:tcBorders>
              <w:top w:val="single" w:sz="2" w:space="0" w:color="auto"/>
              <w:left w:val="nil"/>
              <w:right w:val="nil"/>
            </w:tcBorders>
            <w:shd w:val="clear" w:color="auto" w:fill="F2F2F2" w:themeFill="background1" w:themeFillShade="F2"/>
            <w:tcMar>
              <w:top w:w="15" w:type="dxa"/>
              <w:left w:w="15" w:type="dxa"/>
              <w:bottom w:w="0" w:type="dxa"/>
              <w:right w:w="15" w:type="dxa"/>
            </w:tcMar>
          </w:tcPr>
          <w:p w14:paraId="1D46D917" w14:textId="77777777" w:rsidR="00F53939" w:rsidRPr="00F73C6C"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21.8</w:t>
            </w:r>
          </w:p>
        </w:tc>
        <w:tc>
          <w:tcPr>
            <w:tcW w:w="608" w:type="pct"/>
            <w:tcBorders>
              <w:top w:val="single" w:sz="2" w:space="0" w:color="auto"/>
              <w:left w:val="nil"/>
              <w:right w:val="nil"/>
            </w:tcBorders>
            <w:tcMar>
              <w:top w:w="15" w:type="dxa"/>
              <w:left w:w="15" w:type="dxa"/>
              <w:bottom w:w="0" w:type="dxa"/>
              <w:right w:w="15" w:type="dxa"/>
            </w:tcMar>
          </w:tcPr>
          <w:p w14:paraId="420315E1"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22.4</w:t>
            </w:r>
          </w:p>
        </w:tc>
        <w:tc>
          <w:tcPr>
            <w:tcW w:w="608" w:type="pct"/>
            <w:tcBorders>
              <w:top w:val="single" w:sz="2" w:space="0" w:color="auto"/>
              <w:left w:val="nil"/>
              <w:right w:val="nil"/>
            </w:tcBorders>
          </w:tcPr>
          <w:p w14:paraId="0B6B405E"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23.2</w:t>
            </w:r>
          </w:p>
        </w:tc>
        <w:tc>
          <w:tcPr>
            <w:tcW w:w="608" w:type="pct"/>
            <w:tcBorders>
              <w:top w:val="single" w:sz="2" w:space="0" w:color="auto"/>
              <w:left w:val="nil"/>
              <w:right w:val="nil"/>
            </w:tcBorders>
            <w:vAlign w:val="center"/>
          </w:tcPr>
          <w:p w14:paraId="2C9111A5"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(0.6)</w:t>
            </w:r>
          </w:p>
        </w:tc>
        <w:tc>
          <w:tcPr>
            <w:tcW w:w="609" w:type="pct"/>
            <w:tcBorders>
              <w:top w:val="single" w:sz="2" w:space="0" w:color="auto"/>
              <w:left w:val="nil"/>
              <w:right w:val="nil"/>
            </w:tcBorders>
            <w:tcMar>
              <w:top w:w="15" w:type="dxa"/>
              <w:left w:w="15" w:type="dxa"/>
              <w:bottom w:w="0" w:type="dxa"/>
              <w:right w:w="15" w:type="dxa"/>
            </w:tcMar>
            <w:vAlign w:val="center"/>
          </w:tcPr>
          <w:p w14:paraId="545EA2F5"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(1.4)</w:t>
            </w:r>
          </w:p>
        </w:tc>
      </w:tr>
      <w:tr w:rsidR="00F53939" w:rsidRPr="005E46B1" w14:paraId="49B9511E" w14:textId="77777777" w:rsidTr="00C45645">
        <w:trPr>
          <w:trHeight w:val="20"/>
        </w:trPr>
        <w:tc>
          <w:tcPr>
            <w:tcW w:w="1930" w:type="pct"/>
            <w:tcMar>
              <w:top w:w="15" w:type="dxa"/>
              <w:left w:w="15" w:type="dxa"/>
              <w:bottom w:w="0" w:type="dxa"/>
              <w:right w:w="15" w:type="dxa"/>
            </w:tcMar>
            <w:vAlign w:val="center"/>
          </w:tcPr>
          <w:p w14:paraId="544CF16C" w14:textId="77777777" w:rsidR="00F53939" w:rsidRPr="00226BFD" w:rsidRDefault="00F53939" w:rsidP="00A50D03">
            <w:pPr>
              <w:textAlignment w:val="center"/>
              <w:rPr>
                <w:rFonts w:asciiTheme="minorHAnsi" w:hAnsiTheme="minorHAnsi" w:cstheme="minorHAnsi"/>
                <w:kern w:val="24"/>
                <w:sz w:val="22"/>
                <w:szCs w:val="22"/>
                <w:lang w:val="en-US"/>
              </w:rPr>
            </w:pPr>
            <w:r w:rsidRPr="00226BFD">
              <w:rPr>
                <w:rFonts w:asciiTheme="minorHAnsi" w:eastAsia="Inter Light BETA" w:hAnsiTheme="minorHAnsi" w:cstheme="minorHAnsi"/>
                <w:color w:val="000000" w:themeColor="text1"/>
                <w:kern w:val="24"/>
                <w:sz w:val="22"/>
                <w:szCs w:val="22"/>
              </w:rPr>
              <w:t>Net interest margin (NIM)</w:t>
            </w:r>
            <w:r w:rsidRPr="00226BFD">
              <w:rPr>
                <w:rFonts w:asciiTheme="minorHAnsi" w:eastAsia="Inter Light BETA" w:hAnsiTheme="minorHAnsi" w:cstheme="minorHAnsi"/>
                <w:color w:val="000000" w:themeColor="text1"/>
                <w:kern w:val="24"/>
                <w:sz w:val="22"/>
                <w:szCs w:val="22"/>
                <w:vertAlign w:val="superscript"/>
              </w:rPr>
              <w:t>3</w:t>
            </w:r>
            <w:r w:rsidRPr="00226BFD">
              <w:rPr>
                <w:rFonts w:asciiTheme="minorHAnsi" w:hAnsiTheme="minorHAnsi" w:cstheme="minorHAnsi"/>
                <w:color w:val="000000" w:themeColor="text1"/>
                <w:kern w:val="24"/>
                <w:position w:val="6"/>
                <w:sz w:val="22"/>
                <w:szCs w:val="22"/>
                <w:vertAlign w:val="superscript"/>
                <w:lang w:val="en-US"/>
              </w:rPr>
              <w:t xml:space="preserve"> </w:t>
            </w:r>
          </w:p>
        </w:tc>
        <w:tc>
          <w:tcPr>
            <w:tcW w:w="28" w:type="pct"/>
            <w:tcMar>
              <w:top w:w="15" w:type="dxa"/>
              <w:left w:w="15" w:type="dxa"/>
              <w:bottom w:w="0" w:type="dxa"/>
              <w:right w:w="15" w:type="dxa"/>
            </w:tcMar>
            <w:vAlign w:val="center"/>
          </w:tcPr>
          <w:p w14:paraId="26D68ECF" w14:textId="77777777" w:rsidR="00F53939" w:rsidRPr="006F0AA0" w:rsidRDefault="00F53939" w:rsidP="00A50D03">
            <w:pPr>
              <w:rPr>
                <w:rFonts w:asciiTheme="minorHAnsi" w:hAnsiTheme="minorHAnsi" w:cstheme="minorHAnsi"/>
                <w:sz w:val="22"/>
                <w:szCs w:val="22"/>
              </w:rPr>
            </w:pPr>
          </w:p>
        </w:tc>
        <w:tc>
          <w:tcPr>
            <w:tcW w:w="608" w:type="pct"/>
            <w:shd w:val="clear" w:color="auto" w:fill="F2F2F2" w:themeFill="background1" w:themeFillShade="F2"/>
            <w:tcMar>
              <w:top w:w="15" w:type="dxa"/>
              <w:left w:w="15" w:type="dxa"/>
              <w:bottom w:w="0" w:type="dxa"/>
              <w:right w:w="15" w:type="dxa"/>
            </w:tcMar>
          </w:tcPr>
          <w:p w14:paraId="1031551F" w14:textId="77777777" w:rsidR="00F53939" w:rsidRPr="00F73C6C"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17.4</w:t>
            </w:r>
          </w:p>
        </w:tc>
        <w:tc>
          <w:tcPr>
            <w:tcW w:w="608" w:type="pct"/>
            <w:tcMar>
              <w:top w:w="15" w:type="dxa"/>
              <w:left w:w="15" w:type="dxa"/>
              <w:bottom w:w="0" w:type="dxa"/>
              <w:right w:w="15" w:type="dxa"/>
            </w:tcMar>
          </w:tcPr>
          <w:p w14:paraId="4F9B4966"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18.1</w:t>
            </w:r>
          </w:p>
        </w:tc>
        <w:tc>
          <w:tcPr>
            <w:tcW w:w="608" w:type="pct"/>
          </w:tcPr>
          <w:p w14:paraId="135B9E4E"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18.9</w:t>
            </w:r>
          </w:p>
        </w:tc>
        <w:tc>
          <w:tcPr>
            <w:tcW w:w="608" w:type="pct"/>
            <w:vAlign w:val="center"/>
          </w:tcPr>
          <w:p w14:paraId="3CD4DE6B"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(0.7)</w:t>
            </w:r>
          </w:p>
        </w:tc>
        <w:tc>
          <w:tcPr>
            <w:tcW w:w="609" w:type="pct"/>
            <w:tcBorders>
              <w:left w:val="nil"/>
            </w:tcBorders>
            <w:tcMar>
              <w:top w:w="15" w:type="dxa"/>
              <w:left w:w="15" w:type="dxa"/>
              <w:bottom w:w="0" w:type="dxa"/>
              <w:right w:w="15" w:type="dxa"/>
            </w:tcMar>
            <w:vAlign w:val="center"/>
          </w:tcPr>
          <w:p w14:paraId="4D657EAB"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(1.5)</w:t>
            </w:r>
          </w:p>
        </w:tc>
      </w:tr>
      <w:tr w:rsidR="00F53939" w:rsidRPr="005E46B1" w14:paraId="6B231DD6" w14:textId="77777777" w:rsidTr="00C45645">
        <w:trPr>
          <w:trHeight w:val="20"/>
        </w:trPr>
        <w:tc>
          <w:tcPr>
            <w:tcW w:w="1930" w:type="pct"/>
            <w:tcMar>
              <w:top w:w="15" w:type="dxa"/>
              <w:left w:w="15" w:type="dxa"/>
              <w:bottom w:w="0" w:type="dxa"/>
              <w:right w:w="15" w:type="dxa"/>
            </w:tcMar>
            <w:vAlign w:val="center"/>
          </w:tcPr>
          <w:p w14:paraId="6569D46C" w14:textId="77777777" w:rsidR="00F53939" w:rsidRPr="0072569B" w:rsidRDefault="00F53939" w:rsidP="00A50D03">
            <w:pPr>
              <w:textAlignment w:val="center"/>
              <w:rPr>
                <w:rFonts w:asciiTheme="minorHAnsi" w:hAnsiTheme="minorHAnsi" w:cstheme="minorHAnsi"/>
                <w:kern w:val="24"/>
                <w:sz w:val="22"/>
                <w:szCs w:val="22"/>
                <w:lang w:val="en-US"/>
              </w:rPr>
            </w:pPr>
            <w:r w:rsidRPr="0072569B">
              <w:rPr>
                <w:rFonts w:asciiTheme="minorHAnsi" w:eastAsia="Inter Light BETA" w:hAnsiTheme="minorHAnsi" w:cstheme="minorHAnsi"/>
                <w:color w:val="000000" w:themeColor="text1"/>
                <w:kern w:val="24"/>
                <w:sz w:val="22"/>
                <w:szCs w:val="22"/>
              </w:rPr>
              <w:t>Total income margin (TIM)</w:t>
            </w:r>
            <w:r w:rsidRPr="0072569B">
              <w:rPr>
                <w:rFonts w:asciiTheme="minorHAnsi" w:eastAsia="Inter Light BETA" w:hAnsiTheme="minorHAnsi" w:cstheme="minorHAnsi"/>
                <w:color w:val="000000" w:themeColor="text1"/>
                <w:kern w:val="24"/>
                <w:sz w:val="22"/>
                <w:szCs w:val="22"/>
                <w:vertAlign w:val="superscript"/>
              </w:rPr>
              <w:t>4</w:t>
            </w:r>
            <w:r w:rsidRPr="0072569B">
              <w:rPr>
                <w:rFonts w:asciiTheme="minorHAnsi" w:hAnsiTheme="minorHAnsi" w:cstheme="minorHAnsi"/>
                <w:color w:val="000000" w:themeColor="text1"/>
                <w:kern w:val="24"/>
                <w:position w:val="6"/>
                <w:sz w:val="22"/>
                <w:szCs w:val="22"/>
                <w:vertAlign w:val="superscript"/>
                <w:lang w:val="en-US"/>
              </w:rPr>
              <w:t xml:space="preserve"> </w:t>
            </w:r>
          </w:p>
        </w:tc>
        <w:tc>
          <w:tcPr>
            <w:tcW w:w="28" w:type="pct"/>
            <w:tcMar>
              <w:top w:w="15" w:type="dxa"/>
              <w:left w:w="15" w:type="dxa"/>
              <w:bottom w:w="0" w:type="dxa"/>
              <w:right w:w="15" w:type="dxa"/>
            </w:tcMar>
            <w:vAlign w:val="center"/>
          </w:tcPr>
          <w:p w14:paraId="28071BFC" w14:textId="77777777" w:rsidR="00F53939" w:rsidRPr="006F0AA0" w:rsidRDefault="00F53939" w:rsidP="00A50D03">
            <w:pPr>
              <w:rPr>
                <w:rFonts w:asciiTheme="minorHAnsi" w:hAnsiTheme="minorHAnsi" w:cstheme="minorHAnsi"/>
                <w:sz w:val="22"/>
                <w:szCs w:val="22"/>
              </w:rPr>
            </w:pPr>
          </w:p>
        </w:tc>
        <w:tc>
          <w:tcPr>
            <w:tcW w:w="608" w:type="pct"/>
            <w:shd w:val="clear" w:color="auto" w:fill="F2F2F2" w:themeFill="background1" w:themeFillShade="F2"/>
            <w:tcMar>
              <w:top w:w="15" w:type="dxa"/>
              <w:left w:w="15" w:type="dxa"/>
              <w:bottom w:w="0" w:type="dxa"/>
              <w:right w:w="15" w:type="dxa"/>
            </w:tcMar>
          </w:tcPr>
          <w:p w14:paraId="33C969D7" w14:textId="77777777" w:rsidR="00F53939" w:rsidRPr="00F73C6C"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18.9</w:t>
            </w:r>
          </w:p>
        </w:tc>
        <w:tc>
          <w:tcPr>
            <w:tcW w:w="608" w:type="pct"/>
            <w:tcMar>
              <w:top w:w="15" w:type="dxa"/>
              <w:left w:w="15" w:type="dxa"/>
              <w:bottom w:w="0" w:type="dxa"/>
              <w:right w:w="15" w:type="dxa"/>
            </w:tcMar>
          </w:tcPr>
          <w:p w14:paraId="50EE2808" w14:textId="77777777" w:rsidR="00F53939" w:rsidRPr="00864018"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19.8</w:t>
            </w:r>
          </w:p>
        </w:tc>
        <w:tc>
          <w:tcPr>
            <w:tcW w:w="608" w:type="pct"/>
          </w:tcPr>
          <w:p w14:paraId="5B82AD52"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20.7</w:t>
            </w:r>
          </w:p>
        </w:tc>
        <w:tc>
          <w:tcPr>
            <w:tcW w:w="608" w:type="pct"/>
            <w:vAlign w:val="center"/>
          </w:tcPr>
          <w:p w14:paraId="3F400AA4"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(0.9)</w:t>
            </w:r>
          </w:p>
        </w:tc>
        <w:tc>
          <w:tcPr>
            <w:tcW w:w="609" w:type="pct"/>
            <w:tcBorders>
              <w:left w:val="nil"/>
            </w:tcBorders>
            <w:tcMar>
              <w:top w:w="15" w:type="dxa"/>
              <w:left w:w="15" w:type="dxa"/>
              <w:bottom w:w="0" w:type="dxa"/>
              <w:right w:w="15" w:type="dxa"/>
            </w:tcMar>
            <w:vAlign w:val="center"/>
          </w:tcPr>
          <w:p w14:paraId="16E505FB"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(1.8)</w:t>
            </w:r>
          </w:p>
        </w:tc>
      </w:tr>
      <w:tr w:rsidR="00F53939" w:rsidRPr="005E46B1" w14:paraId="3EDD802D" w14:textId="77777777" w:rsidTr="00C45645">
        <w:trPr>
          <w:trHeight w:val="20"/>
        </w:trPr>
        <w:tc>
          <w:tcPr>
            <w:tcW w:w="1930" w:type="pct"/>
            <w:tcMar>
              <w:top w:w="15" w:type="dxa"/>
              <w:left w:w="15" w:type="dxa"/>
              <w:bottom w:w="0" w:type="dxa"/>
              <w:right w:w="15" w:type="dxa"/>
            </w:tcMar>
            <w:vAlign w:val="center"/>
          </w:tcPr>
          <w:p w14:paraId="3D3C88AA" w14:textId="77777777" w:rsidR="00F53939" w:rsidRPr="0072569B" w:rsidRDefault="00F53939" w:rsidP="00A50D03">
            <w:pPr>
              <w:textAlignment w:val="center"/>
              <w:rPr>
                <w:rFonts w:asciiTheme="minorHAnsi" w:hAnsiTheme="minorHAnsi" w:cstheme="minorHAnsi"/>
                <w:b/>
                <w:kern w:val="24"/>
                <w:sz w:val="22"/>
                <w:szCs w:val="22"/>
                <w:lang w:val="en-US"/>
              </w:rPr>
            </w:pPr>
            <w:r w:rsidRPr="0072569B">
              <w:rPr>
                <w:rFonts w:asciiTheme="minorHAnsi" w:eastAsia="Inter Medium" w:hAnsiTheme="minorHAnsi" w:cstheme="minorHAnsi"/>
                <w:color w:val="000000" w:themeColor="text1"/>
                <w:kern w:val="24"/>
                <w:sz w:val="22"/>
                <w:szCs w:val="22"/>
                <w:lang w:val="en-US"/>
              </w:rPr>
              <w:t>Cost of risk</w:t>
            </w:r>
            <w:r w:rsidRPr="0072569B">
              <w:rPr>
                <w:rFonts w:asciiTheme="minorHAnsi" w:eastAsia="Inter Medium" w:hAnsiTheme="minorHAnsi" w:cstheme="minorHAnsi"/>
                <w:color w:val="000000" w:themeColor="text1"/>
                <w:kern w:val="24"/>
                <w:sz w:val="22"/>
                <w:szCs w:val="22"/>
                <w:vertAlign w:val="superscript"/>
                <w:lang w:val="en-US"/>
              </w:rPr>
              <w:t>5</w:t>
            </w:r>
          </w:p>
        </w:tc>
        <w:tc>
          <w:tcPr>
            <w:tcW w:w="28" w:type="pct"/>
            <w:tcMar>
              <w:top w:w="15" w:type="dxa"/>
              <w:left w:w="15" w:type="dxa"/>
              <w:bottom w:w="0" w:type="dxa"/>
              <w:right w:w="15" w:type="dxa"/>
            </w:tcMar>
            <w:vAlign w:val="center"/>
          </w:tcPr>
          <w:p w14:paraId="5653A737" w14:textId="77777777" w:rsidR="00F53939" w:rsidRPr="006F0AA0" w:rsidRDefault="00F53939" w:rsidP="00A50D03">
            <w:pPr>
              <w:rPr>
                <w:rFonts w:asciiTheme="minorHAnsi" w:hAnsiTheme="minorHAnsi" w:cstheme="minorHAnsi"/>
                <w:sz w:val="22"/>
                <w:szCs w:val="22"/>
              </w:rPr>
            </w:pPr>
          </w:p>
        </w:tc>
        <w:tc>
          <w:tcPr>
            <w:tcW w:w="608" w:type="pct"/>
            <w:shd w:val="clear" w:color="auto" w:fill="F2F2F2" w:themeFill="background1" w:themeFillShade="F2"/>
            <w:tcMar>
              <w:top w:w="15" w:type="dxa"/>
              <w:left w:w="15" w:type="dxa"/>
              <w:bottom w:w="0" w:type="dxa"/>
              <w:right w:w="15" w:type="dxa"/>
            </w:tcMar>
            <w:vAlign w:val="center"/>
          </w:tcPr>
          <w:p w14:paraId="6242D16E" w14:textId="77777777" w:rsidR="00F53939" w:rsidRPr="00F73C6C"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(6.6)</w:t>
            </w:r>
          </w:p>
        </w:tc>
        <w:tc>
          <w:tcPr>
            <w:tcW w:w="608" w:type="pct"/>
            <w:tcMar>
              <w:top w:w="15" w:type="dxa"/>
              <w:left w:w="15" w:type="dxa"/>
              <w:bottom w:w="0" w:type="dxa"/>
              <w:right w:w="15" w:type="dxa"/>
            </w:tcMar>
          </w:tcPr>
          <w:p w14:paraId="38694ABE"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(8.3)</w:t>
            </w:r>
          </w:p>
        </w:tc>
        <w:tc>
          <w:tcPr>
            <w:tcW w:w="608" w:type="pct"/>
          </w:tcPr>
          <w:p w14:paraId="3A653670"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(8.5)</w:t>
            </w:r>
          </w:p>
        </w:tc>
        <w:tc>
          <w:tcPr>
            <w:tcW w:w="608" w:type="pct"/>
            <w:vAlign w:val="center"/>
          </w:tcPr>
          <w:p w14:paraId="57E6313D"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1.7</w:t>
            </w:r>
          </w:p>
        </w:tc>
        <w:tc>
          <w:tcPr>
            <w:tcW w:w="609" w:type="pct"/>
            <w:tcBorders>
              <w:left w:val="nil"/>
            </w:tcBorders>
            <w:tcMar>
              <w:top w:w="15" w:type="dxa"/>
              <w:left w:w="15" w:type="dxa"/>
              <w:bottom w:w="0" w:type="dxa"/>
              <w:right w:w="15" w:type="dxa"/>
            </w:tcMar>
            <w:vAlign w:val="center"/>
          </w:tcPr>
          <w:p w14:paraId="34FBE719"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1.9</w:t>
            </w:r>
          </w:p>
        </w:tc>
      </w:tr>
      <w:tr w:rsidR="00F53939" w:rsidRPr="005E46B1" w14:paraId="0D90F9F5" w14:textId="77777777" w:rsidTr="00C45645">
        <w:trPr>
          <w:trHeight w:val="20"/>
        </w:trPr>
        <w:tc>
          <w:tcPr>
            <w:tcW w:w="1930" w:type="pct"/>
            <w:tcMar>
              <w:top w:w="15" w:type="dxa"/>
              <w:left w:w="15" w:type="dxa"/>
              <w:bottom w:w="0" w:type="dxa"/>
              <w:right w:w="15" w:type="dxa"/>
            </w:tcMar>
            <w:vAlign w:val="center"/>
          </w:tcPr>
          <w:p w14:paraId="528B0CDF" w14:textId="77777777" w:rsidR="00F53939" w:rsidRPr="0072569B" w:rsidRDefault="00F53939" w:rsidP="00A50D03">
            <w:pPr>
              <w:textAlignment w:val="center"/>
              <w:rPr>
                <w:rFonts w:asciiTheme="minorHAnsi" w:hAnsiTheme="minorHAnsi" w:cstheme="minorHAnsi"/>
                <w:b/>
                <w:kern w:val="24"/>
                <w:sz w:val="22"/>
                <w:szCs w:val="22"/>
                <w:lang w:val="en-US"/>
              </w:rPr>
            </w:pPr>
            <w:r w:rsidRPr="0072569B">
              <w:rPr>
                <w:rFonts w:asciiTheme="minorHAnsi" w:eastAsia="Inter Medium" w:hAnsiTheme="minorHAnsi" w:cstheme="minorHAnsi"/>
                <w:color w:val="000000" w:themeColor="text1"/>
                <w:kern w:val="24"/>
                <w:sz w:val="22"/>
                <w:szCs w:val="22"/>
                <w:lang w:val="en-US"/>
              </w:rPr>
              <w:t>Risk-adjusted margin (RAM)</w:t>
            </w:r>
            <w:r w:rsidRPr="0072569B">
              <w:rPr>
                <w:rFonts w:asciiTheme="minorHAnsi" w:eastAsia="Inter Medium" w:hAnsiTheme="minorHAnsi" w:cstheme="minorHAnsi"/>
                <w:color w:val="000000" w:themeColor="text1"/>
                <w:kern w:val="24"/>
                <w:sz w:val="22"/>
                <w:szCs w:val="22"/>
                <w:vertAlign w:val="superscript"/>
                <w:lang w:val="en-US"/>
              </w:rPr>
              <w:t>6</w:t>
            </w:r>
          </w:p>
        </w:tc>
        <w:tc>
          <w:tcPr>
            <w:tcW w:w="28" w:type="pct"/>
            <w:tcMar>
              <w:top w:w="15" w:type="dxa"/>
              <w:left w:w="15" w:type="dxa"/>
              <w:bottom w:w="0" w:type="dxa"/>
              <w:right w:w="15" w:type="dxa"/>
            </w:tcMar>
            <w:vAlign w:val="center"/>
          </w:tcPr>
          <w:p w14:paraId="3B79AEA3" w14:textId="77777777" w:rsidR="00F53939" w:rsidRPr="006F0AA0" w:rsidRDefault="00F53939" w:rsidP="00A50D03">
            <w:pPr>
              <w:rPr>
                <w:rFonts w:asciiTheme="minorHAnsi" w:hAnsiTheme="minorHAnsi" w:cstheme="minorHAnsi"/>
                <w:sz w:val="22"/>
                <w:szCs w:val="22"/>
              </w:rPr>
            </w:pPr>
          </w:p>
        </w:tc>
        <w:tc>
          <w:tcPr>
            <w:tcW w:w="608" w:type="pct"/>
            <w:shd w:val="clear" w:color="auto" w:fill="F2F2F2" w:themeFill="background1" w:themeFillShade="F2"/>
            <w:tcMar>
              <w:top w:w="15" w:type="dxa"/>
              <w:left w:w="15" w:type="dxa"/>
              <w:bottom w:w="0" w:type="dxa"/>
              <w:right w:w="15" w:type="dxa"/>
            </w:tcMar>
            <w:vAlign w:val="center"/>
          </w:tcPr>
          <w:p w14:paraId="462D8512" w14:textId="77777777" w:rsidR="00F53939" w:rsidRPr="00F73C6C"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12.4</w:t>
            </w:r>
          </w:p>
        </w:tc>
        <w:tc>
          <w:tcPr>
            <w:tcW w:w="608" w:type="pct"/>
            <w:tcMar>
              <w:top w:w="15" w:type="dxa"/>
              <w:left w:w="15" w:type="dxa"/>
              <w:bottom w:w="0" w:type="dxa"/>
              <w:right w:w="15" w:type="dxa"/>
            </w:tcMar>
          </w:tcPr>
          <w:p w14:paraId="5B56E5EB"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11.5</w:t>
            </w:r>
          </w:p>
        </w:tc>
        <w:tc>
          <w:tcPr>
            <w:tcW w:w="608" w:type="pct"/>
          </w:tcPr>
          <w:p w14:paraId="2FBF552B"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12.2</w:t>
            </w:r>
          </w:p>
        </w:tc>
        <w:tc>
          <w:tcPr>
            <w:tcW w:w="608" w:type="pct"/>
            <w:vAlign w:val="center"/>
          </w:tcPr>
          <w:p w14:paraId="5A332291"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0.9</w:t>
            </w:r>
          </w:p>
        </w:tc>
        <w:tc>
          <w:tcPr>
            <w:tcW w:w="609" w:type="pct"/>
            <w:tcBorders>
              <w:left w:val="nil"/>
            </w:tcBorders>
            <w:tcMar>
              <w:top w:w="15" w:type="dxa"/>
              <w:left w:w="15" w:type="dxa"/>
              <w:bottom w:w="0" w:type="dxa"/>
              <w:right w:w="15" w:type="dxa"/>
            </w:tcMar>
            <w:vAlign w:val="center"/>
          </w:tcPr>
          <w:p w14:paraId="76C20D9B" w14:textId="77777777"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0.2</w:t>
            </w:r>
          </w:p>
        </w:tc>
      </w:tr>
      <w:tr w:rsidR="00F53939" w:rsidRPr="005E46B1" w14:paraId="437A5159" w14:textId="77777777" w:rsidTr="00C45645">
        <w:trPr>
          <w:trHeight w:val="20"/>
        </w:trPr>
        <w:tc>
          <w:tcPr>
            <w:tcW w:w="1930" w:type="pct"/>
            <w:tcMar>
              <w:top w:w="15" w:type="dxa"/>
              <w:left w:w="15" w:type="dxa"/>
              <w:bottom w:w="0" w:type="dxa"/>
              <w:right w:w="15" w:type="dxa"/>
            </w:tcMar>
            <w:vAlign w:val="center"/>
          </w:tcPr>
          <w:p w14:paraId="0DD1EF38" w14:textId="77777777" w:rsidR="00F53939" w:rsidRPr="0072569B" w:rsidRDefault="00F53939" w:rsidP="00A50D03">
            <w:pPr>
              <w:textAlignment w:val="center"/>
              <w:rPr>
                <w:rFonts w:asciiTheme="minorHAnsi" w:eastAsia="Inter Medium" w:hAnsiTheme="minorHAnsi" w:cstheme="minorHAnsi"/>
                <w:color w:val="000000" w:themeColor="text1"/>
                <w:kern w:val="24"/>
                <w:sz w:val="22"/>
                <w:szCs w:val="22"/>
                <w:lang w:val="en-US"/>
              </w:rPr>
            </w:pPr>
            <w:r>
              <w:rPr>
                <w:rFonts w:asciiTheme="minorHAnsi" w:eastAsia="Inter Medium" w:hAnsiTheme="minorHAnsi" w:cstheme="minorHAnsi"/>
                <w:color w:val="000000" w:themeColor="text1"/>
                <w:kern w:val="24"/>
                <w:sz w:val="22"/>
                <w:szCs w:val="22"/>
                <w:lang w:val="en-US"/>
              </w:rPr>
              <w:t>Statutory c</w:t>
            </w:r>
            <w:r w:rsidRPr="0072569B">
              <w:rPr>
                <w:rFonts w:asciiTheme="minorHAnsi" w:eastAsia="Inter Medium" w:hAnsiTheme="minorHAnsi" w:cstheme="minorHAnsi"/>
                <w:color w:val="000000" w:themeColor="text1"/>
                <w:kern w:val="24"/>
                <w:sz w:val="22"/>
                <w:szCs w:val="22"/>
                <w:lang w:val="en-US"/>
              </w:rPr>
              <w:t>ost: income ratio</w:t>
            </w:r>
            <w:r w:rsidRPr="0072569B">
              <w:rPr>
                <w:rFonts w:asciiTheme="minorHAnsi" w:eastAsia="Inter Medium" w:hAnsiTheme="minorHAnsi" w:cstheme="minorHAnsi"/>
                <w:color w:val="000000" w:themeColor="text1"/>
                <w:kern w:val="24"/>
                <w:sz w:val="22"/>
                <w:szCs w:val="22"/>
                <w:vertAlign w:val="superscript"/>
                <w:lang w:val="en-US"/>
              </w:rPr>
              <w:t>7</w:t>
            </w:r>
          </w:p>
        </w:tc>
        <w:tc>
          <w:tcPr>
            <w:tcW w:w="28" w:type="pct"/>
            <w:tcMar>
              <w:top w:w="15" w:type="dxa"/>
              <w:left w:w="15" w:type="dxa"/>
              <w:bottom w:w="0" w:type="dxa"/>
              <w:right w:w="15" w:type="dxa"/>
            </w:tcMar>
            <w:vAlign w:val="center"/>
          </w:tcPr>
          <w:p w14:paraId="49D2E832" w14:textId="77777777" w:rsidR="00F53939" w:rsidRPr="006F0AA0" w:rsidRDefault="00F53939" w:rsidP="00A50D03">
            <w:pPr>
              <w:rPr>
                <w:rFonts w:asciiTheme="minorHAnsi" w:hAnsiTheme="minorHAnsi" w:cstheme="minorHAnsi"/>
                <w:sz w:val="22"/>
                <w:szCs w:val="22"/>
              </w:rPr>
            </w:pPr>
          </w:p>
        </w:tc>
        <w:tc>
          <w:tcPr>
            <w:tcW w:w="608" w:type="pct"/>
            <w:shd w:val="clear" w:color="auto" w:fill="F2F2F2" w:themeFill="background1" w:themeFillShade="F2"/>
            <w:tcMar>
              <w:top w:w="15" w:type="dxa"/>
              <w:left w:w="15" w:type="dxa"/>
              <w:bottom w:w="0" w:type="dxa"/>
              <w:right w:w="15" w:type="dxa"/>
            </w:tcMar>
            <w:vAlign w:val="center"/>
          </w:tcPr>
          <w:p w14:paraId="3B22B07D" w14:textId="77777777" w:rsidR="00F53939" w:rsidRPr="00F73C6C" w:rsidRDefault="00F53939"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62.5</w:t>
            </w:r>
          </w:p>
        </w:tc>
        <w:tc>
          <w:tcPr>
            <w:tcW w:w="608" w:type="pct"/>
            <w:tcMar>
              <w:top w:w="15" w:type="dxa"/>
              <w:left w:w="15" w:type="dxa"/>
              <w:bottom w:w="0" w:type="dxa"/>
              <w:right w:w="15" w:type="dxa"/>
            </w:tcMar>
          </w:tcPr>
          <w:p w14:paraId="3CD97B95" w14:textId="77777777" w:rsidR="00F53939" w:rsidRPr="00F73C6C"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99.8</w:t>
            </w:r>
          </w:p>
        </w:tc>
        <w:tc>
          <w:tcPr>
            <w:tcW w:w="608" w:type="pct"/>
          </w:tcPr>
          <w:p w14:paraId="7E66EA9A" w14:textId="77777777" w:rsidR="00F53939" w:rsidRPr="001E1073"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79.3</w:t>
            </w:r>
          </w:p>
        </w:tc>
        <w:tc>
          <w:tcPr>
            <w:tcW w:w="608" w:type="pct"/>
            <w:vAlign w:val="center"/>
          </w:tcPr>
          <w:p w14:paraId="4D43103A" w14:textId="120723B8" w:rsidR="00F53939" w:rsidRPr="001E1073"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(37.</w:t>
            </w:r>
            <w:r w:rsidR="009D5895">
              <w:rPr>
                <w:rFonts w:asciiTheme="minorHAnsi" w:hAnsiTheme="minorHAnsi" w:cstheme="minorHAnsi"/>
                <w:kern w:val="24"/>
                <w:sz w:val="22"/>
                <w:szCs w:val="22"/>
              </w:rPr>
              <w:t>3</w:t>
            </w:r>
            <w:r>
              <w:rPr>
                <w:rFonts w:asciiTheme="minorHAnsi" w:hAnsiTheme="minorHAnsi" w:cstheme="minorHAnsi"/>
                <w:kern w:val="24"/>
                <w:sz w:val="22"/>
                <w:szCs w:val="22"/>
              </w:rPr>
              <w:t>)</w:t>
            </w:r>
          </w:p>
        </w:tc>
        <w:tc>
          <w:tcPr>
            <w:tcW w:w="609" w:type="pct"/>
            <w:tcBorders>
              <w:left w:val="nil"/>
            </w:tcBorders>
            <w:tcMar>
              <w:top w:w="15" w:type="dxa"/>
              <w:left w:w="15" w:type="dxa"/>
              <w:bottom w:w="0" w:type="dxa"/>
              <w:right w:w="15" w:type="dxa"/>
            </w:tcMar>
            <w:vAlign w:val="center"/>
          </w:tcPr>
          <w:p w14:paraId="20D26BB2" w14:textId="36F1F886" w:rsidR="00F53939" w:rsidRPr="00F73C6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(16.</w:t>
            </w:r>
            <w:r w:rsidR="006808DE">
              <w:rPr>
                <w:rFonts w:asciiTheme="minorHAnsi" w:hAnsiTheme="minorHAnsi" w:cstheme="minorHAnsi"/>
                <w:kern w:val="24"/>
                <w:sz w:val="22"/>
                <w:szCs w:val="22"/>
              </w:rPr>
              <w:t>8</w:t>
            </w:r>
            <w:r>
              <w:rPr>
                <w:rFonts w:asciiTheme="minorHAnsi" w:hAnsiTheme="minorHAnsi" w:cstheme="minorHAnsi"/>
                <w:kern w:val="24"/>
                <w:sz w:val="22"/>
                <w:szCs w:val="22"/>
              </w:rPr>
              <w:t>)</w:t>
            </w:r>
          </w:p>
        </w:tc>
      </w:tr>
      <w:tr w:rsidR="00F53939" w:rsidRPr="005E46B1" w14:paraId="72E4FAEF" w14:textId="77777777" w:rsidTr="00C45645">
        <w:trPr>
          <w:trHeight w:val="20"/>
        </w:trPr>
        <w:tc>
          <w:tcPr>
            <w:tcW w:w="1930" w:type="pct"/>
            <w:tcBorders>
              <w:left w:val="nil"/>
              <w:right w:val="nil"/>
            </w:tcBorders>
            <w:tcMar>
              <w:top w:w="15" w:type="dxa"/>
              <w:left w:w="15" w:type="dxa"/>
              <w:bottom w:w="0" w:type="dxa"/>
              <w:right w:w="15" w:type="dxa"/>
            </w:tcMar>
            <w:vAlign w:val="center"/>
          </w:tcPr>
          <w:p w14:paraId="468F9A53" w14:textId="77777777" w:rsidR="00F53939" w:rsidRPr="0072569B" w:rsidRDefault="00F53939" w:rsidP="00A50D03">
            <w:pPr>
              <w:textAlignment w:val="center"/>
              <w:rPr>
                <w:rFonts w:asciiTheme="minorHAnsi" w:eastAsia="Inter Light BETA" w:hAnsiTheme="minorHAnsi" w:cstheme="minorHAnsi"/>
                <w:color w:val="000000" w:themeColor="text1"/>
                <w:kern w:val="24"/>
                <w:sz w:val="22"/>
                <w:szCs w:val="22"/>
              </w:rPr>
            </w:pPr>
            <w:r>
              <w:rPr>
                <w:rFonts w:asciiTheme="minorHAnsi" w:eastAsia="Inter Light BETA" w:hAnsiTheme="minorHAnsi" w:cstheme="minorHAnsi"/>
                <w:color w:val="000000" w:themeColor="text1"/>
                <w:kern w:val="24"/>
                <w:sz w:val="22"/>
                <w:szCs w:val="22"/>
              </w:rPr>
              <w:t xml:space="preserve">Statutory </w:t>
            </w:r>
            <w:r w:rsidRPr="0072569B">
              <w:rPr>
                <w:rFonts w:asciiTheme="minorHAnsi" w:eastAsia="Inter Light BETA" w:hAnsiTheme="minorHAnsi" w:cstheme="minorHAnsi"/>
                <w:color w:val="000000" w:themeColor="text1"/>
                <w:kern w:val="24"/>
                <w:sz w:val="22"/>
                <w:szCs w:val="22"/>
              </w:rPr>
              <w:t>ROTE</w:t>
            </w:r>
            <w:r w:rsidRPr="0072569B">
              <w:rPr>
                <w:rFonts w:asciiTheme="minorHAnsi" w:eastAsia="Inter Light BETA" w:hAnsiTheme="minorHAnsi" w:cstheme="minorHAnsi"/>
                <w:color w:val="000000" w:themeColor="text1"/>
                <w:kern w:val="24"/>
                <w:sz w:val="22"/>
                <w:szCs w:val="22"/>
                <w:vertAlign w:val="superscript"/>
              </w:rPr>
              <w:t>8</w:t>
            </w:r>
          </w:p>
        </w:tc>
        <w:tc>
          <w:tcPr>
            <w:tcW w:w="28" w:type="pct"/>
            <w:tcBorders>
              <w:left w:val="nil"/>
              <w:right w:val="nil"/>
            </w:tcBorders>
            <w:tcMar>
              <w:top w:w="15" w:type="dxa"/>
              <w:left w:w="15" w:type="dxa"/>
              <w:bottom w:w="0" w:type="dxa"/>
              <w:right w:w="15" w:type="dxa"/>
            </w:tcMar>
            <w:vAlign w:val="center"/>
          </w:tcPr>
          <w:p w14:paraId="0E203793" w14:textId="77777777" w:rsidR="00F53939" w:rsidRPr="006F0AA0"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0500B894" w14:textId="6D09FDE6" w:rsidR="00F53939" w:rsidRDefault="00922130" w:rsidP="00A50D03">
            <w:pPr>
              <w:jc w:val="right"/>
              <w:textAlignment w:val="bottom"/>
              <w:rPr>
                <w:rFonts w:asciiTheme="minorHAnsi" w:hAnsiTheme="minorHAnsi" w:cstheme="minorHAnsi"/>
                <w:b/>
                <w:kern w:val="24"/>
                <w:sz w:val="22"/>
                <w:szCs w:val="22"/>
              </w:rPr>
            </w:pPr>
            <w:r>
              <w:rPr>
                <w:rFonts w:asciiTheme="minorHAnsi" w:hAnsiTheme="minorHAnsi" w:cstheme="minorHAnsi"/>
                <w:b/>
                <w:kern w:val="24"/>
                <w:sz w:val="22"/>
                <w:szCs w:val="22"/>
              </w:rPr>
              <w:t>3.1</w:t>
            </w:r>
          </w:p>
        </w:tc>
        <w:tc>
          <w:tcPr>
            <w:tcW w:w="608" w:type="pct"/>
            <w:tcBorders>
              <w:left w:val="nil"/>
            </w:tcBorders>
            <w:tcMar>
              <w:top w:w="15" w:type="dxa"/>
              <w:left w:w="15" w:type="dxa"/>
              <w:bottom w:w="0" w:type="dxa"/>
              <w:right w:w="15" w:type="dxa"/>
            </w:tcMar>
          </w:tcPr>
          <w:p w14:paraId="07B5C5C2" w14:textId="6075A44F" w:rsidR="00F53939" w:rsidRPr="00864018"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(45.</w:t>
            </w:r>
            <w:r w:rsidR="00A037DF">
              <w:rPr>
                <w:rFonts w:asciiTheme="minorHAnsi" w:hAnsiTheme="minorHAnsi" w:cstheme="minorHAnsi"/>
                <w:kern w:val="24"/>
                <w:sz w:val="22"/>
                <w:szCs w:val="22"/>
              </w:rPr>
              <w:t>9</w:t>
            </w:r>
            <w:r w:rsidRPr="00864018">
              <w:rPr>
                <w:rFonts w:asciiTheme="minorHAnsi" w:hAnsiTheme="minorHAnsi" w:cstheme="minorHAnsi"/>
                <w:kern w:val="24"/>
                <w:sz w:val="22"/>
                <w:szCs w:val="22"/>
              </w:rPr>
              <w:t>)</w:t>
            </w:r>
          </w:p>
        </w:tc>
        <w:tc>
          <w:tcPr>
            <w:tcW w:w="608" w:type="pct"/>
            <w:tcBorders>
              <w:left w:val="nil"/>
              <w:right w:val="nil"/>
            </w:tcBorders>
          </w:tcPr>
          <w:p w14:paraId="63705B99" w14:textId="3FDB882B" w:rsidR="00F53939" w:rsidRPr="001E1073" w:rsidRDefault="00F53939" w:rsidP="00A50D03">
            <w:pPr>
              <w:jc w:val="right"/>
              <w:textAlignment w:val="bottom"/>
              <w:rPr>
                <w:rFonts w:asciiTheme="minorHAnsi" w:hAnsiTheme="minorHAnsi" w:cstheme="minorHAnsi"/>
                <w:kern w:val="24"/>
                <w:sz w:val="22"/>
                <w:szCs w:val="22"/>
              </w:rPr>
            </w:pPr>
            <w:r w:rsidRPr="00864018">
              <w:rPr>
                <w:rFonts w:asciiTheme="minorHAnsi" w:hAnsiTheme="minorHAnsi" w:cstheme="minorHAnsi"/>
                <w:kern w:val="24"/>
                <w:sz w:val="22"/>
                <w:szCs w:val="22"/>
              </w:rPr>
              <w:t>(18.</w:t>
            </w:r>
            <w:r w:rsidR="001068DA">
              <w:rPr>
                <w:rFonts w:asciiTheme="minorHAnsi" w:hAnsiTheme="minorHAnsi" w:cstheme="minorHAnsi"/>
                <w:kern w:val="24"/>
                <w:sz w:val="22"/>
                <w:szCs w:val="22"/>
              </w:rPr>
              <w:t>9</w:t>
            </w:r>
            <w:r w:rsidRPr="00864018">
              <w:rPr>
                <w:rFonts w:asciiTheme="minorHAnsi" w:hAnsiTheme="minorHAnsi" w:cstheme="minorHAnsi"/>
                <w:kern w:val="24"/>
                <w:sz w:val="22"/>
                <w:szCs w:val="22"/>
              </w:rPr>
              <w:t>)</w:t>
            </w:r>
          </w:p>
        </w:tc>
        <w:tc>
          <w:tcPr>
            <w:tcW w:w="608" w:type="pct"/>
            <w:tcBorders>
              <w:left w:val="nil"/>
              <w:right w:val="nil"/>
            </w:tcBorders>
            <w:vAlign w:val="center"/>
          </w:tcPr>
          <w:p w14:paraId="6876D84B" w14:textId="77777777" w:rsidR="00F53939" w:rsidRPr="001E1073" w:rsidRDefault="00F53939" w:rsidP="00A50D03">
            <w:pPr>
              <w:jc w:val="right"/>
              <w:textAlignment w:val="bottom"/>
              <w:rPr>
                <w:rFonts w:asciiTheme="minorHAnsi" w:hAnsiTheme="minorHAnsi" w:cstheme="minorHAnsi"/>
                <w:kern w:val="24"/>
                <w:sz w:val="22"/>
                <w:szCs w:val="22"/>
              </w:rPr>
            </w:pPr>
          </w:p>
        </w:tc>
        <w:tc>
          <w:tcPr>
            <w:tcW w:w="609" w:type="pct"/>
            <w:tcBorders>
              <w:left w:val="nil"/>
            </w:tcBorders>
            <w:tcMar>
              <w:top w:w="15" w:type="dxa"/>
              <w:left w:w="15" w:type="dxa"/>
              <w:bottom w:w="0" w:type="dxa"/>
              <w:right w:w="15" w:type="dxa"/>
            </w:tcMar>
            <w:vAlign w:val="center"/>
          </w:tcPr>
          <w:p w14:paraId="32549BAD" w14:textId="77777777" w:rsidR="00F53939" w:rsidRPr="00F116E9" w:rsidRDefault="00F53939" w:rsidP="00A50D03">
            <w:pPr>
              <w:jc w:val="right"/>
              <w:textAlignment w:val="bottom"/>
              <w:rPr>
                <w:rFonts w:asciiTheme="minorHAnsi" w:hAnsiTheme="minorHAnsi" w:cstheme="minorHAnsi"/>
                <w:kern w:val="24"/>
                <w:sz w:val="22"/>
                <w:szCs w:val="22"/>
              </w:rPr>
            </w:pPr>
          </w:p>
        </w:tc>
      </w:tr>
      <w:tr w:rsidR="00F53939" w:rsidRPr="005E46B1" w14:paraId="6BDB18F7" w14:textId="77777777" w:rsidTr="00C45645">
        <w:trPr>
          <w:trHeight w:val="20"/>
        </w:trPr>
        <w:tc>
          <w:tcPr>
            <w:tcW w:w="1930" w:type="pct"/>
            <w:tcBorders>
              <w:left w:val="nil"/>
              <w:bottom w:val="single" w:sz="4" w:space="0" w:color="auto"/>
              <w:right w:val="nil"/>
            </w:tcBorders>
            <w:tcMar>
              <w:top w:w="15" w:type="dxa"/>
              <w:left w:w="15" w:type="dxa"/>
              <w:bottom w:w="0" w:type="dxa"/>
              <w:right w:w="15" w:type="dxa"/>
            </w:tcMar>
            <w:vAlign w:val="center"/>
          </w:tcPr>
          <w:p w14:paraId="557BA0C7" w14:textId="77777777" w:rsidR="00F53939" w:rsidRPr="0072569B" w:rsidRDefault="00F53939" w:rsidP="00A50D03">
            <w:pPr>
              <w:textAlignment w:val="center"/>
              <w:rPr>
                <w:rFonts w:asciiTheme="minorHAnsi" w:hAnsiTheme="minorHAnsi" w:cstheme="minorHAnsi"/>
                <w:kern w:val="24"/>
                <w:sz w:val="22"/>
                <w:szCs w:val="22"/>
                <w:lang w:val="en-US"/>
              </w:rPr>
            </w:pPr>
            <w:r w:rsidRPr="0072569B">
              <w:rPr>
                <w:rFonts w:asciiTheme="minorHAnsi" w:eastAsia="Inter Medium" w:hAnsiTheme="minorHAnsi" w:cstheme="minorHAnsi"/>
                <w:b/>
                <w:bCs/>
                <w:color w:val="000000" w:themeColor="text1"/>
                <w:kern w:val="24"/>
                <w:sz w:val="22"/>
                <w:szCs w:val="22"/>
                <w:lang w:val="en-US"/>
              </w:rPr>
              <w:t>Selected per share metrics (p)</w:t>
            </w:r>
          </w:p>
        </w:tc>
        <w:tc>
          <w:tcPr>
            <w:tcW w:w="28" w:type="pct"/>
            <w:tcBorders>
              <w:left w:val="nil"/>
              <w:bottom w:val="single" w:sz="4" w:space="0" w:color="auto"/>
              <w:right w:val="nil"/>
            </w:tcBorders>
            <w:tcMar>
              <w:top w:w="15" w:type="dxa"/>
              <w:left w:w="15" w:type="dxa"/>
              <w:bottom w:w="0" w:type="dxa"/>
              <w:right w:w="15" w:type="dxa"/>
            </w:tcMar>
            <w:vAlign w:val="center"/>
          </w:tcPr>
          <w:p w14:paraId="02D3D92C" w14:textId="77777777" w:rsidR="00F53939" w:rsidRPr="006F0AA0" w:rsidRDefault="00F53939" w:rsidP="00A50D03">
            <w:pPr>
              <w:rPr>
                <w:rFonts w:asciiTheme="minorHAnsi" w:hAnsiTheme="minorHAnsi" w:cstheme="minorHAnsi"/>
                <w:sz w:val="22"/>
                <w:szCs w:val="22"/>
              </w:rPr>
            </w:pPr>
          </w:p>
        </w:tc>
        <w:tc>
          <w:tcPr>
            <w:tcW w:w="608" w:type="pct"/>
            <w:tcBorders>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43F2F86" w14:textId="77777777" w:rsidR="00F53939" w:rsidRPr="00F116E9" w:rsidRDefault="00F53939" w:rsidP="00A50D03">
            <w:pPr>
              <w:ind w:right="115"/>
              <w:jc w:val="right"/>
              <w:rPr>
                <w:rFonts w:asciiTheme="minorHAnsi" w:hAnsiTheme="minorHAnsi" w:cstheme="minorHAnsi"/>
                <w:sz w:val="22"/>
                <w:szCs w:val="22"/>
              </w:rPr>
            </w:pPr>
          </w:p>
        </w:tc>
        <w:tc>
          <w:tcPr>
            <w:tcW w:w="608" w:type="pct"/>
            <w:tcBorders>
              <w:left w:val="nil"/>
              <w:bottom w:val="single" w:sz="4" w:space="0" w:color="auto"/>
            </w:tcBorders>
            <w:tcMar>
              <w:top w:w="15" w:type="dxa"/>
              <w:left w:w="15" w:type="dxa"/>
              <w:bottom w:w="0" w:type="dxa"/>
              <w:right w:w="15" w:type="dxa"/>
            </w:tcMar>
            <w:vAlign w:val="center"/>
          </w:tcPr>
          <w:p w14:paraId="570EE68C" w14:textId="77777777" w:rsidR="00F53939" w:rsidRPr="005514AC" w:rsidRDefault="00F53939" w:rsidP="00A50D03">
            <w:pPr>
              <w:jc w:val="right"/>
              <w:textAlignment w:val="bottom"/>
              <w:rPr>
                <w:rFonts w:asciiTheme="minorHAnsi" w:hAnsiTheme="minorHAnsi" w:cstheme="minorHAnsi"/>
                <w:kern w:val="24"/>
                <w:sz w:val="22"/>
                <w:szCs w:val="22"/>
              </w:rPr>
            </w:pPr>
          </w:p>
        </w:tc>
        <w:tc>
          <w:tcPr>
            <w:tcW w:w="608" w:type="pct"/>
            <w:tcBorders>
              <w:left w:val="nil"/>
              <w:bottom w:val="single" w:sz="4" w:space="0" w:color="auto"/>
              <w:right w:val="nil"/>
            </w:tcBorders>
            <w:vAlign w:val="center"/>
          </w:tcPr>
          <w:p w14:paraId="71AF628C" w14:textId="77777777" w:rsidR="00F53939" w:rsidRDefault="00F53939" w:rsidP="00A50D03">
            <w:pPr>
              <w:ind w:right="115"/>
              <w:jc w:val="right"/>
              <w:rPr>
                <w:rFonts w:asciiTheme="minorHAnsi" w:hAnsiTheme="minorHAnsi" w:cstheme="minorHAnsi"/>
                <w:kern w:val="24"/>
                <w:sz w:val="22"/>
                <w:szCs w:val="22"/>
              </w:rPr>
            </w:pPr>
          </w:p>
        </w:tc>
        <w:tc>
          <w:tcPr>
            <w:tcW w:w="608" w:type="pct"/>
            <w:tcBorders>
              <w:left w:val="nil"/>
              <w:bottom w:val="single" w:sz="4" w:space="0" w:color="auto"/>
              <w:right w:val="nil"/>
            </w:tcBorders>
            <w:vAlign w:val="center"/>
          </w:tcPr>
          <w:p w14:paraId="70647EF5" w14:textId="77777777" w:rsidR="00F53939" w:rsidRDefault="00F53939" w:rsidP="00A50D03">
            <w:pPr>
              <w:ind w:right="115"/>
              <w:jc w:val="right"/>
              <w:rPr>
                <w:rFonts w:asciiTheme="minorHAnsi" w:hAnsiTheme="minorHAnsi" w:cstheme="minorHAnsi"/>
                <w:kern w:val="24"/>
                <w:sz w:val="22"/>
                <w:szCs w:val="22"/>
              </w:rPr>
            </w:pPr>
            <w:proofErr w:type="spellStart"/>
            <w:r>
              <w:rPr>
                <w:rFonts w:asciiTheme="minorHAnsi" w:hAnsiTheme="minorHAnsi" w:cstheme="minorHAnsi"/>
                <w:kern w:val="24"/>
                <w:sz w:val="22"/>
                <w:szCs w:val="22"/>
              </w:rPr>
              <w:t>HoH</w:t>
            </w:r>
            <w:proofErr w:type="spellEnd"/>
            <w:r>
              <w:rPr>
                <w:rFonts w:asciiTheme="minorHAnsi" w:hAnsiTheme="minorHAnsi" w:cstheme="minorHAnsi"/>
                <w:kern w:val="24"/>
                <w:sz w:val="22"/>
                <w:szCs w:val="22"/>
              </w:rPr>
              <w:t xml:space="preserve"> Change %</w:t>
            </w:r>
          </w:p>
        </w:tc>
        <w:tc>
          <w:tcPr>
            <w:tcW w:w="609" w:type="pct"/>
            <w:tcBorders>
              <w:left w:val="nil"/>
              <w:bottom w:val="single" w:sz="4" w:space="0" w:color="auto"/>
            </w:tcBorders>
            <w:tcMar>
              <w:top w:w="15" w:type="dxa"/>
              <w:left w:w="15" w:type="dxa"/>
              <w:bottom w:w="0" w:type="dxa"/>
              <w:right w:w="15" w:type="dxa"/>
            </w:tcMar>
            <w:vAlign w:val="center"/>
          </w:tcPr>
          <w:p w14:paraId="5A675EA2" w14:textId="15E05E5D" w:rsidR="00F53939" w:rsidRDefault="0096153F" w:rsidP="00A50D03">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Y</w:t>
            </w:r>
            <w:r w:rsidR="00F53939">
              <w:rPr>
                <w:rFonts w:asciiTheme="minorHAnsi" w:hAnsiTheme="minorHAnsi" w:cstheme="minorHAnsi"/>
                <w:kern w:val="24"/>
                <w:sz w:val="22"/>
                <w:szCs w:val="22"/>
              </w:rPr>
              <w:t>o</w:t>
            </w:r>
            <w:r>
              <w:rPr>
                <w:rFonts w:asciiTheme="minorHAnsi" w:hAnsiTheme="minorHAnsi" w:cstheme="minorHAnsi"/>
                <w:kern w:val="24"/>
                <w:sz w:val="22"/>
                <w:szCs w:val="22"/>
              </w:rPr>
              <w:t>Y</w:t>
            </w:r>
          </w:p>
          <w:p w14:paraId="4AA660C4" w14:textId="77777777" w:rsidR="00F53939" w:rsidRPr="00F116E9" w:rsidRDefault="00F53939" w:rsidP="00A50D03">
            <w:pPr>
              <w:ind w:right="115"/>
              <w:jc w:val="right"/>
              <w:rPr>
                <w:rFonts w:asciiTheme="minorHAnsi" w:hAnsiTheme="minorHAnsi" w:cstheme="minorHAnsi"/>
                <w:sz w:val="22"/>
                <w:szCs w:val="22"/>
              </w:rPr>
            </w:pPr>
            <w:r>
              <w:rPr>
                <w:rFonts w:asciiTheme="minorHAnsi" w:hAnsiTheme="minorHAnsi" w:cstheme="minorHAnsi"/>
                <w:kern w:val="24"/>
                <w:sz w:val="22"/>
                <w:szCs w:val="22"/>
              </w:rPr>
              <w:t>Change %</w:t>
            </w:r>
          </w:p>
        </w:tc>
      </w:tr>
      <w:tr w:rsidR="00F53939" w:rsidRPr="005E46B1" w14:paraId="690E7A7A" w14:textId="77777777" w:rsidTr="00C45645">
        <w:trPr>
          <w:trHeight w:val="20"/>
        </w:trPr>
        <w:tc>
          <w:tcPr>
            <w:tcW w:w="1930" w:type="pct"/>
            <w:tcBorders>
              <w:left w:val="nil"/>
              <w:right w:val="nil"/>
            </w:tcBorders>
            <w:tcMar>
              <w:top w:w="15" w:type="dxa"/>
              <w:left w:w="15" w:type="dxa"/>
              <w:bottom w:w="0" w:type="dxa"/>
              <w:right w:w="15" w:type="dxa"/>
            </w:tcMar>
            <w:vAlign w:val="center"/>
          </w:tcPr>
          <w:p w14:paraId="4F59ACCC" w14:textId="77777777" w:rsidR="00F53939" w:rsidRPr="00776214" w:rsidRDefault="00F53939" w:rsidP="00A50D03">
            <w:pPr>
              <w:textAlignment w:val="center"/>
              <w:rPr>
                <w:rFonts w:asciiTheme="minorHAnsi" w:hAnsiTheme="minorHAnsi" w:cstheme="minorHAnsi"/>
                <w:kern w:val="24"/>
                <w:sz w:val="22"/>
                <w:szCs w:val="22"/>
                <w:lang w:val="en-US"/>
              </w:rPr>
            </w:pPr>
            <w:r>
              <w:rPr>
                <w:rFonts w:asciiTheme="minorHAnsi" w:eastAsia="Inter Medium" w:hAnsiTheme="minorHAnsi" w:cstheme="minorHAnsi"/>
                <w:color w:val="000000" w:themeColor="text1"/>
                <w:kern w:val="24"/>
                <w:sz w:val="22"/>
                <w:szCs w:val="22"/>
                <w:lang w:val="en-US"/>
              </w:rPr>
              <w:t>Basic earnings</w:t>
            </w:r>
            <w:r w:rsidRPr="001E1073">
              <w:rPr>
                <w:rFonts w:asciiTheme="minorHAnsi" w:eastAsia="Inter Medium" w:hAnsiTheme="minorHAnsi" w:cstheme="minorHAnsi"/>
                <w:color w:val="000000" w:themeColor="text1"/>
                <w:kern w:val="24"/>
                <w:sz w:val="22"/>
                <w:szCs w:val="22"/>
                <w:lang w:val="en-US"/>
              </w:rPr>
              <w:t xml:space="preserve"> per share</w:t>
            </w:r>
            <w:r>
              <w:rPr>
                <w:rFonts w:asciiTheme="minorHAnsi" w:eastAsia="Inter Medium" w:hAnsiTheme="minorHAnsi" w:cstheme="minorHAnsi"/>
                <w:color w:val="000000" w:themeColor="text1"/>
                <w:kern w:val="24"/>
                <w:sz w:val="22"/>
                <w:szCs w:val="22"/>
                <w:lang w:val="en-US"/>
              </w:rPr>
              <w:t xml:space="preserve"> (EPS)</w:t>
            </w:r>
            <w:r>
              <w:rPr>
                <w:rFonts w:asciiTheme="minorHAnsi" w:eastAsia="Inter Medium" w:hAnsiTheme="minorHAnsi" w:cstheme="minorHAnsi"/>
                <w:color w:val="000000" w:themeColor="text1"/>
                <w:kern w:val="24"/>
                <w:sz w:val="22"/>
                <w:szCs w:val="22"/>
                <w:vertAlign w:val="superscript"/>
                <w:lang w:val="en-US"/>
              </w:rPr>
              <w:t>9</w:t>
            </w:r>
          </w:p>
        </w:tc>
        <w:tc>
          <w:tcPr>
            <w:tcW w:w="28" w:type="pct"/>
            <w:tcBorders>
              <w:left w:val="nil"/>
              <w:right w:val="nil"/>
            </w:tcBorders>
            <w:tcMar>
              <w:top w:w="15" w:type="dxa"/>
              <w:left w:w="15" w:type="dxa"/>
              <w:bottom w:w="0" w:type="dxa"/>
              <w:right w:w="15" w:type="dxa"/>
            </w:tcMar>
            <w:vAlign w:val="center"/>
          </w:tcPr>
          <w:p w14:paraId="3E46EBB2" w14:textId="77777777" w:rsidR="00F53939" w:rsidRPr="006F0AA0"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41CCE07C" w14:textId="7BD80CBC" w:rsidR="00F53939" w:rsidRPr="005514AC" w:rsidRDefault="00F53939" w:rsidP="00A50D03">
            <w:pPr>
              <w:jc w:val="right"/>
              <w:textAlignment w:val="bottom"/>
              <w:rPr>
                <w:rFonts w:asciiTheme="minorHAnsi" w:hAnsiTheme="minorHAnsi"/>
                <w:b/>
                <w:bCs/>
                <w:noProof/>
                <w:sz w:val="22"/>
                <w:szCs w:val="22"/>
              </w:rPr>
            </w:pPr>
            <w:r>
              <w:rPr>
                <w:rFonts w:asciiTheme="minorHAnsi" w:hAnsiTheme="minorHAnsi"/>
                <w:b/>
                <w:bCs/>
                <w:noProof/>
                <w:sz w:val="22"/>
                <w:szCs w:val="22"/>
              </w:rPr>
              <w:t>2.</w:t>
            </w:r>
            <w:r w:rsidR="009C5FDC">
              <w:rPr>
                <w:rFonts w:asciiTheme="minorHAnsi" w:hAnsiTheme="minorHAnsi"/>
                <w:b/>
                <w:bCs/>
                <w:noProof/>
                <w:sz w:val="22"/>
                <w:szCs w:val="22"/>
              </w:rPr>
              <w:t>2</w:t>
            </w:r>
          </w:p>
        </w:tc>
        <w:tc>
          <w:tcPr>
            <w:tcW w:w="608" w:type="pct"/>
            <w:tcBorders>
              <w:left w:val="nil"/>
            </w:tcBorders>
            <w:tcMar>
              <w:top w:w="15" w:type="dxa"/>
              <w:left w:w="15" w:type="dxa"/>
              <w:bottom w:w="0" w:type="dxa"/>
              <w:right w:w="15" w:type="dxa"/>
            </w:tcMar>
          </w:tcPr>
          <w:p w14:paraId="6BCCC033" w14:textId="79B11E2A" w:rsidR="00F53939" w:rsidRPr="0037582C" w:rsidRDefault="00F53939" w:rsidP="00A50D03">
            <w:pPr>
              <w:jc w:val="right"/>
              <w:textAlignment w:val="bottom"/>
              <w:rPr>
                <w:rFonts w:asciiTheme="minorHAnsi" w:hAnsiTheme="minorHAnsi" w:cstheme="minorHAnsi"/>
                <w:kern w:val="24"/>
                <w:sz w:val="22"/>
                <w:szCs w:val="22"/>
              </w:rPr>
            </w:pPr>
            <w:r w:rsidRPr="0037582C">
              <w:rPr>
                <w:rFonts w:asciiTheme="minorHAnsi" w:hAnsiTheme="minorHAnsi" w:cstheme="minorHAnsi"/>
                <w:sz w:val="22"/>
                <w:szCs w:val="22"/>
              </w:rPr>
              <w:t>(</w:t>
            </w:r>
            <w:r>
              <w:rPr>
                <w:rFonts w:asciiTheme="minorHAnsi" w:hAnsiTheme="minorHAnsi" w:cstheme="minorHAnsi"/>
                <w:sz w:val="22"/>
                <w:szCs w:val="22"/>
              </w:rPr>
              <w:t>32.</w:t>
            </w:r>
            <w:r w:rsidR="00CF50D0">
              <w:rPr>
                <w:rFonts w:asciiTheme="minorHAnsi" w:hAnsiTheme="minorHAnsi" w:cstheme="minorHAnsi"/>
                <w:sz w:val="22"/>
                <w:szCs w:val="22"/>
              </w:rPr>
              <w:t>6</w:t>
            </w:r>
            <w:r w:rsidRPr="0037582C">
              <w:rPr>
                <w:rFonts w:asciiTheme="minorHAnsi" w:hAnsiTheme="minorHAnsi" w:cstheme="minorHAnsi"/>
                <w:sz w:val="22"/>
                <w:szCs w:val="22"/>
              </w:rPr>
              <w:t>)</w:t>
            </w:r>
          </w:p>
        </w:tc>
        <w:tc>
          <w:tcPr>
            <w:tcW w:w="608" w:type="pct"/>
            <w:tcBorders>
              <w:left w:val="nil"/>
              <w:right w:val="nil"/>
            </w:tcBorders>
          </w:tcPr>
          <w:p w14:paraId="28F6457C" w14:textId="77777777" w:rsidR="00F53939" w:rsidRPr="0037582C" w:rsidRDefault="00F53939" w:rsidP="00A50D03">
            <w:pPr>
              <w:jc w:val="right"/>
              <w:textAlignment w:val="bottom"/>
              <w:rPr>
                <w:rFonts w:asciiTheme="minorHAnsi" w:hAnsiTheme="minorHAnsi" w:cstheme="minorHAnsi"/>
                <w:kern w:val="24"/>
                <w:sz w:val="22"/>
                <w:szCs w:val="22"/>
              </w:rPr>
            </w:pPr>
            <w:r w:rsidRPr="0037582C">
              <w:rPr>
                <w:rFonts w:asciiTheme="minorHAnsi" w:hAnsiTheme="minorHAnsi" w:cstheme="minorHAnsi"/>
                <w:sz w:val="22"/>
                <w:szCs w:val="22"/>
              </w:rPr>
              <w:t>(</w:t>
            </w:r>
            <w:r>
              <w:rPr>
                <w:rFonts w:asciiTheme="minorHAnsi" w:hAnsiTheme="minorHAnsi" w:cstheme="minorHAnsi"/>
                <w:sz w:val="22"/>
                <w:szCs w:val="22"/>
              </w:rPr>
              <w:t>14.1</w:t>
            </w:r>
            <w:r w:rsidRPr="0037582C">
              <w:rPr>
                <w:rFonts w:asciiTheme="minorHAnsi" w:hAnsiTheme="minorHAnsi" w:cstheme="minorHAnsi"/>
                <w:sz w:val="22"/>
                <w:szCs w:val="22"/>
              </w:rPr>
              <w:t>)</w:t>
            </w:r>
          </w:p>
        </w:tc>
        <w:tc>
          <w:tcPr>
            <w:tcW w:w="608" w:type="pct"/>
            <w:tcBorders>
              <w:left w:val="nil"/>
              <w:right w:val="nil"/>
            </w:tcBorders>
            <w:vAlign w:val="center"/>
          </w:tcPr>
          <w:p w14:paraId="0AD481B0" w14:textId="77777777" w:rsidR="00F53939" w:rsidRPr="005514AC" w:rsidRDefault="00F53939" w:rsidP="00A50D03">
            <w:pPr>
              <w:jc w:val="right"/>
              <w:textAlignment w:val="bottom"/>
              <w:rPr>
                <w:rFonts w:asciiTheme="minorHAnsi" w:hAnsiTheme="minorHAnsi" w:cstheme="minorHAnsi"/>
                <w:kern w:val="24"/>
                <w:sz w:val="22"/>
                <w:szCs w:val="22"/>
              </w:rPr>
            </w:pPr>
          </w:p>
        </w:tc>
        <w:tc>
          <w:tcPr>
            <w:tcW w:w="609" w:type="pct"/>
            <w:tcBorders>
              <w:left w:val="nil"/>
            </w:tcBorders>
            <w:tcMar>
              <w:top w:w="15" w:type="dxa"/>
              <w:left w:w="15" w:type="dxa"/>
              <w:bottom w:w="0" w:type="dxa"/>
              <w:right w:w="15" w:type="dxa"/>
            </w:tcMar>
            <w:vAlign w:val="center"/>
          </w:tcPr>
          <w:p w14:paraId="157FF609" w14:textId="77777777" w:rsidR="00F53939" w:rsidRPr="005514AC" w:rsidRDefault="00F53939" w:rsidP="00A50D03">
            <w:pPr>
              <w:jc w:val="right"/>
              <w:textAlignment w:val="bottom"/>
              <w:rPr>
                <w:rFonts w:asciiTheme="minorHAnsi" w:hAnsiTheme="minorHAnsi" w:cstheme="minorHAnsi"/>
                <w:kern w:val="24"/>
                <w:sz w:val="22"/>
                <w:szCs w:val="22"/>
              </w:rPr>
            </w:pPr>
          </w:p>
        </w:tc>
      </w:tr>
      <w:tr w:rsidR="00F53939" w:rsidRPr="005E46B1" w14:paraId="2C2ED2FF" w14:textId="77777777" w:rsidTr="00C45645">
        <w:trPr>
          <w:trHeight w:val="20"/>
        </w:trPr>
        <w:tc>
          <w:tcPr>
            <w:tcW w:w="1930" w:type="pct"/>
            <w:tcBorders>
              <w:left w:val="nil"/>
              <w:right w:val="nil"/>
            </w:tcBorders>
            <w:tcMar>
              <w:top w:w="15" w:type="dxa"/>
              <w:left w:w="15" w:type="dxa"/>
              <w:bottom w:w="0" w:type="dxa"/>
              <w:right w:w="15" w:type="dxa"/>
            </w:tcMar>
            <w:vAlign w:val="center"/>
          </w:tcPr>
          <w:p w14:paraId="6B7D97E6" w14:textId="77777777" w:rsidR="00F53939" w:rsidRPr="00776214" w:rsidRDefault="00F53939" w:rsidP="00A50D03">
            <w:pPr>
              <w:textAlignment w:val="center"/>
              <w:rPr>
                <w:rFonts w:asciiTheme="minorHAnsi" w:hAnsiTheme="minorHAnsi" w:cstheme="minorHAnsi"/>
                <w:kern w:val="24"/>
                <w:sz w:val="22"/>
                <w:szCs w:val="22"/>
                <w:lang w:val="en-US"/>
              </w:rPr>
            </w:pPr>
            <w:r w:rsidRPr="001E1073">
              <w:rPr>
                <w:rFonts w:asciiTheme="minorHAnsi" w:eastAsia="Inter Medium" w:hAnsiTheme="minorHAnsi" w:cstheme="minorHAnsi"/>
                <w:color w:val="000000" w:themeColor="text1"/>
                <w:kern w:val="24"/>
                <w:sz w:val="22"/>
                <w:szCs w:val="22"/>
                <w:lang w:val="en-US"/>
              </w:rPr>
              <w:t>Dividend per share</w:t>
            </w:r>
          </w:p>
        </w:tc>
        <w:tc>
          <w:tcPr>
            <w:tcW w:w="28" w:type="pct"/>
            <w:tcBorders>
              <w:left w:val="nil"/>
              <w:right w:val="nil"/>
            </w:tcBorders>
            <w:tcMar>
              <w:top w:w="15" w:type="dxa"/>
              <w:left w:w="15" w:type="dxa"/>
              <w:bottom w:w="0" w:type="dxa"/>
              <w:right w:w="15" w:type="dxa"/>
            </w:tcMar>
            <w:vAlign w:val="center"/>
          </w:tcPr>
          <w:p w14:paraId="4C393CE1" w14:textId="77777777" w:rsidR="00F53939" w:rsidRPr="006F0AA0"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4AE153FC" w14:textId="77777777" w:rsidR="00F53939" w:rsidRPr="005514AC" w:rsidRDefault="00F53939" w:rsidP="00A50D03">
            <w:pPr>
              <w:jc w:val="right"/>
              <w:textAlignment w:val="bottom"/>
              <w:rPr>
                <w:rFonts w:asciiTheme="minorHAnsi" w:hAnsiTheme="minorHAnsi"/>
                <w:b/>
                <w:bCs/>
                <w:noProof/>
                <w:sz w:val="22"/>
                <w:szCs w:val="22"/>
              </w:rPr>
            </w:pPr>
            <w:r>
              <w:rPr>
                <w:rFonts w:asciiTheme="minorHAnsi" w:hAnsiTheme="minorHAnsi"/>
                <w:b/>
                <w:bCs/>
                <w:noProof/>
                <w:sz w:val="22"/>
                <w:szCs w:val="22"/>
              </w:rPr>
              <w:t>-</w:t>
            </w:r>
          </w:p>
        </w:tc>
        <w:tc>
          <w:tcPr>
            <w:tcW w:w="608" w:type="pct"/>
            <w:tcBorders>
              <w:left w:val="nil"/>
            </w:tcBorders>
            <w:tcMar>
              <w:top w:w="15" w:type="dxa"/>
              <w:left w:w="15" w:type="dxa"/>
              <w:bottom w:w="0" w:type="dxa"/>
              <w:right w:w="15" w:type="dxa"/>
            </w:tcMar>
          </w:tcPr>
          <w:p w14:paraId="415FD8FE" w14:textId="77777777" w:rsidR="00F53939" w:rsidRPr="0037582C" w:rsidRDefault="00F53939" w:rsidP="00A50D03">
            <w:pPr>
              <w:jc w:val="right"/>
              <w:textAlignment w:val="bottom"/>
              <w:rPr>
                <w:rFonts w:asciiTheme="minorHAnsi" w:hAnsiTheme="minorHAnsi" w:cstheme="minorHAnsi"/>
                <w:kern w:val="24"/>
                <w:sz w:val="22"/>
                <w:szCs w:val="22"/>
              </w:rPr>
            </w:pPr>
            <w:r w:rsidRPr="0037582C">
              <w:rPr>
                <w:rFonts w:asciiTheme="minorHAnsi" w:hAnsiTheme="minorHAnsi" w:cstheme="minorHAnsi"/>
                <w:sz w:val="22"/>
                <w:szCs w:val="22"/>
              </w:rPr>
              <w:t>-</w:t>
            </w:r>
          </w:p>
        </w:tc>
        <w:tc>
          <w:tcPr>
            <w:tcW w:w="608" w:type="pct"/>
            <w:tcBorders>
              <w:left w:val="nil"/>
              <w:right w:val="nil"/>
            </w:tcBorders>
          </w:tcPr>
          <w:p w14:paraId="15145813" w14:textId="77777777" w:rsidR="00F53939" w:rsidRPr="0037582C" w:rsidRDefault="00F53939" w:rsidP="00A50D03">
            <w:pPr>
              <w:jc w:val="right"/>
              <w:textAlignment w:val="bottom"/>
              <w:rPr>
                <w:rFonts w:asciiTheme="minorHAnsi" w:hAnsiTheme="minorHAnsi" w:cstheme="minorHAnsi"/>
                <w:kern w:val="24"/>
                <w:sz w:val="22"/>
                <w:szCs w:val="22"/>
              </w:rPr>
            </w:pPr>
            <w:r w:rsidRPr="0037582C">
              <w:rPr>
                <w:rFonts w:asciiTheme="minorHAnsi" w:hAnsiTheme="minorHAnsi" w:cstheme="minorHAnsi"/>
                <w:sz w:val="22"/>
                <w:szCs w:val="22"/>
              </w:rPr>
              <w:t>-</w:t>
            </w:r>
          </w:p>
        </w:tc>
        <w:tc>
          <w:tcPr>
            <w:tcW w:w="608" w:type="pct"/>
            <w:tcBorders>
              <w:left w:val="nil"/>
              <w:right w:val="nil"/>
            </w:tcBorders>
            <w:vAlign w:val="center"/>
          </w:tcPr>
          <w:p w14:paraId="48839589" w14:textId="77777777" w:rsidR="00F53939" w:rsidRPr="001E1073"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w:t>
            </w:r>
          </w:p>
        </w:tc>
        <w:tc>
          <w:tcPr>
            <w:tcW w:w="609" w:type="pct"/>
            <w:tcBorders>
              <w:left w:val="nil"/>
            </w:tcBorders>
            <w:tcMar>
              <w:top w:w="15" w:type="dxa"/>
              <w:left w:w="15" w:type="dxa"/>
              <w:bottom w:w="0" w:type="dxa"/>
              <w:right w:w="15" w:type="dxa"/>
            </w:tcMar>
            <w:vAlign w:val="center"/>
          </w:tcPr>
          <w:p w14:paraId="7B0C914B" w14:textId="77777777" w:rsidR="00F53939" w:rsidRPr="005514A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w:t>
            </w:r>
          </w:p>
        </w:tc>
      </w:tr>
      <w:tr w:rsidR="00F53939" w:rsidRPr="005E46B1" w14:paraId="017E90E7" w14:textId="77777777" w:rsidTr="00C45645">
        <w:trPr>
          <w:trHeight w:val="20"/>
        </w:trPr>
        <w:tc>
          <w:tcPr>
            <w:tcW w:w="1930" w:type="pct"/>
            <w:tcBorders>
              <w:left w:val="nil"/>
              <w:right w:val="nil"/>
            </w:tcBorders>
            <w:tcMar>
              <w:top w:w="15" w:type="dxa"/>
              <w:left w:w="15" w:type="dxa"/>
              <w:bottom w:w="0" w:type="dxa"/>
              <w:right w:w="15" w:type="dxa"/>
            </w:tcMar>
            <w:vAlign w:val="center"/>
          </w:tcPr>
          <w:p w14:paraId="1B615815" w14:textId="77777777" w:rsidR="00F53939" w:rsidRPr="00776214" w:rsidRDefault="00F53939" w:rsidP="00A50D03">
            <w:pPr>
              <w:textAlignment w:val="center"/>
              <w:rPr>
                <w:rFonts w:asciiTheme="minorHAnsi" w:hAnsiTheme="minorHAnsi" w:cstheme="minorHAnsi"/>
                <w:kern w:val="24"/>
                <w:sz w:val="22"/>
                <w:szCs w:val="22"/>
                <w:lang w:val="en-US"/>
              </w:rPr>
            </w:pPr>
            <w:r>
              <w:rPr>
                <w:rFonts w:asciiTheme="minorHAnsi" w:eastAsia="Inter Medium" w:hAnsiTheme="minorHAnsi" w:cstheme="minorHAnsi"/>
                <w:color w:val="000000" w:themeColor="text1"/>
                <w:kern w:val="24"/>
                <w:sz w:val="22"/>
                <w:szCs w:val="22"/>
                <w:lang w:val="en-US"/>
              </w:rPr>
              <w:t>T</w:t>
            </w:r>
            <w:r w:rsidRPr="001E1073">
              <w:rPr>
                <w:rFonts w:asciiTheme="minorHAnsi" w:eastAsia="Inter Medium" w:hAnsiTheme="minorHAnsi" w:cstheme="minorHAnsi"/>
                <w:color w:val="000000" w:themeColor="text1"/>
                <w:kern w:val="24"/>
                <w:sz w:val="22"/>
                <w:szCs w:val="22"/>
                <w:lang w:val="en-US"/>
              </w:rPr>
              <w:t>NAV per share</w:t>
            </w:r>
            <w:r w:rsidRPr="00516021">
              <w:rPr>
                <w:rFonts w:asciiTheme="minorHAnsi" w:eastAsia="Inter Medium" w:hAnsiTheme="minorHAnsi" w:cstheme="minorHAnsi"/>
                <w:color w:val="000000" w:themeColor="text1"/>
                <w:kern w:val="24"/>
                <w:sz w:val="22"/>
                <w:szCs w:val="22"/>
                <w:vertAlign w:val="superscript"/>
                <w:lang w:val="en-US"/>
              </w:rPr>
              <w:t>1</w:t>
            </w:r>
            <w:r>
              <w:rPr>
                <w:rFonts w:asciiTheme="minorHAnsi" w:eastAsia="Inter Medium" w:hAnsiTheme="minorHAnsi" w:cstheme="minorHAnsi"/>
                <w:color w:val="000000" w:themeColor="text1"/>
                <w:kern w:val="24"/>
                <w:sz w:val="22"/>
                <w:szCs w:val="22"/>
                <w:vertAlign w:val="superscript"/>
                <w:lang w:val="en-US"/>
              </w:rPr>
              <w:t>0</w:t>
            </w:r>
          </w:p>
        </w:tc>
        <w:tc>
          <w:tcPr>
            <w:tcW w:w="28" w:type="pct"/>
            <w:tcBorders>
              <w:left w:val="nil"/>
              <w:right w:val="nil"/>
            </w:tcBorders>
            <w:tcMar>
              <w:top w:w="15" w:type="dxa"/>
              <w:left w:w="15" w:type="dxa"/>
              <w:bottom w:w="0" w:type="dxa"/>
              <w:right w:w="15" w:type="dxa"/>
            </w:tcMar>
            <w:vAlign w:val="center"/>
          </w:tcPr>
          <w:p w14:paraId="007CD023" w14:textId="77777777" w:rsidR="00F53939" w:rsidRPr="006F0AA0" w:rsidRDefault="00F53939" w:rsidP="00A50D03">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4F496C29" w14:textId="3B5B9A1D" w:rsidR="00F53939" w:rsidRPr="005514AC" w:rsidRDefault="00F53939" w:rsidP="00A50D03">
            <w:pPr>
              <w:jc w:val="right"/>
              <w:textAlignment w:val="bottom"/>
              <w:rPr>
                <w:rFonts w:asciiTheme="minorHAnsi" w:hAnsiTheme="minorHAnsi"/>
                <w:b/>
                <w:bCs/>
                <w:noProof/>
                <w:sz w:val="22"/>
                <w:szCs w:val="22"/>
              </w:rPr>
            </w:pPr>
            <w:r>
              <w:rPr>
                <w:rFonts w:asciiTheme="minorHAnsi" w:hAnsiTheme="minorHAnsi"/>
                <w:b/>
                <w:bCs/>
                <w:noProof/>
                <w:sz w:val="22"/>
                <w:szCs w:val="22"/>
              </w:rPr>
              <w:t>14</w:t>
            </w:r>
            <w:r w:rsidR="00330454">
              <w:rPr>
                <w:rFonts w:asciiTheme="minorHAnsi" w:hAnsiTheme="minorHAnsi"/>
                <w:b/>
                <w:bCs/>
                <w:noProof/>
                <w:sz w:val="22"/>
                <w:szCs w:val="22"/>
              </w:rPr>
              <w:t>2</w:t>
            </w:r>
          </w:p>
        </w:tc>
        <w:tc>
          <w:tcPr>
            <w:tcW w:w="608" w:type="pct"/>
            <w:tcBorders>
              <w:left w:val="nil"/>
            </w:tcBorders>
            <w:tcMar>
              <w:top w:w="15" w:type="dxa"/>
              <w:left w:w="15" w:type="dxa"/>
              <w:bottom w:w="0" w:type="dxa"/>
              <w:right w:w="15" w:type="dxa"/>
            </w:tcMar>
          </w:tcPr>
          <w:p w14:paraId="4EC7497F" w14:textId="77777777" w:rsidR="00F53939" w:rsidRPr="0037582C" w:rsidRDefault="00F53939" w:rsidP="00A50D03">
            <w:pPr>
              <w:jc w:val="right"/>
              <w:textAlignment w:val="bottom"/>
              <w:rPr>
                <w:rFonts w:asciiTheme="minorHAnsi" w:hAnsiTheme="minorHAnsi" w:cstheme="minorHAnsi"/>
                <w:kern w:val="24"/>
                <w:sz w:val="22"/>
                <w:szCs w:val="22"/>
              </w:rPr>
            </w:pPr>
            <w:r w:rsidRPr="0037582C">
              <w:rPr>
                <w:rFonts w:asciiTheme="minorHAnsi" w:hAnsiTheme="minorHAnsi" w:cstheme="minorHAnsi"/>
                <w:sz w:val="22"/>
                <w:szCs w:val="22"/>
              </w:rPr>
              <w:t>14</w:t>
            </w:r>
            <w:r>
              <w:rPr>
                <w:rFonts w:asciiTheme="minorHAnsi" w:hAnsiTheme="minorHAnsi" w:cstheme="minorHAnsi"/>
                <w:sz w:val="22"/>
                <w:szCs w:val="22"/>
              </w:rPr>
              <w:t>0</w:t>
            </w:r>
          </w:p>
        </w:tc>
        <w:tc>
          <w:tcPr>
            <w:tcW w:w="608" w:type="pct"/>
            <w:tcBorders>
              <w:left w:val="nil"/>
              <w:right w:val="nil"/>
            </w:tcBorders>
            <w:vAlign w:val="center"/>
          </w:tcPr>
          <w:p w14:paraId="4E5B61F4" w14:textId="6939A0AF" w:rsidR="00F53939" w:rsidRPr="0037582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14</w:t>
            </w:r>
            <w:r w:rsidR="0012253C">
              <w:rPr>
                <w:rFonts w:asciiTheme="minorHAnsi" w:hAnsiTheme="minorHAnsi" w:cstheme="minorHAnsi"/>
                <w:kern w:val="24"/>
                <w:sz w:val="22"/>
                <w:szCs w:val="22"/>
              </w:rPr>
              <w:t>6</w:t>
            </w:r>
          </w:p>
        </w:tc>
        <w:tc>
          <w:tcPr>
            <w:tcW w:w="608" w:type="pct"/>
            <w:tcBorders>
              <w:left w:val="nil"/>
              <w:right w:val="nil"/>
            </w:tcBorders>
            <w:vAlign w:val="center"/>
          </w:tcPr>
          <w:p w14:paraId="22C9BF29" w14:textId="3546F9E2" w:rsidR="00F53939" w:rsidRPr="001E1073" w:rsidRDefault="0047203C"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w:t>
            </w:r>
          </w:p>
        </w:tc>
        <w:tc>
          <w:tcPr>
            <w:tcW w:w="609" w:type="pct"/>
            <w:tcBorders>
              <w:left w:val="nil"/>
            </w:tcBorders>
            <w:tcMar>
              <w:top w:w="15" w:type="dxa"/>
              <w:left w:w="15" w:type="dxa"/>
              <w:bottom w:w="0" w:type="dxa"/>
              <w:right w:w="15" w:type="dxa"/>
            </w:tcMar>
            <w:vAlign w:val="center"/>
          </w:tcPr>
          <w:p w14:paraId="30B7427D" w14:textId="77777777" w:rsidR="00F53939" w:rsidRPr="005514AC" w:rsidRDefault="00F53939" w:rsidP="00A50D03">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(3)</w:t>
            </w:r>
          </w:p>
        </w:tc>
      </w:tr>
    </w:tbl>
    <w:p w14:paraId="0E88156D" w14:textId="77777777" w:rsidR="00F53939" w:rsidRDefault="00F53939" w:rsidP="00F53939">
      <w:pPr>
        <w:jc w:val="both"/>
        <w:rPr>
          <w:rFonts w:ascii="Calibri" w:eastAsia="Calibri" w:hAnsi="Calibri" w:cs="Arial"/>
          <w:b/>
          <w:bCs/>
          <w:color w:val="4747FF"/>
          <w:sz w:val="22"/>
          <w:szCs w:val="22"/>
        </w:rPr>
      </w:pPr>
    </w:p>
    <w:p w14:paraId="669D5164" w14:textId="77777777" w:rsidR="0057498B" w:rsidRDefault="0057498B" w:rsidP="00F53939">
      <w:pPr>
        <w:jc w:val="both"/>
        <w:rPr>
          <w:rFonts w:ascii="Calibri" w:eastAsia="Calibri" w:hAnsi="Calibri" w:cs="Arial"/>
          <w:b/>
          <w:bCs/>
          <w:color w:val="4747FF"/>
          <w:sz w:val="22"/>
          <w:szCs w:val="22"/>
        </w:rPr>
      </w:pPr>
    </w:p>
    <w:p w14:paraId="09E3CB2F" w14:textId="77777777" w:rsidR="00BE441D" w:rsidRDefault="00BE441D" w:rsidP="00F53939">
      <w:pPr>
        <w:jc w:val="both"/>
        <w:rPr>
          <w:rFonts w:ascii="Calibri" w:eastAsia="Calibri" w:hAnsi="Calibri" w:cs="Arial"/>
          <w:b/>
          <w:bCs/>
          <w:color w:val="4747FF"/>
          <w:sz w:val="22"/>
          <w:szCs w:val="22"/>
        </w:rPr>
      </w:pPr>
    </w:p>
    <w:p w14:paraId="2607542F" w14:textId="77777777" w:rsidR="00F66008" w:rsidRDefault="00F66008" w:rsidP="00F53939">
      <w:pPr>
        <w:jc w:val="both"/>
        <w:rPr>
          <w:rFonts w:ascii="Calibri" w:eastAsia="Calibri" w:hAnsi="Calibri" w:cs="Arial"/>
          <w:b/>
          <w:bCs/>
          <w:color w:val="4747FF"/>
          <w:sz w:val="22"/>
          <w:szCs w:val="22"/>
        </w:rPr>
      </w:pPr>
    </w:p>
    <w:tbl>
      <w:tblPr>
        <w:tblW w:w="5000" w:type="pct"/>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255"/>
        <w:gridCol w:w="1700"/>
        <w:gridCol w:w="1256"/>
        <w:gridCol w:w="1256"/>
        <w:gridCol w:w="1256"/>
      </w:tblGrid>
      <w:tr w:rsidR="00F53939" w:rsidRPr="00A166EB" w14:paraId="6EB950BC" w14:textId="77777777" w:rsidTr="004F735E">
        <w:trPr>
          <w:trHeight w:val="250"/>
        </w:trPr>
        <w:tc>
          <w:tcPr>
            <w:tcW w:w="2188" w:type="pct"/>
            <w:tcBorders>
              <w:top w:val="nil"/>
              <w:left w:val="nil"/>
              <w:bottom w:val="single" w:sz="4" w:space="0" w:color="auto"/>
              <w:right w:val="nil"/>
            </w:tcBorders>
            <w:tcMar>
              <w:top w:w="60" w:type="dxa"/>
              <w:bottom w:w="60" w:type="dxa"/>
            </w:tcMar>
            <w:vAlign w:val="bottom"/>
          </w:tcPr>
          <w:p w14:paraId="15AAB05F" w14:textId="77777777" w:rsidR="00F53939" w:rsidRPr="008A62ED" w:rsidRDefault="00F53939" w:rsidP="00A50D03">
            <w:pPr>
              <w:rPr>
                <w:rFonts w:asciiTheme="minorHAnsi" w:hAnsiTheme="minorHAnsi" w:cstheme="minorHAnsi"/>
                <w:b/>
                <w:bCs/>
                <w:sz w:val="22"/>
                <w:szCs w:val="22"/>
              </w:rPr>
            </w:pPr>
            <w:r w:rsidRPr="008A62ED">
              <w:rPr>
                <w:rFonts w:asciiTheme="minorHAnsi" w:hAnsiTheme="minorHAnsi" w:cstheme="minorHAnsi"/>
                <w:b/>
                <w:bCs/>
                <w:sz w:val="22"/>
                <w:szCs w:val="22"/>
              </w:rPr>
              <w:t>Notable items (£m)</w:t>
            </w:r>
          </w:p>
        </w:tc>
        <w:tc>
          <w:tcPr>
            <w:tcW w:w="874" w:type="pct"/>
            <w:tcBorders>
              <w:top w:val="nil"/>
              <w:left w:val="nil"/>
              <w:bottom w:val="single" w:sz="4" w:space="0" w:color="auto"/>
              <w:right w:val="nil"/>
            </w:tcBorders>
          </w:tcPr>
          <w:p w14:paraId="503CE1B6" w14:textId="77777777" w:rsidR="00F53939" w:rsidRPr="00C13B4B" w:rsidRDefault="00F53939" w:rsidP="00A50D03">
            <w:pPr>
              <w:spacing w:line="259" w:lineRule="auto"/>
              <w:ind w:right="115"/>
              <w:jc w:val="center"/>
              <w:rPr>
                <w:rFonts w:asciiTheme="minorHAnsi" w:hAnsiTheme="minorHAnsi" w:cstheme="minorHAnsi"/>
                <w:sz w:val="22"/>
                <w:szCs w:val="22"/>
              </w:rPr>
            </w:pPr>
            <w:r w:rsidRPr="00C13B4B">
              <w:rPr>
                <w:rFonts w:asciiTheme="minorHAnsi" w:hAnsiTheme="minorHAnsi" w:cstheme="minorHAnsi"/>
                <w:sz w:val="22"/>
                <w:szCs w:val="22"/>
              </w:rPr>
              <w:t>Account line</w:t>
            </w:r>
          </w:p>
        </w:tc>
        <w:tc>
          <w:tcPr>
            <w:tcW w:w="646" w:type="pct"/>
            <w:tcBorders>
              <w:top w:val="nil"/>
              <w:left w:val="nil"/>
              <w:bottom w:val="single" w:sz="4" w:space="0" w:color="auto"/>
              <w:right w:val="nil"/>
            </w:tcBorders>
            <w:shd w:val="clear" w:color="auto" w:fill="F2F2F2" w:themeFill="background1" w:themeFillShade="F2"/>
            <w:vAlign w:val="center"/>
          </w:tcPr>
          <w:p w14:paraId="4AABDB9B" w14:textId="77777777" w:rsidR="00F53939" w:rsidRPr="00C13B4B" w:rsidRDefault="00F53939" w:rsidP="00A50D03">
            <w:pPr>
              <w:spacing w:line="259" w:lineRule="auto"/>
              <w:ind w:right="115"/>
              <w:jc w:val="right"/>
              <w:rPr>
                <w:rFonts w:asciiTheme="minorHAnsi" w:hAnsiTheme="minorHAnsi" w:cstheme="minorHAnsi"/>
                <w:b/>
                <w:bCs/>
                <w:sz w:val="22"/>
                <w:szCs w:val="22"/>
              </w:rPr>
            </w:pPr>
            <w:r w:rsidRPr="00C13B4B">
              <w:rPr>
                <w:rFonts w:asciiTheme="minorHAnsi" w:eastAsia="Inter Medium" w:hAnsiTheme="minorHAnsi" w:cstheme="minorHAnsi"/>
                <w:b/>
                <w:bCs/>
                <w:kern w:val="24"/>
                <w:sz w:val="22"/>
                <w:szCs w:val="22"/>
              </w:rPr>
              <w:t>Jun-25</w:t>
            </w:r>
          </w:p>
        </w:tc>
        <w:tc>
          <w:tcPr>
            <w:tcW w:w="646" w:type="pct"/>
            <w:tcBorders>
              <w:top w:val="nil"/>
              <w:left w:val="nil"/>
              <w:bottom w:val="single" w:sz="4" w:space="0" w:color="auto"/>
              <w:right w:val="nil"/>
            </w:tcBorders>
            <w:vAlign w:val="center"/>
          </w:tcPr>
          <w:p w14:paraId="3E14B701" w14:textId="77777777" w:rsidR="00F53939" w:rsidRPr="00C13B4B" w:rsidRDefault="00F53939" w:rsidP="00A50D03">
            <w:pPr>
              <w:jc w:val="right"/>
              <w:rPr>
                <w:rFonts w:asciiTheme="minorHAnsi" w:hAnsiTheme="minorHAnsi" w:cstheme="minorHAnsi"/>
                <w:kern w:val="24"/>
                <w:sz w:val="22"/>
                <w:szCs w:val="22"/>
              </w:rPr>
            </w:pPr>
            <w:r w:rsidRPr="00C13B4B">
              <w:rPr>
                <w:rFonts w:asciiTheme="minorHAnsi" w:hAnsiTheme="minorHAnsi" w:cstheme="minorHAnsi"/>
                <w:kern w:val="24"/>
                <w:sz w:val="22"/>
                <w:szCs w:val="22"/>
              </w:rPr>
              <w:t>Dec-24</w:t>
            </w:r>
          </w:p>
        </w:tc>
        <w:tc>
          <w:tcPr>
            <w:tcW w:w="646" w:type="pct"/>
            <w:tcBorders>
              <w:top w:val="nil"/>
              <w:left w:val="nil"/>
              <w:bottom w:val="single" w:sz="4" w:space="0" w:color="auto"/>
              <w:right w:val="nil"/>
            </w:tcBorders>
            <w:vAlign w:val="center"/>
          </w:tcPr>
          <w:p w14:paraId="3BBD7835" w14:textId="77777777" w:rsidR="00F53939" w:rsidRPr="00C13B4B" w:rsidRDefault="00F53939" w:rsidP="00A50D03">
            <w:pPr>
              <w:jc w:val="right"/>
              <w:rPr>
                <w:rFonts w:asciiTheme="minorHAnsi" w:eastAsia="Poppins" w:hAnsiTheme="minorHAnsi" w:cstheme="minorHAnsi"/>
                <w:sz w:val="22"/>
                <w:szCs w:val="22"/>
              </w:rPr>
            </w:pPr>
            <w:r w:rsidRPr="00C13B4B">
              <w:rPr>
                <w:rFonts w:asciiTheme="minorHAnsi" w:hAnsiTheme="minorHAnsi" w:cstheme="minorHAnsi"/>
                <w:sz w:val="22"/>
                <w:szCs w:val="22"/>
              </w:rPr>
              <w:t>Jun-24</w:t>
            </w:r>
          </w:p>
        </w:tc>
      </w:tr>
      <w:tr w:rsidR="00F53939" w:rsidRPr="00224AA1" w14:paraId="756BB311" w14:textId="77777777" w:rsidTr="004F735E">
        <w:trPr>
          <w:trHeight w:val="271"/>
        </w:trPr>
        <w:tc>
          <w:tcPr>
            <w:tcW w:w="2188" w:type="pct"/>
            <w:tcBorders>
              <w:top w:val="single" w:sz="4" w:space="0" w:color="auto"/>
              <w:left w:val="nil"/>
              <w:bottom w:val="nil"/>
              <w:right w:val="nil"/>
            </w:tcBorders>
          </w:tcPr>
          <w:p w14:paraId="565B2113" w14:textId="77777777" w:rsidR="00F53939" w:rsidRPr="00C13B4B" w:rsidRDefault="00F53939" w:rsidP="00A50D03">
            <w:pPr>
              <w:ind w:right="115"/>
              <w:rPr>
                <w:rFonts w:asciiTheme="minorHAnsi" w:eastAsia="Poppins" w:hAnsiTheme="minorHAnsi" w:cstheme="minorHAnsi"/>
                <w:sz w:val="22"/>
                <w:szCs w:val="22"/>
              </w:rPr>
            </w:pPr>
            <w:r w:rsidRPr="00C13B4B">
              <w:rPr>
                <w:rFonts w:asciiTheme="minorHAnsi" w:hAnsiTheme="minorHAnsi" w:cstheme="minorHAnsi"/>
                <w:sz w:val="22"/>
                <w:szCs w:val="22"/>
              </w:rPr>
              <w:t>Goodwill write-off</w:t>
            </w:r>
          </w:p>
        </w:tc>
        <w:tc>
          <w:tcPr>
            <w:tcW w:w="874" w:type="pct"/>
            <w:tcBorders>
              <w:top w:val="single" w:sz="4" w:space="0" w:color="auto"/>
              <w:left w:val="nil"/>
              <w:bottom w:val="nil"/>
              <w:right w:val="nil"/>
            </w:tcBorders>
          </w:tcPr>
          <w:p w14:paraId="0110BB96" w14:textId="77777777" w:rsidR="00F53939" w:rsidRPr="00C13B4B" w:rsidRDefault="00F53939" w:rsidP="00A50D03">
            <w:pPr>
              <w:jc w:val="center"/>
              <w:rPr>
                <w:rFonts w:asciiTheme="minorHAnsi" w:hAnsiTheme="minorHAnsi" w:cstheme="minorHAnsi"/>
                <w:sz w:val="22"/>
                <w:szCs w:val="22"/>
              </w:rPr>
            </w:pPr>
            <w:r w:rsidRPr="00C13B4B">
              <w:rPr>
                <w:rFonts w:asciiTheme="minorHAnsi" w:hAnsiTheme="minorHAnsi" w:cstheme="minorHAnsi"/>
                <w:sz w:val="22"/>
                <w:szCs w:val="22"/>
              </w:rPr>
              <w:t>Operating costs</w:t>
            </w:r>
          </w:p>
        </w:tc>
        <w:tc>
          <w:tcPr>
            <w:tcW w:w="646" w:type="pct"/>
            <w:tcBorders>
              <w:top w:val="single" w:sz="4" w:space="0" w:color="auto"/>
              <w:left w:val="nil"/>
              <w:bottom w:val="nil"/>
              <w:right w:val="nil"/>
            </w:tcBorders>
            <w:shd w:val="clear" w:color="auto" w:fill="F2F2F2" w:themeFill="background1" w:themeFillShade="F2"/>
            <w:vAlign w:val="center"/>
          </w:tcPr>
          <w:p w14:paraId="79F90942" w14:textId="77777777" w:rsidR="00F53939" w:rsidRPr="00C13B4B" w:rsidRDefault="00F53939" w:rsidP="00A50D03">
            <w:pPr>
              <w:jc w:val="right"/>
              <w:rPr>
                <w:rFonts w:asciiTheme="minorHAnsi" w:hAnsiTheme="minorHAnsi" w:cstheme="minorHAnsi"/>
                <w:b/>
                <w:bCs/>
                <w:sz w:val="22"/>
                <w:szCs w:val="22"/>
              </w:rPr>
            </w:pPr>
            <w:r w:rsidRPr="00C13B4B">
              <w:rPr>
                <w:rFonts w:asciiTheme="minorHAnsi" w:hAnsiTheme="minorHAnsi" w:cstheme="minorHAnsi"/>
                <w:b/>
                <w:bCs/>
                <w:sz w:val="22"/>
                <w:szCs w:val="22"/>
              </w:rPr>
              <w:t>-</w:t>
            </w:r>
          </w:p>
        </w:tc>
        <w:tc>
          <w:tcPr>
            <w:tcW w:w="646" w:type="pct"/>
            <w:tcBorders>
              <w:top w:val="single" w:sz="4" w:space="0" w:color="auto"/>
              <w:left w:val="nil"/>
              <w:bottom w:val="nil"/>
              <w:right w:val="nil"/>
            </w:tcBorders>
            <w:vAlign w:val="center"/>
          </w:tcPr>
          <w:p w14:paraId="61E529C7"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sz w:val="22"/>
                <w:szCs w:val="22"/>
              </w:rPr>
              <w:t>(71.2)</w:t>
            </w:r>
          </w:p>
        </w:tc>
        <w:tc>
          <w:tcPr>
            <w:tcW w:w="646" w:type="pct"/>
            <w:tcBorders>
              <w:top w:val="single" w:sz="4" w:space="0" w:color="auto"/>
              <w:left w:val="nil"/>
              <w:bottom w:val="nil"/>
              <w:right w:val="nil"/>
            </w:tcBorders>
            <w:vAlign w:val="center"/>
          </w:tcPr>
          <w:p w14:paraId="2F80A5F7"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kern w:val="24"/>
                <w:sz w:val="22"/>
                <w:szCs w:val="22"/>
              </w:rPr>
              <w:t>-</w:t>
            </w:r>
          </w:p>
        </w:tc>
      </w:tr>
      <w:tr w:rsidR="00F53939" w:rsidRPr="00224AA1" w14:paraId="7AA3FF66" w14:textId="77777777" w:rsidTr="004F735E">
        <w:trPr>
          <w:trHeight w:val="271"/>
        </w:trPr>
        <w:tc>
          <w:tcPr>
            <w:tcW w:w="2188" w:type="pct"/>
            <w:tcBorders>
              <w:top w:val="nil"/>
              <w:left w:val="nil"/>
              <w:bottom w:val="nil"/>
              <w:right w:val="nil"/>
            </w:tcBorders>
          </w:tcPr>
          <w:p w14:paraId="3FC1982D" w14:textId="77777777" w:rsidR="00F53939" w:rsidRPr="00C13B4B" w:rsidRDefault="00F53939" w:rsidP="00A50D03">
            <w:pPr>
              <w:ind w:right="115"/>
              <w:rPr>
                <w:rFonts w:asciiTheme="minorHAnsi" w:hAnsiTheme="minorHAnsi" w:cstheme="minorHAnsi"/>
                <w:sz w:val="22"/>
                <w:szCs w:val="22"/>
              </w:rPr>
            </w:pPr>
            <w:r w:rsidRPr="00C13B4B">
              <w:rPr>
                <w:rFonts w:asciiTheme="minorHAnsi" w:hAnsiTheme="minorHAnsi" w:cstheme="minorHAnsi"/>
                <w:sz w:val="22"/>
                <w:szCs w:val="22"/>
              </w:rPr>
              <w:t>Transformation and other exceptional costs</w:t>
            </w:r>
          </w:p>
        </w:tc>
        <w:tc>
          <w:tcPr>
            <w:tcW w:w="874" w:type="pct"/>
            <w:tcBorders>
              <w:top w:val="nil"/>
              <w:left w:val="nil"/>
              <w:bottom w:val="nil"/>
              <w:right w:val="nil"/>
            </w:tcBorders>
          </w:tcPr>
          <w:p w14:paraId="00F7B9B6" w14:textId="77777777" w:rsidR="00F53939" w:rsidRPr="00C13B4B" w:rsidRDefault="00F53939" w:rsidP="00A50D03">
            <w:pPr>
              <w:jc w:val="center"/>
              <w:rPr>
                <w:rFonts w:asciiTheme="minorHAnsi" w:hAnsiTheme="minorHAnsi" w:cstheme="minorHAnsi"/>
                <w:sz w:val="22"/>
                <w:szCs w:val="22"/>
              </w:rPr>
            </w:pPr>
            <w:r w:rsidRPr="00C13B4B">
              <w:rPr>
                <w:rFonts w:asciiTheme="minorHAnsi" w:hAnsiTheme="minorHAnsi" w:cstheme="minorHAnsi"/>
                <w:sz w:val="22"/>
                <w:szCs w:val="22"/>
              </w:rPr>
              <w:t>Operating costs</w:t>
            </w:r>
          </w:p>
        </w:tc>
        <w:tc>
          <w:tcPr>
            <w:tcW w:w="646" w:type="pct"/>
            <w:tcBorders>
              <w:top w:val="nil"/>
              <w:left w:val="nil"/>
              <w:bottom w:val="nil"/>
              <w:right w:val="nil"/>
            </w:tcBorders>
            <w:shd w:val="clear" w:color="auto" w:fill="F2F2F2" w:themeFill="background1" w:themeFillShade="F2"/>
            <w:vAlign w:val="center"/>
          </w:tcPr>
          <w:p w14:paraId="3A9C39E8" w14:textId="77777777" w:rsidR="00F53939" w:rsidRPr="00C13B4B" w:rsidRDefault="00F53939" w:rsidP="00A50D03">
            <w:pPr>
              <w:jc w:val="right"/>
              <w:rPr>
                <w:rFonts w:asciiTheme="minorHAnsi" w:hAnsiTheme="minorHAnsi" w:cstheme="minorHAnsi"/>
                <w:b/>
                <w:bCs/>
                <w:sz w:val="22"/>
                <w:szCs w:val="22"/>
              </w:rPr>
            </w:pPr>
            <w:r w:rsidRPr="00C13B4B">
              <w:rPr>
                <w:rFonts w:asciiTheme="minorHAnsi" w:hAnsiTheme="minorHAnsi" w:cstheme="minorHAnsi"/>
                <w:b/>
                <w:bCs/>
                <w:sz w:val="22"/>
                <w:szCs w:val="22"/>
              </w:rPr>
              <w:t>-</w:t>
            </w:r>
          </w:p>
        </w:tc>
        <w:tc>
          <w:tcPr>
            <w:tcW w:w="646" w:type="pct"/>
            <w:tcBorders>
              <w:top w:val="nil"/>
              <w:left w:val="nil"/>
              <w:bottom w:val="nil"/>
              <w:right w:val="nil"/>
            </w:tcBorders>
            <w:vAlign w:val="center"/>
          </w:tcPr>
          <w:p w14:paraId="16665B5E"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sz w:val="22"/>
                <w:szCs w:val="22"/>
              </w:rPr>
              <w:t>(8.6)</w:t>
            </w:r>
          </w:p>
        </w:tc>
        <w:tc>
          <w:tcPr>
            <w:tcW w:w="646" w:type="pct"/>
            <w:tcBorders>
              <w:top w:val="nil"/>
              <w:left w:val="nil"/>
              <w:bottom w:val="nil"/>
              <w:right w:val="nil"/>
            </w:tcBorders>
            <w:vAlign w:val="center"/>
          </w:tcPr>
          <w:p w14:paraId="6FCBDB2B"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kern w:val="24"/>
                <w:sz w:val="22"/>
                <w:szCs w:val="22"/>
              </w:rPr>
              <w:t>(15.5)</w:t>
            </w:r>
          </w:p>
        </w:tc>
      </w:tr>
      <w:tr w:rsidR="00F53939" w:rsidRPr="00224AA1" w14:paraId="444D6AA2" w14:textId="77777777" w:rsidTr="004F735E">
        <w:trPr>
          <w:trHeight w:val="271"/>
        </w:trPr>
        <w:tc>
          <w:tcPr>
            <w:tcW w:w="2188" w:type="pct"/>
            <w:tcBorders>
              <w:top w:val="nil"/>
              <w:left w:val="nil"/>
              <w:bottom w:val="nil"/>
              <w:right w:val="nil"/>
            </w:tcBorders>
          </w:tcPr>
          <w:p w14:paraId="0089D2C9" w14:textId="77777777" w:rsidR="00F53939" w:rsidRPr="00C13B4B" w:rsidRDefault="00F53939" w:rsidP="00A50D03">
            <w:pPr>
              <w:ind w:right="115"/>
              <w:rPr>
                <w:rFonts w:asciiTheme="minorHAnsi" w:hAnsiTheme="minorHAnsi" w:cstheme="minorHAnsi"/>
                <w:sz w:val="22"/>
                <w:szCs w:val="22"/>
              </w:rPr>
            </w:pPr>
            <w:r w:rsidRPr="00C13B4B">
              <w:rPr>
                <w:rFonts w:asciiTheme="minorHAnsi" w:hAnsiTheme="minorHAnsi" w:cstheme="minorHAnsi"/>
                <w:sz w:val="22"/>
                <w:szCs w:val="22"/>
              </w:rPr>
              <w:t>Amortisation of acquisition intangibles</w:t>
            </w:r>
          </w:p>
        </w:tc>
        <w:tc>
          <w:tcPr>
            <w:tcW w:w="874" w:type="pct"/>
            <w:tcBorders>
              <w:top w:val="nil"/>
              <w:left w:val="nil"/>
              <w:bottom w:val="nil"/>
              <w:right w:val="nil"/>
            </w:tcBorders>
          </w:tcPr>
          <w:p w14:paraId="42681DB2" w14:textId="77777777" w:rsidR="00F53939" w:rsidRPr="00C13B4B" w:rsidRDefault="00F53939" w:rsidP="00A50D03">
            <w:pPr>
              <w:jc w:val="center"/>
              <w:rPr>
                <w:rFonts w:asciiTheme="minorHAnsi" w:hAnsiTheme="minorHAnsi" w:cstheme="minorHAnsi"/>
                <w:sz w:val="22"/>
                <w:szCs w:val="22"/>
              </w:rPr>
            </w:pPr>
            <w:r w:rsidRPr="00C13B4B">
              <w:rPr>
                <w:rFonts w:asciiTheme="minorHAnsi" w:hAnsiTheme="minorHAnsi" w:cstheme="minorHAnsi"/>
                <w:sz w:val="22"/>
                <w:szCs w:val="22"/>
              </w:rPr>
              <w:t>Operating costs</w:t>
            </w:r>
          </w:p>
        </w:tc>
        <w:tc>
          <w:tcPr>
            <w:tcW w:w="646" w:type="pct"/>
            <w:tcBorders>
              <w:top w:val="nil"/>
              <w:left w:val="nil"/>
              <w:bottom w:val="nil"/>
              <w:right w:val="nil"/>
            </w:tcBorders>
            <w:shd w:val="clear" w:color="auto" w:fill="F2F2F2" w:themeFill="background1" w:themeFillShade="F2"/>
            <w:vAlign w:val="center"/>
          </w:tcPr>
          <w:p w14:paraId="2F4803BE" w14:textId="77777777" w:rsidR="00F53939" w:rsidRPr="00C13B4B" w:rsidRDefault="00F53939" w:rsidP="00A50D03">
            <w:pPr>
              <w:jc w:val="right"/>
              <w:rPr>
                <w:rFonts w:asciiTheme="minorHAnsi" w:hAnsiTheme="minorHAnsi" w:cstheme="minorHAnsi"/>
                <w:b/>
                <w:bCs/>
                <w:sz w:val="22"/>
                <w:szCs w:val="22"/>
              </w:rPr>
            </w:pPr>
            <w:r w:rsidRPr="00C13B4B">
              <w:rPr>
                <w:rFonts w:asciiTheme="minorHAnsi" w:hAnsiTheme="minorHAnsi" w:cstheme="minorHAnsi"/>
                <w:b/>
                <w:bCs/>
                <w:sz w:val="22"/>
                <w:szCs w:val="22"/>
              </w:rPr>
              <w:t>-</w:t>
            </w:r>
          </w:p>
        </w:tc>
        <w:tc>
          <w:tcPr>
            <w:tcW w:w="646" w:type="pct"/>
            <w:tcBorders>
              <w:top w:val="nil"/>
              <w:left w:val="nil"/>
              <w:bottom w:val="nil"/>
              <w:right w:val="nil"/>
            </w:tcBorders>
            <w:vAlign w:val="center"/>
          </w:tcPr>
          <w:p w14:paraId="78C4594D"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sz w:val="22"/>
                <w:szCs w:val="22"/>
              </w:rPr>
              <w:t>(2.0)</w:t>
            </w:r>
          </w:p>
        </w:tc>
        <w:tc>
          <w:tcPr>
            <w:tcW w:w="646" w:type="pct"/>
            <w:tcBorders>
              <w:top w:val="nil"/>
              <w:left w:val="nil"/>
              <w:bottom w:val="nil"/>
              <w:right w:val="nil"/>
            </w:tcBorders>
            <w:vAlign w:val="center"/>
          </w:tcPr>
          <w:p w14:paraId="1FA2D18A" w14:textId="77777777" w:rsidR="00F53939" w:rsidRPr="00C13B4B" w:rsidRDefault="00F53939" w:rsidP="00A50D03">
            <w:pPr>
              <w:jc w:val="right"/>
              <w:rPr>
                <w:rFonts w:asciiTheme="minorHAnsi" w:hAnsiTheme="minorHAnsi" w:cstheme="minorHAnsi"/>
                <w:kern w:val="24"/>
                <w:sz w:val="22"/>
                <w:szCs w:val="22"/>
              </w:rPr>
            </w:pPr>
            <w:r w:rsidRPr="00C13B4B">
              <w:rPr>
                <w:rFonts w:asciiTheme="minorHAnsi" w:hAnsiTheme="minorHAnsi" w:cstheme="minorHAnsi"/>
                <w:kern w:val="24"/>
                <w:sz w:val="22"/>
                <w:szCs w:val="22"/>
              </w:rPr>
              <w:t>(4.2)</w:t>
            </w:r>
          </w:p>
        </w:tc>
      </w:tr>
      <w:tr w:rsidR="00F53939" w:rsidRPr="009032C9" w14:paraId="1E9E0F32" w14:textId="77777777" w:rsidTr="004F735E">
        <w:trPr>
          <w:trHeight w:val="271"/>
        </w:trPr>
        <w:tc>
          <w:tcPr>
            <w:tcW w:w="2188" w:type="pct"/>
            <w:tcBorders>
              <w:top w:val="nil"/>
              <w:left w:val="nil"/>
              <w:bottom w:val="nil"/>
              <w:right w:val="nil"/>
            </w:tcBorders>
          </w:tcPr>
          <w:p w14:paraId="690097F9" w14:textId="77777777" w:rsidR="00F53939" w:rsidRPr="00C13B4B" w:rsidRDefault="00F53939" w:rsidP="00A50D03">
            <w:pPr>
              <w:ind w:right="115"/>
              <w:rPr>
                <w:rFonts w:asciiTheme="minorHAnsi" w:hAnsiTheme="minorHAnsi" w:cstheme="minorHAnsi"/>
                <w:sz w:val="22"/>
                <w:szCs w:val="22"/>
              </w:rPr>
            </w:pPr>
            <w:r w:rsidRPr="00C13B4B">
              <w:rPr>
                <w:rFonts w:asciiTheme="minorHAnsi" w:hAnsiTheme="minorHAnsi" w:cstheme="minorHAnsi"/>
                <w:sz w:val="22"/>
                <w:szCs w:val="22"/>
              </w:rPr>
              <w:t xml:space="preserve">Vehicle Finance receivables review </w:t>
            </w:r>
          </w:p>
        </w:tc>
        <w:tc>
          <w:tcPr>
            <w:tcW w:w="874" w:type="pct"/>
            <w:tcBorders>
              <w:top w:val="nil"/>
              <w:left w:val="nil"/>
              <w:bottom w:val="nil"/>
              <w:right w:val="nil"/>
            </w:tcBorders>
          </w:tcPr>
          <w:p w14:paraId="56D32477" w14:textId="77777777" w:rsidR="00F53939" w:rsidRPr="00C13B4B" w:rsidRDefault="00F53939" w:rsidP="00A50D03">
            <w:pPr>
              <w:jc w:val="center"/>
              <w:rPr>
                <w:rFonts w:asciiTheme="minorHAnsi" w:hAnsiTheme="minorHAnsi" w:cstheme="minorHAnsi"/>
                <w:sz w:val="22"/>
                <w:szCs w:val="22"/>
              </w:rPr>
            </w:pPr>
            <w:r w:rsidRPr="00C13B4B">
              <w:rPr>
                <w:rFonts w:asciiTheme="minorHAnsi" w:hAnsiTheme="minorHAnsi" w:cstheme="minorHAnsi"/>
                <w:sz w:val="22"/>
                <w:szCs w:val="22"/>
              </w:rPr>
              <w:t>Income</w:t>
            </w:r>
          </w:p>
        </w:tc>
        <w:tc>
          <w:tcPr>
            <w:tcW w:w="646" w:type="pct"/>
            <w:tcBorders>
              <w:top w:val="nil"/>
              <w:left w:val="nil"/>
              <w:bottom w:val="nil"/>
              <w:right w:val="nil"/>
            </w:tcBorders>
            <w:shd w:val="clear" w:color="auto" w:fill="F2F2F2" w:themeFill="background1" w:themeFillShade="F2"/>
            <w:vAlign w:val="center"/>
          </w:tcPr>
          <w:p w14:paraId="7D2AD07A" w14:textId="77777777" w:rsidR="00F53939" w:rsidRPr="00C13B4B" w:rsidRDefault="00F53939" w:rsidP="00A50D03">
            <w:pPr>
              <w:jc w:val="right"/>
              <w:rPr>
                <w:rFonts w:asciiTheme="minorHAnsi" w:hAnsiTheme="minorHAnsi" w:cstheme="minorHAnsi"/>
                <w:b/>
                <w:bCs/>
                <w:sz w:val="22"/>
                <w:szCs w:val="22"/>
              </w:rPr>
            </w:pPr>
            <w:r w:rsidRPr="00C13B4B">
              <w:rPr>
                <w:rFonts w:asciiTheme="minorHAnsi" w:hAnsiTheme="minorHAnsi" w:cstheme="minorHAnsi"/>
                <w:b/>
                <w:bCs/>
                <w:sz w:val="22"/>
                <w:szCs w:val="22"/>
              </w:rPr>
              <w:t>-</w:t>
            </w:r>
          </w:p>
        </w:tc>
        <w:tc>
          <w:tcPr>
            <w:tcW w:w="646" w:type="pct"/>
            <w:tcBorders>
              <w:top w:val="nil"/>
              <w:left w:val="nil"/>
              <w:bottom w:val="nil"/>
              <w:right w:val="nil"/>
            </w:tcBorders>
            <w:vAlign w:val="center"/>
          </w:tcPr>
          <w:p w14:paraId="6E8CE40F"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sz w:val="22"/>
                <w:szCs w:val="22"/>
              </w:rPr>
              <w:t>(1.4)</w:t>
            </w:r>
          </w:p>
        </w:tc>
        <w:tc>
          <w:tcPr>
            <w:tcW w:w="646" w:type="pct"/>
            <w:tcBorders>
              <w:top w:val="nil"/>
              <w:left w:val="nil"/>
              <w:bottom w:val="nil"/>
              <w:right w:val="nil"/>
            </w:tcBorders>
            <w:vAlign w:val="center"/>
          </w:tcPr>
          <w:p w14:paraId="2E160A83"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sz w:val="22"/>
                <w:szCs w:val="22"/>
              </w:rPr>
              <w:t>(3.1)</w:t>
            </w:r>
          </w:p>
        </w:tc>
      </w:tr>
      <w:tr w:rsidR="00F53939" w14:paraId="39EF8A83" w14:textId="77777777" w:rsidTr="004F735E">
        <w:trPr>
          <w:trHeight w:val="271"/>
        </w:trPr>
        <w:tc>
          <w:tcPr>
            <w:tcW w:w="2188" w:type="pct"/>
            <w:tcBorders>
              <w:top w:val="nil"/>
              <w:left w:val="nil"/>
              <w:bottom w:val="nil"/>
              <w:right w:val="nil"/>
            </w:tcBorders>
          </w:tcPr>
          <w:p w14:paraId="30B9AF35" w14:textId="77777777" w:rsidR="00F53939" w:rsidRPr="00C13B4B" w:rsidRDefault="00F53939" w:rsidP="00A50D03">
            <w:pPr>
              <w:ind w:right="115"/>
              <w:rPr>
                <w:rFonts w:asciiTheme="minorHAnsi" w:hAnsiTheme="minorHAnsi" w:cstheme="minorHAnsi"/>
                <w:sz w:val="22"/>
                <w:szCs w:val="22"/>
              </w:rPr>
            </w:pPr>
          </w:p>
        </w:tc>
        <w:tc>
          <w:tcPr>
            <w:tcW w:w="874" w:type="pct"/>
            <w:tcBorders>
              <w:top w:val="nil"/>
              <w:left w:val="nil"/>
              <w:bottom w:val="nil"/>
              <w:right w:val="nil"/>
            </w:tcBorders>
          </w:tcPr>
          <w:p w14:paraId="5E834703" w14:textId="77777777" w:rsidR="00F53939" w:rsidRPr="00C13B4B" w:rsidRDefault="00F53939" w:rsidP="00A50D03">
            <w:pPr>
              <w:jc w:val="center"/>
              <w:rPr>
                <w:rFonts w:asciiTheme="minorHAnsi" w:hAnsiTheme="minorHAnsi" w:cstheme="minorHAnsi"/>
                <w:sz w:val="22"/>
                <w:szCs w:val="22"/>
              </w:rPr>
            </w:pPr>
            <w:r w:rsidRPr="00C13B4B">
              <w:rPr>
                <w:rFonts w:asciiTheme="minorHAnsi" w:hAnsiTheme="minorHAnsi" w:cstheme="minorHAnsi"/>
                <w:sz w:val="22"/>
                <w:szCs w:val="22"/>
              </w:rPr>
              <w:t>Impairment</w:t>
            </w:r>
          </w:p>
        </w:tc>
        <w:tc>
          <w:tcPr>
            <w:tcW w:w="646" w:type="pct"/>
            <w:tcBorders>
              <w:top w:val="nil"/>
              <w:left w:val="nil"/>
              <w:bottom w:val="nil"/>
              <w:right w:val="nil"/>
            </w:tcBorders>
            <w:shd w:val="clear" w:color="auto" w:fill="F2F2F2" w:themeFill="background1" w:themeFillShade="F2"/>
            <w:vAlign w:val="center"/>
          </w:tcPr>
          <w:p w14:paraId="6D483838" w14:textId="77777777" w:rsidR="00F53939" w:rsidRPr="00C13B4B" w:rsidRDefault="00F53939" w:rsidP="00A50D03">
            <w:pPr>
              <w:jc w:val="right"/>
              <w:rPr>
                <w:rFonts w:asciiTheme="minorHAnsi" w:hAnsiTheme="minorHAnsi" w:cstheme="minorHAnsi"/>
                <w:b/>
                <w:bCs/>
                <w:sz w:val="22"/>
                <w:szCs w:val="22"/>
              </w:rPr>
            </w:pPr>
            <w:r w:rsidRPr="00C13B4B">
              <w:rPr>
                <w:rFonts w:asciiTheme="minorHAnsi" w:hAnsiTheme="minorHAnsi" w:cstheme="minorHAnsi"/>
                <w:b/>
                <w:bCs/>
                <w:sz w:val="22"/>
                <w:szCs w:val="22"/>
              </w:rPr>
              <w:t>-</w:t>
            </w:r>
          </w:p>
        </w:tc>
        <w:tc>
          <w:tcPr>
            <w:tcW w:w="646" w:type="pct"/>
            <w:tcBorders>
              <w:top w:val="nil"/>
              <w:left w:val="nil"/>
              <w:bottom w:val="nil"/>
              <w:right w:val="nil"/>
            </w:tcBorders>
            <w:vAlign w:val="center"/>
          </w:tcPr>
          <w:p w14:paraId="06A1BF66"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sz w:val="22"/>
                <w:szCs w:val="22"/>
              </w:rPr>
              <w:t>(5.4)</w:t>
            </w:r>
          </w:p>
        </w:tc>
        <w:tc>
          <w:tcPr>
            <w:tcW w:w="646" w:type="pct"/>
            <w:tcBorders>
              <w:top w:val="nil"/>
              <w:left w:val="nil"/>
              <w:bottom w:val="nil"/>
              <w:right w:val="nil"/>
            </w:tcBorders>
            <w:vAlign w:val="center"/>
          </w:tcPr>
          <w:p w14:paraId="063853B2"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sz w:val="22"/>
                <w:szCs w:val="22"/>
              </w:rPr>
              <w:t>(9.7)</w:t>
            </w:r>
          </w:p>
        </w:tc>
      </w:tr>
      <w:tr w:rsidR="00F53939" w:rsidRPr="00E40E39" w14:paraId="7A5E41B5" w14:textId="77777777" w:rsidTr="004F735E">
        <w:trPr>
          <w:trHeight w:val="271"/>
        </w:trPr>
        <w:tc>
          <w:tcPr>
            <w:tcW w:w="2188" w:type="pct"/>
            <w:tcBorders>
              <w:top w:val="nil"/>
              <w:left w:val="nil"/>
              <w:bottom w:val="single" w:sz="4" w:space="0" w:color="auto"/>
              <w:right w:val="nil"/>
            </w:tcBorders>
          </w:tcPr>
          <w:p w14:paraId="35A19BEE" w14:textId="77777777" w:rsidR="00F53939" w:rsidRPr="00C13B4B" w:rsidRDefault="00F53939" w:rsidP="00A50D03">
            <w:pPr>
              <w:ind w:right="115"/>
              <w:rPr>
                <w:rFonts w:asciiTheme="minorHAnsi" w:eastAsia="Poppins" w:hAnsiTheme="minorHAnsi" w:cstheme="minorHAnsi"/>
                <w:sz w:val="22"/>
                <w:szCs w:val="22"/>
              </w:rPr>
            </w:pPr>
            <w:r w:rsidRPr="00C13B4B">
              <w:rPr>
                <w:rFonts w:asciiTheme="minorHAnsi" w:eastAsia="Poppins" w:hAnsiTheme="minorHAnsi" w:cstheme="minorHAnsi"/>
                <w:sz w:val="22"/>
                <w:szCs w:val="22"/>
              </w:rPr>
              <w:t>Other one-off cost items</w:t>
            </w:r>
          </w:p>
        </w:tc>
        <w:tc>
          <w:tcPr>
            <w:tcW w:w="874" w:type="pct"/>
            <w:tcBorders>
              <w:top w:val="nil"/>
              <w:left w:val="nil"/>
              <w:bottom w:val="single" w:sz="4" w:space="0" w:color="auto"/>
              <w:right w:val="nil"/>
            </w:tcBorders>
          </w:tcPr>
          <w:p w14:paraId="13E7D939" w14:textId="77777777" w:rsidR="00F53939" w:rsidRPr="00C13B4B" w:rsidRDefault="00F53939" w:rsidP="00A50D03">
            <w:pPr>
              <w:jc w:val="center"/>
              <w:rPr>
                <w:rFonts w:asciiTheme="minorHAnsi" w:hAnsiTheme="minorHAnsi" w:cstheme="minorHAnsi"/>
                <w:sz w:val="22"/>
                <w:szCs w:val="22"/>
              </w:rPr>
            </w:pPr>
            <w:r w:rsidRPr="00C13B4B">
              <w:rPr>
                <w:rFonts w:asciiTheme="minorHAnsi" w:hAnsiTheme="minorHAnsi" w:cstheme="minorHAnsi"/>
                <w:sz w:val="22"/>
                <w:szCs w:val="22"/>
              </w:rPr>
              <w:t>Operating costs</w:t>
            </w:r>
          </w:p>
        </w:tc>
        <w:tc>
          <w:tcPr>
            <w:tcW w:w="646" w:type="pct"/>
            <w:tcBorders>
              <w:top w:val="nil"/>
              <w:left w:val="nil"/>
              <w:bottom w:val="single" w:sz="4" w:space="0" w:color="auto"/>
              <w:right w:val="nil"/>
            </w:tcBorders>
            <w:shd w:val="clear" w:color="auto" w:fill="F2F2F2" w:themeFill="background1" w:themeFillShade="F2"/>
            <w:vAlign w:val="center"/>
          </w:tcPr>
          <w:p w14:paraId="4085186E" w14:textId="77777777" w:rsidR="00F53939" w:rsidRPr="00C13B4B" w:rsidRDefault="00F53939" w:rsidP="00A50D03">
            <w:pPr>
              <w:jc w:val="right"/>
              <w:rPr>
                <w:rFonts w:asciiTheme="minorHAnsi" w:hAnsiTheme="minorHAnsi" w:cstheme="minorHAnsi"/>
                <w:b/>
                <w:bCs/>
                <w:sz w:val="22"/>
                <w:szCs w:val="22"/>
              </w:rPr>
            </w:pPr>
            <w:r w:rsidRPr="00C13B4B">
              <w:rPr>
                <w:rFonts w:asciiTheme="minorHAnsi" w:hAnsiTheme="minorHAnsi" w:cstheme="minorHAnsi"/>
                <w:b/>
                <w:bCs/>
                <w:sz w:val="22"/>
                <w:szCs w:val="22"/>
              </w:rPr>
              <w:t>-</w:t>
            </w:r>
          </w:p>
        </w:tc>
        <w:tc>
          <w:tcPr>
            <w:tcW w:w="646" w:type="pct"/>
            <w:tcBorders>
              <w:top w:val="nil"/>
              <w:left w:val="nil"/>
              <w:bottom w:val="single" w:sz="4" w:space="0" w:color="auto"/>
              <w:right w:val="nil"/>
            </w:tcBorders>
            <w:vAlign w:val="center"/>
          </w:tcPr>
          <w:p w14:paraId="4D06FAB1"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sz w:val="22"/>
                <w:szCs w:val="22"/>
              </w:rPr>
              <w:t>-</w:t>
            </w:r>
          </w:p>
        </w:tc>
        <w:tc>
          <w:tcPr>
            <w:tcW w:w="646" w:type="pct"/>
            <w:tcBorders>
              <w:top w:val="nil"/>
              <w:left w:val="nil"/>
              <w:bottom w:val="single" w:sz="4" w:space="0" w:color="auto"/>
              <w:right w:val="nil"/>
            </w:tcBorders>
            <w:vAlign w:val="center"/>
          </w:tcPr>
          <w:p w14:paraId="1FCC4420" w14:textId="77777777" w:rsidR="00F53939" w:rsidRPr="00C13B4B" w:rsidRDefault="00F53939" w:rsidP="00A50D03">
            <w:pPr>
              <w:jc w:val="right"/>
              <w:rPr>
                <w:rFonts w:asciiTheme="minorHAnsi" w:hAnsiTheme="minorHAnsi" w:cstheme="minorHAnsi"/>
                <w:sz w:val="22"/>
                <w:szCs w:val="22"/>
              </w:rPr>
            </w:pPr>
            <w:r w:rsidRPr="00C13B4B">
              <w:rPr>
                <w:rFonts w:asciiTheme="minorHAnsi" w:hAnsiTheme="minorHAnsi" w:cstheme="minorHAnsi"/>
                <w:sz w:val="22"/>
                <w:szCs w:val="22"/>
              </w:rPr>
              <w:t>(10.2)</w:t>
            </w:r>
          </w:p>
        </w:tc>
      </w:tr>
      <w:tr w:rsidR="00F53939" w:rsidRPr="00BC4D90" w14:paraId="347C5B46" w14:textId="77777777" w:rsidTr="004F735E">
        <w:trPr>
          <w:trHeight w:val="271"/>
        </w:trPr>
        <w:tc>
          <w:tcPr>
            <w:tcW w:w="2188" w:type="pct"/>
            <w:tcBorders>
              <w:top w:val="single" w:sz="4" w:space="0" w:color="auto"/>
              <w:left w:val="nil"/>
              <w:bottom w:val="single" w:sz="4" w:space="0" w:color="auto"/>
              <w:right w:val="nil"/>
            </w:tcBorders>
            <w:vAlign w:val="center"/>
          </w:tcPr>
          <w:p w14:paraId="0D0BC4E7" w14:textId="77777777" w:rsidR="00F53939" w:rsidRPr="00046703" w:rsidRDefault="00F53939" w:rsidP="00A50D03">
            <w:pPr>
              <w:ind w:right="115"/>
              <w:rPr>
                <w:rFonts w:asciiTheme="minorHAnsi" w:eastAsia="Poppins" w:hAnsiTheme="minorHAnsi" w:cstheme="minorHAnsi"/>
                <w:b/>
                <w:bCs/>
                <w:sz w:val="22"/>
                <w:szCs w:val="22"/>
              </w:rPr>
            </w:pPr>
            <w:r w:rsidRPr="00046703">
              <w:rPr>
                <w:rFonts w:asciiTheme="minorHAnsi" w:eastAsia="Poppins" w:hAnsiTheme="minorHAnsi" w:cstheme="minorHAnsi"/>
                <w:b/>
                <w:bCs/>
                <w:sz w:val="22"/>
                <w:szCs w:val="22"/>
              </w:rPr>
              <w:t>Total notable items</w:t>
            </w:r>
          </w:p>
        </w:tc>
        <w:tc>
          <w:tcPr>
            <w:tcW w:w="874" w:type="pct"/>
            <w:tcBorders>
              <w:top w:val="single" w:sz="4" w:space="0" w:color="auto"/>
              <w:left w:val="nil"/>
              <w:bottom w:val="single" w:sz="4" w:space="0" w:color="auto"/>
              <w:right w:val="nil"/>
            </w:tcBorders>
          </w:tcPr>
          <w:p w14:paraId="178D870C" w14:textId="77777777" w:rsidR="00F53939" w:rsidRPr="00046703" w:rsidRDefault="00F53939" w:rsidP="00A50D03">
            <w:pPr>
              <w:jc w:val="center"/>
              <w:rPr>
                <w:rFonts w:asciiTheme="minorHAnsi" w:hAnsiTheme="minorHAnsi" w:cstheme="minorHAnsi"/>
                <w:b/>
                <w:bCs/>
                <w:sz w:val="22"/>
                <w:szCs w:val="22"/>
              </w:rPr>
            </w:pPr>
          </w:p>
        </w:tc>
        <w:tc>
          <w:tcPr>
            <w:tcW w:w="646" w:type="pct"/>
            <w:tcBorders>
              <w:top w:val="single" w:sz="4" w:space="0" w:color="auto"/>
              <w:left w:val="nil"/>
              <w:bottom w:val="single" w:sz="4" w:space="0" w:color="auto"/>
              <w:right w:val="nil"/>
            </w:tcBorders>
            <w:shd w:val="clear" w:color="auto" w:fill="F2F2F2" w:themeFill="background1" w:themeFillShade="F2"/>
          </w:tcPr>
          <w:p w14:paraId="2B828285" w14:textId="77777777" w:rsidR="00F53939" w:rsidRPr="00046703" w:rsidRDefault="00F53939" w:rsidP="00A50D03">
            <w:pPr>
              <w:jc w:val="right"/>
              <w:rPr>
                <w:rFonts w:asciiTheme="minorHAnsi" w:hAnsiTheme="minorHAnsi" w:cstheme="minorHAnsi"/>
                <w:b/>
                <w:bCs/>
                <w:sz w:val="22"/>
                <w:szCs w:val="22"/>
              </w:rPr>
            </w:pPr>
            <w:r w:rsidRPr="00046703">
              <w:rPr>
                <w:rFonts w:asciiTheme="minorHAnsi" w:hAnsiTheme="minorHAnsi" w:cstheme="minorHAnsi"/>
                <w:b/>
                <w:bCs/>
                <w:sz w:val="22"/>
                <w:szCs w:val="22"/>
              </w:rPr>
              <w:t>-</w:t>
            </w:r>
          </w:p>
        </w:tc>
        <w:tc>
          <w:tcPr>
            <w:tcW w:w="646" w:type="pct"/>
            <w:tcBorders>
              <w:top w:val="single" w:sz="4" w:space="0" w:color="auto"/>
              <w:left w:val="nil"/>
              <w:bottom w:val="single" w:sz="4" w:space="0" w:color="auto"/>
              <w:right w:val="nil"/>
            </w:tcBorders>
          </w:tcPr>
          <w:p w14:paraId="48D5F3C5" w14:textId="77777777" w:rsidR="00F53939" w:rsidRPr="00046703" w:rsidRDefault="00F53939" w:rsidP="00A50D03">
            <w:pPr>
              <w:jc w:val="right"/>
              <w:rPr>
                <w:rFonts w:asciiTheme="minorHAnsi" w:hAnsiTheme="minorHAnsi" w:cstheme="minorHAnsi"/>
                <w:b/>
                <w:bCs/>
                <w:sz w:val="22"/>
                <w:szCs w:val="22"/>
              </w:rPr>
            </w:pPr>
            <w:r w:rsidRPr="00046703">
              <w:rPr>
                <w:rFonts w:asciiTheme="minorHAnsi" w:hAnsiTheme="minorHAnsi" w:cstheme="minorHAnsi"/>
                <w:b/>
                <w:bCs/>
                <w:sz w:val="22"/>
                <w:szCs w:val="22"/>
              </w:rPr>
              <w:t>(88.6)</w:t>
            </w:r>
          </w:p>
        </w:tc>
        <w:tc>
          <w:tcPr>
            <w:tcW w:w="646" w:type="pct"/>
            <w:tcBorders>
              <w:top w:val="single" w:sz="4" w:space="0" w:color="auto"/>
              <w:left w:val="nil"/>
              <w:bottom w:val="single" w:sz="4" w:space="0" w:color="auto"/>
              <w:right w:val="nil"/>
            </w:tcBorders>
          </w:tcPr>
          <w:p w14:paraId="52F5A308" w14:textId="77777777" w:rsidR="00F53939" w:rsidRPr="00046703" w:rsidRDefault="00F53939" w:rsidP="00A50D03">
            <w:pPr>
              <w:jc w:val="right"/>
              <w:rPr>
                <w:rFonts w:asciiTheme="minorHAnsi" w:hAnsiTheme="minorHAnsi" w:cstheme="minorHAnsi"/>
                <w:b/>
                <w:bCs/>
                <w:sz w:val="22"/>
                <w:szCs w:val="22"/>
              </w:rPr>
            </w:pPr>
            <w:r w:rsidRPr="00046703">
              <w:rPr>
                <w:rFonts w:asciiTheme="minorHAnsi" w:hAnsiTheme="minorHAnsi" w:cstheme="minorHAnsi"/>
                <w:b/>
                <w:bCs/>
                <w:sz w:val="22"/>
                <w:szCs w:val="22"/>
              </w:rPr>
              <w:t>(42.7)</w:t>
            </w:r>
          </w:p>
        </w:tc>
      </w:tr>
    </w:tbl>
    <w:p w14:paraId="21C65F74" w14:textId="77777777" w:rsidR="00F53939" w:rsidRDefault="00F53939" w:rsidP="00F53939">
      <w:pPr>
        <w:jc w:val="both"/>
        <w:rPr>
          <w:rStyle w:val="Strong"/>
          <w:rFonts w:asciiTheme="minorHAnsi" w:hAnsiTheme="minorHAnsi"/>
          <w:color w:val="4747FF"/>
          <w:sz w:val="22"/>
          <w:szCs w:val="22"/>
          <w:u w:val="single"/>
        </w:rPr>
      </w:pPr>
    </w:p>
    <w:p w14:paraId="5248A282" w14:textId="77777777" w:rsidR="00F53939" w:rsidRDefault="00F53939" w:rsidP="00F53939">
      <w:pPr>
        <w:jc w:val="both"/>
        <w:rPr>
          <w:rStyle w:val="Strong"/>
          <w:rFonts w:asciiTheme="minorHAnsi" w:hAnsiTheme="minorHAnsi"/>
          <w:color w:val="4747FF"/>
          <w:sz w:val="22"/>
          <w:szCs w:val="22"/>
          <w:u w:val="single"/>
        </w:rPr>
      </w:pPr>
    </w:p>
    <w:p w14:paraId="478F2600" w14:textId="77777777" w:rsidR="00F53939" w:rsidRPr="00A166EB" w:rsidRDefault="00F53939" w:rsidP="00F53939">
      <w:pPr>
        <w:jc w:val="both"/>
        <w:rPr>
          <w:rStyle w:val="Strong"/>
          <w:rFonts w:asciiTheme="minorHAnsi" w:hAnsiTheme="minorHAnsi"/>
          <w:color w:val="4747FF"/>
          <w:sz w:val="22"/>
          <w:szCs w:val="22"/>
          <w:u w:val="single"/>
        </w:rPr>
      </w:pPr>
      <w:r>
        <w:rPr>
          <w:rStyle w:val="Strong"/>
          <w:rFonts w:asciiTheme="minorHAnsi" w:hAnsiTheme="minorHAnsi"/>
          <w:color w:val="4747FF"/>
          <w:sz w:val="22"/>
          <w:szCs w:val="22"/>
          <w:u w:val="single"/>
        </w:rPr>
        <w:t>1H25</w:t>
      </w:r>
      <w:r w:rsidRPr="00A166EB">
        <w:rPr>
          <w:rStyle w:val="Strong"/>
          <w:rFonts w:asciiTheme="minorHAnsi" w:hAnsiTheme="minorHAnsi"/>
          <w:color w:val="4747FF"/>
          <w:sz w:val="22"/>
          <w:szCs w:val="22"/>
          <w:u w:val="single"/>
        </w:rPr>
        <w:t xml:space="preserve"> Financial Highlights</w:t>
      </w:r>
    </w:p>
    <w:p w14:paraId="59B1A07F" w14:textId="77777777" w:rsidR="00F53939" w:rsidRPr="008B5BE0" w:rsidRDefault="00F53939" w:rsidP="00F53939">
      <w:pPr>
        <w:jc w:val="both"/>
        <w:rPr>
          <w:rStyle w:val="Strong"/>
          <w:rFonts w:asciiTheme="minorHAnsi" w:hAnsiTheme="minorHAnsi"/>
          <w:b w:val="0"/>
          <w:bCs w:val="0"/>
          <w:sz w:val="22"/>
          <w:szCs w:val="22"/>
        </w:rPr>
      </w:pPr>
    </w:p>
    <w:p w14:paraId="0E670174" w14:textId="77777777" w:rsidR="00F53939" w:rsidRDefault="00F53939" w:rsidP="00F53939">
      <w:pPr>
        <w:jc w:val="both"/>
        <w:rPr>
          <w:rStyle w:val="Strong"/>
          <w:rFonts w:asciiTheme="minorHAnsi" w:hAnsiTheme="minorHAnsi"/>
          <w:color w:val="4747FF"/>
          <w:sz w:val="22"/>
          <w:szCs w:val="22"/>
        </w:rPr>
      </w:pPr>
      <w:r>
        <w:rPr>
          <w:rStyle w:val="Strong"/>
          <w:rFonts w:asciiTheme="minorHAnsi" w:hAnsiTheme="minorHAnsi"/>
          <w:color w:val="4747FF"/>
          <w:sz w:val="22"/>
          <w:szCs w:val="22"/>
        </w:rPr>
        <w:t>Income Statement</w:t>
      </w:r>
    </w:p>
    <w:p w14:paraId="20AF8666" w14:textId="77777777" w:rsidR="00F53939" w:rsidRDefault="00F53939" w:rsidP="00F53939">
      <w:pPr>
        <w:jc w:val="both"/>
        <w:rPr>
          <w:rStyle w:val="Strong"/>
          <w:rFonts w:asciiTheme="minorHAnsi" w:hAnsiTheme="minorHAnsi"/>
          <w:b w:val="0"/>
          <w:bCs w:val="0"/>
          <w:sz w:val="22"/>
          <w:szCs w:val="22"/>
        </w:rPr>
      </w:pPr>
    </w:p>
    <w:p w14:paraId="08C3C6EF" w14:textId="77777777" w:rsidR="00F53939" w:rsidRDefault="00F53939" w:rsidP="00F53939">
      <w:pPr>
        <w:jc w:val="both"/>
        <w:rPr>
          <w:rStyle w:val="Strong"/>
          <w:rFonts w:asciiTheme="minorHAnsi" w:hAnsiTheme="minorHAnsi"/>
          <w:b w:val="0"/>
          <w:bCs w:val="0"/>
          <w:sz w:val="22"/>
          <w:szCs w:val="22"/>
        </w:rPr>
      </w:pPr>
      <w:r w:rsidRPr="00BE6B56">
        <w:rPr>
          <w:rStyle w:val="Strong"/>
          <w:rFonts w:asciiTheme="minorHAnsi" w:hAnsiTheme="minorHAnsi"/>
          <w:b w:val="0"/>
          <w:bCs w:val="0"/>
          <w:sz w:val="22"/>
          <w:szCs w:val="22"/>
        </w:rPr>
        <w:t>All commentary relates to year-on-year performance unless otherwise stated</w:t>
      </w:r>
      <w:r>
        <w:rPr>
          <w:rStyle w:val="Strong"/>
          <w:rFonts w:asciiTheme="minorHAnsi" w:hAnsiTheme="minorHAnsi"/>
          <w:b w:val="0"/>
          <w:bCs w:val="0"/>
          <w:sz w:val="22"/>
          <w:szCs w:val="22"/>
        </w:rPr>
        <w:t>.</w:t>
      </w:r>
    </w:p>
    <w:p w14:paraId="59B36410" w14:textId="77777777" w:rsidR="00F53939" w:rsidRDefault="00F53939" w:rsidP="00F53939">
      <w:pPr>
        <w:jc w:val="both"/>
        <w:rPr>
          <w:rStyle w:val="Strong"/>
          <w:rFonts w:asciiTheme="minorHAnsi" w:hAnsiTheme="minorHAnsi"/>
          <w:color w:val="4747FF"/>
          <w:sz w:val="22"/>
          <w:szCs w:val="22"/>
        </w:rPr>
      </w:pPr>
    </w:p>
    <w:p w14:paraId="6827676C" w14:textId="070D9807" w:rsidR="007E041F" w:rsidRPr="00F116E9" w:rsidRDefault="007E041F" w:rsidP="00F53939">
      <w:pPr>
        <w:jc w:val="both"/>
        <w:rPr>
          <w:rStyle w:val="Strong"/>
          <w:rFonts w:asciiTheme="minorHAnsi" w:hAnsiTheme="minorHAnsi"/>
          <w:color w:val="4747FF"/>
          <w:sz w:val="22"/>
          <w:szCs w:val="22"/>
        </w:rPr>
      </w:pPr>
      <w:r>
        <w:rPr>
          <w:rStyle w:val="Strong"/>
          <w:rFonts w:asciiTheme="minorHAnsi" w:hAnsiTheme="minorHAnsi"/>
          <w:color w:val="4747FF"/>
          <w:sz w:val="22"/>
          <w:szCs w:val="22"/>
        </w:rPr>
        <w:t>Income</w:t>
      </w:r>
    </w:p>
    <w:p w14:paraId="52129E37" w14:textId="77777777" w:rsidR="00F53939" w:rsidRPr="002B38B9" w:rsidRDefault="00F53939" w:rsidP="00F53939">
      <w:pPr>
        <w:pStyle w:val="NoSpacing"/>
        <w:numPr>
          <w:ilvl w:val="0"/>
          <w:numId w:val="18"/>
        </w:numPr>
        <w:tabs>
          <w:tab w:val="left" w:pos="3160"/>
        </w:tabs>
        <w:jc w:val="both"/>
        <w:rPr>
          <w:rStyle w:val="Strong"/>
          <w:b w:val="0"/>
          <w:bCs w:val="0"/>
        </w:rPr>
      </w:pPr>
      <w:r w:rsidRPr="004342F7">
        <w:rPr>
          <w:rStyle w:val="Strong"/>
          <w:b w:val="0"/>
          <w:bCs w:val="0"/>
        </w:rPr>
        <w:t>Net interest income decreased 2% to £202.2m</w:t>
      </w:r>
      <w:r w:rsidRPr="002B38B9">
        <w:rPr>
          <w:rStyle w:val="Strong"/>
          <w:b w:val="0"/>
          <w:bCs w:val="0"/>
        </w:rPr>
        <w:t xml:space="preserve"> and total income reduced 3% to £219.7m</w:t>
      </w:r>
      <w:r>
        <w:rPr>
          <w:rStyle w:val="Strong"/>
          <w:b w:val="0"/>
          <w:bCs w:val="0"/>
        </w:rPr>
        <w:t xml:space="preserve">, </w:t>
      </w:r>
      <w:r w:rsidRPr="002B38B9">
        <w:rPr>
          <w:rStyle w:val="Strong"/>
          <w:b w:val="0"/>
          <w:bCs w:val="0"/>
        </w:rPr>
        <w:t>driven largely by higher</w:t>
      </w:r>
      <w:r>
        <w:rPr>
          <w:rStyle w:val="Strong"/>
          <w:b w:val="0"/>
          <w:bCs w:val="0"/>
        </w:rPr>
        <w:t xml:space="preserve"> year-on-year</w:t>
      </w:r>
      <w:r w:rsidRPr="002B38B9">
        <w:rPr>
          <w:rStyle w:val="Strong"/>
          <w:b w:val="0"/>
          <w:bCs w:val="0"/>
        </w:rPr>
        <w:t xml:space="preserve"> cost of fund</w:t>
      </w:r>
      <w:r>
        <w:rPr>
          <w:rStyle w:val="Strong"/>
          <w:b w:val="0"/>
          <w:bCs w:val="0"/>
        </w:rPr>
        <w:t>s</w:t>
      </w:r>
      <w:r w:rsidRPr="002B38B9">
        <w:rPr>
          <w:rStyle w:val="Strong"/>
          <w:b w:val="0"/>
          <w:bCs w:val="0"/>
        </w:rPr>
        <w:t>.</w:t>
      </w:r>
    </w:p>
    <w:p w14:paraId="2F4C8D1B" w14:textId="7ABD38E4" w:rsidR="00F53939" w:rsidRPr="009770A2" w:rsidRDefault="00F53939" w:rsidP="00F53939">
      <w:pPr>
        <w:pStyle w:val="NoSpacing"/>
        <w:numPr>
          <w:ilvl w:val="1"/>
          <w:numId w:val="18"/>
        </w:numPr>
        <w:tabs>
          <w:tab w:val="left" w:pos="3160"/>
        </w:tabs>
        <w:jc w:val="both"/>
        <w:rPr>
          <w:rStyle w:val="Strong"/>
          <w:b w:val="0"/>
          <w:bCs w:val="0"/>
        </w:rPr>
      </w:pPr>
      <w:r w:rsidRPr="009770A2">
        <w:rPr>
          <w:rStyle w:val="Strong"/>
          <w:b w:val="0"/>
          <w:bCs w:val="0"/>
        </w:rPr>
        <w:t xml:space="preserve">Interest income was broadly flat at £274.9m, reflecting a </w:t>
      </w:r>
      <w:r w:rsidR="007B34F6">
        <w:rPr>
          <w:rStyle w:val="Strong"/>
          <w:b w:val="0"/>
          <w:bCs w:val="0"/>
        </w:rPr>
        <w:t>6</w:t>
      </w:r>
      <w:r w:rsidRPr="009770A2">
        <w:rPr>
          <w:rStyle w:val="Strong"/>
          <w:b w:val="0"/>
          <w:bCs w:val="0"/>
        </w:rPr>
        <w:t>% increase</w:t>
      </w:r>
      <w:r w:rsidR="00925137">
        <w:rPr>
          <w:rStyle w:val="Strong"/>
          <w:b w:val="0"/>
          <w:bCs w:val="0"/>
        </w:rPr>
        <w:t xml:space="preserve"> in</w:t>
      </w:r>
      <w:r w:rsidRPr="009770A2">
        <w:rPr>
          <w:rStyle w:val="Strong"/>
          <w:b w:val="0"/>
          <w:bCs w:val="0"/>
        </w:rPr>
        <w:t xml:space="preserve"> average gross</w:t>
      </w:r>
      <w:r w:rsidR="00F00C1B">
        <w:rPr>
          <w:rStyle w:val="Strong"/>
          <w:b w:val="0"/>
          <w:bCs w:val="0"/>
        </w:rPr>
        <w:t xml:space="preserve"> customer</w:t>
      </w:r>
      <w:r w:rsidRPr="009770A2">
        <w:rPr>
          <w:rStyle w:val="Strong"/>
          <w:b w:val="0"/>
          <w:bCs w:val="0"/>
        </w:rPr>
        <w:t xml:space="preserve"> interest</w:t>
      </w:r>
      <w:r w:rsidR="007547C4">
        <w:rPr>
          <w:rStyle w:val="Strong"/>
          <w:b w:val="0"/>
          <w:bCs w:val="0"/>
        </w:rPr>
        <w:t>-</w:t>
      </w:r>
      <w:r w:rsidRPr="009770A2">
        <w:rPr>
          <w:rStyle w:val="Strong"/>
          <w:b w:val="0"/>
          <w:bCs w:val="0"/>
        </w:rPr>
        <w:t>earning balances to £2,339m offset by the mix effect of growing lower-risk and lower-margin Second Charge Mortgages.</w:t>
      </w:r>
    </w:p>
    <w:p w14:paraId="26CE1895" w14:textId="58B1585A" w:rsidR="00F53939" w:rsidRPr="00C47798" w:rsidRDefault="00F53939" w:rsidP="00F53939">
      <w:pPr>
        <w:pStyle w:val="NoSpacing"/>
        <w:numPr>
          <w:ilvl w:val="2"/>
          <w:numId w:val="18"/>
        </w:numPr>
        <w:tabs>
          <w:tab w:val="left" w:pos="3160"/>
        </w:tabs>
        <w:jc w:val="both"/>
        <w:rPr>
          <w:rStyle w:val="Strong"/>
          <w:b w:val="0"/>
          <w:bCs w:val="0"/>
        </w:rPr>
      </w:pPr>
      <w:r w:rsidRPr="00C47798">
        <w:rPr>
          <w:rStyle w:val="Strong"/>
          <w:b w:val="0"/>
          <w:bCs w:val="0"/>
        </w:rPr>
        <w:lastRenderedPageBreak/>
        <w:t>Asset yield decreased 140</w:t>
      </w:r>
      <w:r w:rsidR="00D82F37">
        <w:rPr>
          <w:rStyle w:val="Strong"/>
          <w:b w:val="0"/>
          <w:bCs w:val="0"/>
        </w:rPr>
        <w:t xml:space="preserve">bps </w:t>
      </w:r>
      <w:r w:rsidRPr="00C47798">
        <w:rPr>
          <w:rStyle w:val="Strong"/>
          <w:b w:val="0"/>
          <w:bCs w:val="0"/>
        </w:rPr>
        <w:t xml:space="preserve">to 21.8%, reflecting the lower yield on </w:t>
      </w:r>
      <w:r w:rsidR="00736DFE">
        <w:rPr>
          <w:rStyle w:val="Strong"/>
          <w:b w:val="0"/>
          <w:bCs w:val="0"/>
        </w:rPr>
        <w:t>S</w:t>
      </w:r>
      <w:r w:rsidRPr="00C47798">
        <w:rPr>
          <w:rStyle w:val="Strong"/>
          <w:b w:val="0"/>
          <w:bCs w:val="0"/>
        </w:rPr>
        <w:t xml:space="preserve">econd </w:t>
      </w:r>
      <w:r w:rsidR="00736DFE">
        <w:rPr>
          <w:rStyle w:val="Strong"/>
          <w:b w:val="0"/>
          <w:bCs w:val="0"/>
        </w:rPr>
        <w:t>C</w:t>
      </w:r>
      <w:r w:rsidRPr="00C47798">
        <w:rPr>
          <w:rStyle w:val="Strong"/>
          <w:b w:val="0"/>
          <w:bCs w:val="0"/>
        </w:rPr>
        <w:t xml:space="preserve">harge </w:t>
      </w:r>
      <w:r w:rsidR="00736DFE">
        <w:rPr>
          <w:rStyle w:val="Strong"/>
          <w:b w:val="0"/>
          <w:bCs w:val="0"/>
        </w:rPr>
        <w:t>M</w:t>
      </w:r>
      <w:r w:rsidRPr="00C47798">
        <w:rPr>
          <w:rStyle w:val="Strong"/>
          <w:b w:val="0"/>
          <w:bCs w:val="0"/>
        </w:rPr>
        <w:t xml:space="preserve">ortgages. Credit </w:t>
      </w:r>
      <w:r w:rsidR="000D0E84">
        <w:rPr>
          <w:rStyle w:val="Strong"/>
          <w:b w:val="0"/>
          <w:bCs w:val="0"/>
        </w:rPr>
        <w:t>C</w:t>
      </w:r>
      <w:r w:rsidRPr="00C47798">
        <w:rPr>
          <w:rStyle w:val="Strong"/>
          <w:b w:val="0"/>
          <w:bCs w:val="0"/>
        </w:rPr>
        <w:t>ards yield reduced marginally</w:t>
      </w:r>
      <w:r w:rsidR="00533DAB">
        <w:rPr>
          <w:rStyle w:val="Strong"/>
          <w:b w:val="0"/>
          <w:bCs w:val="0"/>
        </w:rPr>
        <w:t>,</w:t>
      </w:r>
      <w:r w:rsidRPr="00C47798">
        <w:rPr>
          <w:rStyle w:val="Strong"/>
          <w:b w:val="0"/>
          <w:bCs w:val="0"/>
        </w:rPr>
        <w:t xml:space="preserve"> reflecting growth in 0% balance transfer (BT) and promotional products, while Vehicle Finance yield improved.</w:t>
      </w:r>
    </w:p>
    <w:p w14:paraId="4B91C274" w14:textId="6AA9343B" w:rsidR="00F53939" w:rsidRPr="00307C52" w:rsidRDefault="00F53939" w:rsidP="00F53939">
      <w:pPr>
        <w:pStyle w:val="NoSpacing"/>
        <w:numPr>
          <w:ilvl w:val="1"/>
          <w:numId w:val="18"/>
        </w:numPr>
        <w:tabs>
          <w:tab w:val="left" w:pos="3160"/>
        </w:tabs>
        <w:jc w:val="both"/>
        <w:rPr>
          <w:rStyle w:val="Strong"/>
          <w:b w:val="0"/>
          <w:bCs w:val="0"/>
        </w:rPr>
      </w:pPr>
      <w:r w:rsidRPr="00307C52">
        <w:rPr>
          <w:rStyle w:val="Strong"/>
          <w:b w:val="0"/>
          <w:bCs w:val="0"/>
        </w:rPr>
        <w:t>Interest expense increased 6% year-on-year to £72.7m, but reduced 1% half-on-half, reflecting a peak in cost of funds in 2H24</w:t>
      </w:r>
      <w:r>
        <w:rPr>
          <w:rStyle w:val="Strong"/>
          <w:b w:val="0"/>
          <w:bCs w:val="0"/>
        </w:rPr>
        <w:t xml:space="preserve"> when</w:t>
      </w:r>
      <w:r w:rsidRPr="00307C52">
        <w:rPr>
          <w:rStyle w:val="Strong"/>
          <w:b w:val="0"/>
          <w:bCs w:val="0"/>
        </w:rPr>
        <w:t xml:space="preserve"> maturing fixed term deposits were refinanced at higher market rates.  </w:t>
      </w:r>
    </w:p>
    <w:p w14:paraId="31DDAA11" w14:textId="77777777" w:rsidR="00F53939" w:rsidRDefault="00F53939" w:rsidP="00F53939">
      <w:pPr>
        <w:pStyle w:val="NoSpacing"/>
        <w:numPr>
          <w:ilvl w:val="1"/>
          <w:numId w:val="18"/>
        </w:numPr>
        <w:tabs>
          <w:tab w:val="left" w:pos="3160"/>
        </w:tabs>
        <w:jc w:val="both"/>
        <w:rPr>
          <w:rStyle w:val="Strong"/>
          <w:b w:val="0"/>
          <w:bCs w:val="0"/>
        </w:rPr>
      </w:pPr>
      <w:r w:rsidRPr="00307C52">
        <w:rPr>
          <w:rStyle w:val="Strong"/>
          <w:b w:val="0"/>
          <w:bCs w:val="0"/>
        </w:rPr>
        <w:t>The combination of these factors drove a reduction in NIM to 17.4% (1H24: 18.9%).</w:t>
      </w:r>
    </w:p>
    <w:p w14:paraId="64102E79" w14:textId="61D8D4D8" w:rsidR="00CE25EA" w:rsidRDefault="00880C01" w:rsidP="00880C01">
      <w:pPr>
        <w:pStyle w:val="NoSpacing"/>
        <w:numPr>
          <w:ilvl w:val="1"/>
          <w:numId w:val="18"/>
        </w:numPr>
        <w:tabs>
          <w:tab w:val="left" w:pos="3160"/>
        </w:tabs>
        <w:jc w:val="both"/>
        <w:rPr>
          <w:rStyle w:val="Strong"/>
          <w:b w:val="0"/>
          <w:bCs w:val="0"/>
        </w:rPr>
      </w:pPr>
      <w:r w:rsidRPr="00880C01">
        <w:rPr>
          <w:rStyle w:val="Strong"/>
          <w:b w:val="0"/>
          <w:bCs w:val="0"/>
        </w:rPr>
        <w:t>Non-interest income reduced 10% to £17.5m reflecting lower fee and commission income.</w:t>
      </w:r>
    </w:p>
    <w:p w14:paraId="7661F31D" w14:textId="77777777" w:rsidR="007E041F" w:rsidRDefault="007E041F" w:rsidP="007E041F">
      <w:pPr>
        <w:pStyle w:val="NoSpacing"/>
        <w:tabs>
          <w:tab w:val="left" w:pos="3160"/>
        </w:tabs>
        <w:jc w:val="both"/>
        <w:rPr>
          <w:rStyle w:val="Strong"/>
          <w:b w:val="0"/>
          <w:bCs w:val="0"/>
        </w:rPr>
      </w:pPr>
    </w:p>
    <w:p w14:paraId="284D2B80" w14:textId="4C99E40F" w:rsidR="007E041F" w:rsidRPr="007E041F" w:rsidRDefault="007E041F" w:rsidP="007E041F">
      <w:pPr>
        <w:jc w:val="both"/>
        <w:rPr>
          <w:rStyle w:val="Strong"/>
          <w:rFonts w:asciiTheme="minorHAnsi" w:hAnsiTheme="minorHAnsi"/>
          <w:color w:val="4747FF"/>
          <w:sz w:val="22"/>
          <w:szCs w:val="22"/>
        </w:rPr>
      </w:pPr>
      <w:r w:rsidRPr="007E041F">
        <w:rPr>
          <w:rStyle w:val="Strong"/>
          <w:rFonts w:asciiTheme="minorHAnsi" w:hAnsiTheme="minorHAnsi"/>
          <w:color w:val="4747FF"/>
          <w:sz w:val="22"/>
          <w:szCs w:val="22"/>
        </w:rPr>
        <w:t>Impairment</w:t>
      </w:r>
    </w:p>
    <w:p w14:paraId="1FD2246C" w14:textId="1B2045E8" w:rsidR="00F53939" w:rsidRPr="00F82865" w:rsidRDefault="00F53939" w:rsidP="00F53939">
      <w:pPr>
        <w:pStyle w:val="NoSpacing"/>
        <w:numPr>
          <w:ilvl w:val="0"/>
          <w:numId w:val="18"/>
        </w:numPr>
        <w:tabs>
          <w:tab w:val="left" w:pos="3160"/>
        </w:tabs>
        <w:jc w:val="both"/>
      </w:pPr>
      <w:r w:rsidRPr="00F82865">
        <w:rPr>
          <w:rStyle w:val="Strong"/>
          <w:b w:val="0"/>
          <w:bCs w:val="0"/>
        </w:rPr>
        <w:t xml:space="preserve">Impairment charges reduced 18% to £76.1m driven by the non-repeat of the </w:t>
      </w:r>
      <w:r w:rsidR="00082D3F">
        <w:rPr>
          <w:rStyle w:val="Strong"/>
          <w:b w:val="0"/>
          <w:bCs w:val="0"/>
        </w:rPr>
        <w:t xml:space="preserve">£9.7m </w:t>
      </w:r>
      <w:r w:rsidRPr="00F82865">
        <w:rPr>
          <w:rStyle w:val="Strong"/>
          <w:b w:val="0"/>
          <w:bCs w:val="0"/>
        </w:rPr>
        <w:t>prior year impact of the Vehicle Finance receivables review. C</w:t>
      </w:r>
      <w:proofErr w:type="spellStart"/>
      <w:r w:rsidRPr="00F82865">
        <w:rPr>
          <w:lang w:val="en-US"/>
        </w:rPr>
        <w:t>redit</w:t>
      </w:r>
      <w:proofErr w:type="spellEnd"/>
      <w:r w:rsidRPr="00F82865">
        <w:rPr>
          <w:lang w:val="en-US"/>
        </w:rPr>
        <w:t xml:space="preserve"> risk in the underlying book improved, with</w:t>
      </w:r>
      <w:r>
        <w:rPr>
          <w:lang w:val="en-US"/>
        </w:rPr>
        <w:t xml:space="preserve"> reduced adverse</w:t>
      </w:r>
      <w:r w:rsidRPr="00F82865">
        <w:rPr>
          <w:lang w:val="en-US"/>
        </w:rPr>
        <w:t xml:space="preserve"> stage migrations.</w:t>
      </w:r>
    </w:p>
    <w:p w14:paraId="5073C892" w14:textId="0C79A805" w:rsidR="002E29C4" w:rsidRPr="002E29C4" w:rsidRDefault="002E29C4" w:rsidP="002E29C4">
      <w:pPr>
        <w:pStyle w:val="NoSpacing"/>
        <w:numPr>
          <w:ilvl w:val="1"/>
          <w:numId w:val="18"/>
        </w:numPr>
        <w:tabs>
          <w:tab w:val="left" w:pos="3160"/>
        </w:tabs>
        <w:jc w:val="both"/>
      </w:pPr>
      <w:r w:rsidRPr="002E29C4">
        <w:t>Net charge-offs, calculated as gross charge-offs less recoveries, increased 4% to £93.5m.</w:t>
      </w:r>
    </w:p>
    <w:p w14:paraId="7CF51807" w14:textId="5D80FFAD" w:rsidR="002E29C4" w:rsidRPr="002E29C4" w:rsidRDefault="002E29C4" w:rsidP="002E29C4">
      <w:pPr>
        <w:pStyle w:val="NoSpacing"/>
        <w:numPr>
          <w:ilvl w:val="1"/>
          <w:numId w:val="18"/>
        </w:numPr>
        <w:tabs>
          <w:tab w:val="left" w:pos="3160"/>
        </w:tabs>
        <w:jc w:val="both"/>
      </w:pPr>
      <w:r w:rsidRPr="002E29C4">
        <w:t>Impairment charges driven by originations increased 21% to £25.7m</w:t>
      </w:r>
      <w:r w:rsidR="008D18AE">
        <w:t>,</w:t>
      </w:r>
      <w:r w:rsidRPr="002E29C4">
        <w:t xml:space="preserve"> reflecting growth in new gross customer interest</w:t>
      </w:r>
      <w:r w:rsidR="007547C4">
        <w:t>-</w:t>
      </w:r>
      <w:r w:rsidRPr="002E29C4">
        <w:t>earning balances.</w:t>
      </w:r>
    </w:p>
    <w:p w14:paraId="798783E9" w14:textId="3B59058A" w:rsidR="002E29C4" w:rsidRPr="002E29C4" w:rsidRDefault="00B96193" w:rsidP="002E29C4">
      <w:pPr>
        <w:pStyle w:val="NoSpacing"/>
        <w:numPr>
          <w:ilvl w:val="1"/>
          <w:numId w:val="18"/>
        </w:numPr>
        <w:tabs>
          <w:tab w:val="left" w:pos="3160"/>
        </w:tabs>
        <w:jc w:val="both"/>
      </w:pPr>
      <w:r>
        <w:t>N</w:t>
      </w:r>
      <w:r w:rsidR="000E3162" w:rsidRPr="002E29C4">
        <w:t>et risk movements from stage migrations</w:t>
      </w:r>
      <w:r w:rsidR="00103C7D">
        <w:t xml:space="preserve"> and</w:t>
      </w:r>
      <w:r w:rsidR="000E3162" w:rsidRPr="002E29C4">
        <w:t xml:space="preserve"> </w:t>
      </w:r>
      <w:r w:rsidR="007151F6">
        <w:t xml:space="preserve">changes in </w:t>
      </w:r>
      <w:r w:rsidR="000E3162" w:rsidRPr="002E29C4">
        <w:t xml:space="preserve">post model adjustments (PMAs) </w:t>
      </w:r>
      <w:r w:rsidR="001A6095" w:rsidRPr="002E29C4">
        <w:t>resulted in a</w:t>
      </w:r>
      <w:r w:rsidR="00807D5C">
        <w:t xml:space="preserve"> </w:t>
      </w:r>
      <w:r w:rsidR="003467AC">
        <w:t>lower</w:t>
      </w:r>
      <w:r w:rsidR="001A6095" w:rsidRPr="002E29C4">
        <w:t xml:space="preserve"> net</w:t>
      </w:r>
      <w:r w:rsidR="00CE7FCC">
        <w:t xml:space="preserve"> </w:t>
      </w:r>
      <w:r w:rsidR="00E36AF9">
        <w:t>increase in</w:t>
      </w:r>
      <w:r w:rsidR="001A6095" w:rsidRPr="002E29C4">
        <w:t xml:space="preserve"> impairment of £</w:t>
      </w:r>
      <w:r w:rsidR="00C74F02">
        <w:t>51.9</w:t>
      </w:r>
      <w:r w:rsidR="001A6095" w:rsidRPr="002E29C4">
        <w:t>m (1H2</w:t>
      </w:r>
      <w:r w:rsidR="006246C8">
        <w:t>4</w:t>
      </w:r>
      <w:r w:rsidR="001A6095" w:rsidRPr="002E29C4">
        <w:t>: £</w:t>
      </w:r>
      <w:r w:rsidR="000E140D">
        <w:t>82.4</w:t>
      </w:r>
      <w:r w:rsidR="001A6095" w:rsidRPr="002E29C4">
        <w:t>m).</w:t>
      </w:r>
      <w:r w:rsidR="00807D5C">
        <w:t xml:space="preserve"> This was partially offset by </w:t>
      </w:r>
      <w:r w:rsidR="009322A8">
        <w:t>lower</w:t>
      </w:r>
      <w:r w:rsidR="002E29C4" w:rsidRPr="002E29C4">
        <w:t xml:space="preserve"> </w:t>
      </w:r>
      <w:r w:rsidR="00460290">
        <w:t xml:space="preserve">releases from </w:t>
      </w:r>
      <w:r w:rsidR="002E29C4" w:rsidRPr="002E29C4">
        <w:t>write-offs</w:t>
      </w:r>
      <w:r w:rsidR="00807D5C">
        <w:t xml:space="preserve"> and </w:t>
      </w:r>
      <w:r w:rsidR="002E29C4" w:rsidRPr="002E29C4">
        <w:t>debt sales</w:t>
      </w:r>
      <w:r w:rsidR="009322A8">
        <w:t>, redu</w:t>
      </w:r>
      <w:r w:rsidR="00DC6F7E">
        <w:t>cing impairment by</w:t>
      </w:r>
      <w:r w:rsidR="00555EB2">
        <w:t xml:space="preserve"> </w:t>
      </w:r>
      <w:r w:rsidR="007F1145">
        <w:t>£89.4m</w:t>
      </w:r>
      <w:r w:rsidR="00BF1BB1">
        <w:t xml:space="preserve"> (</w:t>
      </w:r>
      <w:r w:rsidR="000165F1">
        <w:t>1H2</w:t>
      </w:r>
      <w:r w:rsidR="006246C8">
        <w:t>4</w:t>
      </w:r>
      <w:r w:rsidR="000165F1">
        <w:t xml:space="preserve">: </w:t>
      </w:r>
      <w:r w:rsidR="008F350D">
        <w:t>£</w:t>
      </w:r>
      <w:r w:rsidR="00886ED3">
        <w:t>97.3</w:t>
      </w:r>
      <w:r w:rsidR="008F350D">
        <w:t>m)</w:t>
      </w:r>
      <w:r w:rsidR="007B4B61">
        <w:t>.</w:t>
      </w:r>
      <w:r w:rsidR="002E29C4" w:rsidRPr="002E29C4">
        <w:t xml:space="preserve"> </w:t>
      </w:r>
    </w:p>
    <w:p w14:paraId="4CA3FF24" w14:textId="5E144E23" w:rsidR="00BE2A22" w:rsidRDefault="00BE2A22" w:rsidP="00BE2A22">
      <w:pPr>
        <w:pStyle w:val="NoSpacing"/>
        <w:numPr>
          <w:ilvl w:val="1"/>
          <w:numId w:val="18"/>
        </w:numPr>
        <w:tabs>
          <w:tab w:val="left" w:pos="3160"/>
        </w:tabs>
        <w:jc w:val="both"/>
      </w:pPr>
      <w:r w:rsidRPr="0064033F">
        <w:t>Cost of risk reduced 190</w:t>
      </w:r>
      <w:r w:rsidR="003467AC">
        <w:t xml:space="preserve">bps </w:t>
      </w:r>
      <w:r w:rsidRPr="0064033F">
        <w:t>to 6.6%.</w:t>
      </w:r>
    </w:p>
    <w:p w14:paraId="3B291143" w14:textId="560CB68A" w:rsidR="00F53939" w:rsidRPr="00692C45" w:rsidRDefault="00F53939" w:rsidP="00F53939">
      <w:pPr>
        <w:pStyle w:val="NoSpacing"/>
        <w:numPr>
          <w:ilvl w:val="0"/>
          <w:numId w:val="18"/>
        </w:numPr>
        <w:tabs>
          <w:tab w:val="left" w:pos="3160"/>
        </w:tabs>
        <w:jc w:val="both"/>
      </w:pPr>
      <w:r w:rsidRPr="00692C45">
        <w:t>As a result, risk adjusted income improved 7% to £143.6m, driving a 20</w:t>
      </w:r>
      <w:r>
        <w:t>bps</w:t>
      </w:r>
      <w:r w:rsidRPr="00692C45">
        <w:t xml:space="preserve"> improvement in </w:t>
      </w:r>
      <w:r w:rsidR="00F14627">
        <w:t>risk adjusted margin</w:t>
      </w:r>
      <w:r w:rsidRPr="00692C45">
        <w:t xml:space="preserve"> to 12.4%.</w:t>
      </w:r>
    </w:p>
    <w:p w14:paraId="7EE62743" w14:textId="77777777" w:rsidR="00D2375D" w:rsidRDefault="00D2375D" w:rsidP="00D2375D">
      <w:pPr>
        <w:pStyle w:val="NoSpacing"/>
        <w:tabs>
          <w:tab w:val="left" w:pos="3160"/>
        </w:tabs>
        <w:jc w:val="both"/>
        <w:rPr>
          <w:rStyle w:val="Strong"/>
          <w:b w:val="0"/>
          <w:bCs w:val="0"/>
        </w:rPr>
      </w:pPr>
    </w:p>
    <w:p w14:paraId="7054E4BE" w14:textId="32D0FB8D" w:rsidR="00D2375D" w:rsidRPr="00D2375D" w:rsidRDefault="00D2375D" w:rsidP="00D2375D">
      <w:pPr>
        <w:jc w:val="both"/>
        <w:rPr>
          <w:rStyle w:val="Strong"/>
          <w:rFonts w:asciiTheme="minorHAnsi" w:hAnsiTheme="minorHAnsi"/>
          <w:color w:val="4747FF"/>
          <w:sz w:val="22"/>
          <w:szCs w:val="22"/>
        </w:rPr>
      </w:pPr>
      <w:r w:rsidRPr="00D2375D">
        <w:rPr>
          <w:rStyle w:val="Strong"/>
          <w:rFonts w:asciiTheme="minorHAnsi" w:hAnsiTheme="minorHAnsi"/>
          <w:color w:val="4747FF"/>
          <w:sz w:val="22"/>
          <w:szCs w:val="22"/>
        </w:rPr>
        <w:t>Operating costs</w:t>
      </w:r>
    </w:p>
    <w:p w14:paraId="318819F2" w14:textId="3A844209" w:rsidR="00F53939" w:rsidRPr="00922CFD" w:rsidRDefault="00F53939" w:rsidP="00F53939">
      <w:pPr>
        <w:pStyle w:val="NoSpacing"/>
        <w:numPr>
          <w:ilvl w:val="0"/>
          <w:numId w:val="18"/>
        </w:numPr>
        <w:tabs>
          <w:tab w:val="left" w:pos="3160"/>
        </w:tabs>
        <w:jc w:val="both"/>
        <w:rPr>
          <w:rStyle w:val="Strong"/>
          <w:b w:val="0"/>
          <w:bCs w:val="0"/>
        </w:rPr>
      </w:pPr>
      <w:r w:rsidRPr="00922CFD">
        <w:rPr>
          <w:rStyle w:val="Strong"/>
          <w:b w:val="0"/>
          <w:bCs w:val="0"/>
        </w:rPr>
        <w:t xml:space="preserve">Operating costs decreased 24% to £137.4m.  </w:t>
      </w:r>
    </w:p>
    <w:p w14:paraId="4D583440" w14:textId="72EF8A74" w:rsidR="00F53939" w:rsidRPr="00956162" w:rsidRDefault="00F53939" w:rsidP="00F53939">
      <w:pPr>
        <w:pStyle w:val="NoSpacing"/>
        <w:numPr>
          <w:ilvl w:val="1"/>
          <w:numId w:val="18"/>
        </w:numPr>
        <w:tabs>
          <w:tab w:val="left" w:pos="3160"/>
        </w:tabs>
        <w:jc w:val="both"/>
        <w:rPr>
          <w:rStyle w:val="Strong"/>
          <w:b w:val="0"/>
          <w:bCs w:val="0"/>
        </w:rPr>
      </w:pPr>
      <w:r w:rsidRPr="00956162">
        <w:rPr>
          <w:rStyle w:val="Strong"/>
          <w:b w:val="0"/>
          <w:bCs w:val="0"/>
        </w:rPr>
        <w:t>This reflected the non-repeat of £</w:t>
      </w:r>
      <w:r w:rsidR="00124F9A">
        <w:rPr>
          <w:rStyle w:val="Strong"/>
          <w:b w:val="0"/>
          <w:bCs w:val="0"/>
        </w:rPr>
        <w:t>29.9</w:t>
      </w:r>
      <w:r w:rsidRPr="00956162">
        <w:rPr>
          <w:rStyle w:val="Strong"/>
          <w:b w:val="0"/>
          <w:bCs w:val="0"/>
        </w:rPr>
        <w:t>m of prior year cost notable items, including £15.5m of transformation and other exceptional costs and £10.2m of other one-off costs largely relating to the write-off of a legacy mobile app.</w:t>
      </w:r>
    </w:p>
    <w:p w14:paraId="4BD96533" w14:textId="4E56E9ED" w:rsidR="00F53939" w:rsidRPr="00956162" w:rsidRDefault="00F53939" w:rsidP="00F53939">
      <w:pPr>
        <w:pStyle w:val="NoSpacing"/>
        <w:numPr>
          <w:ilvl w:val="1"/>
          <w:numId w:val="18"/>
        </w:numPr>
        <w:tabs>
          <w:tab w:val="left" w:pos="3160"/>
        </w:tabs>
        <w:jc w:val="both"/>
        <w:rPr>
          <w:rStyle w:val="Strong"/>
          <w:b w:val="0"/>
          <w:bCs w:val="0"/>
        </w:rPr>
      </w:pPr>
      <w:r w:rsidRPr="00956162">
        <w:rPr>
          <w:rStyle w:val="Strong"/>
          <w:b w:val="0"/>
          <w:bCs w:val="0"/>
        </w:rPr>
        <w:t>The remaining £12.6m reduction reflected £8.9m lower complaint costs, and continued transformation savings of £</w:t>
      </w:r>
      <w:r>
        <w:rPr>
          <w:rStyle w:val="Strong"/>
          <w:b w:val="0"/>
          <w:bCs w:val="0"/>
        </w:rPr>
        <w:t>7.9</w:t>
      </w:r>
      <w:r w:rsidRPr="00956162">
        <w:rPr>
          <w:rStyle w:val="Strong"/>
          <w:b w:val="0"/>
          <w:bCs w:val="0"/>
        </w:rPr>
        <w:t>m, more than offsetting growth and inflation driven cost increases</w:t>
      </w:r>
      <w:r>
        <w:rPr>
          <w:rStyle w:val="Strong"/>
          <w:b w:val="0"/>
          <w:bCs w:val="0"/>
        </w:rPr>
        <w:t xml:space="preserve"> and accrual</w:t>
      </w:r>
      <w:r w:rsidR="00373D17">
        <w:rPr>
          <w:rStyle w:val="Strong"/>
          <w:b w:val="0"/>
          <w:bCs w:val="0"/>
        </w:rPr>
        <w:t>s</w:t>
      </w:r>
      <w:r>
        <w:rPr>
          <w:rStyle w:val="Strong"/>
          <w:b w:val="0"/>
          <w:bCs w:val="0"/>
        </w:rPr>
        <w:t xml:space="preserve"> for discretionary staff costs</w:t>
      </w:r>
      <w:r w:rsidRPr="00956162">
        <w:rPr>
          <w:rStyle w:val="Strong"/>
          <w:b w:val="0"/>
          <w:bCs w:val="0"/>
        </w:rPr>
        <w:t>.</w:t>
      </w:r>
    </w:p>
    <w:p w14:paraId="6E0C2938" w14:textId="77777777" w:rsidR="00F53939" w:rsidRPr="0023015B" w:rsidRDefault="00F53939" w:rsidP="00F53939">
      <w:pPr>
        <w:pStyle w:val="NoSpacing"/>
        <w:numPr>
          <w:ilvl w:val="1"/>
          <w:numId w:val="18"/>
        </w:numPr>
        <w:tabs>
          <w:tab w:val="left" w:pos="3160"/>
        </w:tabs>
        <w:jc w:val="both"/>
        <w:rPr>
          <w:rStyle w:val="Strong"/>
          <w:b w:val="0"/>
          <w:bCs w:val="0"/>
        </w:rPr>
      </w:pPr>
      <w:r w:rsidRPr="0023015B">
        <w:rPr>
          <w:rStyle w:val="Strong"/>
          <w:b w:val="0"/>
          <w:bCs w:val="0"/>
        </w:rPr>
        <w:t>This delivered a statutory cost: income ratio of 62.5% (1H24: 79.3%).</w:t>
      </w:r>
    </w:p>
    <w:p w14:paraId="1175E9EC" w14:textId="77777777" w:rsidR="00496F1A" w:rsidRDefault="00496F1A" w:rsidP="00496F1A">
      <w:pPr>
        <w:pStyle w:val="NoSpacing"/>
        <w:tabs>
          <w:tab w:val="left" w:pos="3160"/>
        </w:tabs>
        <w:jc w:val="both"/>
        <w:rPr>
          <w:rStyle w:val="Strong"/>
          <w:b w:val="0"/>
          <w:bCs w:val="0"/>
        </w:rPr>
      </w:pPr>
    </w:p>
    <w:p w14:paraId="47613CB3" w14:textId="7F090B60" w:rsidR="00496F1A" w:rsidRPr="00496F1A" w:rsidRDefault="00496F1A" w:rsidP="00496F1A">
      <w:pPr>
        <w:jc w:val="both"/>
        <w:rPr>
          <w:rStyle w:val="Strong"/>
          <w:rFonts w:asciiTheme="minorHAnsi" w:hAnsiTheme="minorHAnsi"/>
          <w:color w:val="4747FF"/>
          <w:sz w:val="22"/>
          <w:szCs w:val="22"/>
        </w:rPr>
      </w:pPr>
      <w:r w:rsidRPr="00496F1A">
        <w:rPr>
          <w:rStyle w:val="Strong"/>
          <w:rFonts w:asciiTheme="minorHAnsi" w:hAnsiTheme="minorHAnsi"/>
          <w:color w:val="4747FF"/>
          <w:sz w:val="22"/>
          <w:szCs w:val="22"/>
        </w:rPr>
        <w:t>Profits</w:t>
      </w:r>
    </w:p>
    <w:p w14:paraId="7BCC8AAE" w14:textId="528E88D4" w:rsidR="007746C7" w:rsidRDefault="00F53939" w:rsidP="00F53939">
      <w:pPr>
        <w:pStyle w:val="NoSpacing"/>
        <w:numPr>
          <w:ilvl w:val="0"/>
          <w:numId w:val="18"/>
        </w:numPr>
        <w:tabs>
          <w:tab w:val="left" w:pos="3160"/>
        </w:tabs>
        <w:jc w:val="both"/>
        <w:rPr>
          <w:rStyle w:val="Strong"/>
          <w:b w:val="0"/>
          <w:bCs w:val="0"/>
        </w:rPr>
      </w:pPr>
      <w:r w:rsidRPr="00A9562E">
        <w:rPr>
          <w:rStyle w:val="Strong"/>
          <w:b w:val="0"/>
          <w:bCs w:val="0"/>
        </w:rPr>
        <w:t>Profit before tax from continuing operations was £6.2m (1H24: loss of £(46.1)m)</w:t>
      </w:r>
      <w:r w:rsidR="007746C7">
        <w:rPr>
          <w:rStyle w:val="Strong"/>
          <w:b w:val="0"/>
          <w:bCs w:val="0"/>
        </w:rPr>
        <w:t>.</w:t>
      </w:r>
    </w:p>
    <w:p w14:paraId="21A6AE42" w14:textId="72617D33" w:rsidR="007746C7" w:rsidRPr="00FE78C1" w:rsidRDefault="007746C7" w:rsidP="007746C7">
      <w:pPr>
        <w:pStyle w:val="subhead1"/>
        <w:numPr>
          <w:ilvl w:val="0"/>
          <w:numId w:val="18"/>
        </w:numPr>
        <w:jc w:val="both"/>
        <w:rPr>
          <w:rStyle w:val="Strong"/>
          <w:rFonts w:asciiTheme="minorHAnsi" w:hAnsiTheme="minorHAnsi" w:cstheme="minorBidi"/>
          <w:color w:val="auto"/>
          <w:sz w:val="22"/>
          <w:szCs w:val="22"/>
        </w:rPr>
      </w:pPr>
      <w:r w:rsidRPr="00FE78C1">
        <w:rPr>
          <w:rStyle w:val="Strong"/>
          <w:rFonts w:asciiTheme="minorHAnsi" w:hAnsiTheme="minorHAnsi" w:cstheme="minorBidi"/>
          <w:color w:val="auto"/>
          <w:sz w:val="22"/>
          <w:szCs w:val="22"/>
        </w:rPr>
        <w:t>The tax charge of £1.3m (</w:t>
      </w:r>
      <w:r w:rsidR="00FE78C1" w:rsidRPr="00FE78C1">
        <w:rPr>
          <w:rStyle w:val="Strong"/>
          <w:rFonts w:asciiTheme="minorHAnsi" w:hAnsiTheme="minorHAnsi" w:cstheme="minorBidi"/>
          <w:color w:val="auto"/>
          <w:sz w:val="22"/>
          <w:szCs w:val="22"/>
        </w:rPr>
        <w:t>1H24</w:t>
      </w:r>
      <w:r w:rsidRPr="00FE78C1">
        <w:rPr>
          <w:rStyle w:val="Strong"/>
          <w:rFonts w:asciiTheme="minorHAnsi" w:hAnsiTheme="minorHAnsi" w:cstheme="minorBidi"/>
          <w:color w:val="auto"/>
          <w:sz w:val="22"/>
          <w:szCs w:val="22"/>
        </w:rPr>
        <w:t>: credit of £10.6m) broadly reflect</w:t>
      </w:r>
      <w:r w:rsidR="002332FB">
        <w:rPr>
          <w:rStyle w:val="Strong"/>
          <w:rFonts w:asciiTheme="minorHAnsi" w:hAnsiTheme="minorHAnsi" w:cstheme="minorBidi"/>
          <w:color w:val="auto"/>
          <w:sz w:val="22"/>
          <w:szCs w:val="22"/>
        </w:rPr>
        <w:t>ed</w:t>
      </w:r>
      <w:r w:rsidRPr="00FE78C1">
        <w:rPr>
          <w:rStyle w:val="Strong"/>
          <w:rFonts w:asciiTheme="minorHAnsi" w:hAnsiTheme="minorHAnsi" w:cstheme="minorBidi"/>
          <w:color w:val="auto"/>
          <w:sz w:val="22"/>
          <w:szCs w:val="22"/>
        </w:rPr>
        <w:t xml:space="preserve"> the mainstream UK corporation tax rate of 25.0%</w:t>
      </w:r>
      <w:r w:rsidR="00FE78C1" w:rsidRPr="00FE78C1">
        <w:rPr>
          <w:rStyle w:val="Strong"/>
          <w:rFonts w:asciiTheme="minorHAnsi" w:hAnsiTheme="minorHAnsi" w:cstheme="minorBidi"/>
          <w:color w:val="auto"/>
          <w:sz w:val="22"/>
          <w:szCs w:val="22"/>
        </w:rPr>
        <w:t xml:space="preserve"> </w:t>
      </w:r>
      <w:r w:rsidRPr="00FE78C1">
        <w:rPr>
          <w:rStyle w:val="Strong"/>
          <w:rFonts w:asciiTheme="minorHAnsi" w:hAnsiTheme="minorHAnsi" w:cstheme="minorBidi"/>
          <w:color w:val="auto"/>
          <w:sz w:val="22"/>
          <w:szCs w:val="22"/>
        </w:rPr>
        <w:t>on the profit before tax from continuing operations</w:t>
      </w:r>
      <w:r w:rsidR="00FE78C1" w:rsidRPr="00FE78C1">
        <w:rPr>
          <w:rStyle w:val="Strong"/>
          <w:rFonts w:asciiTheme="minorHAnsi" w:hAnsiTheme="minorHAnsi" w:cstheme="minorBidi"/>
          <w:color w:val="auto"/>
          <w:sz w:val="22"/>
          <w:szCs w:val="22"/>
        </w:rPr>
        <w:t>.</w:t>
      </w:r>
      <w:r w:rsidRPr="00FE78C1">
        <w:rPr>
          <w:rStyle w:val="Strong"/>
          <w:rFonts w:asciiTheme="minorHAnsi" w:hAnsiTheme="minorHAnsi" w:cstheme="minorBidi"/>
          <w:color w:val="auto"/>
          <w:sz w:val="22"/>
          <w:szCs w:val="22"/>
        </w:rPr>
        <w:t xml:space="preserve"> </w:t>
      </w:r>
    </w:p>
    <w:p w14:paraId="6396456C" w14:textId="0DDFE495" w:rsidR="00F53939" w:rsidRPr="00A9562E" w:rsidRDefault="007746C7" w:rsidP="00F53939">
      <w:pPr>
        <w:pStyle w:val="NoSpacing"/>
        <w:numPr>
          <w:ilvl w:val="0"/>
          <w:numId w:val="18"/>
        </w:numPr>
        <w:tabs>
          <w:tab w:val="left" w:pos="3160"/>
        </w:tabs>
        <w:jc w:val="both"/>
        <w:rPr>
          <w:rStyle w:val="Strong"/>
          <w:b w:val="0"/>
          <w:bCs w:val="0"/>
        </w:rPr>
      </w:pPr>
      <w:r>
        <w:rPr>
          <w:rStyle w:val="Strong"/>
          <w:b w:val="0"/>
          <w:bCs w:val="0"/>
        </w:rPr>
        <w:t>P</w:t>
      </w:r>
      <w:r w:rsidR="00F53939" w:rsidRPr="00A9562E">
        <w:rPr>
          <w:rStyle w:val="Strong"/>
          <w:b w:val="0"/>
          <w:bCs w:val="0"/>
        </w:rPr>
        <w:t>rofit after tax from continuing operations was £4.</w:t>
      </w:r>
      <w:r w:rsidR="00F53939">
        <w:rPr>
          <w:rStyle w:val="Strong"/>
          <w:b w:val="0"/>
          <w:bCs w:val="0"/>
        </w:rPr>
        <w:t>9</w:t>
      </w:r>
      <w:r w:rsidR="00F53939" w:rsidRPr="00A9562E">
        <w:rPr>
          <w:rStyle w:val="Strong"/>
          <w:b w:val="0"/>
          <w:bCs w:val="0"/>
        </w:rPr>
        <w:t>m (1H24: loss of £(35.5)m).</w:t>
      </w:r>
    </w:p>
    <w:p w14:paraId="16F238A6" w14:textId="77777777" w:rsidR="00F53939" w:rsidRPr="00680686" w:rsidRDefault="00F53939" w:rsidP="00F53939">
      <w:pPr>
        <w:pStyle w:val="NoSpacing"/>
        <w:numPr>
          <w:ilvl w:val="0"/>
          <w:numId w:val="18"/>
        </w:numPr>
        <w:tabs>
          <w:tab w:val="left" w:pos="3160"/>
        </w:tabs>
        <w:jc w:val="both"/>
        <w:rPr>
          <w:rStyle w:val="Strong"/>
          <w:b w:val="0"/>
          <w:bCs w:val="0"/>
        </w:rPr>
      </w:pPr>
      <w:r w:rsidRPr="00680686">
        <w:rPr>
          <w:rStyle w:val="Strong"/>
          <w:b w:val="0"/>
          <w:bCs w:val="0"/>
        </w:rPr>
        <w:t>Profit after tax from discontinued operations was £0.7m (1H24: loss of £(0.3)m), related to the Personal Loans portfolio, the sale of which completed at the end of 1Q25.</w:t>
      </w:r>
    </w:p>
    <w:p w14:paraId="6573E7CF" w14:textId="777A63CF" w:rsidR="00F53939" w:rsidRPr="001C51B0" w:rsidRDefault="00F53939" w:rsidP="00F53939">
      <w:pPr>
        <w:pStyle w:val="NoSpacing"/>
        <w:numPr>
          <w:ilvl w:val="0"/>
          <w:numId w:val="18"/>
        </w:numPr>
        <w:tabs>
          <w:tab w:val="left" w:pos="3160"/>
        </w:tabs>
        <w:jc w:val="both"/>
        <w:rPr>
          <w:rStyle w:val="Strong"/>
          <w:b w:val="0"/>
          <w:bCs w:val="0"/>
        </w:rPr>
      </w:pPr>
      <w:r w:rsidRPr="001C51B0">
        <w:rPr>
          <w:rStyle w:val="Strong"/>
          <w:b w:val="0"/>
          <w:bCs w:val="0"/>
        </w:rPr>
        <w:t>Statutory profit after tax was £5.</w:t>
      </w:r>
      <w:r>
        <w:rPr>
          <w:rStyle w:val="Strong"/>
          <w:b w:val="0"/>
          <w:bCs w:val="0"/>
        </w:rPr>
        <w:t>6</w:t>
      </w:r>
      <w:r w:rsidRPr="001C51B0">
        <w:rPr>
          <w:rStyle w:val="Strong"/>
          <w:b w:val="0"/>
          <w:bCs w:val="0"/>
        </w:rPr>
        <w:t xml:space="preserve">m (1H24: </w:t>
      </w:r>
      <w:r w:rsidR="00313679">
        <w:rPr>
          <w:rStyle w:val="Strong"/>
          <w:b w:val="0"/>
          <w:bCs w:val="0"/>
        </w:rPr>
        <w:t xml:space="preserve">loss of </w:t>
      </w:r>
      <w:r w:rsidRPr="001C51B0">
        <w:rPr>
          <w:rStyle w:val="Strong"/>
          <w:b w:val="0"/>
          <w:bCs w:val="0"/>
        </w:rPr>
        <w:t xml:space="preserve">£(35.8)m) and ROTE was </w:t>
      </w:r>
      <w:r w:rsidR="00494E29">
        <w:rPr>
          <w:rStyle w:val="Strong"/>
          <w:b w:val="0"/>
          <w:bCs w:val="0"/>
        </w:rPr>
        <w:t>3.1</w:t>
      </w:r>
      <w:r w:rsidRPr="001C51B0">
        <w:rPr>
          <w:rStyle w:val="Strong"/>
          <w:b w:val="0"/>
          <w:bCs w:val="0"/>
        </w:rPr>
        <w:t>% (1H24: (18.</w:t>
      </w:r>
      <w:r w:rsidR="00A037DF">
        <w:rPr>
          <w:rStyle w:val="Strong"/>
          <w:b w:val="0"/>
          <w:bCs w:val="0"/>
        </w:rPr>
        <w:t>9</w:t>
      </w:r>
      <w:r w:rsidRPr="001C51B0">
        <w:rPr>
          <w:rStyle w:val="Strong"/>
          <w:b w:val="0"/>
          <w:bCs w:val="0"/>
        </w:rPr>
        <w:t>)%).</w:t>
      </w:r>
    </w:p>
    <w:p w14:paraId="2A90D02F" w14:textId="77777777" w:rsidR="00F53939" w:rsidRDefault="00F53939" w:rsidP="00F53939">
      <w:pPr>
        <w:pStyle w:val="NoSpacing"/>
        <w:tabs>
          <w:tab w:val="left" w:pos="3160"/>
        </w:tabs>
        <w:jc w:val="both"/>
        <w:rPr>
          <w:rStyle w:val="Strong"/>
          <w:b w:val="0"/>
          <w:bCs w:val="0"/>
        </w:rPr>
      </w:pPr>
    </w:p>
    <w:p w14:paraId="43A8EE00" w14:textId="77777777" w:rsidR="00BE441D" w:rsidRDefault="00BE441D" w:rsidP="00F53939">
      <w:pPr>
        <w:pStyle w:val="NoSpacing"/>
        <w:tabs>
          <w:tab w:val="left" w:pos="3160"/>
        </w:tabs>
        <w:jc w:val="both"/>
        <w:rPr>
          <w:rStyle w:val="Strong"/>
          <w:b w:val="0"/>
          <w:bCs w:val="0"/>
        </w:rPr>
      </w:pPr>
    </w:p>
    <w:p w14:paraId="108F68B4" w14:textId="77777777" w:rsidR="00F53939" w:rsidRDefault="00F53939" w:rsidP="00F53939">
      <w:pPr>
        <w:jc w:val="both"/>
        <w:rPr>
          <w:rStyle w:val="Strong"/>
          <w:rFonts w:asciiTheme="minorHAnsi" w:hAnsiTheme="minorHAnsi"/>
          <w:color w:val="4747FF"/>
          <w:sz w:val="22"/>
          <w:szCs w:val="22"/>
        </w:rPr>
      </w:pPr>
      <w:r w:rsidRPr="00F116E9">
        <w:rPr>
          <w:rStyle w:val="Strong"/>
          <w:rFonts w:asciiTheme="minorHAnsi" w:hAnsiTheme="minorHAnsi"/>
          <w:color w:val="4747FF"/>
          <w:sz w:val="22"/>
          <w:szCs w:val="22"/>
        </w:rPr>
        <w:t>Balance Sheet</w:t>
      </w:r>
    </w:p>
    <w:p w14:paraId="68B07BC2" w14:textId="77777777" w:rsidR="00F53939" w:rsidRDefault="00F53939" w:rsidP="00F53939">
      <w:pPr>
        <w:jc w:val="both"/>
        <w:rPr>
          <w:rStyle w:val="Strong"/>
          <w:rFonts w:asciiTheme="minorHAnsi" w:hAnsiTheme="minorHAnsi"/>
          <w:color w:val="4747FF"/>
        </w:rPr>
      </w:pPr>
    </w:p>
    <w:tbl>
      <w:tblPr>
        <w:tblW w:w="5000" w:type="pct"/>
        <w:jc w:val="center"/>
        <w:tblLayout w:type="fixed"/>
        <w:tblCellMar>
          <w:left w:w="0" w:type="dxa"/>
          <w:right w:w="0" w:type="dxa"/>
        </w:tblCellMar>
        <w:tblLook w:val="04A0" w:firstRow="1" w:lastRow="0" w:firstColumn="1" w:lastColumn="0" w:noHBand="0" w:noVBand="1"/>
      </w:tblPr>
      <w:tblGrid>
        <w:gridCol w:w="4822"/>
        <w:gridCol w:w="981"/>
        <w:gridCol w:w="980"/>
        <w:gridCol w:w="980"/>
        <w:gridCol w:w="980"/>
        <w:gridCol w:w="980"/>
      </w:tblGrid>
      <w:tr w:rsidR="00F22241" w:rsidRPr="005E46B1" w14:paraId="08D26875" w14:textId="77777777" w:rsidTr="00F22241">
        <w:trPr>
          <w:trHeight w:val="56"/>
          <w:jc w:val="center"/>
        </w:trPr>
        <w:tc>
          <w:tcPr>
            <w:tcW w:w="2479" w:type="pct"/>
            <w:tcBorders>
              <w:bottom w:val="single" w:sz="4" w:space="0" w:color="auto"/>
            </w:tcBorders>
            <w:vAlign w:val="bottom"/>
            <w:hideMark/>
          </w:tcPr>
          <w:p w14:paraId="1AA0D481" w14:textId="2888DFA4" w:rsidR="00814AD2" w:rsidRPr="0057498B" w:rsidRDefault="0057498B" w:rsidP="00814AD2">
            <w:pPr>
              <w:pStyle w:val="tablefigs"/>
              <w:rPr>
                <w:rFonts w:asciiTheme="minorHAnsi" w:hAnsiTheme="minorHAnsi" w:cstheme="minorHAnsi"/>
                <w:b/>
                <w:bCs/>
                <w:color w:val="auto"/>
                <w:sz w:val="22"/>
                <w:szCs w:val="22"/>
              </w:rPr>
            </w:pPr>
            <w:r w:rsidRPr="0057498B">
              <w:rPr>
                <w:rFonts w:asciiTheme="minorHAnsi" w:hAnsiTheme="minorHAnsi" w:cstheme="minorHAnsi"/>
                <w:b/>
                <w:bCs/>
                <w:color w:val="auto"/>
                <w:sz w:val="22"/>
                <w:szCs w:val="22"/>
              </w:rPr>
              <w:t>£m</w:t>
            </w:r>
          </w:p>
        </w:tc>
        <w:tc>
          <w:tcPr>
            <w:tcW w:w="504" w:type="pct"/>
            <w:tcBorders>
              <w:bottom w:val="single" w:sz="4" w:space="0" w:color="auto"/>
            </w:tcBorders>
            <w:shd w:val="clear" w:color="auto" w:fill="F2F2F2" w:themeFill="background1" w:themeFillShade="F2"/>
            <w:vAlign w:val="center"/>
          </w:tcPr>
          <w:p w14:paraId="270512F0" w14:textId="1F70AB43" w:rsidR="00814AD2" w:rsidRPr="00F22241" w:rsidRDefault="00814AD2" w:rsidP="00814AD2">
            <w:pPr>
              <w:jc w:val="right"/>
              <w:rPr>
                <w:rFonts w:asciiTheme="minorHAnsi" w:hAnsiTheme="minorHAnsi" w:cstheme="minorHAnsi"/>
                <w:b/>
                <w:bCs/>
                <w:sz w:val="22"/>
                <w:szCs w:val="22"/>
              </w:rPr>
            </w:pPr>
            <w:r w:rsidRPr="001D4925">
              <w:rPr>
                <w:rFonts w:asciiTheme="minorHAnsi" w:hAnsiTheme="minorHAnsi" w:cstheme="minorHAnsi"/>
                <w:b/>
                <w:bCs/>
                <w:sz w:val="22"/>
                <w:szCs w:val="22"/>
              </w:rPr>
              <w:t>Jun-25</w:t>
            </w:r>
          </w:p>
        </w:tc>
        <w:tc>
          <w:tcPr>
            <w:tcW w:w="504" w:type="pct"/>
            <w:tcBorders>
              <w:bottom w:val="single" w:sz="4" w:space="0" w:color="auto"/>
            </w:tcBorders>
            <w:vAlign w:val="center"/>
          </w:tcPr>
          <w:p w14:paraId="08B43767" w14:textId="48990869" w:rsidR="00814AD2" w:rsidRPr="00E304F8" w:rsidRDefault="00814AD2" w:rsidP="00814AD2">
            <w:pPr>
              <w:jc w:val="right"/>
              <w:rPr>
                <w:rFonts w:asciiTheme="minorHAnsi" w:hAnsiTheme="minorHAnsi" w:cstheme="minorHAnsi"/>
                <w:sz w:val="22"/>
                <w:szCs w:val="22"/>
              </w:rPr>
            </w:pPr>
            <w:r w:rsidRPr="00E304F8">
              <w:rPr>
                <w:rFonts w:asciiTheme="minorHAnsi" w:hAnsiTheme="minorHAnsi" w:cstheme="minorHAnsi"/>
                <w:kern w:val="24"/>
                <w:sz w:val="22"/>
                <w:szCs w:val="22"/>
              </w:rPr>
              <w:t>Dec-24</w:t>
            </w:r>
          </w:p>
        </w:tc>
        <w:tc>
          <w:tcPr>
            <w:tcW w:w="504" w:type="pct"/>
            <w:tcBorders>
              <w:bottom w:val="single" w:sz="4" w:space="0" w:color="auto"/>
            </w:tcBorders>
            <w:vAlign w:val="center"/>
          </w:tcPr>
          <w:p w14:paraId="04BE1AB7" w14:textId="2848C11F" w:rsidR="00814AD2" w:rsidRPr="00E304F8" w:rsidRDefault="00814AD2" w:rsidP="00814AD2">
            <w:pPr>
              <w:jc w:val="right"/>
              <w:rPr>
                <w:rFonts w:asciiTheme="minorHAnsi" w:hAnsiTheme="minorHAnsi" w:cstheme="minorHAnsi"/>
                <w:sz w:val="22"/>
                <w:szCs w:val="22"/>
              </w:rPr>
            </w:pPr>
            <w:r w:rsidRPr="00E304F8">
              <w:rPr>
                <w:rFonts w:asciiTheme="minorHAnsi" w:hAnsiTheme="minorHAnsi" w:cstheme="minorHAnsi"/>
                <w:kern w:val="24"/>
                <w:sz w:val="22"/>
                <w:szCs w:val="22"/>
              </w:rPr>
              <w:t xml:space="preserve">Jun-24 </w:t>
            </w:r>
          </w:p>
        </w:tc>
        <w:tc>
          <w:tcPr>
            <w:tcW w:w="504" w:type="pct"/>
            <w:tcBorders>
              <w:bottom w:val="single" w:sz="4" w:space="0" w:color="auto"/>
            </w:tcBorders>
          </w:tcPr>
          <w:p w14:paraId="5ED70F25" w14:textId="77777777" w:rsidR="00814AD2" w:rsidRPr="00E304F8" w:rsidRDefault="00814AD2" w:rsidP="00814AD2">
            <w:pPr>
              <w:ind w:right="115"/>
              <w:jc w:val="right"/>
              <w:rPr>
                <w:rFonts w:asciiTheme="minorHAnsi" w:hAnsiTheme="minorHAnsi" w:cstheme="minorHAnsi"/>
                <w:kern w:val="24"/>
                <w:sz w:val="22"/>
                <w:szCs w:val="22"/>
              </w:rPr>
            </w:pPr>
            <w:proofErr w:type="spellStart"/>
            <w:r>
              <w:rPr>
                <w:rFonts w:asciiTheme="minorHAnsi" w:hAnsiTheme="minorHAnsi" w:cstheme="minorHAnsi"/>
                <w:kern w:val="24"/>
                <w:sz w:val="22"/>
                <w:szCs w:val="22"/>
              </w:rPr>
              <w:t>HoH</w:t>
            </w:r>
            <w:proofErr w:type="spellEnd"/>
          </w:p>
          <w:p w14:paraId="415C4330" w14:textId="7B6CD774" w:rsidR="00814AD2" w:rsidRPr="00E304F8" w:rsidRDefault="00814AD2" w:rsidP="00814AD2">
            <w:pPr>
              <w:jc w:val="right"/>
              <w:rPr>
                <w:rFonts w:asciiTheme="minorHAnsi" w:hAnsiTheme="minorHAnsi" w:cstheme="minorHAnsi"/>
                <w:sz w:val="22"/>
                <w:szCs w:val="22"/>
              </w:rPr>
            </w:pPr>
            <w:r w:rsidRPr="00E304F8">
              <w:rPr>
                <w:rFonts w:asciiTheme="minorHAnsi" w:hAnsiTheme="minorHAnsi" w:cstheme="minorHAnsi"/>
                <w:kern w:val="24"/>
                <w:sz w:val="22"/>
                <w:szCs w:val="22"/>
              </w:rPr>
              <w:t xml:space="preserve">Change </w:t>
            </w:r>
            <w:r w:rsidRPr="00E304F8">
              <w:rPr>
                <w:rFonts w:asciiTheme="minorHAnsi" w:eastAsia="Inter Light BETA" w:hAnsiTheme="minorHAnsi" w:cstheme="minorHAnsi"/>
                <w:kern w:val="24"/>
                <w:sz w:val="22"/>
                <w:szCs w:val="22"/>
              </w:rPr>
              <w:t>%</w:t>
            </w:r>
          </w:p>
        </w:tc>
        <w:tc>
          <w:tcPr>
            <w:tcW w:w="504" w:type="pct"/>
            <w:tcBorders>
              <w:bottom w:val="single" w:sz="4" w:space="0" w:color="auto"/>
            </w:tcBorders>
            <w:vAlign w:val="center"/>
          </w:tcPr>
          <w:p w14:paraId="22A8F8AF" w14:textId="77777777" w:rsidR="00814AD2" w:rsidRPr="00E304F8" w:rsidRDefault="00814AD2" w:rsidP="00814AD2">
            <w:pPr>
              <w:ind w:right="115"/>
              <w:jc w:val="right"/>
              <w:rPr>
                <w:rFonts w:asciiTheme="minorHAnsi" w:hAnsiTheme="minorHAnsi" w:cstheme="minorHAnsi"/>
                <w:kern w:val="24"/>
                <w:sz w:val="22"/>
                <w:szCs w:val="22"/>
              </w:rPr>
            </w:pPr>
            <w:r w:rsidRPr="00E304F8">
              <w:rPr>
                <w:rFonts w:asciiTheme="minorHAnsi" w:hAnsiTheme="minorHAnsi" w:cstheme="minorHAnsi"/>
                <w:kern w:val="24"/>
                <w:sz w:val="22"/>
                <w:szCs w:val="22"/>
              </w:rPr>
              <w:t>YoY</w:t>
            </w:r>
          </w:p>
          <w:p w14:paraId="63568252" w14:textId="475922A6" w:rsidR="00814AD2" w:rsidRPr="00E304F8" w:rsidRDefault="00814AD2" w:rsidP="00814AD2">
            <w:pPr>
              <w:jc w:val="right"/>
              <w:rPr>
                <w:rFonts w:asciiTheme="minorHAnsi" w:hAnsiTheme="minorHAnsi" w:cstheme="minorHAnsi"/>
                <w:sz w:val="22"/>
                <w:szCs w:val="22"/>
              </w:rPr>
            </w:pPr>
            <w:r w:rsidRPr="00E304F8">
              <w:rPr>
                <w:rFonts w:asciiTheme="minorHAnsi" w:hAnsiTheme="minorHAnsi" w:cstheme="minorHAnsi"/>
                <w:kern w:val="24"/>
                <w:sz w:val="22"/>
                <w:szCs w:val="22"/>
              </w:rPr>
              <w:t xml:space="preserve">Change </w:t>
            </w:r>
            <w:r w:rsidRPr="00E304F8">
              <w:rPr>
                <w:rFonts w:asciiTheme="minorHAnsi" w:eastAsia="Inter Light BETA" w:hAnsiTheme="minorHAnsi" w:cstheme="minorHAnsi"/>
                <w:kern w:val="24"/>
                <w:sz w:val="22"/>
                <w:szCs w:val="22"/>
              </w:rPr>
              <w:t>%</w:t>
            </w:r>
          </w:p>
        </w:tc>
      </w:tr>
      <w:tr w:rsidR="00F22241" w:rsidRPr="005E46B1" w14:paraId="71E65F67" w14:textId="77777777" w:rsidTr="00F22241">
        <w:trPr>
          <w:trHeight w:val="56"/>
          <w:jc w:val="center"/>
        </w:trPr>
        <w:tc>
          <w:tcPr>
            <w:tcW w:w="2479" w:type="pct"/>
            <w:tcBorders>
              <w:top w:val="single" w:sz="4" w:space="0" w:color="auto"/>
            </w:tcBorders>
            <w:vAlign w:val="bottom"/>
          </w:tcPr>
          <w:p w14:paraId="4A6579E9" w14:textId="4E33098C" w:rsidR="00814AD2" w:rsidRPr="00E304F8" w:rsidRDefault="00814AD2" w:rsidP="00814AD2">
            <w:pPr>
              <w:pStyle w:val="tablefigs"/>
              <w:rPr>
                <w:rFonts w:asciiTheme="minorHAnsi" w:hAnsiTheme="minorHAnsi" w:cstheme="minorHAnsi"/>
                <w:color w:val="auto"/>
                <w:sz w:val="22"/>
                <w:szCs w:val="22"/>
              </w:rPr>
            </w:pPr>
            <w:r w:rsidRPr="00E304F8">
              <w:rPr>
                <w:rStyle w:val="tabletextbold0"/>
                <w:rFonts w:asciiTheme="minorHAnsi" w:hAnsiTheme="minorHAnsi" w:cstheme="minorHAnsi"/>
                <w:color w:val="auto"/>
                <w:sz w:val="22"/>
                <w:szCs w:val="22"/>
              </w:rPr>
              <w:t>Assets</w:t>
            </w:r>
          </w:p>
        </w:tc>
        <w:tc>
          <w:tcPr>
            <w:tcW w:w="504" w:type="pct"/>
            <w:tcBorders>
              <w:top w:val="single" w:sz="4" w:space="0" w:color="auto"/>
            </w:tcBorders>
            <w:shd w:val="clear" w:color="auto" w:fill="F2F2F2" w:themeFill="background1" w:themeFillShade="F2"/>
          </w:tcPr>
          <w:p w14:paraId="3202C446" w14:textId="77777777" w:rsidR="00814AD2" w:rsidRPr="00E304F8" w:rsidRDefault="00814AD2" w:rsidP="00814AD2">
            <w:pPr>
              <w:jc w:val="right"/>
              <w:rPr>
                <w:rFonts w:asciiTheme="minorHAnsi" w:hAnsiTheme="minorHAnsi" w:cstheme="minorHAnsi"/>
                <w:b/>
                <w:sz w:val="22"/>
                <w:szCs w:val="22"/>
              </w:rPr>
            </w:pPr>
          </w:p>
        </w:tc>
        <w:tc>
          <w:tcPr>
            <w:tcW w:w="504" w:type="pct"/>
            <w:tcBorders>
              <w:top w:val="single" w:sz="4" w:space="0" w:color="auto"/>
            </w:tcBorders>
            <w:vAlign w:val="center"/>
          </w:tcPr>
          <w:p w14:paraId="2F308919" w14:textId="77777777" w:rsidR="00814AD2" w:rsidRPr="00E304F8" w:rsidRDefault="00814AD2" w:rsidP="00814AD2">
            <w:pPr>
              <w:jc w:val="right"/>
              <w:rPr>
                <w:rFonts w:ascii="Calibri" w:hAnsi="Calibri" w:cs="Calibri"/>
                <w:color w:val="000000"/>
                <w:sz w:val="22"/>
                <w:szCs w:val="22"/>
              </w:rPr>
            </w:pPr>
          </w:p>
        </w:tc>
        <w:tc>
          <w:tcPr>
            <w:tcW w:w="504" w:type="pct"/>
            <w:tcBorders>
              <w:top w:val="single" w:sz="4" w:space="0" w:color="auto"/>
            </w:tcBorders>
            <w:vAlign w:val="center"/>
          </w:tcPr>
          <w:p w14:paraId="74084B7C" w14:textId="77777777" w:rsidR="00814AD2" w:rsidRPr="00E304F8" w:rsidRDefault="00814AD2" w:rsidP="00814AD2">
            <w:pPr>
              <w:jc w:val="right"/>
              <w:rPr>
                <w:rFonts w:ascii="Calibri" w:hAnsi="Calibri" w:cs="Calibri"/>
                <w:color w:val="000000"/>
                <w:sz w:val="22"/>
                <w:szCs w:val="22"/>
              </w:rPr>
            </w:pPr>
          </w:p>
        </w:tc>
        <w:tc>
          <w:tcPr>
            <w:tcW w:w="504" w:type="pct"/>
            <w:tcBorders>
              <w:top w:val="single" w:sz="4" w:space="0" w:color="auto"/>
            </w:tcBorders>
          </w:tcPr>
          <w:p w14:paraId="7D44D838" w14:textId="77777777" w:rsidR="00814AD2" w:rsidRPr="00E304F8" w:rsidRDefault="00814AD2" w:rsidP="00814AD2">
            <w:pPr>
              <w:jc w:val="right"/>
              <w:rPr>
                <w:rFonts w:asciiTheme="minorHAnsi" w:hAnsiTheme="minorHAnsi" w:cstheme="minorHAnsi"/>
                <w:sz w:val="22"/>
                <w:szCs w:val="22"/>
              </w:rPr>
            </w:pPr>
          </w:p>
        </w:tc>
        <w:tc>
          <w:tcPr>
            <w:tcW w:w="504" w:type="pct"/>
            <w:tcBorders>
              <w:top w:val="single" w:sz="4" w:space="0" w:color="auto"/>
            </w:tcBorders>
          </w:tcPr>
          <w:p w14:paraId="5527C611" w14:textId="77777777" w:rsidR="00814AD2" w:rsidRPr="00E304F8" w:rsidRDefault="00814AD2" w:rsidP="00814AD2">
            <w:pPr>
              <w:jc w:val="right"/>
              <w:rPr>
                <w:rFonts w:asciiTheme="minorHAnsi" w:hAnsiTheme="minorHAnsi" w:cstheme="minorHAnsi"/>
                <w:sz w:val="22"/>
                <w:szCs w:val="22"/>
              </w:rPr>
            </w:pPr>
          </w:p>
        </w:tc>
      </w:tr>
      <w:tr w:rsidR="00F22241" w:rsidRPr="005E46B1" w14:paraId="51535B44" w14:textId="77777777" w:rsidTr="000614D1">
        <w:trPr>
          <w:trHeight w:val="56"/>
          <w:jc w:val="center"/>
        </w:trPr>
        <w:tc>
          <w:tcPr>
            <w:tcW w:w="2479" w:type="pct"/>
            <w:vAlign w:val="bottom"/>
          </w:tcPr>
          <w:p w14:paraId="581C66B6" w14:textId="780E8863"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Cash and balances at central banks</w:t>
            </w:r>
          </w:p>
        </w:tc>
        <w:tc>
          <w:tcPr>
            <w:tcW w:w="504" w:type="pct"/>
            <w:shd w:val="clear" w:color="auto" w:fill="F2F2F2" w:themeFill="background1" w:themeFillShade="F2"/>
          </w:tcPr>
          <w:p w14:paraId="549D30CD" w14:textId="33DD24E6" w:rsidR="00814AD2" w:rsidRPr="00E304F8" w:rsidRDefault="00BF0A4A" w:rsidP="000614D1">
            <w:pPr>
              <w:jc w:val="right"/>
              <w:rPr>
                <w:rFonts w:asciiTheme="minorHAnsi" w:hAnsiTheme="minorHAnsi" w:cstheme="minorHAnsi"/>
                <w:b/>
                <w:sz w:val="22"/>
                <w:szCs w:val="22"/>
              </w:rPr>
            </w:pPr>
            <w:r>
              <w:rPr>
                <w:rFonts w:asciiTheme="minorHAnsi" w:hAnsiTheme="minorHAnsi" w:cstheme="minorHAnsi"/>
                <w:b/>
                <w:sz w:val="22"/>
                <w:szCs w:val="22"/>
              </w:rPr>
              <w:t>805</w:t>
            </w:r>
          </w:p>
        </w:tc>
        <w:tc>
          <w:tcPr>
            <w:tcW w:w="504" w:type="pct"/>
          </w:tcPr>
          <w:p w14:paraId="2D661CC3" w14:textId="45DD61CC" w:rsidR="00814AD2" w:rsidRPr="00E304F8" w:rsidRDefault="00814AD2" w:rsidP="000614D1">
            <w:pPr>
              <w:jc w:val="right"/>
              <w:rPr>
                <w:rFonts w:ascii="Calibri" w:hAnsi="Calibri" w:cs="Calibri"/>
                <w:color w:val="000000"/>
                <w:sz w:val="22"/>
                <w:szCs w:val="22"/>
              </w:rPr>
            </w:pPr>
            <w:r w:rsidRPr="00E304F8">
              <w:rPr>
                <w:rFonts w:ascii="Calibri" w:hAnsi="Calibri" w:cs="Calibri"/>
                <w:color w:val="000000"/>
                <w:sz w:val="22"/>
                <w:szCs w:val="22"/>
              </w:rPr>
              <w:t xml:space="preserve">    1,004 </w:t>
            </w:r>
          </w:p>
        </w:tc>
        <w:tc>
          <w:tcPr>
            <w:tcW w:w="504" w:type="pct"/>
          </w:tcPr>
          <w:p w14:paraId="416A3B15" w14:textId="1B19C6A9" w:rsidR="00814AD2" w:rsidRPr="00E304F8" w:rsidRDefault="00814AD2" w:rsidP="000614D1">
            <w:pPr>
              <w:jc w:val="right"/>
              <w:rPr>
                <w:rFonts w:ascii="Calibri" w:hAnsi="Calibri" w:cs="Calibri"/>
                <w:color w:val="000000"/>
                <w:sz w:val="22"/>
                <w:szCs w:val="22"/>
              </w:rPr>
            </w:pPr>
            <w:r w:rsidRPr="00E304F8">
              <w:rPr>
                <w:rFonts w:ascii="Calibri" w:hAnsi="Calibri" w:cs="Calibri"/>
                <w:color w:val="000000"/>
                <w:sz w:val="22"/>
                <w:szCs w:val="22"/>
              </w:rPr>
              <w:t xml:space="preserve">        773 </w:t>
            </w:r>
          </w:p>
        </w:tc>
        <w:tc>
          <w:tcPr>
            <w:tcW w:w="504" w:type="pct"/>
          </w:tcPr>
          <w:p w14:paraId="23697118" w14:textId="58FDAB92"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w:t>
            </w:r>
            <w:r w:rsidR="00E700A4">
              <w:rPr>
                <w:rFonts w:asciiTheme="minorHAnsi" w:hAnsiTheme="minorHAnsi" w:cstheme="minorHAnsi"/>
                <w:sz w:val="22"/>
                <w:szCs w:val="22"/>
              </w:rPr>
              <w:t>20</w:t>
            </w:r>
            <w:r w:rsidRPr="00E304F8">
              <w:rPr>
                <w:rFonts w:asciiTheme="minorHAnsi" w:hAnsiTheme="minorHAnsi" w:cstheme="minorHAnsi"/>
                <w:sz w:val="22"/>
                <w:szCs w:val="22"/>
              </w:rPr>
              <w:t>)</w:t>
            </w:r>
          </w:p>
        </w:tc>
        <w:tc>
          <w:tcPr>
            <w:tcW w:w="504" w:type="pct"/>
          </w:tcPr>
          <w:p w14:paraId="1F245EBE" w14:textId="16ABDF6D" w:rsidR="00814AD2" w:rsidRPr="00E304F8" w:rsidRDefault="00B84947" w:rsidP="000614D1">
            <w:pPr>
              <w:jc w:val="right"/>
              <w:rPr>
                <w:rFonts w:asciiTheme="minorHAnsi" w:hAnsiTheme="minorHAnsi" w:cstheme="minorHAnsi"/>
                <w:sz w:val="22"/>
                <w:szCs w:val="22"/>
              </w:rPr>
            </w:pPr>
            <w:r>
              <w:rPr>
                <w:rFonts w:asciiTheme="minorHAnsi" w:hAnsiTheme="minorHAnsi" w:cstheme="minorHAnsi"/>
                <w:sz w:val="22"/>
                <w:szCs w:val="22"/>
              </w:rPr>
              <w:t>4</w:t>
            </w:r>
          </w:p>
        </w:tc>
      </w:tr>
      <w:tr w:rsidR="00F22241" w:rsidRPr="005E46B1" w14:paraId="66ABAFD0" w14:textId="77777777" w:rsidTr="000614D1">
        <w:trPr>
          <w:trHeight w:val="56"/>
          <w:jc w:val="center"/>
        </w:trPr>
        <w:tc>
          <w:tcPr>
            <w:tcW w:w="2479" w:type="pct"/>
            <w:vAlign w:val="bottom"/>
            <w:hideMark/>
          </w:tcPr>
          <w:p w14:paraId="0AFE1870" w14:textId="79F02C0F"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Amounts receivable from customers</w:t>
            </w:r>
            <w:r w:rsidR="00F81E37">
              <w:rPr>
                <w:rFonts w:asciiTheme="minorHAnsi" w:hAnsiTheme="minorHAnsi" w:cstheme="minorHAnsi"/>
                <w:color w:val="auto"/>
                <w:sz w:val="22"/>
                <w:szCs w:val="22"/>
              </w:rPr>
              <w:t xml:space="preserve"> (net receivables)</w:t>
            </w:r>
          </w:p>
        </w:tc>
        <w:tc>
          <w:tcPr>
            <w:tcW w:w="504" w:type="pct"/>
            <w:shd w:val="clear" w:color="auto" w:fill="F2F2F2" w:themeFill="background1" w:themeFillShade="F2"/>
          </w:tcPr>
          <w:p w14:paraId="50FC428C" w14:textId="6DC3D094" w:rsidR="00814AD2" w:rsidRPr="00E304F8" w:rsidRDefault="00814AD2" w:rsidP="000614D1">
            <w:pPr>
              <w:jc w:val="right"/>
              <w:rPr>
                <w:rFonts w:asciiTheme="minorHAnsi" w:hAnsiTheme="minorHAnsi" w:cstheme="minorHAnsi"/>
                <w:b/>
                <w:sz w:val="22"/>
                <w:szCs w:val="22"/>
              </w:rPr>
            </w:pPr>
            <w:r w:rsidRPr="00E304F8">
              <w:rPr>
                <w:rFonts w:asciiTheme="minorHAnsi" w:hAnsiTheme="minorHAnsi" w:cstheme="minorHAnsi"/>
                <w:b/>
                <w:sz w:val="22"/>
                <w:szCs w:val="22"/>
              </w:rPr>
              <w:t>2,32</w:t>
            </w:r>
            <w:r w:rsidR="0025751A">
              <w:rPr>
                <w:rFonts w:asciiTheme="minorHAnsi" w:hAnsiTheme="minorHAnsi" w:cstheme="minorHAnsi"/>
                <w:b/>
                <w:sz w:val="22"/>
                <w:szCs w:val="22"/>
              </w:rPr>
              <w:t>5</w:t>
            </w:r>
          </w:p>
        </w:tc>
        <w:tc>
          <w:tcPr>
            <w:tcW w:w="504" w:type="pct"/>
          </w:tcPr>
          <w:p w14:paraId="7891E819" w14:textId="5AA714D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2,154</w:t>
            </w:r>
          </w:p>
        </w:tc>
        <w:tc>
          <w:tcPr>
            <w:tcW w:w="504" w:type="pct"/>
          </w:tcPr>
          <w:p w14:paraId="1081EEDC" w14:textId="7777777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2,009 </w:t>
            </w:r>
          </w:p>
        </w:tc>
        <w:tc>
          <w:tcPr>
            <w:tcW w:w="504" w:type="pct"/>
          </w:tcPr>
          <w:p w14:paraId="446452DC" w14:textId="03B39E8D"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8</w:t>
            </w:r>
          </w:p>
        </w:tc>
        <w:tc>
          <w:tcPr>
            <w:tcW w:w="504" w:type="pct"/>
          </w:tcPr>
          <w:p w14:paraId="3A1C31B5" w14:textId="77777777"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16</w:t>
            </w:r>
          </w:p>
        </w:tc>
      </w:tr>
      <w:tr w:rsidR="00F22241" w:rsidRPr="005E46B1" w14:paraId="37F97125" w14:textId="77777777" w:rsidTr="000614D1">
        <w:trPr>
          <w:trHeight w:val="56"/>
          <w:jc w:val="center"/>
        </w:trPr>
        <w:tc>
          <w:tcPr>
            <w:tcW w:w="2479" w:type="pct"/>
            <w:vAlign w:val="bottom"/>
            <w:hideMark/>
          </w:tcPr>
          <w:p w14:paraId="6384AE34" w14:textId="77777777"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Pension asset</w:t>
            </w:r>
          </w:p>
        </w:tc>
        <w:tc>
          <w:tcPr>
            <w:tcW w:w="504" w:type="pct"/>
            <w:shd w:val="clear" w:color="auto" w:fill="F2F2F2" w:themeFill="background1" w:themeFillShade="F2"/>
          </w:tcPr>
          <w:p w14:paraId="741BF374" w14:textId="77777777" w:rsidR="00814AD2" w:rsidRPr="00E304F8" w:rsidRDefault="00814AD2" w:rsidP="000614D1">
            <w:pPr>
              <w:jc w:val="right"/>
              <w:rPr>
                <w:rFonts w:asciiTheme="minorHAnsi" w:hAnsiTheme="minorHAnsi" w:cstheme="minorHAnsi"/>
                <w:b/>
                <w:sz w:val="22"/>
                <w:szCs w:val="22"/>
              </w:rPr>
            </w:pPr>
            <w:r w:rsidRPr="00E304F8">
              <w:rPr>
                <w:rFonts w:asciiTheme="minorHAnsi" w:hAnsiTheme="minorHAnsi" w:cstheme="minorHAnsi"/>
                <w:b/>
                <w:sz w:val="22"/>
                <w:szCs w:val="22"/>
              </w:rPr>
              <w:t>13</w:t>
            </w:r>
          </w:p>
        </w:tc>
        <w:tc>
          <w:tcPr>
            <w:tcW w:w="504" w:type="pct"/>
          </w:tcPr>
          <w:p w14:paraId="6F579EED" w14:textId="56D75771"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28 </w:t>
            </w:r>
          </w:p>
        </w:tc>
        <w:tc>
          <w:tcPr>
            <w:tcW w:w="504" w:type="pct"/>
          </w:tcPr>
          <w:p w14:paraId="0F78D89F" w14:textId="7777777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34 </w:t>
            </w:r>
          </w:p>
        </w:tc>
        <w:tc>
          <w:tcPr>
            <w:tcW w:w="504" w:type="pct"/>
          </w:tcPr>
          <w:p w14:paraId="45B6F91A" w14:textId="1DFE62F6"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(5</w:t>
            </w:r>
            <w:r w:rsidR="000E2110">
              <w:rPr>
                <w:rFonts w:asciiTheme="minorHAnsi" w:hAnsiTheme="minorHAnsi" w:cstheme="minorHAnsi"/>
                <w:sz w:val="22"/>
                <w:szCs w:val="22"/>
              </w:rPr>
              <w:t>4</w:t>
            </w:r>
            <w:r w:rsidRPr="00E304F8">
              <w:rPr>
                <w:rFonts w:asciiTheme="minorHAnsi" w:hAnsiTheme="minorHAnsi" w:cstheme="minorHAnsi"/>
                <w:sz w:val="22"/>
                <w:szCs w:val="22"/>
              </w:rPr>
              <w:t>)</w:t>
            </w:r>
          </w:p>
        </w:tc>
        <w:tc>
          <w:tcPr>
            <w:tcW w:w="504" w:type="pct"/>
          </w:tcPr>
          <w:p w14:paraId="684B9E01" w14:textId="52471F42"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(6</w:t>
            </w:r>
            <w:r w:rsidR="000E2110">
              <w:rPr>
                <w:rFonts w:asciiTheme="minorHAnsi" w:hAnsiTheme="minorHAnsi" w:cstheme="minorHAnsi"/>
                <w:sz w:val="22"/>
                <w:szCs w:val="22"/>
              </w:rPr>
              <w:t>2</w:t>
            </w:r>
            <w:r w:rsidRPr="00E304F8">
              <w:rPr>
                <w:rFonts w:asciiTheme="minorHAnsi" w:hAnsiTheme="minorHAnsi" w:cstheme="minorHAnsi"/>
                <w:sz w:val="22"/>
                <w:szCs w:val="22"/>
              </w:rPr>
              <w:t>)</w:t>
            </w:r>
          </w:p>
        </w:tc>
      </w:tr>
      <w:tr w:rsidR="00F22241" w:rsidRPr="005E46B1" w14:paraId="2B8111D1" w14:textId="77777777" w:rsidTr="000614D1">
        <w:trPr>
          <w:trHeight w:val="56"/>
          <w:jc w:val="center"/>
        </w:trPr>
        <w:tc>
          <w:tcPr>
            <w:tcW w:w="2479" w:type="pct"/>
            <w:vAlign w:val="bottom"/>
            <w:hideMark/>
          </w:tcPr>
          <w:p w14:paraId="777657AE" w14:textId="77777777"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Goodwill and other intangibles</w:t>
            </w:r>
          </w:p>
        </w:tc>
        <w:tc>
          <w:tcPr>
            <w:tcW w:w="504" w:type="pct"/>
            <w:shd w:val="clear" w:color="auto" w:fill="F2F2F2" w:themeFill="background1" w:themeFillShade="F2"/>
          </w:tcPr>
          <w:p w14:paraId="120E93BE" w14:textId="77777777" w:rsidR="00814AD2" w:rsidRPr="00E304F8" w:rsidRDefault="00814AD2" w:rsidP="000614D1">
            <w:pPr>
              <w:jc w:val="right"/>
              <w:rPr>
                <w:rFonts w:asciiTheme="minorHAnsi" w:hAnsiTheme="minorHAnsi" w:cstheme="minorHAnsi"/>
                <w:b/>
                <w:sz w:val="22"/>
                <w:szCs w:val="22"/>
              </w:rPr>
            </w:pPr>
            <w:r w:rsidRPr="00E304F8">
              <w:rPr>
                <w:rFonts w:asciiTheme="minorHAnsi" w:hAnsiTheme="minorHAnsi" w:cstheme="minorHAnsi"/>
                <w:b/>
                <w:sz w:val="22"/>
                <w:szCs w:val="22"/>
              </w:rPr>
              <w:t>64</w:t>
            </w:r>
          </w:p>
        </w:tc>
        <w:tc>
          <w:tcPr>
            <w:tcW w:w="504" w:type="pct"/>
          </w:tcPr>
          <w:p w14:paraId="5446984B" w14:textId="1586AAA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63 </w:t>
            </w:r>
          </w:p>
        </w:tc>
        <w:tc>
          <w:tcPr>
            <w:tcW w:w="504" w:type="pct"/>
          </w:tcPr>
          <w:p w14:paraId="334D5EE5" w14:textId="7777777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133</w:t>
            </w:r>
          </w:p>
        </w:tc>
        <w:tc>
          <w:tcPr>
            <w:tcW w:w="504" w:type="pct"/>
          </w:tcPr>
          <w:p w14:paraId="0BF0D78F" w14:textId="61FE320B"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2</w:t>
            </w:r>
          </w:p>
        </w:tc>
        <w:tc>
          <w:tcPr>
            <w:tcW w:w="504" w:type="pct"/>
          </w:tcPr>
          <w:p w14:paraId="045E2A15" w14:textId="77777777"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(52)</w:t>
            </w:r>
          </w:p>
        </w:tc>
      </w:tr>
      <w:tr w:rsidR="00F22241" w:rsidRPr="005E46B1" w14:paraId="47CCF928" w14:textId="77777777" w:rsidTr="000614D1">
        <w:trPr>
          <w:trHeight w:val="56"/>
          <w:jc w:val="center"/>
        </w:trPr>
        <w:tc>
          <w:tcPr>
            <w:tcW w:w="2479" w:type="pct"/>
            <w:tcBorders>
              <w:bottom w:val="single" w:sz="4" w:space="0" w:color="auto"/>
            </w:tcBorders>
            <w:vAlign w:val="bottom"/>
            <w:hideMark/>
          </w:tcPr>
          <w:p w14:paraId="11953C85" w14:textId="77777777"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Other assets</w:t>
            </w:r>
          </w:p>
        </w:tc>
        <w:tc>
          <w:tcPr>
            <w:tcW w:w="504" w:type="pct"/>
            <w:tcBorders>
              <w:bottom w:val="single" w:sz="4" w:space="0" w:color="auto"/>
            </w:tcBorders>
            <w:shd w:val="clear" w:color="auto" w:fill="F2F2F2" w:themeFill="background1" w:themeFillShade="F2"/>
          </w:tcPr>
          <w:p w14:paraId="253F79A2" w14:textId="068F2256" w:rsidR="00814AD2" w:rsidRPr="00E304F8" w:rsidRDefault="00510F18" w:rsidP="000614D1">
            <w:pPr>
              <w:jc w:val="right"/>
              <w:rPr>
                <w:rFonts w:asciiTheme="minorHAnsi" w:hAnsiTheme="minorHAnsi" w:cstheme="minorHAnsi"/>
                <w:b/>
                <w:sz w:val="22"/>
                <w:szCs w:val="22"/>
              </w:rPr>
            </w:pPr>
            <w:r>
              <w:rPr>
                <w:rFonts w:asciiTheme="minorHAnsi" w:hAnsiTheme="minorHAnsi" w:cstheme="minorHAnsi"/>
                <w:b/>
                <w:sz w:val="22"/>
                <w:szCs w:val="22"/>
              </w:rPr>
              <w:t>2</w:t>
            </w:r>
            <w:r w:rsidR="0025751A">
              <w:rPr>
                <w:rFonts w:asciiTheme="minorHAnsi" w:hAnsiTheme="minorHAnsi" w:cstheme="minorHAnsi"/>
                <w:b/>
                <w:sz w:val="22"/>
                <w:szCs w:val="22"/>
              </w:rPr>
              <w:t>40</w:t>
            </w:r>
          </w:p>
        </w:tc>
        <w:tc>
          <w:tcPr>
            <w:tcW w:w="504" w:type="pct"/>
            <w:tcBorders>
              <w:bottom w:val="single" w:sz="4" w:space="0" w:color="auto"/>
            </w:tcBorders>
          </w:tcPr>
          <w:p w14:paraId="0F2A01FD" w14:textId="50A5CD32" w:rsidR="00814AD2" w:rsidRPr="00045FDB" w:rsidRDefault="00814AD2" w:rsidP="000614D1">
            <w:pPr>
              <w:jc w:val="right"/>
              <w:rPr>
                <w:rFonts w:ascii="Calibri" w:hAnsi="Calibri" w:cs="Calibri"/>
                <w:color w:val="000000"/>
                <w:sz w:val="22"/>
                <w:szCs w:val="22"/>
              </w:rPr>
            </w:pPr>
            <w:r w:rsidRPr="00E304F8">
              <w:rPr>
                <w:rFonts w:ascii="Calibri" w:hAnsi="Calibri" w:cs="Calibri"/>
                <w:color w:val="000000"/>
                <w:sz w:val="22"/>
                <w:szCs w:val="22"/>
              </w:rPr>
              <w:t>12</w:t>
            </w:r>
            <w:r w:rsidR="002E5BE9">
              <w:rPr>
                <w:rFonts w:ascii="Calibri" w:hAnsi="Calibri" w:cs="Calibri"/>
                <w:color w:val="000000"/>
                <w:sz w:val="22"/>
                <w:szCs w:val="22"/>
              </w:rPr>
              <w:t>6</w:t>
            </w:r>
          </w:p>
        </w:tc>
        <w:tc>
          <w:tcPr>
            <w:tcW w:w="504" w:type="pct"/>
            <w:tcBorders>
              <w:bottom w:val="single" w:sz="4" w:space="0" w:color="auto"/>
            </w:tcBorders>
          </w:tcPr>
          <w:p w14:paraId="599AFAFC" w14:textId="7C3321D4" w:rsidR="00814AD2" w:rsidRPr="00045FDB" w:rsidRDefault="00814AD2" w:rsidP="000614D1">
            <w:pPr>
              <w:jc w:val="right"/>
              <w:rPr>
                <w:rFonts w:ascii="Calibri" w:hAnsi="Calibri" w:cs="Calibri"/>
                <w:color w:val="000000"/>
                <w:sz w:val="22"/>
                <w:szCs w:val="22"/>
              </w:rPr>
            </w:pPr>
            <w:r w:rsidRPr="00E304F8">
              <w:rPr>
                <w:rFonts w:ascii="Calibri" w:hAnsi="Calibri" w:cs="Calibri"/>
                <w:color w:val="000000"/>
                <w:sz w:val="22"/>
                <w:szCs w:val="22"/>
              </w:rPr>
              <w:t>13</w:t>
            </w:r>
            <w:r w:rsidR="004E1838">
              <w:rPr>
                <w:rFonts w:ascii="Calibri" w:hAnsi="Calibri" w:cs="Calibri"/>
                <w:color w:val="000000"/>
                <w:sz w:val="22"/>
                <w:szCs w:val="22"/>
              </w:rPr>
              <w:t>6</w:t>
            </w:r>
          </w:p>
        </w:tc>
        <w:tc>
          <w:tcPr>
            <w:tcW w:w="504" w:type="pct"/>
            <w:tcBorders>
              <w:bottom w:val="single" w:sz="4" w:space="0" w:color="auto"/>
            </w:tcBorders>
          </w:tcPr>
          <w:p w14:paraId="772C2D5D" w14:textId="05596AB9" w:rsidR="00814AD2" w:rsidRPr="00E304F8" w:rsidRDefault="0006684A" w:rsidP="000614D1">
            <w:pPr>
              <w:jc w:val="right"/>
              <w:rPr>
                <w:rFonts w:asciiTheme="minorHAnsi" w:hAnsiTheme="minorHAnsi" w:cstheme="minorHAnsi"/>
                <w:sz w:val="22"/>
                <w:szCs w:val="22"/>
              </w:rPr>
            </w:pPr>
            <w:r>
              <w:rPr>
                <w:rFonts w:asciiTheme="minorHAnsi" w:hAnsiTheme="minorHAnsi" w:cstheme="minorHAnsi"/>
                <w:sz w:val="22"/>
                <w:szCs w:val="22"/>
              </w:rPr>
              <w:t>9</w:t>
            </w:r>
            <w:r w:rsidR="00BD65B0">
              <w:rPr>
                <w:rFonts w:asciiTheme="minorHAnsi" w:hAnsiTheme="minorHAnsi" w:cstheme="minorHAnsi"/>
                <w:sz w:val="22"/>
                <w:szCs w:val="22"/>
              </w:rPr>
              <w:t>0</w:t>
            </w:r>
          </w:p>
        </w:tc>
        <w:tc>
          <w:tcPr>
            <w:tcW w:w="504" w:type="pct"/>
            <w:tcBorders>
              <w:bottom w:val="single" w:sz="4" w:space="0" w:color="auto"/>
            </w:tcBorders>
          </w:tcPr>
          <w:p w14:paraId="4C6E8ABB" w14:textId="03008F8F" w:rsidR="00814AD2" w:rsidRPr="00E304F8" w:rsidRDefault="00FD3275" w:rsidP="000614D1">
            <w:pPr>
              <w:jc w:val="right"/>
              <w:rPr>
                <w:rFonts w:asciiTheme="minorHAnsi" w:hAnsiTheme="minorHAnsi" w:cstheme="minorHAnsi"/>
                <w:sz w:val="22"/>
                <w:szCs w:val="22"/>
              </w:rPr>
            </w:pPr>
            <w:r>
              <w:rPr>
                <w:rFonts w:asciiTheme="minorHAnsi" w:hAnsiTheme="minorHAnsi" w:cstheme="minorHAnsi"/>
                <w:sz w:val="22"/>
                <w:szCs w:val="22"/>
              </w:rPr>
              <w:t>7</w:t>
            </w:r>
            <w:r w:rsidR="00FD75C6">
              <w:rPr>
                <w:rFonts w:asciiTheme="minorHAnsi" w:hAnsiTheme="minorHAnsi" w:cstheme="minorHAnsi"/>
                <w:sz w:val="22"/>
                <w:szCs w:val="22"/>
              </w:rPr>
              <w:t>6</w:t>
            </w:r>
          </w:p>
        </w:tc>
      </w:tr>
      <w:tr w:rsidR="00F22241" w:rsidRPr="005E46B1" w14:paraId="2C23F53C" w14:textId="77777777" w:rsidTr="000614D1">
        <w:trPr>
          <w:trHeight w:val="56"/>
          <w:jc w:val="center"/>
        </w:trPr>
        <w:tc>
          <w:tcPr>
            <w:tcW w:w="2479" w:type="pct"/>
            <w:tcBorders>
              <w:bottom w:val="single" w:sz="4" w:space="0" w:color="auto"/>
            </w:tcBorders>
            <w:vAlign w:val="bottom"/>
          </w:tcPr>
          <w:p w14:paraId="11D78184" w14:textId="006A818E"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lastRenderedPageBreak/>
              <w:t>Total assets</w:t>
            </w:r>
          </w:p>
        </w:tc>
        <w:tc>
          <w:tcPr>
            <w:tcW w:w="504" w:type="pct"/>
            <w:tcBorders>
              <w:bottom w:val="single" w:sz="4" w:space="0" w:color="auto"/>
            </w:tcBorders>
            <w:shd w:val="clear" w:color="auto" w:fill="F2F2F2" w:themeFill="background1" w:themeFillShade="F2"/>
          </w:tcPr>
          <w:p w14:paraId="13905283" w14:textId="465CF559" w:rsidR="00814AD2" w:rsidRPr="00E304F8" w:rsidRDefault="00814AD2" w:rsidP="000614D1">
            <w:pPr>
              <w:jc w:val="right"/>
              <w:rPr>
                <w:rFonts w:asciiTheme="minorHAnsi" w:hAnsiTheme="minorHAnsi" w:cstheme="minorHAnsi"/>
                <w:b/>
                <w:sz w:val="22"/>
                <w:szCs w:val="22"/>
              </w:rPr>
            </w:pPr>
            <w:r w:rsidRPr="00E304F8">
              <w:rPr>
                <w:rFonts w:asciiTheme="minorHAnsi" w:hAnsiTheme="minorHAnsi" w:cstheme="minorHAnsi"/>
                <w:b/>
                <w:sz w:val="22"/>
                <w:szCs w:val="22"/>
              </w:rPr>
              <w:t>3,44</w:t>
            </w:r>
            <w:r w:rsidR="007F18FC">
              <w:rPr>
                <w:rFonts w:asciiTheme="minorHAnsi" w:hAnsiTheme="minorHAnsi" w:cstheme="minorHAnsi"/>
                <w:b/>
                <w:sz w:val="22"/>
                <w:szCs w:val="22"/>
              </w:rPr>
              <w:t>7</w:t>
            </w:r>
          </w:p>
        </w:tc>
        <w:tc>
          <w:tcPr>
            <w:tcW w:w="504" w:type="pct"/>
            <w:tcBorders>
              <w:bottom w:val="single" w:sz="4" w:space="0" w:color="auto"/>
            </w:tcBorders>
          </w:tcPr>
          <w:p w14:paraId="22BA2FDA" w14:textId="32DC6E23" w:rsidR="00814AD2" w:rsidRPr="00E304F8" w:rsidRDefault="00814AD2" w:rsidP="000614D1">
            <w:pPr>
              <w:jc w:val="right"/>
              <w:rPr>
                <w:rFonts w:ascii="Calibri" w:hAnsi="Calibri" w:cs="Calibri"/>
                <w:color w:val="000000"/>
                <w:sz w:val="22"/>
                <w:szCs w:val="22"/>
              </w:rPr>
            </w:pPr>
            <w:r w:rsidRPr="00E304F8">
              <w:rPr>
                <w:rFonts w:ascii="Calibri" w:hAnsi="Calibri" w:cs="Calibri"/>
                <w:color w:val="000000"/>
                <w:sz w:val="22"/>
                <w:szCs w:val="22"/>
              </w:rPr>
              <w:t xml:space="preserve">    3,375 </w:t>
            </w:r>
          </w:p>
        </w:tc>
        <w:tc>
          <w:tcPr>
            <w:tcW w:w="504" w:type="pct"/>
            <w:tcBorders>
              <w:bottom w:val="single" w:sz="4" w:space="0" w:color="auto"/>
            </w:tcBorders>
          </w:tcPr>
          <w:p w14:paraId="5BCA83E1" w14:textId="4D7A04DA" w:rsidR="00814AD2" w:rsidRPr="00E304F8" w:rsidRDefault="00814AD2" w:rsidP="000614D1">
            <w:pPr>
              <w:jc w:val="right"/>
              <w:rPr>
                <w:rFonts w:ascii="Calibri" w:hAnsi="Calibri" w:cs="Calibri"/>
                <w:color w:val="000000"/>
                <w:sz w:val="22"/>
                <w:szCs w:val="22"/>
              </w:rPr>
            </w:pPr>
            <w:r w:rsidRPr="00E304F8">
              <w:rPr>
                <w:rFonts w:ascii="Calibri" w:hAnsi="Calibri" w:cs="Calibri"/>
                <w:color w:val="000000"/>
                <w:sz w:val="22"/>
                <w:szCs w:val="22"/>
              </w:rPr>
              <w:t xml:space="preserve">     3,085 </w:t>
            </w:r>
          </w:p>
        </w:tc>
        <w:tc>
          <w:tcPr>
            <w:tcW w:w="504" w:type="pct"/>
            <w:tcBorders>
              <w:bottom w:val="single" w:sz="4" w:space="0" w:color="auto"/>
            </w:tcBorders>
          </w:tcPr>
          <w:p w14:paraId="033225BC" w14:textId="5D18F001"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2</w:t>
            </w:r>
          </w:p>
        </w:tc>
        <w:tc>
          <w:tcPr>
            <w:tcW w:w="504" w:type="pct"/>
            <w:tcBorders>
              <w:bottom w:val="single" w:sz="4" w:space="0" w:color="auto"/>
            </w:tcBorders>
          </w:tcPr>
          <w:p w14:paraId="35DE4C5A" w14:textId="20BC3F91"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12</w:t>
            </w:r>
          </w:p>
        </w:tc>
      </w:tr>
      <w:tr w:rsidR="00F22241" w:rsidRPr="005E46B1" w14:paraId="1B23F0C7" w14:textId="77777777" w:rsidTr="000614D1">
        <w:trPr>
          <w:trHeight w:val="56"/>
          <w:jc w:val="center"/>
        </w:trPr>
        <w:tc>
          <w:tcPr>
            <w:tcW w:w="2479" w:type="pct"/>
            <w:tcBorders>
              <w:top w:val="single" w:sz="4" w:space="0" w:color="auto"/>
            </w:tcBorders>
            <w:vAlign w:val="bottom"/>
            <w:hideMark/>
          </w:tcPr>
          <w:p w14:paraId="23D92117" w14:textId="77777777" w:rsidR="00814AD2" w:rsidRPr="00E304F8" w:rsidRDefault="00814AD2" w:rsidP="00814AD2">
            <w:pPr>
              <w:pStyle w:val="tablefigs"/>
              <w:rPr>
                <w:rFonts w:asciiTheme="minorHAnsi" w:hAnsiTheme="minorHAnsi" w:cstheme="minorHAnsi"/>
                <w:color w:val="auto"/>
                <w:sz w:val="22"/>
                <w:szCs w:val="22"/>
              </w:rPr>
            </w:pPr>
            <w:r w:rsidRPr="00E304F8">
              <w:rPr>
                <w:rStyle w:val="tabletextbold0"/>
                <w:rFonts w:asciiTheme="minorHAnsi" w:hAnsiTheme="minorHAnsi" w:cstheme="minorHAnsi"/>
                <w:color w:val="auto"/>
                <w:sz w:val="22"/>
                <w:szCs w:val="22"/>
              </w:rPr>
              <w:t>Liabilities</w:t>
            </w:r>
          </w:p>
        </w:tc>
        <w:tc>
          <w:tcPr>
            <w:tcW w:w="504" w:type="pct"/>
            <w:tcBorders>
              <w:top w:val="single" w:sz="4" w:space="0" w:color="auto"/>
            </w:tcBorders>
            <w:shd w:val="clear" w:color="auto" w:fill="F2F2F2" w:themeFill="background1" w:themeFillShade="F2"/>
          </w:tcPr>
          <w:p w14:paraId="5BD737E2" w14:textId="77777777" w:rsidR="00814AD2" w:rsidRPr="00E304F8" w:rsidRDefault="00814AD2" w:rsidP="000614D1">
            <w:pPr>
              <w:jc w:val="right"/>
              <w:rPr>
                <w:rFonts w:asciiTheme="minorHAnsi" w:hAnsiTheme="minorHAnsi" w:cstheme="minorHAnsi"/>
                <w:b/>
                <w:sz w:val="22"/>
                <w:szCs w:val="22"/>
              </w:rPr>
            </w:pPr>
          </w:p>
        </w:tc>
        <w:tc>
          <w:tcPr>
            <w:tcW w:w="504" w:type="pct"/>
            <w:tcBorders>
              <w:top w:val="single" w:sz="4" w:space="0" w:color="auto"/>
            </w:tcBorders>
          </w:tcPr>
          <w:p w14:paraId="6A87D2B5" w14:textId="77777777" w:rsidR="00814AD2" w:rsidRPr="00E304F8" w:rsidRDefault="00814AD2" w:rsidP="000614D1">
            <w:pPr>
              <w:jc w:val="right"/>
              <w:rPr>
                <w:rFonts w:asciiTheme="minorHAnsi" w:hAnsiTheme="minorHAnsi" w:cstheme="minorHAnsi"/>
                <w:sz w:val="22"/>
                <w:szCs w:val="22"/>
              </w:rPr>
            </w:pPr>
          </w:p>
        </w:tc>
        <w:tc>
          <w:tcPr>
            <w:tcW w:w="504" w:type="pct"/>
            <w:tcBorders>
              <w:top w:val="single" w:sz="4" w:space="0" w:color="auto"/>
            </w:tcBorders>
          </w:tcPr>
          <w:p w14:paraId="77AB6263" w14:textId="77777777" w:rsidR="00814AD2" w:rsidRPr="00E304F8" w:rsidRDefault="00814AD2" w:rsidP="000614D1">
            <w:pPr>
              <w:jc w:val="right"/>
              <w:rPr>
                <w:rFonts w:asciiTheme="minorHAnsi" w:hAnsiTheme="minorHAnsi" w:cstheme="minorHAnsi"/>
                <w:sz w:val="22"/>
                <w:szCs w:val="22"/>
              </w:rPr>
            </w:pPr>
          </w:p>
        </w:tc>
        <w:tc>
          <w:tcPr>
            <w:tcW w:w="504" w:type="pct"/>
            <w:tcBorders>
              <w:top w:val="single" w:sz="4" w:space="0" w:color="auto"/>
            </w:tcBorders>
          </w:tcPr>
          <w:p w14:paraId="3401C17D" w14:textId="77777777" w:rsidR="00814AD2" w:rsidRPr="00E304F8" w:rsidRDefault="00814AD2" w:rsidP="000614D1">
            <w:pPr>
              <w:jc w:val="right"/>
              <w:rPr>
                <w:rFonts w:asciiTheme="minorHAnsi" w:hAnsiTheme="minorHAnsi" w:cstheme="minorHAnsi"/>
                <w:sz w:val="22"/>
                <w:szCs w:val="22"/>
              </w:rPr>
            </w:pPr>
          </w:p>
        </w:tc>
        <w:tc>
          <w:tcPr>
            <w:tcW w:w="504" w:type="pct"/>
            <w:tcBorders>
              <w:top w:val="single" w:sz="4" w:space="0" w:color="auto"/>
            </w:tcBorders>
          </w:tcPr>
          <w:p w14:paraId="2DA7D85B" w14:textId="77777777" w:rsidR="00814AD2" w:rsidRPr="00E304F8" w:rsidRDefault="00814AD2" w:rsidP="000614D1">
            <w:pPr>
              <w:jc w:val="right"/>
              <w:rPr>
                <w:rFonts w:asciiTheme="minorHAnsi" w:hAnsiTheme="minorHAnsi" w:cstheme="minorHAnsi"/>
                <w:sz w:val="22"/>
                <w:szCs w:val="22"/>
              </w:rPr>
            </w:pPr>
          </w:p>
        </w:tc>
      </w:tr>
      <w:tr w:rsidR="00F22241" w:rsidRPr="005E46B1" w14:paraId="551AF75F" w14:textId="77777777" w:rsidTr="000614D1">
        <w:trPr>
          <w:trHeight w:val="56"/>
          <w:jc w:val="center"/>
        </w:trPr>
        <w:tc>
          <w:tcPr>
            <w:tcW w:w="2479" w:type="pct"/>
            <w:vAlign w:val="bottom"/>
            <w:hideMark/>
          </w:tcPr>
          <w:p w14:paraId="4CD8D457" w14:textId="77777777"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Retail deposits</w:t>
            </w:r>
          </w:p>
        </w:tc>
        <w:tc>
          <w:tcPr>
            <w:tcW w:w="504" w:type="pct"/>
            <w:shd w:val="clear" w:color="auto" w:fill="F2F2F2" w:themeFill="background1" w:themeFillShade="F2"/>
          </w:tcPr>
          <w:p w14:paraId="3556E379" w14:textId="77777777" w:rsidR="00814AD2" w:rsidRPr="00E304F8" w:rsidRDefault="00814AD2" w:rsidP="000614D1">
            <w:pPr>
              <w:jc w:val="right"/>
              <w:rPr>
                <w:rFonts w:asciiTheme="minorHAnsi" w:hAnsiTheme="minorHAnsi" w:cstheme="minorHAnsi"/>
                <w:b/>
                <w:sz w:val="22"/>
                <w:szCs w:val="22"/>
              </w:rPr>
            </w:pPr>
            <w:r w:rsidRPr="00E304F8">
              <w:rPr>
                <w:rFonts w:asciiTheme="minorHAnsi" w:hAnsiTheme="minorHAnsi" w:cstheme="minorHAnsi"/>
                <w:b/>
                <w:sz w:val="22"/>
                <w:szCs w:val="22"/>
              </w:rPr>
              <w:t>2,464</w:t>
            </w:r>
          </w:p>
        </w:tc>
        <w:tc>
          <w:tcPr>
            <w:tcW w:w="504" w:type="pct"/>
          </w:tcPr>
          <w:p w14:paraId="616178F0" w14:textId="773D353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2,428 </w:t>
            </w:r>
          </w:p>
        </w:tc>
        <w:tc>
          <w:tcPr>
            <w:tcW w:w="504" w:type="pct"/>
          </w:tcPr>
          <w:p w14:paraId="7369832C" w14:textId="7777777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1,938 </w:t>
            </w:r>
          </w:p>
        </w:tc>
        <w:tc>
          <w:tcPr>
            <w:tcW w:w="504" w:type="pct"/>
          </w:tcPr>
          <w:p w14:paraId="0099E9DC" w14:textId="022F6FAD" w:rsidR="00814AD2" w:rsidRPr="00E304F8" w:rsidRDefault="00EB4839" w:rsidP="000614D1">
            <w:pPr>
              <w:jc w:val="right"/>
              <w:rPr>
                <w:rFonts w:asciiTheme="minorHAnsi" w:hAnsiTheme="minorHAnsi" w:cstheme="minorHAnsi"/>
                <w:sz w:val="22"/>
                <w:szCs w:val="22"/>
              </w:rPr>
            </w:pPr>
            <w:r>
              <w:rPr>
                <w:rFonts w:asciiTheme="minorHAnsi" w:hAnsiTheme="minorHAnsi" w:cstheme="minorHAnsi"/>
                <w:sz w:val="22"/>
                <w:szCs w:val="22"/>
              </w:rPr>
              <w:t>1</w:t>
            </w:r>
          </w:p>
        </w:tc>
        <w:tc>
          <w:tcPr>
            <w:tcW w:w="504" w:type="pct"/>
          </w:tcPr>
          <w:p w14:paraId="1B598A4A" w14:textId="77777777"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27</w:t>
            </w:r>
          </w:p>
        </w:tc>
      </w:tr>
      <w:tr w:rsidR="00F22241" w:rsidRPr="005E46B1" w14:paraId="2B6290DB" w14:textId="77777777" w:rsidTr="000614D1">
        <w:trPr>
          <w:trHeight w:val="56"/>
          <w:jc w:val="center"/>
        </w:trPr>
        <w:tc>
          <w:tcPr>
            <w:tcW w:w="2479" w:type="pct"/>
            <w:vAlign w:val="bottom"/>
            <w:hideMark/>
          </w:tcPr>
          <w:p w14:paraId="0690E416" w14:textId="14CA45C4"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Bank and other borrowings</w:t>
            </w:r>
          </w:p>
        </w:tc>
        <w:tc>
          <w:tcPr>
            <w:tcW w:w="504" w:type="pct"/>
            <w:shd w:val="clear" w:color="auto" w:fill="F2F2F2" w:themeFill="background1" w:themeFillShade="F2"/>
          </w:tcPr>
          <w:p w14:paraId="7F8ADB08" w14:textId="1AEDB332" w:rsidR="00814AD2" w:rsidRPr="00E304F8" w:rsidRDefault="00814AD2" w:rsidP="000614D1">
            <w:pPr>
              <w:jc w:val="right"/>
              <w:rPr>
                <w:rFonts w:asciiTheme="minorHAnsi" w:hAnsiTheme="minorHAnsi" w:cstheme="minorHAnsi"/>
                <w:b/>
                <w:sz w:val="22"/>
                <w:szCs w:val="22"/>
              </w:rPr>
            </w:pPr>
            <w:r w:rsidRPr="00E304F8">
              <w:rPr>
                <w:rFonts w:asciiTheme="minorHAnsi" w:hAnsiTheme="minorHAnsi" w:cstheme="minorHAnsi"/>
                <w:b/>
                <w:sz w:val="22"/>
                <w:szCs w:val="22"/>
              </w:rPr>
              <w:t>44</w:t>
            </w:r>
            <w:r w:rsidR="0025751A">
              <w:rPr>
                <w:rFonts w:asciiTheme="minorHAnsi" w:hAnsiTheme="minorHAnsi" w:cstheme="minorHAnsi"/>
                <w:b/>
                <w:sz w:val="22"/>
                <w:szCs w:val="22"/>
              </w:rPr>
              <w:t>8</w:t>
            </w:r>
          </w:p>
        </w:tc>
        <w:tc>
          <w:tcPr>
            <w:tcW w:w="504" w:type="pct"/>
          </w:tcPr>
          <w:p w14:paraId="0D01C735" w14:textId="7777777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410</w:t>
            </w:r>
          </w:p>
        </w:tc>
        <w:tc>
          <w:tcPr>
            <w:tcW w:w="504" w:type="pct"/>
          </w:tcPr>
          <w:p w14:paraId="1843F521" w14:textId="7777777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504 </w:t>
            </w:r>
          </w:p>
        </w:tc>
        <w:tc>
          <w:tcPr>
            <w:tcW w:w="504" w:type="pct"/>
          </w:tcPr>
          <w:p w14:paraId="0F8030CE" w14:textId="69D7295A"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9</w:t>
            </w:r>
          </w:p>
        </w:tc>
        <w:tc>
          <w:tcPr>
            <w:tcW w:w="504" w:type="pct"/>
          </w:tcPr>
          <w:p w14:paraId="127B9DD4" w14:textId="77777777"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(11)</w:t>
            </w:r>
          </w:p>
        </w:tc>
      </w:tr>
      <w:tr w:rsidR="00F22241" w:rsidRPr="005E46B1" w14:paraId="780B6EC3" w14:textId="77777777" w:rsidTr="000614D1">
        <w:trPr>
          <w:trHeight w:val="56"/>
          <w:jc w:val="center"/>
        </w:trPr>
        <w:tc>
          <w:tcPr>
            <w:tcW w:w="2479" w:type="pct"/>
            <w:vAlign w:val="bottom"/>
            <w:hideMark/>
          </w:tcPr>
          <w:p w14:paraId="7F5BECEF" w14:textId="77777777"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Trade and other payables</w:t>
            </w:r>
          </w:p>
        </w:tc>
        <w:tc>
          <w:tcPr>
            <w:tcW w:w="504" w:type="pct"/>
            <w:shd w:val="clear" w:color="auto" w:fill="F2F2F2" w:themeFill="background1" w:themeFillShade="F2"/>
          </w:tcPr>
          <w:p w14:paraId="049D82B1" w14:textId="70DBFA84" w:rsidR="00814AD2" w:rsidRPr="00E304F8" w:rsidRDefault="00814AD2" w:rsidP="000614D1">
            <w:pPr>
              <w:jc w:val="right"/>
              <w:rPr>
                <w:rFonts w:asciiTheme="minorHAnsi" w:hAnsiTheme="minorHAnsi" w:cstheme="minorHAnsi"/>
                <w:b/>
                <w:sz w:val="22"/>
                <w:szCs w:val="22"/>
              </w:rPr>
            </w:pPr>
            <w:r w:rsidRPr="00E304F8">
              <w:rPr>
                <w:rFonts w:asciiTheme="minorHAnsi" w:hAnsiTheme="minorHAnsi" w:cstheme="minorHAnsi"/>
                <w:b/>
                <w:sz w:val="22"/>
                <w:szCs w:val="22"/>
              </w:rPr>
              <w:t>5</w:t>
            </w:r>
            <w:r w:rsidR="00D1151E">
              <w:rPr>
                <w:rFonts w:asciiTheme="minorHAnsi" w:hAnsiTheme="minorHAnsi" w:cstheme="minorHAnsi"/>
                <w:b/>
                <w:sz w:val="22"/>
                <w:szCs w:val="22"/>
              </w:rPr>
              <w:t>6</w:t>
            </w:r>
          </w:p>
        </w:tc>
        <w:tc>
          <w:tcPr>
            <w:tcW w:w="504" w:type="pct"/>
          </w:tcPr>
          <w:p w14:paraId="29AB6923" w14:textId="42267C69"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46</w:t>
            </w:r>
          </w:p>
        </w:tc>
        <w:tc>
          <w:tcPr>
            <w:tcW w:w="504" w:type="pct"/>
          </w:tcPr>
          <w:p w14:paraId="2FED3D55" w14:textId="77777777"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50 </w:t>
            </w:r>
          </w:p>
        </w:tc>
        <w:tc>
          <w:tcPr>
            <w:tcW w:w="504" w:type="pct"/>
          </w:tcPr>
          <w:p w14:paraId="4CC1B84E" w14:textId="597FAC9F" w:rsidR="00814AD2" w:rsidRPr="00E304F8" w:rsidRDefault="00AB3752" w:rsidP="000614D1">
            <w:pPr>
              <w:jc w:val="right"/>
              <w:rPr>
                <w:rFonts w:asciiTheme="minorHAnsi" w:hAnsiTheme="minorHAnsi" w:cstheme="minorHAnsi"/>
                <w:sz w:val="22"/>
                <w:szCs w:val="22"/>
              </w:rPr>
            </w:pPr>
            <w:r>
              <w:rPr>
                <w:rFonts w:asciiTheme="minorHAnsi" w:hAnsiTheme="minorHAnsi" w:cstheme="minorHAnsi"/>
                <w:sz w:val="22"/>
                <w:szCs w:val="22"/>
              </w:rPr>
              <w:t>22</w:t>
            </w:r>
          </w:p>
        </w:tc>
        <w:tc>
          <w:tcPr>
            <w:tcW w:w="504" w:type="pct"/>
          </w:tcPr>
          <w:p w14:paraId="05AA79B3" w14:textId="120E3FDC" w:rsidR="00814AD2" w:rsidRPr="00E304F8" w:rsidRDefault="00AB3752" w:rsidP="000614D1">
            <w:pPr>
              <w:jc w:val="right"/>
              <w:rPr>
                <w:rFonts w:asciiTheme="minorHAnsi" w:hAnsiTheme="minorHAnsi" w:cstheme="minorHAnsi"/>
                <w:sz w:val="22"/>
                <w:szCs w:val="22"/>
              </w:rPr>
            </w:pPr>
            <w:r>
              <w:rPr>
                <w:rFonts w:asciiTheme="minorHAnsi" w:hAnsiTheme="minorHAnsi" w:cstheme="minorHAnsi"/>
                <w:sz w:val="22"/>
                <w:szCs w:val="22"/>
              </w:rPr>
              <w:t>12</w:t>
            </w:r>
          </w:p>
        </w:tc>
      </w:tr>
      <w:tr w:rsidR="00F22241" w:rsidRPr="005E46B1" w14:paraId="372A9255" w14:textId="77777777" w:rsidTr="000614D1">
        <w:trPr>
          <w:trHeight w:val="56"/>
          <w:jc w:val="center"/>
        </w:trPr>
        <w:tc>
          <w:tcPr>
            <w:tcW w:w="2479" w:type="pct"/>
            <w:tcBorders>
              <w:bottom w:val="single" w:sz="4" w:space="0" w:color="auto"/>
            </w:tcBorders>
            <w:vAlign w:val="bottom"/>
            <w:hideMark/>
          </w:tcPr>
          <w:p w14:paraId="69A52B85" w14:textId="77777777"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Other liabilities</w:t>
            </w:r>
          </w:p>
        </w:tc>
        <w:tc>
          <w:tcPr>
            <w:tcW w:w="504" w:type="pct"/>
            <w:tcBorders>
              <w:bottom w:val="single" w:sz="4" w:space="0" w:color="auto"/>
            </w:tcBorders>
            <w:shd w:val="clear" w:color="auto" w:fill="F2F2F2" w:themeFill="background1" w:themeFillShade="F2"/>
          </w:tcPr>
          <w:p w14:paraId="008370C0" w14:textId="62F7202F" w:rsidR="00814AD2" w:rsidRPr="00E304F8" w:rsidRDefault="00814AD2" w:rsidP="000614D1">
            <w:pPr>
              <w:jc w:val="right"/>
              <w:rPr>
                <w:rFonts w:asciiTheme="minorHAnsi" w:hAnsiTheme="minorHAnsi" w:cstheme="minorHAnsi"/>
                <w:b/>
                <w:sz w:val="22"/>
                <w:szCs w:val="22"/>
              </w:rPr>
            </w:pPr>
            <w:r w:rsidRPr="00E304F8">
              <w:rPr>
                <w:rFonts w:asciiTheme="minorHAnsi" w:hAnsiTheme="minorHAnsi" w:cstheme="minorHAnsi"/>
                <w:b/>
                <w:sz w:val="22"/>
                <w:szCs w:val="22"/>
              </w:rPr>
              <w:t>4</w:t>
            </w:r>
            <w:r w:rsidR="00FF22B6">
              <w:rPr>
                <w:rFonts w:asciiTheme="minorHAnsi" w:hAnsiTheme="minorHAnsi" w:cstheme="minorHAnsi"/>
                <w:b/>
                <w:sz w:val="22"/>
                <w:szCs w:val="22"/>
              </w:rPr>
              <w:t>4</w:t>
            </w:r>
          </w:p>
        </w:tc>
        <w:tc>
          <w:tcPr>
            <w:tcW w:w="504" w:type="pct"/>
            <w:tcBorders>
              <w:bottom w:val="single" w:sz="4" w:space="0" w:color="auto"/>
            </w:tcBorders>
          </w:tcPr>
          <w:p w14:paraId="4D892AA6" w14:textId="794D91AA" w:rsidR="00814AD2" w:rsidRPr="00E304F8" w:rsidRDefault="00814AD2" w:rsidP="000614D1">
            <w:pPr>
              <w:jc w:val="right"/>
              <w:rPr>
                <w:rFonts w:asciiTheme="minorHAnsi" w:hAnsiTheme="minorHAnsi" w:cstheme="minorHAnsi"/>
                <w:sz w:val="22"/>
                <w:szCs w:val="22"/>
              </w:rPr>
            </w:pPr>
            <w:r w:rsidRPr="00E304F8">
              <w:rPr>
                <w:rFonts w:ascii="Calibri" w:hAnsi="Calibri" w:cs="Calibri"/>
                <w:color w:val="000000"/>
                <w:sz w:val="22"/>
                <w:szCs w:val="22"/>
              </w:rPr>
              <w:t xml:space="preserve">          </w:t>
            </w:r>
            <w:r w:rsidR="00045FDB">
              <w:rPr>
                <w:rFonts w:ascii="Calibri" w:hAnsi="Calibri" w:cs="Calibri"/>
                <w:color w:val="000000"/>
                <w:sz w:val="22"/>
                <w:szCs w:val="22"/>
              </w:rPr>
              <w:t xml:space="preserve">    </w:t>
            </w:r>
            <w:r w:rsidRPr="00E304F8">
              <w:rPr>
                <w:rFonts w:ascii="Calibri" w:hAnsi="Calibri" w:cs="Calibri"/>
                <w:color w:val="000000"/>
                <w:sz w:val="22"/>
                <w:szCs w:val="22"/>
              </w:rPr>
              <w:t xml:space="preserve"> 50</w:t>
            </w:r>
          </w:p>
        </w:tc>
        <w:tc>
          <w:tcPr>
            <w:tcW w:w="504" w:type="pct"/>
            <w:tcBorders>
              <w:bottom w:val="single" w:sz="4" w:space="0" w:color="auto"/>
            </w:tcBorders>
          </w:tcPr>
          <w:p w14:paraId="2236054A" w14:textId="247B3977" w:rsidR="00814AD2" w:rsidRPr="00E304F8" w:rsidRDefault="00045FDB" w:rsidP="000614D1">
            <w:pPr>
              <w:jc w:val="right"/>
              <w:rPr>
                <w:rFonts w:asciiTheme="minorHAnsi" w:hAnsiTheme="minorHAnsi" w:cstheme="minorHAnsi"/>
                <w:sz w:val="22"/>
                <w:szCs w:val="22"/>
              </w:rPr>
            </w:pPr>
            <w:r>
              <w:rPr>
                <w:rFonts w:ascii="Calibri" w:hAnsi="Calibri" w:cs="Calibri"/>
                <w:color w:val="000000"/>
                <w:sz w:val="22"/>
                <w:szCs w:val="22"/>
              </w:rPr>
              <w:t xml:space="preserve">    </w:t>
            </w:r>
            <w:r w:rsidR="00814AD2" w:rsidRPr="00E304F8">
              <w:rPr>
                <w:rFonts w:ascii="Calibri" w:hAnsi="Calibri" w:cs="Calibri"/>
                <w:color w:val="000000"/>
                <w:sz w:val="22"/>
                <w:szCs w:val="22"/>
              </w:rPr>
              <w:t xml:space="preserve">           6</w:t>
            </w:r>
            <w:r w:rsidR="002E5BE9">
              <w:rPr>
                <w:rFonts w:ascii="Calibri" w:hAnsi="Calibri" w:cs="Calibri"/>
                <w:color w:val="000000"/>
                <w:sz w:val="22"/>
                <w:szCs w:val="22"/>
              </w:rPr>
              <w:t>3</w:t>
            </w:r>
            <w:r w:rsidR="00814AD2" w:rsidRPr="00E304F8">
              <w:rPr>
                <w:rFonts w:ascii="Calibri" w:hAnsi="Calibri" w:cs="Calibri"/>
                <w:color w:val="000000"/>
                <w:sz w:val="22"/>
                <w:szCs w:val="22"/>
              </w:rPr>
              <w:t xml:space="preserve"> </w:t>
            </w:r>
          </w:p>
        </w:tc>
        <w:tc>
          <w:tcPr>
            <w:tcW w:w="504" w:type="pct"/>
            <w:tcBorders>
              <w:bottom w:val="single" w:sz="4" w:space="0" w:color="auto"/>
            </w:tcBorders>
          </w:tcPr>
          <w:p w14:paraId="286E0E80" w14:textId="6FACCB5A"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w:t>
            </w:r>
            <w:r w:rsidR="00AB3752">
              <w:rPr>
                <w:rFonts w:asciiTheme="minorHAnsi" w:hAnsiTheme="minorHAnsi" w:cstheme="minorHAnsi"/>
                <w:sz w:val="22"/>
                <w:szCs w:val="22"/>
              </w:rPr>
              <w:t>1</w:t>
            </w:r>
            <w:r w:rsidR="00FF22B6">
              <w:rPr>
                <w:rFonts w:asciiTheme="minorHAnsi" w:hAnsiTheme="minorHAnsi" w:cstheme="minorHAnsi"/>
                <w:sz w:val="22"/>
                <w:szCs w:val="22"/>
              </w:rPr>
              <w:t>2</w:t>
            </w:r>
            <w:r w:rsidRPr="00E304F8">
              <w:rPr>
                <w:rFonts w:asciiTheme="minorHAnsi" w:hAnsiTheme="minorHAnsi" w:cstheme="minorHAnsi"/>
                <w:sz w:val="22"/>
                <w:szCs w:val="22"/>
              </w:rPr>
              <w:t>)</w:t>
            </w:r>
          </w:p>
        </w:tc>
        <w:tc>
          <w:tcPr>
            <w:tcW w:w="504" w:type="pct"/>
            <w:tcBorders>
              <w:bottom w:val="single" w:sz="4" w:space="0" w:color="auto"/>
            </w:tcBorders>
          </w:tcPr>
          <w:p w14:paraId="754019CC" w14:textId="5DE2674B"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w:t>
            </w:r>
            <w:r w:rsidR="00FF22B6">
              <w:rPr>
                <w:rFonts w:asciiTheme="minorHAnsi" w:hAnsiTheme="minorHAnsi" w:cstheme="minorHAnsi"/>
                <w:sz w:val="22"/>
                <w:szCs w:val="22"/>
              </w:rPr>
              <w:t>30</w:t>
            </w:r>
            <w:r w:rsidRPr="00E304F8">
              <w:rPr>
                <w:rFonts w:asciiTheme="minorHAnsi" w:hAnsiTheme="minorHAnsi" w:cstheme="minorHAnsi"/>
                <w:sz w:val="22"/>
                <w:szCs w:val="22"/>
              </w:rPr>
              <w:t>)</w:t>
            </w:r>
          </w:p>
        </w:tc>
      </w:tr>
      <w:tr w:rsidR="00F22241" w:rsidRPr="005E46B1" w14:paraId="2E5C2C12" w14:textId="77777777" w:rsidTr="000614D1">
        <w:trPr>
          <w:trHeight w:val="56"/>
          <w:jc w:val="center"/>
        </w:trPr>
        <w:tc>
          <w:tcPr>
            <w:tcW w:w="2479" w:type="pct"/>
            <w:tcBorders>
              <w:bottom w:val="single" w:sz="4" w:space="0" w:color="auto"/>
            </w:tcBorders>
            <w:vAlign w:val="bottom"/>
          </w:tcPr>
          <w:p w14:paraId="00C83B35" w14:textId="47900CDB" w:rsidR="00814AD2" w:rsidRPr="00E304F8" w:rsidRDefault="00814AD2" w:rsidP="00814AD2">
            <w:pPr>
              <w:pStyle w:val="tablefigs"/>
              <w:rPr>
                <w:rFonts w:asciiTheme="minorHAnsi" w:hAnsiTheme="minorHAnsi" w:cstheme="minorHAnsi"/>
                <w:color w:val="auto"/>
                <w:sz w:val="22"/>
                <w:szCs w:val="22"/>
              </w:rPr>
            </w:pPr>
            <w:r w:rsidRPr="00E304F8">
              <w:rPr>
                <w:rFonts w:asciiTheme="minorHAnsi" w:hAnsiTheme="minorHAnsi" w:cstheme="minorHAnsi"/>
                <w:color w:val="auto"/>
                <w:sz w:val="22"/>
                <w:szCs w:val="22"/>
              </w:rPr>
              <w:t>Total liabilities</w:t>
            </w:r>
          </w:p>
        </w:tc>
        <w:tc>
          <w:tcPr>
            <w:tcW w:w="504" w:type="pct"/>
            <w:tcBorders>
              <w:bottom w:val="single" w:sz="4" w:space="0" w:color="auto"/>
            </w:tcBorders>
            <w:shd w:val="clear" w:color="auto" w:fill="F2F2F2" w:themeFill="background1" w:themeFillShade="F2"/>
          </w:tcPr>
          <w:p w14:paraId="1C940C8A" w14:textId="22FE4FC0" w:rsidR="00814AD2" w:rsidRPr="00E304F8" w:rsidRDefault="00814AD2" w:rsidP="000614D1">
            <w:pPr>
              <w:jc w:val="right"/>
              <w:rPr>
                <w:rFonts w:asciiTheme="minorHAnsi" w:hAnsiTheme="minorHAnsi" w:cstheme="minorHAnsi"/>
                <w:b/>
                <w:sz w:val="22"/>
                <w:szCs w:val="22"/>
              </w:rPr>
            </w:pPr>
            <w:r w:rsidRPr="00E304F8">
              <w:rPr>
                <w:rFonts w:asciiTheme="minorHAnsi" w:hAnsiTheme="minorHAnsi" w:cstheme="minorHAnsi"/>
                <w:b/>
                <w:sz w:val="22"/>
                <w:szCs w:val="22"/>
              </w:rPr>
              <w:t>3,</w:t>
            </w:r>
            <w:r w:rsidR="00D1151E" w:rsidRPr="00E304F8">
              <w:rPr>
                <w:rFonts w:asciiTheme="minorHAnsi" w:hAnsiTheme="minorHAnsi" w:cstheme="minorHAnsi"/>
                <w:b/>
                <w:sz w:val="22"/>
                <w:szCs w:val="22"/>
              </w:rPr>
              <w:t>0</w:t>
            </w:r>
            <w:r w:rsidR="00D1151E">
              <w:rPr>
                <w:rFonts w:asciiTheme="minorHAnsi" w:hAnsiTheme="minorHAnsi" w:cstheme="minorHAnsi"/>
                <w:b/>
                <w:sz w:val="22"/>
                <w:szCs w:val="22"/>
              </w:rPr>
              <w:t>12</w:t>
            </w:r>
          </w:p>
        </w:tc>
        <w:tc>
          <w:tcPr>
            <w:tcW w:w="504" w:type="pct"/>
            <w:tcBorders>
              <w:bottom w:val="single" w:sz="4" w:space="0" w:color="auto"/>
            </w:tcBorders>
          </w:tcPr>
          <w:p w14:paraId="76B1CB05" w14:textId="114650B8" w:rsidR="00814AD2" w:rsidRPr="00E304F8" w:rsidRDefault="00814AD2" w:rsidP="000614D1">
            <w:pPr>
              <w:jc w:val="right"/>
              <w:rPr>
                <w:rFonts w:ascii="Calibri" w:hAnsi="Calibri" w:cs="Calibri"/>
                <w:color w:val="000000"/>
                <w:sz w:val="22"/>
                <w:szCs w:val="22"/>
              </w:rPr>
            </w:pPr>
            <w:r w:rsidRPr="00E304F8">
              <w:rPr>
                <w:rFonts w:ascii="Calibri" w:hAnsi="Calibri" w:cs="Calibri"/>
                <w:color w:val="000000"/>
                <w:sz w:val="22"/>
                <w:szCs w:val="22"/>
              </w:rPr>
              <w:t xml:space="preserve">     2,934 </w:t>
            </w:r>
          </w:p>
        </w:tc>
        <w:tc>
          <w:tcPr>
            <w:tcW w:w="504" w:type="pct"/>
            <w:tcBorders>
              <w:bottom w:val="single" w:sz="4" w:space="0" w:color="auto"/>
            </w:tcBorders>
          </w:tcPr>
          <w:p w14:paraId="1DC66FB3" w14:textId="6E9A840A" w:rsidR="00814AD2" w:rsidRPr="00E304F8" w:rsidRDefault="00814AD2" w:rsidP="000614D1">
            <w:pPr>
              <w:jc w:val="right"/>
              <w:rPr>
                <w:rFonts w:ascii="Calibri" w:hAnsi="Calibri" w:cs="Calibri"/>
                <w:color w:val="000000"/>
                <w:sz w:val="22"/>
                <w:szCs w:val="22"/>
              </w:rPr>
            </w:pPr>
            <w:r w:rsidRPr="00E304F8">
              <w:rPr>
                <w:rFonts w:ascii="Calibri" w:hAnsi="Calibri" w:cs="Calibri"/>
                <w:color w:val="000000"/>
                <w:sz w:val="22"/>
                <w:szCs w:val="22"/>
              </w:rPr>
              <w:t xml:space="preserve">     2,555 </w:t>
            </w:r>
          </w:p>
        </w:tc>
        <w:tc>
          <w:tcPr>
            <w:tcW w:w="504" w:type="pct"/>
            <w:tcBorders>
              <w:bottom w:val="single" w:sz="4" w:space="0" w:color="auto"/>
            </w:tcBorders>
          </w:tcPr>
          <w:p w14:paraId="60B7DF0C" w14:textId="38C853D7"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3</w:t>
            </w:r>
          </w:p>
        </w:tc>
        <w:tc>
          <w:tcPr>
            <w:tcW w:w="504" w:type="pct"/>
            <w:tcBorders>
              <w:bottom w:val="single" w:sz="4" w:space="0" w:color="auto"/>
            </w:tcBorders>
          </w:tcPr>
          <w:p w14:paraId="08F4B1F8" w14:textId="784541A2" w:rsidR="00814AD2" w:rsidRPr="00E304F8" w:rsidRDefault="00814AD2" w:rsidP="000614D1">
            <w:pPr>
              <w:jc w:val="right"/>
              <w:rPr>
                <w:rFonts w:asciiTheme="minorHAnsi" w:hAnsiTheme="minorHAnsi" w:cstheme="minorHAnsi"/>
                <w:sz w:val="22"/>
                <w:szCs w:val="22"/>
              </w:rPr>
            </w:pPr>
            <w:r w:rsidRPr="00E304F8">
              <w:rPr>
                <w:rFonts w:asciiTheme="minorHAnsi" w:hAnsiTheme="minorHAnsi" w:cstheme="minorHAnsi"/>
                <w:sz w:val="22"/>
                <w:szCs w:val="22"/>
              </w:rPr>
              <w:t>18</w:t>
            </w:r>
          </w:p>
        </w:tc>
      </w:tr>
    </w:tbl>
    <w:p w14:paraId="58D0E23C" w14:textId="77777777" w:rsidR="00C821FF" w:rsidRDefault="00C821FF" w:rsidP="00F53939">
      <w:pPr>
        <w:jc w:val="both"/>
        <w:rPr>
          <w:rStyle w:val="Strong"/>
          <w:rFonts w:asciiTheme="minorHAnsi" w:hAnsiTheme="minorHAnsi"/>
          <w:color w:val="4747FF"/>
        </w:rPr>
      </w:pPr>
    </w:p>
    <w:p w14:paraId="5588AE6C" w14:textId="3F85BD22" w:rsidR="00F53939" w:rsidRPr="0093782E" w:rsidRDefault="00F53939" w:rsidP="00F53939">
      <w:pPr>
        <w:jc w:val="both"/>
        <w:rPr>
          <w:rStyle w:val="Strong"/>
          <w:rFonts w:asciiTheme="minorHAnsi" w:eastAsiaTheme="minorHAnsi" w:hAnsiTheme="minorHAnsi" w:cstheme="minorBidi"/>
          <w:b w:val="0"/>
          <w:bCs w:val="0"/>
          <w:sz w:val="22"/>
          <w:szCs w:val="22"/>
          <w:lang w:eastAsia="en-US"/>
        </w:rPr>
      </w:pPr>
      <w:r w:rsidRPr="0093782E">
        <w:rPr>
          <w:rStyle w:val="Strong"/>
          <w:rFonts w:asciiTheme="minorHAnsi" w:eastAsiaTheme="minorHAnsi" w:hAnsiTheme="minorHAnsi" w:cstheme="minorBidi"/>
          <w:b w:val="0"/>
          <w:bCs w:val="0"/>
          <w:sz w:val="22"/>
          <w:szCs w:val="22"/>
          <w:lang w:eastAsia="en-US"/>
        </w:rPr>
        <w:t>All commentary</w:t>
      </w:r>
      <w:r w:rsidR="000E17A9">
        <w:rPr>
          <w:rStyle w:val="Strong"/>
          <w:rFonts w:asciiTheme="minorHAnsi" w:eastAsiaTheme="minorHAnsi" w:hAnsiTheme="minorHAnsi" w:cstheme="minorBidi"/>
          <w:b w:val="0"/>
          <w:bCs w:val="0"/>
          <w:sz w:val="22"/>
          <w:szCs w:val="22"/>
          <w:lang w:eastAsia="en-US"/>
        </w:rPr>
        <w:t xml:space="preserve"> is</w:t>
      </w:r>
      <w:r w:rsidRPr="0093782E">
        <w:rPr>
          <w:rStyle w:val="Strong"/>
          <w:rFonts w:asciiTheme="minorHAnsi" w:eastAsiaTheme="minorHAnsi" w:hAnsiTheme="minorHAnsi" w:cstheme="minorBidi"/>
          <w:b w:val="0"/>
          <w:bCs w:val="0"/>
          <w:sz w:val="22"/>
          <w:szCs w:val="22"/>
          <w:lang w:eastAsia="en-US"/>
        </w:rPr>
        <w:t xml:space="preserve"> relative to the December 2024 balance sheet, unless otherwise stated.</w:t>
      </w:r>
    </w:p>
    <w:p w14:paraId="7798431E" w14:textId="77777777" w:rsidR="00F53939" w:rsidRPr="00F116E9" w:rsidRDefault="00F53939" w:rsidP="00F53939">
      <w:pPr>
        <w:jc w:val="both"/>
        <w:rPr>
          <w:rStyle w:val="Strong"/>
          <w:rFonts w:asciiTheme="minorHAnsi" w:hAnsiTheme="minorHAnsi"/>
          <w:color w:val="4747FF"/>
        </w:rPr>
      </w:pPr>
    </w:p>
    <w:p w14:paraId="2753C698" w14:textId="77777777" w:rsidR="00F53939" w:rsidRPr="001F1452" w:rsidRDefault="00F53939" w:rsidP="00F53939">
      <w:pPr>
        <w:pStyle w:val="ListParagraph"/>
        <w:numPr>
          <w:ilvl w:val="0"/>
          <w:numId w:val="18"/>
        </w:numPr>
        <w:tabs>
          <w:tab w:val="clear" w:pos="360"/>
        </w:tabs>
        <w:jc w:val="both"/>
        <w:rPr>
          <w:rFonts w:asciiTheme="minorHAnsi" w:hAnsiTheme="minorHAnsi"/>
          <w:sz w:val="22"/>
        </w:rPr>
      </w:pPr>
      <w:r w:rsidRPr="001F1452">
        <w:rPr>
          <w:rFonts w:asciiTheme="minorHAnsi" w:hAnsiTheme="minorHAnsi"/>
          <w:sz w:val="22"/>
        </w:rPr>
        <w:t>Gross customer interest</w:t>
      </w:r>
      <w:r w:rsidRPr="001F1452">
        <w:rPr>
          <w:rFonts w:asciiTheme="minorHAnsi" w:hAnsiTheme="minorHAnsi"/>
          <w:sz w:val="22"/>
          <w:szCs w:val="22"/>
        </w:rPr>
        <w:t>-</w:t>
      </w:r>
      <w:r w:rsidRPr="001F1452">
        <w:rPr>
          <w:rFonts w:asciiTheme="minorHAnsi" w:hAnsiTheme="minorHAnsi"/>
          <w:sz w:val="22"/>
        </w:rPr>
        <w:t xml:space="preserve">earning balances increased </w:t>
      </w:r>
      <w:r>
        <w:rPr>
          <w:rFonts w:asciiTheme="minorHAnsi" w:hAnsiTheme="minorHAnsi"/>
          <w:sz w:val="22"/>
        </w:rPr>
        <w:t>7</w:t>
      </w:r>
      <w:r w:rsidRPr="001F1452">
        <w:rPr>
          <w:rFonts w:asciiTheme="minorHAnsi" w:hAnsiTheme="minorHAnsi"/>
          <w:sz w:val="22"/>
        </w:rPr>
        <w:t>% to £2,459m:</w:t>
      </w:r>
      <w:r w:rsidRPr="001F1452">
        <w:rPr>
          <w:rFonts w:asciiTheme="minorHAnsi" w:hAnsiTheme="minorHAnsi"/>
          <w:sz w:val="22"/>
          <w:szCs w:val="22"/>
        </w:rPr>
        <w:t xml:space="preserve"> </w:t>
      </w:r>
    </w:p>
    <w:p w14:paraId="53F66FE3" w14:textId="77777777" w:rsidR="00F53939" w:rsidRPr="001F1452" w:rsidRDefault="00F53939" w:rsidP="00F53939">
      <w:pPr>
        <w:pStyle w:val="ListParagraph"/>
        <w:numPr>
          <w:ilvl w:val="1"/>
          <w:numId w:val="18"/>
        </w:numPr>
        <w:tabs>
          <w:tab w:val="clear" w:pos="1080"/>
        </w:tabs>
        <w:jc w:val="both"/>
        <w:rPr>
          <w:rFonts w:asciiTheme="minorHAnsi" w:hAnsiTheme="minorHAnsi"/>
          <w:sz w:val="22"/>
          <w:szCs w:val="22"/>
        </w:rPr>
      </w:pPr>
      <w:r w:rsidRPr="001F1452">
        <w:rPr>
          <w:rFonts w:asciiTheme="minorHAnsi" w:hAnsiTheme="minorHAnsi"/>
          <w:sz w:val="22"/>
        </w:rPr>
        <w:t>Credit Card balances increased 6% to £1,355m,</w:t>
      </w:r>
      <w:r w:rsidRPr="001F1452">
        <w:rPr>
          <w:rFonts w:asciiTheme="minorHAnsi" w:hAnsiTheme="minorHAnsi"/>
          <w:sz w:val="22"/>
          <w:szCs w:val="22"/>
        </w:rPr>
        <w:t xml:space="preserve"> all in 2Q25 following stable balances in 1Q25, reflecting both credit line increases of existing customers, and new customer growth following the release of new product variants.</w:t>
      </w:r>
    </w:p>
    <w:p w14:paraId="302F39EC" w14:textId="6C365927" w:rsidR="00F53939" w:rsidRPr="0050246D" w:rsidRDefault="00F53939" w:rsidP="00F53939">
      <w:pPr>
        <w:pStyle w:val="ListParagraph"/>
        <w:numPr>
          <w:ilvl w:val="1"/>
          <w:numId w:val="18"/>
        </w:numPr>
        <w:tabs>
          <w:tab w:val="clear" w:pos="1080"/>
        </w:tabs>
        <w:jc w:val="both"/>
        <w:rPr>
          <w:rStyle w:val="Strong"/>
          <w:rFonts w:asciiTheme="minorHAnsi" w:hAnsiTheme="minorHAnsi"/>
          <w:b w:val="0"/>
          <w:bCs w:val="0"/>
          <w:sz w:val="22"/>
        </w:rPr>
      </w:pPr>
      <w:r w:rsidRPr="0050246D">
        <w:rPr>
          <w:rFonts w:asciiTheme="minorHAnsi" w:hAnsiTheme="minorHAnsi"/>
          <w:sz w:val="22"/>
        </w:rPr>
        <w:t xml:space="preserve">Vehicle Finance balances </w:t>
      </w:r>
      <w:r w:rsidR="00270588">
        <w:rPr>
          <w:rFonts w:asciiTheme="minorHAnsi" w:hAnsiTheme="minorHAnsi"/>
          <w:sz w:val="22"/>
        </w:rPr>
        <w:t>declined</w:t>
      </w:r>
      <w:r w:rsidRPr="0050246D">
        <w:rPr>
          <w:rFonts w:asciiTheme="minorHAnsi" w:hAnsiTheme="minorHAnsi"/>
          <w:sz w:val="22"/>
        </w:rPr>
        <w:t xml:space="preserve"> 4% to £733m, in line with expectations, </w:t>
      </w:r>
      <w:r w:rsidR="00F56813">
        <w:rPr>
          <w:rFonts w:asciiTheme="minorHAnsi" w:hAnsiTheme="minorHAnsi"/>
          <w:sz w:val="22"/>
        </w:rPr>
        <w:t>ahead</w:t>
      </w:r>
      <w:r w:rsidRPr="0050246D">
        <w:rPr>
          <w:rFonts w:asciiTheme="minorHAnsi" w:hAnsiTheme="minorHAnsi"/>
          <w:sz w:val="22"/>
        </w:rPr>
        <w:t xml:space="preserve"> of the </w:t>
      </w:r>
      <w:r w:rsidR="00D70EB6">
        <w:rPr>
          <w:rFonts w:asciiTheme="minorHAnsi" w:hAnsiTheme="minorHAnsi"/>
          <w:sz w:val="22"/>
        </w:rPr>
        <w:t xml:space="preserve">launch of our </w:t>
      </w:r>
      <w:r w:rsidRPr="0050246D">
        <w:rPr>
          <w:rFonts w:asciiTheme="minorHAnsi" w:hAnsiTheme="minorHAnsi"/>
          <w:sz w:val="22"/>
        </w:rPr>
        <w:t xml:space="preserve">new onboarding and servicing platform </w:t>
      </w:r>
      <w:r w:rsidR="007D2FCE">
        <w:rPr>
          <w:rFonts w:asciiTheme="minorHAnsi" w:hAnsiTheme="minorHAnsi"/>
          <w:sz w:val="22"/>
        </w:rPr>
        <w:t>in</w:t>
      </w:r>
      <w:r w:rsidRPr="0050246D">
        <w:rPr>
          <w:rFonts w:asciiTheme="minorHAnsi" w:hAnsiTheme="minorHAnsi"/>
          <w:sz w:val="22"/>
        </w:rPr>
        <w:t xml:space="preserve"> mid-2026 as part of the Gateway technology transformation.</w:t>
      </w:r>
      <w:r w:rsidRPr="0050246D">
        <w:rPr>
          <w:rStyle w:val="Strong"/>
          <w:rFonts w:asciiTheme="minorHAnsi" w:hAnsiTheme="minorHAnsi"/>
          <w:b w:val="0"/>
          <w:bCs w:val="0"/>
          <w:sz w:val="22"/>
          <w:szCs w:val="22"/>
        </w:rPr>
        <w:t xml:space="preserve">  </w:t>
      </w:r>
    </w:p>
    <w:p w14:paraId="1ECDE023" w14:textId="77777777" w:rsidR="00F53939" w:rsidRPr="00E13416" w:rsidRDefault="00F53939" w:rsidP="00F53939">
      <w:pPr>
        <w:pStyle w:val="ListParagraph"/>
        <w:numPr>
          <w:ilvl w:val="1"/>
          <w:numId w:val="18"/>
        </w:numPr>
        <w:tabs>
          <w:tab w:val="clear" w:pos="1080"/>
        </w:tabs>
        <w:jc w:val="both"/>
        <w:rPr>
          <w:rFonts w:asciiTheme="minorHAnsi" w:hAnsiTheme="minorHAnsi"/>
          <w:sz w:val="22"/>
        </w:rPr>
      </w:pPr>
      <w:r w:rsidRPr="00E13416">
        <w:rPr>
          <w:rFonts w:asciiTheme="minorHAnsi" w:hAnsiTheme="minorHAnsi"/>
          <w:sz w:val="22"/>
        </w:rPr>
        <w:t>Second Charge M</w:t>
      </w:r>
      <w:r w:rsidRPr="00E13416">
        <w:rPr>
          <w:rFonts w:asciiTheme="minorHAnsi" w:hAnsiTheme="minorHAnsi"/>
          <w:sz w:val="22"/>
          <w:szCs w:val="22"/>
        </w:rPr>
        <w:t xml:space="preserve">ortgage balances grew to £371m (December 2024: £217m) driven by long-term forward flow origination agreements with partners. </w:t>
      </w:r>
      <w:r w:rsidRPr="00E13416">
        <w:rPr>
          <w:rFonts w:asciiTheme="minorHAnsi" w:hAnsiTheme="minorHAnsi"/>
          <w:sz w:val="22"/>
        </w:rPr>
        <w:t xml:space="preserve"> </w:t>
      </w:r>
    </w:p>
    <w:p w14:paraId="5B1C6A8A" w14:textId="14A871E9" w:rsidR="00F53939" w:rsidRPr="00D83875" w:rsidRDefault="00F53939" w:rsidP="00F53939">
      <w:pPr>
        <w:pStyle w:val="ListParagraph"/>
        <w:numPr>
          <w:ilvl w:val="1"/>
          <w:numId w:val="18"/>
        </w:numPr>
        <w:tabs>
          <w:tab w:val="clear" w:pos="1080"/>
        </w:tabs>
        <w:jc w:val="both"/>
        <w:rPr>
          <w:rFonts w:asciiTheme="minorHAnsi" w:hAnsiTheme="minorHAnsi"/>
          <w:sz w:val="22"/>
        </w:rPr>
      </w:pPr>
      <w:r w:rsidRPr="00D83875">
        <w:rPr>
          <w:rFonts w:asciiTheme="minorHAnsi" w:hAnsiTheme="minorHAnsi"/>
          <w:sz w:val="22"/>
        </w:rPr>
        <w:t>Personal Loan balances reduced to nil (December 2024: £49m) following the sale</w:t>
      </w:r>
      <w:r w:rsidR="00886F5A">
        <w:rPr>
          <w:rFonts w:asciiTheme="minorHAnsi" w:hAnsiTheme="minorHAnsi"/>
          <w:sz w:val="22"/>
        </w:rPr>
        <w:t xml:space="preserve"> of the</w:t>
      </w:r>
      <w:r w:rsidRPr="00D83875">
        <w:rPr>
          <w:rFonts w:asciiTheme="minorHAnsi" w:hAnsiTheme="minorHAnsi"/>
          <w:sz w:val="22"/>
        </w:rPr>
        <w:t xml:space="preserve"> portfolio at the end of 1Q2</w:t>
      </w:r>
      <w:r>
        <w:rPr>
          <w:rFonts w:asciiTheme="minorHAnsi" w:hAnsiTheme="minorHAnsi"/>
          <w:sz w:val="22"/>
        </w:rPr>
        <w:t>5</w:t>
      </w:r>
      <w:r w:rsidRPr="00D83875">
        <w:rPr>
          <w:rFonts w:asciiTheme="minorHAnsi" w:hAnsiTheme="minorHAnsi"/>
          <w:sz w:val="22"/>
        </w:rPr>
        <w:t>.</w:t>
      </w:r>
    </w:p>
    <w:p w14:paraId="56D357D1" w14:textId="3F2493D7" w:rsidR="004939A2" w:rsidRPr="00B00DBE" w:rsidRDefault="00F53939" w:rsidP="00E0240A">
      <w:pPr>
        <w:pStyle w:val="ListParagraph"/>
        <w:numPr>
          <w:ilvl w:val="0"/>
          <w:numId w:val="18"/>
        </w:numPr>
        <w:tabs>
          <w:tab w:val="clear" w:pos="360"/>
        </w:tabs>
        <w:jc w:val="both"/>
        <w:rPr>
          <w:rFonts w:asciiTheme="minorHAnsi" w:hAnsiTheme="minorHAnsi"/>
          <w:sz w:val="22"/>
        </w:rPr>
      </w:pPr>
      <w:r w:rsidRPr="006F6D97">
        <w:rPr>
          <w:rFonts w:asciiTheme="minorHAnsi" w:hAnsiTheme="minorHAnsi"/>
          <w:sz w:val="22"/>
          <w:szCs w:val="22"/>
        </w:rPr>
        <w:t>Net receivables increased 8% to £2,32</w:t>
      </w:r>
      <w:r w:rsidR="00FF22B6">
        <w:rPr>
          <w:rFonts w:asciiTheme="minorHAnsi" w:hAnsiTheme="minorHAnsi"/>
          <w:sz w:val="22"/>
          <w:szCs w:val="22"/>
        </w:rPr>
        <w:t>5</w:t>
      </w:r>
      <w:r w:rsidRPr="006F6D97">
        <w:rPr>
          <w:rFonts w:asciiTheme="minorHAnsi" w:hAnsiTheme="minorHAnsi"/>
          <w:sz w:val="22"/>
          <w:szCs w:val="22"/>
        </w:rPr>
        <w:t xml:space="preserve">m, </w:t>
      </w:r>
      <w:r w:rsidR="000B3043">
        <w:rPr>
          <w:rFonts w:asciiTheme="minorHAnsi" w:hAnsiTheme="minorHAnsi"/>
          <w:sz w:val="22"/>
          <w:szCs w:val="22"/>
        </w:rPr>
        <w:t>driven by</w:t>
      </w:r>
      <w:r w:rsidRPr="006F6D97">
        <w:rPr>
          <w:rFonts w:asciiTheme="minorHAnsi" w:hAnsiTheme="minorHAnsi"/>
          <w:sz w:val="22"/>
          <w:szCs w:val="22"/>
        </w:rPr>
        <w:t xml:space="preserve"> growth in interest</w:t>
      </w:r>
      <w:r w:rsidR="00DD5E17">
        <w:rPr>
          <w:rFonts w:asciiTheme="minorHAnsi" w:hAnsiTheme="minorHAnsi"/>
          <w:sz w:val="22"/>
          <w:szCs w:val="22"/>
        </w:rPr>
        <w:t>-</w:t>
      </w:r>
      <w:r w:rsidRPr="006F6D97">
        <w:rPr>
          <w:rFonts w:asciiTheme="minorHAnsi" w:hAnsiTheme="minorHAnsi"/>
          <w:sz w:val="22"/>
          <w:szCs w:val="22"/>
        </w:rPr>
        <w:t xml:space="preserve">earning balances and a 5% reduction in </w:t>
      </w:r>
      <w:r>
        <w:rPr>
          <w:rFonts w:asciiTheme="minorHAnsi" w:hAnsiTheme="minorHAnsi"/>
          <w:sz w:val="22"/>
          <w:szCs w:val="22"/>
        </w:rPr>
        <w:t>expected credit losses (ECL)</w:t>
      </w:r>
      <w:r w:rsidRPr="006F6D97">
        <w:rPr>
          <w:rFonts w:asciiTheme="minorHAnsi" w:hAnsiTheme="minorHAnsi"/>
          <w:sz w:val="22"/>
          <w:szCs w:val="22"/>
        </w:rPr>
        <w:t xml:space="preserve"> to £245m, reflecting a clearer understanding of the credit risk of the portfolios</w:t>
      </w:r>
      <w:r w:rsidR="004939A2">
        <w:rPr>
          <w:rFonts w:asciiTheme="minorHAnsi" w:hAnsiTheme="minorHAnsi"/>
          <w:sz w:val="22"/>
          <w:szCs w:val="22"/>
        </w:rPr>
        <w:t>.</w:t>
      </w:r>
    </w:p>
    <w:p w14:paraId="4B5537AD" w14:textId="3F40C2C8" w:rsidR="00B00DBE" w:rsidRPr="00B00DBE" w:rsidRDefault="00B00DBE" w:rsidP="00B00DBE">
      <w:pPr>
        <w:pStyle w:val="ListParagraph"/>
        <w:numPr>
          <w:ilvl w:val="0"/>
          <w:numId w:val="18"/>
        </w:numPr>
        <w:tabs>
          <w:tab w:val="clear" w:pos="360"/>
        </w:tabs>
        <w:jc w:val="both"/>
        <w:rPr>
          <w:rFonts w:asciiTheme="minorHAnsi" w:hAnsiTheme="minorHAnsi"/>
          <w:sz w:val="22"/>
          <w:szCs w:val="22"/>
        </w:rPr>
      </w:pPr>
      <w:r>
        <w:rPr>
          <w:rFonts w:asciiTheme="minorHAnsi" w:hAnsiTheme="minorHAnsi"/>
          <w:sz w:val="22"/>
          <w:szCs w:val="22"/>
        </w:rPr>
        <w:t>Total a</w:t>
      </w:r>
      <w:r w:rsidRPr="00B00DBE">
        <w:rPr>
          <w:rFonts w:asciiTheme="minorHAnsi" w:hAnsiTheme="minorHAnsi"/>
          <w:sz w:val="22"/>
          <w:szCs w:val="22"/>
        </w:rPr>
        <w:t>ssets increased 2% to £3,44</w:t>
      </w:r>
      <w:r w:rsidR="00C67BA0">
        <w:rPr>
          <w:rFonts w:asciiTheme="minorHAnsi" w:hAnsiTheme="minorHAnsi"/>
          <w:sz w:val="22"/>
          <w:szCs w:val="22"/>
        </w:rPr>
        <w:t>7</w:t>
      </w:r>
      <w:r w:rsidRPr="00B00DBE">
        <w:rPr>
          <w:rFonts w:asciiTheme="minorHAnsi" w:hAnsiTheme="minorHAnsi"/>
          <w:sz w:val="22"/>
          <w:szCs w:val="22"/>
        </w:rPr>
        <w:t>m</w:t>
      </w:r>
      <w:r w:rsidR="007049EA">
        <w:rPr>
          <w:rFonts w:asciiTheme="minorHAnsi" w:hAnsiTheme="minorHAnsi"/>
          <w:sz w:val="22"/>
          <w:szCs w:val="22"/>
        </w:rPr>
        <w:t>,</w:t>
      </w:r>
      <w:r w:rsidRPr="00B00DBE">
        <w:rPr>
          <w:rFonts w:asciiTheme="minorHAnsi" w:hAnsiTheme="minorHAnsi"/>
          <w:sz w:val="22"/>
          <w:szCs w:val="22"/>
        </w:rPr>
        <w:t xml:space="preserve"> driven by </w:t>
      </w:r>
      <w:r w:rsidR="00F81E37">
        <w:rPr>
          <w:rFonts w:asciiTheme="minorHAnsi" w:hAnsiTheme="minorHAnsi"/>
          <w:sz w:val="22"/>
          <w:szCs w:val="22"/>
        </w:rPr>
        <w:t>the</w:t>
      </w:r>
      <w:r w:rsidRPr="00B00DBE">
        <w:rPr>
          <w:rFonts w:asciiTheme="minorHAnsi" w:hAnsiTheme="minorHAnsi"/>
          <w:sz w:val="22"/>
          <w:szCs w:val="22"/>
        </w:rPr>
        <w:t xml:space="preserve"> 8% increase in</w:t>
      </w:r>
      <w:r w:rsidR="00B03DCE">
        <w:rPr>
          <w:rFonts w:asciiTheme="minorHAnsi" w:hAnsiTheme="minorHAnsi"/>
          <w:sz w:val="22"/>
          <w:szCs w:val="22"/>
        </w:rPr>
        <w:t xml:space="preserve"> </w:t>
      </w:r>
      <w:r w:rsidR="00361828">
        <w:rPr>
          <w:rFonts w:asciiTheme="minorHAnsi" w:hAnsiTheme="minorHAnsi"/>
          <w:sz w:val="22"/>
          <w:szCs w:val="22"/>
        </w:rPr>
        <w:t xml:space="preserve">net </w:t>
      </w:r>
      <w:r w:rsidR="00857CDB">
        <w:rPr>
          <w:rFonts w:asciiTheme="minorHAnsi" w:hAnsiTheme="minorHAnsi"/>
          <w:sz w:val="22"/>
          <w:szCs w:val="22"/>
        </w:rPr>
        <w:t>receivables</w:t>
      </w:r>
      <w:r w:rsidRPr="00B00DBE">
        <w:rPr>
          <w:rFonts w:asciiTheme="minorHAnsi" w:hAnsiTheme="minorHAnsi"/>
          <w:sz w:val="22"/>
          <w:szCs w:val="22"/>
        </w:rPr>
        <w:t xml:space="preserve">. </w:t>
      </w:r>
    </w:p>
    <w:p w14:paraId="5024A5A1" w14:textId="0CB397B3" w:rsidR="00B00DBE" w:rsidRPr="00B00DBE" w:rsidRDefault="00B00DBE" w:rsidP="00B00DBE">
      <w:pPr>
        <w:pStyle w:val="ListParagraph"/>
        <w:numPr>
          <w:ilvl w:val="0"/>
          <w:numId w:val="18"/>
        </w:numPr>
        <w:tabs>
          <w:tab w:val="clear" w:pos="360"/>
        </w:tabs>
        <w:jc w:val="both"/>
        <w:rPr>
          <w:rFonts w:asciiTheme="minorHAnsi" w:hAnsiTheme="minorHAnsi"/>
          <w:sz w:val="22"/>
          <w:szCs w:val="22"/>
        </w:rPr>
      </w:pPr>
      <w:r w:rsidRPr="00B00DBE">
        <w:rPr>
          <w:rFonts w:asciiTheme="minorHAnsi" w:hAnsiTheme="minorHAnsi"/>
          <w:sz w:val="22"/>
          <w:szCs w:val="22"/>
        </w:rPr>
        <w:t xml:space="preserve">Cash and balances at central banks reduced </w:t>
      </w:r>
      <w:r w:rsidR="00876D29">
        <w:rPr>
          <w:rFonts w:asciiTheme="minorHAnsi" w:hAnsiTheme="minorHAnsi"/>
          <w:sz w:val="22"/>
          <w:szCs w:val="22"/>
        </w:rPr>
        <w:t>20</w:t>
      </w:r>
      <w:r w:rsidRPr="00B00DBE">
        <w:rPr>
          <w:rFonts w:asciiTheme="minorHAnsi" w:hAnsiTheme="minorHAnsi"/>
          <w:sz w:val="22"/>
          <w:szCs w:val="22"/>
        </w:rPr>
        <w:t>% to £</w:t>
      </w:r>
      <w:r w:rsidR="00405FC6">
        <w:rPr>
          <w:rFonts w:asciiTheme="minorHAnsi" w:hAnsiTheme="minorHAnsi"/>
          <w:sz w:val="22"/>
          <w:szCs w:val="22"/>
        </w:rPr>
        <w:t>805</w:t>
      </w:r>
      <w:r w:rsidRPr="00B00DBE">
        <w:rPr>
          <w:rFonts w:asciiTheme="minorHAnsi" w:hAnsiTheme="minorHAnsi"/>
          <w:sz w:val="22"/>
          <w:szCs w:val="22"/>
        </w:rPr>
        <w:t xml:space="preserve">m, </w:t>
      </w:r>
      <w:r w:rsidR="003136A9">
        <w:rPr>
          <w:rFonts w:asciiTheme="minorHAnsi" w:hAnsiTheme="minorHAnsi"/>
          <w:sz w:val="22"/>
          <w:szCs w:val="22"/>
        </w:rPr>
        <w:t xml:space="preserve">driven </w:t>
      </w:r>
      <w:r w:rsidR="00F72F99">
        <w:rPr>
          <w:rFonts w:asciiTheme="minorHAnsi" w:hAnsiTheme="minorHAnsi"/>
          <w:sz w:val="22"/>
          <w:szCs w:val="22"/>
        </w:rPr>
        <w:t>largely</w:t>
      </w:r>
      <w:r w:rsidR="00335CFA">
        <w:rPr>
          <w:rFonts w:asciiTheme="minorHAnsi" w:hAnsiTheme="minorHAnsi"/>
          <w:sz w:val="22"/>
          <w:szCs w:val="22"/>
        </w:rPr>
        <w:t xml:space="preserve"> due to</w:t>
      </w:r>
      <w:r w:rsidR="00942E7B">
        <w:rPr>
          <w:rFonts w:asciiTheme="minorHAnsi" w:hAnsiTheme="minorHAnsi"/>
          <w:sz w:val="22"/>
          <w:szCs w:val="22"/>
        </w:rPr>
        <w:t xml:space="preserve"> increased</w:t>
      </w:r>
      <w:r w:rsidR="003136A9">
        <w:rPr>
          <w:rFonts w:asciiTheme="minorHAnsi" w:hAnsiTheme="minorHAnsi"/>
          <w:sz w:val="22"/>
          <w:szCs w:val="22"/>
        </w:rPr>
        <w:t xml:space="preserve"> purchase</w:t>
      </w:r>
      <w:r w:rsidR="00153422">
        <w:rPr>
          <w:rFonts w:asciiTheme="minorHAnsi" w:hAnsiTheme="minorHAnsi"/>
          <w:sz w:val="22"/>
          <w:szCs w:val="22"/>
        </w:rPr>
        <w:t>s</w:t>
      </w:r>
      <w:r w:rsidR="003136A9">
        <w:rPr>
          <w:rFonts w:asciiTheme="minorHAnsi" w:hAnsiTheme="minorHAnsi"/>
          <w:sz w:val="22"/>
          <w:szCs w:val="22"/>
        </w:rPr>
        <w:t xml:space="preserve"> of UK </w:t>
      </w:r>
      <w:r w:rsidR="006A527A">
        <w:rPr>
          <w:rFonts w:asciiTheme="minorHAnsi" w:hAnsiTheme="minorHAnsi"/>
          <w:sz w:val="22"/>
          <w:szCs w:val="22"/>
        </w:rPr>
        <w:t>Government securities</w:t>
      </w:r>
      <w:r w:rsidR="004D704D">
        <w:rPr>
          <w:rFonts w:asciiTheme="minorHAnsi" w:hAnsiTheme="minorHAnsi"/>
          <w:sz w:val="22"/>
          <w:szCs w:val="22"/>
        </w:rPr>
        <w:t>, as part of our</w:t>
      </w:r>
      <w:r w:rsidR="00045F2F">
        <w:rPr>
          <w:rFonts w:asciiTheme="minorHAnsi" w:hAnsiTheme="minorHAnsi"/>
          <w:sz w:val="22"/>
          <w:szCs w:val="22"/>
        </w:rPr>
        <w:t xml:space="preserve"> </w:t>
      </w:r>
      <w:r w:rsidR="00926A9F">
        <w:rPr>
          <w:rFonts w:asciiTheme="minorHAnsi" w:hAnsiTheme="minorHAnsi"/>
          <w:sz w:val="22"/>
          <w:szCs w:val="22"/>
        </w:rPr>
        <w:t>strategy</w:t>
      </w:r>
      <w:r w:rsidR="004A3A9F">
        <w:rPr>
          <w:rFonts w:asciiTheme="minorHAnsi" w:hAnsiTheme="minorHAnsi"/>
          <w:sz w:val="22"/>
          <w:szCs w:val="22"/>
        </w:rPr>
        <w:t xml:space="preserve"> </w:t>
      </w:r>
      <w:r w:rsidR="00CE09F7">
        <w:rPr>
          <w:rFonts w:asciiTheme="minorHAnsi" w:hAnsiTheme="minorHAnsi"/>
          <w:sz w:val="22"/>
          <w:szCs w:val="22"/>
        </w:rPr>
        <w:t>to</w:t>
      </w:r>
      <w:r w:rsidR="004A3A9F">
        <w:rPr>
          <w:rFonts w:asciiTheme="minorHAnsi" w:hAnsiTheme="minorHAnsi"/>
          <w:sz w:val="22"/>
          <w:szCs w:val="22"/>
        </w:rPr>
        <w:t xml:space="preserve"> </w:t>
      </w:r>
      <w:r w:rsidR="00045F2F">
        <w:rPr>
          <w:rFonts w:asciiTheme="minorHAnsi" w:hAnsiTheme="minorHAnsi"/>
          <w:sz w:val="22"/>
          <w:szCs w:val="22"/>
        </w:rPr>
        <w:t>diversi</w:t>
      </w:r>
      <w:r w:rsidR="00835B71">
        <w:rPr>
          <w:rFonts w:asciiTheme="minorHAnsi" w:hAnsiTheme="minorHAnsi"/>
          <w:sz w:val="22"/>
          <w:szCs w:val="22"/>
        </w:rPr>
        <w:t xml:space="preserve">fy </w:t>
      </w:r>
      <w:r w:rsidR="00045F2F">
        <w:rPr>
          <w:rFonts w:asciiTheme="minorHAnsi" w:hAnsiTheme="minorHAnsi"/>
          <w:sz w:val="22"/>
          <w:szCs w:val="22"/>
        </w:rPr>
        <w:t>the</w:t>
      </w:r>
      <w:r w:rsidR="004A3A9F">
        <w:rPr>
          <w:rFonts w:asciiTheme="minorHAnsi" w:hAnsiTheme="minorHAnsi"/>
          <w:sz w:val="22"/>
          <w:szCs w:val="22"/>
        </w:rPr>
        <w:t xml:space="preserve"> </w:t>
      </w:r>
      <w:r w:rsidR="00CE09F7">
        <w:rPr>
          <w:rFonts w:asciiTheme="minorHAnsi" w:hAnsiTheme="minorHAnsi"/>
          <w:sz w:val="22"/>
          <w:szCs w:val="22"/>
        </w:rPr>
        <w:t>Liquid Asset Buffer</w:t>
      </w:r>
      <w:r w:rsidR="009A66B4">
        <w:rPr>
          <w:rFonts w:asciiTheme="minorHAnsi" w:hAnsiTheme="minorHAnsi"/>
          <w:sz w:val="22"/>
          <w:szCs w:val="22"/>
        </w:rPr>
        <w:t xml:space="preserve"> </w:t>
      </w:r>
      <w:r w:rsidR="00062858">
        <w:rPr>
          <w:rFonts w:asciiTheme="minorHAnsi" w:hAnsiTheme="minorHAnsi"/>
          <w:sz w:val="22"/>
          <w:szCs w:val="22"/>
        </w:rPr>
        <w:t xml:space="preserve">beyond </w:t>
      </w:r>
      <w:r w:rsidR="009A66B4">
        <w:rPr>
          <w:rFonts w:asciiTheme="minorHAnsi" w:hAnsiTheme="minorHAnsi"/>
          <w:sz w:val="22"/>
          <w:szCs w:val="22"/>
        </w:rPr>
        <w:t>Bank of England</w:t>
      </w:r>
      <w:r w:rsidR="00062858">
        <w:rPr>
          <w:rFonts w:asciiTheme="minorHAnsi" w:hAnsiTheme="minorHAnsi"/>
          <w:sz w:val="22"/>
          <w:szCs w:val="22"/>
        </w:rPr>
        <w:t xml:space="preserve"> </w:t>
      </w:r>
      <w:r w:rsidR="00F67169">
        <w:rPr>
          <w:rFonts w:asciiTheme="minorHAnsi" w:hAnsiTheme="minorHAnsi"/>
          <w:sz w:val="22"/>
          <w:szCs w:val="22"/>
        </w:rPr>
        <w:t xml:space="preserve">(BoE) </w:t>
      </w:r>
      <w:r w:rsidR="009A66B4">
        <w:rPr>
          <w:rFonts w:asciiTheme="minorHAnsi" w:hAnsiTheme="minorHAnsi"/>
          <w:sz w:val="22"/>
          <w:szCs w:val="22"/>
        </w:rPr>
        <w:t>deposits</w:t>
      </w:r>
      <w:r w:rsidR="00B81DEE">
        <w:rPr>
          <w:rFonts w:asciiTheme="minorHAnsi" w:hAnsiTheme="minorHAnsi"/>
          <w:sz w:val="22"/>
          <w:szCs w:val="22"/>
        </w:rPr>
        <w:t>.  This drove the</w:t>
      </w:r>
      <w:r w:rsidR="00E93EB4">
        <w:rPr>
          <w:rFonts w:asciiTheme="minorHAnsi" w:hAnsiTheme="minorHAnsi"/>
          <w:sz w:val="22"/>
          <w:szCs w:val="22"/>
        </w:rPr>
        <w:t xml:space="preserve"> 9</w:t>
      </w:r>
      <w:r w:rsidR="007E622E">
        <w:rPr>
          <w:rFonts w:asciiTheme="minorHAnsi" w:hAnsiTheme="minorHAnsi"/>
          <w:sz w:val="22"/>
          <w:szCs w:val="22"/>
        </w:rPr>
        <w:t>0</w:t>
      </w:r>
      <w:r w:rsidR="00540C7C">
        <w:rPr>
          <w:rFonts w:asciiTheme="minorHAnsi" w:hAnsiTheme="minorHAnsi"/>
          <w:sz w:val="22"/>
          <w:szCs w:val="22"/>
        </w:rPr>
        <w:t>% increase</w:t>
      </w:r>
      <w:r w:rsidR="00613676">
        <w:rPr>
          <w:rFonts w:asciiTheme="minorHAnsi" w:hAnsiTheme="minorHAnsi"/>
          <w:sz w:val="22"/>
          <w:szCs w:val="22"/>
        </w:rPr>
        <w:t xml:space="preserve"> in </w:t>
      </w:r>
      <w:r w:rsidR="00E25833">
        <w:rPr>
          <w:rFonts w:asciiTheme="minorHAnsi" w:hAnsiTheme="minorHAnsi"/>
          <w:sz w:val="22"/>
          <w:szCs w:val="22"/>
        </w:rPr>
        <w:t>o</w:t>
      </w:r>
      <w:r w:rsidR="004B14A2">
        <w:rPr>
          <w:rFonts w:asciiTheme="minorHAnsi" w:hAnsiTheme="minorHAnsi"/>
          <w:sz w:val="22"/>
          <w:szCs w:val="22"/>
        </w:rPr>
        <w:t>ther assets</w:t>
      </w:r>
      <w:r w:rsidR="00106F61">
        <w:rPr>
          <w:rFonts w:asciiTheme="minorHAnsi" w:hAnsiTheme="minorHAnsi"/>
          <w:sz w:val="22"/>
          <w:szCs w:val="22"/>
        </w:rPr>
        <w:t>, which rose</w:t>
      </w:r>
      <w:r w:rsidR="009644F2">
        <w:rPr>
          <w:rFonts w:asciiTheme="minorHAnsi" w:hAnsiTheme="minorHAnsi"/>
          <w:sz w:val="22"/>
          <w:szCs w:val="22"/>
        </w:rPr>
        <w:t xml:space="preserve"> </w:t>
      </w:r>
      <w:r w:rsidR="00E25833">
        <w:rPr>
          <w:rFonts w:asciiTheme="minorHAnsi" w:hAnsiTheme="minorHAnsi"/>
          <w:sz w:val="22"/>
          <w:szCs w:val="22"/>
        </w:rPr>
        <w:t xml:space="preserve">to </w:t>
      </w:r>
      <w:r w:rsidR="00BB625E">
        <w:rPr>
          <w:rFonts w:asciiTheme="minorHAnsi" w:hAnsiTheme="minorHAnsi"/>
          <w:sz w:val="22"/>
          <w:szCs w:val="22"/>
        </w:rPr>
        <w:t>£239m</w:t>
      </w:r>
      <w:r w:rsidR="004B14A2">
        <w:rPr>
          <w:rFonts w:asciiTheme="minorHAnsi" w:hAnsiTheme="minorHAnsi"/>
          <w:sz w:val="22"/>
          <w:szCs w:val="22"/>
        </w:rPr>
        <w:t>.</w:t>
      </w:r>
      <w:r w:rsidR="00F72F99">
        <w:rPr>
          <w:rFonts w:asciiTheme="minorHAnsi" w:hAnsiTheme="minorHAnsi"/>
          <w:sz w:val="22"/>
          <w:szCs w:val="22"/>
        </w:rPr>
        <w:t xml:space="preserve"> </w:t>
      </w:r>
      <w:r w:rsidR="00106F61">
        <w:rPr>
          <w:rFonts w:asciiTheme="minorHAnsi" w:hAnsiTheme="minorHAnsi"/>
          <w:sz w:val="22"/>
          <w:szCs w:val="22"/>
        </w:rPr>
        <w:t>Most of</w:t>
      </w:r>
      <w:r w:rsidR="004E2AFE">
        <w:rPr>
          <w:rFonts w:asciiTheme="minorHAnsi" w:hAnsiTheme="minorHAnsi"/>
          <w:sz w:val="22"/>
          <w:szCs w:val="22"/>
        </w:rPr>
        <w:t xml:space="preserve"> the</w:t>
      </w:r>
      <w:r w:rsidR="00106F61">
        <w:rPr>
          <w:rFonts w:asciiTheme="minorHAnsi" w:hAnsiTheme="minorHAnsi"/>
          <w:sz w:val="22"/>
          <w:szCs w:val="22"/>
        </w:rPr>
        <w:t xml:space="preserve"> remaining</w:t>
      </w:r>
      <w:r w:rsidR="004E2AFE">
        <w:rPr>
          <w:rFonts w:asciiTheme="minorHAnsi" w:hAnsiTheme="minorHAnsi"/>
          <w:sz w:val="22"/>
          <w:szCs w:val="22"/>
        </w:rPr>
        <w:t xml:space="preserve"> ca</w:t>
      </w:r>
      <w:r w:rsidR="00976C38">
        <w:rPr>
          <w:rFonts w:asciiTheme="minorHAnsi" w:hAnsiTheme="minorHAnsi"/>
          <w:sz w:val="22"/>
          <w:szCs w:val="22"/>
        </w:rPr>
        <w:t>sh</w:t>
      </w:r>
      <w:r w:rsidRPr="00B00DBE">
        <w:rPr>
          <w:rFonts w:asciiTheme="minorHAnsi" w:hAnsiTheme="minorHAnsi"/>
          <w:sz w:val="22"/>
          <w:szCs w:val="22"/>
        </w:rPr>
        <w:t xml:space="preserve"> </w:t>
      </w:r>
      <w:r w:rsidR="000D5B39">
        <w:rPr>
          <w:rFonts w:asciiTheme="minorHAnsi" w:hAnsiTheme="minorHAnsi"/>
          <w:sz w:val="22"/>
          <w:szCs w:val="22"/>
        </w:rPr>
        <w:t xml:space="preserve">continued to </w:t>
      </w:r>
      <w:r w:rsidRPr="00B00DBE">
        <w:rPr>
          <w:rFonts w:asciiTheme="minorHAnsi" w:hAnsiTheme="minorHAnsi"/>
          <w:sz w:val="22"/>
          <w:szCs w:val="22"/>
        </w:rPr>
        <w:t xml:space="preserve">represent high quality liquid assets (HQLA) placed with the BoE. </w:t>
      </w:r>
    </w:p>
    <w:p w14:paraId="4C81730E" w14:textId="327D54D0" w:rsidR="003A5C79" w:rsidRDefault="003A5C79" w:rsidP="00B00DBE">
      <w:pPr>
        <w:pStyle w:val="ListParagraph"/>
        <w:numPr>
          <w:ilvl w:val="0"/>
          <w:numId w:val="18"/>
        </w:numPr>
        <w:tabs>
          <w:tab w:val="clear" w:pos="360"/>
        </w:tabs>
        <w:jc w:val="both"/>
        <w:rPr>
          <w:rFonts w:asciiTheme="minorHAnsi" w:hAnsiTheme="minorHAnsi"/>
          <w:sz w:val="22"/>
          <w:szCs w:val="22"/>
        </w:rPr>
      </w:pPr>
      <w:r w:rsidRPr="003A5C79">
        <w:rPr>
          <w:rFonts w:asciiTheme="minorHAnsi" w:hAnsiTheme="minorHAnsi"/>
          <w:sz w:val="22"/>
          <w:szCs w:val="22"/>
        </w:rPr>
        <w:t xml:space="preserve">The pension asset reduced </w:t>
      </w:r>
      <w:r w:rsidR="00170ED9">
        <w:rPr>
          <w:rFonts w:asciiTheme="minorHAnsi" w:hAnsiTheme="minorHAnsi"/>
          <w:sz w:val="22"/>
          <w:szCs w:val="22"/>
        </w:rPr>
        <w:t>to £13m (December 2024: £28m)</w:t>
      </w:r>
      <w:r w:rsidR="007049EA">
        <w:rPr>
          <w:rFonts w:asciiTheme="minorHAnsi" w:hAnsiTheme="minorHAnsi"/>
          <w:sz w:val="22"/>
          <w:szCs w:val="22"/>
        </w:rPr>
        <w:t>,</w:t>
      </w:r>
      <w:r w:rsidRPr="003A5C79">
        <w:rPr>
          <w:rFonts w:asciiTheme="minorHAnsi" w:hAnsiTheme="minorHAnsi"/>
          <w:sz w:val="22"/>
          <w:szCs w:val="22"/>
        </w:rPr>
        <w:t xml:space="preserve"> reflecting the preliminarily results from the most recent Scheme valuation and updated market assumptions. </w:t>
      </w:r>
    </w:p>
    <w:p w14:paraId="0ADBBFF3" w14:textId="0ECF9485" w:rsidR="00B00DBE" w:rsidRPr="00B00DBE" w:rsidRDefault="00B00DBE" w:rsidP="00B00DBE">
      <w:pPr>
        <w:pStyle w:val="ListParagraph"/>
        <w:numPr>
          <w:ilvl w:val="0"/>
          <w:numId w:val="18"/>
        </w:numPr>
        <w:tabs>
          <w:tab w:val="clear" w:pos="360"/>
        </w:tabs>
        <w:jc w:val="both"/>
        <w:rPr>
          <w:rFonts w:asciiTheme="minorHAnsi" w:hAnsiTheme="minorHAnsi"/>
          <w:sz w:val="22"/>
          <w:szCs w:val="22"/>
        </w:rPr>
      </w:pPr>
      <w:r w:rsidRPr="00B00DBE">
        <w:rPr>
          <w:rFonts w:asciiTheme="minorHAnsi" w:hAnsiTheme="minorHAnsi"/>
          <w:sz w:val="22"/>
          <w:szCs w:val="22"/>
        </w:rPr>
        <w:t>Liabilities increased 3% to £</w:t>
      </w:r>
      <w:r w:rsidR="004A214B">
        <w:rPr>
          <w:rFonts w:asciiTheme="minorHAnsi" w:hAnsiTheme="minorHAnsi"/>
          <w:sz w:val="22"/>
          <w:szCs w:val="22"/>
        </w:rPr>
        <w:t>3,012</w:t>
      </w:r>
      <w:r w:rsidRPr="00B00DBE">
        <w:rPr>
          <w:rFonts w:asciiTheme="minorHAnsi" w:hAnsiTheme="minorHAnsi"/>
          <w:sz w:val="22"/>
          <w:szCs w:val="22"/>
        </w:rPr>
        <w:t>m, as retail deposits</w:t>
      </w:r>
      <w:r w:rsidR="00466ABD">
        <w:rPr>
          <w:rFonts w:asciiTheme="minorHAnsi" w:hAnsiTheme="minorHAnsi"/>
          <w:sz w:val="22"/>
          <w:szCs w:val="22"/>
        </w:rPr>
        <w:t>, inclusive of accrued interest,</w:t>
      </w:r>
      <w:r w:rsidRPr="00B00DBE">
        <w:rPr>
          <w:rFonts w:asciiTheme="minorHAnsi" w:hAnsiTheme="minorHAnsi"/>
          <w:sz w:val="22"/>
          <w:szCs w:val="22"/>
        </w:rPr>
        <w:t xml:space="preserve"> increased </w:t>
      </w:r>
      <w:r w:rsidR="00E60982">
        <w:rPr>
          <w:rFonts w:asciiTheme="minorHAnsi" w:hAnsiTheme="minorHAnsi"/>
          <w:sz w:val="22"/>
          <w:szCs w:val="22"/>
        </w:rPr>
        <w:t>1</w:t>
      </w:r>
      <w:r w:rsidRPr="00B00DBE">
        <w:rPr>
          <w:rFonts w:asciiTheme="minorHAnsi" w:hAnsiTheme="minorHAnsi"/>
          <w:sz w:val="22"/>
          <w:szCs w:val="22"/>
        </w:rPr>
        <w:t>% to £2,464m</w:t>
      </w:r>
      <w:r w:rsidR="00470976">
        <w:rPr>
          <w:rFonts w:asciiTheme="minorHAnsi" w:hAnsiTheme="minorHAnsi"/>
          <w:sz w:val="22"/>
          <w:szCs w:val="22"/>
        </w:rPr>
        <w:t>,</w:t>
      </w:r>
      <w:r w:rsidRPr="00B00DBE">
        <w:rPr>
          <w:rFonts w:asciiTheme="minorHAnsi" w:hAnsiTheme="minorHAnsi"/>
          <w:sz w:val="22"/>
          <w:szCs w:val="22"/>
        </w:rPr>
        <w:t xml:space="preserve"> driven by continued optimisation of retail funding through a broader product range, including Individual Savings Accounts (ISAs), and distribution reach through the Snoop brand.</w:t>
      </w:r>
    </w:p>
    <w:p w14:paraId="2A260146" w14:textId="0D94C38B" w:rsidR="00B00DBE" w:rsidRPr="00B00DBE" w:rsidRDefault="00B00DBE" w:rsidP="00B00DBE">
      <w:pPr>
        <w:pStyle w:val="ListParagraph"/>
        <w:numPr>
          <w:ilvl w:val="0"/>
          <w:numId w:val="18"/>
        </w:numPr>
        <w:tabs>
          <w:tab w:val="clear" w:pos="360"/>
        </w:tabs>
        <w:jc w:val="both"/>
        <w:rPr>
          <w:rFonts w:asciiTheme="minorHAnsi" w:hAnsiTheme="minorHAnsi"/>
          <w:sz w:val="22"/>
          <w:szCs w:val="22"/>
        </w:rPr>
      </w:pPr>
      <w:r w:rsidRPr="00B00DBE">
        <w:rPr>
          <w:rFonts w:asciiTheme="minorHAnsi" w:hAnsiTheme="minorHAnsi"/>
          <w:sz w:val="22"/>
          <w:szCs w:val="22"/>
        </w:rPr>
        <w:t>Bank and other borrowings increased 9% to £4</w:t>
      </w:r>
      <w:r w:rsidR="004A214B">
        <w:rPr>
          <w:rFonts w:asciiTheme="minorHAnsi" w:hAnsiTheme="minorHAnsi"/>
          <w:sz w:val="22"/>
          <w:szCs w:val="22"/>
        </w:rPr>
        <w:t>4</w:t>
      </w:r>
      <w:r w:rsidR="007E622E">
        <w:rPr>
          <w:rFonts w:asciiTheme="minorHAnsi" w:hAnsiTheme="minorHAnsi"/>
          <w:sz w:val="22"/>
          <w:szCs w:val="22"/>
        </w:rPr>
        <w:t>7</w:t>
      </w:r>
      <w:r w:rsidRPr="00B00DBE">
        <w:rPr>
          <w:rFonts w:asciiTheme="minorHAnsi" w:hAnsiTheme="minorHAnsi"/>
          <w:sz w:val="22"/>
          <w:szCs w:val="22"/>
        </w:rPr>
        <w:t>m driven by increased utilisation of the Indexed Long</w:t>
      </w:r>
      <w:r w:rsidR="00E35E8F">
        <w:rPr>
          <w:rFonts w:asciiTheme="minorHAnsi" w:hAnsiTheme="minorHAnsi"/>
          <w:sz w:val="22"/>
          <w:szCs w:val="22"/>
        </w:rPr>
        <w:t>-</w:t>
      </w:r>
      <w:r w:rsidRPr="00B00DBE">
        <w:rPr>
          <w:rFonts w:asciiTheme="minorHAnsi" w:hAnsiTheme="minorHAnsi"/>
          <w:sz w:val="22"/>
          <w:szCs w:val="22"/>
        </w:rPr>
        <w:t>Term Repo (ILTR) facility as part of the Sterling Monetary Framework.</w:t>
      </w:r>
    </w:p>
    <w:p w14:paraId="0EB2B0D1" w14:textId="77777777" w:rsidR="00F53939" w:rsidRPr="00341F6F" w:rsidRDefault="00F53939" w:rsidP="00F53939">
      <w:pPr>
        <w:pStyle w:val="NoSpacing"/>
        <w:spacing w:line="259" w:lineRule="auto"/>
        <w:jc w:val="both"/>
        <w:rPr>
          <w:color w:val="FF0000"/>
        </w:rPr>
      </w:pPr>
    </w:p>
    <w:p w14:paraId="7835F09A" w14:textId="77777777" w:rsidR="00F53939" w:rsidRDefault="00F53939" w:rsidP="00F53939">
      <w:pPr>
        <w:jc w:val="both"/>
        <w:rPr>
          <w:rStyle w:val="Strong"/>
          <w:rFonts w:asciiTheme="minorHAnsi" w:hAnsiTheme="minorHAnsi"/>
          <w:color w:val="4747FF"/>
          <w:sz w:val="22"/>
          <w:szCs w:val="22"/>
        </w:rPr>
      </w:pPr>
      <w:r>
        <w:rPr>
          <w:rStyle w:val="Strong"/>
          <w:rFonts w:asciiTheme="minorHAnsi" w:hAnsiTheme="minorHAnsi"/>
          <w:color w:val="4747FF"/>
          <w:sz w:val="22"/>
          <w:szCs w:val="22"/>
        </w:rPr>
        <w:t>Capital, Liquidity and Funding</w:t>
      </w:r>
    </w:p>
    <w:p w14:paraId="485C4A5E" w14:textId="77777777" w:rsidR="00F53939" w:rsidRDefault="00F53939" w:rsidP="00F53939">
      <w:pPr>
        <w:jc w:val="both"/>
        <w:rPr>
          <w:rStyle w:val="Strong"/>
          <w:rFonts w:asciiTheme="minorHAnsi" w:hAnsiTheme="minorHAnsi"/>
          <w:color w:val="4747FF"/>
          <w:sz w:val="22"/>
          <w:szCs w:val="22"/>
        </w:rPr>
      </w:pPr>
    </w:p>
    <w:tbl>
      <w:tblPr>
        <w:tblW w:w="5000" w:type="pct"/>
        <w:tblLayout w:type="fixed"/>
        <w:tblCellMar>
          <w:left w:w="0" w:type="dxa"/>
          <w:right w:w="0" w:type="dxa"/>
        </w:tblCellMar>
        <w:tblLook w:val="01E0" w:firstRow="1" w:lastRow="1" w:firstColumn="1" w:lastColumn="1" w:noHBand="0" w:noVBand="0"/>
      </w:tblPr>
      <w:tblGrid>
        <w:gridCol w:w="3754"/>
        <w:gridCol w:w="55"/>
        <w:gridCol w:w="1183"/>
        <w:gridCol w:w="1183"/>
        <w:gridCol w:w="1182"/>
        <w:gridCol w:w="1182"/>
        <w:gridCol w:w="1184"/>
      </w:tblGrid>
      <w:tr w:rsidR="00E0240A" w:rsidRPr="00563839" w14:paraId="71F5075C" w14:textId="77777777" w:rsidTr="00952D98">
        <w:trPr>
          <w:trHeight w:val="20"/>
        </w:trPr>
        <w:tc>
          <w:tcPr>
            <w:tcW w:w="1930" w:type="pct"/>
            <w:tcBorders>
              <w:left w:val="nil"/>
              <w:bottom w:val="single" w:sz="2" w:space="0" w:color="auto"/>
              <w:right w:val="nil"/>
            </w:tcBorders>
            <w:tcMar>
              <w:top w:w="15" w:type="dxa"/>
              <w:left w:w="15" w:type="dxa"/>
              <w:bottom w:w="0" w:type="dxa"/>
              <w:right w:w="15" w:type="dxa"/>
            </w:tcMar>
            <w:vAlign w:val="center"/>
          </w:tcPr>
          <w:p w14:paraId="26EC1A4E" w14:textId="2E91CFF6" w:rsidR="00E0240A" w:rsidRPr="00776214" w:rsidRDefault="00E0240A" w:rsidP="00952D98">
            <w:pPr>
              <w:textAlignment w:val="center"/>
              <w:rPr>
                <w:rFonts w:asciiTheme="minorHAnsi" w:hAnsiTheme="minorHAnsi" w:cstheme="minorHAnsi"/>
                <w:kern w:val="24"/>
                <w:sz w:val="22"/>
                <w:szCs w:val="22"/>
                <w:lang w:val="en-US"/>
              </w:rPr>
            </w:pPr>
          </w:p>
        </w:tc>
        <w:tc>
          <w:tcPr>
            <w:tcW w:w="28" w:type="pct"/>
            <w:tcBorders>
              <w:left w:val="nil"/>
              <w:bottom w:val="single" w:sz="2" w:space="0" w:color="auto"/>
              <w:right w:val="nil"/>
            </w:tcBorders>
            <w:tcMar>
              <w:top w:w="15" w:type="dxa"/>
              <w:left w:w="15" w:type="dxa"/>
              <w:bottom w:w="0" w:type="dxa"/>
              <w:right w:w="15" w:type="dxa"/>
            </w:tcMar>
            <w:vAlign w:val="center"/>
          </w:tcPr>
          <w:p w14:paraId="4AB9EB51" w14:textId="77777777" w:rsidR="00E0240A" w:rsidRPr="006F0AA0" w:rsidRDefault="00E0240A" w:rsidP="00952D98">
            <w:pPr>
              <w:rPr>
                <w:rFonts w:asciiTheme="minorHAnsi" w:hAnsiTheme="minorHAnsi" w:cstheme="minorHAnsi"/>
                <w:sz w:val="22"/>
                <w:szCs w:val="22"/>
              </w:rPr>
            </w:pPr>
          </w:p>
        </w:tc>
        <w:tc>
          <w:tcPr>
            <w:tcW w:w="608" w:type="pct"/>
            <w:tcBorders>
              <w:left w:val="nil"/>
              <w:bottom w:val="single" w:sz="2" w:space="0" w:color="auto"/>
              <w:right w:val="nil"/>
            </w:tcBorders>
            <w:shd w:val="clear" w:color="auto" w:fill="F2F2F2" w:themeFill="background1" w:themeFillShade="F2"/>
            <w:tcMar>
              <w:top w:w="15" w:type="dxa"/>
              <w:left w:w="15" w:type="dxa"/>
              <w:bottom w:w="0" w:type="dxa"/>
              <w:right w:w="15" w:type="dxa"/>
            </w:tcMar>
            <w:vAlign w:val="center"/>
          </w:tcPr>
          <w:p w14:paraId="5985591E" w14:textId="77777777" w:rsidR="00E0240A" w:rsidRPr="00563839" w:rsidRDefault="00E0240A" w:rsidP="00952D98">
            <w:pPr>
              <w:ind w:right="115"/>
              <w:jc w:val="right"/>
              <w:rPr>
                <w:rFonts w:asciiTheme="minorHAnsi" w:hAnsiTheme="minorHAnsi" w:cstheme="minorHAnsi"/>
                <w:sz w:val="22"/>
                <w:szCs w:val="22"/>
              </w:rPr>
            </w:pPr>
            <w:r>
              <w:rPr>
                <w:rFonts w:asciiTheme="minorHAnsi" w:eastAsia="Inter Medium" w:hAnsiTheme="minorHAnsi" w:cstheme="minorHAnsi"/>
                <w:b/>
                <w:kern w:val="24"/>
                <w:sz w:val="22"/>
                <w:szCs w:val="22"/>
              </w:rPr>
              <w:t>Jun</w:t>
            </w:r>
            <w:r w:rsidRPr="00F73C6C">
              <w:rPr>
                <w:rFonts w:asciiTheme="minorHAnsi" w:eastAsia="Inter Medium" w:hAnsiTheme="minorHAnsi" w:cstheme="minorHAnsi"/>
                <w:b/>
                <w:kern w:val="24"/>
                <w:sz w:val="22"/>
                <w:szCs w:val="22"/>
              </w:rPr>
              <w:t>-2</w:t>
            </w:r>
            <w:r>
              <w:rPr>
                <w:rFonts w:asciiTheme="minorHAnsi" w:eastAsia="Inter Medium" w:hAnsiTheme="minorHAnsi" w:cstheme="minorHAnsi"/>
                <w:b/>
                <w:kern w:val="24"/>
                <w:sz w:val="22"/>
                <w:szCs w:val="22"/>
              </w:rPr>
              <w:t>5</w:t>
            </w:r>
          </w:p>
        </w:tc>
        <w:tc>
          <w:tcPr>
            <w:tcW w:w="608" w:type="pct"/>
            <w:tcBorders>
              <w:left w:val="nil"/>
              <w:bottom w:val="single" w:sz="2" w:space="0" w:color="auto"/>
            </w:tcBorders>
            <w:tcMar>
              <w:top w:w="15" w:type="dxa"/>
              <w:left w:w="15" w:type="dxa"/>
              <w:bottom w:w="0" w:type="dxa"/>
              <w:right w:w="15" w:type="dxa"/>
            </w:tcMar>
            <w:vAlign w:val="center"/>
          </w:tcPr>
          <w:p w14:paraId="6BB8B3CE" w14:textId="77777777" w:rsidR="00E0240A" w:rsidRPr="00F116E9" w:rsidRDefault="00E0240A" w:rsidP="00952D98">
            <w:pPr>
              <w:jc w:val="right"/>
              <w:textAlignment w:val="bottom"/>
              <w:rPr>
                <w:rFonts w:asciiTheme="minorHAnsi" w:hAnsiTheme="minorHAnsi" w:cstheme="minorHAnsi"/>
                <w:kern w:val="24"/>
                <w:sz w:val="22"/>
                <w:szCs w:val="22"/>
              </w:rPr>
            </w:pPr>
            <w:r w:rsidRPr="00F73C6C">
              <w:rPr>
                <w:rFonts w:asciiTheme="minorHAnsi" w:hAnsiTheme="minorHAnsi" w:cstheme="minorHAnsi"/>
                <w:kern w:val="24"/>
                <w:sz w:val="22"/>
                <w:szCs w:val="22"/>
              </w:rPr>
              <w:t>Dec-2</w:t>
            </w:r>
            <w:r>
              <w:rPr>
                <w:rFonts w:asciiTheme="minorHAnsi" w:hAnsiTheme="minorHAnsi" w:cstheme="minorHAnsi"/>
                <w:kern w:val="24"/>
                <w:sz w:val="22"/>
                <w:szCs w:val="22"/>
              </w:rPr>
              <w:t>4</w:t>
            </w:r>
          </w:p>
        </w:tc>
        <w:tc>
          <w:tcPr>
            <w:tcW w:w="608" w:type="pct"/>
            <w:tcBorders>
              <w:left w:val="nil"/>
              <w:bottom w:val="single" w:sz="2" w:space="0" w:color="auto"/>
              <w:right w:val="nil"/>
            </w:tcBorders>
            <w:vAlign w:val="center"/>
          </w:tcPr>
          <w:p w14:paraId="27D6D2DC" w14:textId="77777777" w:rsidR="00E0240A" w:rsidRPr="00EB27C3" w:rsidRDefault="00E0240A" w:rsidP="00952D98">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Jun-</w:t>
            </w:r>
            <w:r w:rsidRPr="00F73C6C">
              <w:rPr>
                <w:rFonts w:asciiTheme="minorHAnsi" w:hAnsiTheme="minorHAnsi" w:cstheme="minorHAnsi"/>
                <w:kern w:val="24"/>
                <w:sz w:val="22"/>
                <w:szCs w:val="22"/>
              </w:rPr>
              <w:t>2</w:t>
            </w:r>
            <w:r>
              <w:rPr>
                <w:rFonts w:asciiTheme="minorHAnsi" w:hAnsiTheme="minorHAnsi" w:cstheme="minorHAnsi"/>
                <w:kern w:val="24"/>
                <w:sz w:val="22"/>
                <w:szCs w:val="22"/>
              </w:rPr>
              <w:t>4</w:t>
            </w:r>
          </w:p>
        </w:tc>
        <w:tc>
          <w:tcPr>
            <w:tcW w:w="608" w:type="pct"/>
            <w:tcBorders>
              <w:left w:val="nil"/>
              <w:bottom w:val="single" w:sz="2" w:space="0" w:color="auto"/>
              <w:right w:val="nil"/>
            </w:tcBorders>
            <w:vAlign w:val="center"/>
          </w:tcPr>
          <w:p w14:paraId="7764007C" w14:textId="77777777" w:rsidR="00E0240A" w:rsidRDefault="00E0240A" w:rsidP="00952D98">
            <w:pPr>
              <w:ind w:right="115"/>
              <w:jc w:val="right"/>
              <w:rPr>
                <w:rFonts w:asciiTheme="minorHAnsi" w:hAnsiTheme="minorHAnsi" w:cstheme="minorHAnsi"/>
                <w:kern w:val="24"/>
                <w:sz w:val="22"/>
                <w:szCs w:val="22"/>
              </w:rPr>
            </w:pPr>
            <w:proofErr w:type="spellStart"/>
            <w:r>
              <w:rPr>
                <w:rFonts w:asciiTheme="minorHAnsi" w:hAnsiTheme="minorHAnsi" w:cstheme="minorHAnsi"/>
                <w:kern w:val="24"/>
                <w:sz w:val="22"/>
                <w:szCs w:val="22"/>
              </w:rPr>
              <w:t>HoH</w:t>
            </w:r>
            <w:proofErr w:type="spellEnd"/>
          </w:p>
          <w:p w14:paraId="52738896" w14:textId="77777777" w:rsidR="00E0240A" w:rsidRPr="00EB27C3" w:rsidRDefault="00E0240A" w:rsidP="00952D98">
            <w:pPr>
              <w:ind w:right="115"/>
              <w:jc w:val="right"/>
              <w:rPr>
                <w:rFonts w:asciiTheme="minorHAnsi" w:hAnsiTheme="minorHAnsi" w:cstheme="minorHAnsi"/>
                <w:kern w:val="24"/>
                <w:sz w:val="22"/>
                <w:szCs w:val="22"/>
              </w:rPr>
            </w:pPr>
            <w:r w:rsidRPr="00F73C6C">
              <w:rPr>
                <w:rFonts w:asciiTheme="minorHAnsi" w:hAnsiTheme="minorHAnsi" w:cstheme="minorHAnsi"/>
                <w:kern w:val="24"/>
                <w:sz w:val="22"/>
                <w:szCs w:val="22"/>
              </w:rPr>
              <w:t>Change</w:t>
            </w:r>
            <w:r>
              <w:rPr>
                <w:rFonts w:asciiTheme="minorHAnsi" w:hAnsiTheme="minorHAnsi" w:cstheme="minorHAnsi"/>
                <w:kern w:val="24"/>
                <w:sz w:val="22"/>
                <w:szCs w:val="22"/>
              </w:rPr>
              <w:t xml:space="preserve"> </w:t>
            </w:r>
          </w:p>
        </w:tc>
        <w:tc>
          <w:tcPr>
            <w:tcW w:w="609" w:type="pct"/>
            <w:tcBorders>
              <w:left w:val="nil"/>
              <w:bottom w:val="single" w:sz="2" w:space="0" w:color="auto"/>
            </w:tcBorders>
            <w:tcMar>
              <w:top w:w="15" w:type="dxa"/>
              <w:left w:w="15" w:type="dxa"/>
              <w:bottom w:w="0" w:type="dxa"/>
              <w:right w:w="15" w:type="dxa"/>
            </w:tcMar>
            <w:vAlign w:val="center"/>
          </w:tcPr>
          <w:p w14:paraId="354BBFEE" w14:textId="77777777" w:rsidR="00E0240A" w:rsidRDefault="00E0240A" w:rsidP="00952D98">
            <w:pPr>
              <w:ind w:right="115"/>
              <w:jc w:val="right"/>
              <w:rPr>
                <w:rFonts w:asciiTheme="minorHAnsi" w:hAnsiTheme="minorHAnsi" w:cstheme="minorHAnsi"/>
                <w:kern w:val="24"/>
                <w:sz w:val="22"/>
                <w:szCs w:val="22"/>
              </w:rPr>
            </w:pPr>
            <w:r>
              <w:rPr>
                <w:rFonts w:asciiTheme="minorHAnsi" w:hAnsiTheme="minorHAnsi" w:cstheme="minorHAnsi"/>
                <w:kern w:val="24"/>
                <w:sz w:val="22"/>
                <w:szCs w:val="22"/>
              </w:rPr>
              <w:t>YoY</w:t>
            </w:r>
          </w:p>
          <w:p w14:paraId="360ED458" w14:textId="77777777" w:rsidR="00E0240A" w:rsidRPr="00563839" w:rsidRDefault="00E0240A" w:rsidP="00952D98">
            <w:pPr>
              <w:ind w:right="115"/>
              <w:jc w:val="right"/>
              <w:rPr>
                <w:rFonts w:asciiTheme="minorHAnsi" w:hAnsiTheme="minorHAnsi" w:cstheme="minorHAnsi"/>
                <w:sz w:val="22"/>
                <w:szCs w:val="22"/>
              </w:rPr>
            </w:pPr>
            <w:r w:rsidRPr="00F73C6C">
              <w:rPr>
                <w:rFonts w:asciiTheme="minorHAnsi" w:hAnsiTheme="minorHAnsi" w:cstheme="minorHAnsi"/>
                <w:kern w:val="24"/>
                <w:sz w:val="22"/>
                <w:szCs w:val="22"/>
              </w:rPr>
              <w:t>Change</w:t>
            </w:r>
            <w:r>
              <w:rPr>
                <w:rFonts w:asciiTheme="minorHAnsi" w:hAnsiTheme="minorHAnsi" w:cstheme="minorHAnsi"/>
                <w:kern w:val="24"/>
                <w:sz w:val="22"/>
                <w:szCs w:val="22"/>
              </w:rPr>
              <w:t xml:space="preserve"> </w:t>
            </w:r>
          </w:p>
        </w:tc>
      </w:tr>
      <w:tr w:rsidR="00E0240A" w:rsidRPr="00F116E9" w14:paraId="0EDD3933" w14:textId="77777777" w:rsidTr="00952D98">
        <w:trPr>
          <w:trHeight w:val="20"/>
        </w:trPr>
        <w:tc>
          <w:tcPr>
            <w:tcW w:w="1930" w:type="pct"/>
            <w:tcBorders>
              <w:top w:val="single" w:sz="2" w:space="0" w:color="auto"/>
              <w:left w:val="nil"/>
              <w:right w:val="nil"/>
            </w:tcBorders>
            <w:tcMar>
              <w:top w:w="15" w:type="dxa"/>
              <w:left w:w="15" w:type="dxa"/>
              <w:bottom w:w="0" w:type="dxa"/>
              <w:right w:w="15" w:type="dxa"/>
            </w:tcMar>
            <w:vAlign w:val="center"/>
          </w:tcPr>
          <w:p w14:paraId="60285AFE" w14:textId="77777777" w:rsidR="00E0240A" w:rsidRPr="00226BFD" w:rsidRDefault="00E0240A" w:rsidP="00952D98">
            <w:pPr>
              <w:textAlignment w:val="center"/>
              <w:rPr>
                <w:rFonts w:asciiTheme="minorHAnsi" w:hAnsiTheme="minorHAnsi" w:cstheme="minorHAnsi"/>
                <w:kern w:val="24"/>
                <w:sz w:val="22"/>
                <w:szCs w:val="22"/>
                <w:lang w:val="en-US"/>
              </w:rPr>
            </w:pPr>
            <w:r w:rsidRPr="00226BFD">
              <w:rPr>
                <w:rFonts w:asciiTheme="minorHAnsi" w:eastAsia="Inter Medium" w:hAnsiTheme="minorHAnsi" w:cstheme="minorHAnsi"/>
                <w:color w:val="000000" w:themeColor="text1"/>
                <w:kern w:val="24"/>
                <w:sz w:val="22"/>
                <w:szCs w:val="22"/>
                <w:lang w:val="en-US"/>
              </w:rPr>
              <w:t>Tier 1 ratio (%)</w:t>
            </w:r>
            <w:r w:rsidRPr="00226BFD">
              <w:rPr>
                <w:rFonts w:asciiTheme="minorHAnsi" w:eastAsia="Inter Medium" w:hAnsiTheme="minorHAnsi" w:cstheme="minorHAnsi"/>
                <w:color w:val="000000" w:themeColor="text1"/>
                <w:kern w:val="24"/>
                <w:sz w:val="22"/>
                <w:szCs w:val="22"/>
                <w:vertAlign w:val="superscript"/>
                <w:lang w:val="en-US"/>
              </w:rPr>
              <w:t>11</w:t>
            </w:r>
          </w:p>
        </w:tc>
        <w:tc>
          <w:tcPr>
            <w:tcW w:w="28" w:type="pct"/>
            <w:tcBorders>
              <w:top w:val="single" w:sz="2" w:space="0" w:color="auto"/>
              <w:left w:val="nil"/>
              <w:right w:val="nil"/>
            </w:tcBorders>
            <w:tcMar>
              <w:top w:w="15" w:type="dxa"/>
              <w:left w:w="15" w:type="dxa"/>
              <w:bottom w:w="0" w:type="dxa"/>
              <w:right w:w="15" w:type="dxa"/>
            </w:tcMar>
            <w:vAlign w:val="center"/>
          </w:tcPr>
          <w:p w14:paraId="0737A4CF" w14:textId="77777777" w:rsidR="00E0240A" w:rsidRPr="006F0AA0" w:rsidRDefault="00E0240A" w:rsidP="00952D98">
            <w:pPr>
              <w:rPr>
                <w:rFonts w:asciiTheme="minorHAnsi" w:hAnsiTheme="minorHAnsi" w:cstheme="minorHAnsi"/>
                <w:sz w:val="22"/>
                <w:szCs w:val="22"/>
              </w:rPr>
            </w:pPr>
          </w:p>
        </w:tc>
        <w:tc>
          <w:tcPr>
            <w:tcW w:w="608" w:type="pct"/>
            <w:tcBorders>
              <w:top w:val="single" w:sz="2" w:space="0" w:color="auto"/>
              <w:left w:val="nil"/>
              <w:right w:val="nil"/>
            </w:tcBorders>
            <w:shd w:val="clear" w:color="auto" w:fill="F2F2F2" w:themeFill="background1" w:themeFillShade="F2"/>
            <w:tcMar>
              <w:top w:w="15" w:type="dxa"/>
              <w:left w:w="15" w:type="dxa"/>
              <w:bottom w:w="0" w:type="dxa"/>
              <w:right w:w="15" w:type="dxa"/>
            </w:tcMar>
            <w:vAlign w:val="center"/>
          </w:tcPr>
          <w:p w14:paraId="7CBA4734" w14:textId="77777777" w:rsidR="00E0240A" w:rsidRPr="00F116E9" w:rsidRDefault="00E0240A" w:rsidP="00952D98">
            <w:pPr>
              <w:jc w:val="right"/>
              <w:textAlignment w:val="bottom"/>
              <w:rPr>
                <w:rFonts w:asciiTheme="minorHAnsi" w:hAnsiTheme="minorHAnsi"/>
                <w:b/>
                <w:bCs/>
                <w:noProof/>
                <w:sz w:val="22"/>
                <w:szCs w:val="22"/>
              </w:rPr>
            </w:pPr>
            <w:r>
              <w:rPr>
                <w:rFonts w:asciiTheme="minorHAnsi" w:hAnsiTheme="minorHAnsi"/>
                <w:b/>
                <w:bCs/>
                <w:noProof/>
                <w:sz w:val="22"/>
                <w:szCs w:val="22"/>
              </w:rPr>
              <w:t>18.5</w:t>
            </w:r>
          </w:p>
        </w:tc>
        <w:tc>
          <w:tcPr>
            <w:tcW w:w="608" w:type="pct"/>
            <w:tcBorders>
              <w:top w:val="single" w:sz="2" w:space="0" w:color="auto"/>
              <w:left w:val="nil"/>
            </w:tcBorders>
            <w:tcMar>
              <w:top w:w="15" w:type="dxa"/>
              <w:left w:w="15" w:type="dxa"/>
              <w:bottom w:w="0" w:type="dxa"/>
              <w:right w:w="15" w:type="dxa"/>
            </w:tcMar>
          </w:tcPr>
          <w:p w14:paraId="114A83F7" w14:textId="77777777" w:rsidR="00E0240A" w:rsidRPr="00F116E9"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18.8</w:t>
            </w:r>
          </w:p>
        </w:tc>
        <w:tc>
          <w:tcPr>
            <w:tcW w:w="608" w:type="pct"/>
            <w:tcBorders>
              <w:top w:val="single" w:sz="2" w:space="0" w:color="auto"/>
              <w:left w:val="nil"/>
              <w:right w:val="nil"/>
            </w:tcBorders>
          </w:tcPr>
          <w:p w14:paraId="72B547C2" w14:textId="77777777" w:rsidR="00E0240A" w:rsidRPr="00F116E9"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19.8</w:t>
            </w:r>
          </w:p>
        </w:tc>
        <w:tc>
          <w:tcPr>
            <w:tcW w:w="608" w:type="pct"/>
            <w:tcBorders>
              <w:top w:val="single" w:sz="2" w:space="0" w:color="auto"/>
              <w:left w:val="nil"/>
              <w:right w:val="nil"/>
            </w:tcBorders>
            <w:vAlign w:val="center"/>
          </w:tcPr>
          <w:p w14:paraId="2F8EE40D" w14:textId="77777777" w:rsidR="00E0240A" w:rsidRPr="00F116E9"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(0.3)</w:t>
            </w:r>
          </w:p>
        </w:tc>
        <w:tc>
          <w:tcPr>
            <w:tcW w:w="609" w:type="pct"/>
            <w:tcBorders>
              <w:top w:val="single" w:sz="2" w:space="0" w:color="auto"/>
              <w:left w:val="nil"/>
            </w:tcBorders>
            <w:tcMar>
              <w:top w:w="15" w:type="dxa"/>
              <w:left w:w="15" w:type="dxa"/>
              <w:bottom w:w="0" w:type="dxa"/>
              <w:right w:w="15" w:type="dxa"/>
            </w:tcMar>
            <w:vAlign w:val="center"/>
          </w:tcPr>
          <w:p w14:paraId="17CF82E5" w14:textId="77777777" w:rsidR="00E0240A" w:rsidRPr="00F116E9"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(1.3)</w:t>
            </w:r>
          </w:p>
        </w:tc>
      </w:tr>
      <w:tr w:rsidR="00E0240A" w:rsidRPr="00F116E9" w14:paraId="06A8A5F8" w14:textId="77777777" w:rsidTr="00952D98">
        <w:trPr>
          <w:trHeight w:val="20"/>
        </w:trPr>
        <w:tc>
          <w:tcPr>
            <w:tcW w:w="1930" w:type="pct"/>
            <w:tcBorders>
              <w:left w:val="nil"/>
              <w:right w:val="nil"/>
            </w:tcBorders>
            <w:tcMar>
              <w:top w:w="15" w:type="dxa"/>
              <w:left w:w="15" w:type="dxa"/>
              <w:bottom w:w="0" w:type="dxa"/>
              <w:right w:w="15" w:type="dxa"/>
            </w:tcMar>
            <w:vAlign w:val="center"/>
          </w:tcPr>
          <w:p w14:paraId="57E8213C" w14:textId="77777777" w:rsidR="00E0240A" w:rsidRPr="00776214" w:rsidRDefault="00E0240A" w:rsidP="00952D98">
            <w:pPr>
              <w:textAlignment w:val="center"/>
              <w:rPr>
                <w:rFonts w:asciiTheme="minorHAnsi" w:hAnsiTheme="minorHAnsi" w:cstheme="minorHAnsi"/>
                <w:kern w:val="24"/>
                <w:sz w:val="22"/>
                <w:szCs w:val="22"/>
                <w:lang w:val="en-US"/>
              </w:rPr>
            </w:pPr>
            <w:r>
              <w:rPr>
                <w:rFonts w:asciiTheme="minorHAnsi" w:eastAsia="Inter Medium" w:hAnsiTheme="minorHAnsi" w:cstheme="minorHAnsi"/>
                <w:color w:val="000000" w:themeColor="text1"/>
                <w:kern w:val="24"/>
                <w:sz w:val="22"/>
                <w:szCs w:val="22"/>
                <w:lang w:val="en-US"/>
              </w:rPr>
              <w:t>Risk weighted assets (RWAs) (£m)</w:t>
            </w:r>
          </w:p>
        </w:tc>
        <w:tc>
          <w:tcPr>
            <w:tcW w:w="28" w:type="pct"/>
            <w:tcBorders>
              <w:left w:val="nil"/>
              <w:right w:val="nil"/>
            </w:tcBorders>
            <w:tcMar>
              <w:top w:w="15" w:type="dxa"/>
              <w:left w:w="15" w:type="dxa"/>
              <w:bottom w:w="0" w:type="dxa"/>
              <w:right w:w="15" w:type="dxa"/>
            </w:tcMar>
            <w:vAlign w:val="center"/>
          </w:tcPr>
          <w:p w14:paraId="7F4FCE1D" w14:textId="77777777" w:rsidR="00E0240A" w:rsidRPr="006F0AA0" w:rsidRDefault="00E0240A" w:rsidP="00952D98">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33A32E24" w14:textId="77777777" w:rsidR="00E0240A" w:rsidRPr="00F116E9" w:rsidRDefault="00E0240A" w:rsidP="00952D98">
            <w:pPr>
              <w:jc w:val="right"/>
              <w:textAlignment w:val="bottom"/>
              <w:rPr>
                <w:rFonts w:asciiTheme="minorHAnsi" w:hAnsiTheme="minorHAnsi"/>
                <w:b/>
                <w:bCs/>
                <w:noProof/>
                <w:sz w:val="22"/>
                <w:szCs w:val="22"/>
              </w:rPr>
            </w:pPr>
            <w:r>
              <w:rPr>
                <w:rFonts w:asciiTheme="minorHAnsi" w:hAnsiTheme="minorHAnsi"/>
                <w:b/>
                <w:bCs/>
                <w:noProof/>
                <w:sz w:val="22"/>
                <w:szCs w:val="22"/>
              </w:rPr>
              <w:t>1,883</w:t>
            </w:r>
          </w:p>
        </w:tc>
        <w:tc>
          <w:tcPr>
            <w:tcW w:w="608" w:type="pct"/>
            <w:tcBorders>
              <w:left w:val="nil"/>
            </w:tcBorders>
            <w:tcMar>
              <w:top w:w="15" w:type="dxa"/>
              <w:left w:w="15" w:type="dxa"/>
              <w:bottom w:w="0" w:type="dxa"/>
              <w:right w:w="15" w:type="dxa"/>
            </w:tcMar>
          </w:tcPr>
          <w:p w14:paraId="162DDB72" w14:textId="77777777" w:rsidR="00E0240A" w:rsidRPr="00F116E9"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1,835</w:t>
            </w:r>
          </w:p>
        </w:tc>
        <w:tc>
          <w:tcPr>
            <w:tcW w:w="608" w:type="pct"/>
            <w:tcBorders>
              <w:left w:val="nil"/>
              <w:right w:val="nil"/>
            </w:tcBorders>
          </w:tcPr>
          <w:p w14:paraId="78485903" w14:textId="77777777" w:rsidR="00E0240A"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1,813</w:t>
            </w:r>
          </w:p>
        </w:tc>
        <w:tc>
          <w:tcPr>
            <w:tcW w:w="608" w:type="pct"/>
            <w:tcBorders>
              <w:left w:val="nil"/>
              <w:right w:val="nil"/>
            </w:tcBorders>
            <w:vAlign w:val="center"/>
          </w:tcPr>
          <w:p w14:paraId="0A8BB590" w14:textId="77777777" w:rsidR="00E0240A"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3%</w:t>
            </w:r>
          </w:p>
        </w:tc>
        <w:tc>
          <w:tcPr>
            <w:tcW w:w="609" w:type="pct"/>
            <w:tcBorders>
              <w:left w:val="nil"/>
            </w:tcBorders>
            <w:tcMar>
              <w:top w:w="15" w:type="dxa"/>
              <w:left w:w="15" w:type="dxa"/>
              <w:bottom w:w="0" w:type="dxa"/>
              <w:right w:w="15" w:type="dxa"/>
            </w:tcMar>
            <w:vAlign w:val="center"/>
          </w:tcPr>
          <w:p w14:paraId="2CC11753" w14:textId="77777777" w:rsidR="00E0240A" w:rsidRPr="00F116E9"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4%</w:t>
            </w:r>
          </w:p>
        </w:tc>
      </w:tr>
      <w:tr w:rsidR="00E0240A" w:rsidRPr="00F116E9" w14:paraId="4456838A" w14:textId="77777777" w:rsidTr="00952D98">
        <w:trPr>
          <w:trHeight w:val="20"/>
        </w:trPr>
        <w:tc>
          <w:tcPr>
            <w:tcW w:w="1930" w:type="pct"/>
            <w:tcBorders>
              <w:left w:val="nil"/>
              <w:right w:val="nil"/>
            </w:tcBorders>
            <w:tcMar>
              <w:top w:w="15" w:type="dxa"/>
              <w:left w:w="15" w:type="dxa"/>
              <w:bottom w:w="0" w:type="dxa"/>
              <w:right w:w="15" w:type="dxa"/>
            </w:tcMar>
            <w:vAlign w:val="center"/>
          </w:tcPr>
          <w:p w14:paraId="0EF3D444" w14:textId="77777777" w:rsidR="00E0240A" w:rsidRPr="00776214" w:rsidRDefault="00E0240A" w:rsidP="00952D98">
            <w:pPr>
              <w:textAlignment w:val="center"/>
              <w:rPr>
                <w:rFonts w:asciiTheme="minorHAnsi" w:hAnsiTheme="minorHAnsi" w:cstheme="minorHAnsi"/>
                <w:kern w:val="24"/>
                <w:sz w:val="22"/>
                <w:szCs w:val="22"/>
                <w:lang w:val="en-US"/>
              </w:rPr>
            </w:pPr>
            <w:r>
              <w:rPr>
                <w:rFonts w:asciiTheme="minorHAnsi" w:eastAsia="Inter Medium" w:hAnsiTheme="minorHAnsi" w:cstheme="minorHAnsi"/>
                <w:color w:val="000000" w:themeColor="text1"/>
                <w:kern w:val="24"/>
                <w:sz w:val="22"/>
                <w:szCs w:val="22"/>
                <w:lang w:val="en-US"/>
              </w:rPr>
              <w:t>High quality l</w:t>
            </w:r>
            <w:r w:rsidRPr="00F116E9">
              <w:rPr>
                <w:rFonts w:asciiTheme="minorHAnsi" w:eastAsia="Inter Medium" w:hAnsiTheme="minorHAnsi" w:cstheme="minorHAnsi"/>
                <w:color w:val="000000" w:themeColor="text1"/>
                <w:kern w:val="24"/>
                <w:sz w:val="22"/>
                <w:szCs w:val="22"/>
                <w:lang w:val="en-US"/>
              </w:rPr>
              <w:t>iquid assets (HQLA) (£m)</w:t>
            </w:r>
          </w:p>
        </w:tc>
        <w:tc>
          <w:tcPr>
            <w:tcW w:w="28" w:type="pct"/>
            <w:tcBorders>
              <w:left w:val="nil"/>
              <w:right w:val="nil"/>
            </w:tcBorders>
            <w:tcMar>
              <w:top w:w="15" w:type="dxa"/>
              <w:left w:w="15" w:type="dxa"/>
              <w:bottom w:w="0" w:type="dxa"/>
              <w:right w:w="15" w:type="dxa"/>
            </w:tcMar>
            <w:vAlign w:val="center"/>
          </w:tcPr>
          <w:p w14:paraId="3B22FEE2" w14:textId="77777777" w:rsidR="00E0240A" w:rsidRPr="006F0AA0" w:rsidRDefault="00E0240A" w:rsidP="00952D98">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4898F732" w14:textId="77777777" w:rsidR="00E0240A" w:rsidRPr="00F116E9" w:rsidRDefault="00E0240A" w:rsidP="00952D98">
            <w:pPr>
              <w:jc w:val="right"/>
              <w:textAlignment w:val="bottom"/>
              <w:rPr>
                <w:rFonts w:asciiTheme="minorHAnsi" w:hAnsiTheme="minorHAnsi"/>
                <w:b/>
                <w:bCs/>
                <w:noProof/>
                <w:sz w:val="22"/>
                <w:szCs w:val="22"/>
              </w:rPr>
            </w:pPr>
            <w:r>
              <w:rPr>
                <w:rFonts w:asciiTheme="minorHAnsi" w:hAnsiTheme="minorHAnsi"/>
                <w:b/>
                <w:bCs/>
                <w:noProof/>
                <w:sz w:val="22"/>
                <w:szCs w:val="22"/>
              </w:rPr>
              <w:t>873</w:t>
            </w:r>
          </w:p>
        </w:tc>
        <w:tc>
          <w:tcPr>
            <w:tcW w:w="608" w:type="pct"/>
            <w:tcBorders>
              <w:left w:val="nil"/>
            </w:tcBorders>
            <w:tcMar>
              <w:top w:w="15" w:type="dxa"/>
              <w:left w:w="15" w:type="dxa"/>
              <w:bottom w:w="0" w:type="dxa"/>
              <w:right w:w="15" w:type="dxa"/>
            </w:tcMar>
          </w:tcPr>
          <w:p w14:paraId="2F5023DD" w14:textId="77777777" w:rsidR="00E0240A" w:rsidRPr="00F116E9"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947</w:t>
            </w:r>
          </w:p>
        </w:tc>
        <w:tc>
          <w:tcPr>
            <w:tcW w:w="608" w:type="pct"/>
            <w:tcBorders>
              <w:left w:val="nil"/>
              <w:right w:val="nil"/>
            </w:tcBorders>
          </w:tcPr>
          <w:p w14:paraId="307CA1F0" w14:textId="77777777" w:rsidR="00E0240A"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717</w:t>
            </w:r>
          </w:p>
        </w:tc>
        <w:tc>
          <w:tcPr>
            <w:tcW w:w="608" w:type="pct"/>
            <w:tcBorders>
              <w:left w:val="nil"/>
              <w:right w:val="nil"/>
            </w:tcBorders>
            <w:vAlign w:val="center"/>
          </w:tcPr>
          <w:p w14:paraId="385D470F" w14:textId="77777777" w:rsidR="00E0240A"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(8)%</w:t>
            </w:r>
          </w:p>
        </w:tc>
        <w:tc>
          <w:tcPr>
            <w:tcW w:w="609" w:type="pct"/>
            <w:tcBorders>
              <w:left w:val="nil"/>
            </w:tcBorders>
            <w:tcMar>
              <w:top w:w="15" w:type="dxa"/>
              <w:left w:w="15" w:type="dxa"/>
              <w:bottom w:w="0" w:type="dxa"/>
              <w:right w:w="15" w:type="dxa"/>
            </w:tcMar>
            <w:vAlign w:val="center"/>
          </w:tcPr>
          <w:p w14:paraId="6D7BE03D" w14:textId="77777777" w:rsidR="00E0240A" w:rsidRPr="00F116E9"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22%</w:t>
            </w:r>
          </w:p>
        </w:tc>
      </w:tr>
      <w:tr w:rsidR="00E0240A" w:rsidRPr="00F116E9" w14:paraId="23799B23" w14:textId="77777777" w:rsidTr="00952D98">
        <w:trPr>
          <w:trHeight w:val="20"/>
        </w:trPr>
        <w:tc>
          <w:tcPr>
            <w:tcW w:w="1930" w:type="pct"/>
            <w:tcBorders>
              <w:left w:val="nil"/>
              <w:right w:val="nil"/>
            </w:tcBorders>
            <w:tcMar>
              <w:top w:w="15" w:type="dxa"/>
              <w:left w:w="15" w:type="dxa"/>
              <w:bottom w:w="0" w:type="dxa"/>
              <w:right w:w="15" w:type="dxa"/>
            </w:tcMar>
            <w:vAlign w:val="center"/>
          </w:tcPr>
          <w:p w14:paraId="460116E1" w14:textId="77777777" w:rsidR="00E0240A" w:rsidRPr="00776214" w:rsidRDefault="00E0240A" w:rsidP="00952D98">
            <w:pPr>
              <w:textAlignment w:val="center"/>
              <w:rPr>
                <w:rFonts w:asciiTheme="minorHAnsi" w:hAnsiTheme="minorHAnsi" w:cstheme="minorHAnsi"/>
                <w:kern w:val="24"/>
                <w:sz w:val="22"/>
                <w:szCs w:val="22"/>
                <w:lang w:val="en-US"/>
              </w:rPr>
            </w:pPr>
            <w:r>
              <w:rPr>
                <w:rFonts w:asciiTheme="minorHAnsi" w:eastAsia="Inter Medium" w:hAnsiTheme="minorHAnsi" w:cstheme="minorHAnsi"/>
                <w:color w:val="000000" w:themeColor="text1"/>
                <w:kern w:val="24"/>
                <w:sz w:val="22"/>
                <w:szCs w:val="22"/>
                <w:lang w:val="en-US"/>
              </w:rPr>
              <w:t>Liquidity coverage ratio (</w:t>
            </w:r>
            <w:r w:rsidRPr="00F116E9">
              <w:rPr>
                <w:rFonts w:asciiTheme="minorHAnsi" w:eastAsia="Inter Medium" w:hAnsiTheme="minorHAnsi" w:cstheme="minorHAnsi"/>
                <w:color w:val="000000" w:themeColor="text1"/>
                <w:kern w:val="24"/>
                <w:sz w:val="22"/>
                <w:szCs w:val="22"/>
                <w:lang w:val="en-US"/>
              </w:rPr>
              <w:t>LCR)</w:t>
            </w:r>
            <w:r>
              <w:rPr>
                <w:rFonts w:asciiTheme="minorHAnsi" w:eastAsia="Inter Medium" w:hAnsiTheme="minorHAnsi" w:cstheme="minorHAnsi"/>
                <w:color w:val="000000" w:themeColor="text1"/>
                <w:kern w:val="24"/>
                <w:sz w:val="22"/>
                <w:szCs w:val="22"/>
                <w:lang w:val="en-US"/>
              </w:rPr>
              <w:t xml:space="preserve"> (%)</w:t>
            </w:r>
          </w:p>
        </w:tc>
        <w:tc>
          <w:tcPr>
            <w:tcW w:w="28" w:type="pct"/>
            <w:tcBorders>
              <w:left w:val="nil"/>
              <w:right w:val="nil"/>
            </w:tcBorders>
            <w:tcMar>
              <w:top w:w="15" w:type="dxa"/>
              <w:left w:w="15" w:type="dxa"/>
              <w:bottom w:w="0" w:type="dxa"/>
              <w:right w:w="15" w:type="dxa"/>
            </w:tcMar>
            <w:vAlign w:val="center"/>
          </w:tcPr>
          <w:p w14:paraId="32D79619" w14:textId="77777777" w:rsidR="00E0240A" w:rsidRPr="006F0AA0" w:rsidRDefault="00E0240A" w:rsidP="00952D98">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13A60730" w14:textId="77777777" w:rsidR="00E0240A" w:rsidRPr="00F116E9" w:rsidRDefault="00E0240A" w:rsidP="00952D98">
            <w:pPr>
              <w:jc w:val="right"/>
              <w:textAlignment w:val="bottom"/>
              <w:rPr>
                <w:rFonts w:asciiTheme="minorHAnsi" w:hAnsiTheme="minorHAnsi"/>
                <w:b/>
                <w:bCs/>
                <w:noProof/>
                <w:sz w:val="22"/>
                <w:szCs w:val="22"/>
              </w:rPr>
            </w:pPr>
            <w:r>
              <w:rPr>
                <w:rFonts w:asciiTheme="minorHAnsi" w:hAnsiTheme="minorHAnsi"/>
                <w:b/>
                <w:bCs/>
                <w:noProof/>
                <w:sz w:val="22"/>
                <w:szCs w:val="22"/>
              </w:rPr>
              <w:t>366</w:t>
            </w:r>
          </w:p>
        </w:tc>
        <w:tc>
          <w:tcPr>
            <w:tcW w:w="608" w:type="pct"/>
            <w:tcBorders>
              <w:left w:val="nil"/>
            </w:tcBorders>
            <w:tcMar>
              <w:top w:w="15" w:type="dxa"/>
              <w:left w:w="15" w:type="dxa"/>
              <w:bottom w:w="0" w:type="dxa"/>
              <w:right w:w="15" w:type="dxa"/>
            </w:tcMar>
          </w:tcPr>
          <w:p w14:paraId="636E8890" w14:textId="77777777" w:rsidR="00E0240A" w:rsidRPr="00F116E9"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359</w:t>
            </w:r>
          </w:p>
        </w:tc>
        <w:tc>
          <w:tcPr>
            <w:tcW w:w="608" w:type="pct"/>
            <w:tcBorders>
              <w:left w:val="nil"/>
              <w:right w:val="nil"/>
            </w:tcBorders>
          </w:tcPr>
          <w:p w14:paraId="2279EB22" w14:textId="77777777" w:rsidR="00E0240A" w:rsidRPr="00F116E9"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557</w:t>
            </w:r>
          </w:p>
        </w:tc>
        <w:tc>
          <w:tcPr>
            <w:tcW w:w="608" w:type="pct"/>
            <w:tcBorders>
              <w:left w:val="nil"/>
              <w:right w:val="nil"/>
            </w:tcBorders>
            <w:vAlign w:val="center"/>
          </w:tcPr>
          <w:p w14:paraId="3A3E43A1" w14:textId="77777777" w:rsidR="00E0240A" w:rsidRPr="00F116E9"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(7)</w:t>
            </w:r>
          </w:p>
        </w:tc>
        <w:tc>
          <w:tcPr>
            <w:tcW w:w="609" w:type="pct"/>
            <w:tcBorders>
              <w:left w:val="nil"/>
            </w:tcBorders>
            <w:tcMar>
              <w:top w:w="15" w:type="dxa"/>
              <w:left w:w="15" w:type="dxa"/>
              <w:bottom w:w="0" w:type="dxa"/>
              <w:right w:w="15" w:type="dxa"/>
            </w:tcMar>
            <w:vAlign w:val="center"/>
          </w:tcPr>
          <w:p w14:paraId="01B54DE2" w14:textId="77777777" w:rsidR="00E0240A" w:rsidRPr="00F116E9"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(191)</w:t>
            </w:r>
          </w:p>
        </w:tc>
      </w:tr>
      <w:tr w:rsidR="00E0240A" w:rsidRPr="003220A7" w14:paraId="3AC00740" w14:textId="77777777" w:rsidTr="00952D98">
        <w:trPr>
          <w:trHeight w:val="65"/>
        </w:trPr>
        <w:tc>
          <w:tcPr>
            <w:tcW w:w="1930" w:type="pct"/>
            <w:tcBorders>
              <w:left w:val="nil"/>
              <w:right w:val="nil"/>
            </w:tcBorders>
            <w:tcMar>
              <w:top w:w="15" w:type="dxa"/>
              <w:left w:w="15" w:type="dxa"/>
              <w:bottom w:w="0" w:type="dxa"/>
              <w:right w:w="15" w:type="dxa"/>
            </w:tcMar>
            <w:vAlign w:val="center"/>
          </w:tcPr>
          <w:p w14:paraId="0B4164DD" w14:textId="77777777" w:rsidR="00E0240A" w:rsidRDefault="00E0240A" w:rsidP="00952D98">
            <w:pPr>
              <w:textAlignment w:val="center"/>
              <w:rPr>
                <w:rFonts w:asciiTheme="minorHAnsi" w:eastAsia="Inter Medium" w:hAnsiTheme="minorHAnsi" w:cstheme="minorHAnsi"/>
                <w:color w:val="000000" w:themeColor="text1"/>
                <w:kern w:val="24"/>
                <w:sz w:val="22"/>
                <w:szCs w:val="22"/>
                <w:lang w:val="en-US"/>
              </w:rPr>
            </w:pPr>
            <w:r>
              <w:rPr>
                <w:rFonts w:asciiTheme="minorHAnsi" w:eastAsia="Inter Medium" w:hAnsiTheme="minorHAnsi" w:cstheme="minorHAnsi"/>
                <w:color w:val="000000" w:themeColor="text1"/>
                <w:kern w:val="24"/>
                <w:sz w:val="22"/>
                <w:szCs w:val="22"/>
                <w:lang w:val="en-US"/>
              </w:rPr>
              <w:t>Retail deposits (£m)</w:t>
            </w:r>
          </w:p>
        </w:tc>
        <w:tc>
          <w:tcPr>
            <w:tcW w:w="28" w:type="pct"/>
            <w:tcBorders>
              <w:left w:val="nil"/>
              <w:right w:val="nil"/>
            </w:tcBorders>
            <w:tcMar>
              <w:top w:w="15" w:type="dxa"/>
              <w:left w:w="15" w:type="dxa"/>
              <w:bottom w:w="0" w:type="dxa"/>
              <w:right w:w="15" w:type="dxa"/>
            </w:tcMar>
            <w:vAlign w:val="center"/>
          </w:tcPr>
          <w:p w14:paraId="66C71FEA" w14:textId="77777777" w:rsidR="00E0240A" w:rsidRPr="006F0AA0" w:rsidRDefault="00E0240A" w:rsidP="00952D98">
            <w:pPr>
              <w:rPr>
                <w:rFonts w:asciiTheme="minorHAnsi" w:hAnsiTheme="minorHAnsi" w:cstheme="minorHAnsi"/>
                <w:sz w:val="22"/>
                <w:szCs w:val="22"/>
              </w:rPr>
            </w:pPr>
          </w:p>
        </w:tc>
        <w:tc>
          <w:tcPr>
            <w:tcW w:w="608" w:type="pct"/>
            <w:tcBorders>
              <w:left w:val="nil"/>
              <w:right w:val="nil"/>
            </w:tcBorders>
            <w:shd w:val="clear" w:color="auto" w:fill="F2F2F2" w:themeFill="background1" w:themeFillShade="F2"/>
            <w:tcMar>
              <w:top w:w="15" w:type="dxa"/>
              <w:left w:w="15" w:type="dxa"/>
              <w:bottom w:w="0" w:type="dxa"/>
              <w:right w:w="15" w:type="dxa"/>
            </w:tcMar>
            <w:vAlign w:val="center"/>
          </w:tcPr>
          <w:p w14:paraId="0020459A" w14:textId="77777777" w:rsidR="00E0240A" w:rsidRDefault="00E0240A" w:rsidP="00952D98">
            <w:pPr>
              <w:jc w:val="right"/>
              <w:textAlignment w:val="bottom"/>
              <w:rPr>
                <w:rFonts w:asciiTheme="minorHAnsi" w:hAnsiTheme="minorHAnsi"/>
                <w:b/>
                <w:bCs/>
                <w:noProof/>
                <w:sz w:val="22"/>
                <w:szCs w:val="22"/>
              </w:rPr>
            </w:pPr>
            <w:r>
              <w:rPr>
                <w:rFonts w:asciiTheme="minorHAnsi" w:hAnsiTheme="minorHAnsi"/>
                <w:b/>
                <w:bCs/>
                <w:noProof/>
                <w:sz w:val="22"/>
                <w:szCs w:val="22"/>
              </w:rPr>
              <w:t>2,424</w:t>
            </w:r>
          </w:p>
        </w:tc>
        <w:tc>
          <w:tcPr>
            <w:tcW w:w="608" w:type="pct"/>
            <w:tcBorders>
              <w:left w:val="nil"/>
            </w:tcBorders>
            <w:tcMar>
              <w:top w:w="15" w:type="dxa"/>
              <w:left w:w="15" w:type="dxa"/>
              <w:bottom w:w="0" w:type="dxa"/>
              <w:right w:w="15" w:type="dxa"/>
            </w:tcMar>
          </w:tcPr>
          <w:p w14:paraId="711AE681" w14:textId="77777777" w:rsidR="00E0240A"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2,399</w:t>
            </w:r>
          </w:p>
        </w:tc>
        <w:tc>
          <w:tcPr>
            <w:tcW w:w="608" w:type="pct"/>
            <w:tcBorders>
              <w:left w:val="nil"/>
              <w:right w:val="nil"/>
            </w:tcBorders>
          </w:tcPr>
          <w:p w14:paraId="3009E099" w14:textId="77777777" w:rsidR="00E0240A" w:rsidRDefault="00E0240A" w:rsidP="00952D98">
            <w:pPr>
              <w:jc w:val="right"/>
              <w:textAlignment w:val="bottom"/>
              <w:rPr>
                <w:rFonts w:asciiTheme="minorHAnsi" w:hAnsiTheme="minorHAnsi" w:cstheme="minorHAnsi"/>
                <w:kern w:val="24"/>
                <w:sz w:val="22"/>
                <w:szCs w:val="22"/>
              </w:rPr>
            </w:pPr>
            <w:r w:rsidRPr="00F9610D">
              <w:rPr>
                <w:rFonts w:asciiTheme="minorHAnsi" w:hAnsiTheme="minorHAnsi" w:cstheme="minorHAnsi"/>
                <w:kern w:val="24"/>
                <w:sz w:val="22"/>
                <w:szCs w:val="22"/>
              </w:rPr>
              <w:t>1,912</w:t>
            </w:r>
          </w:p>
        </w:tc>
        <w:tc>
          <w:tcPr>
            <w:tcW w:w="608" w:type="pct"/>
            <w:tcBorders>
              <w:left w:val="nil"/>
              <w:right w:val="nil"/>
            </w:tcBorders>
            <w:vAlign w:val="center"/>
          </w:tcPr>
          <w:p w14:paraId="05FA0781" w14:textId="77777777" w:rsidR="00E0240A"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w:t>
            </w:r>
          </w:p>
        </w:tc>
        <w:tc>
          <w:tcPr>
            <w:tcW w:w="609" w:type="pct"/>
            <w:tcBorders>
              <w:left w:val="nil"/>
            </w:tcBorders>
            <w:tcMar>
              <w:top w:w="15" w:type="dxa"/>
              <w:left w:w="15" w:type="dxa"/>
              <w:bottom w:w="0" w:type="dxa"/>
              <w:right w:w="15" w:type="dxa"/>
            </w:tcMar>
            <w:vAlign w:val="center"/>
          </w:tcPr>
          <w:p w14:paraId="63FEA2FF" w14:textId="77777777" w:rsidR="00E0240A" w:rsidRPr="003220A7"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27%</w:t>
            </w:r>
          </w:p>
        </w:tc>
      </w:tr>
      <w:tr w:rsidR="00E0240A" w:rsidRPr="00F116E9" w14:paraId="6CBD206C" w14:textId="77777777" w:rsidTr="00952D98">
        <w:trPr>
          <w:trHeight w:val="20"/>
        </w:trPr>
        <w:tc>
          <w:tcPr>
            <w:tcW w:w="1930" w:type="pct"/>
            <w:tcBorders>
              <w:left w:val="nil"/>
              <w:bottom w:val="single" w:sz="4" w:space="0" w:color="auto"/>
              <w:right w:val="nil"/>
            </w:tcBorders>
            <w:tcMar>
              <w:top w:w="15" w:type="dxa"/>
              <w:left w:w="15" w:type="dxa"/>
              <w:bottom w:w="0" w:type="dxa"/>
              <w:right w:w="15" w:type="dxa"/>
            </w:tcMar>
            <w:vAlign w:val="center"/>
          </w:tcPr>
          <w:p w14:paraId="73E2EA54" w14:textId="77777777" w:rsidR="00E0240A" w:rsidRPr="00410E71" w:rsidRDefault="00E0240A" w:rsidP="00952D98">
            <w:pPr>
              <w:textAlignment w:val="center"/>
              <w:rPr>
                <w:rFonts w:asciiTheme="minorHAnsi" w:eastAsia="Inter Light BETA" w:hAnsiTheme="minorHAnsi" w:cstheme="minorHAnsi"/>
                <w:color w:val="000000" w:themeColor="text1"/>
                <w:kern w:val="24"/>
                <w:sz w:val="22"/>
                <w:szCs w:val="22"/>
              </w:rPr>
            </w:pPr>
            <w:r w:rsidRPr="00410E71">
              <w:rPr>
                <w:rFonts w:asciiTheme="minorHAnsi" w:eastAsia="Inter Medium" w:hAnsiTheme="minorHAnsi" w:cstheme="minorHAnsi"/>
                <w:color w:val="000000" w:themeColor="text1"/>
                <w:kern w:val="24"/>
                <w:sz w:val="22"/>
                <w:szCs w:val="22"/>
                <w:lang w:val="en-US"/>
              </w:rPr>
              <w:t>Retail funding (% of all funding)</w:t>
            </w:r>
            <w:r w:rsidRPr="00410E71">
              <w:rPr>
                <w:rFonts w:asciiTheme="minorHAnsi" w:eastAsia="Inter Medium" w:hAnsiTheme="minorHAnsi" w:cstheme="minorHAnsi"/>
                <w:color w:val="000000" w:themeColor="text1"/>
                <w:kern w:val="24"/>
                <w:sz w:val="22"/>
                <w:szCs w:val="22"/>
                <w:vertAlign w:val="superscript"/>
                <w:lang w:val="en-US"/>
              </w:rPr>
              <w:t>12</w:t>
            </w:r>
          </w:p>
        </w:tc>
        <w:tc>
          <w:tcPr>
            <w:tcW w:w="28" w:type="pct"/>
            <w:tcBorders>
              <w:left w:val="nil"/>
              <w:bottom w:val="single" w:sz="4" w:space="0" w:color="auto"/>
              <w:right w:val="nil"/>
            </w:tcBorders>
            <w:tcMar>
              <w:top w:w="15" w:type="dxa"/>
              <w:left w:w="15" w:type="dxa"/>
              <w:bottom w:w="0" w:type="dxa"/>
              <w:right w:w="15" w:type="dxa"/>
            </w:tcMar>
            <w:vAlign w:val="center"/>
          </w:tcPr>
          <w:p w14:paraId="63448EAD" w14:textId="77777777" w:rsidR="00E0240A" w:rsidRPr="00410E71" w:rsidRDefault="00E0240A" w:rsidP="00952D98">
            <w:pPr>
              <w:rPr>
                <w:rFonts w:asciiTheme="minorHAnsi" w:hAnsiTheme="minorHAnsi" w:cstheme="minorHAnsi"/>
                <w:sz w:val="22"/>
                <w:szCs w:val="22"/>
              </w:rPr>
            </w:pPr>
          </w:p>
        </w:tc>
        <w:tc>
          <w:tcPr>
            <w:tcW w:w="608" w:type="pct"/>
            <w:tcBorders>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8226DEB" w14:textId="77777777" w:rsidR="00E0240A" w:rsidRPr="00A34D6B" w:rsidRDefault="00E0240A" w:rsidP="00952D98">
            <w:pPr>
              <w:jc w:val="right"/>
              <w:textAlignment w:val="bottom"/>
              <w:rPr>
                <w:rFonts w:asciiTheme="minorHAnsi" w:hAnsiTheme="minorHAnsi"/>
                <w:b/>
                <w:bCs/>
                <w:noProof/>
                <w:sz w:val="22"/>
                <w:szCs w:val="22"/>
              </w:rPr>
            </w:pPr>
            <w:r w:rsidRPr="00A34D6B">
              <w:rPr>
                <w:rFonts w:asciiTheme="minorHAnsi" w:hAnsiTheme="minorHAnsi"/>
                <w:b/>
                <w:bCs/>
                <w:noProof/>
                <w:sz w:val="22"/>
                <w:szCs w:val="22"/>
              </w:rPr>
              <w:t>84.6</w:t>
            </w:r>
          </w:p>
        </w:tc>
        <w:tc>
          <w:tcPr>
            <w:tcW w:w="608" w:type="pct"/>
            <w:tcBorders>
              <w:left w:val="nil"/>
              <w:bottom w:val="single" w:sz="4" w:space="0" w:color="auto"/>
            </w:tcBorders>
            <w:tcMar>
              <w:top w:w="15" w:type="dxa"/>
              <w:left w:w="15" w:type="dxa"/>
              <w:bottom w:w="0" w:type="dxa"/>
              <w:right w:w="15" w:type="dxa"/>
            </w:tcMar>
          </w:tcPr>
          <w:p w14:paraId="3BDFBFDD" w14:textId="77777777" w:rsidR="00E0240A" w:rsidRPr="00F116E9"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85.6</w:t>
            </w:r>
          </w:p>
        </w:tc>
        <w:tc>
          <w:tcPr>
            <w:tcW w:w="608" w:type="pct"/>
            <w:tcBorders>
              <w:left w:val="nil"/>
              <w:bottom w:val="single" w:sz="4" w:space="0" w:color="auto"/>
              <w:right w:val="nil"/>
            </w:tcBorders>
          </w:tcPr>
          <w:p w14:paraId="11D065EB" w14:textId="77777777" w:rsidR="00E0240A"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79.3</w:t>
            </w:r>
          </w:p>
        </w:tc>
        <w:tc>
          <w:tcPr>
            <w:tcW w:w="608" w:type="pct"/>
            <w:tcBorders>
              <w:left w:val="nil"/>
              <w:bottom w:val="single" w:sz="4" w:space="0" w:color="auto"/>
              <w:right w:val="nil"/>
            </w:tcBorders>
            <w:vAlign w:val="center"/>
          </w:tcPr>
          <w:p w14:paraId="02E299AE" w14:textId="77777777" w:rsidR="00E0240A"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(1.0)</w:t>
            </w:r>
          </w:p>
        </w:tc>
        <w:tc>
          <w:tcPr>
            <w:tcW w:w="609" w:type="pct"/>
            <w:tcBorders>
              <w:left w:val="nil"/>
              <w:bottom w:val="single" w:sz="4" w:space="0" w:color="auto"/>
            </w:tcBorders>
            <w:tcMar>
              <w:top w:w="15" w:type="dxa"/>
              <w:left w:w="15" w:type="dxa"/>
              <w:bottom w:w="0" w:type="dxa"/>
              <w:right w:w="15" w:type="dxa"/>
            </w:tcMar>
            <w:vAlign w:val="center"/>
          </w:tcPr>
          <w:p w14:paraId="4A2E4941" w14:textId="77777777" w:rsidR="00E0240A" w:rsidRPr="00F116E9" w:rsidRDefault="00E0240A" w:rsidP="00952D98">
            <w:pPr>
              <w:jc w:val="right"/>
              <w:textAlignment w:val="bottom"/>
              <w:rPr>
                <w:rFonts w:asciiTheme="minorHAnsi" w:hAnsiTheme="minorHAnsi" w:cstheme="minorHAnsi"/>
                <w:kern w:val="24"/>
                <w:sz w:val="22"/>
                <w:szCs w:val="22"/>
              </w:rPr>
            </w:pPr>
            <w:r>
              <w:rPr>
                <w:rFonts w:asciiTheme="minorHAnsi" w:hAnsiTheme="minorHAnsi" w:cstheme="minorHAnsi"/>
                <w:kern w:val="24"/>
                <w:sz w:val="22"/>
                <w:szCs w:val="22"/>
              </w:rPr>
              <w:t>5.3</w:t>
            </w:r>
          </w:p>
        </w:tc>
      </w:tr>
    </w:tbl>
    <w:p w14:paraId="53A3656B" w14:textId="77777777" w:rsidR="00E0240A" w:rsidRDefault="00E0240A" w:rsidP="00F53939">
      <w:pPr>
        <w:jc w:val="both"/>
        <w:rPr>
          <w:rStyle w:val="Strong"/>
          <w:rFonts w:asciiTheme="minorHAnsi" w:hAnsiTheme="minorHAnsi"/>
          <w:color w:val="4747FF"/>
          <w:sz w:val="22"/>
          <w:szCs w:val="22"/>
        </w:rPr>
      </w:pPr>
    </w:p>
    <w:p w14:paraId="179DCCE5" w14:textId="2A56FE77" w:rsidR="00F53939" w:rsidRDefault="00F53939" w:rsidP="00F53939">
      <w:pPr>
        <w:jc w:val="both"/>
        <w:rPr>
          <w:rStyle w:val="Strong"/>
          <w:rFonts w:asciiTheme="minorHAnsi" w:hAnsiTheme="minorHAnsi"/>
          <w:color w:val="4747FF"/>
          <w:sz w:val="22"/>
          <w:szCs w:val="22"/>
        </w:rPr>
      </w:pPr>
      <w:r w:rsidRPr="0093782E">
        <w:rPr>
          <w:rStyle w:val="Strong"/>
          <w:rFonts w:asciiTheme="minorHAnsi" w:eastAsiaTheme="minorHAnsi" w:hAnsiTheme="minorHAnsi" w:cstheme="minorBidi"/>
          <w:b w:val="0"/>
          <w:bCs w:val="0"/>
          <w:sz w:val="22"/>
          <w:szCs w:val="22"/>
          <w:lang w:eastAsia="en-US"/>
        </w:rPr>
        <w:t xml:space="preserve">All commentary </w:t>
      </w:r>
      <w:r w:rsidR="000E17A9">
        <w:rPr>
          <w:rStyle w:val="Strong"/>
          <w:rFonts w:asciiTheme="minorHAnsi" w:eastAsiaTheme="minorHAnsi" w:hAnsiTheme="minorHAnsi" w:cstheme="minorBidi"/>
          <w:b w:val="0"/>
          <w:bCs w:val="0"/>
          <w:sz w:val="22"/>
          <w:szCs w:val="22"/>
          <w:lang w:eastAsia="en-US"/>
        </w:rPr>
        <w:t xml:space="preserve">is </w:t>
      </w:r>
      <w:r w:rsidRPr="0093782E">
        <w:rPr>
          <w:rStyle w:val="Strong"/>
          <w:rFonts w:asciiTheme="minorHAnsi" w:eastAsiaTheme="minorHAnsi" w:hAnsiTheme="minorHAnsi" w:cstheme="minorBidi"/>
          <w:b w:val="0"/>
          <w:bCs w:val="0"/>
          <w:sz w:val="22"/>
          <w:szCs w:val="22"/>
          <w:lang w:eastAsia="en-US"/>
        </w:rPr>
        <w:t xml:space="preserve">relative to the December 2024 </w:t>
      </w:r>
      <w:r>
        <w:rPr>
          <w:rStyle w:val="Strong"/>
          <w:rFonts w:asciiTheme="minorHAnsi" w:eastAsiaTheme="minorHAnsi" w:hAnsiTheme="minorHAnsi" w:cstheme="minorBidi"/>
          <w:b w:val="0"/>
          <w:bCs w:val="0"/>
          <w:sz w:val="22"/>
          <w:szCs w:val="22"/>
          <w:lang w:eastAsia="en-US"/>
        </w:rPr>
        <w:t>capital liquidity and funding positions</w:t>
      </w:r>
      <w:r w:rsidRPr="0093782E">
        <w:rPr>
          <w:rStyle w:val="Strong"/>
          <w:rFonts w:asciiTheme="minorHAnsi" w:eastAsiaTheme="minorHAnsi" w:hAnsiTheme="minorHAnsi" w:cstheme="minorBidi"/>
          <w:b w:val="0"/>
          <w:bCs w:val="0"/>
          <w:sz w:val="22"/>
          <w:szCs w:val="22"/>
          <w:lang w:eastAsia="en-US"/>
        </w:rPr>
        <w:t>, unless otherwise stated.</w:t>
      </w:r>
    </w:p>
    <w:p w14:paraId="1BCA3161" w14:textId="77777777" w:rsidR="00F53939" w:rsidRDefault="00F53939" w:rsidP="00F53939">
      <w:pPr>
        <w:jc w:val="both"/>
        <w:rPr>
          <w:rStyle w:val="Strong"/>
          <w:rFonts w:asciiTheme="minorHAnsi" w:hAnsiTheme="minorHAnsi"/>
          <w:color w:val="4747FF"/>
          <w:sz w:val="22"/>
          <w:szCs w:val="22"/>
        </w:rPr>
      </w:pPr>
    </w:p>
    <w:p w14:paraId="558EB597" w14:textId="640ACBEB" w:rsidR="00EF0259" w:rsidRPr="00F116E9" w:rsidRDefault="00EF0259" w:rsidP="00F53939">
      <w:pPr>
        <w:jc w:val="both"/>
        <w:rPr>
          <w:rStyle w:val="Strong"/>
          <w:rFonts w:asciiTheme="minorHAnsi" w:hAnsiTheme="minorHAnsi"/>
          <w:color w:val="4747FF"/>
          <w:sz w:val="22"/>
          <w:szCs w:val="22"/>
        </w:rPr>
      </w:pPr>
      <w:r>
        <w:rPr>
          <w:rStyle w:val="Strong"/>
          <w:rFonts w:asciiTheme="minorHAnsi" w:hAnsiTheme="minorHAnsi"/>
          <w:color w:val="4747FF"/>
          <w:sz w:val="22"/>
          <w:szCs w:val="22"/>
        </w:rPr>
        <w:t>Capital</w:t>
      </w:r>
    </w:p>
    <w:p w14:paraId="36D514F4" w14:textId="5C61E851" w:rsidR="00F53939" w:rsidRDefault="00F53939" w:rsidP="00F53939">
      <w:pPr>
        <w:pStyle w:val="ListParagraph"/>
        <w:numPr>
          <w:ilvl w:val="0"/>
          <w:numId w:val="17"/>
        </w:numPr>
        <w:jc w:val="both"/>
        <w:rPr>
          <w:rFonts w:asciiTheme="minorHAnsi" w:hAnsiTheme="minorHAnsi"/>
          <w:sz w:val="22"/>
          <w:szCs w:val="22"/>
        </w:rPr>
      </w:pPr>
      <w:r w:rsidRPr="00845C60">
        <w:rPr>
          <w:rStyle w:val="Strong"/>
          <w:rFonts w:asciiTheme="minorHAnsi" w:hAnsiTheme="minorHAnsi"/>
          <w:b w:val="0"/>
          <w:bCs w:val="0"/>
          <w:sz w:val="22"/>
          <w:szCs w:val="22"/>
        </w:rPr>
        <w:lastRenderedPageBreak/>
        <w:t>Tier 1 capital ratio reduced 30</w:t>
      </w:r>
      <w:r w:rsidR="00B87E7D">
        <w:rPr>
          <w:rStyle w:val="Strong"/>
          <w:rFonts w:asciiTheme="minorHAnsi" w:hAnsiTheme="minorHAnsi"/>
          <w:b w:val="0"/>
          <w:bCs w:val="0"/>
          <w:sz w:val="22"/>
          <w:szCs w:val="22"/>
        </w:rPr>
        <w:t xml:space="preserve">bps </w:t>
      </w:r>
      <w:r w:rsidRPr="00845C60">
        <w:rPr>
          <w:rStyle w:val="Strong"/>
          <w:rFonts w:asciiTheme="minorHAnsi" w:hAnsiTheme="minorHAnsi"/>
          <w:b w:val="0"/>
          <w:bCs w:val="0"/>
          <w:sz w:val="22"/>
          <w:szCs w:val="22"/>
        </w:rPr>
        <w:t xml:space="preserve">to 18.5%. Capital accretion from the statutory </w:t>
      </w:r>
      <w:r>
        <w:rPr>
          <w:rStyle w:val="Strong"/>
          <w:rFonts w:asciiTheme="minorHAnsi" w:hAnsiTheme="minorHAnsi"/>
          <w:b w:val="0"/>
          <w:bCs w:val="0"/>
          <w:sz w:val="22"/>
          <w:szCs w:val="22"/>
        </w:rPr>
        <w:t>profit</w:t>
      </w:r>
      <w:r w:rsidRPr="00845C60">
        <w:rPr>
          <w:rStyle w:val="Strong"/>
          <w:rFonts w:asciiTheme="minorHAnsi" w:hAnsiTheme="minorHAnsi"/>
          <w:b w:val="0"/>
          <w:bCs w:val="0"/>
          <w:sz w:val="22"/>
          <w:szCs w:val="22"/>
        </w:rPr>
        <w:t xml:space="preserve"> after tax and a </w:t>
      </w:r>
      <w:r>
        <w:rPr>
          <w:rStyle w:val="Strong"/>
          <w:rFonts w:asciiTheme="minorHAnsi" w:hAnsiTheme="minorHAnsi"/>
          <w:b w:val="0"/>
          <w:bCs w:val="0"/>
          <w:sz w:val="22"/>
          <w:szCs w:val="22"/>
        </w:rPr>
        <w:t>40</w:t>
      </w:r>
      <w:r w:rsidRPr="00845C60">
        <w:rPr>
          <w:rStyle w:val="Strong"/>
          <w:rFonts w:asciiTheme="minorHAnsi" w:hAnsiTheme="minorHAnsi"/>
          <w:b w:val="0"/>
          <w:bCs w:val="0"/>
          <w:sz w:val="22"/>
          <w:szCs w:val="22"/>
        </w:rPr>
        <w:t xml:space="preserve">bps improvement from the Personal Loans portfolio sale was more than </w:t>
      </w:r>
      <w:r w:rsidRPr="00845C60">
        <w:rPr>
          <w:rFonts w:asciiTheme="minorHAnsi" w:hAnsiTheme="minorHAnsi"/>
          <w:sz w:val="22"/>
          <w:szCs w:val="22"/>
        </w:rPr>
        <w:t xml:space="preserve">offset by growth driving a </w:t>
      </w:r>
      <w:r w:rsidR="00504284">
        <w:rPr>
          <w:rFonts w:asciiTheme="minorHAnsi" w:hAnsiTheme="minorHAnsi"/>
          <w:sz w:val="22"/>
          <w:szCs w:val="22"/>
        </w:rPr>
        <w:t>3</w:t>
      </w:r>
      <w:r w:rsidRPr="00845C60">
        <w:rPr>
          <w:rFonts w:asciiTheme="minorHAnsi" w:hAnsiTheme="minorHAnsi"/>
          <w:sz w:val="22"/>
          <w:szCs w:val="22"/>
        </w:rPr>
        <w:t xml:space="preserve">% </w:t>
      </w:r>
      <w:r>
        <w:rPr>
          <w:rFonts w:asciiTheme="minorHAnsi" w:hAnsiTheme="minorHAnsi"/>
          <w:sz w:val="22"/>
          <w:szCs w:val="22"/>
        </w:rPr>
        <w:t xml:space="preserve">increase </w:t>
      </w:r>
      <w:r w:rsidRPr="00845C60">
        <w:rPr>
          <w:rFonts w:asciiTheme="minorHAnsi" w:hAnsiTheme="minorHAnsi"/>
          <w:sz w:val="22"/>
          <w:szCs w:val="22"/>
        </w:rPr>
        <w:t>in RWAs to £</w:t>
      </w:r>
      <w:r>
        <w:rPr>
          <w:rFonts w:asciiTheme="minorHAnsi" w:hAnsiTheme="minorHAnsi"/>
          <w:sz w:val="22"/>
          <w:szCs w:val="22"/>
        </w:rPr>
        <w:t>1,88</w:t>
      </w:r>
      <w:r w:rsidR="00420843">
        <w:rPr>
          <w:rFonts w:asciiTheme="minorHAnsi" w:hAnsiTheme="minorHAnsi"/>
          <w:sz w:val="22"/>
          <w:szCs w:val="22"/>
        </w:rPr>
        <w:t>3</w:t>
      </w:r>
      <w:r w:rsidRPr="00845C60">
        <w:rPr>
          <w:rFonts w:asciiTheme="minorHAnsi" w:hAnsiTheme="minorHAnsi"/>
          <w:sz w:val="22"/>
          <w:szCs w:val="22"/>
        </w:rPr>
        <w:t>m.</w:t>
      </w:r>
    </w:p>
    <w:p w14:paraId="4017B84E" w14:textId="2FAA076E" w:rsidR="00EF0259" w:rsidRPr="00EF0259" w:rsidRDefault="00EF0259" w:rsidP="00EF0259">
      <w:pPr>
        <w:pStyle w:val="ListParagraph"/>
        <w:numPr>
          <w:ilvl w:val="1"/>
          <w:numId w:val="17"/>
        </w:numPr>
        <w:jc w:val="both"/>
        <w:rPr>
          <w:rStyle w:val="Strong"/>
          <w:rFonts w:asciiTheme="minorHAnsi" w:hAnsiTheme="minorHAnsi"/>
          <w:b w:val="0"/>
          <w:bCs w:val="0"/>
          <w:sz w:val="22"/>
          <w:szCs w:val="22"/>
        </w:rPr>
      </w:pPr>
      <w:r w:rsidRPr="00EF0259">
        <w:rPr>
          <w:rStyle w:val="Strong"/>
          <w:rFonts w:asciiTheme="minorHAnsi" w:hAnsiTheme="minorHAnsi"/>
          <w:b w:val="0"/>
          <w:bCs w:val="0"/>
          <w:sz w:val="22"/>
          <w:szCs w:val="22"/>
        </w:rPr>
        <w:t xml:space="preserve">This represented a surplus of £96m of Tier 1 capital above the Group’s disclosed Tier 1 capital requirement and regulatory combined buffers of 13.4%. </w:t>
      </w:r>
    </w:p>
    <w:p w14:paraId="5CE6F80D" w14:textId="77777777" w:rsidR="00EF0259" w:rsidRDefault="00EF0259" w:rsidP="00EF0259">
      <w:pPr>
        <w:pStyle w:val="ListParagraph"/>
        <w:numPr>
          <w:ilvl w:val="1"/>
          <w:numId w:val="17"/>
        </w:numPr>
        <w:jc w:val="both"/>
        <w:rPr>
          <w:rStyle w:val="Strong"/>
          <w:rFonts w:asciiTheme="minorHAnsi" w:hAnsiTheme="minorHAnsi"/>
          <w:b w:val="0"/>
          <w:bCs w:val="0"/>
          <w:sz w:val="22"/>
          <w:szCs w:val="22"/>
        </w:rPr>
      </w:pPr>
      <w:r w:rsidRPr="00EF0259">
        <w:rPr>
          <w:rStyle w:val="Strong"/>
          <w:rFonts w:asciiTheme="minorHAnsi" w:hAnsiTheme="minorHAnsi"/>
          <w:b w:val="0"/>
          <w:bCs w:val="0"/>
          <w:sz w:val="22"/>
          <w:szCs w:val="22"/>
        </w:rPr>
        <w:t xml:space="preserve">Tier 1 capital increased to £348m (December 2024: £344m).  </w:t>
      </w:r>
    </w:p>
    <w:p w14:paraId="33395DCF" w14:textId="6F7D8D55" w:rsidR="00EF0259" w:rsidRPr="00EF0259" w:rsidRDefault="00EF0259" w:rsidP="00EF0259">
      <w:pPr>
        <w:pStyle w:val="ListParagraph"/>
        <w:numPr>
          <w:ilvl w:val="1"/>
          <w:numId w:val="17"/>
        </w:numPr>
        <w:jc w:val="both"/>
        <w:rPr>
          <w:rStyle w:val="Strong"/>
          <w:rFonts w:asciiTheme="minorHAnsi" w:hAnsiTheme="minorHAnsi"/>
          <w:b w:val="0"/>
          <w:bCs w:val="0"/>
          <w:sz w:val="22"/>
          <w:szCs w:val="22"/>
        </w:rPr>
      </w:pPr>
      <w:r w:rsidRPr="00EF0259">
        <w:rPr>
          <w:rStyle w:val="Strong"/>
          <w:rFonts w:asciiTheme="minorHAnsi" w:hAnsiTheme="minorHAnsi"/>
          <w:b w:val="0"/>
          <w:bCs w:val="0"/>
          <w:sz w:val="22"/>
          <w:szCs w:val="22"/>
        </w:rPr>
        <w:t>The</w:t>
      </w:r>
      <w:r w:rsidR="00E8273C">
        <w:rPr>
          <w:rStyle w:val="Strong"/>
          <w:rFonts w:asciiTheme="minorHAnsi" w:hAnsiTheme="minorHAnsi"/>
          <w:b w:val="0"/>
          <w:bCs w:val="0"/>
          <w:sz w:val="22"/>
          <w:szCs w:val="22"/>
        </w:rPr>
        <w:t xml:space="preserve"> reduction in the ratio included the</w:t>
      </w:r>
      <w:r w:rsidRPr="00EF0259">
        <w:rPr>
          <w:rStyle w:val="Strong"/>
          <w:rFonts w:asciiTheme="minorHAnsi" w:hAnsiTheme="minorHAnsi"/>
          <w:b w:val="0"/>
          <w:bCs w:val="0"/>
          <w:sz w:val="22"/>
          <w:szCs w:val="22"/>
        </w:rPr>
        <w:t xml:space="preserve"> deployment of £1</w:t>
      </w:r>
      <w:r w:rsidR="00FA2F25">
        <w:rPr>
          <w:rStyle w:val="Strong"/>
          <w:rFonts w:asciiTheme="minorHAnsi" w:hAnsiTheme="minorHAnsi"/>
          <w:b w:val="0"/>
          <w:bCs w:val="0"/>
          <w:sz w:val="22"/>
          <w:szCs w:val="22"/>
        </w:rPr>
        <w:t>04</w:t>
      </w:r>
      <w:r w:rsidRPr="00EF0259">
        <w:rPr>
          <w:rStyle w:val="Strong"/>
          <w:rFonts w:asciiTheme="minorHAnsi" w:hAnsiTheme="minorHAnsi"/>
          <w:b w:val="0"/>
          <w:bCs w:val="0"/>
          <w:sz w:val="22"/>
          <w:szCs w:val="22"/>
        </w:rPr>
        <w:t>m of Credit Risk RWAs</w:t>
      </w:r>
      <w:r w:rsidR="00904D37">
        <w:rPr>
          <w:rStyle w:val="Strong"/>
          <w:rFonts w:asciiTheme="minorHAnsi" w:hAnsiTheme="minorHAnsi"/>
          <w:b w:val="0"/>
          <w:bCs w:val="0"/>
          <w:sz w:val="22"/>
          <w:szCs w:val="22"/>
        </w:rPr>
        <w:t xml:space="preserve">, </w:t>
      </w:r>
      <w:r w:rsidR="0022087C">
        <w:rPr>
          <w:rStyle w:val="Strong"/>
          <w:rFonts w:asciiTheme="minorHAnsi" w:hAnsiTheme="minorHAnsi"/>
          <w:b w:val="0"/>
          <w:bCs w:val="0"/>
          <w:sz w:val="22"/>
          <w:szCs w:val="22"/>
        </w:rPr>
        <w:t>including</w:t>
      </w:r>
      <w:r w:rsidR="00F347F6">
        <w:rPr>
          <w:rStyle w:val="Strong"/>
          <w:rFonts w:asciiTheme="minorHAnsi" w:hAnsiTheme="minorHAnsi"/>
          <w:b w:val="0"/>
          <w:bCs w:val="0"/>
          <w:sz w:val="22"/>
          <w:szCs w:val="22"/>
        </w:rPr>
        <w:t xml:space="preserve"> in</w:t>
      </w:r>
      <w:r w:rsidRPr="00EF0259">
        <w:rPr>
          <w:rStyle w:val="Strong"/>
          <w:rFonts w:asciiTheme="minorHAnsi" w:hAnsiTheme="minorHAnsi"/>
          <w:b w:val="0"/>
          <w:bCs w:val="0"/>
          <w:sz w:val="22"/>
          <w:szCs w:val="22"/>
        </w:rPr>
        <w:t xml:space="preserve"> Credit Cards and lower RWA density </w:t>
      </w:r>
      <w:r>
        <w:rPr>
          <w:rStyle w:val="Strong"/>
          <w:rFonts w:asciiTheme="minorHAnsi" w:hAnsiTheme="minorHAnsi"/>
          <w:b w:val="0"/>
          <w:bCs w:val="0"/>
          <w:sz w:val="22"/>
          <w:szCs w:val="22"/>
        </w:rPr>
        <w:t>S</w:t>
      </w:r>
      <w:r w:rsidRPr="00EF0259">
        <w:rPr>
          <w:rStyle w:val="Strong"/>
          <w:rFonts w:asciiTheme="minorHAnsi" w:hAnsiTheme="minorHAnsi"/>
          <w:b w:val="0"/>
          <w:bCs w:val="0"/>
          <w:sz w:val="22"/>
          <w:szCs w:val="22"/>
        </w:rPr>
        <w:t xml:space="preserve">econd </w:t>
      </w:r>
      <w:r>
        <w:rPr>
          <w:rStyle w:val="Strong"/>
          <w:rFonts w:asciiTheme="minorHAnsi" w:hAnsiTheme="minorHAnsi"/>
          <w:b w:val="0"/>
          <w:bCs w:val="0"/>
          <w:sz w:val="22"/>
          <w:szCs w:val="22"/>
        </w:rPr>
        <w:t>C</w:t>
      </w:r>
      <w:r w:rsidRPr="00EF0259">
        <w:rPr>
          <w:rStyle w:val="Strong"/>
          <w:rFonts w:asciiTheme="minorHAnsi" w:hAnsiTheme="minorHAnsi"/>
          <w:b w:val="0"/>
          <w:bCs w:val="0"/>
          <w:sz w:val="22"/>
          <w:szCs w:val="22"/>
        </w:rPr>
        <w:t xml:space="preserve">harge </w:t>
      </w:r>
      <w:r>
        <w:rPr>
          <w:rStyle w:val="Strong"/>
          <w:rFonts w:asciiTheme="minorHAnsi" w:hAnsiTheme="minorHAnsi"/>
          <w:b w:val="0"/>
          <w:bCs w:val="0"/>
          <w:sz w:val="22"/>
          <w:szCs w:val="22"/>
        </w:rPr>
        <w:t>M</w:t>
      </w:r>
      <w:r w:rsidRPr="00EF0259">
        <w:rPr>
          <w:rStyle w:val="Strong"/>
          <w:rFonts w:asciiTheme="minorHAnsi" w:hAnsiTheme="minorHAnsi"/>
          <w:b w:val="0"/>
          <w:bCs w:val="0"/>
          <w:sz w:val="22"/>
          <w:szCs w:val="22"/>
        </w:rPr>
        <w:t>ortgages, in addition to intangible spend of £7m.  This capital investment</w:t>
      </w:r>
      <w:r w:rsidR="00483043">
        <w:rPr>
          <w:rStyle w:val="Strong"/>
          <w:rFonts w:asciiTheme="minorHAnsi" w:hAnsiTheme="minorHAnsi"/>
          <w:b w:val="0"/>
          <w:bCs w:val="0"/>
          <w:sz w:val="22"/>
          <w:szCs w:val="22"/>
        </w:rPr>
        <w:t xml:space="preserve"> </w:t>
      </w:r>
      <w:r w:rsidRPr="00EF0259">
        <w:rPr>
          <w:rStyle w:val="Strong"/>
          <w:rFonts w:asciiTheme="minorHAnsi" w:hAnsiTheme="minorHAnsi"/>
          <w:b w:val="0"/>
          <w:bCs w:val="0"/>
          <w:sz w:val="22"/>
          <w:szCs w:val="22"/>
        </w:rPr>
        <w:t>reduced the ratio by 150bps</w:t>
      </w:r>
      <w:r w:rsidR="00483043">
        <w:rPr>
          <w:rStyle w:val="Strong"/>
          <w:rFonts w:asciiTheme="minorHAnsi" w:hAnsiTheme="minorHAnsi"/>
          <w:b w:val="0"/>
          <w:bCs w:val="0"/>
          <w:sz w:val="22"/>
          <w:szCs w:val="22"/>
        </w:rPr>
        <w:t>.</w:t>
      </w:r>
    </w:p>
    <w:p w14:paraId="3AD091EF" w14:textId="1DC49101" w:rsidR="00EF0259" w:rsidRPr="00EF0259" w:rsidRDefault="00EF0259" w:rsidP="00483043">
      <w:pPr>
        <w:pStyle w:val="ListParagraph"/>
        <w:numPr>
          <w:ilvl w:val="0"/>
          <w:numId w:val="17"/>
        </w:numPr>
        <w:jc w:val="both"/>
        <w:rPr>
          <w:rStyle w:val="Strong"/>
          <w:rFonts w:asciiTheme="minorHAnsi" w:hAnsiTheme="minorHAnsi"/>
          <w:b w:val="0"/>
          <w:bCs w:val="0"/>
          <w:sz w:val="22"/>
          <w:szCs w:val="22"/>
        </w:rPr>
      </w:pPr>
      <w:r w:rsidRPr="00EF0259">
        <w:rPr>
          <w:rStyle w:val="Strong"/>
          <w:rFonts w:asciiTheme="minorHAnsi" w:hAnsiTheme="minorHAnsi"/>
          <w:b w:val="0"/>
          <w:bCs w:val="0"/>
          <w:sz w:val="22"/>
          <w:szCs w:val="22"/>
        </w:rPr>
        <w:t xml:space="preserve">The Group’s leverage ratio of </w:t>
      </w:r>
      <w:r w:rsidR="002465EA">
        <w:rPr>
          <w:rStyle w:val="Strong"/>
          <w:rFonts w:asciiTheme="minorHAnsi" w:hAnsiTheme="minorHAnsi"/>
          <w:b w:val="0"/>
          <w:bCs w:val="0"/>
          <w:sz w:val="22"/>
          <w:szCs w:val="22"/>
        </w:rPr>
        <w:t>12.5</w:t>
      </w:r>
      <w:r w:rsidRPr="00EF0259">
        <w:rPr>
          <w:rStyle w:val="Strong"/>
          <w:rFonts w:asciiTheme="minorHAnsi" w:hAnsiTheme="minorHAnsi"/>
          <w:b w:val="0"/>
          <w:bCs w:val="0"/>
          <w:sz w:val="22"/>
          <w:szCs w:val="22"/>
        </w:rPr>
        <w:t>% (December 2024: 13.9%) remains comfortably above the minimum requirement.</w:t>
      </w:r>
    </w:p>
    <w:p w14:paraId="3296F98F" w14:textId="77777777" w:rsidR="00216DF8" w:rsidRDefault="00216DF8" w:rsidP="00EF0259">
      <w:pPr>
        <w:jc w:val="both"/>
        <w:rPr>
          <w:rFonts w:asciiTheme="minorHAnsi" w:hAnsiTheme="minorHAnsi"/>
          <w:sz w:val="22"/>
          <w:szCs w:val="22"/>
        </w:rPr>
      </w:pPr>
    </w:p>
    <w:p w14:paraId="197CD33B" w14:textId="6331935E" w:rsidR="00EF0259" w:rsidRPr="00EF0259" w:rsidRDefault="00EF0259" w:rsidP="00EF0259">
      <w:pPr>
        <w:jc w:val="both"/>
        <w:rPr>
          <w:rStyle w:val="Strong"/>
          <w:rFonts w:asciiTheme="minorHAnsi" w:hAnsiTheme="minorHAnsi"/>
          <w:color w:val="4747FF"/>
          <w:sz w:val="22"/>
          <w:szCs w:val="22"/>
        </w:rPr>
      </w:pPr>
      <w:r w:rsidRPr="00EF0259">
        <w:rPr>
          <w:rStyle w:val="Strong"/>
          <w:rFonts w:asciiTheme="minorHAnsi" w:hAnsiTheme="minorHAnsi"/>
          <w:color w:val="4747FF"/>
          <w:sz w:val="22"/>
          <w:szCs w:val="22"/>
        </w:rPr>
        <w:t>Liquidity</w:t>
      </w:r>
    </w:p>
    <w:p w14:paraId="786E73CA" w14:textId="6DFCE7CC" w:rsidR="00C43596" w:rsidRPr="00EF0259" w:rsidRDefault="00A31A2F" w:rsidP="00C43596">
      <w:pPr>
        <w:pStyle w:val="ListParagraph"/>
        <w:numPr>
          <w:ilvl w:val="0"/>
          <w:numId w:val="17"/>
        </w:numPr>
        <w:jc w:val="both"/>
        <w:rPr>
          <w:rFonts w:asciiTheme="minorHAnsi" w:hAnsiTheme="minorHAnsi"/>
          <w:sz w:val="22"/>
          <w:szCs w:val="22"/>
        </w:rPr>
      </w:pPr>
      <w:r>
        <w:rPr>
          <w:rFonts w:asciiTheme="minorHAnsi" w:eastAsia="Inter Medium" w:hAnsiTheme="minorHAnsi" w:cstheme="minorHAnsi"/>
          <w:kern w:val="24"/>
          <w:sz w:val="22"/>
          <w:szCs w:val="22"/>
          <w:lang w:val="en-US"/>
        </w:rPr>
        <w:t>The liquidity buffer</w:t>
      </w:r>
      <w:r w:rsidR="00F53939" w:rsidRPr="00702A98">
        <w:rPr>
          <w:rFonts w:asciiTheme="minorHAnsi" w:eastAsia="Inter Medium" w:hAnsiTheme="minorHAnsi" w:cstheme="minorHAnsi"/>
          <w:kern w:val="24"/>
          <w:sz w:val="22"/>
          <w:szCs w:val="22"/>
          <w:lang w:val="en-US"/>
        </w:rPr>
        <w:t xml:space="preserve"> of £873m (December 2024: £947m</w:t>
      </w:r>
      <w:r w:rsidR="00466ABD">
        <w:rPr>
          <w:rFonts w:asciiTheme="minorHAnsi" w:eastAsia="Inter Medium" w:hAnsiTheme="minorHAnsi" w:cstheme="minorHAnsi"/>
          <w:kern w:val="24"/>
          <w:sz w:val="22"/>
          <w:szCs w:val="22"/>
          <w:lang w:val="en-US"/>
        </w:rPr>
        <w:t>)</w:t>
      </w:r>
      <w:r w:rsidR="00466ABD" w:rsidRPr="00466ABD">
        <w:rPr>
          <w:rFonts w:asciiTheme="minorHAnsi" w:eastAsia="Inter Medium" w:hAnsiTheme="minorHAnsi" w:cstheme="minorHAnsi"/>
          <w:kern w:val="24"/>
          <w:sz w:val="22"/>
          <w:szCs w:val="22"/>
          <w:lang w:val="en-US"/>
        </w:rPr>
        <w:t xml:space="preserve"> included c.£115m invested in UK gilts, with the remainder held in the BoE reserve account</w:t>
      </w:r>
      <w:r w:rsidR="00F53939" w:rsidRPr="00702A98">
        <w:rPr>
          <w:rFonts w:asciiTheme="minorHAnsi" w:eastAsia="Inter Medium" w:hAnsiTheme="minorHAnsi" w:cstheme="minorHAnsi"/>
          <w:kern w:val="24"/>
          <w:sz w:val="22"/>
          <w:szCs w:val="22"/>
          <w:lang w:val="en-US"/>
        </w:rPr>
        <w:t xml:space="preserve">.  This resulted in excess </w:t>
      </w:r>
      <w:r w:rsidR="0010657C">
        <w:rPr>
          <w:rFonts w:asciiTheme="minorHAnsi" w:eastAsia="Inter Medium" w:hAnsiTheme="minorHAnsi" w:cstheme="minorHAnsi"/>
          <w:kern w:val="24"/>
          <w:sz w:val="22"/>
          <w:szCs w:val="22"/>
          <w:lang w:val="en-US"/>
        </w:rPr>
        <w:t>liquidity</w:t>
      </w:r>
      <w:r w:rsidR="00F53939" w:rsidRPr="00702A98">
        <w:rPr>
          <w:rFonts w:asciiTheme="minorHAnsi" w:eastAsia="Inter Medium" w:hAnsiTheme="minorHAnsi" w:cstheme="minorHAnsi"/>
          <w:kern w:val="24"/>
          <w:sz w:val="22"/>
          <w:szCs w:val="22"/>
          <w:lang w:val="en-US"/>
        </w:rPr>
        <w:t xml:space="preserve"> over the LCR 100% minimum of £619m (December 202</w:t>
      </w:r>
      <w:r w:rsidR="007E622E">
        <w:rPr>
          <w:rFonts w:asciiTheme="minorHAnsi" w:eastAsia="Inter Medium" w:hAnsiTheme="minorHAnsi" w:cstheme="minorHAnsi"/>
          <w:kern w:val="24"/>
          <w:sz w:val="22"/>
          <w:szCs w:val="22"/>
          <w:lang w:val="en-US"/>
        </w:rPr>
        <w:t>4</w:t>
      </w:r>
      <w:r w:rsidR="00F53939" w:rsidRPr="00702A98">
        <w:rPr>
          <w:rFonts w:asciiTheme="minorHAnsi" w:eastAsia="Inter Medium" w:hAnsiTheme="minorHAnsi" w:cstheme="minorHAnsi"/>
          <w:kern w:val="24"/>
          <w:sz w:val="22"/>
          <w:szCs w:val="22"/>
          <w:lang w:val="en-US"/>
        </w:rPr>
        <w:t>: £667m), reflecting an LCR of 366% (December 2024: 359%)</w:t>
      </w:r>
      <w:r w:rsidR="00D53291">
        <w:rPr>
          <w:rFonts w:asciiTheme="minorHAnsi" w:eastAsia="Inter Medium" w:hAnsiTheme="minorHAnsi" w:cstheme="minorHAnsi"/>
          <w:kern w:val="24"/>
          <w:sz w:val="22"/>
          <w:szCs w:val="22"/>
          <w:lang w:val="en-US"/>
        </w:rPr>
        <w:t>.</w:t>
      </w:r>
    </w:p>
    <w:p w14:paraId="5A13D2E4" w14:textId="77777777" w:rsidR="00EF0259" w:rsidRDefault="00EF0259" w:rsidP="00EF0259">
      <w:pPr>
        <w:jc w:val="both"/>
        <w:rPr>
          <w:rFonts w:asciiTheme="minorHAnsi" w:hAnsiTheme="minorHAnsi"/>
          <w:sz w:val="22"/>
          <w:szCs w:val="22"/>
        </w:rPr>
      </w:pPr>
    </w:p>
    <w:p w14:paraId="423E848F" w14:textId="5F58BC89" w:rsidR="00EF0259" w:rsidRPr="00EF0259" w:rsidRDefault="00EF0259" w:rsidP="00EF0259">
      <w:pPr>
        <w:jc w:val="both"/>
        <w:rPr>
          <w:rStyle w:val="Strong"/>
          <w:rFonts w:asciiTheme="minorHAnsi" w:hAnsiTheme="minorHAnsi"/>
          <w:color w:val="4747FF"/>
          <w:sz w:val="22"/>
          <w:szCs w:val="22"/>
        </w:rPr>
      </w:pPr>
      <w:r w:rsidRPr="00EF0259">
        <w:rPr>
          <w:rStyle w:val="Strong"/>
          <w:rFonts w:asciiTheme="minorHAnsi" w:hAnsiTheme="minorHAnsi"/>
          <w:color w:val="4747FF"/>
          <w:sz w:val="22"/>
          <w:szCs w:val="22"/>
        </w:rPr>
        <w:t>Funding</w:t>
      </w:r>
    </w:p>
    <w:p w14:paraId="07820FA5" w14:textId="2C664171" w:rsidR="00832F0E" w:rsidRPr="00832F0E" w:rsidRDefault="00832F0E" w:rsidP="00832F0E">
      <w:pPr>
        <w:pStyle w:val="ListParagraph"/>
        <w:numPr>
          <w:ilvl w:val="0"/>
          <w:numId w:val="17"/>
        </w:numPr>
        <w:jc w:val="both"/>
        <w:rPr>
          <w:rFonts w:asciiTheme="minorHAnsi" w:eastAsia="Inter Medium" w:hAnsiTheme="minorHAnsi" w:cstheme="minorHAnsi"/>
          <w:kern w:val="24"/>
          <w:sz w:val="22"/>
          <w:szCs w:val="22"/>
          <w:lang w:val="en-US"/>
        </w:rPr>
      </w:pPr>
      <w:r w:rsidRPr="00832F0E">
        <w:rPr>
          <w:rFonts w:asciiTheme="minorHAnsi" w:eastAsia="Inter Medium" w:hAnsiTheme="minorHAnsi" w:cstheme="minorHAnsi"/>
          <w:kern w:val="24"/>
          <w:sz w:val="22"/>
          <w:szCs w:val="22"/>
          <w:lang w:val="en-US"/>
        </w:rPr>
        <w:t>Retail deposits increased 1% to £2,424m, delivering funding at an attractive cost of funds compared to wholesale alternatives.  Within the retail deposit base, fixed-term products reduced 9% to £1,285m, retail notice accounts reduced 1</w:t>
      </w:r>
      <w:r w:rsidR="009B156B">
        <w:rPr>
          <w:rFonts w:asciiTheme="minorHAnsi" w:eastAsia="Inter Medium" w:hAnsiTheme="minorHAnsi" w:cstheme="minorHAnsi"/>
          <w:kern w:val="24"/>
          <w:sz w:val="22"/>
          <w:szCs w:val="22"/>
          <w:lang w:val="en-US"/>
        </w:rPr>
        <w:t>0</w:t>
      </w:r>
      <w:r w:rsidRPr="00832F0E">
        <w:rPr>
          <w:rFonts w:asciiTheme="minorHAnsi" w:eastAsia="Inter Medium" w:hAnsiTheme="minorHAnsi" w:cstheme="minorHAnsi"/>
          <w:kern w:val="24"/>
          <w:sz w:val="22"/>
          <w:szCs w:val="22"/>
          <w:lang w:val="en-US"/>
        </w:rPr>
        <w:t>% to £544m and easy access accounts reduced 12% to £329</w:t>
      </w:r>
      <w:r w:rsidR="00232477">
        <w:rPr>
          <w:rFonts w:asciiTheme="minorHAnsi" w:eastAsia="Inter Medium" w:hAnsiTheme="minorHAnsi" w:cstheme="minorHAnsi"/>
          <w:kern w:val="24"/>
          <w:sz w:val="22"/>
          <w:szCs w:val="22"/>
          <w:lang w:val="en-US"/>
        </w:rPr>
        <w:t>m</w:t>
      </w:r>
      <w:r w:rsidRPr="00832F0E">
        <w:rPr>
          <w:rFonts w:asciiTheme="minorHAnsi" w:eastAsia="Inter Medium" w:hAnsiTheme="minorHAnsi" w:cstheme="minorHAnsi"/>
          <w:kern w:val="24"/>
          <w:sz w:val="22"/>
          <w:szCs w:val="22"/>
          <w:lang w:val="en-US"/>
        </w:rPr>
        <w:t xml:space="preserve">.  These reductions were replaced by £265m of Individual Savings Accounts (ISAs) (December 2024: £6m), as the Group broadened its product range to </w:t>
      </w:r>
      <w:r w:rsidR="004D418C">
        <w:rPr>
          <w:rFonts w:asciiTheme="minorHAnsi" w:eastAsia="Inter Medium" w:hAnsiTheme="minorHAnsi" w:cstheme="minorHAnsi"/>
          <w:kern w:val="24"/>
          <w:sz w:val="22"/>
          <w:szCs w:val="22"/>
          <w:lang w:val="en-US"/>
        </w:rPr>
        <w:t>optimize the</w:t>
      </w:r>
      <w:r w:rsidRPr="00832F0E">
        <w:rPr>
          <w:rFonts w:asciiTheme="minorHAnsi" w:eastAsia="Inter Medium" w:hAnsiTheme="minorHAnsi" w:cstheme="minorHAnsi"/>
          <w:kern w:val="24"/>
          <w:sz w:val="22"/>
          <w:szCs w:val="22"/>
          <w:lang w:val="en-US"/>
        </w:rPr>
        <w:t xml:space="preserve"> cost of funds.</w:t>
      </w:r>
    </w:p>
    <w:p w14:paraId="239EEAD6" w14:textId="2BE3DF8D" w:rsidR="00832F0E" w:rsidRPr="00832F0E" w:rsidRDefault="00832F0E" w:rsidP="00832F0E">
      <w:pPr>
        <w:pStyle w:val="ListParagraph"/>
        <w:numPr>
          <w:ilvl w:val="0"/>
          <w:numId w:val="17"/>
        </w:numPr>
        <w:jc w:val="both"/>
        <w:rPr>
          <w:rFonts w:asciiTheme="minorHAnsi" w:eastAsia="Inter Medium" w:hAnsiTheme="minorHAnsi" w:cstheme="minorHAnsi"/>
          <w:kern w:val="24"/>
          <w:sz w:val="22"/>
          <w:szCs w:val="22"/>
          <w:lang w:val="en-US"/>
        </w:rPr>
      </w:pPr>
      <w:r w:rsidRPr="00832F0E">
        <w:rPr>
          <w:rFonts w:asciiTheme="minorHAnsi" w:eastAsia="Inter Medium" w:hAnsiTheme="minorHAnsi" w:cstheme="minorHAnsi"/>
          <w:kern w:val="24"/>
          <w:sz w:val="22"/>
          <w:szCs w:val="22"/>
          <w:lang w:val="en-US"/>
        </w:rPr>
        <w:t>The Group remains primarily funded by retail deposits, at 84.6% (December 202</w:t>
      </w:r>
      <w:r w:rsidR="00B53231">
        <w:rPr>
          <w:rFonts w:asciiTheme="minorHAnsi" w:eastAsia="Inter Medium" w:hAnsiTheme="minorHAnsi" w:cstheme="minorHAnsi"/>
          <w:kern w:val="24"/>
          <w:sz w:val="22"/>
          <w:szCs w:val="22"/>
          <w:lang w:val="en-US"/>
        </w:rPr>
        <w:t>4</w:t>
      </w:r>
      <w:r w:rsidRPr="00832F0E">
        <w:rPr>
          <w:rFonts w:asciiTheme="minorHAnsi" w:eastAsia="Inter Medium" w:hAnsiTheme="minorHAnsi" w:cstheme="minorHAnsi"/>
          <w:kern w:val="24"/>
          <w:sz w:val="22"/>
          <w:szCs w:val="22"/>
          <w:lang w:val="en-US"/>
        </w:rPr>
        <w:t>: 85.6%) of total funding</w:t>
      </w:r>
      <w:r w:rsidR="000B2AA8">
        <w:rPr>
          <w:rFonts w:asciiTheme="minorHAnsi" w:eastAsia="Inter Medium" w:hAnsiTheme="minorHAnsi" w:cstheme="minorHAnsi"/>
          <w:kern w:val="24"/>
          <w:sz w:val="22"/>
          <w:szCs w:val="22"/>
          <w:lang w:val="en-US"/>
        </w:rPr>
        <w:t xml:space="preserve"> including Tier 2 capital</w:t>
      </w:r>
      <w:r w:rsidRPr="00832F0E">
        <w:rPr>
          <w:rFonts w:asciiTheme="minorHAnsi" w:eastAsia="Inter Medium" w:hAnsiTheme="minorHAnsi" w:cstheme="minorHAnsi"/>
          <w:kern w:val="24"/>
          <w:sz w:val="22"/>
          <w:szCs w:val="22"/>
          <w:lang w:val="en-US"/>
        </w:rPr>
        <w:t>.</w:t>
      </w:r>
    </w:p>
    <w:p w14:paraId="56650A6F" w14:textId="1A555C0C" w:rsidR="00AE1F95" w:rsidRPr="00AE1F95" w:rsidRDefault="00AE1F95" w:rsidP="00832F0E">
      <w:pPr>
        <w:pStyle w:val="ListParagraph"/>
        <w:numPr>
          <w:ilvl w:val="0"/>
          <w:numId w:val="17"/>
        </w:numPr>
        <w:jc w:val="both"/>
        <w:rPr>
          <w:rFonts w:asciiTheme="minorHAnsi" w:eastAsia="Inter Medium" w:hAnsiTheme="minorHAnsi" w:cstheme="minorHAnsi"/>
          <w:kern w:val="24"/>
          <w:sz w:val="22"/>
          <w:szCs w:val="22"/>
          <w:lang w:val="en-US"/>
        </w:rPr>
      </w:pPr>
      <w:r w:rsidRPr="00AE1F95">
        <w:rPr>
          <w:rFonts w:asciiTheme="minorHAnsi" w:eastAsia="Inter Medium" w:hAnsiTheme="minorHAnsi" w:cstheme="minorHAnsi"/>
          <w:kern w:val="24"/>
          <w:sz w:val="22"/>
          <w:szCs w:val="22"/>
        </w:rPr>
        <w:t>Ongoing funding diversification is provided by Tier 2</w:t>
      </w:r>
      <w:r>
        <w:rPr>
          <w:rFonts w:asciiTheme="minorHAnsi" w:eastAsia="Inter Medium" w:hAnsiTheme="minorHAnsi" w:cstheme="minorHAnsi"/>
          <w:kern w:val="24"/>
          <w:sz w:val="22"/>
          <w:szCs w:val="22"/>
        </w:rPr>
        <w:t xml:space="preserve"> </w:t>
      </w:r>
      <w:r w:rsidRPr="00AE1F95">
        <w:rPr>
          <w:rFonts w:asciiTheme="minorHAnsi" w:eastAsia="Inter Medium" w:hAnsiTheme="minorHAnsi" w:cstheme="minorHAnsi"/>
          <w:kern w:val="24"/>
          <w:sz w:val="22"/>
          <w:szCs w:val="22"/>
        </w:rPr>
        <w:t xml:space="preserve">capital, modest levels of private securitisation secured by </w:t>
      </w:r>
      <w:r>
        <w:rPr>
          <w:rFonts w:asciiTheme="minorHAnsi" w:eastAsia="Inter Medium" w:hAnsiTheme="minorHAnsi" w:cstheme="minorHAnsi"/>
          <w:kern w:val="24"/>
          <w:sz w:val="22"/>
          <w:szCs w:val="22"/>
        </w:rPr>
        <w:t>V</w:t>
      </w:r>
      <w:r w:rsidRPr="00AE1F95">
        <w:rPr>
          <w:rFonts w:asciiTheme="minorHAnsi" w:eastAsia="Inter Medium" w:hAnsiTheme="minorHAnsi" w:cstheme="minorHAnsi"/>
          <w:kern w:val="24"/>
          <w:sz w:val="22"/>
          <w:szCs w:val="22"/>
        </w:rPr>
        <w:t xml:space="preserve">ehicle </w:t>
      </w:r>
      <w:r>
        <w:rPr>
          <w:rFonts w:asciiTheme="minorHAnsi" w:eastAsia="Inter Medium" w:hAnsiTheme="minorHAnsi" w:cstheme="minorHAnsi"/>
          <w:kern w:val="24"/>
          <w:sz w:val="22"/>
          <w:szCs w:val="22"/>
        </w:rPr>
        <w:t>F</w:t>
      </w:r>
      <w:r w:rsidRPr="00AE1F95">
        <w:rPr>
          <w:rFonts w:asciiTheme="minorHAnsi" w:eastAsia="Inter Medium" w:hAnsiTheme="minorHAnsi" w:cstheme="minorHAnsi"/>
          <w:kern w:val="24"/>
          <w:sz w:val="22"/>
          <w:szCs w:val="22"/>
        </w:rPr>
        <w:t xml:space="preserve">inance assets, and access to Central Bank facilities collateralised using </w:t>
      </w:r>
      <w:r>
        <w:rPr>
          <w:rFonts w:asciiTheme="minorHAnsi" w:eastAsia="Inter Medium" w:hAnsiTheme="minorHAnsi" w:cstheme="minorHAnsi"/>
          <w:kern w:val="24"/>
          <w:sz w:val="22"/>
          <w:szCs w:val="22"/>
        </w:rPr>
        <w:t>C</w:t>
      </w:r>
      <w:r w:rsidRPr="00AE1F95">
        <w:rPr>
          <w:rFonts w:asciiTheme="minorHAnsi" w:eastAsia="Inter Medium" w:hAnsiTheme="minorHAnsi" w:cstheme="minorHAnsi"/>
          <w:kern w:val="24"/>
          <w:sz w:val="22"/>
          <w:szCs w:val="22"/>
        </w:rPr>
        <w:t xml:space="preserve">redit </w:t>
      </w:r>
      <w:r>
        <w:rPr>
          <w:rFonts w:asciiTheme="minorHAnsi" w:eastAsia="Inter Medium" w:hAnsiTheme="minorHAnsi" w:cstheme="minorHAnsi"/>
          <w:kern w:val="24"/>
          <w:sz w:val="22"/>
          <w:szCs w:val="22"/>
        </w:rPr>
        <w:t>C</w:t>
      </w:r>
      <w:r w:rsidRPr="00AE1F95">
        <w:rPr>
          <w:rFonts w:asciiTheme="minorHAnsi" w:eastAsia="Inter Medium" w:hAnsiTheme="minorHAnsi" w:cstheme="minorHAnsi"/>
          <w:kern w:val="24"/>
          <w:sz w:val="22"/>
          <w:szCs w:val="22"/>
        </w:rPr>
        <w:t>ard assets.</w:t>
      </w:r>
    </w:p>
    <w:p w14:paraId="5C796297" w14:textId="078A3781" w:rsidR="00F53939" w:rsidRPr="00832F0E" w:rsidRDefault="00832F0E" w:rsidP="00832F0E">
      <w:pPr>
        <w:pStyle w:val="ListParagraph"/>
        <w:numPr>
          <w:ilvl w:val="0"/>
          <w:numId w:val="17"/>
        </w:numPr>
        <w:jc w:val="both"/>
        <w:rPr>
          <w:rFonts w:asciiTheme="minorHAnsi" w:eastAsia="Inter Medium" w:hAnsiTheme="minorHAnsi" w:cstheme="minorHAnsi"/>
          <w:kern w:val="24"/>
          <w:sz w:val="22"/>
          <w:szCs w:val="22"/>
          <w:lang w:val="en-US"/>
        </w:rPr>
      </w:pPr>
      <w:r w:rsidRPr="00832F0E">
        <w:rPr>
          <w:rFonts w:asciiTheme="minorHAnsi" w:eastAsia="Inter Medium" w:hAnsiTheme="minorHAnsi" w:cstheme="minorHAnsi"/>
          <w:kern w:val="24"/>
          <w:sz w:val="22"/>
          <w:szCs w:val="22"/>
          <w:lang w:val="en-US"/>
        </w:rPr>
        <w:t>The Group’s cost of funds reduced to 5.3% (December 2024: 5.5%), reflecting the reduced rate outlook and maturing fixed-term deposits being refinanced with lower interest rate savings products.</w:t>
      </w:r>
    </w:p>
    <w:p w14:paraId="59C9DDB2" w14:textId="77777777" w:rsidR="00592BEA" w:rsidRPr="00832F0E" w:rsidRDefault="00592BEA" w:rsidP="006445C6">
      <w:pPr>
        <w:pStyle w:val="ListParagraph"/>
        <w:ind w:left="360"/>
        <w:jc w:val="both"/>
        <w:rPr>
          <w:rFonts w:asciiTheme="minorHAnsi" w:eastAsia="Inter Medium" w:hAnsiTheme="minorHAnsi" w:cstheme="minorHAnsi"/>
          <w:kern w:val="24"/>
          <w:sz w:val="22"/>
          <w:szCs w:val="22"/>
          <w:lang w:val="en-US"/>
        </w:rPr>
      </w:pPr>
    </w:p>
    <w:p w14:paraId="37C80F73" w14:textId="0B37FD1C" w:rsidR="00F53939" w:rsidRDefault="00F53939" w:rsidP="00F53939">
      <w:pPr>
        <w:jc w:val="both"/>
        <w:rPr>
          <w:rStyle w:val="Strong"/>
          <w:rFonts w:asciiTheme="minorHAnsi" w:eastAsiaTheme="minorHAnsi" w:hAnsiTheme="minorHAnsi"/>
          <w:color w:val="4747FF"/>
          <w:sz w:val="22"/>
          <w:szCs w:val="22"/>
          <w:u w:val="single"/>
        </w:rPr>
      </w:pPr>
      <w:r w:rsidRPr="00A166EB">
        <w:rPr>
          <w:rStyle w:val="Strong"/>
          <w:rFonts w:asciiTheme="minorHAnsi" w:hAnsiTheme="minorHAnsi"/>
          <w:color w:val="4747FF"/>
          <w:sz w:val="22"/>
          <w:szCs w:val="22"/>
          <w:u w:val="single"/>
        </w:rPr>
        <w:t>Outlook and Guidance</w:t>
      </w:r>
    </w:p>
    <w:p w14:paraId="11058B64" w14:textId="77777777" w:rsidR="00F53939" w:rsidRDefault="00F53939" w:rsidP="00F53939">
      <w:pPr>
        <w:spacing w:after="4" w:line="250" w:lineRule="auto"/>
        <w:jc w:val="both"/>
        <w:rPr>
          <w:rFonts w:ascii="Calibri" w:eastAsia="Calibri" w:hAnsi="Calibri" w:cs="Calibri"/>
          <w:color w:val="FF0000"/>
          <w:sz w:val="22"/>
          <w:szCs w:val="22"/>
        </w:rPr>
      </w:pPr>
    </w:p>
    <w:p w14:paraId="1CC1424A" w14:textId="36787CD0" w:rsidR="00F53939" w:rsidRPr="00836920" w:rsidRDefault="00F53939" w:rsidP="00F53939">
      <w:pPr>
        <w:spacing w:after="4" w:line="250" w:lineRule="auto"/>
        <w:jc w:val="both"/>
        <w:rPr>
          <w:rFonts w:ascii="Calibri" w:eastAsia="Calibri" w:hAnsi="Calibri" w:cs="Calibri"/>
          <w:sz w:val="22"/>
          <w:szCs w:val="22"/>
        </w:rPr>
      </w:pPr>
      <w:r w:rsidRPr="00836920">
        <w:rPr>
          <w:rFonts w:ascii="Calibri" w:eastAsia="Calibri" w:hAnsi="Calibri" w:cs="Calibri"/>
          <w:sz w:val="22"/>
          <w:szCs w:val="22"/>
        </w:rPr>
        <w:t>The Group’s financial guidance for 202</w:t>
      </w:r>
      <w:r>
        <w:rPr>
          <w:rFonts w:ascii="Calibri" w:eastAsia="Calibri" w:hAnsi="Calibri" w:cs="Calibri"/>
          <w:sz w:val="22"/>
          <w:szCs w:val="22"/>
        </w:rPr>
        <w:t>5</w:t>
      </w:r>
      <w:r w:rsidRPr="00836920">
        <w:rPr>
          <w:rFonts w:ascii="Calibri" w:eastAsia="Calibri" w:hAnsi="Calibri" w:cs="Calibri"/>
          <w:sz w:val="22"/>
          <w:szCs w:val="22"/>
        </w:rPr>
        <w:t xml:space="preserve"> and 2026 remains unchanged</w:t>
      </w:r>
      <w:r w:rsidR="00FF124E">
        <w:rPr>
          <w:rFonts w:ascii="Calibri" w:eastAsia="Calibri" w:hAnsi="Calibri" w:cs="Calibri"/>
          <w:sz w:val="22"/>
          <w:szCs w:val="22"/>
        </w:rPr>
        <w:t xml:space="preserve">, </w:t>
      </w:r>
      <w:r w:rsidR="004D418C">
        <w:rPr>
          <w:rFonts w:ascii="Calibri" w:eastAsia="Calibri" w:hAnsi="Calibri" w:cs="Calibri"/>
          <w:sz w:val="22"/>
          <w:szCs w:val="22"/>
        </w:rPr>
        <w:t>except for</w:t>
      </w:r>
      <w:r w:rsidR="00FF124E">
        <w:rPr>
          <w:rFonts w:ascii="Calibri" w:eastAsia="Calibri" w:hAnsi="Calibri" w:cs="Calibri"/>
          <w:sz w:val="22"/>
          <w:szCs w:val="22"/>
        </w:rPr>
        <w:t xml:space="preserve"> gross customer interest</w:t>
      </w:r>
      <w:r w:rsidR="000D0F4A">
        <w:rPr>
          <w:rFonts w:ascii="Calibri" w:eastAsia="Calibri" w:hAnsi="Calibri" w:cs="Calibri"/>
          <w:sz w:val="22"/>
          <w:szCs w:val="22"/>
        </w:rPr>
        <w:t>-</w:t>
      </w:r>
      <w:r w:rsidR="00FF124E">
        <w:rPr>
          <w:rFonts w:ascii="Calibri" w:eastAsia="Calibri" w:hAnsi="Calibri" w:cs="Calibri"/>
          <w:sz w:val="22"/>
          <w:szCs w:val="22"/>
        </w:rPr>
        <w:t>earning balances</w:t>
      </w:r>
      <w:r w:rsidR="004D418C">
        <w:rPr>
          <w:rFonts w:ascii="Calibri" w:eastAsia="Calibri" w:hAnsi="Calibri" w:cs="Calibri"/>
          <w:sz w:val="22"/>
          <w:szCs w:val="22"/>
        </w:rPr>
        <w:t xml:space="preserve"> in 2025</w:t>
      </w:r>
      <w:r w:rsidR="00084ECA">
        <w:rPr>
          <w:rFonts w:ascii="Calibri" w:eastAsia="Calibri" w:hAnsi="Calibri" w:cs="Calibri"/>
          <w:sz w:val="22"/>
          <w:szCs w:val="22"/>
        </w:rPr>
        <w:t>.</w:t>
      </w:r>
      <w:r w:rsidR="00495550">
        <w:rPr>
          <w:rFonts w:ascii="Calibri" w:eastAsia="Calibri" w:hAnsi="Calibri" w:cs="Calibri"/>
          <w:sz w:val="22"/>
          <w:szCs w:val="22"/>
        </w:rPr>
        <w:t xml:space="preserve"> </w:t>
      </w:r>
      <w:r w:rsidR="004C1A61">
        <w:rPr>
          <w:rFonts w:ascii="Calibri" w:eastAsia="Calibri" w:hAnsi="Calibri" w:cs="Calibri"/>
          <w:sz w:val="22"/>
          <w:szCs w:val="22"/>
        </w:rPr>
        <w:t>T</w:t>
      </w:r>
      <w:r w:rsidR="00184586">
        <w:rPr>
          <w:rFonts w:ascii="Calibri" w:eastAsia="Calibri" w:hAnsi="Calibri" w:cs="Calibri"/>
          <w:sz w:val="22"/>
          <w:szCs w:val="22"/>
        </w:rPr>
        <w:t xml:space="preserve">he Group now expects to achieve greater than </w:t>
      </w:r>
      <w:r w:rsidR="008531AF">
        <w:rPr>
          <w:rFonts w:ascii="Calibri" w:eastAsia="Calibri" w:hAnsi="Calibri" w:cs="Calibri"/>
          <w:sz w:val="22"/>
          <w:szCs w:val="22"/>
        </w:rPr>
        <w:t>£2</w:t>
      </w:r>
      <w:r w:rsidR="00270DDD">
        <w:rPr>
          <w:rFonts w:ascii="Calibri" w:eastAsia="Calibri" w:hAnsi="Calibri" w:cs="Calibri"/>
          <w:sz w:val="22"/>
          <w:szCs w:val="22"/>
        </w:rPr>
        <w:t xml:space="preserve">.6bn of balances by the end of 2025 </w:t>
      </w:r>
      <w:r w:rsidR="0005467E">
        <w:rPr>
          <w:rFonts w:ascii="Calibri" w:eastAsia="Calibri" w:hAnsi="Calibri" w:cs="Calibri"/>
          <w:sz w:val="22"/>
          <w:szCs w:val="22"/>
        </w:rPr>
        <w:t>(c.£2.6bn previously)</w:t>
      </w:r>
      <w:r w:rsidRPr="00836920">
        <w:rPr>
          <w:rFonts w:ascii="Calibri" w:eastAsia="Calibri" w:hAnsi="Calibri" w:cs="Calibri"/>
          <w:sz w:val="22"/>
          <w:szCs w:val="22"/>
        </w:rPr>
        <w:t>.</w:t>
      </w:r>
    </w:p>
    <w:p w14:paraId="3D18C4E2" w14:textId="77777777" w:rsidR="00F53939" w:rsidRPr="00346B19" w:rsidRDefault="00F53939" w:rsidP="00F53939">
      <w:pPr>
        <w:spacing w:after="4" w:line="250" w:lineRule="auto"/>
        <w:jc w:val="both"/>
        <w:rPr>
          <w:rFonts w:ascii="Calibri" w:eastAsia="Calibri" w:hAnsi="Calibri" w:cs="Calibri"/>
          <w:color w:val="FF0000"/>
          <w:sz w:val="22"/>
          <w:szCs w:val="22"/>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5613"/>
        <w:gridCol w:w="2055"/>
        <w:gridCol w:w="2055"/>
      </w:tblGrid>
      <w:tr w:rsidR="00F53939" w:rsidRPr="00F116E9" w14:paraId="00738565" w14:textId="77777777" w:rsidTr="00A50D03">
        <w:trPr>
          <w:trHeight w:val="598"/>
        </w:trPr>
        <w:tc>
          <w:tcPr>
            <w:tcW w:w="2886" w:type="pct"/>
            <w:tcBorders>
              <w:top w:val="single" w:sz="4" w:space="0" w:color="auto"/>
              <w:bottom w:val="single" w:sz="4" w:space="0" w:color="auto"/>
            </w:tcBorders>
          </w:tcPr>
          <w:p w14:paraId="7A45EE2F" w14:textId="77777777" w:rsidR="00F53939" w:rsidRPr="00A755EB" w:rsidRDefault="00F53939" w:rsidP="00A50D03">
            <w:pPr>
              <w:rPr>
                <w:rFonts w:ascii="Calibri" w:eastAsia="Calibri" w:hAnsi="Calibri" w:cs="Calibri"/>
                <w:sz w:val="22"/>
                <w:szCs w:val="22"/>
              </w:rPr>
            </w:pPr>
          </w:p>
        </w:tc>
        <w:tc>
          <w:tcPr>
            <w:tcW w:w="1057" w:type="pct"/>
            <w:tcBorders>
              <w:top w:val="single" w:sz="4" w:space="0" w:color="auto"/>
              <w:bottom w:val="single" w:sz="4" w:space="0" w:color="auto"/>
            </w:tcBorders>
          </w:tcPr>
          <w:p w14:paraId="67CF8A57" w14:textId="77777777" w:rsidR="00F53939" w:rsidRPr="00F116E9" w:rsidRDefault="00F53939" w:rsidP="00A50D03">
            <w:pPr>
              <w:jc w:val="center"/>
              <w:rPr>
                <w:rFonts w:ascii="Calibri" w:eastAsia="Calibri" w:hAnsi="Calibri" w:cs="Calibri"/>
                <w:b/>
                <w:bCs/>
                <w:sz w:val="22"/>
                <w:szCs w:val="22"/>
              </w:rPr>
            </w:pPr>
            <w:r>
              <w:rPr>
                <w:rFonts w:ascii="Calibri" w:eastAsia="Calibri" w:hAnsi="Calibri" w:cs="Calibri"/>
                <w:b/>
                <w:bCs/>
                <w:sz w:val="22"/>
                <w:szCs w:val="22"/>
              </w:rPr>
              <w:t>2025</w:t>
            </w:r>
            <w:r w:rsidRPr="00F116E9">
              <w:rPr>
                <w:rFonts w:ascii="Calibri" w:eastAsia="Calibri" w:hAnsi="Calibri" w:cs="Calibri"/>
                <w:b/>
                <w:bCs/>
                <w:sz w:val="22"/>
                <w:szCs w:val="22"/>
              </w:rPr>
              <w:t xml:space="preserve"> Statutory Guidance</w:t>
            </w:r>
          </w:p>
        </w:tc>
        <w:tc>
          <w:tcPr>
            <w:tcW w:w="1057" w:type="pct"/>
            <w:tcBorders>
              <w:top w:val="single" w:sz="4" w:space="0" w:color="auto"/>
              <w:bottom w:val="single" w:sz="4" w:space="0" w:color="auto"/>
            </w:tcBorders>
          </w:tcPr>
          <w:p w14:paraId="1FFB22D2" w14:textId="77777777" w:rsidR="00F53939" w:rsidRPr="00F116E9" w:rsidRDefault="00F53939" w:rsidP="00A50D03">
            <w:pPr>
              <w:jc w:val="center"/>
              <w:rPr>
                <w:rFonts w:ascii="Calibri" w:eastAsia="Calibri" w:hAnsi="Calibri" w:cs="Calibri"/>
                <w:b/>
                <w:bCs/>
                <w:sz w:val="22"/>
                <w:szCs w:val="22"/>
              </w:rPr>
            </w:pPr>
            <w:r>
              <w:rPr>
                <w:rFonts w:ascii="Calibri" w:eastAsia="Calibri" w:hAnsi="Calibri" w:cs="Calibri"/>
                <w:b/>
                <w:bCs/>
                <w:sz w:val="22"/>
                <w:szCs w:val="22"/>
              </w:rPr>
              <w:t>20</w:t>
            </w:r>
            <w:r w:rsidRPr="00F116E9">
              <w:rPr>
                <w:rFonts w:ascii="Calibri" w:eastAsia="Calibri" w:hAnsi="Calibri" w:cs="Calibri"/>
                <w:b/>
                <w:bCs/>
                <w:sz w:val="22"/>
                <w:szCs w:val="22"/>
              </w:rPr>
              <w:t>26 Statutory Guidance</w:t>
            </w:r>
          </w:p>
        </w:tc>
      </w:tr>
      <w:tr w:rsidR="00F53939" w:rsidRPr="00A755EB" w14:paraId="548CD707" w14:textId="77777777" w:rsidTr="00A50D03">
        <w:trPr>
          <w:trHeight w:val="280"/>
        </w:trPr>
        <w:tc>
          <w:tcPr>
            <w:tcW w:w="2886" w:type="pct"/>
            <w:tcBorders>
              <w:top w:val="single" w:sz="4" w:space="0" w:color="auto"/>
              <w:bottom w:val="single" w:sz="4" w:space="0" w:color="auto"/>
            </w:tcBorders>
          </w:tcPr>
          <w:p w14:paraId="6AD12285" w14:textId="6B63F26E" w:rsidR="00F53939" w:rsidRPr="00A755EB" w:rsidRDefault="00F53939" w:rsidP="00A50D03">
            <w:pPr>
              <w:rPr>
                <w:rFonts w:ascii="Calibri" w:eastAsia="Calibri" w:hAnsi="Calibri" w:cs="Calibri"/>
                <w:sz w:val="22"/>
                <w:szCs w:val="22"/>
              </w:rPr>
            </w:pPr>
            <w:r>
              <w:rPr>
                <w:rFonts w:ascii="Calibri" w:eastAsia="Calibri" w:hAnsi="Calibri" w:cs="Calibri"/>
                <w:sz w:val="22"/>
                <w:szCs w:val="22"/>
              </w:rPr>
              <w:t>Gross customer interest</w:t>
            </w:r>
            <w:r w:rsidR="000D0F4A">
              <w:rPr>
                <w:rFonts w:ascii="Calibri" w:eastAsia="Calibri" w:hAnsi="Calibri" w:cs="Calibri"/>
                <w:sz w:val="22"/>
                <w:szCs w:val="22"/>
              </w:rPr>
              <w:t>-</w:t>
            </w:r>
            <w:r>
              <w:rPr>
                <w:rFonts w:ascii="Calibri" w:eastAsia="Calibri" w:hAnsi="Calibri" w:cs="Calibri"/>
                <w:sz w:val="22"/>
                <w:szCs w:val="22"/>
              </w:rPr>
              <w:t>earning balances</w:t>
            </w:r>
          </w:p>
        </w:tc>
        <w:tc>
          <w:tcPr>
            <w:tcW w:w="1057" w:type="pct"/>
            <w:tcBorders>
              <w:top w:val="single" w:sz="4" w:space="0" w:color="auto"/>
              <w:bottom w:val="single" w:sz="4" w:space="0" w:color="auto"/>
            </w:tcBorders>
          </w:tcPr>
          <w:p w14:paraId="7426364F" w14:textId="061232B7" w:rsidR="00F53939" w:rsidRPr="00A755EB" w:rsidRDefault="00885F82" w:rsidP="00A50D03">
            <w:pPr>
              <w:jc w:val="center"/>
              <w:rPr>
                <w:rFonts w:ascii="Calibri" w:eastAsia="Calibri" w:hAnsi="Calibri" w:cs="Calibri"/>
                <w:sz w:val="22"/>
                <w:szCs w:val="22"/>
              </w:rPr>
            </w:pPr>
            <w:r>
              <w:rPr>
                <w:rFonts w:ascii="Calibri" w:eastAsia="Calibri" w:hAnsi="Calibri" w:cs="Calibri"/>
                <w:sz w:val="22"/>
                <w:szCs w:val="22"/>
              </w:rPr>
              <w:t>&gt;</w:t>
            </w:r>
            <w:r w:rsidR="00F53939">
              <w:rPr>
                <w:rFonts w:ascii="Calibri" w:eastAsia="Calibri" w:hAnsi="Calibri" w:cs="Calibri"/>
                <w:sz w:val="22"/>
                <w:szCs w:val="22"/>
              </w:rPr>
              <w:t>£2.6</w:t>
            </w:r>
            <w:r w:rsidR="00F53939" w:rsidRPr="00A755EB">
              <w:rPr>
                <w:rFonts w:ascii="Calibri" w:eastAsia="Calibri" w:hAnsi="Calibri" w:cs="Calibri"/>
                <w:sz w:val="22"/>
                <w:szCs w:val="22"/>
              </w:rPr>
              <w:t>bn</w:t>
            </w:r>
          </w:p>
        </w:tc>
        <w:tc>
          <w:tcPr>
            <w:tcW w:w="1057" w:type="pct"/>
            <w:tcBorders>
              <w:top w:val="single" w:sz="4" w:space="0" w:color="auto"/>
              <w:bottom w:val="single" w:sz="4" w:space="0" w:color="auto"/>
            </w:tcBorders>
          </w:tcPr>
          <w:p w14:paraId="78FE72F3" w14:textId="2891C84F" w:rsidR="00F53939" w:rsidRPr="00A755EB" w:rsidRDefault="00395ED5" w:rsidP="00A50D03">
            <w:pPr>
              <w:jc w:val="center"/>
              <w:rPr>
                <w:rFonts w:ascii="Calibri" w:eastAsia="Calibri" w:hAnsi="Calibri" w:cs="Calibri"/>
                <w:sz w:val="22"/>
                <w:szCs w:val="22"/>
              </w:rPr>
            </w:pPr>
            <w:r>
              <w:rPr>
                <w:rFonts w:ascii="Calibri" w:eastAsia="Calibri" w:hAnsi="Calibri" w:cs="Calibri"/>
                <w:sz w:val="22"/>
                <w:szCs w:val="22"/>
              </w:rPr>
              <w:t>c.</w:t>
            </w:r>
            <w:r w:rsidR="00F53939" w:rsidRPr="00A755EB">
              <w:rPr>
                <w:rFonts w:ascii="Calibri" w:eastAsia="Calibri" w:hAnsi="Calibri" w:cs="Calibri"/>
                <w:sz w:val="22"/>
                <w:szCs w:val="22"/>
              </w:rPr>
              <w:t>£3.0bn</w:t>
            </w:r>
          </w:p>
        </w:tc>
      </w:tr>
      <w:tr w:rsidR="00F53939" w:rsidRPr="00A755EB" w14:paraId="0A542EDE" w14:textId="77777777" w:rsidTr="00A50D03">
        <w:trPr>
          <w:trHeight w:val="283"/>
        </w:trPr>
        <w:tc>
          <w:tcPr>
            <w:tcW w:w="2886" w:type="pct"/>
            <w:tcBorders>
              <w:top w:val="single" w:sz="4" w:space="0" w:color="auto"/>
              <w:bottom w:val="single" w:sz="4" w:space="0" w:color="auto"/>
            </w:tcBorders>
          </w:tcPr>
          <w:p w14:paraId="3A220009" w14:textId="77777777" w:rsidR="00F53939" w:rsidRPr="00A755EB" w:rsidRDefault="00F53939" w:rsidP="00A50D03">
            <w:pPr>
              <w:rPr>
                <w:rFonts w:ascii="Calibri" w:eastAsia="Calibri" w:hAnsi="Calibri" w:cs="Calibri"/>
                <w:sz w:val="22"/>
                <w:szCs w:val="22"/>
              </w:rPr>
            </w:pPr>
            <w:r w:rsidRPr="00A755EB">
              <w:rPr>
                <w:rFonts w:ascii="Calibri" w:eastAsia="Calibri" w:hAnsi="Calibri" w:cs="Calibri"/>
                <w:sz w:val="22"/>
                <w:szCs w:val="22"/>
              </w:rPr>
              <w:t>ROTE</w:t>
            </w:r>
          </w:p>
        </w:tc>
        <w:tc>
          <w:tcPr>
            <w:tcW w:w="1057" w:type="pct"/>
            <w:tcBorders>
              <w:top w:val="single" w:sz="4" w:space="0" w:color="auto"/>
              <w:bottom w:val="single" w:sz="4" w:space="0" w:color="auto"/>
            </w:tcBorders>
          </w:tcPr>
          <w:p w14:paraId="4568209A" w14:textId="77777777" w:rsidR="00F53939" w:rsidRPr="00A755EB" w:rsidRDefault="00F53939" w:rsidP="00A50D03">
            <w:pPr>
              <w:jc w:val="center"/>
              <w:rPr>
                <w:rFonts w:ascii="Calibri" w:eastAsia="Calibri" w:hAnsi="Calibri" w:cs="Calibri"/>
                <w:sz w:val="22"/>
                <w:szCs w:val="22"/>
              </w:rPr>
            </w:pPr>
            <w:r w:rsidRPr="00A755EB">
              <w:rPr>
                <w:rFonts w:ascii="Calibri" w:eastAsia="Calibri" w:hAnsi="Calibri" w:cs="Calibri"/>
                <w:sz w:val="22"/>
                <w:szCs w:val="22"/>
              </w:rPr>
              <w:t>Low single digits</w:t>
            </w:r>
          </w:p>
        </w:tc>
        <w:tc>
          <w:tcPr>
            <w:tcW w:w="1057" w:type="pct"/>
            <w:tcBorders>
              <w:top w:val="single" w:sz="4" w:space="0" w:color="auto"/>
              <w:bottom w:val="single" w:sz="4" w:space="0" w:color="auto"/>
            </w:tcBorders>
          </w:tcPr>
          <w:p w14:paraId="46B78ACA" w14:textId="77777777" w:rsidR="00F53939" w:rsidRPr="00A755EB" w:rsidRDefault="00F53939" w:rsidP="00A50D03">
            <w:pPr>
              <w:jc w:val="center"/>
              <w:rPr>
                <w:rFonts w:ascii="Calibri" w:eastAsia="Calibri" w:hAnsi="Calibri" w:cs="Calibri"/>
                <w:sz w:val="22"/>
                <w:szCs w:val="22"/>
              </w:rPr>
            </w:pPr>
            <w:r>
              <w:rPr>
                <w:rFonts w:ascii="Calibri" w:eastAsia="Calibri" w:hAnsi="Calibri" w:cs="Calibri"/>
                <w:sz w:val="22"/>
                <w:szCs w:val="22"/>
              </w:rPr>
              <w:t>Low double digits</w:t>
            </w:r>
          </w:p>
        </w:tc>
      </w:tr>
      <w:tr w:rsidR="00F53939" w:rsidRPr="00A755EB" w14:paraId="390D5FD4" w14:textId="77777777" w:rsidTr="00A50D03">
        <w:trPr>
          <w:trHeight w:val="283"/>
        </w:trPr>
        <w:tc>
          <w:tcPr>
            <w:tcW w:w="2886" w:type="pct"/>
            <w:tcBorders>
              <w:top w:val="single" w:sz="4" w:space="0" w:color="auto"/>
              <w:bottom w:val="single" w:sz="4" w:space="0" w:color="auto"/>
            </w:tcBorders>
          </w:tcPr>
          <w:p w14:paraId="5A96B910" w14:textId="77777777" w:rsidR="00F53939" w:rsidRPr="00A755EB" w:rsidRDefault="00F53939" w:rsidP="00A50D03">
            <w:pPr>
              <w:rPr>
                <w:rFonts w:ascii="Calibri" w:eastAsia="Calibri" w:hAnsi="Calibri" w:cs="Calibri"/>
                <w:sz w:val="22"/>
                <w:szCs w:val="22"/>
              </w:rPr>
            </w:pPr>
            <w:r w:rsidRPr="00A755EB">
              <w:rPr>
                <w:rFonts w:ascii="Calibri" w:eastAsia="Calibri" w:hAnsi="Calibri" w:cs="Calibri"/>
                <w:sz w:val="22"/>
                <w:szCs w:val="22"/>
              </w:rPr>
              <w:t>NIM</w:t>
            </w:r>
          </w:p>
        </w:tc>
        <w:tc>
          <w:tcPr>
            <w:tcW w:w="1057" w:type="pct"/>
            <w:tcBorders>
              <w:top w:val="single" w:sz="4" w:space="0" w:color="auto"/>
              <w:bottom w:val="single" w:sz="4" w:space="0" w:color="auto"/>
            </w:tcBorders>
          </w:tcPr>
          <w:p w14:paraId="6346806A" w14:textId="77777777" w:rsidR="00F53939" w:rsidRPr="00A755EB" w:rsidRDefault="00F53939" w:rsidP="00A50D03">
            <w:pPr>
              <w:jc w:val="center"/>
              <w:rPr>
                <w:rFonts w:ascii="Calibri" w:eastAsia="Calibri" w:hAnsi="Calibri" w:cs="Calibri"/>
                <w:sz w:val="22"/>
                <w:szCs w:val="22"/>
              </w:rPr>
            </w:pPr>
            <w:r w:rsidRPr="00A755EB">
              <w:rPr>
                <w:rFonts w:ascii="Calibri" w:eastAsia="Calibri" w:hAnsi="Calibri" w:cs="Calibri"/>
                <w:sz w:val="22"/>
                <w:szCs w:val="22"/>
              </w:rPr>
              <w:t>&gt;17%</w:t>
            </w:r>
          </w:p>
        </w:tc>
        <w:tc>
          <w:tcPr>
            <w:tcW w:w="1057" w:type="pct"/>
            <w:tcBorders>
              <w:top w:val="single" w:sz="4" w:space="0" w:color="auto"/>
              <w:bottom w:val="single" w:sz="4" w:space="0" w:color="auto"/>
            </w:tcBorders>
          </w:tcPr>
          <w:p w14:paraId="22B9480A" w14:textId="77777777" w:rsidR="00F53939" w:rsidRPr="00A755EB" w:rsidRDefault="00F53939" w:rsidP="00A50D03">
            <w:pPr>
              <w:jc w:val="center"/>
              <w:rPr>
                <w:rFonts w:ascii="Calibri" w:eastAsia="Calibri" w:hAnsi="Calibri" w:cs="Calibri"/>
                <w:sz w:val="22"/>
                <w:szCs w:val="22"/>
              </w:rPr>
            </w:pPr>
            <w:r w:rsidRPr="00A755EB">
              <w:rPr>
                <w:rFonts w:ascii="Calibri" w:eastAsia="Calibri" w:hAnsi="Calibri" w:cs="Calibri"/>
                <w:sz w:val="22"/>
                <w:szCs w:val="22"/>
              </w:rPr>
              <w:t>&gt;16%</w:t>
            </w:r>
          </w:p>
        </w:tc>
      </w:tr>
      <w:tr w:rsidR="00F53939" w:rsidRPr="00A755EB" w14:paraId="46F8F4CE" w14:textId="77777777" w:rsidTr="00A50D03">
        <w:trPr>
          <w:trHeight w:val="274"/>
        </w:trPr>
        <w:tc>
          <w:tcPr>
            <w:tcW w:w="2886" w:type="pct"/>
            <w:tcBorders>
              <w:top w:val="single" w:sz="4" w:space="0" w:color="auto"/>
              <w:bottom w:val="single" w:sz="4" w:space="0" w:color="auto"/>
            </w:tcBorders>
          </w:tcPr>
          <w:p w14:paraId="51222AB2" w14:textId="77777777" w:rsidR="00F53939" w:rsidRPr="00A755EB" w:rsidRDefault="00F53939" w:rsidP="00A50D03">
            <w:pPr>
              <w:rPr>
                <w:rFonts w:ascii="Calibri" w:eastAsia="Calibri" w:hAnsi="Calibri" w:cs="Calibri"/>
                <w:sz w:val="22"/>
                <w:szCs w:val="22"/>
              </w:rPr>
            </w:pPr>
            <w:r w:rsidRPr="00A755EB">
              <w:rPr>
                <w:rFonts w:ascii="Calibri" w:eastAsia="Calibri" w:hAnsi="Calibri" w:cs="Calibri"/>
                <w:sz w:val="22"/>
                <w:szCs w:val="22"/>
              </w:rPr>
              <w:t xml:space="preserve">Cost: </w:t>
            </w:r>
            <w:r>
              <w:rPr>
                <w:rFonts w:ascii="Calibri" w:eastAsia="Calibri" w:hAnsi="Calibri" w:cs="Calibri"/>
                <w:sz w:val="22"/>
                <w:szCs w:val="22"/>
              </w:rPr>
              <w:t>i</w:t>
            </w:r>
            <w:r w:rsidRPr="00A755EB">
              <w:rPr>
                <w:rFonts w:ascii="Calibri" w:eastAsia="Calibri" w:hAnsi="Calibri" w:cs="Calibri"/>
                <w:sz w:val="22"/>
                <w:szCs w:val="22"/>
              </w:rPr>
              <w:t>ncome ratio</w:t>
            </w:r>
          </w:p>
        </w:tc>
        <w:tc>
          <w:tcPr>
            <w:tcW w:w="1057" w:type="pct"/>
            <w:tcBorders>
              <w:top w:val="single" w:sz="4" w:space="0" w:color="auto"/>
              <w:bottom w:val="single" w:sz="4" w:space="0" w:color="auto"/>
            </w:tcBorders>
          </w:tcPr>
          <w:p w14:paraId="26CCD0F9" w14:textId="77777777" w:rsidR="00F53939" w:rsidRPr="00A755EB" w:rsidRDefault="00F53939" w:rsidP="00A50D03">
            <w:pPr>
              <w:jc w:val="center"/>
              <w:rPr>
                <w:rFonts w:ascii="Calibri" w:eastAsia="Calibri" w:hAnsi="Calibri" w:cs="Calibri"/>
                <w:sz w:val="22"/>
                <w:szCs w:val="22"/>
              </w:rPr>
            </w:pPr>
            <w:r w:rsidRPr="00A755EB">
              <w:rPr>
                <w:rFonts w:ascii="Calibri" w:eastAsia="Calibri" w:hAnsi="Calibri" w:cs="Calibri"/>
                <w:sz w:val="22"/>
                <w:szCs w:val="22"/>
              </w:rPr>
              <w:t>High 50s</w:t>
            </w:r>
          </w:p>
        </w:tc>
        <w:tc>
          <w:tcPr>
            <w:tcW w:w="1057" w:type="pct"/>
            <w:tcBorders>
              <w:top w:val="single" w:sz="4" w:space="0" w:color="auto"/>
              <w:bottom w:val="single" w:sz="4" w:space="0" w:color="auto"/>
            </w:tcBorders>
          </w:tcPr>
          <w:p w14:paraId="1A799FED" w14:textId="77777777" w:rsidR="00F53939" w:rsidRPr="00A755EB" w:rsidRDefault="00F53939" w:rsidP="00A50D03">
            <w:pPr>
              <w:jc w:val="center"/>
              <w:rPr>
                <w:rFonts w:ascii="Calibri" w:eastAsia="Calibri" w:hAnsi="Calibri" w:cs="Calibri"/>
                <w:sz w:val="22"/>
                <w:szCs w:val="22"/>
              </w:rPr>
            </w:pPr>
            <w:r w:rsidRPr="00A755EB">
              <w:rPr>
                <w:rFonts w:ascii="Calibri" w:eastAsia="Calibri" w:hAnsi="Calibri" w:cs="Calibri"/>
                <w:sz w:val="22"/>
                <w:szCs w:val="22"/>
              </w:rPr>
              <w:t>Low 50s</w:t>
            </w:r>
          </w:p>
        </w:tc>
      </w:tr>
      <w:tr w:rsidR="00F53939" w:rsidRPr="00A755EB" w14:paraId="23E93E4D" w14:textId="77777777" w:rsidTr="00A50D03">
        <w:trPr>
          <w:trHeight w:val="127"/>
        </w:trPr>
        <w:tc>
          <w:tcPr>
            <w:tcW w:w="2886" w:type="pct"/>
            <w:tcBorders>
              <w:top w:val="single" w:sz="4" w:space="0" w:color="auto"/>
              <w:bottom w:val="single" w:sz="4" w:space="0" w:color="auto"/>
            </w:tcBorders>
          </w:tcPr>
          <w:p w14:paraId="57D45508" w14:textId="77777777" w:rsidR="00F53939" w:rsidRPr="00A755EB" w:rsidRDefault="00F53939" w:rsidP="00A50D03">
            <w:pPr>
              <w:rPr>
                <w:rFonts w:ascii="Calibri" w:eastAsia="Calibri" w:hAnsi="Calibri" w:cs="Calibri"/>
                <w:sz w:val="22"/>
                <w:szCs w:val="22"/>
              </w:rPr>
            </w:pPr>
            <w:r w:rsidRPr="00A755EB">
              <w:rPr>
                <w:rFonts w:ascii="Calibri" w:eastAsia="Calibri" w:hAnsi="Calibri" w:cs="Calibri"/>
                <w:sz w:val="22"/>
                <w:szCs w:val="22"/>
              </w:rPr>
              <w:t>Tier 1 ratio</w:t>
            </w:r>
          </w:p>
        </w:tc>
        <w:tc>
          <w:tcPr>
            <w:tcW w:w="1057" w:type="pct"/>
            <w:tcBorders>
              <w:top w:val="single" w:sz="4" w:space="0" w:color="auto"/>
              <w:bottom w:val="single" w:sz="4" w:space="0" w:color="auto"/>
            </w:tcBorders>
          </w:tcPr>
          <w:p w14:paraId="07CEF7B7" w14:textId="4BAF55A7" w:rsidR="00F53939" w:rsidRPr="00A755EB" w:rsidRDefault="00F53939" w:rsidP="00A50D03">
            <w:pPr>
              <w:jc w:val="center"/>
              <w:rPr>
                <w:rFonts w:ascii="Calibri" w:eastAsia="Calibri" w:hAnsi="Calibri" w:cs="Calibri"/>
                <w:sz w:val="22"/>
                <w:szCs w:val="22"/>
              </w:rPr>
            </w:pPr>
            <w:r w:rsidRPr="00A755EB">
              <w:rPr>
                <w:rFonts w:ascii="Calibri" w:eastAsia="Calibri" w:hAnsi="Calibri" w:cs="Calibri"/>
                <w:sz w:val="22"/>
                <w:szCs w:val="22"/>
              </w:rPr>
              <w:t>&gt;17</w:t>
            </w:r>
            <w:r>
              <w:rPr>
                <w:rFonts w:ascii="Calibri" w:eastAsia="Calibri" w:hAnsi="Calibri" w:cs="Calibri"/>
                <w:sz w:val="22"/>
                <w:szCs w:val="22"/>
              </w:rPr>
              <w:t>.5</w:t>
            </w:r>
            <w:r w:rsidRPr="00A755EB">
              <w:rPr>
                <w:rFonts w:ascii="Calibri" w:eastAsia="Calibri" w:hAnsi="Calibri" w:cs="Calibri"/>
                <w:sz w:val="22"/>
                <w:szCs w:val="22"/>
              </w:rPr>
              <w:t>%</w:t>
            </w:r>
          </w:p>
        </w:tc>
        <w:tc>
          <w:tcPr>
            <w:tcW w:w="1057" w:type="pct"/>
            <w:tcBorders>
              <w:top w:val="single" w:sz="4" w:space="0" w:color="auto"/>
              <w:bottom w:val="single" w:sz="4" w:space="0" w:color="auto"/>
            </w:tcBorders>
          </w:tcPr>
          <w:p w14:paraId="2A01D8DC" w14:textId="77777777" w:rsidR="00F53939" w:rsidRPr="00A755EB" w:rsidRDefault="00F53939" w:rsidP="00A50D03">
            <w:pPr>
              <w:jc w:val="center"/>
              <w:rPr>
                <w:rFonts w:ascii="Calibri" w:eastAsia="Calibri" w:hAnsi="Calibri" w:cs="Calibri"/>
                <w:sz w:val="22"/>
                <w:szCs w:val="22"/>
              </w:rPr>
            </w:pPr>
          </w:p>
        </w:tc>
      </w:tr>
    </w:tbl>
    <w:p w14:paraId="4607C34C" w14:textId="77777777" w:rsidR="00F53939" w:rsidRDefault="00F53939" w:rsidP="00F53939">
      <w:pPr>
        <w:spacing w:after="4" w:line="250" w:lineRule="auto"/>
        <w:jc w:val="both"/>
        <w:rPr>
          <w:rFonts w:ascii="Calibri" w:eastAsia="Calibri" w:hAnsi="Calibri" w:cs="Calibri"/>
          <w:color w:val="FF0000"/>
          <w:sz w:val="22"/>
          <w:szCs w:val="22"/>
        </w:rPr>
      </w:pPr>
    </w:p>
    <w:p w14:paraId="32DC24B5" w14:textId="77777777" w:rsidR="00F53939" w:rsidRDefault="00F53939" w:rsidP="00F53939">
      <w:pPr>
        <w:spacing w:after="4" w:line="250" w:lineRule="auto"/>
        <w:jc w:val="both"/>
        <w:rPr>
          <w:rFonts w:ascii="Calibri" w:eastAsia="Calibri" w:hAnsi="Calibri" w:cs="Calibri"/>
          <w:color w:val="FF0000"/>
          <w:sz w:val="22"/>
          <w:szCs w:val="22"/>
        </w:rPr>
      </w:pPr>
      <w:r w:rsidRPr="0086694E">
        <w:rPr>
          <w:rFonts w:ascii="Calibri" w:eastAsia="Calibri" w:hAnsi="Calibri" w:cs="Calibri"/>
          <w:sz w:val="22"/>
          <w:szCs w:val="22"/>
        </w:rPr>
        <w:t xml:space="preserve">In 2027, </w:t>
      </w:r>
      <w:r>
        <w:rPr>
          <w:rFonts w:ascii="Calibri" w:eastAsia="Calibri" w:hAnsi="Calibri" w:cs="Calibri"/>
          <w:sz w:val="22"/>
          <w:szCs w:val="22"/>
        </w:rPr>
        <w:t>continue to guide</w:t>
      </w:r>
      <w:r w:rsidRPr="0086694E">
        <w:rPr>
          <w:rFonts w:ascii="Calibri" w:eastAsia="Calibri" w:hAnsi="Calibri" w:cs="Calibri"/>
          <w:sz w:val="22"/>
          <w:szCs w:val="22"/>
        </w:rPr>
        <w:t xml:space="preserve"> to mid-teens ROTE and a cost: income ratio of 49% or lower.</w:t>
      </w:r>
    </w:p>
    <w:p w14:paraId="42791563" w14:textId="77777777" w:rsidR="00F53939" w:rsidRDefault="00F53939" w:rsidP="00F53939">
      <w:pPr>
        <w:spacing w:after="4" w:line="250" w:lineRule="auto"/>
        <w:jc w:val="both"/>
        <w:rPr>
          <w:rFonts w:ascii="Calibri" w:eastAsia="Calibri" w:hAnsi="Calibri" w:cs="Calibri"/>
          <w:color w:val="FF0000"/>
          <w:sz w:val="22"/>
          <w:szCs w:val="22"/>
        </w:rPr>
      </w:pPr>
    </w:p>
    <w:p w14:paraId="3A364471" w14:textId="77777777" w:rsidR="00F53939" w:rsidRPr="00836920" w:rsidRDefault="00F53939" w:rsidP="00F53939">
      <w:pPr>
        <w:spacing w:after="4" w:line="250" w:lineRule="auto"/>
        <w:jc w:val="both"/>
        <w:rPr>
          <w:rFonts w:ascii="Calibri" w:eastAsia="Calibri" w:hAnsi="Calibri" w:cs="Calibri"/>
          <w:sz w:val="22"/>
          <w:szCs w:val="22"/>
        </w:rPr>
      </w:pPr>
      <w:r w:rsidRPr="00836920">
        <w:rPr>
          <w:rFonts w:ascii="Calibri" w:eastAsia="Calibri" w:hAnsi="Calibri" w:cs="Calibri"/>
          <w:sz w:val="22"/>
          <w:szCs w:val="22"/>
        </w:rPr>
        <w:t>As announced with FY24 results, the Group has transition</w:t>
      </w:r>
      <w:r>
        <w:rPr>
          <w:rFonts w:ascii="Calibri" w:eastAsia="Calibri" w:hAnsi="Calibri" w:cs="Calibri"/>
          <w:sz w:val="22"/>
          <w:szCs w:val="22"/>
        </w:rPr>
        <w:t>ed</w:t>
      </w:r>
      <w:r w:rsidRPr="00836920">
        <w:rPr>
          <w:rFonts w:ascii="Calibri" w:eastAsia="Calibri" w:hAnsi="Calibri" w:cs="Calibri"/>
          <w:sz w:val="22"/>
          <w:szCs w:val="22"/>
        </w:rPr>
        <w:t xml:space="preserve"> to reporting solely on a statutory basis.  Accordingly, the guidance outlined above is on a statutory basis.  </w:t>
      </w:r>
    </w:p>
    <w:p w14:paraId="4EEC75D9" w14:textId="77777777" w:rsidR="00F53939" w:rsidRPr="00AB47EF" w:rsidRDefault="00F53939" w:rsidP="00F53939">
      <w:pPr>
        <w:jc w:val="both"/>
        <w:rPr>
          <w:rFonts w:asciiTheme="minorHAnsi" w:eastAsia="Inter Medium" w:hAnsiTheme="minorHAnsi" w:cstheme="minorHAnsi"/>
          <w:color w:val="000000" w:themeColor="text1"/>
          <w:kern w:val="24"/>
          <w:sz w:val="22"/>
          <w:szCs w:val="22"/>
          <w:lang w:val="en-US"/>
        </w:rPr>
      </w:pPr>
    </w:p>
    <w:p w14:paraId="6071D4A8" w14:textId="77777777" w:rsidR="00F53939" w:rsidRDefault="00F53939" w:rsidP="00F53939">
      <w:pPr>
        <w:pStyle w:val="NoSpacing"/>
        <w:jc w:val="both"/>
        <w:rPr>
          <w:rStyle w:val="Strong"/>
          <w:color w:val="4747FF"/>
          <w:u w:val="single"/>
        </w:rPr>
      </w:pPr>
      <w:r w:rsidRPr="00A166EB">
        <w:rPr>
          <w:rStyle w:val="Strong"/>
          <w:color w:val="4747FF"/>
          <w:u w:val="single"/>
        </w:rPr>
        <w:t>Capital Management and Dividend</w:t>
      </w:r>
    </w:p>
    <w:p w14:paraId="09F80E2C" w14:textId="77777777" w:rsidR="00F53939" w:rsidRPr="00A166EB" w:rsidRDefault="00F53939" w:rsidP="00F53939">
      <w:pPr>
        <w:pStyle w:val="NoSpacing"/>
        <w:jc w:val="both"/>
        <w:rPr>
          <w:b/>
          <w:color w:val="FF0000"/>
          <w:u w:val="single"/>
        </w:rPr>
      </w:pPr>
    </w:p>
    <w:p w14:paraId="0C4458FF" w14:textId="77777777" w:rsidR="00F53939" w:rsidRPr="003408E8" w:rsidRDefault="00F53939" w:rsidP="00F53939">
      <w:pPr>
        <w:pStyle w:val="ListParagraph"/>
        <w:numPr>
          <w:ilvl w:val="0"/>
          <w:numId w:val="17"/>
        </w:numPr>
        <w:jc w:val="both"/>
        <w:rPr>
          <w:rFonts w:asciiTheme="minorHAnsi" w:eastAsia="Inter Medium" w:hAnsiTheme="minorHAnsi" w:cstheme="minorHAnsi"/>
          <w:kern w:val="24"/>
          <w:sz w:val="22"/>
          <w:szCs w:val="22"/>
          <w:lang w:val="en-US"/>
        </w:rPr>
      </w:pPr>
      <w:r w:rsidRPr="003408E8">
        <w:rPr>
          <w:rFonts w:asciiTheme="minorHAnsi" w:eastAsia="Inter Medium" w:hAnsiTheme="minorHAnsi" w:cstheme="minorHAnsi"/>
          <w:kern w:val="24"/>
          <w:sz w:val="22"/>
          <w:szCs w:val="22"/>
          <w:lang w:val="en-US"/>
        </w:rPr>
        <w:t>With the focus on deploying capital to support growth initiatives, the Board of Directors has decided not to declare a dividend for 1H25 (1H24: no dividend).</w:t>
      </w:r>
    </w:p>
    <w:p w14:paraId="3516EC27" w14:textId="5C8BE994" w:rsidR="00F53939" w:rsidRPr="003408E8" w:rsidRDefault="00F53939" w:rsidP="00F53939">
      <w:pPr>
        <w:pStyle w:val="ListParagraph"/>
        <w:numPr>
          <w:ilvl w:val="0"/>
          <w:numId w:val="17"/>
        </w:numPr>
        <w:jc w:val="both"/>
        <w:rPr>
          <w:rFonts w:asciiTheme="minorHAnsi" w:eastAsia="Inter Medium" w:hAnsiTheme="minorHAnsi" w:cstheme="minorHAnsi"/>
          <w:kern w:val="24"/>
          <w:sz w:val="22"/>
          <w:szCs w:val="22"/>
          <w:lang w:val="en-US"/>
        </w:rPr>
      </w:pPr>
      <w:r w:rsidRPr="003408E8">
        <w:rPr>
          <w:rFonts w:asciiTheme="minorHAnsi" w:eastAsia="Inter Medium" w:hAnsiTheme="minorHAnsi" w:cstheme="minorHAnsi"/>
          <w:kern w:val="24"/>
          <w:sz w:val="22"/>
          <w:szCs w:val="22"/>
          <w:lang w:val="en-US"/>
        </w:rPr>
        <w:t>The Board intend</w:t>
      </w:r>
      <w:r w:rsidR="00D1468B">
        <w:rPr>
          <w:rFonts w:asciiTheme="minorHAnsi" w:eastAsia="Inter Medium" w:hAnsiTheme="minorHAnsi" w:cstheme="minorHAnsi"/>
          <w:kern w:val="24"/>
          <w:sz w:val="22"/>
          <w:szCs w:val="22"/>
          <w:lang w:val="en-US"/>
        </w:rPr>
        <w:t>s</w:t>
      </w:r>
      <w:r w:rsidRPr="003408E8">
        <w:rPr>
          <w:rFonts w:asciiTheme="minorHAnsi" w:eastAsia="Inter Medium" w:hAnsiTheme="minorHAnsi" w:cstheme="minorHAnsi"/>
          <w:kern w:val="24"/>
          <w:sz w:val="22"/>
          <w:szCs w:val="22"/>
          <w:lang w:val="en-US"/>
        </w:rPr>
        <w:t xml:space="preserve"> to revisit the capital allocation framework and dividend policy following full delivery of the strategy in 2026.</w:t>
      </w:r>
    </w:p>
    <w:p w14:paraId="4B6E72E1" w14:textId="77777777" w:rsidR="00F53939" w:rsidRDefault="00F53939" w:rsidP="00F53939">
      <w:pPr>
        <w:pStyle w:val="NoSpacing"/>
        <w:jc w:val="both"/>
        <w:rPr>
          <w:rStyle w:val="Strong"/>
          <w:color w:val="4747FF"/>
        </w:rPr>
      </w:pPr>
    </w:p>
    <w:p w14:paraId="6739EBFD" w14:textId="77777777" w:rsidR="00F53939" w:rsidRPr="00A166EB" w:rsidRDefault="00F53939" w:rsidP="00F53939">
      <w:pPr>
        <w:pStyle w:val="NoSpacing"/>
        <w:jc w:val="both"/>
        <w:rPr>
          <w:rStyle w:val="Strong"/>
          <w:rFonts w:ascii="Times New Roman" w:eastAsia="Times New Roman" w:hAnsi="Times New Roman" w:cs="Times New Roman"/>
          <w:color w:val="4747FF"/>
          <w:sz w:val="24"/>
          <w:szCs w:val="24"/>
          <w:u w:val="single"/>
          <w:lang w:eastAsia="en-GB"/>
        </w:rPr>
      </w:pPr>
      <w:r>
        <w:rPr>
          <w:rStyle w:val="Strong"/>
          <w:color w:val="4747FF"/>
          <w:u w:val="single"/>
        </w:rPr>
        <w:t>1H25</w:t>
      </w:r>
      <w:r w:rsidRPr="00A166EB">
        <w:rPr>
          <w:rStyle w:val="Strong"/>
          <w:color w:val="4747FF"/>
          <w:u w:val="single"/>
        </w:rPr>
        <w:t xml:space="preserve"> Operational Highlights</w:t>
      </w:r>
    </w:p>
    <w:p w14:paraId="341F4957" w14:textId="77777777" w:rsidR="00F53939" w:rsidRDefault="00F53939" w:rsidP="00F53939">
      <w:pPr>
        <w:jc w:val="both"/>
        <w:rPr>
          <w:rStyle w:val="Strong"/>
          <w:rFonts w:asciiTheme="minorHAnsi" w:hAnsiTheme="minorHAnsi"/>
          <w:color w:val="4747FF"/>
          <w:sz w:val="22"/>
          <w:szCs w:val="22"/>
        </w:rPr>
      </w:pPr>
    </w:p>
    <w:p w14:paraId="2F4D4ED2" w14:textId="77777777" w:rsidR="00F53939" w:rsidRDefault="00F53939" w:rsidP="00F53939">
      <w:pPr>
        <w:jc w:val="both"/>
        <w:rPr>
          <w:rStyle w:val="Strong"/>
          <w:rFonts w:asciiTheme="minorHAnsi" w:hAnsiTheme="minorHAnsi"/>
          <w:color w:val="4747FF"/>
          <w:sz w:val="22"/>
          <w:szCs w:val="22"/>
        </w:rPr>
      </w:pPr>
      <w:r w:rsidRPr="001E1073">
        <w:rPr>
          <w:rStyle w:val="Strong"/>
          <w:rFonts w:asciiTheme="minorHAnsi" w:hAnsiTheme="minorHAnsi"/>
          <w:color w:val="4747FF"/>
          <w:sz w:val="22"/>
          <w:szCs w:val="22"/>
        </w:rPr>
        <w:t>Customer proposition</w:t>
      </w:r>
      <w:r>
        <w:rPr>
          <w:rStyle w:val="Strong"/>
          <w:rFonts w:asciiTheme="minorHAnsi" w:hAnsiTheme="minorHAnsi"/>
          <w:color w:val="4747FF"/>
          <w:sz w:val="22"/>
          <w:szCs w:val="22"/>
        </w:rPr>
        <w:t xml:space="preserve"> and insightful risk management</w:t>
      </w:r>
      <w:r w:rsidRPr="001E1073">
        <w:rPr>
          <w:rStyle w:val="Strong"/>
          <w:rFonts w:asciiTheme="minorHAnsi" w:hAnsiTheme="minorHAnsi"/>
          <w:color w:val="4747FF"/>
          <w:sz w:val="22"/>
          <w:szCs w:val="22"/>
        </w:rPr>
        <w:t xml:space="preserve"> update </w:t>
      </w:r>
    </w:p>
    <w:p w14:paraId="43D59B51" w14:textId="77777777" w:rsidR="00F53939" w:rsidRPr="001E1073" w:rsidRDefault="00F53939" w:rsidP="00F53939">
      <w:pPr>
        <w:jc w:val="both"/>
        <w:rPr>
          <w:rStyle w:val="Strong"/>
          <w:rFonts w:asciiTheme="minorHAnsi" w:hAnsiTheme="minorHAnsi"/>
          <w:color w:val="4747FF"/>
          <w:sz w:val="22"/>
          <w:szCs w:val="22"/>
        </w:rPr>
      </w:pPr>
    </w:p>
    <w:p w14:paraId="1DB1FBA4" w14:textId="3EA04A68" w:rsidR="00290BF5" w:rsidRPr="00290BF5" w:rsidRDefault="00290BF5" w:rsidP="00290BF5">
      <w:pPr>
        <w:pStyle w:val="ListParagraph"/>
        <w:numPr>
          <w:ilvl w:val="0"/>
          <w:numId w:val="17"/>
        </w:numPr>
        <w:jc w:val="both"/>
        <w:rPr>
          <w:rFonts w:asciiTheme="minorHAnsi" w:hAnsiTheme="minorHAnsi"/>
          <w:kern w:val="24"/>
          <w:sz w:val="22"/>
          <w:lang w:val="en-US"/>
        </w:rPr>
      </w:pPr>
      <w:r w:rsidRPr="00290BF5">
        <w:rPr>
          <w:rFonts w:asciiTheme="minorHAnsi" w:hAnsiTheme="minorHAnsi"/>
          <w:b/>
          <w:kern w:val="24"/>
          <w:sz w:val="22"/>
          <w:lang w:val="en-US"/>
        </w:rPr>
        <w:t>Credit Cards</w:t>
      </w:r>
      <w:r w:rsidRPr="005D6188">
        <w:rPr>
          <w:rFonts w:asciiTheme="minorHAnsi" w:eastAsia="Inter Medium" w:hAnsiTheme="minorHAnsi" w:cstheme="minorHAnsi"/>
          <w:b/>
          <w:bCs/>
          <w:kern w:val="24"/>
          <w:sz w:val="22"/>
          <w:szCs w:val="22"/>
          <w:lang w:val="en-US"/>
        </w:rPr>
        <w:t>:</w:t>
      </w:r>
      <w:r w:rsidRPr="005D6188">
        <w:rPr>
          <w:rFonts w:asciiTheme="minorHAnsi" w:eastAsia="Inter Medium" w:hAnsiTheme="minorHAnsi" w:cstheme="minorHAnsi"/>
          <w:kern w:val="24"/>
          <w:sz w:val="22"/>
          <w:szCs w:val="22"/>
          <w:lang w:val="en-US"/>
        </w:rPr>
        <w:t xml:space="preserve"> Launched</w:t>
      </w:r>
      <w:r w:rsidRPr="00290BF5">
        <w:rPr>
          <w:rFonts w:asciiTheme="minorHAnsi" w:hAnsiTheme="minorHAnsi"/>
          <w:kern w:val="24"/>
          <w:sz w:val="22"/>
          <w:lang w:val="en-US"/>
        </w:rPr>
        <w:t xml:space="preserve"> new product variants, offering customers more tailored options to </w:t>
      </w:r>
      <w:r w:rsidRPr="005D6188">
        <w:rPr>
          <w:rFonts w:asciiTheme="minorHAnsi" w:eastAsia="Inter Medium" w:hAnsiTheme="minorHAnsi" w:cstheme="minorHAnsi"/>
          <w:kern w:val="24"/>
          <w:sz w:val="22"/>
          <w:szCs w:val="22"/>
          <w:lang w:val="en-US"/>
        </w:rPr>
        <w:t>meet</w:t>
      </w:r>
      <w:r w:rsidRPr="00290BF5">
        <w:rPr>
          <w:rFonts w:asciiTheme="minorHAnsi" w:hAnsiTheme="minorHAnsi"/>
          <w:kern w:val="24"/>
          <w:sz w:val="22"/>
          <w:lang w:val="en-US"/>
        </w:rPr>
        <w:t xml:space="preserve"> diverse financial needs.</w:t>
      </w:r>
    </w:p>
    <w:p w14:paraId="500F9081" w14:textId="65411480" w:rsidR="00290BF5" w:rsidRPr="00290BF5" w:rsidRDefault="00290BF5" w:rsidP="00290BF5">
      <w:pPr>
        <w:pStyle w:val="ListParagraph"/>
        <w:numPr>
          <w:ilvl w:val="0"/>
          <w:numId w:val="17"/>
        </w:numPr>
        <w:jc w:val="both"/>
        <w:rPr>
          <w:rFonts w:asciiTheme="minorHAnsi" w:hAnsiTheme="minorHAnsi"/>
          <w:kern w:val="24"/>
          <w:sz w:val="22"/>
          <w:lang w:val="en-US"/>
        </w:rPr>
      </w:pPr>
      <w:r w:rsidRPr="00290BF5">
        <w:rPr>
          <w:rFonts w:asciiTheme="minorHAnsi" w:hAnsiTheme="minorHAnsi"/>
          <w:b/>
          <w:kern w:val="24"/>
          <w:sz w:val="22"/>
          <w:lang w:val="en-US"/>
        </w:rPr>
        <w:t>Vehicle Finance</w:t>
      </w:r>
      <w:r w:rsidRPr="005D6188">
        <w:rPr>
          <w:rFonts w:asciiTheme="minorHAnsi" w:eastAsia="Inter Medium" w:hAnsiTheme="minorHAnsi" w:cstheme="minorHAnsi"/>
          <w:b/>
          <w:bCs/>
          <w:kern w:val="24"/>
          <w:sz w:val="22"/>
          <w:szCs w:val="22"/>
          <w:lang w:val="en-US"/>
        </w:rPr>
        <w:t>:</w:t>
      </w:r>
      <w:r w:rsidRPr="005D6188">
        <w:rPr>
          <w:rFonts w:asciiTheme="minorHAnsi" w:eastAsia="Inter Medium" w:hAnsiTheme="minorHAnsi" w:cstheme="minorHAnsi"/>
          <w:kern w:val="24"/>
          <w:sz w:val="22"/>
          <w:szCs w:val="22"/>
          <w:lang w:val="en-US"/>
        </w:rPr>
        <w:t xml:space="preserve"> Enhanced</w:t>
      </w:r>
      <w:r w:rsidRPr="00290BF5">
        <w:rPr>
          <w:rFonts w:asciiTheme="minorHAnsi" w:hAnsiTheme="minorHAnsi"/>
          <w:kern w:val="24"/>
          <w:sz w:val="22"/>
          <w:lang w:val="en-US"/>
        </w:rPr>
        <w:t xml:space="preserve"> credit decisioning, improving </w:t>
      </w:r>
      <w:r w:rsidRPr="005D6188">
        <w:rPr>
          <w:rFonts w:asciiTheme="minorHAnsi" w:eastAsia="Inter Medium" w:hAnsiTheme="minorHAnsi" w:cstheme="minorHAnsi"/>
          <w:kern w:val="24"/>
          <w:sz w:val="22"/>
          <w:szCs w:val="22"/>
          <w:lang w:val="en-US"/>
        </w:rPr>
        <w:t xml:space="preserve">the </w:t>
      </w:r>
      <w:r w:rsidRPr="00290BF5">
        <w:rPr>
          <w:rFonts w:asciiTheme="minorHAnsi" w:hAnsiTheme="minorHAnsi"/>
          <w:kern w:val="24"/>
          <w:sz w:val="22"/>
          <w:lang w:val="en-US"/>
        </w:rPr>
        <w:t>speed and accuracy of lending decisions.</w:t>
      </w:r>
    </w:p>
    <w:p w14:paraId="00277B1C" w14:textId="7183749A" w:rsidR="00290BF5" w:rsidRPr="00290BF5" w:rsidRDefault="00290BF5" w:rsidP="00290BF5">
      <w:pPr>
        <w:pStyle w:val="ListParagraph"/>
        <w:numPr>
          <w:ilvl w:val="0"/>
          <w:numId w:val="17"/>
        </w:numPr>
        <w:jc w:val="both"/>
        <w:rPr>
          <w:rFonts w:asciiTheme="minorHAnsi" w:hAnsiTheme="minorHAnsi"/>
          <w:kern w:val="24"/>
          <w:sz w:val="22"/>
          <w:lang w:val="en-US"/>
        </w:rPr>
      </w:pPr>
      <w:r w:rsidRPr="005D6188">
        <w:rPr>
          <w:rFonts w:asciiTheme="minorHAnsi" w:eastAsia="Inter Medium" w:hAnsiTheme="minorHAnsi" w:cstheme="minorHAnsi"/>
          <w:b/>
          <w:bCs/>
          <w:kern w:val="24"/>
          <w:sz w:val="22"/>
          <w:szCs w:val="22"/>
          <w:lang w:val="en-US"/>
        </w:rPr>
        <w:t>Second Charge Mortgages:</w:t>
      </w:r>
      <w:r w:rsidRPr="005D6188">
        <w:rPr>
          <w:rFonts w:asciiTheme="minorHAnsi" w:eastAsia="Inter Medium" w:hAnsiTheme="minorHAnsi" w:cstheme="minorHAnsi"/>
          <w:kern w:val="24"/>
          <w:sz w:val="22"/>
          <w:szCs w:val="22"/>
          <w:lang w:val="en-US"/>
        </w:rPr>
        <w:t xml:space="preserve"> </w:t>
      </w:r>
      <w:r w:rsidRPr="00290BF5">
        <w:rPr>
          <w:rFonts w:asciiTheme="minorHAnsi" w:hAnsiTheme="minorHAnsi"/>
          <w:kern w:val="24"/>
          <w:sz w:val="22"/>
          <w:lang w:val="en-US"/>
        </w:rPr>
        <w:t xml:space="preserve">Maintained strong growth, supporting more customers </w:t>
      </w:r>
      <w:r w:rsidRPr="005D6188">
        <w:rPr>
          <w:rFonts w:asciiTheme="minorHAnsi" w:eastAsia="Inter Medium" w:hAnsiTheme="minorHAnsi" w:cstheme="minorHAnsi"/>
          <w:kern w:val="24"/>
          <w:sz w:val="22"/>
          <w:szCs w:val="22"/>
          <w:lang w:val="en-US"/>
        </w:rPr>
        <w:t>through</w:t>
      </w:r>
      <w:r w:rsidRPr="00290BF5">
        <w:rPr>
          <w:rFonts w:asciiTheme="minorHAnsi" w:hAnsiTheme="minorHAnsi"/>
          <w:kern w:val="24"/>
          <w:sz w:val="22"/>
          <w:lang w:val="en-US"/>
        </w:rPr>
        <w:t xml:space="preserve"> a forward flow agreement with </w:t>
      </w:r>
      <w:proofErr w:type="spellStart"/>
      <w:r w:rsidRPr="00290BF5">
        <w:rPr>
          <w:rFonts w:asciiTheme="minorHAnsi" w:hAnsiTheme="minorHAnsi"/>
          <w:kern w:val="24"/>
          <w:sz w:val="22"/>
          <w:lang w:val="en-US"/>
        </w:rPr>
        <w:t>Interbridge</w:t>
      </w:r>
      <w:proofErr w:type="spellEnd"/>
      <w:r w:rsidRPr="00290BF5">
        <w:rPr>
          <w:rFonts w:asciiTheme="minorHAnsi" w:hAnsiTheme="minorHAnsi"/>
          <w:kern w:val="24"/>
          <w:sz w:val="22"/>
          <w:lang w:val="en-US"/>
        </w:rPr>
        <w:t xml:space="preserve"> Mortgages and </w:t>
      </w:r>
      <w:r w:rsidRPr="005D6188">
        <w:rPr>
          <w:rFonts w:asciiTheme="minorHAnsi" w:eastAsia="Inter Medium" w:hAnsiTheme="minorHAnsi" w:cstheme="minorHAnsi"/>
          <w:kern w:val="24"/>
          <w:sz w:val="22"/>
          <w:szCs w:val="22"/>
          <w:lang w:val="en-US"/>
        </w:rPr>
        <w:t xml:space="preserve">a </w:t>
      </w:r>
      <w:r w:rsidRPr="00290BF5">
        <w:rPr>
          <w:rFonts w:asciiTheme="minorHAnsi" w:hAnsiTheme="minorHAnsi"/>
          <w:kern w:val="24"/>
          <w:sz w:val="22"/>
          <w:lang w:val="en-US"/>
        </w:rPr>
        <w:t>partnership with Selina Finance.</w:t>
      </w:r>
    </w:p>
    <w:p w14:paraId="05AA9746" w14:textId="252833FE" w:rsidR="00290BF5" w:rsidRPr="00290BF5" w:rsidRDefault="00290BF5" w:rsidP="00290BF5">
      <w:pPr>
        <w:pStyle w:val="ListParagraph"/>
        <w:numPr>
          <w:ilvl w:val="0"/>
          <w:numId w:val="17"/>
        </w:numPr>
        <w:jc w:val="both"/>
        <w:rPr>
          <w:rFonts w:asciiTheme="minorHAnsi" w:hAnsiTheme="minorHAnsi"/>
          <w:kern w:val="24"/>
          <w:sz w:val="22"/>
          <w:lang w:val="en-US"/>
        </w:rPr>
      </w:pPr>
      <w:r w:rsidRPr="00290BF5">
        <w:rPr>
          <w:rFonts w:asciiTheme="minorHAnsi" w:hAnsiTheme="minorHAnsi"/>
          <w:b/>
          <w:kern w:val="24"/>
          <w:sz w:val="22"/>
          <w:lang w:val="en-US"/>
        </w:rPr>
        <w:t>Savings</w:t>
      </w:r>
      <w:r w:rsidRPr="005D6188">
        <w:rPr>
          <w:rFonts w:asciiTheme="minorHAnsi" w:eastAsia="Inter Medium" w:hAnsiTheme="minorHAnsi" w:cstheme="minorHAnsi"/>
          <w:b/>
          <w:bCs/>
          <w:kern w:val="24"/>
          <w:sz w:val="22"/>
          <w:szCs w:val="22"/>
          <w:lang w:val="en-US"/>
        </w:rPr>
        <w:t>:</w:t>
      </w:r>
      <w:r w:rsidRPr="005D6188">
        <w:rPr>
          <w:rFonts w:asciiTheme="minorHAnsi" w:eastAsia="Inter Medium" w:hAnsiTheme="minorHAnsi" w:cstheme="minorHAnsi"/>
          <w:kern w:val="24"/>
          <w:sz w:val="22"/>
          <w:szCs w:val="22"/>
          <w:lang w:val="en-US"/>
        </w:rPr>
        <w:t xml:space="preserve"> Strengthened</w:t>
      </w:r>
      <w:r w:rsidRPr="00290BF5">
        <w:rPr>
          <w:rFonts w:asciiTheme="minorHAnsi" w:hAnsiTheme="minorHAnsi"/>
          <w:kern w:val="24"/>
          <w:sz w:val="22"/>
          <w:lang w:val="en-US"/>
        </w:rPr>
        <w:t xml:space="preserve"> cost-effective funding</w:t>
      </w:r>
      <w:r w:rsidRPr="005D6188">
        <w:rPr>
          <w:rFonts w:asciiTheme="minorHAnsi" w:eastAsia="Inter Medium" w:hAnsiTheme="minorHAnsi" w:cstheme="minorHAnsi"/>
          <w:kern w:val="24"/>
          <w:sz w:val="22"/>
          <w:szCs w:val="22"/>
          <w:lang w:val="en-US"/>
        </w:rPr>
        <w:t xml:space="preserve"> capabilities</w:t>
      </w:r>
      <w:r w:rsidRPr="00290BF5">
        <w:rPr>
          <w:rFonts w:asciiTheme="minorHAnsi" w:hAnsiTheme="minorHAnsi"/>
          <w:kern w:val="24"/>
          <w:sz w:val="22"/>
          <w:lang w:val="en-US"/>
        </w:rPr>
        <w:t xml:space="preserve"> with an expanded product range</w:t>
      </w:r>
      <w:r w:rsidRPr="005D6188">
        <w:rPr>
          <w:rFonts w:asciiTheme="minorHAnsi" w:eastAsia="Inter Medium" w:hAnsiTheme="minorHAnsi" w:cstheme="minorHAnsi"/>
          <w:kern w:val="24"/>
          <w:sz w:val="22"/>
          <w:szCs w:val="22"/>
          <w:lang w:val="en-US"/>
        </w:rPr>
        <w:t>,</w:t>
      </w:r>
      <w:r w:rsidRPr="00290BF5">
        <w:rPr>
          <w:rFonts w:asciiTheme="minorHAnsi" w:hAnsiTheme="minorHAnsi"/>
          <w:kern w:val="24"/>
          <w:sz w:val="22"/>
          <w:lang w:val="en-US"/>
        </w:rPr>
        <w:t xml:space="preserve"> including ISAs and the Snoop</w:t>
      </w:r>
      <w:r w:rsidRPr="005D6188">
        <w:rPr>
          <w:rFonts w:asciiTheme="minorHAnsi" w:eastAsia="Inter Medium" w:hAnsiTheme="minorHAnsi" w:cstheme="minorHAnsi"/>
          <w:kern w:val="24"/>
          <w:sz w:val="22"/>
          <w:szCs w:val="22"/>
          <w:lang w:val="en-US"/>
        </w:rPr>
        <w:t>-branded</w:t>
      </w:r>
      <w:r w:rsidRPr="00290BF5">
        <w:rPr>
          <w:rFonts w:asciiTheme="minorHAnsi" w:hAnsiTheme="minorHAnsi"/>
          <w:kern w:val="24"/>
          <w:sz w:val="22"/>
          <w:lang w:val="en-US"/>
        </w:rPr>
        <w:t xml:space="preserve"> easy access product.</w:t>
      </w:r>
    </w:p>
    <w:p w14:paraId="7C7A1173" w14:textId="5E334A83" w:rsidR="00290BF5" w:rsidRPr="00290BF5" w:rsidRDefault="00290BF5" w:rsidP="00290BF5">
      <w:pPr>
        <w:pStyle w:val="ListParagraph"/>
        <w:numPr>
          <w:ilvl w:val="0"/>
          <w:numId w:val="17"/>
        </w:numPr>
        <w:jc w:val="both"/>
        <w:rPr>
          <w:rFonts w:asciiTheme="minorHAnsi" w:hAnsiTheme="minorHAnsi"/>
          <w:kern w:val="24"/>
          <w:sz w:val="22"/>
          <w:lang w:val="en-US"/>
        </w:rPr>
      </w:pPr>
      <w:r w:rsidRPr="005D6188">
        <w:rPr>
          <w:rFonts w:asciiTheme="minorHAnsi" w:eastAsia="Inter Medium" w:hAnsiTheme="minorHAnsi" w:cstheme="minorHAnsi"/>
          <w:b/>
          <w:bCs/>
          <w:kern w:val="24"/>
          <w:sz w:val="22"/>
          <w:szCs w:val="22"/>
          <w:lang w:val="en-US"/>
        </w:rPr>
        <w:t>Snoop:</w:t>
      </w:r>
      <w:r w:rsidRPr="005D6188">
        <w:rPr>
          <w:rFonts w:asciiTheme="minorHAnsi" w:eastAsia="Inter Medium" w:hAnsiTheme="minorHAnsi" w:cstheme="minorHAnsi"/>
          <w:kern w:val="24"/>
          <w:sz w:val="22"/>
          <w:szCs w:val="22"/>
          <w:lang w:val="en-US"/>
        </w:rPr>
        <w:t xml:space="preserve"> </w:t>
      </w:r>
      <w:r w:rsidRPr="00290BF5">
        <w:rPr>
          <w:rFonts w:asciiTheme="minorHAnsi" w:hAnsiTheme="minorHAnsi"/>
          <w:kern w:val="24"/>
          <w:sz w:val="22"/>
          <w:lang w:val="en-US"/>
        </w:rPr>
        <w:t xml:space="preserve">Active users rose 7% to 313k, with Vanquis customers </w:t>
      </w:r>
      <w:r w:rsidRPr="005D6188">
        <w:rPr>
          <w:rFonts w:asciiTheme="minorHAnsi" w:eastAsia="Inter Medium" w:hAnsiTheme="minorHAnsi" w:cstheme="minorHAnsi"/>
          <w:kern w:val="24"/>
          <w:sz w:val="22"/>
          <w:szCs w:val="22"/>
          <w:lang w:val="en-US"/>
        </w:rPr>
        <w:t>up</w:t>
      </w:r>
      <w:r w:rsidRPr="00290BF5">
        <w:rPr>
          <w:rFonts w:asciiTheme="minorHAnsi" w:hAnsiTheme="minorHAnsi"/>
          <w:kern w:val="24"/>
          <w:sz w:val="22"/>
          <w:lang w:val="en-US"/>
        </w:rPr>
        <w:t xml:space="preserve"> 12% to 42k. Snoop remains a cost-effective acquisition channel</w:t>
      </w:r>
      <w:r w:rsidRPr="00290BF5">
        <w:rPr>
          <w:rFonts w:asciiTheme="minorHAnsi" w:eastAsia="Inter Medium" w:hAnsiTheme="minorHAnsi"/>
          <w:kern w:val="24"/>
          <w:sz w:val="22"/>
          <w:lang w:val="en-US"/>
        </w:rPr>
        <w:t xml:space="preserve">, </w:t>
      </w:r>
      <w:r w:rsidRPr="00290BF5">
        <w:rPr>
          <w:rFonts w:asciiTheme="minorHAnsi" w:hAnsiTheme="minorHAnsi"/>
          <w:kern w:val="24"/>
          <w:sz w:val="22"/>
          <w:lang w:val="en-US"/>
        </w:rPr>
        <w:t>with origination costs around 10% of other channels</w:t>
      </w:r>
      <w:r w:rsidRPr="00290BF5">
        <w:rPr>
          <w:rFonts w:asciiTheme="minorHAnsi" w:eastAsia="Inter Medium" w:hAnsiTheme="minorHAnsi"/>
          <w:kern w:val="24"/>
          <w:sz w:val="22"/>
          <w:lang w:val="en-US"/>
        </w:rPr>
        <w:t xml:space="preserve">, </w:t>
      </w:r>
      <w:r w:rsidRPr="00290BF5">
        <w:rPr>
          <w:rFonts w:asciiTheme="minorHAnsi" w:hAnsiTheme="minorHAnsi"/>
          <w:kern w:val="24"/>
          <w:sz w:val="22"/>
          <w:lang w:val="en-US"/>
        </w:rPr>
        <w:t xml:space="preserve">while </w:t>
      </w:r>
      <w:r w:rsidRPr="005D6188">
        <w:rPr>
          <w:rFonts w:asciiTheme="minorHAnsi" w:eastAsia="Inter Medium" w:hAnsiTheme="minorHAnsi" w:cstheme="minorHAnsi"/>
          <w:kern w:val="24"/>
          <w:sz w:val="22"/>
          <w:szCs w:val="22"/>
          <w:lang w:val="en-US"/>
        </w:rPr>
        <w:t>offering</w:t>
      </w:r>
      <w:r w:rsidRPr="00290BF5">
        <w:rPr>
          <w:rFonts w:asciiTheme="minorHAnsi" w:hAnsiTheme="minorHAnsi"/>
          <w:kern w:val="24"/>
          <w:sz w:val="22"/>
          <w:lang w:val="en-US"/>
        </w:rPr>
        <w:t xml:space="preserve"> valuable money management tools.</w:t>
      </w:r>
    </w:p>
    <w:p w14:paraId="71FC59C1" w14:textId="5712FA28" w:rsidR="00290BF5" w:rsidRPr="00290BF5" w:rsidRDefault="00290BF5" w:rsidP="00290BF5">
      <w:pPr>
        <w:pStyle w:val="ListParagraph"/>
        <w:numPr>
          <w:ilvl w:val="0"/>
          <w:numId w:val="17"/>
        </w:numPr>
        <w:jc w:val="both"/>
        <w:rPr>
          <w:rFonts w:asciiTheme="minorHAnsi" w:eastAsia="Inter Medium" w:hAnsiTheme="minorHAnsi"/>
          <w:kern w:val="24"/>
          <w:sz w:val="22"/>
          <w:lang w:val="en-US"/>
        </w:rPr>
      </w:pPr>
      <w:r w:rsidRPr="005D6188">
        <w:rPr>
          <w:rFonts w:asciiTheme="minorHAnsi" w:eastAsia="Inter Medium" w:hAnsiTheme="minorHAnsi" w:cstheme="minorHAnsi"/>
          <w:b/>
          <w:bCs/>
          <w:kern w:val="24"/>
          <w:sz w:val="22"/>
          <w:szCs w:val="22"/>
          <w:lang w:val="en-US"/>
        </w:rPr>
        <w:t>Fair Finance:</w:t>
      </w:r>
      <w:r w:rsidRPr="005D6188">
        <w:rPr>
          <w:rFonts w:asciiTheme="minorHAnsi" w:eastAsia="Inter Medium" w:hAnsiTheme="minorHAnsi" w:cstheme="minorHAnsi"/>
          <w:kern w:val="24"/>
          <w:sz w:val="22"/>
          <w:szCs w:val="22"/>
          <w:lang w:val="en-US"/>
        </w:rPr>
        <w:t xml:space="preserve"> Delivered positive </w:t>
      </w:r>
      <w:r>
        <w:rPr>
          <w:rFonts w:asciiTheme="minorHAnsi" w:eastAsia="Inter Medium" w:hAnsiTheme="minorHAnsi" w:cstheme="minorHAnsi"/>
          <w:kern w:val="24"/>
          <w:sz w:val="22"/>
          <w:szCs w:val="22"/>
          <w:lang w:val="en-US"/>
        </w:rPr>
        <w:t>outcomes</w:t>
      </w:r>
      <w:r w:rsidRPr="00290BF5">
        <w:rPr>
          <w:rFonts w:asciiTheme="minorHAnsi" w:hAnsiTheme="minorHAnsi"/>
          <w:kern w:val="24"/>
          <w:sz w:val="22"/>
          <w:lang w:val="en-US"/>
        </w:rPr>
        <w:t xml:space="preserve"> for ‘Not Yet’ customers through the</w:t>
      </w:r>
      <w:r w:rsidRPr="00290BF5">
        <w:rPr>
          <w:rFonts w:asciiTheme="minorHAnsi" w:eastAsia="Inter Medium" w:hAnsiTheme="minorHAnsi"/>
          <w:kern w:val="24"/>
          <w:sz w:val="22"/>
          <w:lang w:val="en-US"/>
        </w:rPr>
        <w:t xml:space="preserve"> </w:t>
      </w:r>
      <w:r w:rsidRPr="00290BF5">
        <w:rPr>
          <w:rFonts w:asciiTheme="minorHAnsi" w:hAnsiTheme="minorHAnsi"/>
          <w:kern w:val="24"/>
          <w:sz w:val="22"/>
          <w:lang w:val="en-US"/>
        </w:rPr>
        <w:t xml:space="preserve">referral programme, helping them access </w:t>
      </w:r>
      <w:r w:rsidRPr="00AE2500">
        <w:rPr>
          <w:rFonts w:asciiTheme="minorHAnsi" w:eastAsia="Inter Medium" w:hAnsiTheme="minorHAnsi" w:cstheme="minorHAnsi"/>
          <w:kern w:val="24"/>
          <w:sz w:val="22"/>
          <w:szCs w:val="22"/>
          <w:lang w:val="en-US"/>
        </w:rPr>
        <w:t>affordable credit and nearly £10 million in unclaimed government benefits</w:t>
      </w:r>
      <w:r w:rsidRPr="00290BF5">
        <w:rPr>
          <w:rFonts w:asciiTheme="minorHAnsi" w:hAnsiTheme="minorHAnsi"/>
          <w:kern w:val="24"/>
          <w:sz w:val="22"/>
          <w:lang w:val="en-US"/>
        </w:rPr>
        <w:t>.</w:t>
      </w:r>
    </w:p>
    <w:p w14:paraId="2115FFF8" w14:textId="0E9FECC5" w:rsidR="00F53939" w:rsidRPr="00290BF5" w:rsidRDefault="00290BF5" w:rsidP="00290BF5">
      <w:pPr>
        <w:pStyle w:val="ListParagraph"/>
        <w:numPr>
          <w:ilvl w:val="0"/>
          <w:numId w:val="17"/>
        </w:numPr>
        <w:jc w:val="both"/>
        <w:rPr>
          <w:rFonts w:asciiTheme="minorHAnsi" w:hAnsiTheme="minorHAnsi"/>
          <w:kern w:val="24"/>
          <w:sz w:val="22"/>
          <w:lang w:val="en-US"/>
        </w:rPr>
      </w:pPr>
      <w:r w:rsidRPr="005D6188">
        <w:rPr>
          <w:rFonts w:asciiTheme="minorHAnsi" w:eastAsia="Inter Medium" w:hAnsiTheme="minorHAnsi" w:cstheme="minorHAnsi"/>
          <w:b/>
          <w:bCs/>
          <w:kern w:val="24"/>
          <w:sz w:val="22"/>
          <w:szCs w:val="22"/>
          <w:lang w:val="en-US"/>
        </w:rPr>
        <w:t xml:space="preserve">Customer </w:t>
      </w:r>
      <w:r>
        <w:rPr>
          <w:rFonts w:asciiTheme="minorHAnsi" w:eastAsia="Inter Medium" w:hAnsiTheme="minorHAnsi" w:cstheme="minorHAnsi"/>
          <w:b/>
          <w:bCs/>
          <w:kern w:val="24"/>
          <w:sz w:val="22"/>
          <w:szCs w:val="22"/>
          <w:lang w:val="en-US"/>
        </w:rPr>
        <w:t>e</w:t>
      </w:r>
      <w:r w:rsidRPr="005D6188">
        <w:rPr>
          <w:rFonts w:asciiTheme="minorHAnsi" w:eastAsia="Inter Medium" w:hAnsiTheme="minorHAnsi" w:cstheme="minorHAnsi"/>
          <w:b/>
          <w:bCs/>
          <w:kern w:val="24"/>
          <w:sz w:val="22"/>
          <w:szCs w:val="22"/>
          <w:lang w:val="en-US"/>
        </w:rPr>
        <w:t>xperience:</w:t>
      </w:r>
      <w:r w:rsidRPr="005D6188">
        <w:rPr>
          <w:rFonts w:asciiTheme="minorHAnsi" w:eastAsia="Inter Medium" w:hAnsiTheme="minorHAnsi" w:cstheme="minorHAnsi"/>
          <w:kern w:val="24"/>
          <w:sz w:val="22"/>
          <w:szCs w:val="22"/>
          <w:lang w:val="en-US"/>
        </w:rPr>
        <w:t xml:space="preserve"> </w:t>
      </w:r>
      <w:r w:rsidRPr="00290BF5">
        <w:rPr>
          <w:rFonts w:asciiTheme="minorHAnsi" w:hAnsiTheme="minorHAnsi"/>
          <w:kern w:val="24"/>
          <w:sz w:val="22"/>
          <w:lang w:val="en-US"/>
        </w:rPr>
        <w:t xml:space="preserve">Introduced a new service platform, enabling faster, more </w:t>
      </w:r>
      <w:proofErr w:type="spellStart"/>
      <w:r w:rsidRPr="00290BF5">
        <w:rPr>
          <w:rFonts w:asciiTheme="minorHAnsi" w:hAnsiTheme="minorHAnsi"/>
          <w:kern w:val="24"/>
          <w:sz w:val="22"/>
          <w:lang w:val="en-US"/>
        </w:rPr>
        <w:t>personalised</w:t>
      </w:r>
      <w:proofErr w:type="spellEnd"/>
      <w:r w:rsidRPr="00290BF5">
        <w:rPr>
          <w:rFonts w:asciiTheme="minorHAnsi" w:hAnsiTheme="minorHAnsi"/>
          <w:kern w:val="24"/>
          <w:sz w:val="22"/>
          <w:lang w:val="en-US"/>
        </w:rPr>
        <w:t xml:space="preserve"> support and improving overall customer </w:t>
      </w:r>
      <w:r w:rsidRPr="005D6188">
        <w:rPr>
          <w:rFonts w:asciiTheme="minorHAnsi" w:eastAsia="Inter Medium" w:hAnsiTheme="minorHAnsi" w:cstheme="minorHAnsi"/>
          <w:kern w:val="24"/>
          <w:sz w:val="22"/>
          <w:szCs w:val="22"/>
          <w:lang w:val="en-US"/>
        </w:rPr>
        <w:t>satisfaction</w:t>
      </w:r>
      <w:r w:rsidRPr="00290BF5">
        <w:rPr>
          <w:rFonts w:asciiTheme="minorHAnsi" w:hAnsiTheme="minorHAnsi"/>
          <w:kern w:val="24"/>
          <w:sz w:val="22"/>
          <w:lang w:val="en-US"/>
        </w:rPr>
        <w:t>.</w:t>
      </w:r>
    </w:p>
    <w:p w14:paraId="00369F41" w14:textId="77777777" w:rsidR="00506AD4" w:rsidRPr="00290BF5" w:rsidRDefault="00506AD4" w:rsidP="00290BF5">
      <w:pPr>
        <w:jc w:val="both"/>
        <w:rPr>
          <w:rFonts w:asciiTheme="minorHAnsi" w:hAnsiTheme="minorHAnsi"/>
          <w:sz w:val="22"/>
        </w:rPr>
      </w:pPr>
    </w:p>
    <w:p w14:paraId="64099E8A" w14:textId="77777777" w:rsidR="00F53939" w:rsidRDefault="00F53939" w:rsidP="00F53939">
      <w:pPr>
        <w:jc w:val="both"/>
        <w:rPr>
          <w:rStyle w:val="Strong"/>
          <w:b w:val="0"/>
          <w:bCs w:val="0"/>
          <w:color w:val="4747FF"/>
        </w:rPr>
      </w:pPr>
      <w:r w:rsidRPr="00B8111C">
        <w:rPr>
          <w:rStyle w:val="Strong"/>
          <w:rFonts w:asciiTheme="minorHAnsi" w:hAnsiTheme="minorHAnsi"/>
          <w:color w:val="4747FF"/>
          <w:sz w:val="22"/>
          <w:szCs w:val="22"/>
        </w:rPr>
        <w:t>Technology transformation, operational efficiency and people update</w:t>
      </w:r>
      <w:r w:rsidRPr="00B8111C">
        <w:rPr>
          <w:rStyle w:val="Strong"/>
          <w:b w:val="0"/>
          <w:bCs w:val="0"/>
          <w:color w:val="4747FF"/>
        </w:rPr>
        <w:t xml:space="preserve"> </w:t>
      </w:r>
    </w:p>
    <w:p w14:paraId="6013FEFB" w14:textId="77777777" w:rsidR="00F53939" w:rsidRPr="00B8111C" w:rsidRDefault="00F53939" w:rsidP="00F53939">
      <w:pPr>
        <w:jc w:val="both"/>
        <w:rPr>
          <w:rStyle w:val="Strong"/>
          <w:b w:val="0"/>
          <w:bCs w:val="0"/>
          <w:color w:val="4747FF"/>
        </w:rPr>
      </w:pPr>
    </w:p>
    <w:p w14:paraId="548C45D1" w14:textId="42BEB6CD" w:rsidR="008348A6" w:rsidRPr="00453C92" w:rsidRDefault="008348A6" w:rsidP="008348A6">
      <w:pPr>
        <w:pStyle w:val="ListParagraph"/>
        <w:numPr>
          <w:ilvl w:val="0"/>
          <w:numId w:val="18"/>
        </w:numPr>
        <w:tabs>
          <w:tab w:val="clear" w:pos="360"/>
        </w:tabs>
        <w:jc w:val="both"/>
        <w:rPr>
          <w:rFonts w:asciiTheme="minorHAnsi" w:hAnsiTheme="minorHAnsi"/>
          <w:sz w:val="22"/>
        </w:rPr>
      </w:pPr>
      <w:r w:rsidRPr="00453C92">
        <w:rPr>
          <w:rFonts w:asciiTheme="minorHAnsi" w:hAnsiTheme="minorHAnsi"/>
          <w:b/>
          <w:bCs/>
          <w:sz w:val="22"/>
        </w:rPr>
        <w:t>Gateway transformation on track:</w:t>
      </w:r>
      <w:r w:rsidRPr="00453C92">
        <w:rPr>
          <w:rFonts w:asciiTheme="minorHAnsi" w:hAnsiTheme="minorHAnsi"/>
          <w:sz w:val="22"/>
        </w:rPr>
        <w:t xml:space="preserve"> A major milestone saw 30 billion rows of customer, product, and decisioning data loaded onto our new IT platform, significantly enhancing insight generation and decision-making capabilities.</w:t>
      </w:r>
    </w:p>
    <w:p w14:paraId="245F50C6" w14:textId="26572B15" w:rsidR="008348A6" w:rsidRPr="00453C92" w:rsidRDefault="008348A6" w:rsidP="008348A6">
      <w:pPr>
        <w:pStyle w:val="ListParagraph"/>
        <w:numPr>
          <w:ilvl w:val="0"/>
          <w:numId w:val="18"/>
        </w:numPr>
        <w:tabs>
          <w:tab w:val="clear" w:pos="360"/>
        </w:tabs>
        <w:jc w:val="both"/>
        <w:rPr>
          <w:rFonts w:asciiTheme="minorHAnsi" w:hAnsiTheme="minorHAnsi"/>
          <w:sz w:val="22"/>
        </w:rPr>
      </w:pPr>
      <w:r w:rsidRPr="00453C92">
        <w:rPr>
          <w:rFonts w:asciiTheme="minorHAnsi" w:hAnsiTheme="minorHAnsi"/>
          <w:b/>
          <w:bCs/>
          <w:sz w:val="22"/>
        </w:rPr>
        <w:t>Upcoming launches:</w:t>
      </w:r>
      <w:r w:rsidRPr="00453C92">
        <w:rPr>
          <w:rFonts w:asciiTheme="minorHAnsi" w:hAnsiTheme="minorHAnsi"/>
          <w:sz w:val="22"/>
        </w:rPr>
        <w:t xml:space="preserve"> Preparing to launch a new mobile app and a smarter credit card onboarding and decisioning platform within the next three months.</w:t>
      </w:r>
    </w:p>
    <w:p w14:paraId="3A7924EA" w14:textId="65E1F74D" w:rsidR="005875F8" w:rsidRPr="00453C92" w:rsidRDefault="005875F8" w:rsidP="005875F8">
      <w:pPr>
        <w:pStyle w:val="ListParagraph"/>
        <w:numPr>
          <w:ilvl w:val="0"/>
          <w:numId w:val="18"/>
        </w:numPr>
        <w:tabs>
          <w:tab w:val="clear" w:pos="360"/>
        </w:tabs>
        <w:jc w:val="both"/>
        <w:rPr>
          <w:rFonts w:asciiTheme="minorHAnsi" w:hAnsiTheme="minorHAnsi"/>
          <w:sz w:val="22"/>
        </w:rPr>
      </w:pPr>
      <w:r w:rsidRPr="00453C92">
        <w:rPr>
          <w:rFonts w:asciiTheme="minorHAnsi" w:hAnsiTheme="minorHAnsi"/>
          <w:b/>
          <w:bCs/>
          <w:sz w:val="22"/>
        </w:rPr>
        <w:t>Operational</w:t>
      </w:r>
      <w:r w:rsidRPr="005875F8">
        <w:rPr>
          <w:rFonts w:asciiTheme="minorHAnsi" w:hAnsiTheme="minorHAnsi"/>
          <w:b/>
          <w:sz w:val="22"/>
        </w:rPr>
        <w:t xml:space="preserve"> efficiency</w:t>
      </w:r>
      <w:r w:rsidRPr="00453C92">
        <w:rPr>
          <w:rFonts w:asciiTheme="minorHAnsi" w:hAnsiTheme="minorHAnsi"/>
          <w:b/>
          <w:bCs/>
          <w:sz w:val="22"/>
        </w:rPr>
        <w:t>:</w:t>
      </w:r>
      <w:r w:rsidRPr="00453C92">
        <w:rPr>
          <w:rFonts w:asciiTheme="minorHAnsi" w:hAnsiTheme="minorHAnsi"/>
          <w:sz w:val="22"/>
        </w:rPr>
        <w:t xml:space="preserve"> Delivered improvements across debt sales, fraud controls, and complaints handling through expanded use of digital tools, AI, and self-service</w:t>
      </w:r>
      <w:r w:rsidR="00790931">
        <w:rPr>
          <w:rFonts w:asciiTheme="minorHAnsi" w:hAnsiTheme="minorHAnsi"/>
          <w:sz w:val="22"/>
        </w:rPr>
        <w:t>, and rationalised property footprint</w:t>
      </w:r>
      <w:r w:rsidRPr="00453C92">
        <w:rPr>
          <w:rFonts w:asciiTheme="minorHAnsi" w:hAnsiTheme="minorHAnsi"/>
          <w:sz w:val="22"/>
        </w:rPr>
        <w:t>.</w:t>
      </w:r>
    </w:p>
    <w:p w14:paraId="4C98414A" w14:textId="1C241A80" w:rsidR="005875F8" w:rsidRPr="00453C92" w:rsidRDefault="005875F8" w:rsidP="005875F8">
      <w:pPr>
        <w:pStyle w:val="ListParagraph"/>
        <w:numPr>
          <w:ilvl w:val="0"/>
          <w:numId w:val="18"/>
        </w:numPr>
        <w:tabs>
          <w:tab w:val="clear" w:pos="360"/>
        </w:tabs>
        <w:jc w:val="both"/>
        <w:rPr>
          <w:rFonts w:asciiTheme="minorHAnsi" w:hAnsiTheme="minorHAnsi"/>
          <w:sz w:val="22"/>
        </w:rPr>
      </w:pPr>
      <w:r w:rsidRPr="00453C92">
        <w:rPr>
          <w:rFonts w:asciiTheme="minorHAnsi" w:hAnsiTheme="minorHAnsi"/>
          <w:b/>
          <w:bCs/>
          <w:sz w:val="22"/>
        </w:rPr>
        <w:t>Colleague</w:t>
      </w:r>
      <w:r w:rsidRPr="005875F8">
        <w:rPr>
          <w:rFonts w:asciiTheme="minorHAnsi" w:hAnsiTheme="minorHAnsi"/>
          <w:b/>
          <w:sz w:val="22"/>
        </w:rPr>
        <w:t xml:space="preserve"> engagement</w:t>
      </w:r>
      <w:r w:rsidRPr="00453C92">
        <w:rPr>
          <w:rFonts w:asciiTheme="minorHAnsi" w:hAnsiTheme="minorHAnsi"/>
          <w:b/>
          <w:bCs/>
          <w:sz w:val="22"/>
        </w:rPr>
        <w:t>:</w:t>
      </w:r>
      <w:r w:rsidRPr="00453C92">
        <w:rPr>
          <w:rFonts w:asciiTheme="minorHAnsi" w:hAnsiTheme="minorHAnsi"/>
          <w:sz w:val="22"/>
        </w:rPr>
        <w:t xml:space="preserve"> Mid-year engagement score rose by 5 percentage points to 65%.</w:t>
      </w:r>
    </w:p>
    <w:p w14:paraId="70E2F89F" w14:textId="77777777" w:rsidR="00F53939" w:rsidRDefault="00F53939" w:rsidP="00F53939">
      <w:pPr>
        <w:pStyle w:val="NoSpacing"/>
        <w:jc w:val="both"/>
        <w:rPr>
          <w:rStyle w:val="Strong"/>
          <w:rFonts w:eastAsia="Times New Roman" w:cs="Times New Roman"/>
          <w:color w:val="4747FF"/>
          <w:u w:val="single"/>
          <w:lang w:eastAsia="en-GB"/>
        </w:rPr>
      </w:pPr>
    </w:p>
    <w:p w14:paraId="4E68DF60" w14:textId="77777777" w:rsidR="00F53939" w:rsidRPr="00A166EB" w:rsidRDefault="00F53939" w:rsidP="00F53939">
      <w:pPr>
        <w:pStyle w:val="NoSpacing"/>
        <w:jc w:val="both"/>
        <w:rPr>
          <w:rStyle w:val="Strong"/>
          <w:rFonts w:eastAsia="Times New Roman" w:cs="Times New Roman"/>
          <w:color w:val="4747FF"/>
          <w:u w:val="single"/>
          <w:lang w:eastAsia="en-GB"/>
        </w:rPr>
      </w:pPr>
      <w:r w:rsidRPr="00A166EB">
        <w:rPr>
          <w:rStyle w:val="Strong"/>
          <w:rFonts w:eastAsia="Times New Roman" w:cs="Times New Roman"/>
          <w:color w:val="4747FF"/>
          <w:u w:val="single"/>
          <w:lang w:eastAsia="en-GB"/>
        </w:rPr>
        <w:t>Update on External Factors</w:t>
      </w:r>
    </w:p>
    <w:p w14:paraId="284E4A35" w14:textId="77777777" w:rsidR="00F53939" w:rsidRPr="00E77184" w:rsidRDefault="00F53939" w:rsidP="00F53939">
      <w:pPr>
        <w:jc w:val="both"/>
        <w:rPr>
          <w:rFonts w:asciiTheme="minorHAnsi" w:hAnsiTheme="minorHAnsi"/>
          <w:b/>
          <w:bCs/>
          <w:color w:val="FF0000"/>
          <w:sz w:val="22"/>
          <w:szCs w:val="22"/>
        </w:rPr>
      </w:pPr>
    </w:p>
    <w:p w14:paraId="5E818F0C" w14:textId="77777777" w:rsidR="00F53939" w:rsidRDefault="00F53939" w:rsidP="00F53939">
      <w:pPr>
        <w:jc w:val="both"/>
        <w:rPr>
          <w:rStyle w:val="Strong"/>
          <w:rFonts w:asciiTheme="minorHAnsi" w:hAnsiTheme="minorHAnsi"/>
          <w:color w:val="4747FF"/>
          <w:sz w:val="22"/>
          <w:szCs w:val="22"/>
        </w:rPr>
      </w:pPr>
      <w:r w:rsidRPr="00964A9D">
        <w:rPr>
          <w:rStyle w:val="Strong"/>
          <w:rFonts w:asciiTheme="minorHAnsi" w:hAnsiTheme="minorHAnsi"/>
          <w:color w:val="4747FF"/>
          <w:sz w:val="22"/>
          <w:szCs w:val="22"/>
        </w:rPr>
        <w:t>Complaints update</w:t>
      </w:r>
    </w:p>
    <w:p w14:paraId="2B599740" w14:textId="77777777" w:rsidR="00F53939" w:rsidRPr="00964A9D" w:rsidRDefault="00F53939" w:rsidP="00F53939">
      <w:pPr>
        <w:jc w:val="both"/>
        <w:rPr>
          <w:rStyle w:val="Strong"/>
          <w:rFonts w:asciiTheme="minorHAnsi" w:hAnsiTheme="minorHAnsi"/>
          <w:color w:val="4747FF"/>
          <w:sz w:val="22"/>
          <w:szCs w:val="22"/>
        </w:rPr>
      </w:pPr>
    </w:p>
    <w:p w14:paraId="270C4E90" w14:textId="2CA703D7" w:rsidR="00F53939" w:rsidRPr="00482168" w:rsidRDefault="00F53939" w:rsidP="00F53939">
      <w:pPr>
        <w:pStyle w:val="ListParagraph"/>
        <w:numPr>
          <w:ilvl w:val="0"/>
          <w:numId w:val="17"/>
        </w:numPr>
        <w:jc w:val="both"/>
        <w:rPr>
          <w:rFonts w:asciiTheme="minorHAnsi" w:eastAsia="Inter Medium" w:hAnsiTheme="minorHAnsi" w:cstheme="minorHAnsi"/>
          <w:kern w:val="24"/>
          <w:sz w:val="22"/>
          <w:szCs w:val="22"/>
          <w:lang w:val="en-US"/>
        </w:rPr>
      </w:pPr>
      <w:r w:rsidRPr="00482168">
        <w:rPr>
          <w:rFonts w:asciiTheme="minorHAnsi" w:eastAsia="Inter Medium" w:hAnsiTheme="minorHAnsi" w:cstheme="minorHAnsi"/>
          <w:kern w:val="24"/>
          <w:sz w:val="22"/>
          <w:szCs w:val="22"/>
          <w:lang w:val="en-US"/>
        </w:rPr>
        <w:t>Complaint costs reduced 36% year-on-year to £1</w:t>
      </w:r>
      <w:r>
        <w:rPr>
          <w:rFonts w:asciiTheme="minorHAnsi" w:eastAsia="Inter Medium" w:hAnsiTheme="minorHAnsi" w:cstheme="minorHAnsi"/>
          <w:kern w:val="24"/>
          <w:sz w:val="22"/>
          <w:szCs w:val="22"/>
          <w:lang w:val="en-US"/>
        </w:rPr>
        <w:t>6.1</w:t>
      </w:r>
      <w:r w:rsidRPr="00482168">
        <w:rPr>
          <w:rFonts w:asciiTheme="minorHAnsi" w:eastAsia="Inter Medium" w:hAnsiTheme="minorHAnsi" w:cstheme="minorHAnsi"/>
          <w:kern w:val="24"/>
          <w:sz w:val="22"/>
          <w:szCs w:val="22"/>
          <w:lang w:val="en-US"/>
        </w:rPr>
        <w:t>m</w:t>
      </w:r>
      <w:r w:rsidRPr="00482168">
        <w:rPr>
          <w:rFonts w:asciiTheme="minorHAnsi" w:hAnsiTheme="minorHAnsi" w:cstheme="minorHAnsi"/>
          <w:sz w:val="22"/>
          <w:szCs w:val="22"/>
        </w:rPr>
        <w:t xml:space="preserve">, </w:t>
      </w:r>
      <w:bookmarkStart w:id="4" w:name="_Hlk204860416"/>
      <w:r w:rsidRPr="00482168">
        <w:rPr>
          <w:rFonts w:asciiTheme="minorHAnsi" w:hAnsiTheme="minorHAnsi" w:cstheme="minorHAnsi"/>
          <w:sz w:val="22"/>
          <w:szCs w:val="22"/>
        </w:rPr>
        <w:t>with FOS fees reducing £8.6m to £4.5m</w:t>
      </w:r>
      <w:bookmarkEnd w:id="4"/>
      <w:r w:rsidRPr="00482168">
        <w:rPr>
          <w:rFonts w:asciiTheme="minorHAnsi" w:hAnsiTheme="minorHAnsi" w:cstheme="minorHAnsi"/>
          <w:sz w:val="22"/>
          <w:szCs w:val="22"/>
        </w:rPr>
        <w:t xml:space="preserve">.  </w:t>
      </w:r>
      <w:r w:rsidRPr="004C2C3F">
        <w:rPr>
          <w:rFonts w:asciiTheme="minorHAnsi" w:hAnsiTheme="minorHAnsi" w:cstheme="minorHAnsi"/>
          <w:sz w:val="22"/>
          <w:szCs w:val="22"/>
        </w:rPr>
        <w:t>1Q25 complaint costs were in line with expectations, with a lower run rate from 2Q25, as expected</w:t>
      </w:r>
      <w:r w:rsidR="00592BEA" w:rsidRPr="00592BEA">
        <w:rPr>
          <w:rFonts w:asciiTheme="minorHAnsi" w:hAnsiTheme="minorHAnsi" w:cstheme="minorHAnsi"/>
          <w:sz w:val="22"/>
          <w:szCs w:val="22"/>
        </w:rPr>
        <w:t xml:space="preserve"> </w:t>
      </w:r>
      <w:r w:rsidR="00592BEA">
        <w:rPr>
          <w:rFonts w:asciiTheme="minorHAnsi" w:hAnsiTheme="minorHAnsi" w:cstheme="minorHAnsi"/>
          <w:sz w:val="22"/>
          <w:szCs w:val="22"/>
        </w:rPr>
        <w:t>following the implementation of the revised FOS fee structure</w:t>
      </w:r>
      <w:r w:rsidR="00592BEA" w:rsidRPr="004C2C3F">
        <w:rPr>
          <w:rFonts w:asciiTheme="minorHAnsi" w:hAnsiTheme="minorHAnsi" w:cstheme="minorHAnsi"/>
          <w:sz w:val="22"/>
          <w:szCs w:val="22"/>
        </w:rPr>
        <w:t>.</w:t>
      </w:r>
      <w:r w:rsidR="00592BEA">
        <w:rPr>
          <w:rFonts w:asciiTheme="minorHAnsi" w:hAnsiTheme="minorHAnsi" w:cstheme="minorHAnsi"/>
          <w:sz w:val="22"/>
          <w:szCs w:val="22"/>
        </w:rPr>
        <w:t xml:space="preserve">  The Group expects</w:t>
      </w:r>
      <w:r w:rsidR="00592BEA" w:rsidRPr="00972F61">
        <w:rPr>
          <w:rFonts w:asciiTheme="minorHAnsi" w:hAnsiTheme="minorHAnsi" w:cstheme="minorHAnsi"/>
          <w:sz w:val="22"/>
          <w:szCs w:val="22"/>
        </w:rPr>
        <w:t xml:space="preserve"> 2H25 complaint costs to be lower than 1H25.</w:t>
      </w:r>
    </w:p>
    <w:p w14:paraId="1E2EBBC3" w14:textId="242A1DF9" w:rsidR="00F53939" w:rsidRPr="00482168" w:rsidRDefault="00F53939" w:rsidP="00F53939">
      <w:pPr>
        <w:pStyle w:val="ListParagraph"/>
        <w:numPr>
          <w:ilvl w:val="0"/>
          <w:numId w:val="17"/>
        </w:numPr>
        <w:jc w:val="both"/>
        <w:rPr>
          <w:rFonts w:asciiTheme="minorHAnsi" w:eastAsia="Inter Medium" w:hAnsiTheme="minorHAnsi" w:cstheme="minorHAnsi"/>
          <w:kern w:val="24"/>
          <w:sz w:val="22"/>
          <w:szCs w:val="22"/>
        </w:rPr>
      </w:pPr>
      <w:r w:rsidRPr="00482168">
        <w:rPr>
          <w:rFonts w:asciiTheme="minorHAnsi" w:eastAsia="Inter Medium" w:hAnsiTheme="minorHAnsi" w:cstheme="minorHAnsi"/>
          <w:kern w:val="24"/>
          <w:sz w:val="22"/>
          <w:szCs w:val="22"/>
        </w:rPr>
        <w:t>Since the revised FOS fee structure was implemented on 1 April</w:t>
      </w:r>
      <w:r w:rsidR="004E34A7">
        <w:rPr>
          <w:rFonts w:asciiTheme="minorHAnsi" w:eastAsia="Inter Medium" w:hAnsiTheme="minorHAnsi" w:cstheme="minorHAnsi"/>
          <w:kern w:val="24"/>
          <w:sz w:val="22"/>
          <w:szCs w:val="22"/>
        </w:rPr>
        <w:t xml:space="preserve"> 2025</w:t>
      </w:r>
      <w:r w:rsidRPr="00482168">
        <w:rPr>
          <w:rFonts w:asciiTheme="minorHAnsi" w:eastAsia="Inter Medium" w:hAnsiTheme="minorHAnsi" w:cstheme="minorHAnsi"/>
          <w:kern w:val="24"/>
          <w:sz w:val="22"/>
          <w:szCs w:val="22"/>
        </w:rPr>
        <w:t>, Vanquis related CMC complaints referred to the FOS</w:t>
      </w:r>
      <w:r w:rsidR="00BF2C2E">
        <w:rPr>
          <w:rFonts w:asciiTheme="minorHAnsi" w:eastAsia="Inter Medium" w:hAnsiTheme="minorHAnsi" w:cstheme="minorHAnsi"/>
          <w:kern w:val="24"/>
          <w:sz w:val="22"/>
          <w:szCs w:val="22"/>
        </w:rPr>
        <w:t xml:space="preserve"> have been negligible</w:t>
      </w:r>
      <w:r w:rsidRPr="00482168">
        <w:rPr>
          <w:rFonts w:asciiTheme="minorHAnsi" w:eastAsia="Inter Medium" w:hAnsiTheme="minorHAnsi" w:cstheme="minorHAnsi"/>
          <w:kern w:val="24"/>
          <w:sz w:val="22"/>
          <w:szCs w:val="22"/>
        </w:rPr>
        <w:t>.</w:t>
      </w:r>
    </w:p>
    <w:p w14:paraId="01E5EC54" w14:textId="77777777" w:rsidR="00F53939" w:rsidRPr="00482168" w:rsidRDefault="00F53939" w:rsidP="00F53939">
      <w:pPr>
        <w:pStyle w:val="ListParagraph"/>
        <w:numPr>
          <w:ilvl w:val="1"/>
          <w:numId w:val="17"/>
        </w:numPr>
        <w:jc w:val="both"/>
        <w:rPr>
          <w:rFonts w:asciiTheme="minorHAnsi" w:eastAsia="Inter Medium" w:hAnsiTheme="minorHAnsi" w:cstheme="minorHAnsi"/>
          <w:kern w:val="24"/>
          <w:sz w:val="22"/>
          <w:szCs w:val="22"/>
        </w:rPr>
      </w:pPr>
      <w:r w:rsidRPr="00482168">
        <w:rPr>
          <w:rFonts w:asciiTheme="minorHAnsi" w:eastAsia="Inter Medium" w:hAnsiTheme="minorHAnsi" w:cstheme="minorHAnsi"/>
          <w:kern w:val="24"/>
          <w:sz w:val="22"/>
          <w:szCs w:val="22"/>
        </w:rPr>
        <w:t>CMCs are charged an upfront fee of £250 for each claim submitted, reducing to £75 for upheld cases.</w:t>
      </w:r>
    </w:p>
    <w:p w14:paraId="6CA806BD" w14:textId="77777777" w:rsidR="00F53939" w:rsidRPr="00482168" w:rsidRDefault="00F53939" w:rsidP="00F53939">
      <w:pPr>
        <w:pStyle w:val="ListParagraph"/>
        <w:numPr>
          <w:ilvl w:val="1"/>
          <w:numId w:val="17"/>
        </w:numPr>
        <w:jc w:val="both"/>
        <w:rPr>
          <w:rFonts w:asciiTheme="minorHAnsi" w:eastAsia="Inter Medium" w:hAnsiTheme="minorHAnsi" w:cstheme="minorHAnsi"/>
          <w:kern w:val="24"/>
          <w:sz w:val="22"/>
          <w:szCs w:val="22"/>
        </w:rPr>
      </w:pPr>
      <w:r w:rsidRPr="00482168">
        <w:rPr>
          <w:rFonts w:asciiTheme="minorHAnsi" w:eastAsia="Inter Medium" w:hAnsiTheme="minorHAnsi" w:cstheme="minorHAnsi"/>
          <w:kern w:val="24"/>
          <w:sz w:val="22"/>
          <w:szCs w:val="22"/>
        </w:rPr>
        <w:t>Lender fees have reduced from £650 per case to £475 for each case not upheld.</w:t>
      </w:r>
    </w:p>
    <w:p w14:paraId="051771A9" w14:textId="7BAB8CE1" w:rsidR="00F53939" w:rsidRDefault="00844168" w:rsidP="00F53939">
      <w:pPr>
        <w:pStyle w:val="ListParagraph"/>
        <w:numPr>
          <w:ilvl w:val="0"/>
          <w:numId w:val="17"/>
        </w:numPr>
        <w:jc w:val="both"/>
        <w:rPr>
          <w:rFonts w:asciiTheme="minorHAnsi" w:eastAsia="Inter Medium" w:hAnsiTheme="minorHAnsi" w:cstheme="minorHAnsi"/>
          <w:kern w:val="24"/>
          <w:sz w:val="22"/>
          <w:szCs w:val="22"/>
          <w:lang w:val="en-US"/>
        </w:rPr>
      </w:pPr>
      <w:r>
        <w:rPr>
          <w:rFonts w:asciiTheme="minorHAnsi" w:eastAsia="Inter Medium" w:hAnsiTheme="minorHAnsi" w:cstheme="minorHAnsi"/>
          <w:kern w:val="24"/>
          <w:sz w:val="22"/>
          <w:szCs w:val="22"/>
          <w:lang w:val="en-US"/>
        </w:rPr>
        <w:t>Vanquis</w:t>
      </w:r>
      <w:r w:rsidR="00596756">
        <w:rPr>
          <w:rFonts w:asciiTheme="minorHAnsi" w:eastAsia="Inter Medium" w:hAnsiTheme="minorHAnsi" w:cstheme="minorHAnsi"/>
          <w:kern w:val="24"/>
          <w:sz w:val="22"/>
          <w:szCs w:val="22"/>
          <w:lang w:val="en-US"/>
        </w:rPr>
        <w:t xml:space="preserve"> c</w:t>
      </w:r>
      <w:r w:rsidR="00F53939" w:rsidRPr="00CC768C">
        <w:rPr>
          <w:rFonts w:asciiTheme="minorHAnsi" w:eastAsia="Inter Medium" w:hAnsiTheme="minorHAnsi" w:cstheme="minorHAnsi"/>
          <w:kern w:val="24"/>
          <w:sz w:val="22"/>
          <w:szCs w:val="22"/>
          <w:lang w:val="en-US"/>
        </w:rPr>
        <w:t>ontinue</w:t>
      </w:r>
      <w:r>
        <w:rPr>
          <w:rFonts w:asciiTheme="minorHAnsi" w:eastAsia="Inter Medium" w:hAnsiTheme="minorHAnsi" w:cstheme="minorHAnsi"/>
          <w:kern w:val="24"/>
          <w:sz w:val="22"/>
          <w:szCs w:val="22"/>
          <w:lang w:val="en-US"/>
        </w:rPr>
        <w:t>s</w:t>
      </w:r>
      <w:r w:rsidR="00F53939" w:rsidRPr="00CC768C">
        <w:rPr>
          <w:rFonts w:asciiTheme="minorHAnsi" w:eastAsia="Inter Medium" w:hAnsiTheme="minorHAnsi" w:cstheme="minorHAnsi"/>
          <w:kern w:val="24"/>
          <w:sz w:val="22"/>
          <w:szCs w:val="22"/>
          <w:lang w:val="en-US"/>
        </w:rPr>
        <w:t xml:space="preserve"> to engage with regulators to address complaints issues on an industry</w:t>
      </w:r>
      <w:r w:rsidR="00F53939">
        <w:rPr>
          <w:rFonts w:asciiTheme="minorHAnsi" w:eastAsia="Inter Medium" w:hAnsiTheme="minorHAnsi" w:cstheme="minorHAnsi"/>
          <w:kern w:val="24"/>
          <w:sz w:val="22"/>
          <w:szCs w:val="22"/>
          <w:lang w:val="en-US"/>
        </w:rPr>
        <w:t>-</w:t>
      </w:r>
      <w:r w:rsidR="00F53939" w:rsidRPr="00CC768C">
        <w:rPr>
          <w:rFonts w:asciiTheme="minorHAnsi" w:eastAsia="Inter Medium" w:hAnsiTheme="minorHAnsi" w:cstheme="minorHAnsi"/>
          <w:kern w:val="24"/>
          <w:sz w:val="22"/>
          <w:szCs w:val="22"/>
          <w:lang w:val="en-US"/>
        </w:rPr>
        <w:t>wide basis.</w:t>
      </w:r>
    </w:p>
    <w:p w14:paraId="6F700149" w14:textId="30F4C09D" w:rsidR="00F53939" w:rsidRDefault="00EC48B1" w:rsidP="00F53939">
      <w:pPr>
        <w:pStyle w:val="ListParagraph"/>
        <w:numPr>
          <w:ilvl w:val="0"/>
          <w:numId w:val="17"/>
        </w:numPr>
        <w:jc w:val="both"/>
        <w:rPr>
          <w:rFonts w:asciiTheme="minorHAnsi" w:eastAsia="Inter Medium" w:hAnsiTheme="minorHAnsi" w:cstheme="minorHAnsi"/>
          <w:kern w:val="24"/>
          <w:sz w:val="22"/>
          <w:szCs w:val="22"/>
          <w:lang w:val="en-US"/>
        </w:rPr>
      </w:pPr>
      <w:r>
        <w:rPr>
          <w:rFonts w:asciiTheme="minorHAnsi" w:eastAsia="Inter Medium" w:hAnsiTheme="minorHAnsi" w:cstheme="minorHAnsi"/>
          <w:kern w:val="24"/>
          <w:sz w:val="22"/>
          <w:szCs w:val="22"/>
          <w:lang w:val="en-US"/>
        </w:rPr>
        <w:t>The Group s</w:t>
      </w:r>
      <w:r w:rsidR="00F53939">
        <w:rPr>
          <w:rFonts w:asciiTheme="minorHAnsi" w:eastAsia="Inter Medium" w:hAnsiTheme="minorHAnsi" w:cstheme="minorHAnsi"/>
          <w:kern w:val="24"/>
          <w:sz w:val="22"/>
          <w:szCs w:val="22"/>
          <w:lang w:val="en-US"/>
        </w:rPr>
        <w:t>upport</w:t>
      </w:r>
      <w:r>
        <w:rPr>
          <w:rFonts w:asciiTheme="minorHAnsi" w:eastAsia="Inter Medium" w:hAnsiTheme="minorHAnsi" w:cstheme="minorHAnsi"/>
          <w:kern w:val="24"/>
          <w:sz w:val="22"/>
          <w:szCs w:val="22"/>
          <w:lang w:val="en-US"/>
        </w:rPr>
        <w:t>s</w:t>
      </w:r>
      <w:r w:rsidR="00F53939">
        <w:rPr>
          <w:rFonts w:asciiTheme="minorHAnsi" w:eastAsia="Inter Medium" w:hAnsiTheme="minorHAnsi" w:cstheme="minorHAnsi"/>
          <w:kern w:val="24"/>
          <w:sz w:val="22"/>
          <w:szCs w:val="22"/>
          <w:lang w:val="en-US"/>
        </w:rPr>
        <w:t xml:space="preserve"> the Government’s planned change</w:t>
      </w:r>
      <w:r w:rsidR="00C64BDB">
        <w:rPr>
          <w:rFonts w:asciiTheme="minorHAnsi" w:eastAsia="Inter Medium" w:hAnsiTheme="minorHAnsi" w:cstheme="minorHAnsi"/>
          <w:kern w:val="24"/>
          <w:sz w:val="22"/>
          <w:szCs w:val="22"/>
          <w:lang w:val="en-US"/>
        </w:rPr>
        <w:t>s</w:t>
      </w:r>
      <w:r w:rsidR="00F53939">
        <w:rPr>
          <w:rFonts w:asciiTheme="minorHAnsi" w:eastAsia="Inter Medium" w:hAnsiTheme="minorHAnsi" w:cstheme="minorHAnsi"/>
          <w:kern w:val="24"/>
          <w:sz w:val="22"/>
          <w:szCs w:val="22"/>
          <w:lang w:val="en-US"/>
        </w:rPr>
        <w:t xml:space="preserve"> to reform the FOS.</w:t>
      </w:r>
    </w:p>
    <w:p w14:paraId="36EE43C2" w14:textId="76DBD9D4" w:rsidR="00F53939" w:rsidRPr="00177BEE" w:rsidRDefault="00572F82" w:rsidP="00F53939">
      <w:pPr>
        <w:pStyle w:val="ListParagraph"/>
        <w:numPr>
          <w:ilvl w:val="0"/>
          <w:numId w:val="17"/>
        </w:numPr>
        <w:jc w:val="both"/>
        <w:rPr>
          <w:rFonts w:asciiTheme="minorHAnsi" w:eastAsia="Inter Medium" w:hAnsiTheme="minorHAnsi" w:cstheme="minorHAnsi"/>
          <w:kern w:val="24"/>
          <w:sz w:val="22"/>
          <w:szCs w:val="22"/>
          <w:lang w:val="en-US"/>
        </w:rPr>
      </w:pPr>
      <w:r>
        <w:rPr>
          <w:rFonts w:asciiTheme="minorHAnsi" w:eastAsia="Inter Medium" w:hAnsiTheme="minorHAnsi" w:cstheme="minorHAnsi"/>
          <w:kern w:val="24"/>
          <w:sz w:val="22"/>
          <w:szCs w:val="22"/>
          <w:lang w:val="en-US"/>
        </w:rPr>
        <w:lastRenderedPageBreak/>
        <w:t xml:space="preserve">Following the </w:t>
      </w:r>
      <w:r w:rsidR="00C82E68">
        <w:rPr>
          <w:rFonts w:asciiTheme="minorHAnsi" w:eastAsia="Inter Medium" w:hAnsiTheme="minorHAnsi" w:cstheme="minorHAnsi"/>
          <w:kern w:val="24"/>
          <w:sz w:val="22"/>
          <w:szCs w:val="22"/>
          <w:lang w:val="en-US"/>
        </w:rPr>
        <w:t>s</w:t>
      </w:r>
      <w:r w:rsidR="00F53939" w:rsidRPr="00177BEE">
        <w:rPr>
          <w:rFonts w:asciiTheme="minorHAnsi" w:eastAsia="Inter Medium" w:hAnsiTheme="minorHAnsi" w:cstheme="minorHAnsi"/>
          <w:kern w:val="24"/>
          <w:sz w:val="22"/>
          <w:szCs w:val="22"/>
          <w:lang w:val="en-US"/>
        </w:rPr>
        <w:t xml:space="preserve">uccessful strike out hearing outcome in </w:t>
      </w:r>
      <w:r w:rsidR="00522609">
        <w:rPr>
          <w:rFonts w:asciiTheme="minorHAnsi" w:eastAsia="Inter Medium" w:hAnsiTheme="minorHAnsi" w:cstheme="minorHAnsi"/>
          <w:kern w:val="24"/>
          <w:sz w:val="22"/>
          <w:szCs w:val="22"/>
          <w:lang w:val="en-US"/>
        </w:rPr>
        <w:t xml:space="preserve">the </w:t>
      </w:r>
      <w:r w:rsidR="00F53939" w:rsidRPr="00177BEE">
        <w:rPr>
          <w:rFonts w:asciiTheme="minorHAnsi" w:eastAsia="Inter Medium" w:hAnsiTheme="minorHAnsi" w:cstheme="minorHAnsi"/>
          <w:kern w:val="24"/>
          <w:sz w:val="22"/>
          <w:szCs w:val="22"/>
          <w:lang w:val="en-US"/>
        </w:rPr>
        <w:t>court case against The Money Solicitor (TMS Legal Ltd</w:t>
      </w:r>
      <w:r w:rsidR="00F53939">
        <w:rPr>
          <w:rFonts w:asciiTheme="minorHAnsi" w:eastAsia="Inter Medium" w:hAnsiTheme="minorHAnsi" w:cstheme="minorHAnsi"/>
          <w:kern w:val="24"/>
          <w:sz w:val="22"/>
          <w:szCs w:val="22"/>
          <w:lang w:val="en-US"/>
        </w:rPr>
        <w:t>.</w:t>
      </w:r>
      <w:r w:rsidR="0084692A">
        <w:rPr>
          <w:rFonts w:asciiTheme="minorHAnsi" w:eastAsia="Inter Medium" w:hAnsiTheme="minorHAnsi" w:cstheme="minorHAnsi"/>
          <w:kern w:val="24"/>
          <w:sz w:val="22"/>
          <w:szCs w:val="22"/>
          <w:lang w:val="en-US"/>
        </w:rPr>
        <w:t>)</w:t>
      </w:r>
      <w:r w:rsidR="00F53939">
        <w:rPr>
          <w:rFonts w:asciiTheme="minorHAnsi" w:eastAsia="Inter Medium" w:hAnsiTheme="minorHAnsi" w:cstheme="minorHAnsi"/>
          <w:kern w:val="24"/>
          <w:sz w:val="22"/>
          <w:szCs w:val="22"/>
          <w:lang w:val="en-US"/>
        </w:rPr>
        <w:t>, the CMC responsible for the most unmerited claims in recent years</w:t>
      </w:r>
      <w:r w:rsidR="00522609">
        <w:rPr>
          <w:rFonts w:asciiTheme="minorHAnsi" w:eastAsia="Inter Medium" w:hAnsiTheme="minorHAnsi" w:cstheme="minorHAnsi"/>
          <w:kern w:val="24"/>
          <w:sz w:val="22"/>
          <w:szCs w:val="22"/>
          <w:lang w:val="en-US"/>
        </w:rPr>
        <w:t>, l</w:t>
      </w:r>
      <w:r w:rsidR="00F53939">
        <w:rPr>
          <w:rFonts w:asciiTheme="minorHAnsi" w:eastAsia="Inter Medium" w:hAnsiTheme="minorHAnsi" w:cstheme="minorHAnsi"/>
          <w:kern w:val="24"/>
          <w:sz w:val="22"/>
          <w:szCs w:val="22"/>
          <w:lang w:val="en-US"/>
        </w:rPr>
        <w:t>egal proceedings now progress to trial.</w:t>
      </w:r>
    </w:p>
    <w:p w14:paraId="6DAA353A" w14:textId="77777777" w:rsidR="00F53939" w:rsidRDefault="00F53939" w:rsidP="00F53939">
      <w:pPr>
        <w:jc w:val="both"/>
        <w:rPr>
          <w:rStyle w:val="Strong"/>
          <w:rFonts w:asciiTheme="minorHAnsi" w:hAnsiTheme="minorHAnsi"/>
          <w:color w:val="4747FF"/>
          <w:sz w:val="22"/>
          <w:szCs w:val="22"/>
        </w:rPr>
      </w:pPr>
    </w:p>
    <w:p w14:paraId="35C8E469" w14:textId="68EC2784" w:rsidR="00F53939" w:rsidRDefault="00CB4ACB" w:rsidP="00F53939">
      <w:pPr>
        <w:jc w:val="both"/>
        <w:rPr>
          <w:rStyle w:val="Strong"/>
          <w:rFonts w:asciiTheme="minorHAnsi" w:hAnsiTheme="minorHAnsi"/>
          <w:color w:val="4747FF"/>
          <w:sz w:val="22"/>
          <w:szCs w:val="22"/>
        </w:rPr>
      </w:pPr>
      <w:r>
        <w:rPr>
          <w:rStyle w:val="Strong"/>
          <w:rFonts w:asciiTheme="minorHAnsi" w:hAnsiTheme="minorHAnsi"/>
          <w:color w:val="4747FF"/>
          <w:sz w:val="22"/>
          <w:szCs w:val="22"/>
        </w:rPr>
        <w:t>Motor finance</w:t>
      </w:r>
      <w:r w:rsidR="00F53939" w:rsidRPr="00AC7C00">
        <w:rPr>
          <w:rStyle w:val="Strong"/>
          <w:rFonts w:asciiTheme="minorHAnsi" w:hAnsiTheme="minorHAnsi"/>
          <w:color w:val="4747FF"/>
          <w:sz w:val="22"/>
          <w:szCs w:val="22"/>
        </w:rPr>
        <w:t xml:space="preserve"> commission disclosures update</w:t>
      </w:r>
    </w:p>
    <w:p w14:paraId="76EF712C" w14:textId="77777777" w:rsidR="00F53939" w:rsidRPr="00AC7C00" w:rsidRDefault="00F53939" w:rsidP="00F53939">
      <w:pPr>
        <w:jc w:val="both"/>
        <w:rPr>
          <w:rStyle w:val="Strong"/>
          <w:rFonts w:asciiTheme="minorHAnsi" w:hAnsiTheme="minorHAnsi"/>
          <w:color w:val="4747FF"/>
          <w:sz w:val="22"/>
          <w:szCs w:val="22"/>
        </w:rPr>
      </w:pPr>
    </w:p>
    <w:p w14:paraId="437628C9" w14:textId="358E3699" w:rsidR="00DB76C1" w:rsidRPr="00DB76C1" w:rsidRDefault="00DB76C1" w:rsidP="00DB76C1">
      <w:pPr>
        <w:pStyle w:val="ListParagraph"/>
        <w:numPr>
          <w:ilvl w:val="0"/>
          <w:numId w:val="17"/>
        </w:numPr>
        <w:jc w:val="both"/>
        <w:rPr>
          <w:rFonts w:asciiTheme="minorHAnsi" w:eastAsia="Inter Medium" w:hAnsiTheme="minorHAnsi" w:cstheme="minorHAnsi"/>
          <w:kern w:val="24"/>
          <w:sz w:val="22"/>
          <w:szCs w:val="22"/>
          <w:lang w:val="en-US"/>
        </w:rPr>
      </w:pPr>
      <w:r>
        <w:rPr>
          <w:rFonts w:asciiTheme="minorHAnsi" w:eastAsia="Inter Medium" w:hAnsiTheme="minorHAnsi" w:cstheme="minorHAnsi"/>
          <w:kern w:val="24"/>
          <w:sz w:val="22"/>
          <w:szCs w:val="22"/>
          <w:lang w:val="en-US"/>
        </w:rPr>
        <w:t>T</w:t>
      </w:r>
      <w:r w:rsidRPr="00DB76C1">
        <w:rPr>
          <w:rFonts w:asciiTheme="minorHAnsi" w:eastAsia="Inter Medium" w:hAnsiTheme="minorHAnsi" w:cstheme="minorHAnsi"/>
          <w:kern w:val="24"/>
          <w:sz w:val="22"/>
          <w:szCs w:val="22"/>
          <w:lang w:val="en-US"/>
        </w:rPr>
        <w:t>he Group</w:t>
      </w:r>
      <w:r>
        <w:rPr>
          <w:rFonts w:asciiTheme="minorHAnsi" w:eastAsia="Inter Medium" w:hAnsiTheme="minorHAnsi" w:cstheme="minorHAnsi"/>
          <w:kern w:val="24"/>
          <w:sz w:val="22"/>
          <w:szCs w:val="22"/>
          <w:lang w:val="en-US"/>
        </w:rPr>
        <w:t xml:space="preserve"> </w:t>
      </w:r>
      <w:r w:rsidRPr="00DB76C1">
        <w:rPr>
          <w:rFonts w:asciiTheme="minorHAnsi" w:eastAsia="Inter Medium" w:hAnsiTheme="minorHAnsi" w:cstheme="minorHAnsi"/>
          <w:kern w:val="24"/>
          <w:sz w:val="22"/>
          <w:szCs w:val="22"/>
          <w:lang w:val="en-US"/>
        </w:rPr>
        <w:t>welcomes the clarity provided by the recent Supreme Court Judgment regarding motor finance commission disclosure practices.</w:t>
      </w:r>
      <w:r w:rsidR="00642CCF">
        <w:rPr>
          <w:rFonts w:asciiTheme="minorHAnsi" w:eastAsia="Inter Medium" w:hAnsiTheme="minorHAnsi" w:cstheme="minorHAnsi"/>
          <w:kern w:val="24"/>
          <w:sz w:val="22"/>
          <w:szCs w:val="22"/>
          <w:lang w:val="en-US"/>
        </w:rPr>
        <w:t xml:space="preserve"> </w:t>
      </w:r>
      <w:r w:rsidRPr="00DB76C1">
        <w:rPr>
          <w:rFonts w:asciiTheme="minorHAnsi" w:eastAsia="Inter Medium" w:hAnsiTheme="minorHAnsi" w:cstheme="minorHAnsi"/>
          <w:kern w:val="24"/>
          <w:sz w:val="22"/>
          <w:szCs w:val="22"/>
          <w:lang w:val="en-US"/>
        </w:rPr>
        <w:t>The Supreme Court concluded that motor dealers, when acting as credit brokers, do not owe fiduciary duties to their customers.</w:t>
      </w:r>
    </w:p>
    <w:p w14:paraId="633288C2" w14:textId="1239E788" w:rsidR="00DB76C1" w:rsidRPr="00642CCF" w:rsidRDefault="00DB76C1" w:rsidP="00642CCF">
      <w:pPr>
        <w:pStyle w:val="ListParagraph"/>
        <w:numPr>
          <w:ilvl w:val="0"/>
          <w:numId w:val="17"/>
        </w:numPr>
        <w:jc w:val="both"/>
        <w:rPr>
          <w:rFonts w:asciiTheme="minorHAnsi" w:eastAsia="Inter Medium" w:hAnsiTheme="minorHAnsi" w:cstheme="minorHAnsi"/>
          <w:kern w:val="24"/>
          <w:sz w:val="22"/>
          <w:szCs w:val="22"/>
          <w:lang w:val="en-US"/>
        </w:rPr>
      </w:pPr>
      <w:r w:rsidRPr="00DB76C1">
        <w:rPr>
          <w:rFonts w:asciiTheme="minorHAnsi" w:eastAsia="Inter Medium" w:hAnsiTheme="minorHAnsi" w:cstheme="minorHAnsi"/>
          <w:kern w:val="24"/>
          <w:sz w:val="22"/>
          <w:szCs w:val="22"/>
          <w:lang w:val="en-US"/>
        </w:rPr>
        <w:t xml:space="preserve">In the </w:t>
      </w:r>
      <w:r w:rsidRPr="00642CCF">
        <w:rPr>
          <w:rFonts w:asciiTheme="minorHAnsi" w:eastAsia="Inter Medium" w:hAnsiTheme="minorHAnsi" w:cstheme="minorHAnsi"/>
          <w:i/>
          <w:iCs/>
          <w:kern w:val="24"/>
          <w:sz w:val="22"/>
          <w:szCs w:val="22"/>
          <w:lang w:val="en-US"/>
        </w:rPr>
        <w:t>Johnson</w:t>
      </w:r>
      <w:r w:rsidRPr="00DB76C1">
        <w:rPr>
          <w:rFonts w:asciiTheme="minorHAnsi" w:eastAsia="Inter Medium" w:hAnsiTheme="minorHAnsi" w:cstheme="minorHAnsi"/>
          <w:kern w:val="24"/>
          <w:sz w:val="22"/>
          <w:szCs w:val="22"/>
          <w:lang w:val="en-US"/>
        </w:rPr>
        <w:t xml:space="preserve"> case, the Supreme Court found that an unfair relationship existed between the lender and the borrower under section 140A of the Consumer Credit Act 1974. However, the Court </w:t>
      </w:r>
      <w:r w:rsidR="00735004" w:rsidRPr="00DB76C1">
        <w:rPr>
          <w:rFonts w:asciiTheme="minorHAnsi" w:eastAsia="Inter Medium" w:hAnsiTheme="minorHAnsi" w:cstheme="minorHAnsi"/>
          <w:kern w:val="24"/>
          <w:sz w:val="22"/>
          <w:szCs w:val="22"/>
          <w:lang w:val="en-US"/>
        </w:rPr>
        <w:t>emphasized</w:t>
      </w:r>
      <w:r w:rsidRPr="00DB76C1">
        <w:rPr>
          <w:rFonts w:asciiTheme="minorHAnsi" w:eastAsia="Inter Medium" w:hAnsiTheme="minorHAnsi" w:cstheme="minorHAnsi"/>
          <w:kern w:val="24"/>
          <w:sz w:val="22"/>
          <w:szCs w:val="22"/>
          <w:lang w:val="en-US"/>
        </w:rPr>
        <w:t xml:space="preserve"> that the test for unfairness is highly fact-sensitive, requiring assessment across a broad range of circumstances.</w:t>
      </w:r>
    </w:p>
    <w:p w14:paraId="784C54D8" w14:textId="76FF910D" w:rsidR="006B205D" w:rsidRDefault="006B205D" w:rsidP="006B205D">
      <w:pPr>
        <w:pStyle w:val="NoSpacing"/>
        <w:numPr>
          <w:ilvl w:val="0"/>
          <w:numId w:val="17"/>
        </w:numPr>
        <w:jc w:val="both"/>
        <w:rPr>
          <w:color w:val="000000" w:themeColor="text1"/>
          <w:kern w:val="24"/>
        </w:rPr>
      </w:pPr>
      <w:r w:rsidRPr="00941E08">
        <w:rPr>
          <w:color w:val="000000" w:themeColor="text1"/>
          <w:kern w:val="24"/>
        </w:rPr>
        <w:t>The</w:t>
      </w:r>
      <w:r>
        <w:rPr>
          <w:color w:val="000000" w:themeColor="text1"/>
          <w:kern w:val="24"/>
        </w:rPr>
        <w:t xml:space="preserve"> Group acknowledges the</w:t>
      </w:r>
      <w:r w:rsidRPr="00941E08">
        <w:rPr>
          <w:color w:val="000000" w:themeColor="text1"/>
          <w:kern w:val="24"/>
        </w:rPr>
        <w:t xml:space="preserve"> FCA</w:t>
      </w:r>
      <w:r>
        <w:rPr>
          <w:color w:val="000000" w:themeColor="text1"/>
          <w:kern w:val="24"/>
        </w:rPr>
        <w:t>’s intention to consult on a motor finance compensation scheme.  The</w:t>
      </w:r>
      <w:r w:rsidR="002A21ED">
        <w:rPr>
          <w:color w:val="000000" w:themeColor="text1"/>
          <w:kern w:val="24"/>
        </w:rPr>
        <w:t xml:space="preserve"> </w:t>
      </w:r>
      <w:r w:rsidR="004D1836">
        <w:rPr>
          <w:color w:val="000000" w:themeColor="text1"/>
          <w:kern w:val="24"/>
        </w:rPr>
        <w:t>FCA</w:t>
      </w:r>
      <w:r>
        <w:rPr>
          <w:color w:val="000000" w:themeColor="text1"/>
          <w:kern w:val="24"/>
        </w:rPr>
        <w:t xml:space="preserve"> propose the scheme covers discretionary commission arrangements (DCAs).  Vanquis </w:t>
      </w:r>
      <w:r w:rsidRPr="00941E08">
        <w:rPr>
          <w:color w:val="000000" w:themeColor="text1"/>
          <w:kern w:val="24"/>
        </w:rPr>
        <w:t xml:space="preserve">did </w:t>
      </w:r>
      <w:r w:rsidRPr="0031050C">
        <w:rPr>
          <w:rFonts w:cstheme="minorHAnsi"/>
          <w:color w:val="000000" w:themeColor="text1"/>
          <w:kern w:val="24"/>
        </w:rPr>
        <w:t xml:space="preserve">not </w:t>
      </w:r>
      <w:r w:rsidRPr="00941E08">
        <w:rPr>
          <w:color w:val="000000" w:themeColor="text1"/>
          <w:kern w:val="24"/>
        </w:rPr>
        <w:t>participate in DCAs</w:t>
      </w:r>
      <w:r>
        <w:rPr>
          <w:color w:val="000000" w:themeColor="text1"/>
          <w:kern w:val="24"/>
        </w:rPr>
        <w:t xml:space="preserve"> and would therefore not be in scope for this element of any scheme.</w:t>
      </w:r>
    </w:p>
    <w:p w14:paraId="2978B26D" w14:textId="65C05743" w:rsidR="00966F30" w:rsidRPr="00293F7B" w:rsidRDefault="001724C9" w:rsidP="00293F7B">
      <w:pPr>
        <w:pStyle w:val="NoSpacing"/>
        <w:numPr>
          <w:ilvl w:val="0"/>
          <w:numId w:val="17"/>
        </w:numPr>
        <w:jc w:val="both"/>
        <w:rPr>
          <w:color w:val="000000" w:themeColor="text1"/>
          <w:kern w:val="24"/>
        </w:rPr>
      </w:pPr>
      <w:r w:rsidRPr="008A1C7A">
        <w:rPr>
          <w:color w:val="000000" w:themeColor="text1"/>
          <w:kern w:val="24"/>
        </w:rPr>
        <w:t>W</w:t>
      </w:r>
      <w:r>
        <w:rPr>
          <w:color w:val="000000" w:themeColor="text1"/>
          <w:kern w:val="24"/>
        </w:rPr>
        <w:t>hilst the FCA</w:t>
      </w:r>
      <w:r w:rsidRPr="008A1C7A">
        <w:rPr>
          <w:color w:val="000000" w:themeColor="text1"/>
          <w:kern w:val="24"/>
        </w:rPr>
        <w:t xml:space="preserve"> also</w:t>
      </w:r>
      <w:r>
        <w:rPr>
          <w:color w:val="000000" w:themeColor="text1"/>
          <w:kern w:val="24"/>
        </w:rPr>
        <w:t xml:space="preserve"> intend to</w:t>
      </w:r>
      <w:r w:rsidRPr="008A1C7A">
        <w:rPr>
          <w:color w:val="000000" w:themeColor="text1"/>
          <w:kern w:val="24"/>
        </w:rPr>
        <w:t xml:space="preserve"> consult on </w:t>
      </w:r>
      <w:r>
        <w:rPr>
          <w:color w:val="000000" w:themeColor="text1"/>
          <w:kern w:val="24"/>
        </w:rPr>
        <w:t>the inclusion of certain</w:t>
      </w:r>
      <w:r w:rsidRPr="008A1C7A">
        <w:rPr>
          <w:color w:val="000000" w:themeColor="text1"/>
          <w:kern w:val="24"/>
        </w:rPr>
        <w:t xml:space="preserve"> non-discretionary commission arrangements </w:t>
      </w:r>
      <w:r>
        <w:rPr>
          <w:color w:val="000000" w:themeColor="text1"/>
          <w:kern w:val="24"/>
        </w:rPr>
        <w:t xml:space="preserve">following </w:t>
      </w:r>
      <w:r w:rsidRPr="008A1C7A">
        <w:rPr>
          <w:color w:val="000000" w:themeColor="text1"/>
          <w:kern w:val="24"/>
        </w:rPr>
        <w:t>the</w:t>
      </w:r>
      <w:r>
        <w:rPr>
          <w:color w:val="000000" w:themeColor="text1"/>
          <w:kern w:val="24"/>
        </w:rPr>
        <w:t xml:space="preserve"> unfair relationship</w:t>
      </w:r>
      <w:r w:rsidRPr="008A1C7A">
        <w:rPr>
          <w:color w:val="000000" w:themeColor="text1"/>
          <w:kern w:val="24"/>
        </w:rPr>
        <w:t xml:space="preserve"> Supreme Court decision in the Johnson case</w:t>
      </w:r>
      <w:r>
        <w:rPr>
          <w:color w:val="000000" w:themeColor="text1"/>
          <w:kern w:val="24"/>
        </w:rPr>
        <w:t xml:space="preserve">, </w:t>
      </w:r>
      <w:r w:rsidRPr="00941E08">
        <w:rPr>
          <w:color w:val="000000" w:themeColor="text1"/>
          <w:kern w:val="24"/>
        </w:rPr>
        <w:t xml:space="preserve">Vanquis </w:t>
      </w:r>
      <w:r>
        <w:rPr>
          <w:color w:val="000000" w:themeColor="text1"/>
          <w:kern w:val="24"/>
        </w:rPr>
        <w:t xml:space="preserve">believes its </w:t>
      </w:r>
      <w:r w:rsidRPr="00941E08">
        <w:rPr>
          <w:color w:val="000000" w:themeColor="text1"/>
          <w:kern w:val="24"/>
        </w:rPr>
        <w:t>position is</w:t>
      </w:r>
      <w:r w:rsidRPr="0031050C">
        <w:rPr>
          <w:rFonts w:cstheme="minorHAnsi"/>
          <w:color w:val="000000" w:themeColor="text1"/>
          <w:kern w:val="24"/>
        </w:rPr>
        <w:t xml:space="preserve"> clearly di</w:t>
      </w:r>
      <w:r>
        <w:rPr>
          <w:rFonts w:cstheme="minorHAnsi"/>
          <w:color w:val="000000" w:themeColor="text1"/>
          <w:kern w:val="24"/>
        </w:rPr>
        <w:t>fferentiated</w:t>
      </w:r>
      <w:r w:rsidRPr="00941E08">
        <w:rPr>
          <w:color w:val="000000" w:themeColor="text1"/>
          <w:kern w:val="24"/>
        </w:rPr>
        <w:t xml:space="preserve"> </w:t>
      </w:r>
      <w:r>
        <w:rPr>
          <w:iCs/>
          <w:color w:val="000000" w:themeColor="text1"/>
          <w:kern w:val="24"/>
        </w:rPr>
        <w:t>on a number of grounds</w:t>
      </w:r>
      <w:r>
        <w:rPr>
          <w:i/>
          <w:color w:val="000000" w:themeColor="text1"/>
          <w:kern w:val="24"/>
        </w:rPr>
        <w:t xml:space="preserve">. </w:t>
      </w:r>
      <w:r w:rsidRPr="002E78B7">
        <w:rPr>
          <w:iCs/>
          <w:color w:val="000000" w:themeColor="text1"/>
          <w:kern w:val="24"/>
        </w:rPr>
        <w:t>T</w:t>
      </w:r>
      <w:r>
        <w:rPr>
          <w:iCs/>
          <w:color w:val="000000" w:themeColor="text1"/>
          <w:kern w:val="24"/>
        </w:rPr>
        <w:t xml:space="preserve">hese include, but are not limited to, the fact the Group provided </w:t>
      </w:r>
      <w:r>
        <w:rPr>
          <w:color w:val="000000" w:themeColor="text1"/>
          <w:kern w:val="24"/>
        </w:rPr>
        <w:t xml:space="preserve">significantly better commission disclosures than those in </w:t>
      </w:r>
      <w:r w:rsidRPr="00345835">
        <w:rPr>
          <w:i/>
          <w:iCs/>
          <w:color w:val="000000" w:themeColor="text1"/>
          <w:kern w:val="24"/>
        </w:rPr>
        <w:t>Johnson</w:t>
      </w:r>
      <w:r>
        <w:rPr>
          <w:i/>
          <w:iCs/>
          <w:color w:val="000000" w:themeColor="text1"/>
          <w:kern w:val="24"/>
        </w:rPr>
        <w:t xml:space="preserve">, </w:t>
      </w:r>
      <w:r w:rsidRPr="00682660">
        <w:rPr>
          <w:color w:val="000000" w:themeColor="text1"/>
          <w:kern w:val="24"/>
        </w:rPr>
        <w:t xml:space="preserve">with substantially lower average commissions relative to the charge for credit.  </w:t>
      </w:r>
      <w:r w:rsidRPr="00CD3507">
        <w:rPr>
          <w:color w:val="000000" w:themeColor="text1"/>
          <w:kern w:val="24"/>
        </w:rPr>
        <w:t xml:space="preserve">Vehicle </w:t>
      </w:r>
      <w:r w:rsidR="00021783">
        <w:rPr>
          <w:color w:val="000000" w:themeColor="text1"/>
          <w:kern w:val="24"/>
        </w:rPr>
        <w:t>F</w:t>
      </w:r>
      <w:r w:rsidRPr="00CD3507">
        <w:rPr>
          <w:color w:val="000000" w:themeColor="text1"/>
          <w:kern w:val="24"/>
        </w:rPr>
        <w:t xml:space="preserve">inance customers </w:t>
      </w:r>
      <w:r>
        <w:rPr>
          <w:color w:val="000000" w:themeColor="text1"/>
          <w:kern w:val="24"/>
        </w:rPr>
        <w:t xml:space="preserve">also </w:t>
      </w:r>
      <w:r w:rsidRPr="00CD3507">
        <w:rPr>
          <w:color w:val="000000" w:themeColor="text1"/>
          <w:kern w:val="24"/>
        </w:rPr>
        <w:t>signed pre-contractual documentation confirming that a commission will be paid</w:t>
      </w:r>
      <w:r>
        <w:rPr>
          <w:color w:val="000000" w:themeColor="text1"/>
          <w:kern w:val="24"/>
        </w:rPr>
        <w:t>.</w:t>
      </w:r>
    </w:p>
    <w:p w14:paraId="7D0FDAB9" w14:textId="29BDB3E9" w:rsidR="00F53939" w:rsidRPr="00E6212A" w:rsidRDefault="00E476E0" w:rsidP="00E6212A">
      <w:pPr>
        <w:pStyle w:val="ListParagraph"/>
        <w:numPr>
          <w:ilvl w:val="0"/>
          <w:numId w:val="17"/>
        </w:numPr>
        <w:jc w:val="both"/>
        <w:rPr>
          <w:rFonts w:asciiTheme="minorHAnsi" w:eastAsia="Inter Medium" w:hAnsiTheme="minorHAnsi" w:cstheme="minorHAnsi"/>
          <w:kern w:val="24"/>
          <w:sz w:val="22"/>
          <w:szCs w:val="22"/>
          <w:lang w:val="en-US"/>
        </w:rPr>
      </w:pPr>
      <w:r w:rsidRPr="00E476E0">
        <w:rPr>
          <w:rFonts w:asciiTheme="minorHAnsi" w:eastAsia="Inter Medium" w:hAnsiTheme="minorHAnsi" w:cstheme="minorHAnsi"/>
          <w:kern w:val="24"/>
          <w:sz w:val="22"/>
          <w:szCs w:val="22"/>
          <w:lang w:val="en-US"/>
        </w:rPr>
        <w:t>As a result, the Group believes that any liability is limited and</w:t>
      </w:r>
      <w:r w:rsidR="003E5C6B">
        <w:rPr>
          <w:rFonts w:asciiTheme="minorHAnsi" w:eastAsia="Inter Medium" w:hAnsiTheme="minorHAnsi" w:cstheme="minorHAnsi"/>
          <w:kern w:val="24"/>
          <w:sz w:val="22"/>
          <w:szCs w:val="22"/>
          <w:lang w:val="en-US"/>
        </w:rPr>
        <w:t xml:space="preserve">, </w:t>
      </w:r>
      <w:r w:rsidR="00E6212A">
        <w:rPr>
          <w:rFonts w:asciiTheme="minorHAnsi" w:eastAsia="Inter Medium" w:hAnsiTheme="minorHAnsi" w:cstheme="minorHAnsi"/>
          <w:kern w:val="24"/>
          <w:sz w:val="22"/>
          <w:szCs w:val="22"/>
          <w:lang w:val="en-US"/>
        </w:rPr>
        <w:t>as such, i</w:t>
      </w:r>
      <w:r w:rsidR="00F53939" w:rsidRPr="00E6212A">
        <w:rPr>
          <w:rFonts w:asciiTheme="minorHAnsi" w:eastAsia="Inter Medium" w:hAnsiTheme="minorHAnsi" w:cstheme="minorHAnsi"/>
          <w:kern w:val="24"/>
          <w:sz w:val="22"/>
          <w:szCs w:val="22"/>
          <w:lang w:val="en-US"/>
        </w:rPr>
        <w:t>n accordance with IAS 37, has not made a provision for this matter</w:t>
      </w:r>
      <w:r w:rsidR="00377283">
        <w:rPr>
          <w:rFonts w:asciiTheme="minorHAnsi" w:eastAsia="Inter Medium" w:hAnsiTheme="minorHAnsi" w:cstheme="minorHAnsi"/>
          <w:kern w:val="24"/>
          <w:sz w:val="22"/>
          <w:szCs w:val="22"/>
          <w:lang w:val="en-US"/>
        </w:rPr>
        <w:t xml:space="preserve">, but has </w:t>
      </w:r>
      <w:r w:rsidR="00740960" w:rsidRPr="00E6212A">
        <w:rPr>
          <w:rFonts w:asciiTheme="minorHAnsi" w:eastAsia="Inter Medium" w:hAnsiTheme="minorHAnsi" w:cstheme="minorHAnsi"/>
          <w:kern w:val="24"/>
          <w:sz w:val="22"/>
          <w:szCs w:val="22"/>
          <w:lang w:val="en-US"/>
        </w:rPr>
        <w:t>disclosed</w:t>
      </w:r>
      <w:r w:rsidR="00F53939" w:rsidRPr="00E6212A">
        <w:rPr>
          <w:rFonts w:asciiTheme="minorHAnsi" w:eastAsia="Inter Medium" w:hAnsiTheme="minorHAnsi" w:cstheme="minorHAnsi"/>
          <w:kern w:val="24"/>
          <w:sz w:val="22"/>
          <w:szCs w:val="22"/>
          <w:lang w:val="en-US"/>
        </w:rPr>
        <w:t xml:space="preserve"> </w:t>
      </w:r>
      <w:r w:rsidR="00377283">
        <w:rPr>
          <w:rFonts w:asciiTheme="minorHAnsi" w:eastAsia="Inter Medium" w:hAnsiTheme="minorHAnsi" w:cstheme="minorHAnsi"/>
          <w:kern w:val="24"/>
          <w:sz w:val="22"/>
          <w:szCs w:val="22"/>
          <w:lang w:val="en-US"/>
        </w:rPr>
        <w:t xml:space="preserve">a </w:t>
      </w:r>
      <w:r w:rsidR="00F53939" w:rsidRPr="00E6212A">
        <w:rPr>
          <w:rFonts w:asciiTheme="minorHAnsi" w:eastAsia="Inter Medium" w:hAnsiTheme="minorHAnsi" w:cstheme="minorHAnsi"/>
          <w:kern w:val="24"/>
          <w:sz w:val="22"/>
          <w:szCs w:val="22"/>
          <w:lang w:val="en-US"/>
        </w:rPr>
        <w:t>contingent liability.</w:t>
      </w:r>
    </w:p>
    <w:p w14:paraId="55D6FCEA" w14:textId="33B190B3" w:rsidR="000B09E4" w:rsidRDefault="00205ACD" w:rsidP="006945AB">
      <w:pPr>
        <w:numPr>
          <w:ilvl w:val="0"/>
          <w:numId w:val="17"/>
        </w:numPr>
        <w:rPr>
          <w:rFonts w:asciiTheme="minorHAnsi" w:eastAsia="Inter Medium" w:hAnsiTheme="minorHAnsi" w:cstheme="minorHAnsi"/>
          <w:kern w:val="24"/>
          <w:sz w:val="22"/>
          <w:szCs w:val="22"/>
          <w:lang w:val="en-US"/>
        </w:rPr>
      </w:pPr>
      <w:r>
        <w:rPr>
          <w:rFonts w:asciiTheme="minorHAnsi" w:eastAsia="Inter Medium" w:hAnsiTheme="minorHAnsi" w:cstheme="minorHAnsi"/>
          <w:kern w:val="24"/>
          <w:sz w:val="22"/>
          <w:szCs w:val="22"/>
          <w:lang w:val="en-US"/>
        </w:rPr>
        <w:t>The</w:t>
      </w:r>
      <w:r w:rsidR="006945AB" w:rsidRPr="006945AB">
        <w:rPr>
          <w:rFonts w:asciiTheme="minorHAnsi" w:eastAsia="Inter Medium" w:hAnsiTheme="minorHAnsi" w:cstheme="minorHAnsi"/>
          <w:kern w:val="24"/>
          <w:sz w:val="22"/>
          <w:szCs w:val="22"/>
          <w:lang w:val="en-US"/>
        </w:rPr>
        <w:t xml:space="preserve"> FCA</w:t>
      </w:r>
      <w:r>
        <w:rPr>
          <w:rFonts w:asciiTheme="minorHAnsi" w:eastAsia="Inter Medium" w:hAnsiTheme="minorHAnsi" w:cstheme="minorHAnsi"/>
          <w:kern w:val="24"/>
          <w:sz w:val="22"/>
          <w:szCs w:val="22"/>
          <w:lang w:val="en-US"/>
        </w:rPr>
        <w:t xml:space="preserve"> has</w:t>
      </w:r>
      <w:r w:rsidR="006945AB" w:rsidRPr="006945AB">
        <w:rPr>
          <w:rFonts w:asciiTheme="minorHAnsi" w:eastAsia="Inter Medium" w:hAnsiTheme="minorHAnsi" w:cstheme="minorHAnsi"/>
          <w:kern w:val="24"/>
          <w:sz w:val="22"/>
          <w:szCs w:val="22"/>
          <w:lang w:val="en-US"/>
        </w:rPr>
        <w:t xml:space="preserve"> extended</w:t>
      </w:r>
      <w:r w:rsidR="00745DDC">
        <w:rPr>
          <w:rFonts w:asciiTheme="minorHAnsi" w:eastAsia="Inter Medium" w:hAnsiTheme="minorHAnsi" w:cstheme="minorHAnsi"/>
          <w:kern w:val="24"/>
          <w:sz w:val="22"/>
          <w:szCs w:val="22"/>
          <w:lang w:val="en-US"/>
        </w:rPr>
        <w:t xml:space="preserve"> the</w:t>
      </w:r>
      <w:r w:rsidR="006945AB" w:rsidRPr="006945AB">
        <w:rPr>
          <w:rFonts w:asciiTheme="minorHAnsi" w:eastAsia="Inter Medium" w:hAnsiTheme="minorHAnsi" w:cstheme="minorHAnsi"/>
          <w:kern w:val="24"/>
          <w:sz w:val="22"/>
          <w:szCs w:val="22"/>
          <w:lang w:val="en-US"/>
        </w:rPr>
        <w:t xml:space="preserve"> timeline on Vehicle Finance commission complaints, currently running until 4 December 2025</w:t>
      </w:r>
      <w:r w:rsidR="000A3083">
        <w:rPr>
          <w:rFonts w:asciiTheme="minorHAnsi" w:eastAsia="Inter Medium" w:hAnsiTheme="minorHAnsi" w:cstheme="minorHAnsi"/>
          <w:kern w:val="24"/>
          <w:sz w:val="22"/>
          <w:szCs w:val="22"/>
          <w:lang w:val="en-US"/>
        </w:rPr>
        <w:t>,</w:t>
      </w:r>
      <w:r w:rsidR="000B09E4">
        <w:rPr>
          <w:rFonts w:asciiTheme="minorHAnsi" w:eastAsia="Inter Medium" w:hAnsiTheme="minorHAnsi" w:cstheme="minorHAnsi"/>
          <w:kern w:val="24"/>
          <w:sz w:val="22"/>
          <w:szCs w:val="22"/>
          <w:lang w:val="en-US"/>
        </w:rPr>
        <w:t xml:space="preserve"> </w:t>
      </w:r>
      <w:r w:rsidR="000A3083">
        <w:rPr>
          <w:rFonts w:asciiTheme="minorHAnsi" w:eastAsia="Inter Medium" w:hAnsiTheme="minorHAnsi" w:cstheme="minorHAnsi"/>
          <w:kern w:val="24"/>
          <w:sz w:val="22"/>
          <w:szCs w:val="22"/>
          <w:lang w:val="en-US"/>
        </w:rPr>
        <w:t>which is</w:t>
      </w:r>
      <w:r w:rsidR="006945AB" w:rsidRPr="006945AB">
        <w:rPr>
          <w:rFonts w:asciiTheme="minorHAnsi" w:eastAsia="Inter Medium" w:hAnsiTheme="minorHAnsi" w:cstheme="minorHAnsi"/>
          <w:kern w:val="24"/>
          <w:sz w:val="22"/>
          <w:szCs w:val="22"/>
          <w:lang w:val="en-US"/>
        </w:rPr>
        <w:t xml:space="preserve"> subject to further extension. </w:t>
      </w:r>
    </w:p>
    <w:p w14:paraId="25BF3278" w14:textId="1CCF4000" w:rsidR="006945AB" w:rsidRPr="006945AB" w:rsidRDefault="006945AB" w:rsidP="006945AB">
      <w:pPr>
        <w:numPr>
          <w:ilvl w:val="0"/>
          <w:numId w:val="17"/>
        </w:numPr>
        <w:rPr>
          <w:rFonts w:asciiTheme="minorHAnsi" w:eastAsia="Inter Medium" w:hAnsiTheme="minorHAnsi" w:cstheme="minorHAnsi"/>
          <w:kern w:val="24"/>
          <w:sz w:val="22"/>
          <w:szCs w:val="22"/>
          <w:lang w:val="en-US"/>
        </w:rPr>
      </w:pPr>
      <w:r w:rsidRPr="006945AB">
        <w:rPr>
          <w:rFonts w:asciiTheme="minorHAnsi" w:eastAsia="Inter Medium" w:hAnsiTheme="minorHAnsi" w:cstheme="minorHAnsi"/>
          <w:kern w:val="24"/>
          <w:sz w:val="22"/>
          <w:szCs w:val="22"/>
          <w:lang w:val="en-US"/>
        </w:rPr>
        <w:t>As of 4 August 2025, the Group had received approximately 16,700 complaints alleging an unfair relationship related to</w:t>
      </w:r>
      <w:r w:rsidR="00D73991">
        <w:rPr>
          <w:rFonts w:asciiTheme="minorHAnsi" w:eastAsia="Inter Medium" w:hAnsiTheme="minorHAnsi" w:cstheme="minorHAnsi"/>
          <w:kern w:val="24"/>
          <w:sz w:val="22"/>
          <w:szCs w:val="22"/>
          <w:lang w:val="en-US"/>
        </w:rPr>
        <w:t xml:space="preserve"> the</w:t>
      </w:r>
      <w:r w:rsidRPr="006945AB">
        <w:rPr>
          <w:rFonts w:asciiTheme="minorHAnsi" w:eastAsia="Inter Medium" w:hAnsiTheme="minorHAnsi" w:cstheme="minorHAnsi"/>
          <w:kern w:val="24"/>
          <w:sz w:val="22"/>
          <w:szCs w:val="22"/>
          <w:lang w:val="en-US"/>
        </w:rPr>
        <w:t xml:space="preserve"> commission</w:t>
      </w:r>
      <w:r w:rsidR="00410445">
        <w:rPr>
          <w:rFonts w:asciiTheme="minorHAnsi" w:eastAsia="Inter Medium" w:hAnsiTheme="minorHAnsi" w:cstheme="minorHAnsi"/>
          <w:kern w:val="24"/>
          <w:sz w:val="22"/>
          <w:szCs w:val="22"/>
          <w:lang w:val="en-US"/>
        </w:rPr>
        <w:t xml:space="preserve"> a</w:t>
      </w:r>
      <w:r w:rsidR="00770F4C">
        <w:rPr>
          <w:rFonts w:asciiTheme="minorHAnsi" w:eastAsia="Inter Medium" w:hAnsiTheme="minorHAnsi" w:cstheme="minorHAnsi"/>
          <w:kern w:val="24"/>
          <w:sz w:val="22"/>
          <w:szCs w:val="22"/>
          <w:lang w:val="en-US"/>
        </w:rPr>
        <w:t>mount</w:t>
      </w:r>
      <w:r w:rsidRPr="006945AB">
        <w:rPr>
          <w:rFonts w:asciiTheme="minorHAnsi" w:eastAsia="Inter Medium" w:hAnsiTheme="minorHAnsi" w:cstheme="minorHAnsi"/>
          <w:kern w:val="24"/>
          <w:sz w:val="22"/>
          <w:szCs w:val="22"/>
          <w:lang w:val="en-US"/>
        </w:rPr>
        <w:t xml:space="preserve"> — out of around 62,000 total complaints under the extension. This marks an increase from around 4,500 at the end of 2024, driven by heightened public awareness following recent legal and regulatory developments.</w:t>
      </w:r>
    </w:p>
    <w:p w14:paraId="07A64AB1" w14:textId="6D5E527E" w:rsidR="00770F4C" w:rsidRDefault="006945AB" w:rsidP="006945AB">
      <w:pPr>
        <w:numPr>
          <w:ilvl w:val="0"/>
          <w:numId w:val="17"/>
        </w:numPr>
        <w:rPr>
          <w:rFonts w:asciiTheme="minorHAnsi" w:eastAsia="Inter Medium" w:hAnsiTheme="minorHAnsi" w:cstheme="minorHAnsi"/>
          <w:kern w:val="24"/>
          <w:sz w:val="22"/>
          <w:szCs w:val="22"/>
          <w:lang w:val="en-US"/>
        </w:rPr>
      </w:pPr>
      <w:r w:rsidRPr="006945AB">
        <w:rPr>
          <w:rFonts w:asciiTheme="minorHAnsi" w:eastAsia="Inter Medium" w:hAnsiTheme="minorHAnsi" w:cstheme="minorHAnsi"/>
          <w:kern w:val="24"/>
          <w:sz w:val="22"/>
          <w:szCs w:val="22"/>
          <w:lang w:val="en-US"/>
        </w:rPr>
        <w:t xml:space="preserve">Around 99% of these complaints have been submitted by CMCs. </w:t>
      </w:r>
    </w:p>
    <w:p w14:paraId="32FFE044" w14:textId="31A8C7CA" w:rsidR="006945AB" w:rsidRPr="006945AB" w:rsidRDefault="00332A99" w:rsidP="006945AB">
      <w:pPr>
        <w:numPr>
          <w:ilvl w:val="0"/>
          <w:numId w:val="17"/>
        </w:numPr>
        <w:rPr>
          <w:rFonts w:asciiTheme="minorHAnsi" w:eastAsia="Inter Medium" w:hAnsiTheme="minorHAnsi" w:cstheme="minorHAnsi"/>
          <w:kern w:val="24"/>
          <w:sz w:val="22"/>
          <w:szCs w:val="22"/>
          <w:lang w:val="en-US"/>
        </w:rPr>
      </w:pPr>
      <w:r>
        <w:rPr>
          <w:rFonts w:asciiTheme="minorHAnsi" w:eastAsia="Inter Medium" w:hAnsiTheme="minorHAnsi" w:cstheme="minorHAnsi"/>
          <w:kern w:val="24"/>
          <w:sz w:val="22"/>
          <w:szCs w:val="22"/>
          <w:lang w:val="en-US"/>
        </w:rPr>
        <w:t>The Group has s</w:t>
      </w:r>
      <w:r w:rsidR="006945AB" w:rsidRPr="006945AB">
        <w:rPr>
          <w:rFonts w:asciiTheme="minorHAnsi" w:eastAsia="Inter Medium" w:hAnsiTheme="minorHAnsi" w:cstheme="minorHAnsi"/>
          <w:kern w:val="24"/>
          <w:sz w:val="22"/>
          <w:szCs w:val="22"/>
          <w:lang w:val="en-US"/>
        </w:rPr>
        <w:t>uccessfully defended 46 out of 49 Vehicle Finance commission court cases. Additionally, over 400 decisions at the FOS Adjudicator level have been in the Group’s favour, with no adverse outcomes to date.</w:t>
      </w:r>
    </w:p>
    <w:p w14:paraId="29637DA4" w14:textId="1D4B4CCC" w:rsidR="006945AB" w:rsidRPr="006945AB" w:rsidRDefault="006945AB" w:rsidP="006945AB">
      <w:pPr>
        <w:numPr>
          <w:ilvl w:val="0"/>
          <w:numId w:val="17"/>
        </w:numPr>
        <w:jc w:val="both"/>
        <w:rPr>
          <w:rFonts w:asciiTheme="minorHAnsi" w:eastAsia="Inter Medium" w:hAnsiTheme="minorHAnsi" w:cstheme="minorHAnsi"/>
          <w:kern w:val="24"/>
          <w:sz w:val="22"/>
          <w:szCs w:val="22"/>
          <w:lang w:val="en-US"/>
        </w:rPr>
      </w:pPr>
      <w:r w:rsidRPr="006945AB">
        <w:rPr>
          <w:rFonts w:asciiTheme="minorHAnsi" w:eastAsia="Inter Medium" w:hAnsiTheme="minorHAnsi" w:cstheme="minorHAnsi"/>
          <w:kern w:val="24"/>
          <w:sz w:val="22"/>
          <w:szCs w:val="22"/>
          <w:lang w:val="en-US"/>
        </w:rPr>
        <w:t>Vanquis remains confident in its position and continues to assess each complaint on its individual merits.</w:t>
      </w:r>
    </w:p>
    <w:p w14:paraId="43573A75" w14:textId="77777777" w:rsidR="00583723" w:rsidRPr="0027504F" w:rsidRDefault="00583723" w:rsidP="00F53939">
      <w:pPr>
        <w:jc w:val="both"/>
        <w:rPr>
          <w:rFonts w:ascii="Calibri" w:hAnsi="Calibri" w:cs="Calibri"/>
          <w:sz w:val="20"/>
          <w:szCs w:val="20"/>
        </w:rPr>
      </w:pPr>
    </w:p>
    <w:p w14:paraId="0599261A" w14:textId="77777777" w:rsidR="00F53939" w:rsidRPr="00A166EB" w:rsidRDefault="00F53939" w:rsidP="00F53939">
      <w:pPr>
        <w:pStyle w:val="NoSpacing"/>
        <w:jc w:val="both"/>
        <w:rPr>
          <w:rStyle w:val="Strong"/>
          <w:color w:val="4747FF"/>
          <w:u w:val="single"/>
        </w:rPr>
      </w:pPr>
      <w:r w:rsidRPr="00A166EB">
        <w:rPr>
          <w:rStyle w:val="Strong"/>
          <w:color w:val="4747FF"/>
          <w:u w:val="single"/>
        </w:rPr>
        <w:t>Results webcast</w:t>
      </w:r>
    </w:p>
    <w:p w14:paraId="5F577395" w14:textId="77777777" w:rsidR="00F53939" w:rsidRDefault="00F53939" w:rsidP="00F53939">
      <w:pPr>
        <w:pStyle w:val="NoSpacing"/>
        <w:jc w:val="both"/>
        <w:rPr>
          <w:rStyle w:val="Strong"/>
          <w:color w:val="4747FF"/>
        </w:rPr>
      </w:pPr>
    </w:p>
    <w:p w14:paraId="38FA078D" w14:textId="77777777" w:rsidR="00F53939" w:rsidRDefault="00F53939" w:rsidP="00F53939">
      <w:pPr>
        <w:pStyle w:val="NoSpacing"/>
        <w:jc w:val="both"/>
        <w:rPr>
          <w:rStyle w:val="Strong"/>
          <w:b w:val="0"/>
          <w:bCs w:val="0"/>
        </w:rPr>
      </w:pPr>
      <w:r w:rsidRPr="00375C19">
        <w:rPr>
          <w:rStyle w:val="Strong"/>
          <w:b w:val="0"/>
          <w:bCs w:val="0"/>
        </w:rPr>
        <w:t>Ian McLaughlin, CEO</w:t>
      </w:r>
      <w:r>
        <w:rPr>
          <w:rStyle w:val="Strong"/>
          <w:b w:val="0"/>
          <w:bCs w:val="0"/>
        </w:rPr>
        <w:t>, and Dave Watts, CFO,</w:t>
      </w:r>
      <w:r w:rsidRPr="00375C19">
        <w:rPr>
          <w:rStyle w:val="Strong"/>
          <w:b w:val="0"/>
          <w:bCs w:val="0"/>
        </w:rPr>
        <w:t xml:space="preserve"> will host a </w:t>
      </w:r>
      <w:r>
        <w:rPr>
          <w:rStyle w:val="Strong"/>
          <w:b w:val="0"/>
          <w:bCs w:val="0"/>
        </w:rPr>
        <w:t xml:space="preserve">results </w:t>
      </w:r>
      <w:r w:rsidRPr="00375C19">
        <w:rPr>
          <w:rStyle w:val="Strong"/>
          <w:b w:val="0"/>
          <w:bCs w:val="0"/>
        </w:rPr>
        <w:t>webcast at 0</w:t>
      </w:r>
      <w:r>
        <w:rPr>
          <w:rStyle w:val="Strong"/>
          <w:b w:val="0"/>
          <w:bCs w:val="0"/>
        </w:rPr>
        <w:t>9</w:t>
      </w:r>
      <w:r w:rsidRPr="00375C19">
        <w:rPr>
          <w:rStyle w:val="Strong"/>
          <w:b w:val="0"/>
          <w:bCs w:val="0"/>
        </w:rPr>
        <w:t>:</w:t>
      </w:r>
      <w:r>
        <w:rPr>
          <w:rStyle w:val="Strong"/>
          <w:b w:val="0"/>
          <w:bCs w:val="0"/>
        </w:rPr>
        <w:t>0</w:t>
      </w:r>
      <w:r w:rsidRPr="00375C19">
        <w:rPr>
          <w:rStyle w:val="Strong"/>
          <w:b w:val="0"/>
          <w:bCs w:val="0"/>
        </w:rPr>
        <w:t>0 today</w:t>
      </w:r>
      <w:r>
        <w:rPr>
          <w:rStyle w:val="Strong"/>
          <w:b w:val="0"/>
          <w:bCs w:val="0"/>
        </w:rPr>
        <w:t xml:space="preserve">. </w:t>
      </w:r>
      <w:r w:rsidRPr="00375C19">
        <w:rPr>
          <w:rStyle w:val="Strong"/>
          <w:b w:val="0"/>
          <w:bCs w:val="0"/>
        </w:rPr>
        <w:t>To register your attendance, please use this li</w:t>
      </w:r>
      <w:r>
        <w:rPr>
          <w:rStyle w:val="Strong"/>
          <w:b w:val="0"/>
          <w:bCs w:val="0"/>
        </w:rPr>
        <w:t>nk:</w:t>
      </w:r>
      <w:r>
        <w:t xml:space="preserve"> </w:t>
      </w:r>
      <w:hyperlink r:id="rId13" w:tgtFrame="_blank" w:tooltip="https://gbr01.safelinks.protection.outlook.com/?url=https%3a%2f%2fwebcast.openbriefing.com%2fvanquis-2025%2f&amp;data=05%7c02%7cjames.cranstoun%40vanquis.com%7c1d1f8a4786ef447e44d408dda9be0786%7c73984ebf3c4345de900f969cd50a6a65%7c0%7c0%7c638853356128785668%7cunkno" w:history="1">
        <w:r w:rsidRPr="0081397D">
          <w:rPr>
            <w:rStyle w:val="Hyperlink"/>
          </w:rPr>
          <w:t>https://webcast.openbriefing.com/vanquis-2025/</w:t>
        </w:r>
      </w:hyperlink>
      <w:r>
        <w:rPr>
          <w:rStyle w:val="Strong"/>
          <w:b w:val="0"/>
          <w:bCs w:val="0"/>
        </w:rPr>
        <w:t xml:space="preserve"> </w:t>
      </w:r>
    </w:p>
    <w:p w14:paraId="6B007FB1" w14:textId="77777777" w:rsidR="00F53939" w:rsidRDefault="00F53939" w:rsidP="00F53939">
      <w:pPr>
        <w:jc w:val="both"/>
        <w:rPr>
          <w:rFonts w:asciiTheme="minorHAnsi" w:hAnsiTheme="minorHAnsi" w:cstheme="minorBidi"/>
          <w:sz w:val="22"/>
          <w:szCs w:val="22"/>
        </w:rPr>
      </w:pPr>
    </w:p>
    <w:p w14:paraId="0D2F907B" w14:textId="0C1A6A25" w:rsidR="00F53939" w:rsidRDefault="00F53939" w:rsidP="00F53939">
      <w:pPr>
        <w:spacing w:line="259" w:lineRule="auto"/>
        <w:rPr>
          <w:rFonts w:asciiTheme="minorHAnsi" w:hAnsiTheme="minorHAnsi" w:cstheme="minorBidi"/>
          <w:sz w:val="22"/>
          <w:szCs w:val="22"/>
        </w:rPr>
      </w:pPr>
      <w:r w:rsidRPr="449E8773">
        <w:rPr>
          <w:rFonts w:asciiTheme="minorHAnsi" w:hAnsiTheme="minorHAnsi" w:cstheme="minorBidi"/>
          <w:sz w:val="22"/>
          <w:szCs w:val="22"/>
        </w:rPr>
        <w:t xml:space="preserve">Materials for the results presentation </w:t>
      </w:r>
      <w:r>
        <w:rPr>
          <w:rFonts w:asciiTheme="minorHAnsi" w:hAnsiTheme="minorHAnsi" w:cstheme="minorBidi"/>
          <w:sz w:val="22"/>
          <w:szCs w:val="22"/>
        </w:rPr>
        <w:t>have been</w:t>
      </w:r>
      <w:r w:rsidRPr="449E8773">
        <w:rPr>
          <w:rFonts w:asciiTheme="minorHAnsi" w:hAnsiTheme="minorHAnsi" w:cstheme="minorBidi"/>
          <w:sz w:val="22"/>
          <w:szCs w:val="22"/>
        </w:rPr>
        <w:t xml:space="preserve"> published</w:t>
      </w:r>
      <w:r>
        <w:rPr>
          <w:rFonts w:asciiTheme="minorHAnsi" w:hAnsiTheme="minorHAnsi" w:cstheme="minorBidi"/>
          <w:sz w:val="22"/>
          <w:szCs w:val="22"/>
        </w:rPr>
        <w:t xml:space="preserve"> at:</w:t>
      </w:r>
      <w:r w:rsidR="00054204">
        <w:rPr>
          <w:rFonts w:asciiTheme="minorHAnsi" w:hAnsiTheme="minorHAnsi" w:cstheme="minorBidi"/>
          <w:sz w:val="22"/>
          <w:szCs w:val="22"/>
        </w:rPr>
        <w:t xml:space="preserve"> </w:t>
      </w:r>
      <w:hyperlink r:id="rId14" w:history="1">
        <w:r w:rsidR="003554C9" w:rsidRPr="003554C9">
          <w:rPr>
            <w:rStyle w:val="Hyperlink"/>
            <w:rFonts w:asciiTheme="minorHAnsi" w:hAnsiTheme="minorHAnsi" w:cstheme="minorBidi"/>
            <w:sz w:val="22"/>
            <w:szCs w:val="22"/>
          </w:rPr>
          <w:t>Results, Reports and Presentations | Vanquis</w:t>
        </w:r>
      </w:hyperlink>
      <w:r w:rsidRPr="449E8773">
        <w:rPr>
          <w:rFonts w:asciiTheme="minorHAnsi" w:hAnsiTheme="minorHAnsi" w:cstheme="minorBidi"/>
          <w:sz w:val="22"/>
          <w:szCs w:val="22"/>
        </w:rPr>
        <w:t xml:space="preserve"> </w:t>
      </w:r>
      <w:hyperlink r:id="rId15" w:history="1"/>
    </w:p>
    <w:p w14:paraId="74C676CD" w14:textId="77777777" w:rsidR="00F53939" w:rsidRDefault="00F53939" w:rsidP="00F53939">
      <w:pPr>
        <w:pStyle w:val="NoSpacing"/>
        <w:jc w:val="both"/>
        <w:rPr>
          <w:rStyle w:val="Strong"/>
          <w:color w:val="4747FF"/>
        </w:rPr>
      </w:pPr>
    </w:p>
    <w:p w14:paraId="7CC8988B" w14:textId="77777777" w:rsidR="00F53939" w:rsidRPr="00A166EB" w:rsidRDefault="00F53939" w:rsidP="00F53939">
      <w:pPr>
        <w:pStyle w:val="NoSpacing"/>
        <w:jc w:val="both"/>
        <w:rPr>
          <w:rStyle w:val="Strong"/>
          <w:color w:val="4747FF"/>
          <w:u w:val="single"/>
        </w:rPr>
      </w:pPr>
      <w:r w:rsidRPr="00A166EB">
        <w:rPr>
          <w:rStyle w:val="Strong"/>
          <w:color w:val="4747FF"/>
          <w:u w:val="single"/>
        </w:rPr>
        <w:t>Enquiries</w:t>
      </w:r>
    </w:p>
    <w:p w14:paraId="3691194A" w14:textId="77777777" w:rsidR="00F53939" w:rsidRDefault="00F53939" w:rsidP="00F53939">
      <w:pPr>
        <w:pStyle w:val="NoSpacing"/>
        <w:jc w:val="both"/>
        <w:rPr>
          <w:rStyle w:val="Strong"/>
          <w:color w:val="4747FF"/>
        </w:rPr>
      </w:pPr>
    </w:p>
    <w:p w14:paraId="7783EB0B" w14:textId="77777777" w:rsidR="00F53939" w:rsidRPr="009F3981" w:rsidRDefault="00F53939" w:rsidP="00F53939">
      <w:pPr>
        <w:pStyle w:val="NoSpacing"/>
        <w:jc w:val="both"/>
        <w:rPr>
          <w:rStyle w:val="Strong"/>
          <w:color w:val="4747FF"/>
        </w:rPr>
      </w:pPr>
      <w:r>
        <w:rPr>
          <w:rStyle w:val="Strong"/>
          <w:color w:val="4747FF"/>
        </w:rPr>
        <w:t>Investors and analysts</w:t>
      </w:r>
    </w:p>
    <w:p w14:paraId="1ADD09EC" w14:textId="77777777" w:rsidR="00F53939" w:rsidRPr="009F3981" w:rsidRDefault="00F53939" w:rsidP="00F53939">
      <w:pPr>
        <w:pStyle w:val="NoSpacing"/>
        <w:jc w:val="both"/>
        <w:rPr>
          <w:rStyle w:val="Strong"/>
          <w:b w:val="0"/>
          <w:bCs w:val="0"/>
        </w:rPr>
      </w:pPr>
      <w:r>
        <w:rPr>
          <w:rStyle w:val="Strong"/>
          <w:b w:val="0"/>
          <w:bCs w:val="0"/>
        </w:rPr>
        <w:t>James Cranstoun,</w:t>
      </w:r>
      <w:r w:rsidRPr="009F3981">
        <w:rPr>
          <w:rStyle w:val="Strong"/>
          <w:b w:val="0"/>
          <w:bCs w:val="0"/>
        </w:rPr>
        <w:t xml:space="preserve"> Head of Investor Relations</w:t>
      </w:r>
    </w:p>
    <w:p w14:paraId="2CD25F34" w14:textId="77777777" w:rsidR="00F53939" w:rsidRPr="009F3981" w:rsidRDefault="00F53939" w:rsidP="00F53939">
      <w:pPr>
        <w:pStyle w:val="NoSpacing"/>
        <w:jc w:val="both"/>
        <w:rPr>
          <w:rStyle w:val="Strong"/>
          <w:b w:val="0"/>
          <w:bCs w:val="0"/>
        </w:rPr>
      </w:pPr>
      <w:hyperlink r:id="rId16" w:history="1">
        <w:r w:rsidRPr="00FB2766">
          <w:rPr>
            <w:rStyle w:val="Hyperlink"/>
          </w:rPr>
          <w:t>james.cranstoun@vanquis.com</w:t>
        </w:r>
      </w:hyperlink>
    </w:p>
    <w:p w14:paraId="1D9B17C6" w14:textId="77777777" w:rsidR="00F53939" w:rsidRPr="00696BC9" w:rsidRDefault="00F53939" w:rsidP="00F53939">
      <w:pPr>
        <w:pStyle w:val="NoSpacing"/>
        <w:jc w:val="both"/>
        <w:rPr>
          <w:rFonts w:ascii="Calibri" w:eastAsia="Calibri" w:hAnsi="Calibri"/>
        </w:rPr>
      </w:pPr>
      <w:r>
        <w:rPr>
          <w:rFonts w:ascii="Calibri" w:eastAsia="Calibri" w:hAnsi="Calibri"/>
        </w:rPr>
        <w:t>+44 (0) 7766 937 406</w:t>
      </w:r>
    </w:p>
    <w:p w14:paraId="61EBBE26" w14:textId="77777777" w:rsidR="00F53939" w:rsidRDefault="00F53939" w:rsidP="00F53939">
      <w:pPr>
        <w:pStyle w:val="NoSpacing"/>
        <w:jc w:val="both"/>
        <w:rPr>
          <w:rStyle w:val="Strong"/>
          <w:color w:val="4747FF"/>
        </w:rPr>
      </w:pPr>
      <w:r>
        <w:rPr>
          <w:rFonts w:ascii="Calibri" w:eastAsia="Calibri" w:hAnsi="Calibri"/>
        </w:rPr>
        <w:t xml:space="preserve"> </w:t>
      </w:r>
    </w:p>
    <w:p w14:paraId="2BEAB2FD" w14:textId="77777777" w:rsidR="00F53939" w:rsidRPr="009F3981" w:rsidRDefault="00F53939" w:rsidP="00F53939">
      <w:pPr>
        <w:pStyle w:val="NoSpacing"/>
        <w:jc w:val="both"/>
        <w:rPr>
          <w:rStyle w:val="Strong"/>
          <w:color w:val="4747FF"/>
        </w:rPr>
      </w:pPr>
      <w:r w:rsidRPr="009F3981">
        <w:rPr>
          <w:rStyle w:val="Strong"/>
          <w:color w:val="4747FF"/>
        </w:rPr>
        <w:t>Media</w:t>
      </w:r>
    </w:p>
    <w:p w14:paraId="65E15F10" w14:textId="77777777" w:rsidR="00F53939" w:rsidRDefault="00F53939" w:rsidP="00F53939">
      <w:pPr>
        <w:pStyle w:val="NoSpacing"/>
        <w:jc w:val="both"/>
        <w:rPr>
          <w:rStyle w:val="Strong"/>
          <w:b w:val="0"/>
          <w:bCs w:val="0"/>
        </w:rPr>
      </w:pPr>
      <w:r>
        <w:rPr>
          <w:rStyle w:val="Strong"/>
          <w:b w:val="0"/>
          <w:bCs w:val="0"/>
        </w:rPr>
        <w:t>Scott Mowbray, Head of External Communications</w:t>
      </w:r>
    </w:p>
    <w:p w14:paraId="1208C9C6" w14:textId="77777777" w:rsidR="00F53939" w:rsidRDefault="00F53939" w:rsidP="00F53939">
      <w:pPr>
        <w:pStyle w:val="NoSpacing"/>
        <w:jc w:val="both"/>
        <w:rPr>
          <w:rStyle w:val="Strong"/>
          <w:b w:val="0"/>
          <w:bCs w:val="0"/>
        </w:rPr>
      </w:pPr>
      <w:hyperlink r:id="rId17" w:history="1">
        <w:r w:rsidRPr="00E80F76">
          <w:rPr>
            <w:rStyle w:val="Hyperlink"/>
          </w:rPr>
          <w:t>scott.mowbray@vanquis.com</w:t>
        </w:r>
      </w:hyperlink>
    </w:p>
    <w:p w14:paraId="7631660D" w14:textId="77777777" w:rsidR="00F53939" w:rsidRDefault="00F53939" w:rsidP="00F53939">
      <w:pPr>
        <w:jc w:val="both"/>
        <w:rPr>
          <w:rFonts w:asciiTheme="minorHAnsi" w:hAnsiTheme="minorHAnsi" w:cs="Arial"/>
          <w:b/>
          <w:bCs/>
          <w:color w:val="4747FF"/>
          <w:sz w:val="22"/>
          <w:szCs w:val="22"/>
        </w:rPr>
      </w:pPr>
      <w:r>
        <w:rPr>
          <w:rFonts w:ascii="Calibri" w:eastAsia="Calibri" w:hAnsi="Calibri"/>
          <w:sz w:val="22"/>
          <w:szCs w:val="22"/>
          <w:lang w:val="it-IT" w:eastAsia="en-US"/>
        </w:rPr>
        <w:lastRenderedPageBreak/>
        <w:t>+44 (0) 7834 843 384</w:t>
      </w:r>
    </w:p>
    <w:p w14:paraId="6024F89B" w14:textId="77777777" w:rsidR="00F53939" w:rsidRDefault="00F53939" w:rsidP="00F53939">
      <w:pPr>
        <w:rPr>
          <w:rFonts w:asciiTheme="minorHAnsi" w:hAnsiTheme="minorHAnsi" w:cs="Arial"/>
          <w:b/>
          <w:bCs/>
          <w:color w:val="4747FF"/>
          <w:sz w:val="22"/>
          <w:szCs w:val="22"/>
        </w:rPr>
      </w:pPr>
    </w:p>
    <w:p w14:paraId="05624421" w14:textId="77777777" w:rsidR="00F53939" w:rsidRPr="00FE255F" w:rsidRDefault="00F53939" w:rsidP="00F53939">
      <w:pPr>
        <w:pStyle w:val="NoSpacing"/>
        <w:jc w:val="both"/>
        <w:rPr>
          <w:rStyle w:val="Strong"/>
          <w:b w:val="0"/>
          <w:bCs w:val="0"/>
        </w:rPr>
      </w:pPr>
      <w:r w:rsidRPr="00FE255F">
        <w:rPr>
          <w:rStyle w:val="Strong"/>
          <w:b w:val="0"/>
          <w:bCs w:val="0"/>
        </w:rPr>
        <w:t>Victoria Ainsworth, Senior Director (Hawthorn Advisors)</w:t>
      </w:r>
    </w:p>
    <w:p w14:paraId="25DC5618" w14:textId="77777777" w:rsidR="00F53939" w:rsidRPr="00FE255F" w:rsidRDefault="00F53939" w:rsidP="00F53939">
      <w:pPr>
        <w:pStyle w:val="NoSpacing"/>
        <w:jc w:val="both"/>
        <w:rPr>
          <w:rStyle w:val="Hyperlink"/>
        </w:rPr>
      </w:pPr>
      <w:hyperlink r:id="rId18" w:history="1">
        <w:r w:rsidRPr="00FE255F">
          <w:rPr>
            <w:rStyle w:val="Hyperlink"/>
          </w:rPr>
          <w:t>vanquis@hawthornadvisors.com</w:t>
        </w:r>
      </w:hyperlink>
      <w:r w:rsidRPr="00FE255F">
        <w:rPr>
          <w:rStyle w:val="Hyperlink"/>
        </w:rPr>
        <w:t xml:space="preserve"> </w:t>
      </w:r>
    </w:p>
    <w:p w14:paraId="10DFA1BA" w14:textId="77777777" w:rsidR="00F53939" w:rsidRPr="00FE255F" w:rsidRDefault="00F53939" w:rsidP="00F53939">
      <w:pPr>
        <w:rPr>
          <w:rFonts w:ascii="Calibri" w:eastAsia="Calibri" w:hAnsi="Calibri"/>
          <w:sz w:val="22"/>
          <w:szCs w:val="22"/>
          <w:lang w:val="it-IT" w:eastAsia="en-US"/>
        </w:rPr>
      </w:pPr>
      <w:r w:rsidRPr="00FE255F">
        <w:rPr>
          <w:rFonts w:ascii="Calibri" w:eastAsia="Calibri" w:hAnsi="Calibri"/>
          <w:sz w:val="22"/>
          <w:szCs w:val="22"/>
          <w:lang w:val="it-IT" w:eastAsia="en-US"/>
        </w:rPr>
        <w:t>+44 (0) 7894 995 886</w:t>
      </w:r>
    </w:p>
    <w:p w14:paraId="760AD9CC" w14:textId="77777777" w:rsidR="00483043" w:rsidRDefault="00483043" w:rsidP="00F53939">
      <w:pPr>
        <w:pStyle w:val="NoSpacing"/>
        <w:jc w:val="both"/>
        <w:rPr>
          <w:rStyle w:val="Strong"/>
          <w:color w:val="4747FF"/>
          <w:u w:val="single"/>
        </w:rPr>
      </w:pPr>
    </w:p>
    <w:p w14:paraId="7195E033" w14:textId="77777777" w:rsidR="00F53939" w:rsidRPr="00A166EB" w:rsidRDefault="00F53939" w:rsidP="00F53939">
      <w:pPr>
        <w:pStyle w:val="NoSpacing"/>
        <w:jc w:val="both"/>
        <w:rPr>
          <w:rStyle w:val="Strong"/>
          <w:color w:val="4747FF"/>
          <w:u w:val="single"/>
        </w:rPr>
      </w:pPr>
      <w:r w:rsidRPr="00A166EB">
        <w:rPr>
          <w:rStyle w:val="Strong"/>
          <w:color w:val="4747FF"/>
          <w:u w:val="single"/>
        </w:rPr>
        <w:t>Footnotes</w:t>
      </w:r>
    </w:p>
    <w:p w14:paraId="1DC6FB97" w14:textId="77777777" w:rsidR="00F53939" w:rsidRPr="006677D7" w:rsidRDefault="00F53939" w:rsidP="00F53939">
      <w:pPr>
        <w:pStyle w:val="NoSpacing"/>
        <w:jc w:val="both"/>
        <w:rPr>
          <w:b/>
          <w:bCs/>
          <w:color w:val="4747FF"/>
        </w:rPr>
      </w:pPr>
    </w:p>
    <w:p w14:paraId="75AE9B75" w14:textId="07F22996" w:rsidR="00F53939" w:rsidRPr="00F116E9" w:rsidRDefault="00F53939" w:rsidP="00F53939">
      <w:pPr>
        <w:pStyle w:val="ListParagraph"/>
        <w:numPr>
          <w:ilvl w:val="0"/>
          <w:numId w:val="5"/>
        </w:numPr>
        <w:jc w:val="both"/>
        <w:rPr>
          <w:rFonts w:ascii="Calibri" w:eastAsia="Calibri" w:hAnsi="Calibri" w:cs="Calibri"/>
          <w:i/>
          <w:sz w:val="20"/>
          <w:szCs w:val="20"/>
          <w:lang w:eastAsia="en-US"/>
        </w:rPr>
      </w:pPr>
      <w:r w:rsidRPr="00F116E9">
        <w:rPr>
          <w:rFonts w:ascii="Calibri" w:eastAsia="Calibri" w:hAnsi="Calibri" w:cs="Calibri"/>
          <w:i/>
          <w:sz w:val="20"/>
          <w:szCs w:val="20"/>
          <w:lang w:eastAsia="en-US"/>
        </w:rPr>
        <w:t xml:space="preserve">The presentation of the income statement </w:t>
      </w:r>
      <w:r>
        <w:rPr>
          <w:rFonts w:ascii="Calibri" w:eastAsia="Calibri" w:hAnsi="Calibri" w:cs="Calibri"/>
          <w:i/>
          <w:sz w:val="20"/>
          <w:szCs w:val="20"/>
          <w:lang w:eastAsia="en-US"/>
        </w:rPr>
        <w:t xml:space="preserve">and selected key metrics </w:t>
      </w:r>
      <w:r w:rsidRPr="00F116E9">
        <w:rPr>
          <w:rFonts w:ascii="Calibri" w:eastAsia="Calibri" w:hAnsi="Calibri" w:cs="Calibri"/>
          <w:i/>
          <w:sz w:val="20"/>
          <w:szCs w:val="20"/>
          <w:lang w:eastAsia="en-US"/>
        </w:rPr>
        <w:t>in this report is consistent with that in the Annual Report and Accounts for 31 December 202</w:t>
      </w:r>
      <w:r>
        <w:rPr>
          <w:rFonts w:ascii="Calibri" w:eastAsia="Calibri" w:hAnsi="Calibri" w:cs="Calibri"/>
          <w:i/>
          <w:sz w:val="20"/>
          <w:szCs w:val="20"/>
          <w:lang w:eastAsia="en-US"/>
        </w:rPr>
        <w:t>4</w:t>
      </w:r>
      <w:r w:rsidRPr="00F116E9">
        <w:rPr>
          <w:rFonts w:ascii="Calibri" w:eastAsia="Calibri" w:hAnsi="Calibri" w:cs="Calibri"/>
          <w:i/>
          <w:sz w:val="20"/>
          <w:szCs w:val="20"/>
          <w:lang w:eastAsia="en-US"/>
        </w:rPr>
        <w:t xml:space="preserve">, with the exception of </w:t>
      </w:r>
      <w:r>
        <w:rPr>
          <w:rFonts w:ascii="Calibri" w:eastAsia="Calibri" w:hAnsi="Calibri" w:cs="Calibri"/>
          <w:i/>
          <w:sz w:val="20"/>
          <w:szCs w:val="20"/>
          <w:lang w:eastAsia="en-US"/>
        </w:rPr>
        <w:t xml:space="preserve">the impact of the sale of the Personal Loans portfolio, which is now recognised as a discontinued operation and the </w:t>
      </w:r>
      <w:r>
        <w:rPr>
          <w:rFonts w:ascii="Calibri" w:eastAsia="Calibri" w:hAnsi="Calibri" w:cs="Calibri"/>
          <w:i/>
          <w:sz w:val="20"/>
          <w:szCs w:val="20"/>
          <w:lang w:val="en-US" w:eastAsia="en-US"/>
        </w:rPr>
        <w:t>re-segmentation of interest income, interest expense and operating costs by product</w:t>
      </w:r>
      <w:r w:rsidRPr="00F116E9">
        <w:rPr>
          <w:rFonts w:ascii="Calibri" w:eastAsia="Calibri" w:hAnsi="Calibri" w:cs="Calibri"/>
          <w:i/>
          <w:sz w:val="20"/>
          <w:szCs w:val="20"/>
          <w:lang w:eastAsia="en-US"/>
        </w:rPr>
        <w:t>.</w:t>
      </w:r>
      <w:r>
        <w:rPr>
          <w:rFonts w:ascii="Calibri" w:eastAsia="Calibri" w:hAnsi="Calibri" w:cs="Calibri"/>
          <w:i/>
          <w:sz w:val="20"/>
          <w:szCs w:val="20"/>
          <w:lang w:eastAsia="en-US"/>
        </w:rPr>
        <w:t xml:space="preserve">  Further details are included in the 2024 re</w:t>
      </w:r>
      <w:r w:rsidR="00900E8B">
        <w:rPr>
          <w:rFonts w:ascii="Calibri" w:eastAsia="Calibri" w:hAnsi="Calibri" w:cs="Calibri"/>
          <w:i/>
          <w:sz w:val="20"/>
          <w:szCs w:val="20"/>
          <w:lang w:eastAsia="en-US"/>
        </w:rPr>
        <w:t>-</w:t>
      </w:r>
      <w:r>
        <w:rPr>
          <w:rFonts w:ascii="Calibri" w:eastAsia="Calibri" w:hAnsi="Calibri" w:cs="Calibri"/>
          <w:i/>
          <w:sz w:val="20"/>
          <w:szCs w:val="20"/>
          <w:lang w:eastAsia="en-US"/>
        </w:rPr>
        <w:t xml:space="preserve">presentation document at the following link: </w:t>
      </w:r>
      <w:hyperlink r:id="rId19" w:history="1">
        <w:r w:rsidRPr="001E0DCF">
          <w:rPr>
            <w:rStyle w:val="Hyperlink"/>
            <w:rFonts w:ascii="Calibri" w:eastAsia="Calibri" w:hAnsi="Calibri" w:cs="Calibri"/>
            <w:i/>
            <w:sz w:val="20"/>
            <w:szCs w:val="20"/>
            <w:lang w:eastAsia="en-US"/>
          </w:rPr>
          <w:t>Vanquis-Banking-Group-2024-Re-presentation-Document.pdf</w:t>
        </w:r>
      </w:hyperlink>
      <w:r>
        <w:rPr>
          <w:rFonts w:ascii="Calibri" w:eastAsia="Calibri" w:hAnsi="Calibri" w:cs="Calibri"/>
          <w:i/>
          <w:sz w:val="20"/>
          <w:szCs w:val="20"/>
          <w:lang w:eastAsia="en-US"/>
        </w:rPr>
        <w:t>.</w:t>
      </w:r>
    </w:p>
    <w:p w14:paraId="468EBBE8" w14:textId="626E3FB3" w:rsidR="00F53939" w:rsidRPr="00B13ED7" w:rsidRDefault="00F53939" w:rsidP="00F53939">
      <w:pPr>
        <w:pStyle w:val="ListParagraph"/>
        <w:numPr>
          <w:ilvl w:val="0"/>
          <w:numId w:val="5"/>
        </w:numPr>
        <w:jc w:val="both"/>
        <w:rPr>
          <w:rFonts w:ascii="Calibri" w:eastAsia="Calibri" w:hAnsi="Calibri" w:cs="Calibri"/>
          <w:i/>
          <w:sz w:val="20"/>
          <w:szCs w:val="20"/>
          <w:lang w:val="en-US" w:eastAsia="en-US"/>
        </w:rPr>
      </w:pPr>
      <w:r w:rsidRPr="00B13ED7">
        <w:rPr>
          <w:rFonts w:ascii="Calibri" w:eastAsia="Calibri" w:hAnsi="Calibri" w:cs="Calibri"/>
          <w:i/>
          <w:sz w:val="20"/>
          <w:szCs w:val="20"/>
          <w:lang w:val="en-US" w:eastAsia="en-US"/>
        </w:rPr>
        <w:t>Asset yield is calculated as interest income received from customers for the period as a percentage of average gross customer interest</w:t>
      </w:r>
      <w:r w:rsidR="001507DE">
        <w:rPr>
          <w:rFonts w:ascii="Calibri" w:eastAsia="Calibri" w:hAnsi="Calibri" w:cs="Calibri"/>
          <w:i/>
          <w:sz w:val="20"/>
          <w:szCs w:val="20"/>
          <w:lang w:val="en-US" w:eastAsia="en-US"/>
        </w:rPr>
        <w:t>-</w:t>
      </w:r>
      <w:r w:rsidRPr="00B13ED7">
        <w:rPr>
          <w:rFonts w:ascii="Calibri" w:eastAsia="Calibri" w:hAnsi="Calibri" w:cs="Calibri"/>
          <w:i/>
          <w:sz w:val="20"/>
          <w:szCs w:val="20"/>
          <w:lang w:val="en-US" w:eastAsia="en-US"/>
        </w:rPr>
        <w:t xml:space="preserve">earning balances​ for the </w:t>
      </w:r>
      <w:r>
        <w:rPr>
          <w:rFonts w:ascii="Calibri" w:eastAsia="Calibri" w:hAnsi="Calibri" w:cs="Calibri"/>
          <w:i/>
          <w:sz w:val="20"/>
          <w:szCs w:val="20"/>
          <w:lang w:val="en-US" w:eastAsia="en-US"/>
        </w:rPr>
        <w:t>6</w:t>
      </w:r>
      <w:r w:rsidRPr="00B13ED7">
        <w:rPr>
          <w:rFonts w:ascii="Calibri" w:eastAsia="Calibri" w:hAnsi="Calibri" w:cs="Calibri"/>
          <w:i/>
          <w:sz w:val="20"/>
          <w:szCs w:val="20"/>
          <w:lang w:val="en-US" w:eastAsia="en-US"/>
        </w:rPr>
        <w:t xml:space="preserve"> months ended </w:t>
      </w:r>
      <w:r>
        <w:rPr>
          <w:rFonts w:ascii="Calibri" w:eastAsia="Calibri" w:hAnsi="Calibri" w:cs="Calibri"/>
          <w:i/>
          <w:sz w:val="20"/>
          <w:szCs w:val="20"/>
          <w:lang w:val="en-US" w:eastAsia="en-US"/>
        </w:rPr>
        <w:t xml:space="preserve">30 June and </w:t>
      </w:r>
      <w:r w:rsidRPr="00B13ED7">
        <w:rPr>
          <w:rFonts w:ascii="Calibri" w:eastAsia="Calibri" w:hAnsi="Calibri" w:cs="Calibri"/>
          <w:i/>
          <w:sz w:val="20"/>
          <w:szCs w:val="20"/>
          <w:lang w:val="en-US" w:eastAsia="en-US"/>
        </w:rPr>
        <w:t xml:space="preserve">31 December using a </w:t>
      </w:r>
      <w:r>
        <w:rPr>
          <w:rFonts w:ascii="Calibri" w:eastAsia="Calibri" w:hAnsi="Calibri" w:cs="Calibri"/>
          <w:i/>
          <w:sz w:val="20"/>
          <w:szCs w:val="20"/>
          <w:lang w:val="en-US" w:eastAsia="en-US"/>
        </w:rPr>
        <w:t>7</w:t>
      </w:r>
      <w:r w:rsidRPr="00B13ED7">
        <w:rPr>
          <w:rFonts w:ascii="Calibri" w:eastAsia="Calibri" w:hAnsi="Calibri" w:cs="Calibri"/>
          <w:i/>
          <w:sz w:val="20"/>
          <w:szCs w:val="20"/>
          <w:lang w:val="en-US" w:eastAsia="en-US"/>
        </w:rPr>
        <w:t xml:space="preserve"> point month end average.</w:t>
      </w:r>
    </w:p>
    <w:p w14:paraId="6CCB9C67" w14:textId="1E8618DD" w:rsidR="00F53939" w:rsidRDefault="00F53939" w:rsidP="00F53939">
      <w:pPr>
        <w:pStyle w:val="ListParagraph"/>
        <w:numPr>
          <w:ilvl w:val="0"/>
          <w:numId w:val="5"/>
        </w:numPr>
        <w:jc w:val="both"/>
        <w:rPr>
          <w:rFonts w:ascii="Calibri" w:eastAsia="Calibri" w:hAnsi="Calibri" w:cs="Calibri"/>
          <w:i/>
          <w:sz w:val="20"/>
          <w:szCs w:val="20"/>
          <w:lang w:val="en-US" w:eastAsia="en-US"/>
        </w:rPr>
      </w:pPr>
      <w:r w:rsidRPr="00972149">
        <w:rPr>
          <w:rFonts w:ascii="Calibri" w:eastAsia="Calibri" w:hAnsi="Calibri" w:cs="Calibri"/>
          <w:i/>
          <w:sz w:val="20"/>
          <w:szCs w:val="20"/>
          <w:lang w:val="en-US" w:eastAsia="en-US"/>
        </w:rPr>
        <w:t>Net interest margin is calculated as interest income less interest expense for the period as a percentage of average gross customer interest</w:t>
      </w:r>
      <w:r w:rsidR="00FB7D2A">
        <w:rPr>
          <w:rFonts w:ascii="Calibri" w:eastAsia="Calibri" w:hAnsi="Calibri" w:cs="Calibri"/>
          <w:i/>
          <w:sz w:val="20"/>
          <w:szCs w:val="20"/>
          <w:lang w:val="en-US" w:eastAsia="en-US"/>
        </w:rPr>
        <w:t>-</w:t>
      </w:r>
      <w:r w:rsidRPr="00972149">
        <w:rPr>
          <w:rFonts w:ascii="Calibri" w:eastAsia="Calibri" w:hAnsi="Calibri" w:cs="Calibri"/>
          <w:i/>
          <w:sz w:val="20"/>
          <w:szCs w:val="20"/>
          <w:lang w:val="en-US" w:eastAsia="en-US"/>
        </w:rPr>
        <w:t xml:space="preserve">earning balances​ for the </w:t>
      </w:r>
      <w:r>
        <w:rPr>
          <w:rFonts w:ascii="Calibri" w:eastAsia="Calibri" w:hAnsi="Calibri" w:cs="Calibri"/>
          <w:i/>
          <w:sz w:val="20"/>
          <w:szCs w:val="20"/>
          <w:lang w:val="en-US" w:eastAsia="en-US"/>
        </w:rPr>
        <w:t>6</w:t>
      </w:r>
      <w:r w:rsidRPr="00972149">
        <w:rPr>
          <w:rFonts w:ascii="Calibri" w:eastAsia="Calibri" w:hAnsi="Calibri" w:cs="Calibri"/>
          <w:i/>
          <w:sz w:val="20"/>
          <w:szCs w:val="20"/>
          <w:lang w:val="en-US" w:eastAsia="en-US"/>
        </w:rPr>
        <w:t xml:space="preserve"> months ended </w:t>
      </w:r>
      <w:r>
        <w:rPr>
          <w:rFonts w:ascii="Calibri" w:eastAsia="Calibri" w:hAnsi="Calibri" w:cs="Calibri"/>
          <w:i/>
          <w:sz w:val="20"/>
          <w:szCs w:val="20"/>
          <w:lang w:val="en-US" w:eastAsia="en-US"/>
        </w:rPr>
        <w:t xml:space="preserve">30 June and </w:t>
      </w:r>
      <w:r w:rsidRPr="00972149">
        <w:rPr>
          <w:rFonts w:ascii="Calibri" w:eastAsia="Calibri" w:hAnsi="Calibri" w:cs="Calibri"/>
          <w:i/>
          <w:sz w:val="20"/>
          <w:szCs w:val="20"/>
          <w:lang w:val="en-US" w:eastAsia="en-US"/>
        </w:rPr>
        <w:t xml:space="preserve">31 December using a </w:t>
      </w:r>
      <w:r>
        <w:rPr>
          <w:rFonts w:ascii="Calibri" w:eastAsia="Calibri" w:hAnsi="Calibri" w:cs="Calibri"/>
          <w:i/>
          <w:sz w:val="20"/>
          <w:szCs w:val="20"/>
          <w:lang w:val="en-US" w:eastAsia="en-US"/>
        </w:rPr>
        <w:t>7</w:t>
      </w:r>
      <w:r w:rsidRPr="00972149">
        <w:rPr>
          <w:rFonts w:ascii="Calibri" w:eastAsia="Calibri" w:hAnsi="Calibri" w:cs="Calibri"/>
          <w:i/>
          <w:sz w:val="20"/>
          <w:szCs w:val="20"/>
          <w:lang w:val="en-US" w:eastAsia="en-US"/>
        </w:rPr>
        <w:t xml:space="preserve"> point month end average.</w:t>
      </w:r>
    </w:p>
    <w:p w14:paraId="5A3C158D" w14:textId="27BEA50A" w:rsidR="00F53939" w:rsidRDefault="00F53939" w:rsidP="00F53939">
      <w:pPr>
        <w:pStyle w:val="ListParagraph"/>
        <w:numPr>
          <w:ilvl w:val="0"/>
          <w:numId w:val="5"/>
        </w:numPr>
        <w:jc w:val="both"/>
        <w:rPr>
          <w:rFonts w:ascii="Calibri" w:eastAsia="Calibri" w:hAnsi="Calibri" w:cs="Calibri"/>
          <w:i/>
          <w:sz w:val="20"/>
          <w:szCs w:val="20"/>
          <w:lang w:val="en-US" w:eastAsia="en-US"/>
        </w:rPr>
      </w:pPr>
      <w:r w:rsidRPr="00717F11">
        <w:rPr>
          <w:rFonts w:ascii="Calibri" w:eastAsia="Calibri" w:hAnsi="Calibri" w:cs="Calibri"/>
          <w:i/>
          <w:sz w:val="20"/>
          <w:szCs w:val="20"/>
          <w:lang w:val="en-US" w:eastAsia="en-US"/>
        </w:rPr>
        <w:t>Total income margin is calculated as total income for the period as a percentage of average gross customer interest</w:t>
      </w:r>
      <w:r w:rsidR="00FB7D2A">
        <w:rPr>
          <w:rFonts w:ascii="Calibri" w:eastAsia="Calibri" w:hAnsi="Calibri" w:cs="Calibri"/>
          <w:i/>
          <w:sz w:val="20"/>
          <w:szCs w:val="20"/>
          <w:lang w:val="en-US" w:eastAsia="en-US"/>
        </w:rPr>
        <w:t>-</w:t>
      </w:r>
      <w:r w:rsidRPr="00717F11">
        <w:rPr>
          <w:rFonts w:ascii="Calibri" w:eastAsia="Calibri" w:hAnsi="Calibri" w:cs="Calibri"/>
          <w:i/>
          <w:sz w:val="20"/>
          <w:szCs w:val="20"/>
          <w:lang w:val="en-US" w:eastAsia="en-US"/>
        </w:rPr>
        <w:t xml:space="preserve">earning balances​ for the </w:t>
      </w:r>
      <w:r>
        <w:rPr>
          <w:rFonts w:ascii="Calibri" w:eastAsia="Calibri" w:hAnsi="Calibri" w:cs="Calibri"/>
          <w:i/>
          <w:sz w:val="20"/>
          <w:szCs w:val="20"/>
          <w:lang w:val="en-US" w:eastAsia="en-US"/>
        </w:rPr>
        <w:t>6</w:t>
      </w:r>
      <w:r w:rsidRPr="00717F11">
        <w:rPr>
          <w:rFonts w:ascii="Calibri" w:eastAsia="Calibri" w:hAnsi="Calibri" w:cs="Calibri"/>
          <w:i/>
          <w:sz w:val="20"/>
          <w:szCs w:val="20"/>
          <w:lang w:val="en-US" w:eastAsia="en-US"/>
        </w:rPr>
        <w:t xml:space="preserve"> months ended </w:t>
      </w:r>
      <w:r>
        <w:rPr>
          <w:rFonts w:ascii="Calibri" w:eastAsia="Calibri" w:hAnsi="Calibri" w:cs="Calibri"/>
          <w:i/>
          <w:sz w:val="20"/>
          <w:szCs w:val="20"/>
          <w:lang w:val="en-US" w:eastAsia="en-US"/>
        </w:rPr>
        <w:t xml:space="preserve">30 June and </w:t>
      </w:r>
      <w:r w:rsidRPr="00717F11">
        <w:rPr>
          <w:rFonts w:ascii="Calibri" w:eastAsia="Calibri" w:hAnsi="Calibri" w:cs="Calibri"/>
          <w:i/>
          <w:sz w:val="20"/>
          <w:szCs w:val="20"/>
          <w:lang w:val="en-US" w:eastAsia="en-US"/>
        </w:rPr>
        <w:t xml:space="preserve">31 December using a </w:t>
      </w:r>
      <w:r>
        <w:rPr>
          <w:rFonts w:ascii="Calibri" w:eastAsia="Calibri" w:hAnsi="Calibri" w:cs="Calibri"/>
          <w:i/>
          <w:sz w:val="20"/>
          <w:szCs w:val="20"/>
          <w:lang w:val="en-US" w:eastAsia="en-US"/>
        </w:rPr>
        <w:t>7</w:t>
      </w:r>
      <w:r w:rsidRPr="00717F11">
        <w:rPr>
          <w:rFonts w:ascii="Calibri" w:eastAsia="Calibri" w:hAnsi="Calibri" w:cs="Calibri"/>
          <w:i/>
          <w:sz w:val="20"/>
          <w:szCs w:val="20"/>
          <w:lang w:val="en-US" w:eastAsia="en-US"/>
        </w:rPr>
        <w:t xml:space="preserve"> point month end average.</w:t>
      </w:r>
    </w:p>
    <w:p w14:paraId="4E139F0F" w14:textId="4F044608" w:rsidR="00F53939" w:rsidRDefault="00F53939" w:rsidP="00F53939">
      <w:pPr>
        <w:pStyle w:val="ListParagraph"/>
        <w:numPr>
          <w:ilvl w:val="0"/>
          <w:numId w:val="5"/>
        </w:numPr>
        <w:jc w:val="both"/>
        <w:rPr>
          <w:rFonts w:ascii="Calibri" w:eastAsia="Calibri" w:hAnsi="Calibri" w:cs="Calibri"/>
          <w:i/>
          <w:sz w:val="20"/>
          <w:szCs w:val="20"/>
          <w:lang w:val="en-US" w:eastAsia="en-US"/>
        </w:rPr>
      </w:pPr>
      <w:r w:rsidRPr="005D5199">
        <w:rPr>
          <w:rFonts w:ascii="Calibri" w:eastAsia="Calibri" w:hAnsi="Calibri" w:cs="Calibri"/>
          <w:i/>
          <w:sz w:val="20"/>
          <w:szCs w:val="20"/>
          <w:lang w:val="en-US" w:eastAsia="en-US"/>
        </w:rPr>
        <w:t>Cost of risk is calculated as impairment charges for the period as a percentage of average gross customer interest</w:t>
      </w:r>
      <w:r w:rsidR="00C47FDD">
        <w:rPr>
          <w:rFonts w:ascii="Calibri" w:eastAsia="Calibri" w:hAnsi="Calibri" w:cs="Calibri"/>
          <w:i/>
          <w:sz w:val="20"/>
          <w:szCs w:val="20"/>
          <w:lang w:val="en-US" w:eastAsia="en-US"/>
        </w:rPr>
        <w:t>-</w:t>
      </w:r>
      <w:r w:rsidRPr="005D5199">
        <w:rPr>
          <w:rFonts w:ascii="Calibri" w:eastAsia="Calibri" w:hAnsi="Calibri" w:cs="Calibri"/>
          <w:i/>
          <w:sz w:val="20"/>
          <w:szCs w:val="20"/>
          <w:lang w:val="en-US" w:eastAsia="en-US"/>
        </w:rPr>
        <w:t xml:space="preserve">earning balances​ for the </w:t>
      </w:r>
      <w:r>
        <w:rPr>
          <w:rFonts w:ascii="Calibri" w:eastAsia="Calibri" w:hAnsi="Calibri" w:cs="Calibri"/>
          <w:i/>
          <w:sz w:val="20"/>
          <w:szCs w:val="20"/>
          <w:lang w:val="en-US" w:eastAsia="en-US"/>
        </w:rPr>
        <w:t>6</w:t>
      </w:r>
      <w:r w:rsidRPr="005D5199">
        <w:rPr>
          <w:rFonts w:ascii="Calibri" w:eastAsia="Calibri" w:hAnsi="Calibri" w:cs="Calibri"/>
          <w:i/>
          <w:sz w:val="20"/>
          <w:szCs w:val="20"/>
          <w:lang w:val="en-US" w:eastAsia="en-US"/>
        </w:rPr>
        <w:t xml:space="preserve"> months ended </w:t>
      </w:r>
      <w:r>
        <w:rPr>
          <w:rFonts w:ascii="Calibri" w:eastAsia="Calibri" w:hAnsi="Calibri" w:cs="Calibri"/>
          <w:i/>
          <w:sz w:val="20"/>
          <w:szCs w:val="20"/>
          <w:lang w:val="en-US" w:eastAsia="en-US"/>
        </w:rPr>
        <w:t xml:space="preserve">30 June and </w:t>
      </w:r>
      <w:r w:rsidRPr="005D5199">
        <w:rPr>
          <w:rFonts w:ascii="Calibri" w:eastAsia="Calibri" w:hAnsi="Calibri" w:cs="Calibri"/>
          <w:i/>
          <w:sz w:val="20"/>
          <w:szCs w:val="20"/>
          <w:lang w:val="en-US" w:eastAsia="en-US"/>
        </w:rPr>
        <w:t xml:space="preserve">31 December using a </w:t>
      </w:r>
      <w:r>
        <w:rPr>
          <w:rFonts w:ascii="Calibri" w:eastAsia="Calibri" w:hAnsi="Calibri" w:cs="Calibri"/>
          <w:i/>
          <w:sz w:val="20"/>
          <w:szCs w:val="20"/>
          <w:lang w:val="en-US" w:eastAsia="en-US"/>
        </w:rPr>
        <w:t>7</w:t>
      </w:r>
      <w:r w:rsidRPr="005D5199">
        <w:rPr>
          <w:rFonts w:ascii="Calibri" w:eastAsia="Calibri" w:hAnsi="Calibri" w:cs="Calibri"/>
          <w:i/>
          <w:sz w:val="20"/>
          <w:szCs w:val="20"/>
          <w:lang w:val="en-US" w:eastAsia="en-US"/>
        </w:rPr>
        <w:t xml:space="preserve"> point month end average.</w:t>
      </w:r>
    </w:p>
    <w:p w14:paraId="61C9DE4F" w14:textId="71795E88" w:rsidR="00F53939" w:rsidRPr="00972149" w:rsidRDefault="00F53939" w:rsidP="00F53939">
      <w:pPr>
        <w:pStyle w:val="ListParagraph"/>
        <w:numPr>
          <w:ilvl w:val="0"/>
          <w:numId w:val="5"/>
        </w:numPr>
        <w:jc w:val="both"/>
        <w:rPr>
          <w:rFonts w:ascii="Calibri" w:eastAsia="Calibri" w:hAnsi="Calibri" w:cs="Calibri"/>
          <w:i/>
          <w:sz w:val="20"/>
          <w:szCs w:val="20"/>
          <w:lang w:val="en-US" w:eastAsia="en-US"/>
        </w:rPr>
      </w:pPr>
      <w:r w:rsidRPr="00727981">
        <w:rPr>
          <w:rFonts w:ascii="Calibri" w:eastAsia="Calibri" w:hAnsi="Calibri" w:cs="Calibri"/>
          <w:i/>
          <w:sz w:val="20"/>
          <w:szCs w:val="20"/>
          <w:lang w:val="en-US" w:eastAsia="en-US"/>
        </w:rPr>
        <w:t>Risk-adjusted margin is defined as risk-adjusted income for the period as a percentage of average gross customer interest</w:t>
      </w:r>
      <w:r w:rsidR="00C47FDD">
        <w:rPr>
          <w:rFonts w:ascii="Calibri" w:eastAsia="Calibri" w:hAnsi="Calibri" w:cs="Calibri"/>
          <w:i/>
          <w:sz w:val="20"/>
          <w:szCs w:val="20"/>
          <w:lang w:val="en-US" w:eastAsia="en-US"/>
        </w:rPr>
        <w:t>-</w:t>
      </w:r>
      <w:r w:rsidRPr="00727981">
        <w:rPr>
          <w:rFonts w:ascii="Calibri" w:eastAsia="Calibri" w:hAnsi="Calibri" w:cs="Calibri"/>
          <w:i/>
          <w:sz w:val="20"/>
          <w:szCs w:val="20"/>
          <w:lang w:val="en-US" w:eastAsia="en-US"/>
        </w:rPr>
        <w:t xml:space="preserve">earning balances​ for the </w:t>
      </w:r>
      <w:r>
        <w:rPr>
          <w:rFonts w:ascii="Calibri" w:eastAsia="Calibri" w:hAnsi="Calibri" w:cs="Calibri"/>
          <w:i/>
          <w:sz w:val="20"/>
          <w:szCs w:val="20"/>
          <w:lang w:val="en-US" w:eastAsia="en-US"/>
        </w:rPr>
        <w:t>6</w:t>
      </w:r>
      <w:r w:rsidRPr="00727981">
        <w:rPr>
          <w:rFonts w:ascii="Calibri" w:eastAsia="Calibri" w:hAnsi="Calibri" w:cs="Calibri"/>
          <w:i/>
          <w:sz w:val="20"/>
          <w:szCs w:val="20"/>
          <w:lang w:val="en-US" w:eastAsia="en-US"/>
        </w:rPr>
        <w:t xml:space="preserve"> months ended </w:t>
      </w:r>
      <w:r>
        <w:rPr>
          <w:rFonts w:ascii="Calibri" w:eastAsia="Calibri" w:hAnsi="Calibri" w:cs="Calibri"/>
          <w:i/>
          <w:sz w:val="20"/>
          <w:szCs w:val="20"/>
          <w:lang w:val="en-US" w:eastAsia="en-US"/>
        </w:rPr>
        <w:t xml:space="preserve">30 June and </w:t>
      </w:r>
      <w:r w:rsidRPr="00727981">
        <w:rPr>
          <w:rFonts w:ascii="Calibri" w:eastAsia="Calibri" w:hAnsi="Calibri" w:cs="Calibri"/>
          <w:i/>
          <w:sz w:val="20"/>
          <w:szCs w:val="20"/>
          <w:lang w:val="en-US" w:eastAsia="en-US"/>
        </w:rPr>
        <w:t xml:space="preserve">31 December using a </w:t>
      </w:r>
      <w:r>
        <w:rPr>
          <w:rFonts w:ascii="Calibri" w:eastAsia="Calibri" w:hAnsi="Calibri" w:cs="Calibri"/>
          <w:i/>
          <w:sz w:val="20"/>
          <w:szCs w:val="20"/>
          <w:lang w:val="en-US" w:eastAsia="en-US"/>
        </w:rPr>
        <w:t>7</w:t>
      </w:r>
      <w:r w:rsidRPr="00727981">
        <w:rPr>
          <w:rFonts w:ascii="Calibri" w:eastAsia="Calibri" w:hAnsi="Calibri" w:cs="Calibri"/>
          <w:i/>
          <w:sz w:val="20"/>
          <w:szCs w:val="20"/>
          <w:lang w:val="en-US" w:eastAsia="en-US"/>
        </w:rPr>
        <w:t xml:space="preserve"> point month end average.</w:t>
      </w:r>
    </w:p>
    <w:p w14:paraId="18627111" w14:textId="77777777" w:rsidR="00F53939" w:rsidRPr="00F116E9" w:rsidRDefault="00F53939" w:rsidP="00F53939">
      <w:pPr>
        <w:pStyle w:val="ListParagraph"/>
        <w:numPr>
          <w:ilvl w:val="0"/>
          <w:numId w:val="5"/>
        </w:numPr>
        <w:jc w:val="both"/>
        <w:rPr>
          <w:rFonts w:ascii="Calibri" w:eastAsia="Calibri" w:hAnsi="Calibri" w:cs="Calibri"/>
          <w:i/>
          <w:sz w:val="20"/>
          <w:szCs w:val="20"/>
          <w:lang w:eastAsia="en-US"/>
        </w:rPr>
      </w:pPr>
      <w:r>
        <w:rPr>
          <w:rFonts w:ascii="Calibri" w:eastAsia="Calibri" w:hAnsi="Calibri" w:cs="Calibri"/>
          <w:i/>
          <w:sz w:val="20"/>
          <w:szCs w:val="20"/>
          <w:lang w:val="en-US" w:eastAsia="en-US"/>
        </w:rPr>
        <w:t>C</w:t>
      </w:r>
      <w:r w:rsidRPr="00F116E9">
        <w:rPr>
          <w:rFonts w:ascii="Calibri" w:eastAsia="Calibri" w:hAnsi="Calibri" w:cs="Calibri"/>
          <w:i/>
          <w:sz w:val="20"/>
          <w:szCs w:val="20"/>
          <w:lang w:val="en-US" w:eastAsia="en-US"/>
        </w:rPr>
        <w:t xml:space="preserve">ost: income ratio is calculated as operating costs as a percentage of total income for the </w:t>
      </w:r>
      <w:r>
        <w:rPr>
          <w:rFonts w:ascii="Calibri" w:eastAsia="Calibri" w:hAnsi="Calibri" w:cs="Calibri"/>
          <w:i/>
          <w:sz w:val="20"/>
          <w:szCs w:val="20"/>
          <w:lang w:val="en-US" w:eastAsia="en-US"/>
        </w:rPr>
        <w:t>6</w:t>
      </w:r>
      <w:r w:rsidRPr="00F116E9">
        <w:rPr>
          <w:rFonts w:ascii="Calibri" w:eastAsia="Calibri" w:hAnsi="Calibri" w:cs="Calibri"/>
          <w:i/>
          <w:sz w:val="20"/>
          <w:szCs w:val="20"/>
          <w:lang w:val="en-US" w:eastAsia="en-US"/>
        </w:rPr>
        <w:t xml:space="preserve"> months ended </w:t>
      </w:r>
      <w:r>
        <w:rPr>
          <w:rFonts w:ascii="Calibri" w:eastAsia="Calibri" w:hAnsi="Calibri" w:cs="Calibri"/>
          <w:i/>
          <w:sz w:val="20"/>
          <w:szCs w:val="20"/>
          <w:lang w:val="en-US" w:eastAsia="en-US"/>
        </w:rPr>
        <w:t xml:space="preserve">30 June and </w:t>
      </w:r>
      <w:r w:rsidRPr="00F116E9">
        <w:rPr>
          <w:rFonts w:ascii="Calibri" w:eastAsia="Calibri" w:hAnsi="Calibri" w:cs="Calibri"/>
          <w:i/>
          <w:sz w:val="20"/>
          <w:szCs w:val="20"/>
          <w:lang w:val="en-US" w:eastAsia="en-US"/>
        </w:rPr>
        <w:t>31 December.</w:t>
      </w:r>
    </w:p>
    <w:p w14:paraId="13985007" w14:textId="4D03A400" w:rsidR="00F53939" w:rsidRPr="00727981" w:rsidRDefault="00F53939" w:rsidP="00F53939">
      <w:pPr>
        <w:pStyle w:val="ListParagraph"/>
        <w:numPr>
          <w:ilvl w:val="0"/>
          <w:numId w:val="5"/>
        </w:numPr>
        <w:jc w:val="both"/>
        <w:rPr>
          <w:rFonts w:ascii="Calibri" w:eastAsia="Calibri" w:hAnsi="Calibri" w:cs="Calibri"/>
          <w:i/>
          <w:sz w:val="20"/>
          <w:szCs w:val="20"/>
          <w:lang w:eastAsia="en-US"/>
        </w:rPr>
      </w:pPr>
      <w:r w:rsidRPr="00F116E9">
        <w:rPr>
          <w:rFonts w:ascii="Calibri" w:eastAsia="Calibri" w:hAnsi="Calibri" w:cs="Calibri"/>
          <w:i/>
          <w:sz w:val="20"/>
          <w:szCs w:val="20"/>
          <w:lang w:val="en-US" w:eastAsia="en-US"/>
        </w:rPr>
        <w:t xml:space="preserve">ROTE is calculated as </w:t>
      </w:r>
      <w:r w:rsidR="00553746">
        <w:rPr>
          <w:rFonts w:ascii="Calibri" w:eastAsia="Calibri" w:hAnsi="Calibri" w:cs="Calibri"/>
          <w:i/>
          <w:sz w:val="20"/>
          <w:szCs w:val="20"/>
          <w:lang w:val="en-US" w:eastAsia="en-US"/>
        </w:rPr>
        <w:t>annual</w:t>
      </w:r>
      <w:r w:rsidR="009B1C3C">
        <w:rPr>
          <w:rFonts w:ascii="Calibri" w:eastAsia="Calibri" w:hAnsi="Calibri" w:cs="Calibri"/>
          <w:i/>
          <w:sz w:val="20"/>
          <w:szCs w:val="20"/>
          <w:lang w:val="en-US" w:eastAsia="en-US"/>
        </w:rPr>
        <w:t xml:space="preserve">ised </w:t>
      </w:r>
      <w:r>
        <w:rPr>
          <w:rFonts w:ascii="Calibri" w:eastAsia="Calibri" w:hAnsi="Calibri" w:cs="Calibri"/>
          <w:i/>
          <w:sz w:val="20"/>
          <w:szCs w:val="20"/>
          <w:lang w:val="en-US" w:eastAsia="en-US"/>
        </w:rPr>
        <w:t xml:space="preserve">statutory </w:t>
      </w:r>
      <w:r w:rsidRPr="00F116E9">
        <w:rPr>
          <w:rFonts w:ascii="Calibri" w:eastAsia="Calibri" w:hAnsi="Calibri" w:cs="Calibri"/>
          <w:i/>
          <w:sz w:val="20"/>
          <w:szCs w:val="20"/>
          <w:lang w:val="en-US" w:eastAsia="en-US"/>
        </w:rPr>
        <w:t>profit after tax</w:t>
      </w:r>
      <w:r>
        <w:rPr>
          <w:rFonts w:ascii="Calibri" w:eastAsia="Calibri" w:hAnsi="Calibri" w:cs="Calibri"/>
          <w:i/>
          <w:sz w:val="20"/>
          <w:szCs w:val="20"/>
          <w:lang w:val="en-US" w:eastAsia="en-US"/>
        </w:rPr>
        <w:t xml:space="preserve"> </w:t>
      </w:r>
      <w:r w:rsidRPr="00F116E9">
        <w:rPr>
          <w:rFonts w:ascii="Calibri" w:eastAsia="Calibri" w:hAnsi="Calibri" w:cs="Calibri"/>
          <w:i/>
          <w:sz w:val="20"/>
          <w:szCs w:val="20"/>
          <w:lang w:val="en-US" w:eastAsia="en-US"/>
        </w:rPr>
        <w:t xml:space="preserve">for the </w:t>
      </w:r>
      <w:r>
        <w:rPr>
          <w:rFonts w:ascii="Calibri" w:eastAsia="Calibri" w:hAnsi="Calibri" w:cs="Calibri"/>
          <w:i/>
          <w:sz w:val="20"/>
          <w:szCs w:val="20"/>
          <w:lang w:val="en-US" w:eastAsia="en-US"/>
        </w:rPr>
        <w:t>6</w:t>
      </w:r>
      <w:r w:rsidRPr="00F116E9">
        <w:rPr>
          <w:rFonts w:ascii="Calibri" w:eastAsia="Calibri" w:hAnsi="Calibri" w:cs="Calibri"/>
          <w:i/>
          <w:sz w:val="20"/>
          <w:szCs w:val="20"/>
          <w:lang w:val="en-US" w:eastAsia="en-US"/>
        </w:rPr>
        <w:t xml:space="preserve"> months ended </w:t>
      </w:r>
      <w:r>
        <w:rPr>
          <w:rFonts w:ascii="Calibri" w:eastAsia="Calibri" w:hAnsi="Calibri" w:cs="Calibri"/>
          <w:i/>
          <w:sz w:val="20"/>
          <w:szCs w:val="20"/>
          <w:lang w:val="en-US" w:eastAsia="en-US"/>
        </w:rPr>
        <w:t xml:space="preserve">30 June and </w:t>
      </w:r>
      <w:r w:rsidRPr="00F116E9">
        <w:rPr>
          <w:rFonts w:ascii="Calibri" w:eastAsia="Calibri" w:hAnsi="Calibri" w:cs="Calibri"/>
          <w:i/>
          <w:sz w:val="20"/>
          <w:szCs w:val="20"/>
          <w:lang w:val="en-US" w:eastAsia="en-US"/>
        </w:rPr>
        <w:t xml:space="preserve">31 December as a percentage of average tangible equity for the </w:t>
      </w:r>
      <w:r>
        <w:rPr>
          <w:rFonts w:ascii="Calibri" w:eastAsia="Calibri" w:hAnsi="Calibri" w:cs="Calibri"/>
          <w:i/>
          <w:sz w:val="20"/>
          <w:szCs w:val="20"/>
          <w:lang w:val="en-US" w:eastAsia="en-US"/>
        </w:rPr>
        <w:t>6</w:t>
      </w:r>
      <w:r w:rsidRPr="00F116E9">
        <w:rPr>
          <w:rFonts w:ascii="Calibri" w:eastAsia="Calibri" w:hAnsi="Calibri" w:cs="Calibri"/>
          <w:i/>
          <w:sz w:val="20"/>
          <w:szCs w:val="20"/>
          <w:lang w:val="en-US" w:eastAsia="en-US"/>
        </w:rPr>
        <w:t xml:space="preserve"> months ended </w:t>
      </w:r>
      <w:r>
        <w:rPr>
          <w:rFonts w:ascii="Calibri" w:eastAsia="Calibri" w:hAnsi="Calibri" w:cs="Calibri"/>
          <w:i/>
          <w:sz w:val="20"/>
          <w:szCs w:val="20"/>
          <w:lang w:val="en-US" w:eastAsia="en-US"/>
        </w:rPr>
        <w:t xml:space="preserve">30 June and </w:t>
      </w:r>
      <w:r w:rsidRPr="00F116E9">
        <w:rPr>
          <w:rFonts w:ascii="Calibri" w:eastAsia="Calibri" w:hAnsi="Calibri" w:cs="Calibri"/>
          <w:i/>
          <w:sz w:val="20"/>
          <w:szCs w:val="20"/>
          <w:lang w:val="en-US" w:eastAsia="en-US"/>
        </w:rPr>
        <w:t xml:space="preserve">31 December. </w:t>
      </w:r>
      <w:r w:rsidR="00B11171">
        <w:rPr>
          <w:rFonts w:ascii="Calibri" w:eastAsia="Calibri" w:hAnsi="Calibri" w:cs="Calibri"/>
          <w:i/>
          <w:sz w:val="20"/>
          <w:szCs w:val="20"/>
          <w:lang w:val="en-US" w:eastAsia="en-US"/>
        </w:rPr>
        <w:t>T</w:t>
      </w:r>
      <w:r w:rsidRPr="00F116E9">
        <w:rPr>
          <w:rFonts w:ascii="Calibri" w:eastAsia="Calibri" w:hAnsi="Calibri" w:cs="Calibri"/>
          <w:i/>
          <w:sz w:val="20"/>
          <w:szCs w:val="20"/>
          <w:lang w:val="en-US" w:eastAsia="en-US"/>
        </w:rPr>
        <w:t>angible equity is stated as equity after deducting the Group’s pension asset, net of deferred tax, less intangible assets and goodwill.</w:t>
      </w:r>
    </w:p>
    <w:p w14:paraId="5542CE85" w14:textId="77777777" w:rsidR="00F53939" w:rsidRPr="0096111D" w:rsidRDefault="00F53939" w:rsidP="00F53939">
      <w:pPr>
        <w:pStyle w:val="ListParagraph"/>
        <w:numPr>
          <w:ilvl w:val="0"/>
          <w:numId w:val="5"/>
        </w:numPr>
        <w:jc w:val="both"/>
        <w:rPr>
          <w:rFonts w:ascii="Calibri" w:eastAsia="Calibri" w:hAnsi="Calibri" w:cs="Calibri"/>
          <w:i/>
          <w:sz w:val="20"/>
          <w:szCs w:val="20"/>
          <w:lang w:eastAsia="en-US"/>
        </w:rPr>
      </w:pPr>
      <w:r>
        <w:rPr>
          <w:rFonts w:ascii="Calibri" w:eastAsia="Calibri" w:hAnsi="Calibri" w:cs="Calibri"/>
          <w:i/>
          <w:sz w:val="20"/>
          <w:szCs w:val="20"/>
          <w:lang w:val="en-US" w:eastAsia="en-US"/>
        </w:rPr>
        <w:t>Basic earnings</w:t>
      </w:r>
      <w:r w:rsidRPr="003B25B9">
        <w:rPr>
          <w:rFonts w:ascii="Calibri" w:eastAsia="Calibri" w:hAnsi="Calibri" w:cs="Calibri"/>
          <w:i/>
          <w:sz w:val="20"/>
          <w:szCs w:val="20"/>
          <w:lang w:val="en-US" w:eastAsia="en-US"/>
        </w:rPr>
        <w:t xml:space="preserve"> per share is calculated as </w:t>
      </w:r>
      <w:r>
        <w:rPr>
          <w:rFonts w:ascii="Calibri" w:eastAsia="Calibri" w:hAnsi="Calibri" w:cs="Calibri"/>
          <w:i/>
          <w:sz w:val="20"/>
          <w:szCs w:val="20"/>
          <w:lang w:val="en-US" w:eastAsia="en-US"/>
        </w:rPr>
        <w:t>statutory</w:t>
      </w:r>
      <w:r w:rsidRPr="003B25B9">
        <w:rPr>
          <w:rFonts w:ascii="Calibri" w:eastAsia="Calibri" w:hAnsi="Calibri" w:cs="Calibri"/>
          <w:i/>
          <w:sz w:val="20"/>
          <w:szCs w:val="20"/>
          <w:lang w:val="en-US" w:eastAsia="en-US"/>
        </w:rPr>
        <w:t xml:space="preserve"> profit after tax for the </w:t>
      </w:r>
      <w:r>
        <w:rPr>
          <w:rFonts w:ascii="Calibri" w:eastAsia="Calibri" w:hAnsi="Calibri" w:cs="Calibri"/>
          <w:i/>
          <w:sz w:val="20"/>
          <w:szCs w:val="20"/>
          <w:lang w:val="en-US" w:eastAsia="en-US"/>
        </w:rPr>
        <w:t>6</w:t>
      </w:r>
      <w:r w:rsidRPr="003B25B9">
        <w:rPr>
          <w:rFonts w:ascii="Calibri" w:eastAsia="Calibri" w:hAnsi="Calibri" w:cs="Calibri"/>
          <w:i/>
          <w:sz w:val="20"/>
          <w:szCs w:val="20"/>
          <w:lang w:val="en-US" w:eastAsia="en-US"/>
        </w:rPr>
        <w:t xml:space="preserve"> months ended </w:t>
      </w:r>
      <w:r>
        <w:rPr>
          <w:rFonts w:ascii="Calibri" w:eastAsia="Calibri" w:hAnsi="Calibri" w:cs="Calibri"/>
          <w:i/>
          <w:sz w:val="20"/>
          <w:szCs w:val="20"/>
          <w:lang w:val="en-US" w:eastAsia="en-US"/>
        </w:rPr>
        <w:t xml:space="preserve">30 June and </w:t>
      </w:r>
      <w:r w:rsidRPr="003B25B9">
        <w:rPr>
          <w:rFonts w:ascii="Calibri" w:eastAsia="Calibri" w:hAnsi="Calibri" w:cs="Calibri"/>
          <w:i/>
          <w:sz w:val="20"/>
          <w:szCs w:val="20"/>
          <w:lang w:val="en-US" w:eastAsia="en-US"/>
        </w:rPr>
        <w:t>31 December, divided by the weighted average number of shares in issue.</w:t>
      </w:r>
      <w:r>
        <w:rPr>
          <w:rFonts w:ascii="Calibri" w:eastAsia="Calibri" w:hAnsi="Calibri" w:cs="Calibri"/>
          <w:i/>
          <w:sz w:val="20"/>
          <w:szCs w:val="20"/>
          <w:lang w:val="en-US" w:eastAsia="en-US"/>
        </w:rPr>
        <w:t xml:space="preserve"> </w:t>
      </w:r>
    </w:p>
    <w:p w14:paraId="7EF9A412" w14:textId="17A402E6" w:rsidR="00F53939" w:rsidRPr="00525060" w:rsidRDefault="00F53939" w:rsidP="00F53939">
      <w:pPr>
        <w:pStyle w:val="ListParagraph"/>
        <w:numPr>
          <w:ilvl w:val="0"/>
          <w:numId w:val="5"/>
        </w:numPr>
        <w:jc w:val="both"/>
        <w:rPr>
          <w:rFonts w:ascii="Calibri" w:eastAsia="Calibri" w:hAnsi="Calibri" w:cs="Calibri"/>
          <w:i/>
          <w:sz w:val="20"/>
          <w:szCs w:val="20"/>
          <w:lang w:eastAsia="en-US"/>
        </w:rPr>
      </w:pPr>
      <w:r w:rsidRPr="0096111D">
        <w:rPr>
          <w:rFonts w:ascii="Calibri" w:eastAsia="Calibri" w:hAnsi="Calibri" w:cs="Calibri"/>
          <w:i/>
          <w:sz w:val="20"/>
          <w:szCs w:val="20"/>
          <w:lang w:val="en-US" w:eastAsia="en-US"/>
        </w:rPr>
        <w:t>TNAV per share is calculated as closing tangible net asset value, divided by the</w:t>
      </w:r>
      <w:r>
        <w:rPr>
          <w:rFonts w:ascii="Calibri" w:eastAsia="Calibri" w:hAnsi="Calibri" w:cs="Calibri"/>
          <w:i/>
          <w:sz w:val="20"/>
          <w:szCs w:val="20"/>
          <w:lang w:val="en-US" w:eastAsia="en-US"/>
        </w:rPr>
        <w:t xml:space="preserve"> period end</w:t>
      </w:r>
      <w:r w:rsidRPr="0096111D">
        <w:rPr>
          <w:rFonts w:ascii="Calibri" w:eastAsia="Calibri" w:hAnsi="Calibri" w:cs="Calibri"/>
          <w:i/>
          <w:sz w:val="20"/>
          <w:szCs w:val="20"/>
          <w:lang w:val="en-US" w:eastAsia="en-US"/>
        </w:rPr>
        <w:t xml:space="preserve"> number of shares</w:t>
      </w:r>
      <w:r>
        <w:rPr>
          <w:rFonts w:ascii="Calibri" w:eastAsia="Calibri" w:hAnsi="Calibri" w:cs="Calibri"/>
          <w:i/>
          <w:sz w:val="20"/>
          <w:szCs w:val="20"/>
          <w:lang w:val="en-US" w:eastAsia="en-US"/>
        </w:rPr>
        <w:t xml:space="preserve"> in issue</w:t>
      </w:r>
      <w:r w:rsidRPr="0096111D">
        <w:rPr>
          <w:rFonts w:ascii="Calibri" w:eastAsia="Calibri" w:hAnsi="Calibri" w:cs="Calibri"/>
          <w:i/>
          <w:sz w:val="20"/>
          <w:szCs w:val="20"/>
          <w:lang w:val="en-US" w:eastAsia="en-US"/>
        </w:rPr>
        <w:t>.</w:t>
      </w:r>
      <w:r>
        <w:rPr>
          <w:rFonts w:ascii="Calibri" w:eastAsia="Calibri" w:hAnsi="Calibri" w:cs="Calibri"/>
          <w:i/>
          <w:sz w:val="20"/>
          <w:szCs w:val="20"/>
          <w:lang w:val="en-US" w:eastAsia="en-US"/>
        </w:rPr>
        <w:t xml:space="preserve">  </w:t>
      </w:r>
      <w:r w:rsidR="00A76ED5">
        <w:rPr>
          <w:rFonts w:ascii="Calibri" w:eastAsia="Calibri" w:hAnsi="Calibri" w:cs="Calibri"/>
          <w:i/>
          <w:sz w:val="20"/>
          <w:szCs w:val="20"/>
          <w:lang w:val="en-US" w:eastAsia="en-US"/>
        </w:rPr>
        <w:t>T</w:t>
      </w:r>
      <w:r w:rsidRPr="00F116E9">
        <w:rPr>
          <w:rFonts w:ascii="Calibri" w:eastAsia="Calibri" w:hAnsi="Calibri" w:cs="Calibri"/>
          <w:i/>
          <w:sz w:val="20"/>
          <w:szCs w:val="20"/>
          <w:lang w:val="en-US" w:eastAsia="en-US"/>
        </w:rPr>
        <w:t xml:space="preserve">angible </w:t>
      </w:r>
      <w:r>
        <w:rPr>
          <w:rFonts w:ascii="Calibri" w:eastAsia="Calibri" w:hAnsi="Calibri" w:cs="Calibri"/>
          <w:i/>
          <w:sz w:val="20"/>
          <w:szCs w:val="20"/>
          <w:lang w:val="en-US" w:eastAsia="en-US"/>
        </w:rPr>
        <w:t>net asset value</w:t>
      </w:r>
      <w:r w:rsidRPr="00F116E9">
        <w:rPr>
          <w:rFonts w:ascii="Calibri" w:eastAsia="Calibri" w:hAnsi="Calibri" w:cs="Calibri"/>
          <w:i/>
          <w:sz w:val="20"/>
          <w:szCs w:val="20"/>
          <w:lang w:val="en-US" w:eastAsia="en-US"/>
        </w:rPr>
        <w:t xml:space="preserve"> is stated as equity after deducting the Group’s pension asset, net of deferred tax, less intangible assets and goodwill.</w:t>
      </w:r>
    </w:p>
    <w:p w14:paraId="4A184BFC" w14:textId="77777777" w:rsidR="00F53939" w:rsidRPr="00466016" w:rsidRDefault="00F53939" w:rsidP="00F53939">
      <w:pPr>
        <w:pStyle w:val="ListParagraph"/>
        <w:numPr>
          <w:ilvl w:val="0"/>
          <w:numId w:val="5"/>
        </w:numPr>
        <w:jc w:val="both"/>
        <w:rPr>
          <w:rFonts w:ascii="Calibri" w:eastAsia="Calibri" w:hAnsi="Calibri" w:cs="Calibri"/>
          <w:i/>
          <w:sz w:val="20"/>
          <w:szCs w:val="20"/>
          <w:lang w:eastAsia="en-US"/>
        </w:rPr>
      </w:pPr>
      <w:r w:rsidRPr="00F116E9">
        <w:rPr>
          <w:rFonts w:ascii="Calibri" w:eastAsia="Calibri" w:hAnsi="Calibri" w:cs="Calibri"/>
          <w:i/>
          <w:sz w:val="20"/>
          <w:szCs w:val="20"/>
          <w:lang w:val="en-US" w:eastAsia="en-US"/>
        </w:rPr>
        <w:t>The Tier 1 ratio</w:t>
      </w:r>
      <w:r>
        <w:rPr>
          <w:rFonts w:ascii="Calibri" w:eastAsia="Calibri" w:hAnsi="Calibri" w:cs="Calibri"/>
          <w:i/>
          <w:sz w:val="20"/>
          <w:szCs w:val="20"/>
          <w:lang w:val="en-US" w:eastAsia="en-US"/>
        </w:rPr>
        <w:t xml:space="preserve"> is</w:t>
      </w:r>
      <w:r w:rsidRPr="00F116E9">
        <w:rPr>
          <w:rFonts w:ascii="Calibri" w:eastAsia="Calibri" w:hAnsi="Calibri" w:cs="Calibri"/>
          <w:i/>
          <w:sz w:val="20"/>
          <w:szCs w:val="20"/>
          <w:lang w:val="en-US" w:eastAsia="en-US"/>
        </w:rPr>
        <w:t xml:space="preserve"> calculated as the ratio of the Group’s Tier 1 capital as a percentage of the Group’s risk-weighted</w:t>
      </w:r>
      <w:r>
        <w:rPr>
          <w:rFonts w:ascii="Calibri" w:eastAsia="Calibri" w:hAnsi="Calibri" w:cs="Calibri"/>
          <w:i/>
          <w:sz w:val="20"/>
          <w:szCs w:val="20"/>
          <w:lang w:val="en-US" w:eastAsia="en-US"/>
        </w:rPr>
        <w:t xml:space="preserve"> assets</w:t>
      </w:r>
      <w:r w:rsidRPr="00F116E9">
        <w:rPr>
          <w:rFonts w:ascii="Calibri" w:eastAsia="Calibri" w:hAnsi="Calibri" w:cs="Calibri"/>
          <w:i/>
          <w:sz w:val="20"/>
          <w:szCs w:val="20"/>
          <w:lang w:val="en-US" w:eastAsia="en-US"/>
        </w:rPr>
        <w:t xml:space="preserve"> measured in accordance with the CRR.</w:t>
      </w:r>
    </w:p>
    <w:p w14:paraId="2127EFB8" w14:textId="77777777" w:rsidR="00F53939" w:rsidRPr="002A5018" w:rsidRDefault="00F53939" w:rsidP="00F53939">
      <w:pPr>
        <w:pStyle w:val="ListParagraph"/>
        <w:numPr>
          <w:ilvl w:val="0"/>
          <w:numId w:val="5"/>
        </w:numPr>
        <w:jc w:val="both"/>
        <w:rPr>
          <w:rFonts w:ascii="Calibri" w:eastAsia="Calibri" w:hAnsi="Calibri" w:cs="Calibri"/>
          <w:i/>
          <w:sz w:val="20"/>
          <w:szCs w:val="20"/>
          <w:lang w:eastAsia="en-US"/>
        </w:rPr>
      </w:pPr>
      <w:r w:rsidRPr="002A5018">
        <w:rPr>
          <w:rFonts w:ascii="Calibri" w:eastAsia="Calibri" w:hAnsi="Calibri" w:cs="Calibri"/>
          <w:i/>
          <w:sz w:val="20"/>
          <w:szCs w:val="20"/>
          <w:lang w:eastAsia="en-US"/>
        </w:rPr>
        <w:t>Retail funding as a percentage of all funding has been restated to include Tier 2 capital within the total on-balance sheet funding of the Group.</w:t>
      </w:r>
    </w:p>
    <w:p w14:paraId="72E75404" w14:textId="77777777" w:rsidR="00920E39" w:rsidRDefault="00920E39" w:rsidP="00D1468B">
      <w:pPr>
        <w:spacing w:after="160"/>
        <w:jc w:val="both"/>
        <w:rPr>
          <w:rFonts w:asciiTheme="minorHAnsi" w:hAnsiTheme="minorHAnsi" w:cs="Arial"/>
          <w:b/>
          <w:bCs/>
          <w:color w:val="4747FF"/>
          <w:sz w:val="22"/>
          <w:szCs w:val="22"/>
        </w:rPr>
      </w:pPr>
    </w:p>
    <w:p w14:paraId="4BA96565" w14:textId="77777777" w:rsidR="00F53939" w:rsidRPr="00A166EB" w:rsidRDefault="00F53939" w:rsidP="001D4925">
      <w:pPr>
        <w:spacing w:after="160"/>
        <w:ind w:left="-110" w:firstLine="110"/>
        <w:jc w:val="both"/>
        <w:rPr>
          <w:rFonts w:asciiTheme="minorHAnsi" w:hAnsiTheme="minorHAnsi" w:cstheme="minorBidi"/>
          <w:b/>
          <w:bCs/>
          <w:sz w:val="20"/>
          <w:szCs w:val="20"/>
          <w:u w:val="single"/>
        </w:rPr>
      </w:pPr>
      <w:r w:rsidRPr="00A166EB">
        <w:rPr>
          <w:rFonts w:asciiTheme="minorHAnsi" w:hAnsiTheme="minorHAnsi" w:cs="Arial"/>
          <w:b/>
          <w:bCs/>
          <w:color w:val="4747FF"/>
          <w:sz w:val="22"/>
          <w:szCs w:val="22"/>
          <w:u w:val="single"/>
        </w:rPr>
        <w:t>Forward looking statements</w:t>
      </w:r>
    </w:p>
    <w:p w14:paraId="6B2B64A8" w14:textId="77777777" w:rsidR="000A2B9C" w:rsidRDefault="00F53939" w:rsidP="000A2B9C">
      <w:pPr>
        <w:pStyle w:val="NoSpacing"/>
        <w:jc w:val="both"/>
        <w:rPr>
          <w:rFonts w:ascii="Calibri" w:eastAsia="Calibri" w:hAnsi="Calibri" w:cs="Calibri"/>
          <w:color w:val="000000"/>
          <w:kern w:val="2"/>
          <w:lang w:eastAsia="en-GB"/>
          <w14:ligatures w14:val="standardContextual"/>
        </w:rPr>
      </w:pPr>
      <w:r w:rsidRPr="00E7451E">
        <w:rPr>
          <w:rFonts w:ascii="Calibri" w:eastAsia="Calibri" w:hAnsi="Calibri" w:cs="Calibri"/>
          <w:color w:val="000000"/>
          <w:kern w:val="2"/>
          <w:lang w:eastAsia="en-GB"/>
          <w14:ligatures w14:val="standardContextual"/>
        </w:rPr>
        <w:t xml:space="preserve">This report may contain certain "forward looking statements" regarding the financial position, business strategy or plans for future operations of Vanquis Banking Group. All statements other than statements of historical fact included in this document may be forward looking statements. Forward looking statements also often use words such as "believe", "expect", "estimate", "intend", "anticipate" and words of a similar meaning. By their nature, forward looking statements involve risk and uncertainty that could cause actual results to differ from those suggested by them. Much of the risk and uncertainty relates to factors that are beyond Vanquis Banking Group’s ability to control or estimate precisely, such as future market conditions and the behaviours of other market participants, and therefore undue reliance should not be placed on such statements which speak only as at the date of this report. Vanquis Banking Group does not assume any obligation to, and does not intend to, revise or update these forward-looking statements, except as required pursuant to applicable law or regulation. No statement in this announcement is intended as a profit forecast or estimate for any period. No statement in this announcement should be interpreted to indicate a particular </w:t>
      </w:r>
      <w:r w:rsidRPr="00E7451E">
        <w:rPr>
          <w:rFonts w:ascii="Calibri" w:eastAsia="Calibri" w:hAnsi="Calibri" w:cs="Calibri"/>
          <w:color w:val="000000"/>
          <w:kern w:val="2"/>
          <w:lang w:eastAsia="en-GB"/>
          <w14:ligatures w14:val="standardContextual"/>
        </w:rPr>
        <w:lastRenderedPageBreak/>
        <w:t>level of profit and, as a consequence, it should not be possible to derive a profit figure for any future period from this report.</w:t>
      </w:r>
    </w:p>
    <w:p w14:paraId="6A208838" w14:textId="77777777" w:rsidR="000A2B9C" w:rsidRDefault="000A2B9C" w:rsidP="000A2B9C">
      <w:pPr>
        <w:pStyle w:val="NoSpacing"/>
        <w:jc w:val="both"/>
        <w:rPr>
          <w:rFonts w:ascii="Calibri" w:eastAsia="Calibri" w:hAnsi="Calibri" w:cs="Calibri"/>
          <w:color w:val="000000"/>
          <w:kern w:val="2"/>
          <w:lang w:eastAsia="en-GB"/>
          <w14:ligatures w14:val="standardContextual"/>
        </w:rPr>
      </w:pPr>
    </w:p>
    <w:p w14:paraId="5824E876" w14:textId="7AC17132" w:rsidR="00F53939" w:rsidRPr="00483043" w:rsidRDefault="00F53939" w:rsidP="000A2B9C">
      <w:pPr>
        <w:pStyle w:val="NoSpacing"/>
        <w:jc w:val="both"/>
        <w:rPr>
          <w:rFonts w:eastAsiaTheme="minorEastAsia"/>
          <w:b/>
          <w:bCs/>
          <w:color w:val="4747FF"/>
        </w:rPr>
      </w:pPr>
      <w:r w:rsidRPr="00B100FE">
        <w:rPr>
          <w:rFonts w:eastAsiaTheme="minorEastAsia"/>
          <w:b/>
          <w:bCs/>
          <w:color w:val="4747FF"/>
          <w:u w:val="single"/>
        </w:rPr>
        <w:t>Operating review</w:t>
      </w:r>
    </w:p>
    <w:p w14:paraId="12DDEFE2" w14:textId="77777777" w:rsidR="00F53939" w:rsidRPr="00B100FE" w:rsidRDefault="00F53939" w:rsidP="00F53939">
      <w:pPr>
        <w:jc w:val="both"/>
        <w:rPr>
          <w:rFonts w:asciiTheme="minorHAnsi" w:eastAsiaTheme="minorEastAsia" w:hAnsiTheme="minorHAnsi" w:cstheme="minorBidi"/>
          <w:b/>
          <w:bCs/>
          <w:color w:val="4747FF"/>
          <w:sz w:val="22"/>
          <w:szCs w:val="22"/>
          <w:u w:val="single"/>
          <w:lang w:eastAsia="en-US"/>
        </w:rPr>
      </w:pPr>
    </w:p>
    <w:p w14:paraId="57FEA462" w14:textId="77777777" w:rsidR="00F53939" w:rsidRDefault="00F53939" w:rsidP="00F53939">
      <w:pPr>
        <w:jc w:val="both"/>
        <w:rPr>
          <w:rFonts w:asciiTheme="minorHAnsi" w:eastAsiaTheme="minorEastAsia" w:hAnsiTheme="minorHAnsi" w:cstheme="minorBidi"/>
          <w:b/>
          <w:bCs/>
          <w:color w:val="4747FF"/>
          <w:sz w:val="22"/>
          <w:szCs w:val="22"/>
          <w:lang w:eastAsia="en-US"/>
        </w:rPr>
      </w:pPr>
      <w:r>
        <w:rPr>
          <w:rFonts w:asciiTheme="minorHAnsi" w:eastAsiaTheme="minorEastAsia" w:hAnsiTheme="minorHAnsi" w:cstheme="minorBidi"/>
          <w:b/>
          <w:bCs/>
          <w:color w:val="4747FF"/>
          <w:sz w:val="22"/>
          <w:szCs w:val="22"/>
          <w:lang w:eastAsia="en-US"/>
        </w:rPr>
        <w:t>Segmental p</w:t>
      </w:r>
      <w:r w:rsidRPr="00A534F4">
        <w:rPr>
          <w:rFonts w:asciiTheme="minorHAnsi" w:eastAsiaTheme="minorEastAsia" w:hAnsiTheme="minorHAnsi" w:cstheme="minorBidi"/>
          <w:b/>
          <w:bCs/>
          <w:color w:val="4747FF"/>
          <w:sz w:val="22"/>
          <w:szCs w:val="22"/>
          <w:lang w:eastAsia="en-US"/>
        </w:rPr>
        <w:t>roduct performance</w:t>
      </w:r>
    </w:p>
    <w:p w14:paraId="562CC2A9" w14:textId="77777777" w:rsidR="00F53939" w:rsidRPr="00E61186" w:rsidRDefault="00F53939" w:rsidP="00F53939">
      <w:pPr>
        <w:jc w:val="both"/>
        <w:rPr>
          <w:rFonts w:asciiTheme="minorHAnsi" w:eastAsiaTheme="minorEastAsia" w:hAnsiTheme="minorHAnsi" w:cstheme="minorBidi"/>
          <w:sz w:val="22"/>
          <w:szCs w:val="22"/>
          <w:lang w:eastAsia="en-US"/>
        </w:rPr>
      </w:pPr>
    </w:p>
    <w:tbl>
      <w:tblPr>
        <w:tblW w:w="4957" w:type="pct"/>
        <w:tblLook w:val="04A0" w:firstRow="1" w:lastRow="0" w:firstColumn="1" w:lastColumn="0" w:noHBand="0" w:noVBand="1"/>
      </w:tblPr>
      <w:tblGrid>
        <w:gridCol w:w="2573"/>
        <w:gridCol w:w="1414"/>
        <w:gridCol w:w="1413"/>
        <w:gridCol w:w="1413"/>
        <w:gridCol w:w="1413"/>
        <w:gridCol w:w="1413"/>
      </w:tblGrid>
      <w:tr w:rsidR="00F53939" w:rsidRPr="00D7660C" w14:paraId="4AF3D432" w14:textId="77777777" w:rsidTr="003B7755">
        <w:trPr>
          <w:trHeight w:val="20"/>
        </w:trPr>
        <w:tc>
          <w:tcPr>
            <w:tcW w:w="1334" w:type="pct"/>
            <w:tcBorders>
              <w:top w:val="nil"/>
              <w:left w:val="nil"/>
              <w:bottom w:val="single" w:sz="8" w:space="0" w:color="BFBFBF"/>
              <w:right w:val="nil"/>
            </w:tcBorders>
            <w:vAlign w:val="bottom"/>
            <w:hideMark/>
          </w:tcPr>
          <w:p w14:paraId="7BDC10B4" w14:textId="77777777" w:rsidR="00F53939" w:rsidRPr="00D7660C" w:rsidRDefault="00F53939" w:rsidP="00A50D03">
            <w:pPr>
              <w:rPr>
                <w:rFonts w:asciiTheme="minorHAnsi" w:hAnsiTheme="minorHAnsi" w:cstheme="minorHAnsi"/>
                <w:sz w:val="20"/>
                <w:szCs w:val="20"/>
              </w:rPr>
            </w:pPr>
            <w:r w:rsidRPr="00D7660C">
              <w:rPr>
                <w:rFonts w:asciiTheme="minorHAnsi" w:hAnsiTheme="minorHAnsi" w:cstheme="minorHAnsi"/>
                <w:b/>
                <w:sz w:val="20"/>
                <w:szCs w:val="20"/>
              </w:rPr>
              <w:t>1H25 £m</w:t>
            </w:r>
          </w:p>
        </w:tc>
        <w:tc>
          <w:tcPr>
            <w:tcW w:w="733" w:type="pct"/>
            <w:tcBorders>
              <w:top w:val="single" w:sz="4" w:space="0" w:color="D0CECE"/>
              <w:left w:val="nil"/>
              <w:bottom w:val="single" w:sz="8" w:space="0" w:color="D0CECE"/>
              <w:right w:val="nil"/>
            </w:tcBorders>
            <w:shd w:val="clear" w:color="auto" w:fill="F2F2F2" w:themeFill="background1" w:themeFillShade="F2"/>
            <w:vAlign w:val="center"/>
            <w:hideMark/>
          </w:tcPr>
          <w:p w14:paraId="4479C180" w14:textId="77777777" w:rsidR="00F53939" w:rsidRPr="00D7660C" w:rsidRDefault="00F53939" w:rsidP="00A50D03">
            <w:pPr>
              <w:jc w:val="center"/>
              <w:rPr>
                <w:rFonts w:asciiTheme="minorHAnsi" w:hAnsiTheme="minorHAnsi" w:cstheme="minorHAnsi"/>
                <w:b/>
                <w:sz w:val="20"/>
                <w:szCs w:val="20"/>
              </w:rPr>
            </w:pPr>
            <w:r w:rsidRPr="00D7660C">
              <w:rPr>
                <w:rFonts w:asciiTheme="minorHAnsi" w:hAnsiTheme="minorHAnsi" w:cstheme="minorHAnsi"/>
                <w:b/>
                <w:sz w:val="20"/>
                <w:szCs w:val="20"/>
              </w:rPr>
              <w:t>Credit Cards</w:t>
            </w:r>
          </w:p>
        </w:tc>
        <w:tc>
          <w:tcPr>
            <w:tcW w:w="733" w:type="pct"/>
            <w:tcBorders>
              <w:top w:val="single" w:sz="4" w:space="0" w:color="D0CECE"/>
              <w:left w:val="nil"/>
              <w:bottom w:val="single" w:sz="8" w:space="0" w:color="D0CECE"/>
              <w:right w:val="nil"/>
            </w:tcBorders>
            <w:shd w:val="clear" w:color="auto" w:fill="F2F2F2" w:themeFill="background1" w:themeFillShade="F2"/>
            <w:vAlign w:val="center"/>
            <w:hideMark/>
          </w:tcPr>
          <w:p w14:paraId="0E012BF0" w14:textId="77777777" w:rsidR="00F53939" w:rsidRPr="00D7660C" w:rsidRDefault="00F53939" w:rsidP="00A50D03">
            <w:pPr>
              <w:jc w:val="center"/>
              <w:rPr>
                <w:rFonts w:asciiTheme="minorHAnsi" w:hAnsiTheme="minorHAnsi" w:cstheme="minorHAnsi"/>
                <w:b/>
                <w:sz w:val="20"/>
                <w:szCs w:val="20"/>
              </w:rPr>
            </w:pPr>
            <w:r w:rsidRPr="00D7660C">
              <w:rPr>
                <w:rFonts w:asciiTheme="minorHAnsi" w:hAnsiTheme="minorHAnsi" w:cstheme="minorHAnsi"/>
                <w:b/>
                <w:sz w:val="20"/>
                <w:szCs w:val="20"/>
              </w:rPr>
              <w:t>Vehicle Finance</w:t>
            </w:r>
          </w:p>
        </w:tc>
        <w:tc>
          <w:tcPr>
            <w:tcW w:w="733" w:type="pct"/>
            <w:tcBorders>
              <w:top w:val="single" w:sz="4" w:space="0" w:color="D0CECE"/>
              <w:left w:val="nil"/>
              <w:bottom w:val="single" w:sz="8" w:space="0" w:color="D0CECE"/>
              <w:right w:val="nil"/>
            </w:tcBorders>
            <w:shd w:val="clear" w:color="auto" w:fill="F2F2F2" w:themeFill="background1" w:themeFillShade="F2"/>
            <w:vAlign w:val="center"/>
            <w:hideMark/>
          </w:tcPr>
          <w:p w14:paraId="5DFF40E5" w14:textId="77777777" w:rsidR="00F53939" w:rsidRPr="00D7660C" w:rsidRDefault="00F53939" w:rsidP="00A50D03">
            <w:pPr>
              <w:jc w:val="center"/>
              <w:rPr>
                <w:rFonts w:asciiTheme="minorHAnsi" w:hAnsiTheme="minorHAnsi" w:cstheme="minorHAnsi"/>
                <w:b/>
                <w:sz w:val="20"/>
                <w:szCs w:val="20"/>
              </w:rPr>
            </w:pPr>
            <w:r w:rsidRPr="00D7660C">
              <w:rPr>
                <w:rFonts w:asciiTheme="minorHAnsi" w:hAnsiTheme="minorHAnsi" w:cstheme="minorHAnsi"/>
                <w:b/>
                <w:sz w:val="20"/>
                <w:szCs w:val="20"/>
              </w:rPr>
              <w:t>Second Charge Mortgages</w:t>
            </w:r>
          </w:p>
        </w:tc>
        <w:tc>
          <w:tcPr>
            <w:tcW w:w="733" w:type="pct"/>
            <w:tcBorders>
              <w:top w:val="single" w:sz="4" w:space="0" w:color="D0CECE"/>
              <w:left w:val="nil"/>
              <w:bottom w:val="single" w:sz="8" w:space="0" w:color="D0CECE"/>
              <w:right w:val="nil"/>
            </w:tcBorders>
            <w:shd w:val="clear" w:color="auto" w:fill="F2F2F2" w:themeFill="background1" w:themeFillShade="F2"/>
            <w:vAlign w:val="center"/>
            <w:hideMark/>
          </w:tcPr>
          <w:p w14:paraId="24697F90" w14:textId="77777777" w:rsidR="00F53939" w:rsidRPr="00D7660C" w:rsidRDefault="00F53939" w:rsidP="00A50D03">
            <w:pPr>
              <w:jc w:val="center"/>
              <w:rPr>
                <w:rFonts w:asciiTheme="minorHAnsi" w:hAnsiTheme="minorHAnsi" w:cstheme="minorHAnsi"/>
                <w:b/>
                <w:sz w:val="20"/>
                <w:szCs w:val="20"/>
              </w:rPr>
            </w:pPr>
            <w:r w:rsidRPr="00D7660C">
              <w:rPr>
                <w:rFonts w:asciiTheme="minorHAnsi" w:hAnsiTheme="minorHAnsi" w:cstheme="minorHAnsi"/>
                <w:b/>
                <w:sz w:val="20"/>
                <w:szCs w:val="20"/>
              </w:rPr>
              <w:t>Corporate Centre</w:t>
            </w:r>
          </w:p>
        </w:tc>
        <w:tc>
          <w:tcPr>
            <w:tcW w:w="733" w:type="pct"/>
            <w:tcBorders>
              <w:top w:val="single" w:sz="4" w:space="0" w:color="D0CECE"/>
              <w:left w:val="nil"/>
              <w:bottom w:val="single" w:sz="8" w:space="0" w:color="D0CECE"/>
              <w:right w:val="nil"/>
            </w:tcBorders>
            <w:shd w:val="clear" w:color="auto" w:fill="F2F2F2" w:themeFill="background1" w:themeFillShade="F2"/>
            <w:vAlign w:val="center"/>
            <w:hideMark/>
          </w:tcPr>
          <w:p w14:paraId="7E4F8024" w14:textId="77777777" w:rsidR="00F53939" w:rsidRPr="00D7660C" w:rsidRDefault="00F53939" w:rsidP="00A50D03">
            <w:pPr>
              <w:jc w:val="center"/>
              <w:rPr>
                <w:rFonts w:asciiTheme="minorHAnsi" w:hAnsiTheme="minorHAnsi" w:cstheme="minorHAnsi"/>
                <w:b/>
                <w:sz w:val="20"/>
                <w:szCs w:val="20"/>
              </w:rPr>
            </w:pPr>
            <w:r w:rsidRPr="00D7660C">
              <w:rPr>
                <w:rFonts w:asciiTheme="minorHAnsi" w:hAnsiTheme="minorHAnsi" w:cstheme="minorHAnsi"/>
                <w:b/>
                <w:sz w:val="20"/>
                <w:szCs w:val="20"/>
              </w:rPr>
              <w:t>Total</w:t>
            </w:r>
          </w:p>
        </w:tc>
      </w:tr>
      <w:tr w:rsidR="00F53939" w:rsidRPr="00D7660C" w14:paraId="300A7038" w14:textId="77777777" w:rsidTr="003B7755">
        <w:trPr>
          <w:trHeight w:val="20"/>
        </w:trPr>
        <w:tc>
          <w:tcPr>
            <w:tcW w:w="1334" w:type="pct"/>
            <w:tcBorders>
              <w:top w:val="single" w:sz="2" w:space="0" w:color="auto"/>
              <w:left w:val="nil"/>
              <w:bottom w:val="single" w:sz="4" w:space="0" w:color="BFBFBF"/>
              <w:right w:val="nil"/>
            </w:tcBorders>
            <w:vAlign w:val="center"/>
            <w:hideMark/>
          </w:tcPr>
          <w:p w14:paraId="07206A65" w14:textId="77777777" w:rsidR="00F53939" w:rsidRPr="00D77998" w:rsidRDefault="00F53939" w:rsidP="00A50D03">
            <w:pPr>
              <w:rPr>
                <w:rFonts w:asciiTheme="minorHAnsi" w:hAnsiTheme="minorHAnsi" w:cstheme="minorHAnsi"/>
                <w:sz w:val="20"/>
                <w:szCs w:val="20"/>
              </w:rPr>
            </w:pPr>
            <w:r w:rsidRPr="00D77998">
              <w:rPr>
                <w:rFonts w:asciiTheme="minorHAnsi" w:hAnsiTheme="minorHAnsi" w:cstheme="minorHAnsi"/>
                <w:sz w:val="20"/>
                <w:szCs w:val="20"/>
              </w:rPr>
              <w:t>Interest income</w:t>
            </w:r>
          </w:p>
        </w:tc>
        <w:tc>
          <w:tcPr>
            <w:tcW w:w="733" w:type="pct"/>
            <w:tcBorders>
              <w:top w:val="single" w:sz="2" w:space="0" w:color="auto"/>
              <w:left w:val="nil"/>
              <w:bottom w:val="single" w:sz="4" w:space="0" w:color="BFBFBF"/>
              <w:right w:val="nil"/>
            </w:tcBorders>
            <w:shd w:val="clear" w:color="auto" w:fill="F2F2F2" w:themeFill="background1" w:themeFillShade="F2"/>
            <w:noWrap/>
            <w:vAlign w:val="center"/>
          </w:tcPr>
          <w:p w14:paraId="019E4B35"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179.0</w:t>
            </w:r>
          </w:p>
        </w:tc>
        <w:tc>
          <w:tcPr>
            <w:tcW w:w="733" w:type="pct"/>
            <w:tcBorders>
              <w:top w:val="single" w:sz="2" w:space="0" w:color="auto"/>
              <w:left w:val="nil"/>
              <w:bottom w:val="single" w:sz="4" w:space="0" w:color="BFBFBF"/>
              <w:right w:val="nil"/>
            </w:tcBorders>
            <w:shd w:val="clear" w:color="auto" w:fill="F2F2F2" w:themeFill="background1" w:themeFillShade="F2"/>
            <w:noWrap/>
            <w:vAlign w:val="center"/>
          </w:tcPr>
          <w:p w14:paraId="30B7F1AB"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62.9</w:t>
            </w:r>
          </w:p>
        </w:tc>
        <w:tc>
          <w:tcPr>
            <w:tcW w:w="733" w:type="pct"/>
            <w:tcBorders>
              <w:top w:val="single" w:sz="2" w:space="0" w:color="auto"/>
              <w:left w:val="nil"/>
              <w:bottom w:val="single" w:sz="4" w:space="0" w:color="BFBFBF"/>
              <w:right w:val="nil"/>
            </w:tcBorders>
            <w:shd w:val="clear" w:color="auto" w:fill="F2F2F2" w:themeFill="background1" w:themeFillShade="F2"/>
            <w:noWrap/>
            <w:vAlign w:val="center"/>
          </w:tcPr>
          <w:p w14:paraId="1BBEF68E"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11.0</w:t>
            </w:r>
          </w:p>
        </w:tc>
        <w:tc>
          <w:tcPr>
            <w:tcW w:w="733" w:type="pct"/>
            <w:tcBorders>
              <w:top w:val="single" w:sz="2" w:space="0" w:color="auto"/>
              <w:left w:val="nil"/>
              <w:bottom w:val="single" w:sz="4" w:space="0" w:color="BFBFBF"/>
              <w:right w:val="nil"/>
            </w:tcBorders>
            <w:shd w:val="clear" w:color="auto" w:fill="F2F2F2" w:themeFill="background1" w:themeFillShade="F2"/>
            <w:noWrap/>
            <w:vAlign w:val="center"/>
          </w:tcPr>
          <w:p w14:paraId="080564DE"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22.0</w:t>
            </w:r>
          </w:p>
        </w:tc>
        <w:tc>
          <w:tcPr>
            <w:tcW w:w="733" w:type="pct"/>
            <w:tcBorders>
              <w:top w:val="single" w:sz="2" w:space="0" w:color="auto"/>
              <w:left w:val="nil"/>
              <w:bottom w:val="single" w:sz="4" w:space="0" w:color="BFBFBF"/>
              <w:right w:val="nil"/>
            </w:tcBorders>
            <w:shd w:val="clear" w:color="auto" w:fill="F2F2F2" w:themeFill="background1" w:themeFillShade="F2"/>
            <w:noWrap/>
            <w:vAlign w:val="center"/>
          </w:tcPr>
          <w:p w14:paraId="51FB481D"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274.9</w:t>
            </w:r>
          </w:p>
        </w:tc>
      </w:tr>
      <w:tr w:rsidR="00F53939" w:rsidRPr="00D7660C" w14:paraId="0290FE72" w14:textId="77777777" w:rsidTr="003B7755">
        <w:trPr>
          <w:trHeight w:val="20"/>
        </w:trPr>
        <w:tc>
          <w:tcPr>
            <w:tcW w:w="1334" w:type="pct"/>
            <w:tcBorders>
              <w:top w:val="single" w:sz="4" w:space="0" w:color="BFBFBF"/>
              <w:left w:val="nil"/>
              <w:bottom w:val="single" w:sz="2" w:space="0" w:color="auto"/>
              <w:right w:val="nil"/>
            </w:tcBorders>
            <w:vAlign w:val="center"/>
            <w:hideMark/>
          </w:tcPr>
          <w:p w14:paraId="1B7FD0E3" w14:textId="77777777" w:rsidR="00F53939" w:rsidRPr="00D77998" w:rsidRDefault="00F53939" w:rsidP="00A50D03">
            <w:pPr>
              <w:rPr>
                <w:rFonts w:asciiTheme="minorHAnsi" w:hAnsiTheme="minorHAnsi" w:cstheme="minorHAnsi"/>
                <w:sz w:val="20"/>
                <w:szCs w:val="20"/>
              </w:rPr>
            </w:pPr>
            <w:r w:rsidRPr="00D77998">
              <w:rPr>
                <w:rFonts w:asciiTheme="minorHAnsi" w:hAnsiTheme="minorHAnsi" w:cstheme="minorHAnsi"/>
                <w:sz w:val="20"/>
                <w:szCs w:val="20"/>
              </w:rPr>
              <w:t>Interest expense</w:t>
            </w:r>
          </w:p>
        </w:tc>
        <w:tc>
          <w:tcPr>
            <w:tcW w:w="733" w:type="pct"/>
            <w:tcBorders>
              <w:top w:val="single" w:sz="4" w:space="0" w:color="BFBFBF"/>
              <w:left w:val="nil"/>
              <w:bottom w:val="single" w:sz="2" w:space="0" w:color="auto"/>
              <w:right w:val="nil"/>
            </w:tcBorders>
            <w:shd w:val="clear" w:color="auto" w:fill="F2F2F2" w:themeFill="background1" w:themeFillShade="F2"/>
            <w:noWrap/>
            <w:vAlign w:val="center"/>
          </w:tcPr>
          <w:p w14:paraId="117D6551"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(24.7)</w:t>
            </w:r>
          </w:p>
        </w:tc>
        <w:tc>
          <w:tcPr>
            <w:tcW w:w="733" w:type="pct"/>
            <w:tcBorders>
              <w:top w:val="single" w:sz="4" w:space="0" w:color="BFBFBF"/>
              <w:left w:val="nil"/>
              <w:bottom w:val="single" w:sz="2" w:space="0" w:color="auto"/>
              <w:right w:val="nil"/>
            </w:tcBorders>
            <w:shd w:val="clear" w:color="auto" w:fill="F2F2F2" w:themeFill="background1" w:themeFillShade="F2"/>
            <w:noWrap/>
            <w:vAlign w:val="center"/>
          </w:tcPr>
          <w:p w14:paraId="12A48788"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(14.3)</w:t>
            </w:r>
          </w:p>
        </w:tc>
        <w:tc>
          <w:tcPr>
            <w:tcW w:w="733" w:type="pct"/>
            <w:tcBorders>
              <w:top w:val="single" w:sz="4" w:space="0" w:color="BFBFBF"/>
              <w:left w:val="nil"/>
              <w:bottom w:val="single" w:sz="2" w:space="0" w:color="auto"/>
              <w:right w:val="nil"/>
            </w:tcBorders>
            <w:shd w:val="clear" w:color="auto" w:fill="F2F2F2" w:themeFill="background1" w:themeFillShade="F2"/>
            <w:noWrap/>
            <w:vAlign w:val="center"/>
          </w:tcPr>
          <w:p w14:paraId="4CF01B3C"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(6.7)</w:t>
            </w:r>
          </w:p>
        </w:tc>
        <w:tc>
          <w:tcPr>
            <w:tcW w:w="733" w:type="pct"/>
            <w:tcBorders>
              <w:top w:val="single" w:sz="4" w:space="0" w:color="BFBFBF"/>
              <w:left w:val="nil"/>
              <w:bottom w:val="single" w:sz="2" w:space="0" w:color="auto"/>
              <w:right w:val="nil"/>
            </w:tcBorders>
            <w:shd w:val="clear" w:color="auto" w:fill="F2F2F2" w:themeFill="background1" w:themeFillShade="F2"/>
            <w:noWrap/>
            <w:vAlign w:val="center"/>
          </w:tcPr>
          <w:p w14:paraId="3251BACB"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(27.0)</w:t>
            </w:r>
          </w:p>
        </w:tc>
        <w:tc>
          <w:tcPr>
            <w:tcW w:w="733" w:type="pct"/>
            <w:tcBorders>
              <w:top w:val="single" w:sz="4" w:space="0" w:color="BFBFBF"/>
              <w:left w:val="nil"/>
              <w:bottom w:val="single" w:sz="2" w:space="0" w:color="auto"/>
              <w:right w:val="nil"/>
            </w:tcBorders>
            <w:shd w:val="clear" w:color="auto" w:fill="F2F2F2" w:themeFill="background1" w:themeFillShade="F2"/>
            <w:noWrap/>
            <w:vAlign w:val="center"/>
          </w:tcPr>
          <w:p w14:paraId="0477CA1A"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(72.7)</w:t>
            </w:r>
          </w:p>
        </w:tc>
      </w:tr>
      <w:tr w:rsidR="00F53939" w:rsidRPr="00D7660C" w14:paraId="509F3CD6" w14:textId="77777777" w:rsidTr="003B7755">
        <w:trPr>
          <w:trHeight w:val="20"/>
        </w:trPr>
        <w:tc>
          <w:tcPr>
            <w:tcW w:w="1334" w:type="pct"/>
            <w:tcBorders>
              <w:top w:val="single" w:sz="2" w:space="0" w:color="auto"/>
              <w:left w:val="nil"/>
              <w:bottom w:val="single" w:sz="2" w:space="0" w:color="auto"/>
              <w:right w:val="nil"/>
            </w:tcBorders>
            <w:vAlign w:val="center"/>
            <w:hideMark/>
          </w:tcPr>
          <w:p w14:paraId="0F7E1B55" w14:textId="77777777" w:rsidR="00F53939" w:rsidRPr="00D77998" w:rsidRDefault="00F53939" w:rsidP="00A50D03">
            <w:pPr>
              <w:rPr>
                <w:rFonts w:asciiTheme="minorHAnsi" w:hAnsiTheme="minorHAnsi" w:cstheme="minorHAnsi"/>
                <w:b/>
                <w:sz w:val="20"/>
                <w:szCs w:val="20"/>
              </w:rPr>
            </w:pPr>
            <w:r w:rsidRPr="00D77998">
              <w:rPr>
                <w:rFonts w:asciiTheme="minorHAnsi" w:hAnsiTheme="minorHAnsi" w:cstheme="minorHAnsi"/>
                <w:b/>
                <w:sz w:val="20"/>
                <w:szCs w:val="20"/>
              </w:rPr>
              <w:t>Net interest income</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73EB3D08"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154.3</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229152BF"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48.6</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3C202029"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4.3</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377E9644"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(5.0)</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0E579296"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202.2</w:t>
            </w:r>
          </w:p>
        </w:tc>
      </w:tr>
      <w:tr w:rsidR="00F53939" w:rsidRPr="00D7660C" w14:paraId="5C43149F" w14:textId="77777777" w:rsidTr="003B7755">
        <w:trPr>
          <w:trHeight w:val="20"/>
        </w:trPr>
        <w:tc>
          <w:tcPr>
            <w:tcW w:w="1334" w:type="pct"/>
            <w:tcBorders>
              <w:top w:val="single" w:sz="2" w:space="0" w:color="auto"/>
              <w:left w:val="nil"/>
              <w:bottom w:val="single" w:sz="2" w:space="0" w:color="auto"/>
              <w:right w:val="nil"/>
            </w:tcBorders>
            <w:vAlign w:val="center"/>
            <w:hideMark/>
          </w:tcPr>
          <w:p w14:paraId="07EDCE5D" w14:textId="77777777" w:rsidR="00F53939" w:rsidRPr="00D77998" w:rsidRDefault="00F53939" w:rsidP="00A50D03">
            <w:pPr>
              <w:rPr>
                <w:rFonts w:asciiTheme="minorHAnsi" w:hAnsiTheme="minorHAnsi" w:cstheme="minorHAnsi"/>
                <w:sz w:val="20"/>
                <w:szCs w:val="20"/>
              </w:rPr>
            </w:pPr>
            <w:r w:rsidRPr="00D77998">
              <w:rPr>
                <w:rFonts w:asciiTheme="minorHAnsi" w:hAnsiTheme="minorHAnsi" w:cstheme="minorHAnsi"/>
                <w:sz w:val="20"/>
                <w:szCs w:val="20"/>
              </w:rPr>
              <w:t>Non-interest income</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4912797C"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16.0</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64CB709F"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6BAC7726"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0.2</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5263E284"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1.3</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5CF5C994"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17.5</w:t>
            </w:r>
          </w:p>
        </w:tc>
      </w:tr>
      <w:tr w:rsidR="00F53939" w:rsidRPr="00D7660C" w14:paraId="1C6151E5" w14:textId="77777777" w:rsidTr="003B7755">
        <w:trPr>
          <w:trHeight w:val="20"/>
        </w:trPr>
        <w:tc>
          <w:tcPr>
            <w:tcW w:w="1334" w:type="pct"/>
            <w:tcBorders>
              <w:top w:val="single" w:sz="2" w:space="0" w:color="auto"/>
              <w:left w:val="nil"/>
              <w:bottom w:val="single" w:sz="2" w:space="0" w:color="auto"/>
              <w:right w:val="nil"/>
            </w:tcBorders>
            <w:vAlign w:val="center"/>
            <w:hideMark/>
          </w:tcPr>
          <w:p w14:paraId="147AFA25" w14:textId="77777777" w:rsidR="00F53939" w:rsidRPr="00D77998" w:rsidRDefault="00F53939" w:rsidP="00A50D03">
            <w:pPr>
              <w:rPr>
                <w:rFonts w:asciiTheme="minorHAnsi" w:hAnsiTheme="minorHAnsi" w:cstheme="minorHAnsi"/>
                <w:b/>
                <w:sz w:val="20"/>
                <w:szCs w:val="20"/>
              </w:rPr>
            </w:pPr>
            <w:r w:rsidRPr="00D77998">
              <w:rPr>
                <w:rFonts w:asciiTheme="minorHAnsi" w:hAnsiTheme="minorHAnsi" w:cstheme="minorHAnsi"/>
                <w:b/>
                <w:sz w:val="20"/>
                <w:szCs w:val="20"/>
              </w:rPr>
              <w:t>Total income</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4CDB23E0"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170.3</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0DFC1854"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48.6</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1B3DFABA"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4.5</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33C86B7E"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(3.7)</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2AD083E9"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219.7</w:t>
            </w:r>
          </w:p>
        </w:tc>
      </w:tr>
      <w:tr w:rsidR="00F53939" w:rsidRPr="00D7660C" w14:paraId="4B573C29" w14:textId="77777777" w:rsidTr="003B7755">
        <w:trPr>
          <w:trHeight w:val="20"/>
        </w:trPr>
        <w:tc>
          <w:tcPr>
            <w:tcW w:w="1334" w:type="pct"/>
            <w:tcBorders>
              <w:top w:val="single" w:sz="2" w:space="0" w:color="auto"/>
              <w:left w:val="nil"/>
              <w:bottom w:val="single" w:sz="2" w:space="0" w:color="auto"/>
              <w:right w:val="nil"/>
            </w:tcBorders>
            <w:vAlign w:val="center"/>
            <w:hideMark/>
          </w:tcPr>
          <w:p w14:paraId="5C8F8645" w14:textId="77777777" w:rsidR="00F53939" w:rsidRPr="00D77998" w:rsidRDefault="00F53939" w:rsidP="00A50D03">
            <w:pPr>
              <w:rPr>
                <w:rFonts w:asciiTheme="minorHAnsi" w:hAnsiTheme="minorHAnsi" w:cstheme="minorHAnsi"/>
                <w:sz w:val="20"/>
                <w:szCs w:val="20"/>
              </w:rPr>
            </w:pPr>
            <w:r w:rsidRPr="00D77998">
              <w:rPr>
                <w:rFonts w:asciiTheme="minorHAnsi" w:hAnsiTheme="minorHAnsi" w:cstheme="minorHAnsi"/>
                <w:sz w:val="20"/>
                <w:szCs w:val="20"/>
              </w:rPr>
              <w:t>Impairment charges</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091EFB3B"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(64.0)</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0498CB12"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(12.7)</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74B333B3"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(0.2)</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19D342C8"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0.8</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58B5A3BC"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(76.1)</w:t>
            </w:r>
          </w:p>
        </w:tc>
      </w:tr>
      <w:tr w:rsidR="00F53939" w:rsidRPr="00D7660C" w14:paraId="50AA3647" w14:textId="77777777" w:rsidTr="003B7755">
        <w:trPr>
          <w:trHeight w:val="20"/>
        </w:trPr>
        <w:tc>
          <w:tcPr>
            <w:tcW w:w="1334" w:type="pct"/>
            <w:tcBorders>
              <w:top w:val="single" w:sz="2" w:space="0" w:color="auto"/>
              <w:left w:val="nil"/>
              <w:bottom w:val="single" w:sz="2" w:space="0" w:color="auto"/>
              <w:right w:val="nil"/>
            </w:tcBorders>
            <w:vAlign w:val="center"/>
            <w:hideMark/>
          </w:tcPr>
          <w:p w14:paraId="6CABDB11" w14:textId="77777777" w:rsidR="00F53939" w:rsidRPr="00D77998" w:rsidRDefault="00F53939" w:rsidP="00A50D03">
            <w:pPr>
              <w:rPr>
                <w:rFonts w:asciiTheme="minorHAnsi" w:hAnsiTheme="minorHAnsi" w:cstheme="minorHAnsi"/>
                <w:b/>
                <w:sz w:val="20"/>
                <w:szCs w:val="20"/>
              </w:rPr>
            </w:pPr>
            <w:r w:rsidRPr="00D77998">
              <w:rPr>
                <w:rFonts w:asciiTheme="minorHAnsi" w:hAnsiTheme="minorHAnsi" w:cstheme="minorHAnsi"/>
                <w:b/>
                <w:sz w:val="20"/>
                <w:szCs w:val="20"/>
              </w:rPr>
              <w:t>Risk-adjusted income</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180003C7"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106.3</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539DB2A6"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35.9</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63DB5D79"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4.3</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719DDC9F"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(2.9)</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5025AEA8"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143.6</w:t>
            </w:r>
          </w:p>
        </w:tc>
      </w:tr>
      <w:tr w:rsidR="00F53939" w:rsidRPr="00D7660C" w14:paraId="59CC8B77" w14:textId="77777777" w:rsidTr="003B7755">
        <w:trPr>
          <w:trHeight w:val="20"/>
        </w:trPr>
        <w:tc>
          <w:tcPr>
            <w:tcW w:w="1334" w:type="pct"/>
            <w:tcBorders>
              <w:top w:val="single" w:sz="2" w:space="0" w:color="auto"/>
              <w:left w:val="nil"/>
              <w:bottom w:val="single" w:sz="2" w:space="0" w:color="auto"/>
              <w:right w:val="nil"/>
            </w:tcBorders>
            <w:vAlign w:val="center"/>
            <w:hideMark/>
          </w:tcPr>
          <w:p w14:paraId="2CF11411" w14:textId="77777777" w:rsidR="00F53939" w:rsidRPr="00D77998" w:rsidRDefault="00F53939" w:rsidP="00A50D03">
            <w:pPr>
              <w:rPr>
                <w:rFonts w:asciiTheme="minorHAnsi" w:hAnsiTheme="minorHAnsi" w:cstheme="minorHAnsi"/>
                <w:sz w:val="20"/>
                <w:szCs w:val="20"/>
              </w:rPr>
            </w:pPr>
            <w:r w:rsidRPr="00D77998">
              <w:rPr>
                <w:rFonts w:asciiTheme="minorHAnsi" w:hAnsiTheme="minorHAnsi" w:cstheme="minorHAnsi"/>
                <w:sz w:val="20"/>
                <w:szCs w:val="20"/>
              </w:rPr>
              <w:t>Operating costs</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379B9496"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(93.7)</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66A0121C"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(34.5)</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25E3B149"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(1.9)</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2B1513B0"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(7.3)</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62A11C6E"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(137.4)</w:t>
            </w:r>
          </w:p>
        </w:tc>
      </w:tr>
      <w:tr w:rsidR="00F53939" w:rsidRPr="00D7660C" w14:paraId="622B3973" w14:textId="77777777" w:rsidTr="003B7755">
        <w:trPr>
          <w:trHeight w:val="20"/>
        </w:trPr>
        <w:tc>
          <w:tcPr>
            <w:tcW w:w="1334" w:type="pct"/>
            <w:tcBorders>
              <w:top w:val="single" w:sz="2" w:space="0" w:color="auto"/>
              <w:left w:val="nil"/>
              <w:bottom w:val="single" w:sz="2" w:space="0" w:color="auto"/>
              <w:right w:val="nil"/>
            </w:tcBorders>
            <w:vAlign w:val="center"/>
            <w:hideMark/>
          </w:tcPr>
          <w:p w14:paraId="170F3677" w14:textId="77777777" w:rsidR="00F53939" w:rsidRPr="00D77998" w:rsidRDefault="00F53939" w:rsidP="00A50D03">
            <w:pPr>
              <w:rPr>
                <w:rFonts w:asciiTheme="minorHAnsi" w:hAnsiTheme="minorHAnsi" w:cstheme="minorHAnsi"/>
                <w:b/>
                <w:sz w:val="20"/>
                <w:szCs w:val="20"/>
              </w:rPr>
            </w:pPr>
            <w:r w:rsidRPr="00D77998">
              <w:rPr>
                <w:rFonts w:asciiTheme="minorHAnsi" w:hAnsiTheme="minorHAnsi" w:cstheme="minorHAnsi"/>
                <w:b/>
                <w:sz w:val="20"/>
                <w:szCs w:val="20"/>
              </w:rPr>
              <w:t>Profit/(loss) before tax from continuing operations</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3DA92BBA"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12.6</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1DFF56C3"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1.4</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67B048A9"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2.4</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70E062B8"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(10.2)</w:t>
            </w:r>
          </w:p>
        </w:tc>
        <w:tc>
          <w:tcPr>
            <w:tcW w:w="733" w:type="pct"/>
            <w:tcBorders>
              <w:top w:val="single" w:sz="2" w:space="0" w:color="auto"/>
              <w:left w:val="nil"/>
              <w:bottom w:val="single" w:sz="2" w:space="0" w:color="auto"/>
              <w:right w:val="nil"/>
            </w:tcBorders>
            <w:shd w:val="clear" w:color="auto" w:fill="F2F2F2" w:themeFill="background1" w:themeFillShade="F2"/>
            <w:noWrap/>
            <w:vAlign w:val="center"/>
          </w:tcPr>
          <w:p w14:paraId="6B381930" w14:textId="77777777" w:rsidR="00F53939" w:rsidRPr="00D7660C"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6.2</w:t>
            </w:r>
          </w:p>
        </w:tc>
      </w:tr>
    </w:tbl>
    <w:p w14:paraId="48787846" w14:textId="77777777" w:rsidR="00F53939" w:rsidRPr="00D7660C" w:rsidRDefault="00F53939" w:rsidP="00F53939">
      <w:pPr>
        <w:jc w:val="both"/>
        <w:rPr>
          <w:rFonts w:asciiTheme="minorHAnsi" w:eastAsiaTheme="minorEastAsia" w:hAnsiTheme="minorHAnsi" w:cstheme="minorBidi"/>
          <w:b/>
          <w:bCs/>
          <w:color w:val="FF0000"/>
          <w:sz w:val="20"/>
          <w:szCs w:val="20"/>
          <w:lang w:eastAsia="en-US"/>
        </w:rPr>
      </w:pPr>
    </w:p>
    <w:p w14:paraId="50AAE35B" w14:textId="77777777" w:rsidR="00F53939" w:rsidRPr="00D7660C" w:rsidRDefault="00F53939" w:rsidP="00F53939">
      <w:pPr>
        <w:jc w:val="both"/>
        <w:rPr>
          <w:rFonts w:asciiTheme="minorHAnsi" w:eastAsiaTheme="minorEastAsia" w:hAnsiTheme="minorHAnsi" w:cstheme="minorBidi"/>
          <w:b/>
          <w:bCs/>
          <w:color w:val="FF0000"/>
          <w:sz w:val="20"/>
          <w:szCs w:val="20"/>
          <w:lang w:eastAsia="en-US"/>
        </w:rPr>
      </w:pPr>
    </w:p>
    <w:tbl>
      <w:tblPr>
        <w:tblW w:w="4957" w:type="pct"/>
        <w:tblLayout w:type="fixed"/>
        <w:tblLook w:val="04A0" w:firstRow="1" w:lastRow="0" w:firstColumn="1" w:lastColumn="0" w:noHBand="0" w:noVBand="1"/>
      </w:tblPr>
      <w:tblGrid>
        <w:gridCol w:w="2556"/>
        <w:gridCol w:w="1417"/>
        <w:gridCol w:w="1417"/>
        <w:gridCol w:w="1417"/>
        <w:gridCol w:w="1417"/>
        <w:gridCol w:w="1415"/>
      </w:tblGrid>
      <w:tr w:rsidR="00F53939" w:rsidRPr="00D7660C" w14:paraId="7F2A31AC" w14:textId="77777777" w:rsidTr="00A50D03">
        <w:trPr>
          <w:trHeight w:val="20"/>
        </w:trPr>
        <w:tc>
          <w:tcPr>
            <w:tcW w:w="1326" w:type="pct"/>
            <w:tcBorders>
              <w:top w:val="nil"/>
              <w:left w:val="nil"/>
              <w:bottom w:val="single" w:sz="8" w:space="0" w:color="BFBFBF"/>
              <w:right w:val="nil"/>
            </w:tcBorders>
            <w:vAlign w:val="bottom"/>
            <w:hideMark/>
          </w:tcPr>
          <w:p w14:paraId="23310302" w14:textId="77777777" w:rsidR="00F53939" w:rsidRPr="00D7660C" w:rsidRDefault="00F53939" w:rsidP="00A50D03">
            <w:pPr>
              <w:rPr>
                <w:rFonts w:asciiTheme="minorHAnsi" w:hAnsiTheme="minorHAnsi" w:cstheme="minorHAnsi"/>
                <w:sz w:val="20"/>
                <w:szCs w:val="20"/>
              </w:rPr>
            </w:pPr>
            <w:r w:rsidRPr="00D7660C">
              <w:rPr>
                <w:rFonts w:asciiTheme="minorHAnsi" w:hAnsiTheme="minorHAnsi" w:cstheme="minorHAnsi"/>
                <w:sz w:val="20"/>
                <w:szCs w:val="20"/>
              </w:rPr>
              <w:t>2H24 (</w:t>
            </w:r>
            <w:r w:rsidRPr="00EE5ED5">
              <w:rPr>
                <w:rFonts w:asciiTheme="minorHAnsi" w:hAnsiTheme="minorHAnsi" w:cstheme="minorHAnsi"/>
                <w:kern w:val="24"/>
                <w:sz w:val="20"/>
                <w:szCs w:val="20"/>
              </w:rPr>
              <w:t>Re-presented</w:t>
            </w:r>
            <w:r w:rsidRPr="00D7660C">
              <w:rPr>
                <w:rFonts w:asciiTheme="minorHAnsi" w:hAnsiTheme="minorHAnsi" w:cstheme="minorHAnsi"/>
                <w:sz w:val="20"/>
                <w:szCs w:val="20"/>
              </w:rPr>
              <w:t>) £m</w:t>
            </w:r>
          </w:p>
        </w:tc>
        <w:tc>
          <w:tcPr>
            <w:tcW w:w="735" w:type="pct"/>
            <w:tcBorders>
              <w:top w:val="single" w:sz="4" w:space="0" w:color="D0CECE"/>
              <w:left w:val="nil"/>
              <w:bottom w:val="single" w:sz="8" w:space="0" w:color="D0CECE"/>
              <w:right w:val="nil"/>
            </w:tcBorders>
            <w:vAlign w:val="center"/>
            <w:hideMark/>
          </w:tcPr>
          <w:p w14:paraId="2A4D35ED"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Credit  Cards</w:t>
            </w:r>
          </w:p>
        </w:tc>
        <w:tc>
          <w:tcPr>
            <w:tcW w:w="735" w:type="pct"/>
            <w:tcBorders>
              <w:top w:val="single" w:sz="4" w:space="0" w:color="D0CECE"/>
              <w:left w:val="nil"/>
              <w:bottom w:val="single" w:sz="8" w:space="0" w:color="D0CECE"/>
              <w:right w:val="nil"/>
            </w:tcBorders>
            <w:vAlign w:val="center"/>
            <w:hideMark/>
          </w:tcPr>
          <w:p w14:paraId="6F1A8289"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Vehicle Finance</w:t>
            </w:r>
          </w:p>
        </w:tc>
        <w:tc>
          <w:tcPr>
            <w:tcW w:w="735" w:type="pct"/>
            <w:tcBorders>
              <w:top w:val="single" w:sz="4" w:space="0" w:color="D0CECE"/>
              <w:left w:val="nil"/>
              <w:bottom w:val="single" w:sz="8" w:space="0" w:color="D0CECE"/>
              <w:right w:val="nil"/>
            </w:tcBorders>
            <w:vAlign w:val="center"/>
            <w:hideMark/>
          </w:tcPr>
          <w:p w14:paraId="670EBFDF"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Second Charge Mortgages</w:t>
            </w:r>
          </w:p>
        </w:tc>
        <w:tc>
          <w:tcPr>
            <w:tcW w:w="735" w:type="pct"/>
            <w:tcBorders>
              <w:top w:val="single" w:sz="4" w:space="0" w:color="D0CECE"/>
              <w:left w:val="nil"/>
              <w:bottom w:val="single" w:sz="8" w:space="0" w:color="D0CECE"/>
              <w:right w:val="nil"/>
            </w:tcBorders>
            <w:vAlign w:val="center"/>
            <w:hideMark/>
          </w:tcPr>
          <w:p w14:paraId="3BE3C2D3"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Corporate Centre</w:t>
            </w:r>
          </w:p>
        </w:tc>
        <w:tc>
          <w:tcPr>
            <w:tcW w:w="735" w:type="pct"/>
            <w:tcBorders>
              <w:top w:val="single" w:sz="4" w:space="0" w:color="D0CECE"/>
              <w:left w:val="nil"/>
              <w:bottom w:val="single" w:sz="8" w:space="0" w:color="D0CECE"/>
              <w:right w:val="nil"/>
            </w:tcBorders>
            <w:vAlign w:val="center"/>
            <w:hideMark/>
          </w:tcPr>
          <w:p w14:paraId="2BB5F950"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Total</w:t>
            </w:r>
          </w:p>
        </w:tc>
      </w:tr>
      <w:tr w:rsidR="00F53939" w:rsidRPr="00D7660C" w14:paraId="28E64545" w14:textId="77777777" w:rsidTr="00A50D03">
        <w:trPr>
          <w:trHeight w:val="20"/>
        </w:trPr>
        <w:tc>
          <w:tcPr>
            <w:tcW w:w="1326" w:type="pct"/>
            <w:tcBorders>
              <w:top w:val="nil"/>
              <w:left w:val="nil"/>
              <w:bottom w:val="single" w:sz="4" w:space="0" w:color="BFBFBF"/>
              <w:right w:val="nil"/>
            </w:tcBorders>
            <w:vAlign w:val="center"/>
            <w:hideMark/>
          </w:tcPr>
          <w:p w14:paraId="10C09BDB"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Interest income</w:t>
            </w:r>
          </w:p>
        </w:tc>
        <w:tc>
          <w:tcPr>
            <w:tcW w:w="735" w:type="pct"/>
            <w:tcBorders>
              <w:top w:val="nil"/>
              <w:left w:val="nil"/>
              <w:bottom w:val="single" w:sz="4" w:space="0" w:color="BFBFBF"/>
              <w:right w:val="nil"/>
            </w:tcBorders>
            <w:noWrap/>
            <w:vAlign w:val="center"/>
          </w:tcPr>
          <w:p w14:paraId="4827EA83"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182.1</w:t>
            </w:r>
          </w:p>
        </w:tc>
        <w:tc>
          <w:tcPr>
            <w:tcW w:w="735" w:type="pct"/>
            <w:tcBorders>
              <w:top w:val="nil"/>
              <w:left w:val="nil"/>
              <w:bottom w:val="single" w:sz="4" w:space="0" w:color="BFBFBF"/>
              <w:right w:val="nil"/>
            </w:tcBorders>
            <w:noWrap/>
            <w:vAlign w:val="center"/>
          </w:tcPr>
          <w:p w14:paraId="3E5C8825"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63.4</w:t>
            </w:r>
          </w:p>
        </w:tc>
        <w:tc>
          <w:tcPr>
            <w:tcW w:w="735" w:type="pct"/>
            <w:tcBorders>
              <w:top w:val="nil"/>
              <w:left w:val="nil"/>
              <w:bottom w:val="single" w:sz="4" w:space="0" w:color="BFBFBF"/>
              <w:right w:val="nil"/>
            </w:tcBorders>
            <w:noWrap/>
            <w:vAlign w:val="center"/>
          </w:tcPr>
          <w:p w14:paraId="7EDFC423"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4.6</w:t>
            </w:r>
          </w:p>
        </w:tc>
        <w:tc>
          <w:tcPr>
            <w:tcW w:w="735" w:type="pct"/>
            <w:tcBorders>
              <w:top w:val="nil"/>
              <w:left w:val="nil"/>
              <w:bottom w:val="single" w:sz="4" w:space="0" w:color="BFBFBF"/>
              <w:right w:val="nil"/>
            </w:tcBorders>
            <w:noWrap/>
            <w:vAlign w:val="center"/>
          </w:tcPr>
          <w:p w14:paraId="6974649B"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23.8</w:t>
            </w:r>
          </w:p>
        </w:tc>
        <w:tc>
          <w:tcPr>
            <w:tcW w:w="735" w:type="pct"/>
            <w:tcBorders>
              <w:top w:val="nil"/>
              <w:left w:val="nil"/>
              <w:bottom w:val="single" w:sz="4" w:space="0" w:color="BFBFBF"/>
              <w:right w:val="nil"/>
            </w:tcBorders>
            <w:noWrap/>
            <w:vAlign w:val="center"/>
          </w:tcPr>
          <w:p w14:paraId="31446BBF"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273.9</w:t>
            </w:r>
          </w:p>
        </w:tc>
      </w:tr>
      <w:tr w:rsidR="00F53939" w:rsidRPr="00D7660C" w14:paraId="05DDBAD3" w14:textId="77777777" w:rsidTr="00A50D03">
        <w:trPr>
          <w:trHeight w:val="20"/>
        </w:trPr>
        <w:tc>
          <w:tcPr>
            <w:tcW w:w="1326" w:type="pct"/>
            <w:tcBorders>
              <w:top w:val="single" w:sz="4" w:space="0" w:color="BFBFBF"/>
              <w:left w:val="nil"/>
              <w:bottom w:val="single" w:sz="2" w:space="0" w:color="auto"/>
              <w:right w:val="nil"/>
            </w:tcBorders>
            <w:vAlign w:val="center"/>
            <w:hideMark/>
          </w:tcPr>
          <w:p w14:paraId="24FC3B77"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Interest expense</w:t>
            </w:r>
          </w:p>
        </w:tc>
        <w:tc>
          <w:tcPr>
            <w:tcW w:w="735" w:type="pct"/>
            <w:tcBorders>
              <w:top w:val="single" w:sz="4" w:space="0" w:color="BFBFBF"/>
              <w:left w:val="nil"/>
              <w:bottom w:val="single" w:sz="2" w:space="0" w:color="auto"/>
              <w:right w:val="nil"/>
            </w:tcBorders>
            <w:noWrap/>
            <w:vAlign w:val="center"/>
          </w:tcPr>
          <w:p w14:paraId="7B81FE12"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(26.3)</w:t>
            </w:r>
          </w:p>
        </w:tc>
        <w:tc>
          <w:tcPr>
            <w:tcW w:w="735" w:type="pct"/>
            <w:tcBorders>
              <w:top w:val="single" w:sz="4" w:space="0" w:color="BFBFBF"/>
              <w:left w:val="nil"/>
              <w:bottom w:val="single" w:sz="2" w:space="0" w:color="auto"/>
              <w:right w:val="nil"/>
            </w:tcBorders>
            <w:noWrap/>
            <w:vAlign w:val="center"/>
          </w:tcPr>
          <w:p w14:paraId="44FD016F"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(15.7)</w:t>
            </w:r>
          </w:p>
        </w:tc>
        <w:tc>
          <w:tcPr>
            <w:tcW w:w="735" w:type="pct"/>
            <w:tcBorders>
              <w:top w:val="single" w:sz="4" w:space="0" w:color="BFBFBF"/>
              <w:left w:val="nil"/>
              <w:bottom w:val="single" w:sz="2" w:space="0" w:color="auto"/>
              <w:right w:val="nil"/>
            </w:tcBorders>
            <w:noWrap/>
            <w:vAlign w:val="center"/>
          </w:tcPr>
          <w:p w14:paraId="392CD3C5"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(3.1)</w:t>
            </w:r>
          </w:p>
        </w:tc>
        <w:tc>
          <w:tcPr>
            <w:tcW w:w="735" w:type="pct"/>
            <w:tcBorders>
              <w:top w:val="single" w:sz="4" w:space="0" w:color="BFBFBF"/>
              <w:left w:val="nil"/>
              <w:bottom w:val="single" w:sz="2" w:space="0" w:color="auto"/>
              <w:right w:val="nil"/>
            </w:tcBorders>
            <w:noWrap/>
            <w:vAlign w:val="center"/>
          </w:tcPr>
          <w:p w14:paraId="07C4FB3F"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(28.2)</w:t>
            </w:r>
          </w:p>
        </w:tc>
        <w:tc>
          <w:tcPr>
            <w:tcW w:w="735" w:type="pct"/>
            <w:tcBorders>
              <w:top w:val="single" w:sz="4" w:space="0" w:color="BFBFBF"/>
              <w:left w:val="nil"/>
              <w:bottom w:val="single" w:sz="2" w:space="0" w:color="auto"/>
              <w:right w:val="nil"/>
            </w:tcBorders>
            <w:noWrap/>
            <w:vAlign w:val="center"/>
          </w:tcPr>
          <w:p w14:paraId="2AE748B9"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(73.3)</w:t>
            </w:r>
          </w:p>
        </w:tc>
      </w:tr>
      <w:tr w:rsidR="00F53939" w:rsidRPr="00D7660C" w14:paraId="52AA32C5" w14:textId="77777777" w:rsidTr="00A50D03">
        <w:trPr>
          <w:trHeight w:val="20"/>
        </w:trPr>
        <w:tc>
          <w:tcPr>
            <w:tcW w:w="1326" w:type="pct"/>
            <w:tcBorders>
              <w:top w:val="single" w:sz="2" w:space="0" w:color="auto"/>
              <w:left w:val="nil"/>
              <w:bottom w:val="single" w:sz="2" w:space="0" w:color="auto"/>
              <w:right w:val="nil"/>
            </w:tcBorders>
            <w:vAlign w:val="center"/>
            <w:hideMark/>
          </w:tcPr>
          <w:p w14:paraId="2654ED6C" w14:textId="77777777" w:rsidR="00F53939" w:rsidRPr="000138C5" w:rsidRDefault="00F53939" w:rsidP="00A50D03">
            <w:pPr>
              <w:rPr>
                <w:rFonts w:asciiTheme="minorHAnsi" w:hAnsiTheme="minorHAnsi" w:cstheme="minorHAnsi"/>
                <w:b/>
                <w:bCs/>
                <w:sz w:val="20"/>
                <w:szCs w:val="20"/>
              </w:rPr>
            </w:pPr>
            <w:r w:rsidRPr="000138C5">
              <w:rPr>
                <w:rFonts w:asciiTheme="minorHAnsi" w:hAnsiTheme="minorHAnsi" w:cstheme="minorHAnsi"/>
                <w:b/>
                <w:sz w:val="20"/>
                <w:szCs w:val="20"/>
              </w:rPr>
              <w:t>Net interest income</w:t>
            </w:r>
          </w:p>
        </w:tc>
        <w:tc>
          <w:tcPr>
            <w:tcW w:w="735" w:type="pct"/>
            <w:tcBorders>
              <w:top w:val="single" w:sz="2" w:space="0" w:color="auto"/>
              <w:left w:val="nil"/>
              <w:bottom w:val="single" w:sz="2" w:space="0" w:color="auto"/>
              <w:right w:val="nil"/>
            </w:tcBorders>
            <w:noWrap/>
            <w:vAlign w:val="center"/>
          </w:tcPr>
          <w:p w14:paraId="232507A0"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155.8</w:t>
            </w:r>
          </w:p>
        </w:tc>
        <w:tc>
          <w:tcPr>
            <w:tcW w:w="735" w:type="pct"/>
            <w:tcBorders>
              <w:top w:val="single" w:sz="2" w:space="0" w:color="auto"/>
              <w:left w:val="nil"/>
              <w:bottom w:val="single" w:sz="2" w:space="0" w:color="auto"/>
              <w:right w:val="nil"/>
            </w:tcBorders>
            <w:noWrap/>
            <w:vAlign w:val="center"/>
          </w:tcPr>
          <w:p w14:paraId="5EA2523A"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47.7</w:t>
            </w:r>
          </w:p>
        </w:tc>
        <w:tc>
          <w:tcPr>
            <w:tcW w:w="735" w:type="pct"/>
            <w:tcBorders>
              <w:top w:val="single" w:sz="2" w:space="0" w:color="auto"/>
              <w:left w:val="nil"/>
              <w:bottom w:val="single" w:sz="2" w:space="0" w:color="auto"/>
              <w:right w:val="nil"/>
            </w:tcBorders>
            <w:noWrap/>
            <w:vAlign w:val="center"/>
          </w:tcPr>
          <w:p w14:paraId="14395164"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1.5</w:t>
            </w:r>
          </w:p>
        </w:tc>
        <w:tc>
          <w:tcPr>
            <w:tcW w:w="735" w:type="pct"/>
            <w:tcBorders>
              <w:top w:val="single" w:sz="2" w:space="0" w:color="auto"/>
              <w:left w:val="nil"/>
              <w:bottom w:val="single" w:sz="2" w:space="0" w:color="auto"/>
              <w:right w:val="nil"/>
            </w:tcBorders>
            <w:noWrap/>
            <w:vAlign w:val="center"/>
          </w:tcPr>
          <w:p w14:paraId="75F42664"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(4.4)</w:t>
            </w:r>
          </w:p>
        </w:tc>
        <w:tc>
          <w:tcPr>
            <w:tcW w:w="735" w:type="pct"/>
            <w:tcBorders>
              <w:top w:val="single" w:sz="2" w:space="0" w:color="auto"/>
              <w:left w:val="nil"/>
              <w:bottom w:val="single" w:sz="2" w:space="0" w:color="auto"/>
              <w:right w:val="nil"/>
            </w:tcBorders>
            <w:noWrap/>
            <w:vAlign w:val="center"/>
          </w:tcPr>
          <w:p w14:paraId="3271CBF5"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200.6</w:t>
            </w:r>
          </w:p>
        </w:tc>
      </w:tr>
      <w:tr w:rsidR="00F53939" w:rsidRPr="00D7660C" w14:paraId="5F10B5D9" w14:textId="77777777" w:rsidTr="00A50D03">
        <w:trPr>
          <w:trHeight w:val="20"/>
        </w:trPr>
        <w:tc>
          <w:tcPr>
            <w:tcW w:w="1326" w:type="pct"/>
            <w:tcBorders>
              <w:top w:val="single" w:sz="2" w:space="0" w:color="auto"/>
              <w:left w:val="nil"/>
              <w:bottom w:val="single" w:sz="4" w:space="0" w:color="auto"/>
              <w:right w:val="nil"/>
            </w:tcBorders>
            <w:vAlign w:val="center"/>
            <w:hideMark/>
          </w:tcPr>
          <w:p w14:paraId="666A9551"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Non-interest income</w:t>
            </w:r>
          </w:p>
        </w:tc>
        <w:tc>
          <w:tcPr>
            <w:tcW w:w="735" w:type="pct"/>
            <w:tcBorders>
              <w:top w:val="single" w:sz="2" w:space="0" w:color="auto"/>
              <w:left w:val="nil"/>
              <w:bottom w:val="single" w:sz="4" w:space="0" w:color="auto"/>
              <w:right w:val="nil"/>
            </w:tcBorders>
            <w:noWrap/>
            <w:vAlign w:val="center"/>
          </w:tcPr>
          <w:p w14:paraId="21EF37E4"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16.4</w:t>
            </w:r>
          </w:p>
        </w:tc>
        <w:tc>
          <w:tcPr>
            <w:tcW w:w="735" w:type="pct"/>
            <w:tcBorders>
              <w:top w:val="single" w:sz="2" w:space="0" w:color="auto"/>
              <w:left w:val="nil"/>
              <w:bottom w:val="single" w:sz="4" w:space="0" w:color="auto"/>
              <w:right w:val="nil"/>
            </w:tcBorders>
            <w:noWrap/>
            <w:vAlign w:val="center"/>
          </w:tcPr>
          <w:p w14:paraId="713FFC25"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w:t>
            </w:r>
          </w:p>
        </w:tc>
        <w:tc>
          <w:tcPr>
            <w:tcW w:w="735" w:type="pct"/>
            <w:tcBorders>
              <w:top w:val="single" w:sz="2" w:space="0" w:color="auto"/>
              <w:left w:val="nil"/>
              <w:bottom w:val="single" w:sz="4" w:space="0" w:color="auto"/>
              <w:right w:val="nil"/>
            </w:tcBorders>
            <w:noWrap/>
            <w:vAlign w:val="center"/>
          </w:tcPr>
          <w:p w14:paraId="3EB8FADF"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w:t>
            </w:r>
          </w:p>
        </w:tc>
        <w:tc>
          <w:tcPr>
            <w:tcW w:w="735" w:type="pct"/>
            <w:tcBorders>
              <w:top w:val="single" w:sz="2" w:space="0" w:color="auto"/>
              <w:left w:val="nil"/>
              <w:bottom w:val="single" w:sz="4" w:space="0" w:color="auto"/>
              <w:right w:val="nil"/>
            </w:tcBorders>
            <w:noWrap/>
            <w:vAlign w:val="center"/>
          </w:tcPr>
          <w:p w14:paraId="597D1859"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2.6</w:t>
            </w:r>
          </w:p>
        </w:tc>
        <w:tc>
          <w:tcPr>
            <w:tcW w:w="735" w:type="pct"/>
            <w:tcBorders>
              <w:top w:val="single" w:sz="2" w:space="0" w:color="auto"/>
              <w:left w:val="nil"/>
              <w:bottom w:val="single" w:sz="4" w:space="0" w:color="auto"/>
              <w:right w:val="nil"/>
            </w:tcBorders>
            <w:noWrap/>
            <w:vAlign w:val="center"/>
          </w:tcPr>
          <w:p w14:paraId="2F1BF848"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19.0</w:t>
            </w:r>
          </w:p>
        </w:tc>
      </w:tr>
      <w:tr w:rsidR="00F53939" w:rsidRPr="00D7660C" w14:paraId="1BCDE6B5" w14:textId="77777777" w:rsidTr="00A50D03">
        <w:trPr>
          <w:trHeight w:val="20"/>
        </w:trPr>
        <w:tc>
          <w:tcPr>
            <w:tcW w:w="1326" w:type="pct"/>
            <w:tcBorders>
              <w:top w:val="single" w:sz="4" w:space="0" w:color="auto"/>
              <w:left w:val="nil"/>
              <w:bottom w:val="single" w:sz="2" w:space="0" w:color="auto"/>
              <w:right w:val="nil"/>
            </w:tcBorders>
            <w:vAlign w:val="center"/>
            <w:hideMark/>
          </w:tcPr>
          <w:p w14:paraId="1F1D41EA" w14:textId="77777777" w:rsidR="00F53939" w:rsidRPr="000138C5" w:rsidRDefault="00F53939" w:rsidP="00A50D03">
            <w:pPr>
              <w:rPr>
                <w:rFonts w:asciiTheme="minorHAnsi" w:hAnsiTheme="minorHAnsi" w:cstheme="minorHAnsi"/>
                <w:b/>
                <w:bCs/>
                <w:sz w:val="20"/>
                <w:szCs w:val="20"/>
              </w:rPr>
            </w:pPr>
            <w:r w:rsidRPr="000138C5">
              <w:rPr>
                <w:rFonts w:asciiTheme="minorHAnsi" w:hAnsiTheme="minorHAnsi" w:cstheme="minorHAnsi"/>
                <w:b/>
                <w:sz w:val="20"/>
                <w:szCs w:val="20"/>
              </w:rPr>
              <w:t>Total income</w:t>
            </w:r>
          </w:p>
        </w:tc>
        <w:tc>
          <w:tcPr>
            <w:tcW w:w="735" w:type="pct"/>
            <w:tcBorders>
              <w:top w:val="single" w:sz="4" w:space="0" w:color="auto"/>
              <w:left w:val="nil"/>
              <w:bottom w:val="single" w:sz="2" w:space="0" w:color="auto"/>
              <w:right w:val="nil"/>
            </w:tcBorders>
            <w:noWrap/>
            <w:vAlign w:val="center"/>
          </w:tcPr>
          <w:p w14:paraId="4076800E"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172.2</w:t>
            </w:r>
          </w:p>
        </w:tc>
        <w:tc>
          <w:tcPr>
            <w:tcW w:w="735" w:type="pct"/>
            <w:tcBorders>
              <w:top w:val="single" w:sz="4" w:space="0" w:color="auto"/>
              <w:left w:val="nil"/>
              <w:bottom w:val="single" w:sz="2" w:space="0" w:color="auto"/>
              <w:right w:val="nil"/>
            </w:tcBorders>
            <w:noWrap/>
            <w:vAlign w:val="center"/>
          </w:tcPr>
          <w:p w14:paraId="1D1B6EF5"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47.7</w:t>
            </w:r>
          </w:p>
        </w:tc>
        <w:tc>
          <w:tcPr>
            <w:tcW w:w="735" w:type="pct"/>
            <w:tcBorders>
              <w:top w:val="single" w:sz="4" w:space="0" w:color="auto"/>
              <w:left w:val="nil"/>
              <w:bottom w:val="single" w:sz="2" w:space="0" w:color="auto"/>
              <w:right w:val="nil"/>
            </w:tcBorders>
            <w:noWrap/>
            <w:vAlign w:val="center"/>
          </w:tcPr>
          <w:p w14:paraId="407C66A0" w14:textId="3E655923"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1.5</w:t>
            </w:r>
          </w:p>
        </w:tc>
        <w:tc>
          <w:tcPr>
            <w:tcW w:w="735" w:type="pct"/>
            <w:tcBorders>
              <w:top w:val="single" w:sz="4" w:space="0" w:color="auto"/>
              <w:left w:val="nil"/>
              <w:bottom w:val="single" w:sz="2" w:space="0" w:color="auto"/>
              <w:right w:val="nil"/>
            </w:tcBorders>
            <w:noWrap/>
            <w:vAlign w:val="center"/>
          </w:tcPr>
          <w:p w14:paraId="7F79D5BF"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(1.8)</w:t>
            </w:r>
          </w:p>
        </w:tc>
        <w:tc>
          <w:tcPr>
            <w:tcW w:w="735" w:type="pct"/>
            <w:tcBorders>
              <w:top w:val="single" w:sz="4" w:space="0" w:color="auto"/>
              <w:left w:val="nil"/>
              <w:bottom w:val="single" w:sz="2" w:space="0" w:color="auto"/>
              <w:right w:val="nil"/>
            </w:tcBorders>
            <w:noWrap/>
            <w:vAlign w:val="center"/>
          </w:tcPr>
          <w:p w14:paraId="000A077D"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219.6</w:t>
            </w:r>
          </w:p>
        </w:tc>
      </w:tr>
      <w:tr w:rsidR="00F53939" w:rsidRPr="00D7660C" w14:paraId="67795EAF" w14:textId="77777777" w:rsidTr="00A50D03">
        <w:trPr>
          <w:trHeight w:val="20"/>
        </w:trPr>
        <w:tc>
          <w:tcPr>
            <w:tcW w:w="1326" w:type="pct"/>
            <w:tcBorders>
              <w:top w:val="single" w:sz="2" w:space="0" w:color="auto"/>
              <w:left w:val="nil"/>
              <w:bottom w:val="single" w:sz="2" w:space="0" w:color="auto"/>
              <w:right w:val="nil"/>
            </w:tcBorders>
            <w:vAlign w:val="center"/>
            <w:hideMark/>
          </w:tcPr>
          <w:p w14:paraId="45186C3F"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Impairment charges</w:t>
            </w:r>
          </w:p>
        </w:tc>
        <w:tc>
          <w:tcPr>
            <w:tcW w:w="735" w:type="pct"/>
            <w:tcBorders>
              <w:top w:val="single" w:sz="2" w:space="0" w:color="auto"/>
              <w:left w:val="nil"/>
              <w:bottom w:val="single" w:sz="2" w:space="0" w:color="auto"/>
              <w:right w:val="nil"/>
            </w:tcBorders>
            <w:noWrap/>
            <w:vAlign w:val="center"/>
          </w:tcPr>
          <w:p w14:paraId="54FD80BB"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(60.4)</w:t>
            </w:r>
          </w:p>
        </w:tc>
        <w:tc>
          <w:tcPr>
            <w:tcW w:w="735" w:type="pct"/>
            <w:tcBorders>
              <w:top w:val="single" w:sz="2" w:space="0" w:color="auto"/>
              <w:left w:val="nil"/>
              <w:bottom w:val="single" w:sz="2" w:space="0" w:color="auto"/>
              <w:right w:val="nil"/>
            </w:tcBorders>
            <w:noWrap/>
            <w:vAlign w:val="center"/>
          </w:tcPr>
          <w:p w14:paraId="1C406997"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(30.9)</w:t>
            </w:r>
          </w:p>
        </w:tc>
        <w:tc>
          <w:tcPr>
            <w:tcW w:w="735" w:type="pct"/>
            <w:tcBorders>
              <w:top w:val="single" w:sz="2" w:space="0" w:color="auto"/>
              <w:left w:val="nil"/>
              <w:bottom w:val="single" w:sz="2" w:space="0" w:color="auto"/>
              <w:right w:val="nil"/>
            </w:tcBorders>
            <w:noWrap/>
            <w:vAlign w:val="center"/>
          </w:tcPr>
          <w:p w14:paraId="6E1F8FA8"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(0.2)</w:t>
            </w:r>
          </w:p>
        </w:tc>
        <w:tc>
          <w:tcPr>
            <w:tcW w:w="735" w:type="pct"/>
            <w:tcBorders>
              <w:top w:val="single" w:sz="2" w:space="0" w:color="auto"/>
              <w:left w:val="nil"/>
              <w:bottom w:val="single" w:sz="2" w:space="0" w:color="auto"/>
              <w:right w:val="nil"/>
            </w:tcBorders>
            <w:noWrap/>
            <w:vAlign w:val="center"/>
          </w:tcPr>
          <w:p w14:paraId="4BD71D03"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(0.8)</w:t>
            </w:r>
          </w:p>
        </w:tc>
        <w:tc>
          <w:tcPr>
            <w:tcW w:w="735" w:type="pct"/>
            <w:tcBorders>
              <w:top w:val="single" w:sz="2" w:space="0" w:color="auto"/>
              <w:left w:val="nil"/>
              <w:bottom w:val="single" w:sz="2" w:space="0" w:color="auto"/>
              <w:right w:val="nil"/>
            </w:tcBorders>
            <w:noWrap/>
            <w:vAlign w:val="center"/>
          </w:tcPr>
          <w:p w14:paraId="1680D508"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(92.3)</w:t>
            </w:r>
          </w:p>
        </w:tc>
      </w:tr>
      <w:tr w:rsidR="00F53939" w:rsidRPr="00D7660C" w14:paraId="56F55987" w14:textId="77777777" w:rsidTr="00A50D03">
        <w:trPr>
          <w:trHeight w:val="20"/>
        </w:trPr>
        <w:tc>
          <w:tcPr>
            <w:tcW w:w="1326" w:type="pct"/>
            <w:tcBorders>
              <w:top w:val="single" w:sz="2" w:space="0" w:color="auto"/>
              <w:left w:val="nil"/>
              <w:bottom w:val="single" w:sz="2" w:space="0" w:color="auto"/>
              <w:right w:val="nil"/>
            </w:tcBorders>
            <w:vAlign w:val="center"/>
            <w:hideMark/>
          </w:tcPr>
          <w:p w14:paraId="3632440E" w14:textId="77777777" w:rsidR="00F53939" w:rsidRPr="000138C5" w:rsidRDefault="00F53939" w:rsidP="00A50D03">
            <w:pPr>
              <w:rPr>
                <w:rFonts w:asciiTheme="minorHAnsi" w:hAnsiTheme="minorHAnsi" w:cstheme="minorHAnsi"/>
                <w:b/>
                <w:bCs/>
                <w:sz w:val="20"/>
                <w:szCs w:val="20"/>
              </w:rPr>
            </w:pPr>
            <w:r w:rsidRPr="000138C5">
              <w:rPr>
                <w:rFonts w:asciiTheme="minorHAnsi" w:hAnsiTheme="minorHAnsi" w:cstheme="minorHAnsi"/>
                <w:b/>
                <w:sz w:val="20"/>
                <w:szCs w:val="20"/>
              </w:rPr>
              <w:t>Risk-adjusted income</w:t>
            </w:r>
          </w:p>
        </w:tc>
        <w:tc>
          <w:tcPr>
            <w:tcW w:w="735" w:type="pct"/>
            <w:tcBorders>
              <w:top w:val="single" w:sz="2" w:space="0" w:color="auto"/>
              <w:left w:val="nil"/>
              <w:bottom w:val="single" w:sz="2" w:space="0" w:color="auto"/>
              <w:right w:val="nil"/>
            </w:tcBorders>
            <w:noWrap/>
            <w:vAlign w:val="center"/>
          </w:tcPr>
          <w:p w14:paraId="416996D1"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111.8</w:t>
            </w:r>
          </w:p>
        </w:tc>
        <w:tc>
          <w:tcPr>
            <w:tcW w:w="735" w:type="pct"/>
            <w:tcBorders>
              <w:top w:val="single" w:sz="2" w:space="0" w:color="auto"/>
              <w:left w:val="nil"/>
              <w:bottom w:val="single" w:sz="2" w:space="0" w:color="auto"/>
              <w:right w:val="nil"/>
            </w:tcBorders>
            <w:noWrap/>
            <w:vAlign w:val="center"/>
          </w:tcPr>
          <w:p w14:paraId="0ACB9F94"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16.8</w:t>
            </w:r>
          </w:p>
        </w:tc>
        <w:tc>
          <w:tcPr>
            <w:tcW w:w="735" w:type="pct"/>
            <w:tcBorders>
              <w:top w:val="single" w:sz="2" w:space="0" w:color="auto"/>
              <w:left w:val="nil"/>
              <w:bottom w:val="single" w:sz="2" w:space="0" w:color="auto"/>
              <w:right w:val="nil"/>
            </w:tcBorders>
            <w:noWrap/>
            <w:vAlign w:val="center"/>
          </w:tcPr>
          <w:p w14:paraId="40B5A777"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1.3</w:t>
            </w:r>
          </w:p>
        </w:tc>
        <w:tc>
          <w:tcPr>
            <w:tcW w:w="735" w:type="pct"/>
            <w:tcBorders>
              <w:top w:val="single" w:sz="2" w:space="0" w:color="auto"/>
              <w:left w:val="nil"/>
              <w:bottom w:val="single" w:sz="2" w:space="0" w:color="auto"/>
              <w:right w:val="nil"/>
            </w:tcBorders>
            <w:noWrap/>
            <w:vAlign w:val="center"/>
          </w:tcPr>
          <w:p w14:paraId="13E64AA3"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(2.6)</w:t>
            </w:r>
          </w:p>
        </w:tc>
        <w:tc>
          <w:tcPr>
            <w:tcW w:w="735" w:type="pct"/>
            <w:tcBorders>
              <w:top w:val="single" w:sz="2" w:space="0" w:color="auto"/>
              <w:left w:val="nil"/>
              <w:bottom w:val="single" w:sz="2" w:space="0" w:color="auto"/>
              <w:right w:val="nil"/>
            </w:tcBorders>
            <w:noWrap/>
            <w:vAlign w:val="center"/>
          </w:tcPr>
          <w:p w14:paraId="04CA10DB"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127.3</w:t>
            </w:r>
          </w:p>
        </w:tc>
      </w:tr>
      <w:tr w:rsidR="00F53939" w:rsidRPr="00D7660C" w14:paraId="2CC0DF6C" w14:textId="77777777" w:rsidTr="00A50D03">
        <w:trPr>
          <w:trHeight w:val="20"/>
        </w:trPr>
        <w:tc>
          <w:tcPr>
            <w:tcW w:w="1326" w:type="pct"/>
            <w:tcBorders>
              <w:top w:val="single" w:sz="2" w:space="0" w:color="auto"/>
              <w:left w:val="nil"/>
              <w:bottom w:val="single" w:sz="2" w:space="0" w:color="auto"/>
              <w:right w:val="nil"/>
            </w:tcBorders>
            <w:vAlign w:val="center"/>
            <w:hideMark/>
          </w:tcPr>
          <w:p w14:paraId="1D78842F"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Operating costs</w:t>
            </w:r>
          </w:p>
        </w:tc>
        <w:tc>
          <w:tcPr>
            <w:tcW w:w="735" w:type="pct"/>
            <w:tcBorders>
              <w:top w:val="single" w:sz="2" w:space="0" w:color="auto"/>
              <w:left w:val="nil"/>
              <w:bottom w:val="single" w:sz="2" w:space="0" w:color="auto"/>
              <w:right w:val="nil"/>
            </w:tcBorders>
            <w:noWrap/>
            <w:vAlign w:val="center"/>
          </w:tcPr>
          <w:p w14:paraId="3373C762"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(93.</w:t>
            </w:r>
            <w:r>
              <w:rPr>
                <w:rFonts w:asciiTheme="minorHAnsi" w:hAnsiTheme="minorHAnsi" w:cstheme="minorHAnsi"/>
                <w:sz w:val="20"/>
                <w:szCs w:val="20"/>
              </w:rPr>
              <w:t>0</w:t>
            </w:r>
            <w:r w:rsidRPr="001D10D1">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7BB4B8F0"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(37.</w:t>
            </w:r>
            <w:r>
              <w:rPr>
                <w:rFonts w:asciiTheme="minorHAnsi" w:hAnsiTheme="minorHAnsi" w:cstheme="minorHAnsi"/>
                <w:sz w:val="20"/>
                <w:szCs w:val="20"/>
              </w:rPr>
              <w:t>3)</w:t>
            </w:r>
          </w:p>
        </w:tc>
        <w:tc>
          <w:tcPr>
            <w:tcW w:w="735" w:type="pct"/>
            <w:tcBorders>
              <w:top w:val="single" w:sz="2" w:space="0" w:color="auto"/>
              <w:left w:val="nil"/>
              <w:bottom w:val="single" w:sz="2" w:space="0" w:color="auto"/>
              <w:right w:val="nil"/>
            </w:tcBorders>
            <w:noWrap/>
            <w:vAlign w:val="center"/>
          </w:tcPr>
          <w:p w14:paraId="5F27D42F"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(0.4)</w:t>
            </w:r>
          </w:p>
        </w:tc>
        <w:tc>
          <w:tcPr>
            <w:tcW w:w="735" w:type="pct"/>
            <w:tcBorders>
              <w:top w:val="single" w:sz="2" w:space="0" w:color="auto"/>
              <w:left w:val="nil"/>
              <w:bottom w:val="single" w:sz="2" w:space="0" w:color="auto"/>
              <w:right w:val="nil"/>
            </w:tcBorders>
            <w:noWrap/>
            <w:vAlign w:val="center"/>
          </w:tcPr>
          <w:p w14:paraId="1603F8CD"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(8</w:t>
            </w:r>
            <w:r>
              <w:rPr>
                <w:rFonts w:asciiTheme="minorHAnsi" w:hAnsiTheme="minorHAnsi" w:cstheme="minorHAnsi"/>
                <w:sz w:val="20"/>
                <w:szCs w:val="20"/>
              </w:rPr>
              <w:t>8.5</w:t>
            </w:r>
            <w:r w:rsidRPr="001D10D1">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316C8F44"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(219.</w:t>
            </w:r>
            <w:r>
              <w:rPr>
                <w:rFonts w:asciiTheme="minorHAnsi" w:hAnsiTheme="minorHAnsi" w:cstheme="minorHAnsi"/>
                <w:sz w:val="20"/>
                <w:szCs w:val="20"/>
              </w:rPr>
              <w:t>2</w:t>
            </w:r>
            <w:r w:rsidRPr="001D10D1">
              <w:rPr>
                <w:rFonts w:asciiTheme="minorHAnsi" w:hAnsiTheme="minorHAnsi" w:cstheme="minorHAnsi"/>
                <w:sz w:val="20"/>
                <w:szCs w:val="20"/>
              </w:rPr>
              <w:t>)</w:t>
            </w:r>
          </w:p>
        </w:tc>
      </w:tr>
      <w:tr w:rsidR="00F53939" w:rsidRPr="00D7660C" w14:paraId="44862B17" w14:textId="77777777" w:rsidTr="00A50D03">
        <w:trPr>
          <w:trHeight w:val="20"/>
        </w:trPr>
        <w:tc>
          <w:tcPr>
            <w:tcW w:w="1326" w:type="pct"/>
            <w:tcBorders>
              <w:top w:val="single" w:sz="2" w:space="0" w:color="auto"/>
              <w:left w:val="nil"/>
              <w:bottom w:val="single" w:sz="2" w:space="0" w:color="auto"/>
              <w:right w:val="nil"/>
            </w:tcBorders>
            <w:vAlign w:val="center"/>
            <w:hideMark/>
          </w:tcPr>
          <w:p w14:paraId="7E480327" w14:textId="77777777" w:rsidR="00F53939" w:rsidRPr="000138C5" w:rsidRDefault="00F53939" w:rsidP="00A50D03">
            <w:pPr>
              <w:rPr>
                <w:rFonts w:asciiTheme="minorHAnsi" w:hAnsiTheme="minorHAnsi" w:cstheme="minorHAnsi"/>
                <w:b/>
                <w:bCs/>
                <w:sz w:val="20"/>
                <w:szCs w:val="20"/>
              </w:rPr>
            </w:pPr>
            <w:r w:rsidRPr="000138C5">
              <w:rPr>
                <w:rFonts w:asciiTheme="minorHAnsi" w:hAnsiTheme="minorHAnsi" w:cstheme="minorHAnsi"/>
                <w:b/>
                <w:sz w:val="20"/>
                <w:szCs w:val="20"/>
              </w:rPr>
              <w:t>Profit/(loss) before tax from continuing operations</w:t>
            </w:r>
          </w:p>
        </w:tc>
        <w:tc>
          <w:tcPr>
            <w:tcW w:w="735" w:type="pct"/>
            <w:tcBorders>
              <w:top w:val="single" w:sz="2" w:space="0" w:color="auto"/>
              <w:left w:val="nil"/>
              <w:bottom w:val="single" w:sz="2" w:space="0" w:color="auto"/>
              <w:right w:val="nil"/>
            </w:tcBorders>
            <w:noWrap/>
            <w:vAlign w:val="center"/>
          </w:tcPr>
          <w:p w14:paraId="2BADF5F7"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18.</w:t>
            </w:r>
            <w:r>
              <w:rPr>
                <w:rFonts w:asciiTheme="minorHAnsi" w:hAnsiTheme="minorHAnsi" w:cstheme="minorHAnsi"/>
                <w:sz w:val="20"/>
                <w:szCs w:val="20"/>
              </w:rPr>
              <w:t>8</w:t>
            </w:r>
          </w:p>
        </w:tc>
        <w:tc>
          <w:tcPr>
            <w:tcW w:w="735" w:type="pct"/>
            <w:tcBorders>
              <w:top w:val="single" w:sz="2" w:space="0" w:color="auto"/>
              <w:left w:val="nil"/>
              <w:bottom w:val="single" w:sz="2" w:space="0" w:color="auto"/>
              <w:right w:val="nil"/>
            </w:tcBorders>
            <w:noWrap/>
            <w:vAlign w:val="center"/>
          </w:tcPr>
          <w:p w14:paraId="4BC1D5E1"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(20.</w:t>
            </w:r>
            <w:r>
              <w:rPr>
                <w:rFonts w:asciiTheme="minorHAnsi" w:hAnsiTheme="minorHAnsi" w:cstheme="minorHAnsi"/>
                <w:sz w:val="20"/>
                <w:szCs w:val="20"/>
              </w:rPr>
              <w:t>5</w:t>
            </w:r>
            <w:r w:rsidRPr="001D10D1">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6636E7B6"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0.9</w:t>
            </w:r>
          </w:p>
        </w:tc>
        <w:tc>
          <w:tcPr>
            <w:tcW w:w="735" w:type="pct"/>
            <w:tcBorders>
              <w:top w:val="single" w:sz="2" w:space="0" w:color="auto"/>
              <w:left w:val="nil"/>
              <w:bottom w:val="single" w:sz="2" w:space="0" w:color="auto"/>
              <w:right w:val="nil"/>
            </w:tcBorders>
            <w:noWrap/>
            <w:vAlign w:val="center"/>
          </w:tcPr>
          <w:p w14:paraId="63641C30"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(9</w:t>
            </w:r>
            <w:r>
              <w:rPr>
                <w:rFonts w:asciiTheme="minorHAnsi" w:hAnsiTheme="minorHAnsi" w:cstheme="minorHAnsi"/>
                <w:sz w:val="20"/>
                <w:szCs w:val="20"/>
              </w:rPr>
              <w:t>1.1</w:t>
            </w:r>
            <w:r w:rsidRPr="001D10D1">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129A4CEF" w14:textId="77777777" w:rsidR="00F53939" w:rsidRPr="00D7660C" w:rsidRDefault="00F53939" w:rsidP="00A50D03">
            <w:pPr>
              <w:jc w:val="right"/>
              <w:rPr>
                <w:rFonts w:asciiTheme="minorHAnsi" w:hAnsiTheme="minorHAnsi" w:cstheme="minorHAnsi"/>
                <w:sz w:val="20"/>
                <w:szCs w:val="20"/>
              </w:rPr>
            </w:pPr>
            <w:r w:rsidRPr="001D10D1">
              <w:rPr>
                <w:rFonts w:asciiTheme="minorHAnsi" w:hAnsiTheme="minorHAnsi" w:cstheme="minorHAnsi"/>
                <w:sz w:val="20"/>
                <w:szCs w:val="20"/>
              </w:rPr>
              <w:t>(9</w:t>
            </w:r>
            <w:r>
              <w:rPr>
                <w:rFonts w:asciiTheme="minorHAnsi" w:hAnsiTheme="minorHAnsi" w:cstheme="minorHAnsi"/>
                <w:sz w:val="20"/>
                <w:szCs w:val="20"/>
              </w:rPr>
              <w:t>1.9</w:t>
            </w:r>
            <w:r w:rsidRPr="001D10D1">
              <w:rPr>
                <w:rFonts w:asciiTheme="minorHAnsi" w:hAnsiTheme="minorHAnsi" w:cstheme="minorHAnsi"/>
                <w:sz w:val="20"/>
                <w:szCs w:val="20"/>
              </w:rPr>
              <w:t>)</w:t>
            </w:r>
          </w:p>
        </w:tc>
      </w:tr>
    </w:tbl>
    <w:p w14:paraId="1AD67BE3" w14:textId="77777777" w:rsidR="00F53939" w:rsidRPr="00D7660C" w:rsidRDefault="00F53939" w:rsidP="00F53939">
      <w:pPr>
        <w:jc w:val="both"/>
        <w:rPr>
          <w:rFonts w:asciiTheme="minorHAnsi" w:eastAsiaTheme="minorEastAsia" w:hAnsiTheme="minorHAnsi" w:cstheme="minorBidi"/>
          <w:b/>
          <w:bCs/>
          <w:color w:val="4747FF"/>
          <w:sz w:val="20"/>
          <w:szCs w:val="20"/>
          <w:lang w:eastAsia="en-US"/>
        </w:rPr>
      </w:pPr>
    </w:p>
    <w:tbl>
      <w:tblPr>
        <w:tblW w:w="4957" w:type="pct"/>
        <w:tblLayout w:type="fixed"/>
        <w:tblLook w:val="04A0" w:firstRow="1" w:lastRow="0" w:firstColumn="1" w:lastColumn="0" w:noHBand="0" w:noVBand="1"/>
      </w:tblPr>
      <w:tblGrid>
        <w:gridCol w:w="2556"/>
        <w:gridCol w:w="1417"/>
        <w:gridCol w:w="1417"/>
        <w:gridCol w:w="1417"/>
        <w:gridCol w:w="1417"/>
        <w:gridCol w:w="1415"/>
      </w:tblGrid>
      <w:tr w:rsidR="00F53939" w:rsidRPr="00D7660C" w14:paraId="73AC4FBC" w14:textId="77777777" w:rsidTr="00A50D03">
        <w:trPr>
          <w:trHeight w:val="20"/>
        </w:trPr>
        <w:tc>
          <w:tcPr>
            <w:tcW w:w="1326" w:type="pct"/>
            <w:tcBorders>
              <w:top w:val="nil"/>
              <w:left w:val="nil"/>
              <w:bottom w:val="single" w:sz="8" w:space="0" w:color="BFBFBF"/>
              <w:right w:val="nil"/>
            </w:tcBorders>
            <w:vAlign w:val="bottom"/>
            <w:hideMark/>
          </w:tcPr>
          <w:p w14:paraId="4B0B5296" w14:textId="77777777" w:rsidR="00F53939" w:rsidRPr="00D7660C" w:rsidRDefault="00F53939" w:rsidP="00A50D03">
            <w:pPr>
              <w:rPr>
                <w:rFonts w:asciiTheme="minorHAnsi" w:hAnsiTheme="minorHAnsi" w:cstheme="minorHAnsi"/>
                <w:sz w:val="20"/>
                <w:szCs w:val="20"/>
              </w:rPr>
            </w:pPr>
            <w:r w:rsidRPr="00D7660C">
              <w:rPr>
                <w:rFonts w:asciiTheme="minorHAnsi" w:hAnsiTheme="minorHAnsi" w:cstheme="minorHAnsi"/>
                <w:sz w:val="20"/>
                <w:szCs w:val="20"/>
              </w:rPr>
              <w:t>1H24 (</w:t>
            </w:r>
            <w:r w:rsidRPr="00EE5ED5">
              <w:rPr>
                <w:rFonts w:asciiTheme="minorHAnsi" w:hAnsiTheme="minorHAnsi" w:cstheme="minorHAnsi"/>
                <w:kern w:val="24"/>
                <w:sz w:val="20"/>
                <w:szCs w:val="20"/>
              </w:rPr>
              <w:t>Re-presented</w:t>
            </w:r>
            <w:r w:rsidRPr="00D7660C">
              <w:rPr>
                <w:rFonts w:asciiTheme="minorHAnsi" w:hAnsiTheme="minorHAnsi" w:cstheme="minorHAnsi"/>
                <w:sz w:val="20"/>
                <w:szCs w:val="20"/>
              </w:rPr>
              <w:t>) £m</w:t>
            </w:r>
          </w:p>
        </w:tc>
        <w:tc>
          <w:tcPr>
            <w:tcW w:w="735" w:type="pct"/>
            <w:tcBorders>
              <w:top w:val="single" w:sz="4" w:space="0" w:color="D0CECE"/>
              <w:left w:val="nil"/>
              <w:bottom w:val="single" w:sz="8" w:space="0" w:color="D0CECE"/>
              <w:right w:val="nil"/>
            </w:tcBorders>
            <w:vAlign w:val="center"/>
            <w:hideMark/>
          </w:tcPr>
          <w:p w14:paraId="0C6C224E"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Credit  Cards</w:t>
            </w:r>
          </w:p>
        </w:tc>
        <w:tc>
          <w:tcPr>
            <w:tcW w:w="735" w:type="pct"/>
            <w:tcBorders>
              <w:top w:val="single" w:sz="4" w:space="0" w:color="D0CECE"/>
              <w:left w:val="nil"/>
              <w:bottom w:val="single" w:sz="8" w:space="0" w:color="D0CECE"/>
              <w:right w:val="nil"/>
            </w:tcBorders>
            <w:vAlign w:val="center"/>
            <w:hideMark/>
          </w:tcPr>
          <w:p w14:paraId="2B6CCDB3"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Vehicle Finance</w:t>
            </w:r>
          </w:p>
        </w:tc>
        <w:tc>
          <w:tcPr>
            <w:tcW w:w="735" w:type="pct"/>
            <w:tcBorders>
              <w:top w:val="single" w:sz="4" w:space="0" w:color="D0CECE"/>
              <w:left w:val="nil"/>
              <w:bottom w:val="single" w:sz="8" w:space="0" w:color="D0CECE"/>
              <w:right w:val="nil"/>
            </w:tcBorders>
            <w:vAlign w:val="center"/>
            <w:hideMark/>
          </w:tcPr>
          <w:p w14:paraId="081C0AD2"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Second Charge Mortgages</w:t>
            </w:r>
          </w:p>
        </w:tc>
        <w:tc>
          <w:tcPr>
            <w:tcW w:w="735" w:type="pct"/>
            <w:tcBorders>
              <w:top w:val="single" w:sz="4" w:space="0" w:color="D0CECE"/>
              <w:left w:val="nil"/>
              <w:bottom w:val="single" w:sz="8" w:space="0" w:color="D0CECE"/>
              <w:right w:val="nil"/>
            </w:tcBorders>
            <w:vAlign w:val="center"/>
            <w:hideMark/>
          </w:tcPr>
          <w:p w14:paraId="36D7D602"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Corporate Centre</w:t>
            </w:r>
          </w:p>
        </w:tc>
        <w:tc>
          <w:tcPr>
            <w:tcW w:w="735" w:type="pct"/>
            <w:tcBorders>
              <w:top w:val="single" w:sz="4" w:space="0" w:color="D0CECE"/>
              <w:left w:val="nil"/>
              <w:bottom w:val="single" w:sz="8" w:space="0" w:color="D0CECE"/>
              <w:right w:val="nil"/>
            </w:tcBorders>
            <w:vAlign w:val="center"/>
            <w:hideMark/>
          </w:tcPr>
          <w:p w14:paraId="1139DBA7" w14:textId="77777777" w:rsidR="00F53939" w:rsidRPr="00D7660C" w:rsidRDefault="00F53939" w:rsidP="00A50D03">
            <w:pPr>
              <w:jc w:val="center"/>
              <w:rPr>
                <w:rFonts w:asciiTheme="minorHAnsi" w:hAnsiTheme="minorHAnsi" w:cstheme="minorHAnsi"/>
                <w:sz w:val="20"/>
                <w:szCs w:val="20"/>
              </w:rPr>
            </w:pPr>
            <w:r w:rsidRPr="00D7660C">
              <w:rPr>
                <w:rFonts w:asciiTheme="minorHAnsi" w:hAnsiTheme="minorHAnsi" w:cstheme="minorHAnsi"/>
                <w:sz w:val="20"/>
                <w:szCs w:val="20"/>
              </w:rPr>
              <w:t>Total</w:t>
            </w:r>
          </w:p>
        </w:tc>
      </w:tr>
      <w:tr w:rsidR="00F53939" w:rsidRPr="00D7660C" w14:paraId="5F548F8F" w14:textId="77777777" w:rsidTr="00A50D03">
        <w:trPr>
          <w:trHeight w:val="20"/>
        </w:trPr>
        <w:tc>
          <w:tcPr>
            <w:tcW w:w="1326" w:type="pct"/>
            <w:tcBorders>
              <w:top w:val="nil"/>
              <w:left w:val="nil"/>
              <w:bottom w:val="single" w:sz="4" w:space="0" w:color="BFBFBF"/>
              <w:right w:val="nil"/>
            </w:tcBorders>
            <w:vAlign w:val="center"/>
            <w:hideMark/>
          </w:tcPr>
          <w:p w14:paraId="347BD6BC"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Interest income</w:t>
            </w:r>
          </w:p>
        </w:tc>
        <w:tc>
          <w:tcPr>
            <w:tcW w:w="735" w:type="pct"/>
            <w:tcBorders>
              <w:top w:val="nil"/>
              <w:left w:val="nil"/>
              <w:bottom w:val="single" w:sz="4" w:space="0" w:color="BFBFBF"/>
              <w:right w:val="nil"/>
            </w:tcBorders>
            <w:noWrap/>
            <w:vAlign w:val="center"/>
          </w:tcPr>
          <w:p w14:paraId="0DE9B275"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183.6</w:t>
            </w:r>
          </w:p>
        </w:tc>
        <w:tc>
          <w:tcPr>
            <w:tcW w:w="735" w:type="pct"/>
            <w:tcBorders>
              <w:top w:val="nil"/>
              <w:left w:val="nil"/>
              <w:bottom w:val="single" w:sz="4" w:space="0" w:color="BFBFBF"/>
              <w:right w:val="nil"/>
            </w:tcBorders>
            <w:noWrap/>
            <w:vAlign w:val="center"/>
          </w:tcPr>
          <w:p w14:paraId="596FE2E8"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69.7</w:t>
            </w:r>
          </w:p>
        </w:tc>
        <w:tc>
          <w:tcPr>
            <w:tcW w:w="735" w:type="pct"/>
            <w:tcBorders>
              <w:top w:val="nil"/>
              <w:left w:val="nil"/>
              <w:bottom w:val="single" w:sz="4" w:space="0" w:color="BFBFBF"/>
              <w:right w:val="nil"/>
            </w:tcBorders>
            <w:noWrap/>
            <w:vAlign w:val="center"/>
          </w:tcPr>
          <w:p w14:paraId="3460C529"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0.2</w:t>
            </w:r>
          </w:p>
        </w:tc>
        <w:tc>
          <w:tcPr>
            <w:tcW w:w="735" w:type="pct"/>
            <w:tcBorders>
              <w:top w:val="nil"/>
              <w:left w:val="nil"/>
              <w:bottom w:val="single" w:sz="4" w:space="0" w:color="BFBFBF"/>
              <w:right w:val="nil"/>
            </w:tcBorders>
            <w:noWrap/>
            <w:vAlign w:val="center"/>
          </w:tcPr>
          <w:p w14:paraId="7F78786D"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22.5</w:t>
            </w:r>
          </w:p>
        </w:tc>
        <w:tc>
          <w:tcPr>
            <w:tcW w:w="735" w:type="pct"/>
            <w:tcBorders>
              <w:top w:val="nil"/>
              <w:left w:val="nil"/>
              <w:bottom w:val="single" w:sz="4" w:space="0" w:color="BFBFBF"/>
              <w:right w:val="nil"/>
            </w:tcBorders>
            <w:noWrap/>
            <w:vAlign w:val="center"/>
          </w:tcPr>
          <w:p w14:paraId="4BB0F930"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276.0</w:t>
            </w:r>
          </w:p>
        </w:tc>
      </w:tr>
      <w:tr w:rsidR="00F53939" w:rsidRPr="00D7660C" w14:paraId="1272688C" w14:textId="77777777" w:rsidTr="00A50D03">
        <w:trPr>
          <w:trHeight w:val="20"/>
        </w:trPr>
        <w:tc>
          <w:tcPr>
            <w:tcW w:w="1326" w:type="pct"/>
            <w:tcBorders>
              <w:top w:val="single" w:sz="4" w:space="0" w:color="BFBFBF"/>
              <w:left w:val="nil"/>
              <w:bottom w:val="single" w:sz="2" w:space="0" w:color="auto"/>
              <w:right w:val="nil"/>
            </w:tcBorders>
            <w:vAlign w:val="center"/>
            <w:hideMark/>
          </w:tcPr>
          <w:p w14:paraId="4A145B15"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Interest expense</w:t>
            </w:r>
          </w:p>
        </w:tc>
        <w:tc>
          <w:tcPr>
            <w:tcW w:w="735" w:type="pct"/>
            <w:tcBorders>
              <w:top w:val="single" w:sz="4" w:space="0" w:color="BFBFBF"/>
              <w:left w:val="nil"/>
              <w:bottom w:val="single" w:sz="2" w:space="0" w:color="auto"/>
              <w:right w:val="nil"/>
            </w:tcBorders>
            <w:noWrap/>
            <w:vAlign w:val="center"/>
          </w:tcPr>
          <w:p w14:paraId="09F71152"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(26.9)</w:t>
            </w:r>
          </w:p>
        </w:tc>
        <w:tc>
          <w:tcPr>
            <w:tcW w:w="735" w:type="pct"/>
            <w:tcBorders>
              <w:top w:val="single" w:sz="4" w:space="0" w:color="BFBFBF"/>
              <w:left w:val="nil"/>
              <w:bottom w:val="single" w:sz="2" w:space="0" w:color="auto"/>
              <w:right w:val="nil"/>
            </w:tcBorders>
            <w:noWrap/>
            <w:vAlign w:val="center"/>
          </w:tcPr>
          <w:p w14:paraId="66601E59"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(15.7)</w:t>
            </w:r>
          </w:p>
        </w:tc>
        <w:tc>
          <w:tcPr>
            <w:tcW w:w="735" w:type="pct"/>
            <w:tcBorders>
              <w:top w:val="single" w:sz="4" w:space="0" w:color="BFBFBF"/>
              <w:left w:val="nil"/>
              <w:bottom w:val="single" w:sz="2" w:space="0" w:color="auto"/>
              <w:right w:val="nil"/>
            </w:tcBorders>
            <w:noWrap/>
            <w:vAlign w:val="center"/>
          </w:tcPr>
          <w:p w14:paraId="107938F1"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(0.3)</w:t>
            </w:r>
          </w:p>
        </w:tc>
        <w:tc>
          <w:tcPr>
            <w:tcW w:w="735" w:type="pct"/>
            <w:tcBorders>
              <w:top w:val="single" w:sz="4" w:space="0" w:color="BFBFBF"/>
              <w:left w:val="nil"/>
              <w:bottom w:val="single" w:sz="2" w:space="0" w:color="auto"/>
              <w:right w:val="nil"/>
            </w:tcBorders>
            <w:noWrap/>
            <w:vAlign w:val="center"/>
          </w:tcPr>
          <w:p w14:paraId="158A2BA7"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(25.8)</w:t>
            </w:r>
          </w:p>
        </w:tc>
        <w:tc>
          <w:tcPr>
            <w:tcW w:w="735" w:type="pct"/>
            <w:tcBorders>
              <w:top w:val="single" w:sz="4" w:space="0" w:color="BFBFBF"/>
              <w:left w:val="nil"/>
              <w:bottom w:val="single" w:sz="2" w:space="0" w:color="auto"/>
              <w:right w:val="nil"/>
            </w:tcBorders>
            <w:noWrap/>
            <w:vAlign w:val="center"/>
          </w:tcPr>
          <w:p w14:paraId="70B95EB0"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(68.7)</w:t>
            </w:r>
          </w:p>
        </w:tc>
      </w:tr>
      <w:tr w:rsidR="00F53939" w:rsidRPr="00D7660C" w14:paraId="219FC302" w14:textId="77777777" w:rsidTr="00A50D03">
        <w:trPr>
          <w:trHeight w:val="20"/>
        </w:trPr>
        <w:tc>
          <w:tcPr>
            <w:tcW w:w="1326" w:type="pct"/>
            <w:tcBorders>
              <w:top w:val="single" w:sz="2" w:space="0" w:color="auto"/>
              <w:left w:val="nil"/>
              <w:bottom w:val="single" w:sz="2" w:space="0" w:color="auto"/>
              <w:right w:val="nil"/>
            </w:tcBorders>
            <w:vAlign w:val="center"/>
            <w:hideMark/>
          </w:tcPr>
          <w:p w14:paraId="4A2177D5" w14:textId="77777777" w:rsidR="00F53939" w:rsidRPr="000138C5" w:rsidRDefault="00F53939" w:rsidP="00A50D03">
            <w:pPr>
              <w:rPr>
                <w:rFonts w:asciiTheme="minorHAnsi" w:hAnsiTheme="minorHAnsi" w:cstheme="minorHAnsi"/>
                <w:b/>
                <w:bCs/>
                <w:sz w:val="20"/>
                <w:szCs w:val="20"/>
              </w:rPr>
            </w:pPr>
            <w:r w:rsidRPr="000138C5">
              <w:rPr>
                <w:rFonts w:asciiTheme="minorHAnsi" w:hAnsiTheme="minorHAnsi" w:cstheme="minorHAnsi"/>
                <w:b/>
                <w:sz w:val="20"/>
                <w:szCs w:val="20"/>
              </w:rPr>
              <w:t>Net interest income</w:t>
            </w:r>
          </w:p>
        </w:tc>
        <w:tc>
          <w:tcPr>
            <w:tcW w:w="735" w:type="pct"/>
            <w:tcBorders>
              <w:top w:val="single" w:sz="2" w:space="0" w:color="auto"/>
              <w:left w:val="nil"/>
              <w:bottom w:val="single" w:sz="2" w:space="0" w:color="auto"/>
              <w:right w:val="nil"/>
            </w:tcBorders>
            <w:noWrap/>
            <w:vAlign w:val="center"/>
          </w:tcPr>
          <w:p w14:paraId="00FF1055"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156.7</w:t>
            </w:r>
          </w:p>
        </w:tc>
        <w:tc>
          <w:tcPr>
            <w:tcW w:w="735" w:type="pct"/>
            <w:tcBorders>
              <w:top w:val="single" w:sz="2" w:space="0" w:color="auto"/>
              <w:left w:val="nil"/>
              <w:bottom w:val="single" w:sz="2" w:space="0" w:color="auto"/>
              <w:right w:val="nil"/>
            </w:tcBorders>
            <w:noWrap/>
            <w:vAlign w:val="center"/>
          </w:tcPr>
          <w:p w14:paraId="54223A36"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54.0</w:t>
            </w:r>
          </w:p>
        </w:tc>
        <w:tc>
          <w:tcPr>
            <w:tcW w:w="735" w:type="pct"/>
            <w:tcBorders>
              <w:top w:val="single" w:sz="2" w:space="0" w:color="auto"/>
              <w:left w:val="nil"/>
              <w:bottom w:val="single" w:sz="2" w:space="0" w:color="auto"/>
              <w:right w:val="nil"/>
            </w:tcBorders>
            <w:noWrap/>
            <w:vAlign w:val="center"/>
          </w:tcPr>
          <w:p w14:paraId="401FFF56"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(0.1)</w:t>
            </w:r>
          </w:p>
        </w:tc>
        <w:tc>
          <w:tcPr>
            <w:tcW w:w="735" w:type="pct"/>
            <w:tcBorders>
              <w:top w:val="single" w:sz="2" w:space="0" w:color="auto"/>
              <w:left w:val="nil"/>
              <w:bottom w:val="single" w:sz="2" w:space="0" w:color="auto"/>
              <w:right w:val="nil"/>
            </w:tcBorders>
            <w:noWrap/>
            <w:vAlign w:val="center"/>
          </w:tcPr>
          <w:p w14:paraId="269363C1"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(3.3)</w:t>
            </w:r>
          </w:p>
        </w:tc>
        <w:tc>
          <w:tcPr>
            <w:tcW w:w="735" w:type="pct"/>
            <w:tcBorders>
              <w:top w:val="single" w:sz="2" w:space="0" w:color="auto"/>
              <w:left w:val="nil"/>
              <w:bottom w:val="single" w:sz="2" w:space="0" w:color="auto"/>
              <w:right w:val="nil"/>
            </w:tcBorders>
            <w:noWrap/>
            <w:vAlign w:val="center"/>
          </w:tcPr>
          <w:p w14:paraId="7F66B0F6"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207.3</w:t>
            </w:r>
          </w:p>
        </w:tc>
      </w:tr>
      <w:tr w:rsidR="00F53939" w:rsidRPr="00D7660C" w14:paraId="36035A89" w14:textId="77777777" w:rsidTr="00A50D03">
        <w:trPr>
          <w:trHeight w:val="20"/>
        </w:trPr>
        <w:tc>
          <w:tcPr>
            <w:tcW w:w="1326" w:type="pct"/>
            <w:tcBorders>
              <w:top w:val="single" w:sz="2" w:space="0" w:color="auto"/>
              <w:left w:val="nil"/>
              <w:bottom w:val="single" w:sz="4" w:space="0" w:color="auto"/>
              <w:right w:val="nil"/>
            </w:tcBorders>
            <w:vAlign w:val="center"/>
            <w:hideMark/>
          </w:tcPr>
          <w:p w14:paraId="0908DE19"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Non-interest income</w:t>
            </w:r>
          </w:p>
        </w:tc>
        <w:tc>
          <w:tcPr>
            <w:tcW w:w="735" w:type="pct"/>
            <w:tcBorders>
              <w:top w:val="single" w:sz="2" w:space="0" w:color="auto"/>
              <w:left w:val="nil"/>
              <w:bottom w:val="single" w:sz="4" w:space="0" w:color="auto"/>
              <w:right w:val="nil"/>
            </w:tcBorders>
            <w:noWrap/>
            <w:vAlign w:val="center"/>
          </w:tcPr>
          <w:p w14:paraId="343D2BAA"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18.6</w:t>
            </w:r>
          </w:p>
        </w:tc>
        <w:tc>
          <w:tcPr>
            <w:tcW w:w="735" w:type="pct"/>
            <w:tcBorders>
              <w:top w:val="single" w:sz="2" w:space="0" w:color="auto"/>
              <w:left w:val="nil"/>
              <w:bottom w:val="single" w:sz="4" w:space="0" w:color="auto"/>
              <w:right w:val="nil"/>
            </w:tcBorders>
            <w:noWrap/>
            <w:vAlign w:val="center"/>
          </w:tcPr>
          <w:p w14:paraId="29C0F6A5"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w:t>
            </w:r>
          </w:p>
        </w:tc>
        <w:tc>
          <w:tcPr>
            <w:tcW w:w="735" w:type="pct"/>
            <w:tcBorders>
              <w:top w:val="single" w:sz="2" w:space="0" w:color="auto"/>
              <w:left w:val="nil"/>
              <w:bottom w:val="single" w:sz="4" w:space="0" w:color="auto"/>
              <w:right w:val="nil"/>
            </w:tcBorders>
            <w:noWrap/>
            <w:vAlign w:val="center"/>
          </w:tcPr>
          <w:p w14:paraId="6AC2E245"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w:t>
            </w:r>
          </w:p>
        </w:tc>
        <w:tc>
          <w:tcPr>
            <w:tcW w:w="735" w:type="pct"/>
            <w:tcBorders>
              <w:top w:val="single" w:sz="2" w:space="0" w:color="auto"/>
              <w:left w:val="nil"/>
              <w:bottom w:val="single" w:sz="4" w:space="0" w:color="auto"/>
              <w:right w:val="nil"/>
            </w:tcBorders>
            <w:noWrap/>
            <w:vAlign w:val="center"/>
          </w:tcPr>
          <w:p w14:paraId="516F5219"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0.9</w:t>
            </w:r>
          </w:p>
        </w:tc>
        <w:tc>
          <w:tcPr>
            <w:tcW w:w="735" w:type="pct"/>
            <w:tcBorders>
              <w:top w:val="single" w:sz="2" w:space="0" w:color="auto"/>
              <w:left w:val="nil"/>
              <w:bottom w:val="single" w:sz="4" w:space="0" w:color="auto"/>
              <w:right w:val="nil"/>
            </w:tcBorders>
            <w:noWrap/>
            <w:vAlign w:val="center"/>
          </w:tcPr>
          <w:p w14:paraId="36AD6B8A"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19.5</w:t>
            </w:r>
          </w:p>
        </w:tc>
      </w:tr>
      <w:tr w:rsidR="00F53939" w:rsidRPr="00D7660C" w14:paraId="7B363FC3" w14:textId="77777777" w:rsidTr="00A50D03">
        <w:trPr>
          <w:trHeight w:val="20"/>
        </w:trPr>
        <w:tc>
          <w:tcPr>
            <w:tcW w:w="1326" w:type="pct"/>
            <w:tcBorders>
              <w:top w:val="single" w:sz="4" w:space="0" w:color="auto"/>
              <w:left w:val="nil"/>
              <w:bottom w:val="single" w:sz="2" w:space="0" w:color="auto"/>
              <w:right w:val="nil"/>
            </w:tcBorders>
            <w:vAlign w:val="center"/>
            <w:hideMark/>
          </w:tcPr>
          <w:p w14:paraId="39B50599" w14:textId="77777777" w:rsidR="00F53939" w:rsidRPr="000138C5" w:rsidRDefault="00F53939" w:rsidP="00A50D03">
            <w:pPr>
              <w:rPr>
                <w:rFonts w:asciiTheme="minorHAnsi" w:hAnsiTheme="minorHAnsi" w:cstheme="minorHAnsi"/>
                <w:b/>
                <w:bCs/>
                <w:sz w:val="20"/>
                <w:szCs w:val="20"/>
              </w:rPr>
            </w:pPr>
            <w:r w:rsidRPr="000138C5">
              <w:rPr>
                <w:rFonts w:asciiTheme="minorHAnsi" w:hAnsiTheme="minorHAnsi" w:cstheme="minorHAnsi"/>
                <w:b/>
                <w:sz w:val="20"/>
                <w:szCs w:val="20"/>
              </w:rPr>
              <w:t>Total income</w:t>
            </w:r>
          </w:p>
        </w:tc>
        <w:tc>
          <w:tcPr>
            <w:tcW w:w="735" w:type="pct"/>
            <w:tcBorders>
              <w:top w:val="single" w:sz="4" w:space="0" w:color="auto"/>
              <w:left w:val="nil"/>
              <w:bottom w:val="single" w:sz="2" w:space="0" w:color="auto"/>
              <w:right w:val="nil"/>
            </w:tcBorders>
            <w:noWrap/>
            <w:vAlign w:val="center"/>
          </w:tcPr>
          <w:p w14:paraId="70A49186"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175.3</w:t>
            </w:r>
          </w:p>
        </w:tc>
        <w:tc>
          <w:tcPr>
            <w:tcW w:w="735" w:type="pct"/>
            <w:tcBorders>
              <w:top w:val="single" w:sz="4" w:space="0" w:color="auto"/>
              <w:left w:val="nil"/>
              <w:bottom w:val="single" w:sz="2" w:space="0" w:color="auto"/>
              <w:right w:val="nil"/>
            </w:tcBorders>
            <w:noWrap/>
            <w:vAlign w:val="center"/>
          </w:tcPr>
          <w:p w14:paraId="746FC4CD"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54.0</w:t>
            </w:r>
          </w:p>
        </w:tc>
        <w:tc>
          <w:tcPr>
            <w:tcW w:w="735" w:type="pct"/>
            <w:tcBorders>
              <w:top w:val="single" w:sz="4" w:space="0" w:color="auto"/>
              <w:left w:val="nil"/>
              <w:bottom w:val="single" w:sz="2" w:space="0" w:color="auto"/>
              <w:right w:val="nil"/>
            </w:tcBorders>
            <w:noWrap/>
            <w:vAlign w:val="center"/>
          </w:tcPr>
          <w:p w14:paraId="7EDDE7E0"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(0.1)</w:t>
            </w:r>
          </w:p>
        </w:tc>
        <w:tc>
          <w:tcPr>
            <w:tcW w:w="735" w:type="pct"/>
            <w:tcBorders>
              <w:top w:val="single" w:sz="4" w:space="0" w:color="auto"/>
              <w:left w:val="nil"/>
              <w:bottom w:val="single" w:sz="2" w:space="0" w:color="auto"/>
              <w:right w:val="nil"/>
            </w:tcBorders>
            <w:noWrap/>
            <w:vAlign w:val="center"/>
          </w:tcPr>
          <w:p w14:paraId="221582E0"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(2.4)</w:t>
            </w:r>
          </w:p>
        </w:tc>
        <w:tc>
          <w:tcPr>
            <w:tcW w:w="735" w:type="pct"/>
            <w:tcBorders>
              <w:top w:val="single" w:sz="4" w:space="0" w:color="auto"/>
              <w:left w:val="nil"/>
              <w:bottom w:val="single" w:sz="2" w:space="0" w:color="auto"/>
              <w:right w:val="nil"/>
            </w:tcBorders>
            <w:noWrap/>
            <w:vAlign w:val="center"/>
          </w:tcPr>
          <w:p w14:paraId="2E4A80A7"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226.8</w:t>
            </w:r>
          </w:p>
        </w:tc>
      </w:tr>
      <w:tr w:rsidR="00F53939" w:rsidRPr="00D7660C" w14:paraId="7D7320F2" w14:textId="77777777" w:rsidTr="00A50D03">
        <w:trPr>
          <w:trHeight w:val="20"/>
        </w:trPr>
        <w:tc>
          <w:tcPr>
            <w:tcW w:w="1326" w:type="pct"/>
            <w:tcBorders>
              <w:top w:val="single" w:sz="2" w:space="0" w:color="auto"/>
              <w:left w:val="nil"/>
              <w:bottom w:val="single" w:sz="2" w:space="0" w:color="auto"/>
              <w:right w:val="nil"/>
            </w:tcBorders>
            <w:vAlign w:val="center"/>
            <w:hideMark/>
          </w:tcPr>
          <w:p w14:paraId="6B390569"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Impairment charges</w:t>
            </w:r>
          </w:p>
        </w:tc>
        <w:tc>
          <w:tcPr>
            <w:tcW w:w="735" w:type="pct"/>
            <w:tcBorders>
              <w:top w:val="single" w:sz="2" w:space="0" w:color="auto"/>
              <w:left w:val="nil"/>
              <w:bottom w:val="single" w:sz="2" w:space="0" w:color="auto"/>
              <w:right w:val="nil"/>
            </w:tcBorders>
            <w:noWrap/>
            <w:vAlign w:val="center"/>
          </w:tcPr>
          <w:p w14:paraId="05918ACE"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(63.5)</w:t>
            </w:r>
          </w:p>
        </w:tc>
        <w:tc>
          <w:tcPr>
            <w:tcW w:w="735" w:type="pct"/>
            <w:tcBorders>
              <w:top w:val="single" w:sz="2" w:space="0" w:color="auto"/>
              <w:left w:val="nil"/>
              <w:bottom w:val="single" w:sz="2" w:space="0" w:color="auto"/>
              <w:right w:val="nil"/>
            </w:tcBorders>
            <w:noWrap/>
            <w:vAlign w:val="center"/>
          </w:tcPr>
          <w:p w14:paraId="3B86A57A"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(29.5)</w:t>
            </w:r>
          </w:p>
        </w:tc>
        <w:tc>
          <w:tcPr>
            <w:tcW w:w="735" w:type="pct"/>
            <w:tcBorders>
              <w:top w:val="single" w:sz="2" w:space="0" w:color="auto"/>
              <w:left w:val="nil"/>
              <w:bottom w:val="single" w:sz="2" w:space="0" w:color="auto"/>
              <w:right w:val="nil"/>
            </w:tcBorders>
            <w:noWrap/>
            <w:vAlign w:val="center"/>
          </w:tcPr>
          <w:p w14:paraId="37870C57"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52F14956"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0D973905"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(93.0)</w:t>
            </w:r>
          </w:p>
        </w:tc>
      </w:tr>
      <w:tr w:rsidR="00F53939" w:rsidRPr="00D7660C" w14:paraId="1A516E19" w14:textId="77777777" w:rsidTr="00A50D03">
        <w:trPr>
          <w:trHeight w:val="20"/>
        </w:trPr>
        <w:tc>
          <w:tcPr>
            <w:tcW w:w="1326" w:type="pct"/>
            <w:tcBorders>
              <w:top w:val="single" w:sz="2" w:space="0" w:color="auto"/>
              <w:left w:val="nil"/>
              <w:bottom w:val="single" w:sz="2" w:space="0" w:color="auto"/>
              <w:right w:val="nil"/>
            </w:tcBorders>
            <w:vAlign w:val="center"/>
            <w:hideMark/>
          </w:tcPr>
          <w:p w14:paraId="44C3E398" w14:textId="77777777" w:rsidR="00F53939" w:rsidRPr="000138C5" w:rsidRDefault="00F53939" w:rsidP="00A50D03">
            <w:pPr>
              <w:rPr>
                <w:rFonts w:asciiTheme="minorHAnsi" w:hAnsiTheme="minorHAnsi" w:cstheme="minorHAnsi"/>
                <w:b/>
                <w:bCs/>
                <w:sz w:val="20"/>
                <w:szCs w:val="20"/>
              </w:rPr>
            </w:pPr>
            <w:r w:rsidRPr="000138C5">
              <w:rPr>
                <w:rFonts w:asciiTheme="minorHAnsi" w:hAnsiTheme="minorHAnsi" w:cstheme="minorHAnsi"/>
                <w:b/>
                <w:sz w:val="20"/>
                <w:szCs w:val="20"/>
              </w:rPr>
              <w:t>Risk-adjusted income</w:t>
            </w:r>
          </w:p>
        </w:tc>
        <w:tc>
          <w:tcPr>
            <w:tcW w:w="735" w:type="pct"/>
            <w:tcBorders>
              <w:top w:val="single" w:sz="2" w:space="0" w:color="auto"/>
              <w:left w:val="nil"/>
              <w:bottom w:val="single" w:sz="2" w:space="0" w:color="auto"/>
              <w:right w:val="nil"/>
            </w:tcBorders>
            <w:noWrap/>
            <w:vAlign w:val="center"/>
          </w:tcPr>
          <w:p w14:paraId="29FF057A"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111.8</w:t>
            </w:r>
          </w:p>
        </w:tc>
        <w:tc>
          <w:tcPr>
            <w:tcW w:w="735" w:type="pct"/>
            <w:tcBorders>
              <w:top w:val="single" w:sz="2" w:space="0" w:color="auto"/>
              <w:left w:val="nil"/>
              <w:bottom w:val="single" w:sz="2" w:space="0" w:color="auto"/>
              <w:right w:val="nil"/>
            </w:tcBorders>
            <w:noWrap/>
            <w:vAlign w:val="center"/>
          </w:tcPr>
          <w:p w14:paraId="3781E932"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24.5</w:t>
            </w:r>
          </w:p>
        </w:tc>
        <w:tc>
          <w:tcPr>
            <w:tcW w:w="735" w:type="pct"/>
            <w:tcBorders>
              <w:top w:val="single" w:sz="2" w:space="0" w:color="auto"/>
              <w:left w:val="nil"/>
              <w:bottom w:val="single" w:sz="2" w:space="0" w:color="auto"/>
              <w:right w:val="nil"/>
            </w:tcBorders>
            <w:noWrap/>
            <w:vAlign w:val="center"/>
          </w:tcPr>
          <w:p w14:paraId="0DDBEEC5"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(0.1)</w:t>
            </w:r>
          </w:p>
        </w:tc>
        <w:tc>
          <w:tcPr>
            <w:tcW w:w="735" w:type="pct"/>
            <w:tcBorders>
              <w:top w:val="single" w:sz="2" w:space="0" w:color="auto"/>
              <w:left w:val="nil"/>
              <w:bottom w:val="single" w:sz="2" w:space="0" w:color="auto"/>
              <w:right w:val="nil"/>
            </w:tcBorders>
            <w:noWrap/>
            <w:vAlign w:val="center"/>
          </w:tcPr>
          <w:p w14:paraId="4963B99B"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(2.4)</w:t>
            </w:r>
          </w:p>
        </w:tc>
        <w:tc>
          <w:tcPr>
            <w:tcW w:w="735" w:type="pct"/>
            <w:tcBorders>
              <w:top w:val="single" w:sz="2" w:space="0" w:color="auto"/>
              <w:left w:val="nil"/>
              <w:bottom w:val="single" w:sz="2" w:space="0" w:color="auto"/>
              <w:right w:val="nil"/>
            </w:tcBorders>
            <w:noWrap/>
            <w:vAlign w:val="center"/>
          </w:tcPr>
          <w:p w14:paraId="11D45870"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133.8</w:t>
            </w:r>
          </w:p>
        </w:tc>
      </w:tr>
      <w:tr w:rsidR="00F53939" w:rsidRPr="00D7660C" w14:paraId="3481F415" w14:textId="77777777" w:rsidTr="00A50D03">
        <w:trPr>
          <w:trHeight w:val="20"/>
        </w:trPr>
        <w:tc>
          <w:tcPr>
            <w:tcW w:w="1326" w:type="pct"/>
            <w:tcBorders>
              <w:top w:val="single" w:sz="2" w:space="0" w:color="auto"/>
              <w:left w:val="nil"/>
              <w:bottom w:val="single" w:sz="2" w:space="0" w:color="auto"/>
              <w:right w:val="nil"/>
            </w:tcBorders>
            <w:vAlign w:val="center"/>
            <w:hideMark/>
          </w:tcPr>
          <w:p w14:paraId="40F96B68" w14:textId="77777777" w:rsidR="00F53939" w:rsidRPr="000138C5" w:rsidRDefault="00F53939" w:rsidP="00A50D03">
            <w:pPr>
              <w:rPr>
                <w:rFonts w:asciiTheme="minorHAnsi" w:hAnsiTheme="minorHAnsi" w:cstheme="minorHAnsi"/>
                <w:sz w:val="20"/>
                <w:szCs w:val="20"/>
              </w:rPr>
            </w:pPr>
            <w:r w:rsidRPr="000138C5">
              <w:rPr>
                <w:rFonts w:asciiTheme="minorHAnsi" w:hAnsiTheme="minorHAnsi" w:cstheme="minorHAnsi"/>
                <w:sz w:val="20"/>
                <w:szCs w:val="20"/>
              </w:rPr>
              <w:t>Operating costs</w:t>
            </w:r>
          </w:p>
        </w:tc>
        <w:tc>
          <w:tcPr>
            <w:tcW w:w="735" w:type="pct"/>
            <w:tcBorders>
              <w:top w:val="single" w:sz="2" w:space="0" w:color="auto"/>
              <w:left w:val="nil"/>
              <w:bottom w:val="single" w:sz="2" w:space="0" w:color="auto"/>
              <w:right w:val="nil"/>
            </w:tcBorders>
            <w:noWrap/>
            <w:vAlign w:val="center"/>
          </w:tcPr>
          <w:p w14:paraId="3B9A42B5"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(10</w:t>
            </w:r>
            <w:r>
              <w:rPr>
                <w:rFonts w:asciiTheme="minorHAnsi" w:hAnsiTheme="minorHAnsi" w:cstheme="minorHAnsi"/>
                <w:sz w:val="20"/>
                <w:szCs w:val="20"/>
              </w:rPr>
              <w:t>0.5</w:t>
            </w:r>
            <w:r w:rsidRPr="000138C5">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27FDF000"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(4</w:t>
            </w:r>
            <w:r>
              <w:rPr>
                <w:rFonts w:asciiTheme="minorHAnsi" w:hAnsiTheme="minorHAnsi" w:cstheme="minorHAnsi"/>
                <w:sz w:val="20"/>
                <w:szCs w:val="20"/>
              </w:rPr>
              <w:t>2.8</w:t>
            </w:r>
            <w:r w:rsidRPr="000138C5">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53ECE619"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(0.2)</w:t>
            </w:r>
          </w:p>
        </w:tc>
        <w:tc>
          <w:tcPr>
            <w:tcW w:w="735" w:type="pct"/>
            <w:tcBorders>
              <w:top w:val="single" w:sz="2" w:space="0" w:color="auto"/>
              <w:left w:val="nil"/>
              <w:bottom w:val="single" w:sz="2" w:space="0" w:color="auto"/>
              <w:right w:val="nil"/>
            </w:tcBorders>
            <w:noWrap/>
            <w:vAlign w:val="center"/>
          </w:tcPr>
          <w:p w14:paraId="42442C77"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(3</w:t>
            </w:r>
            <w:r>
              <w:rPr>
                <w:rFonts w:asciiTheme="minorHAnsi" w:hAnsiTheme="minorHAnsi" w:cstheme="minorHAnsi"/>
                <w:sz w:val="20"/>
                <w:szCs w:val="20"/>
              </w:rPr>
              <w:t>6.4</w:t>
            </w:r>
            <w:r w:rsidRPr="000138C5">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4C6AB3D6"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(179.9)</w:t>
            </w:r>
          </w:p>
        </w:tc>
      </w:tr>
      <w:tr w:rsidR="00F53939" w:rsidRPr="00D7660C" w14:paraId="4DCF6876" w14:textId="77777777" w:rsidTr="00A50D03">
        <w:trPr>
          <w:trHeight w:val="20"/>
        </w:trPr>
        <w:tc>
          <w:tcPr>
            <w:tcW w:w="1326" w:type="pct"/>
            <w:tcBorders>
              <w:top w:val="single" w:sz="2" w:space="0" w:color="auto"/>
              <w:left w:val="nil"/>
              <w:bottom w:val="single" w:sz="2" w:space="0" w:color="auto"/>
              <w:right w:val="nil"/>
            </w:tcBorders>
            <w:vAlign w:val="center"/>
            <w:hideMark/>
          </w:tcPr>
          <w:p w14:paraId="787D8D36" w14:textId="77777777" w:rsidR="00F53939" w:rsidRPr="000138C5" w:rsidRDefault="00F53939" w:rsidP="00A50D03">
            <w:pPr>
              <w:rPr>
                <w:rFonts w:asciiTheme="minorHAnsi" w:hAnsiTheme="minorHAnsi" w:cstheme="minorHAnsi"/>
                <w:b/>
                <w:bCs/>
                <w:sz w:val="20"/>
                <w:szCs w:val="20"/>
              </w:rPr>
            </w:pPr>
            <w:r w:rsidRPr="000138C5">
              <w:rPr>
                <w:rFonts w:asciiTheme="minorHAnsi" w:hAnsiTheme="minorHAnsi" w:cstheme="minorHAnsi"/>
                <w:b/>
                <w:sz w:val="20"/>
                <w:szCs w:val="20"/>
              </w:rPr>
              <w:t>Profit/(loss) before tax from continuing operations</w:t>
            </w:r>
          </w:p>
        </w:tc>
        <w:tc>
          <w:tcPr>
            <w:tcW w:w="735" w:type="pct"/>
            <w:tcBorders>
              <w:top w:val="single" w:sz="2" w:space="0" w:color="auto"/>
              <w:left w:val="nil"/>
              <w:bottom w:val="single" w:sz="2" w:space="0" w:color="auto"/>
              <w:right w:val="nil"/>
            </w:tcBorders>
            <w:noWrap/>
            <w:vAlign w:val="center"/>
          </w:tcPr>
          <w:p w14:paraId="039F4AAE" w14:textId="77777777" w:rsidR="00F53939" w:rsidRPr="00D7660C" w:rsidRDefault="00F53939" w:rsidP="00A50D03">
            <w:pPr>
              <w:jc w:val="right"/>
              <w:rPr>
                <w:rFonts w:asciiTheme="minorHAnsi" w:hAnsiTheme="minorHAnsi" w:cstheme="minorHAnsi"/>
                <w:sz w:val="20"/>
                <w:szCs w:val="20"/>
              </w:rPr>
            </w:pPr>
            <w:r>
              <w:rPr>
                <w:rFonts w:asciiTheme="minorHAnsi" w:hAnsiTheme="minorHAnsi" w:cstheme="minorHAnsi"/>
                <w:sz w:val="20"/>
                <w:szCs w:val="20"/>
              </w:rPr>
              <w:t>11.3</w:t>
            </w:r>
          </w:p>
        </w:tc>
        <w:tc>
          <w:tcPr>
            <w:tcW w:w="735" w:type="pct"/>
            <w:tcBorders>
              <w:top w:val="single" w:sz="2" w:space="0" w:color="auto"/>
              <w:left w:val="nil"/>
              <w:bottom w:val="single" w:sz="2" w:space="0" w:color="auto"/>
              <w:right w:val="nil"/>
            </w:tcBorders>
            <w:noWrap/>
            <w:vAlign w:val="center"/>
          </w:tcPr>
          <w:p w14:paraId="1100A4A5"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(1</w:t>
            </w:r>
            <w:r>
              <w:rPr>
                <w:rFonts w:asciiTheme="minorHAnsi" w:hAnsiTheme="minorHAnsi" w:cstheme="minorHAnsi"/>
                <w:sz w:val="20"/>
                <w:szCs w:val="20"/>
              </w:rPr>
              <w:t>8.3</w:t>
            </w:r>
            <w:r w:rsidRPr="000138C5">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60B90097"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(0.3)</w:t>
            </w:r>
          </w:p>
        </w:tc>
        <w:tc>
          <w:tcPr>
            <w:tcW w:w="735" w:type="pct"/>
            <w:tcBorders>
              <w:top w:val="single" w:sz="2" w:space="0" w:color="auto"/>
              <w:left w:val="nil"/>
              <w:bottom w:val="single" w:sz="2" w:space="0" w:color="auto"/>
              <w:right w:val="nil"/>
            </w:tcBorders>
            <w:noWrap/>
            <w:vAlign w:val="center"/>
          </w:tcPr>
          <w:p w14:paraId="345898F7"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(3</w:t>
            </w:r>
            <w:r>
              <w:rPr>
                <w:rFonts w:asciiTheme="minorHAnsi" w:hAnsiTheme="minorHAnsi" w:cstheme="minorHAnsi"/>
                <w:sz w:val="20"/>
                <w:szCs w:val="20"/>
              </w:rPr>
              <w:t>8.8</w:t>
            </w:r>
            <w:r w:rsidRPr="000138C5">
              <w:rPr>
                <w:rFonts w:asciiTheme="minorHAnsi" w:hAnsiTheme="minorHAnsi" w:cstheme="minorHAnsi"/>
                <w:sz w:val="20"/>
                <w:szCs w:val="20"/>
              </w:rPr>
              <w:t>)</w:t>
            </w:r>
          </w:p>
        </w:tc>
        <w:tc>
          <w:tcPr>
            <w:tcW w:w="735" w:type="pct"/>
            <w:tcBorders>
              <w:top w:val="single" w:sz="2" w:space="0" w:color="auto"/>
              <w:left w:val="nil"/>
              <w:bottom w:val="single" w:sz="2" w:space="0" w:color="auto"/>
              <w:right w:val="nil"/>
            </w:tcBorders>
            <w:noWrap/>
            <w:vAlign w:val="center"/>
          </w:tcPr>
          <w:p w14:paraId="45F11C17" w14:textId="77777777" w:rsidR="00F53939" w:rsidRPr="00D7660C" w:rsidRDefault="00F53939" w:rsidP="00A50D03">
            <w:pPr>
              <w:jc w:val="right"/>
              <w:rPr>
                <w:rFonts w:asciiTheme="minorHAnsi" w:hAnsiTheme="minorHAnsi" w:cstheme="minorHAnsi"/>
                <w:sz w:val="20"/>
                <w:szCs w:val="20"/>
              </w:rPr>
            </w:pPr>
            <w:r w:rsidRPr="000138C5">
              <w:rPr>
                <w:rFonts w:asciiTheme="minorHAnsi" w:hAnsiTheme="minorHAnsi" w:cstheme="minorHAnsi"/>
                <w:sz w:val="20"/>
                <w:szCs w:val="20"/>
              </w:rPr>
              <w:t>(46.1)</w:t>
            </w:r>
          </w:p>
        </w:tc>
      </w:tr>
    </w:tbl>
    <w:p w14:paraId="28E742FF" w14:textId="77777777" w:rsidR="00F53939" w:rsidRDefault="00F53939" w:rsidP="00F53939">
      <w:pPr>
        <w:jc w:val="both"/>
        <w:rPr>
          <w:rFonts w:asciiTheme="minorHAnsi" w:eastAsiaTheme="minorEastAsia" w:hAnsiTheme="minorHAnsi" w:cstheme="minorBidi"/>
          <w:b/>
          <w:bCs/>
          <w:color w:val="4747FF"/>
          <w:sz w:val="22"/>
          <w:szCs w:val="22"/>
          <w:lang w:eastAsia="en-US"/>
        </w:rPr>
      </w:pPr>
    </w:p>
    <w:p w14:paraId="4C2C6849" w14:textId="77777777" w:rsidR="005C7B9D" w:rsidRDefault="005C7B9D" w:rsidP="00F53939">
      <w:pPr>
        <w:jc w:val="both"/>
        <w:rPr>
          <w:rFonts w:asciiTheme="minorHAnsi" w:eastAsiaTheme="minorEastAsia" w:hAnsiTheme="minorHAnsi" w:cstheme="minorBidi"/>
          <w:b/>
          <w:bCs/>
          <w:color w:val="4747FF"/>
          <w:sz w:val="22"/>
          <w:szCs w:val="22"/>
          <w:lang w:eastAsia="en-US"/>
        </w:rPr>
      </w:pPr>
    </w:p>
    <w:p w14:paraId="7DE293F3" w14:textId="7CB523D4" w:rsidR="00F53939" w:rsidRDefault="00F53939" w:rsidP="00F53939">
      <w:pPr>
        <w:jc w:val="both"/>
        <w:rPr>
          <w:rFonts w:asciiTheme="minorHAnsi" w:eastAsiaTheme="minorEastAsia" w:hAnsiTheme="minorHAnsi" w:cstheme="minorBidi"/>
          <w:b/>
          <w:bCs/>
          <w:color w:val="4747FF"/>
          <w:sz w:val="22"/>
          <w:szCs w:val="22"/>
          <w:lang w:eastAsia="en-US"/>
        </w:rPr>
      </w:pPr>
      <w:r w:rsidRPr="00020B25">
        <w:rPr>
          <w:rFonts w:asciiTheme="minorHAnsi" w:eastAsiaTheme="minorEastAsia" w:hAnsiTheme="minorHAnsi" w:cstheme="minorBidi"/>
          <w:b/>
          <w:bCs/>
          <w:color w:val="4747FF"/>
          <w:sz w:val="22"/>
          <w:szCs w:val="22"/>
          <w:lang w:eastAsia="en-US"/>
        </w:rPr>
        <w:t xml:space="preserve">Credit </w:t>
      </w:r>
      <w:r>
        <w:rPr>
          <w:rFonts w:asciiTheme="minorHAnsi" w:eastAsiaTheme="minorEastAsia" w:hAnsiTheme="minorHAnsi" w:cstheme="minorBidi"/>
          <w:b/>
          <w:bCs/>
          <w:color w:val="4747FF"/>
          <w:sz w:val="22"/>
          <w:szCs w:val="22"/>
          <w:lang w:eastAsia="en-US"/>
        </w:rPr>
        <w:t>C</w:t>
      </w:r>
      <w:r w:rsidRPr="00020B25">
        <w:rPr>
          <w:rFonts w:asciiTheme="minorHAnsi" w:eastAsiaTheme="minorEastAsia" w:hAnsiTheme="minorHAnsi" w:cstheme="minorBidi"/>
          <w:b/>
          <w:bCs/>
          <w:color w:val="4747FF"/>
          <w:sz w:val="22"/>
          <w:szCs w:val="22"/>
          <w:lang w:eastAsia="en-US"/>
        </w:rPr>
        <w:t xml:space="preserve">ards </w:t>
      </w:r>
      <w:r>
        <w:rPr>
          <w:rFonts w:asciiTheme="minorHAnsi" w:eastAsiaTheme="minorEastAsia" w:hAnsiTheme="minorHAnsi" w:cstheme="minorBidi"/>
          <w:b/>
          <w:bCs/>
          <w:color w:val="4747FF"/>
          <w:sz w:val="22"/>
          <w:szCs w:val="22"/>
          <w:lang w:eastAsia="en-US"/>
        </w:rPr>
        <w:t>–</w:t>
      </w:r>
      <w:r w:rsidRPr="00020B25">
        <w:rPr>
          <w:rFonts w:asciiTheme="minorHAnsi" w:eastAsiaTheme="minorEastAsia" w:hAnsiTheme="minorHAnsi" w:cstheme="minorBidi"/>
          <w:b/>
          <w:bCs/>
          <w:color w:val="4747FF"/>
          <w:sz w:val="22"/>
          <w:szCs w:val="22"/>
          <w:lang w:eastAsia="en-US"/>
        </w:rPr>
        <w:t xml:space="preserve"> </w:t>
      </w:r>
      <w:r w:rsidRPr="00451A32">
        <w:rPr>
          <w:rFonts w:asciiTheme="minorHAnsi" w:eastAsiaTheme="minorEastAsia" w:hAnsiTheme="minorHAnsi" w:cstheme="minorBidi"/>
          <w:b/>
          <w:bCs/>
          <w:color w:val="4747FF"/>
          <w:sz w:val="22"/>
          <w:szCs w:val="22"/>
          <w:lang w:eastAsia="en-US"/>
        </w:rPr>
        <w:t>Returned to balance growth in 2Q25, while adopting a risk-based pricing approach</w:t>
      </w:r>
    </w:p>
    <w:p w14:paraId="45DBF5FE" w14:textId="77777777" w:rsidR="00F53939" w:rsidRDefault="00F53939" w:rsidP="00F53939">
      <w:pPr>
        <w:jc w:val="both"/>
        <w:rPr>
          <w:rFonts w:asciiTheme="minorHAnsi" w:eastAsiaTheme="minorEastAsia" w:hAnsiTheme="minorHAnsi" w:cstheme="minorBidi"/>
          <w:b/>
          <w:bCs/>
          <w:color w:val="4747FF"/>
          <w:sz w:val="22"/>
          <w:szCs w:val="22"/>
          <w:lang w:eastAsia="en-US"/>
        </w:rPr>
      </w:pPr>
    </w:p>
    <w:tbl>
      <w:tblPr>
        <w:tblW w:w="5000" w:type="pct"/>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460"/>
        <w:gridCol w:w="927"/>
        <w:gridCol w:w="1134"/>
        <w:gridCol w:w="1136"/>
        <w:gridCol w:w="1033"/>
        <w:gridCol w:w="1033"/>
      </w:tblGrid>
      <w:tr w:rsidR="00BC3CC5" w:rsidRPr="005E46B1" w14:paraId="3546CBC6" w14:textId="77777777" w:rsidTr="00DA775C">
        <w:trPr>
          <w:trHeight w:val="390"/>
        </w:trPr>
        <w:tc>
          <w:tcPr>
            <w:tcW w:w="2294" w:type="pct"/>
            <w:tcBorders>
              <w:top w:val="nil"/>
              <w:left w:val="nil"/>
              <w:bottom w:val="single" w:sz="4" w:space="0" w:color="auto"/>
              <w:right w:val="nil"/>
            </w:tcBorders>
            <w:tcMar>
              <w:top w:w="60" w:type="dxa"/>
              <w:bottom w:w="60" w:type="dxa"/>
            </w:tcMar>
            <w:vAlign w:val="bottom"/>
          </w:tcPr>
          <w:p w14:paraId="18EE1374" w14:textId="77777777" w:rsidR="00F53939" w:rsidRPr="00320CA7" w:rsidRDefault="00F53939" w:rsidP="00A50D03">
            <w:pPr>
              <w:rPr>
                <w:rFonts w:asciiTheme="minorHAnsi" w:hAnsiTheme="minorHAnsi" w:cstheme="minorHAnsi"/>
                <w:b/>
                <w:bCs/>
                <w:sz w:val="20"/>
                <w:szCs w:val="20"/>
              </w:rPr>
            </w:pPr>
            <w:r w:rsidRPr="00320CA7">
              <w:rPr>
                <w:rFonts w:asciiTheme="minorHAnsi" w:eastAsia="Poppins" w:hAnsiTheme="minorHAnsi" w:cstheme="minorHAnsi"/>
                <w:b/>
                <w:bCs/>
                <w:sz w:val="20"/>
                <w:szCs w:val="20"/>
              </w:rPr>
              <w:t>Six months ended (£m)</w:t>
            </w:r>
          </w:p>
        </w:tc>
        <w:tc>
          <w:tcPr>
            <w:tcW w:w="477" w:type="pct"/>
            <w:tcBorders>
              <w:top w:val="nil"/>
              <w:left w:val="nil"/>
              <w:bottom w:val="single" w:sz="4" w:space="0" w:color="auto"/>
              <w:right w:val="nil"/>
            </w:tcBorders>
            <w:shd w:val="clear" w:color="auto" w:fill="F2F2F2" w:themeFill="background1" w:themeFillShade="F2"/>
            <w:vAlign w:val="center"/>
          </w:tcPr>
          <w:p w14:paraId="006D198B" w14:textId="77777777" w:rsidR="00F53939" w:rsidRPr="00320CA7" w:rsidRDefault="00F53939" w:rsidP="00A50D03">
            <w:pPr>
              <w:ind w:right="115"/>
              <w:jc w:val="right"/>
              <w:rPr>
                <w:rFonts w:asciiTheme="minorHAnsi" w:eastAsia="Poppins" w:hAnsiTheme="minorHAnsi" w:cstheme="minorHAnsi"/>
                <w:sz w:val="20"/>
                <w:szCs w:val="20"/>
              </w:rPr>
            </w:pPr>
            <w:r w:rsidRPr="00320CA7">
              <w:rPr>
                <w:rFonts w:asciiTheme="minorHAnsi" w:eastAsia="Inter Medium" w:hAnsiTheme="minorHAnsi" w:cstheme="minorHAnsi"/>
                <w:b/>
                <w:kern w:val="24"/>
                <w:sz w:val="20"/>
                <w:szCs w:val="20"/>
              </w:rPr>
              <w:t>Jun-2</w:t>
            </w:r>
            <w:r>
              <w:rPr>
                <w:rFonts w:asciiTheme="minorHAnsi" w:eastAsia="Inter Medium" w:hAnsiTheme="minorHAnsi" w:cstheme="minorHAnsi"/>
                <w:b/>
                <w:kern w:val="24"/>
                <w:sz w:val="20"/>
                <w:szCs w:val="20"/>
              </w:rPr>
              <w:t>5</w:t>
            </w:r>
          </w:p>
        </w:tc>
        <w:tc>
          <w:tcPr>
            <w:tcW w:w="583" w:type="pct"/>
            <w:tcBorders>
              <w:top w:val="nil"/>
              <w:left w:val="nil"/>
              <w:bottom w:val="single" w:sz="4" w:space="0" w:color="auto"/>
              <w:right w:val="nil"/>
            </w:tcBorders>
            <w:vAlign w:val="center"/>
          </w:tcPr>
          <w:p w14:paraId="74799926" w14:textId="77777777" w:rsidR="00F53939" w:rsidRDefault="00F53939" w:rsidP="00A50D03">
            <w:pPr>
              <w:jc w:val="right"/>
              <w:rPr>
                <w:rFonts w:asciiTheme="minorHAnsi" w:hAnsiTheme="minorHAnsi" w:cstheme="minorHAnsi"/>
                <w:kern w:val="24"/>
                <w:sz w:val="20"/>
                <w:szCs w:val="20"/>
              </w:rPr>
            </w:pPr>
            <w:r w:rsidRPr="00320CA7">
              <w:rPr>
                <w:rFonts w:asciiTheme="minorHAnsi" w:hAnsiTheme="minorHAnsi" w:cstheme="minorHAnsi"/>
                <w:kern w:val="24"/>
                <w:sz w:val="20"/>
                <w:szCs w:val="20"/>
              </w:rPr>
              <w:t xml:space="preserve">Dec-24 </w:t>
            </w:r>
          </w:p>
          <w:p w14:paraId="77F534B9" w14:textId="77777777" w:rsidR="00F53939" w:rsidRPr="00320CA7" w:rsidRDefault="00F53939" w:rsidP="00A50D03">
            <w:pPr>
              <w:jc w:val="right"/>
              <w:rPr>
                <w:rFonts w:asciiTheme="minorHAnsi" w:eastAsia="Poppins" w:hAnsiTheme="minorHAnsi" w:cstheme="minorHAnsi"/>
                <w:sz w:val="20"/>
                <w:szCs w:val="20"/>
                <w:vertAlign w:val="superscript"/>
              </w:rPr>
            </w:pPr>
            <w:r w:rsidRPr="00320CA7">
              <w:rPr>
                <w:rFonts w:asciiTheme="minorHAnsi" w:hAnsiTheme="minorHAnsi" w:cstheme="minorHAnsi"/>
                <w:kern w:val="24"/>
                <w:sz w:val="20"/>
                <w:szCs w:val="20"/>
              </w:rPr>
              <w:t>(</w:t>
            </w:r>
            <w:r w:rsidRPr="00EE5ED5">
              <w:rPr>
                <w:rFonts w:asciiTheme="minorHAnsi" w:hAnsiTheme="minorHAnsi" w:cstheme="minorHAnsi"/>
                <w:kern w:val="24"/>
                <w:sz w:val="20"/>
                <w:szCs w:val="20"/>
              </w:rPr>
              <w:t>Re-presented</w:t>
            </w:r>
            <w:r w:rsidRPr="00320CA7">
              <w:rPr>
                <w:rFonts w:asciiTheme="minorHAnsi" w:hAnsiTheme="minorHAnsi" w:cstheme="minorHAnsi"/>
                <w:kern w:val="24"/>
                <w:sz w:val="20"/>
                <w:szCs w:val="20"/>
              </w:rPr>
              <w:t>)</w:t>
            </w:r>
          </w:p>
        </w:tc>
        <w:tc>
          <w:tcPr>
            <w:tcW w:w="584" w:type="pct"/>
            <w:tcBorders>
              <w:top w:val="nil"/>
              <w:left w:val="nil"/>
              <w:bottom w:val="single" w:sz="4" w:space="0" w:color="auto"/>
              <w:right w:val="nil"/>
            </w:tcBorders>
            <w:vAlign w:val="center"/>
          </w:tcPr>
          <w:p w14:paraId="24DB9D55" w14:textId="77777777" w:rsidR="00BC3CC5" w:rsidRDefault="00F53939" w:rsidP="00DA775C">
            <w:pPr>
              <w:jc w:val="right"/>
              <w:rPr>
                <w:rFonts w:asciiTheme="minorHAnsi" w:hAnsiTheme="minorHAnsi" w:cstheme="minorHAnsi"/>
                <w:kern w:val="24"/>
                <w:sz w:val="20"/>
                <w:szCs w:val="20"/>
              </w:rPr>
            </w:pPr>
            <w:r w:rsidRPr="00320CA7">
              <w:rPr>
                <w:rFonts w:asciiTheme="minorHAnsi" w:hAnsiTheme="minorHAnsi" w:cstheme="minorHAnsi"/>
                <w:kern w:val="24"/>
                <w:sz w:val="20"/>
                <w:szCs w:val="20"/>
              </w:rPr>
              <w:t xml:space="preserve">Jun-24 </w:t>
            </w:r>
          </w:p>
          <w:p w14:paraId="14F49492" w14:textId="6A7EFDCD" w:rsidR="00F53939" w:rsidRPr="00320CA7" w:rsidRDefault="00F53939" w:rsidP="00DA775C">
            <w:pPr>
              <w:jc w:val="right"/>
              <w:rPr>
                <w:rFonts w:asciiTheme="minorHAnsi" w:eastAsia="Poppins" w:hAnsiTheme="minorHAnsi" w:cstheme="minorHAnsi"/>
                <w:kern w:val="24"/>
                <w:sz w:val="20"/>
                <w:szCs w:val="20"/>
              </w:rPr>
            </w:pPr>
            <w:r w:rsidRPr="00320CA7">
              <w:rPr>
                <w:rFonts w:asciiTheme="minorHAnsi" w:hAnsiTheme="minorHAnsi" w:cstheme="minorHAnsi"/>
                <w:kern w:val="24"/>
                <w:sz w:val="20"/>
                <w:szCs w:val="20"/>
              </w:rPr>
              <w:t>(</w:t>
            </w:r>
            <w:r w:rsidRPr="00EE5ED5">
              <w:rPr>
                <w:rFonts w:asciiTheme="minorHAnsi" w:hAnsiTheme="minorHAnsi" w:cstheme="minorHAnsi"/>
                <w:kern w:val="24"/>
                <w:sz w:val="20"/>
                <w:szCs w:val="20"/>
              </w:rPr>
              <w:t>Re-presented</w:t>
            </w:r>
            <w:r w:rsidRPr="00320CA7">
              <w:rPr>
                <w:rFonts w:asciiTheme="minorHAnsi" w:hAnsiTheme="minorHAnsi" w:cstheme="minorHAnsi"/>
                <w:kern w:val="24"/>
                <w:sz w:val="20"/>
                <w:szCs w:val="20"/>
              </w:rPr>
              <w:t>)</w:t>
            </w:r>
          </w:p>
        </w:tc>
        <w:tc>
          <w:tcPr>
            <w:tcW w:w="531" w:type="pct"/>
            <w:tcBorders>
              <w:top w:val="nil"/>
              <w:left w:val="nil"/>
              <w:bottom w:val="single" w:sz="4" w:space="0" w:color="auto"/>
              <w:right w:val="nil"/>
            </w:tcBorders>
            <w:vAlign w:val="center"/>
          </w:tcPr>
          <w:p w14:paraId="05F46628" w14:textId="77777777" w:rsidR="00F53939" w:rsidRPr="00320CA7" w:rsidRDefault="00F53939" w:rsidP="00A50D03">
            <w:pPr>
              <w:ind w:right="115"/>
              <w:jc w:val="right"/>
              <w:rPr>
                <w:rFonts w:asciiTheme="minorHAnsi" w:hAnsiTheme="minorHAnsi" w:cstheme="minorHAnsi"/>
                <w:kern w:val="24"/>
                <w:sz w:val="20"/>
                <w:szCs w:val="20"/>
              </w:rPr>
            </w:pPr>
            <w:proofErr w:type="spellStart"/>
            <w:r w:rsidRPr="00320CA7">
              <w:rPr>
                <w:rFonts w:asciiTheme="minorHAnsi" w:hAnsiTheme="minorHAnsi" w:cstheme="minorHAnsi"/>
                <w:kern w:val="24"/>
                <w:sz w:val="20"/>
                <w:szCs w:val="20"/>
              </w:rPr>
              <w:t>HoH</w:t>
            </w:r>
            <w:proofErr w:type="spellEnd"/>
          </w:p>
          <w:p w14:paraId="0BFFBA17" w14:textId="77777777" w:rsidR="00F53939" w:rsidRPr="00320CA7" w:rsidRDefault="00F53939" w:rsidP="00A50D03">
            <w:pPr>
              <w:ind w:right="115"/>
              <w:jc w:val="right"/>
              <w:rPr>
                <w:rFonts w:asciiTheme="minorHAnsi" w:eastAsia="Poppins" w:hAnsiTheme="minorHAnsi" w:cstheme="minorHAnsi"/>
                <w:iCs/>
                <w:sz w:val="20"/>
                <w:szCs w:val="20"/>
              </w:rPr>
            </w:pPr>
            <w:r w:rsidRPr="00320CA7">
              <w:rPr>
                <w:rFonts w:asciiTheme="minorHAnsi" w:eastAsia="Poppins" w:hAnsiTheme="minorHAnsi" w:cstheme="minorHAnsi"/>
                <w:kern w:val="24"/>
                <w:sz w:val="20"/>
                <w:szCs w:val="20"/>
              </w:rPr>
              <w:t>Change</w:t>
            </w:r>
            <w:r w:rsidRPr="00320CA7">
              <w:rPr>
                <w:rFonts w:asciiTheme="minorHAnsi" w:hAnsiTheme="minorHAnsi" w:cstheme="minorHAnsi"/>
                <w:kern w:val="24"/>
                <w:sz w:val="20"/>
                <w:szCs w:val="20"/>
              </w:rPr>
              <w:t xml:space="preserve"> </w:t>
            </w:r>
            <w:r w:rsidRPr="00320CA7">
              <w:rPr>
                <w:rFonts w:asciiTheme="minorHAnsi" w:eastAsia="Inter Light BETA" w:hAnsiTheme="minorHAnsi" w:cstheme="minorHAnsi"/>
                <w:kern w:val="24"/>
                <w:sz w:val="20"/>
                <w:szCs w:val="20"/>
              </w:rPr>
              <w:t>%</w:t>
            </w:r>
          </w:p>
        </w:tc>
        <w:tc>
          <w:tcPr>
            <w:tcW w:w="531" w:type="pct"/>
            <w:tcBorders>
              <w:top w:val="nil"/>
              <w:left w:val="nil"/>
              <w:bottom w:val="single" w:sz="4" w:space="0" w:color="auto"/>
              <w:right w:val="nil"/>
            </w:tcBorders>
            <w:vAlign w:val="center"/>
          </w:tcPr>
          <w:p w14:paraId="6C92C89D" w14:textId="77777777" w:rsidR="00F53939" w:rsidRPr="00320CA7" w:rsidRDefault="00F53939" w:rsidP="00A50D03">
            <w:pPr>
              <w:ind w:right="115"/>
              <w:jc w:val="right"/>
              <w:rPr>
                <w:rFonts w:asciiTheme="minorHAnsi" w:hAnsiTheme="minorHAnsi" w:cstheme="minorHAnsi"/>
                <w:kern w:val="24"/>
                <w:sz w:val="20"/>
                <w:szCs w:val="20"/>
              </w:rPr>
            </w:pPr>
            <w:r w:rsidRPr="00320CA7">
              <w:rPr>
                <w:rFonts w:asciiTheme="minorHAnsi" w:hAnsiTheme="minorHAnsi" w:cstheme="minorHAnsi"/>
                <w:kern w:val="24"/>
                <w:sz w:val="20"/>
                <w:szCs w:val="20"/>
              </w:rPr>
              <w:t>YoY</w:t>
            </w:r>
          </w:p>
          <w:p w14:paraId="56271B15" w14:textId="77777777" w:rsidR="00F53939" w:rsidRPr="00320CA7" w:rsidRDefault="00F53939" w:rsidP="00A50D03">
            <w:pPr>
              <w:ind w:right="115"/>
              <w:jc w:val="right"/>
              <w:rPr>
                <w:rFonts w:asciiTheme="minorHAnsi" w:eastAsia="Poppins" w:hAnsiTheme="minorHAnsi" w:cstheme="minorHAnsi"/>
                <w:kern w:val="24"/>
                <w:sz w:val="20"/>
                <w:szCs w:val="20"/>
              </w:rPr>
            </w:pPr>
            <w:r w:rsidRPr="00320CA7">
              <w:rPr>
                <w:rFonts w:asciiTheme="minorHAnsi" w:hAnsiTheme="minorHAnsi" w:cstheme="minorHAnsi"/>
                <w:kern w:val="24"/>
                <w:sz w:val="20"/>
                <w:szCs w:val="20"/>
              </w:rPr>
              <w:t xml:space="preserve">Change </w:t>
            </w:r>
            <w:r w:rsidRPr="00320CA7">
              <w:rPr>
                <w:rFonts w:asciiTheme="minorHAnsi" w:eastAsia="Inter Light BETA" w:hAnsiTheme="minorHAnsi" w:cstheme="minorHAnsi"/>
                <w:kern w:val="24"/>
                <w:sz w:val="20"/>
                <w:szCs w:val="20"/>
              </w:rPr>
              <w:t>%</w:t>
            </w:r>
          </w:p>
        </w:tc>
      </w:tr>
      <w:tr w:rsidR="00BC3CC5" w:rsidRPr="005E46B1" w14:paraId="7EE58B41" w14:textId="77777777" w:rsidTr="00DA775C">
        <w:trPr>
          <w:trHeight w:val="240"/>
        </w:trPr>
        <w:tc>
          <w:tcPr>
            <w:tcW w:w="2294" w:type="pct"/>
            <w:tcBorders>
              <w:top w:val="single" w:sz="4" w:space="0" w:color="auto"/>
              <w:left w:val="nil"/>
              <w:bottom w:val="single" w:sz="4" w:space="0" w:color="FFFFFF"/>
              <w:right w:val="nil"/>
            </w:tcBorders>
            <w:vAlign w:val="center"/>
          </w:tcPr>
          <w:p w14:paraId="780427EB" w14:textId="7777777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lastRenderedPageBreak/>
              <w:t>Total customer numbers (‘000)</w:t>
            </w:r>
          </w:p>
        </w:tc>
        <w:tc>
          <w:tcPr>
            <w:tcW w:w="477" w:type="pct"/>
            <w:tcBorders>
              <w:top w:val="single" w:sz="4" w:space="0" w:color="auto"/>
              <w:left w:val="nil"/>
              <w:bottom w:val="nil"/>
              <w:right w:val="nil"/>
            </w:tcBorders>
            <w:shd w:val="clear" w:color="auto" w:fill="F2F2F2" w:themeFill="background1" w:themeFillShade="F2"/>
          </w:tcPr>
          <w:p w14:paraId="527C5D07"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1,290</w:t>
            </w:r>
          </w:p>
        </w:tc>
        <w:tc>
          <w:tcPr>
            <w:tcW w:w="583" w:type="pct"/>
            <w:tcBorders>
              <w:top w:val="single" w:sz="4" w:space="0" w:color="auto"/>
              <w:left w:val="nil"/>
              <w:bottom w:val="single" w:sz="4" w:space="0" w:color="FFFFFF"/>
              <w:right w:val="nil"/>
            </w:tcBorders>
          </w:tcPr>
          <w:p w14:paraId="0809BCB9" w14:textId="77777777" w:rsidR="00F53939" w:rsidRPr="00755A85" w:rsidRDefault="00F53939" w:rsidP="00A50D03">
            <w:pPr>
              <w:jc w:val="right"/>
              <w:rPr>
                <w:rFonts w:asciiTheme="minorHAnsi" w:hAnsiTheme="minorHAnsi" w:cstheme="minorHAnsi"/>
                <w:sz w:val="20"/>
                <w:szCs w:val="20"/>
              </w:rPr>
            </w:pPr>
            <w:r w:rsidRPr="00755A85">
              <w:rPr>
                <w:rFonts w:asciiTheme="minorHAnsi" w:hAnsiTheme="minorHAnsi" w:cstheme="minorHAnsi"/>
                <w:sz w:val="20"/>
                <w:szCs w:val="20"/>
              </w:rPr>
              <w:t>1,267</w:t>
            </w:r>
          </w:p>
        </w:tc>
        <w:tc>
          <w:tcPr>
            <w:tcW w:w="584" w:type="pct"/>
            <w:tcBorders>
              <w:top w:val="single" w:sz="4" w:space="0" w:color="auto"/>
              <w:left w:val="nil"/>
              <w:bottom w:val="single" w:sz="4" w:space="0" w:color="FFFFFF"/>
              <w:right w:val="nil"/>
            </w:tcBorders>
          </w:tcPr>
          <w:p w14:paraId="7899BD40" w14:textId="77777777" w:rsidR="00F53939" w:rsidRPr="00755A85" w:rsidRDefault="00F53939" w:rsidP="00A50D03">
            <w:pPr>
              <w:jc w:val="right"/>
              <w:rPr>
                <w:rFonts w:asciiTheme="minorHAnsi" w:hAnsiTheme="minorHAnsi" w:cstheme="minorHAnsi"/>
                <w:iCs/>
                <w:sz w:val="20"/>
                <w:szCs w:val="20"/>
              </w:rPr>
            </w:pPr>
            <w:r w:rsidRPr="00755A85">
              <w:rPr>
                <w:rFonts w:asciiTheme="minorHAnsi" w:hAnsiTheme="minorHAnsi" w:cstheme="minorHAnsi"/>
                <w:sz w:val="20"/>
                <w:szCs w:val="20"/>
              </w:rPr>
              <w:t>1,321</w:t>
            </w:r>
          </w:p>
        </w:tc>
        <w:tc>
          <w:tcPr>
            <w:tcW w:w="531" w:type="pct"/>
            <w:tcBorders>
              <w:top w:val="single" w:sz="4" w:space="0" w:color="auto"/>
              <w:left w:val="nil"/>
              <w:bottom w:val="single" w:sz="4" w:space="0" w:color="FFFFFF"/>
              <w:right w:val="nil"/>
            </w:tcBorders>
          </w:tcPr>
          <w:p w14:paraId="3CFE3B5C"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w:t>
            </w:r>
          </w:p>
        </w:tc>
        <w:tc>
          <w:tcPr>
            <w:tcW w:w="531" w:type="pct"/>
            <w:tcBorders>
              <w:top w:val="single" w:sz="4" w:space="0" w:color="auto"/>
              <w:left w:val="nil"/>
              <w:bottom w:val="single" w:sz="4" w:space="0" w:color="FFFFFF"/>
              <w:right w:val="nil"/>
            </w:tcBorders>
          </w:tcPr>
          <w:p w14:paraId="0037FCB0"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w:t>
            </w:r>
          </w:p>
        </w:tc>
      </w:tr>
      <w:tr w:rsidR="00BC3CC5" w:rsidRPr="005E46B1" w14:paraId="0397B3BC" w14:textId="77777777" w:rsidTr="00DA775C">
        <w:trPr>
          <w:trHeight w:val="240"/>
        </w:trPr>
        <w:tc>
          <w:tcPr>
            <w:tcW w:w="2294" w:type="pct"/>
            <w:tcBorders>
              <w:top w:val="single" w:sz="4" w:space="0" w:color="FFFFFF"/>
              <w:left w:val="nil"/>
              <w:bottom w:val="single" w:sz="4" w:space="0" w:color="FFFFFF"/>
              <w:right w:val="nil"/>
            </w:tcBorders>
            <w:vAlign w:val="center"/>
          </w:tcPr>
          <w:p w14:paraId="471C39F8" w14:textId="2254C35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Gross customer interest</w:t>
            </w:r>
            <w:r w:rsidR="00935C2C">
              <w:rPr>
                <w:rFonts w:asciiTheme="minorHAnsi" w:eastAsia="Poppins" w:hAnsiTheme="minorHAnsi" w:cstheme="minorHAnsi"/>
                <w:sz w:val="20"/>
                <w:szCs w:val="20"/>
              </w:rPr>
              <w:t>-</w:t>
            </w:r>
            <w:r w:rsidRPr="00320CA7">
              <w:rPr>
                <w:rFonts w:asciiTheme="minorHAnsi" w:eastAsia="Poppins" w:hAnsiTheme="minorHAnsi" w:cstheme="minorHAnsi"/>
                <w:sz w:val="20"/>
                <w:szCs w:val="20"/>
              </w:rPr>
              <w:t>earning balances</w:t>
            </w:r>
          </w:p>
        </w:tc>
        <w:tc>
          <w:tcPr>
            <w:tcW w:w="477" w:type="pct"/>
            <w:tcBorders>
              <w:top w:val="nil"/>
              <w:left w:val="nil"/>
              <w:bottom w:val="nil"/>
              <w:right w:val="nil"/>
            </w:tcBorders>
            <w:shd w:val="clear" w:color="auto" w:fill="F2F2F2" w:themeFill="background1" w:themeFillShade="F2"/>
          </w:tcPr>
          <w:p w14:paraId="20E8C2FA"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1,355</w:t>
            </w:r>
          </w:p>
        </w:tc>
        <w:tc>
          <w:tcPr>
            <w:tcW w:w="583" w:type="pct"/>
            <w:tcBorders>
              <w:top w:val="single" w:sz="4" w:space="0" w:color="FFFFFF"/>
              <w:left w:val="nil"/>
              <w:bottom w:val="single" w:sz="4" w:space="0" w:color="FFFFFF"/>
              <w:right w:val="nil"/>
            </w:tcBorders>
          </w:tcPr>
          <w:p w14:paraId="1C8CA92B" w14:textId="77777777" w:rsidR="00F53939" w:rsidRPr="00755A85" w:rsidRDefault="00F53939" w:rsidP="00A50D03">
            <w:pPr>
              <w:jc w:val="right"/>
              <w:rPr>
                <w:rFonts w:asciiTheme="minorHAnsi" w:hAnsiTheme="minorHAnsi" w:cstheme="minorHAnsi"/>
                <w:sz w:val="20"/>
                <w:szCs w:val="20"/>
              </w:rPr>
            </w:pPr>
            <w:r w:rsidRPr="00755A85">
              <w:rPr>
                <w:rFonts w:asciiTheme="minorHAnsi" w:hAnsiTheme="minorHAnsi" w:cstheme="minorHAnsi"/>
                <w:sz w:val="20"/>
                <w:szCs w:val="20"/>
              </w:rPr>
              <w:t>1,278</w:t>
            </w:r>
          </w:p>
        </w:tc>
        <w:tc>
          <w:tcPr>
            <w:tcW w:w="584" w:type="pct"/>
            <w:tcBorders>
              <w:top w:val="single" w:sz="4" w:space="0" w:color="FFFFFF"/>
              <w:left w:val="nil"/>
              <w:bottom w:val="single" w:sz="4" w:space="0" w:color="FFFFFF"/>
              <w:right w:val="nil"/>
            </w:tcBorders>
          </w:tcPr>
          <w:p w14:paraId="5B42A0E0" w14:textId="77777777" w:rsidR="00F53939" w:rsidRPr="00755A85" w:rsidRDefault="00F53939" w:rsidP="00A50D03">
            <w:pPr>
              <w:jc w:val="right"/>
              <w:rPr>
                <w:rFonts w:asciiTheme="minorHAnsi" w:hAnsiTheme="minorHAnsi" w:cstheme="minorHAnsi"/>
                <w:iCs/>
                <w:sz w:val="20"/>
                <w:szCs w:val="20"/>
              </w:rPr>
            </w:pPr>
            <w:r w:rsidRPr="00755A85">
              <w:rPr>
                <w:rFonts w:asciiTheme="minorHAnsi" w:hAnsiTheme="minorHAnsi" w:cstheme="minorHAnsi"/>
                <w:sz w:val="20"/>
                <w:szCs w:val="20"/>
              </w:rPr>
              <w:t>1,295</w:t>
            </w:r>
          </w:p>
        </w:tc>
        <w:tc>
          <w:tcPr>
            <w:tcW w:w="531" w:type="pct"/>
            <w:tcBorders>
              <w:top w:val="single" w:sz="4" w:space="0" w:color="FFFFFF"/>
              <w:left w:val="nil"/>
              <w:bottom w:val="single" w:sz="4" w:space="0" w:color="FFFFFF"/>
              <w:right w:val="nil"/>
            </w:tcBorders>
          </w:tcPr>
          <w:p w14:paraId="26228B7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6</w:t>
            </w:r>
          </w:p>
        </w:tc>
        <w:tc>
          <w:tcPr>
            <w:tcW w:w="531" w:type="pct"/>
            <w:tcBorders>
              <w:top w:val="single" w:sz="4" w:space="0" w:color="FFFFFF"/>
              <w:left w:val="nil"/>
              <w:bottom w:val="single" w:sz="4" w:space="0" w:color="FFFFFF"/>
              <w:right w:val="nil"/>
            </w:tcBorders>
          </w:tcPr>
          <w:p w14:paraId="164C2E44"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w:t>
            </w:r>
          </w:p>
        </w:tc>
      </w:tr>
      <w:tr w:rsidR="00BC3CC5" w:rsidRPr="005E46B1" w14:paraId="48A3DE7A" w14:textId="77777777" w:rsidTr="00DA775C">
        <w:trPr>
          <w:trHeight w:val="230"/>
        </w:trPr>
        <w:tc>
          <w:tcPr>
            <w:tcW w:w="2294" w:type="pct"/>
            <w:tcBorders>
              <w:top w:val="single" w:sz="4" w:space="0" w:color="FFFFFF"/>
              <w:left w:val="nil"/>
              <w:bottom w:val="single" w:sz="4" w:space="0" w:color="FFFFFF"/>
              <w:right w:val="nil"/>
            </w:tcBorders>
            <w:vAlign w:val="center"/>
          </w:tcPr>
          <w:p w14:paraId="6DD6DC48" w14:textId="4CB0A7A5"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Average gross customer interest</w:t>
            </w:r>
            <w:r w:rsidR="00935C2C">
              <w:rPr>
                <w:rFonts w:asciiTheme="minorHAnsi" w:eastAsia="Poppins" w:hAnsiTheme="minorHAnsi" w:cstheme="minorHAnsi"/>
                <w:sz w:val="20"/>
                <w:szCs w:val="20"/>
              </w:rPr>
              <w:t>-</w:t>
            </w:r>
            <w:r w:rsidRPr="00320CA7">
              <w:rPr>
                <w:rFonts w:asciiTheme="minorHAnsi" w:eastAsia="Poppins" w:hAnsiTheme="minorHAnsi" w:cstheme="minorHAnsi"/>
                <w:sz w:val="20"/>
                <w:szCs w:val="20"/>
              </w:rPr>
              <w:t>earning balances</w:t>
            </w:r>
            <w:r w:rsidRPr="00320CA7">
              <w:rPr>
                <w:rFonts w:asciiTheme="minorHAnsi" w:eastAsia="Poppins" w:hAnsiTheme="minorHAnsi" w:cstheme="minorHAnsi"/>
                <w:sz w:val="20"/>
                <w:szCs w:val="20"/>
                <w:vertAlign w:val="superscript"/>
              </w:rPr>
              <w:t xml:space="preserve">1 </w:t>
            </w:r>
          </w:p>
        </w:tc>
        <w:tc>
          <w:tcPr>
            <w:tcW w:w="477" w:type="pct"/>
            <w:tcBorders>
              <w:top w:val="nil"/>
              <w:left w:val="nil"/>
              <w:bottom w:val="nil"/>
              <w:right w:val="nil"/>
            </w:tcBorders>
            <w:shd w:val="clear" w:color="auto" w:fill="F2F2F2" w:themeFill="background1" w:themeFillShade="F2"/>
          </w:tcPr>
          <w:p w14:paraId="66CD9DB5"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1,296</w:t>
            </w:r>
          </w:p>
        </w:tc>
        <w:tc>
          <w:tcPr>
            <w:tcW w:w="583" w:type="pct"/>
            <w:tcBorders>
              <w:top w:val="single" w:sz="4" w:space="0" w:color="FFFFFF"/>
              <w:left w:val="nil"/>
              <w:bottom w:val="single" w:sz="4" w:space="0" w:color="FFFFFF"/>
              <w:right w:val="nil"/>
            </w:tcBorders>
          </w:tcPr>
          <w:p w14:paraId="792803CA" w14:textId="77777777" w:rsidR="00F53939" w:rsidRPr="00755A85" w:rsidRDefault="00F53939" w:rsidP="00A50D03">
            <w:pPr>
              <w:jc w:val="right"/>
              <w:rPr>
                <w:rFonts w:asciiTheme="minorHAnsi" w:hAnsiTheme="minorHAnsi" w:cstheme="minorHAnsi"/>
                <w:sz w:val="20"/>
                <w:szCs w:val="20"/>
              </w:rPr>
            </w:pPr>
            <w:r w:rsidRPr="00755A85">
              <w:rPr>
                <w:rFonts w:asciiTheme="minorHAnsi" w:hAnsiTheme="minorHAnsi" w:cstheme="minorHAnsi"/>
                <w:sz w:val="20"/>
                <w:szCs w:val="20"/>
              </w:rPr>
              <w:t>1,284</w:t>
            </w:r>
          </w:p>
        </w:tc>
        <w:tc>
          <w:tcPr>
            <w:tcW w:w="584" w:type="pct"/>
            <w:tcBorders>
              <w:top w:val="single" w:sz="4" w:space="0" w:color="FFFFFF"/>
              <w:left w:val="nil"/>
              <w:bottom w:val="single" w:sz="4" w:space="0" w:color="FFFFFF"/>
              <w:right w:val="nil"/>
            </w:tcBorders>
          </w:tcPr>
          <w:p w14:paraId="0F2650D3" w14:textId="77777777" w:rsidR="00F53939" w:rsidRPr="00755A85" w:rsidRDefault="00F53939" w:rsidP="00A50D03">
            <w:pPr>
              <w:jc w:val="right"/>
              <w:rPr>
                <w:rFonts w:asciiTheme="minorHAnsi" w:hAnsiTheme="minorHAnsi" w:cstheme="minorHAnsi"/>
                <w:iCs/>
                <w:sz w:val="20"/>
                <w:szCs w:val="20"/>
              </w:rPr>
            </w:pPr>
            <w:r w:rsidRPr="00755A85">
              <w:rPr>
                <w:rFonts w:asciiTheme="minorHAnsi" w:hAnsiTheme="minorHAnsi" w:cstheme="minorHAnsi"/>
                <w:sz w:val="20"/>
                <w:szCs w:val="20"/>
              </w:rPr>
              <w:t>1,339</w:t>
            </w:r>
          </w:p>
        </w:tc>
        <w:tc>
          <w:tcPr>
            <w:tcW w:w="531" w:type="pct"/>
            <w:tcBorders>
              <w:top w:val="single" w:sz="4" w:space="0" w:color="FFFFFF"/>
              <w:left w:val="nil"/>
              <w:bottom w:val="single" w:sz="4" w:space="0" w:color="FFFFFF"/>
              <w:right w:val="nil"/>
            </w:tcBorders>
          </w:tcPr>
          <w:p w14:paraId="4BF76C9E"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w:t>
            </w:r>
          </w:p>
        </w:tc>
        <w:tc>
          <w:tcPr>
            <w:tcW w:w="531" w:type="pct"/>
            <w:tcBorders>
              <w:top w:val="single" w:sz="4" w:space="0" w:color="FFFFFF"/>
              <w:left w:val="nil"/>
              <w:bottom w:val="single" w:sz="4" w:space="0" w:color="FFFFFF"/>
              <w:right w:val="nil"/>
            </w:tcBorders>
          </w:tcPr>
          <w:p w14:paraId="6E0ECB8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(3)</w:t>
            </w:r>
          </w:p>
        </w:tc>
      </w:tr>
      <w:tr w:rsidR="00BC3CC5" w:rsidRPr="005E46B1" w14:paraId="452D3D48" w14:textId="77777777" w:rsidTr="00DA775C">
        <w:trPr>
          <w:trHeight w:val="240"/>
        </w:trPr>
        <w:tc>
          <w:tcPr>
            <w:tcW w:w="2294" w:type="pct"/>
            <w:tcBorders>
              <w:top w:val="single" w:sz="4" w:space="0" w:color="FFFFFF"/>
              <w:left w:val="nil"/>
              <w:bottom w:val="nil"/>
              <w:right w:val="nil"/>
            </w:tcBorders>
            <w:vAlign w:val="center"/>
          </w:tcPr>
          <w:p w14:paraId="519ACAB5" w14:textId="7777777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Gross receivables</w:t>
            </w:r>
          </w:p>
        </w:tc>
        <w:tc>
          <w:tcPr>
            <w:tcW w:w="477" w:type="pct"/>
            <w:tcBorders>
              <w:top w:val="nil"/>
              <w:left w:val="nil"/>
              <w:bottom w:val="nil"/>
              <w:right w:val="nil"/>
            </w:tcBorders>
            <w:shd w:val="clear" w:color="auto" w:fill="F2F2F2" w:themeFill="background1" w:themeFillShade="F2"/>
          </w:tcPr>
          <w:p w14:paraId="3A5F5A2C"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1,390</w:t>
            </w:r>
          </w:p>
        </w:tc>
        <w:tc>
          <w:tcPr>
            <w:tcW w:w="583" w:type="pct"/>
            <w:tcBorders>
              <w:top w:val="single" w:sz="4" w:space="0" w:color="FFFFFF"/>
              <w:left w:val="nil"/>
              <w:bottom w:val="nil"/>
              <w:right w:val="nil"/>
            </w:tcBorders>
          </w:tcPr>
          <w:p w14:paraId="77130A58" w14:textId="77777777" w:rsidR="00F53939" w:rsidRPr="00755A85" w:rsidRDefault="00F53939" w:rsidP="00A50D03">
            <w:pPr>
              <w:jc w:val="right"/>
              <w:rPr>
                <w:rFonts w:asciiTheme="minorHAnsi" w:hAnsiTheme="minorHAnsi" w:cstheme="minorHAnsi"/>
                <w:sz w:val="20"/>
                <w:szCs w:val="20"/>
              </w:rPr>
            </w:pPr>
            <w:r w:rsidRPr="00755A85">
              <w:rPr>
                <w:rFonts w:asciiTheme="minorHAnsi" w:hAnsiTheme="minorHAnsi" w:cstheme="minorHAnsi"/>
                <w:sz w:val="20"/>
                <w:szCs w:val="20"/>
              </w:rPr>
              <w:t>1,310</w:t>
            </w:r>
          </w:p>
        </w:tc>
        <w:tc>
          <w:tcPr>
            <w:tcW w:w="584" w:type="pct"/>
            <w:tcBorders>
              <w:top w:val="single" w:sz="4" w:space="0" w:color="FFFFFF"/>
              <w:left w:val="nil"/>
              <w:bottom w:val="nil"/>
              <w:right w:val="nil"/>
            </w:tcBorders>
          </w:tcPr>
          <w:p w14:paraId="3080D34C" w14:textId="77777777" w:rsidR="00F53939" w:rsidRPr="00755A85" w:rsidRDefault="00F53939" w:rsidP="00A50D03">
            <w:pPr>
              <w:jc w:val="right"/>
              <w:rPr>
                <w:rFonts w:asciiTheme="minorHAnsi" w:hAnsiTheme="minorHAnsi" w:cstheme="minorHAnsi"/>
                <w:iCs/>
                <w:sz w:val="20"/>
                <w:szCs w:val="20"/>
              </w:rPr>
            </w:pPr>
            <w:r w:rsidRPr="00755A85">
              <w:rPr>
                <w:rFonts w:asciiTheme="minorHAnsi" w:hAnsiTheme="minorHAnsi" w:cstheme="minorHAnsi"/>
                <w:sz w:val="20"/>
                <w:szCs w:val="20"/>
              </w:rPr>
              <w:t>1,331</w:t>
            </w:r>
          </w:p>
        </w:tc>
        <w:tc>
          <w:tcPr>
            <w:tcW w:w="531" w:type="pct"/>
            <w:tcBorders>
              <w:top w:val="single" w:sz="4" w:space="0" w:color="FFFFFF"/>
              <w:left w:val="nil"/>
              <w:bottom w:val="nil"/>
              <w:right w:val="nil"/>
            </w:tcBorders>
          </w:tcPr>
          <w:p w14:paraId="5936D1D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6</w:t>
            </w:r>
          </w:p>
        </w:tc>
        <w:tc>
          <w:tcPr>
            <w:tcW w:w="531" w:type="pct"/>
            <w:tcBorders>
              <w:top w:val="single" w:sz="4" w:space="0" w:color="FFFFFF"/>
              <w:left w:val="nil"/>
              <w:bottom w:val="nil"/>
              <w:right w:val="nil"/>
            </w:tcBorders>
          </w:tcPr>
          <w:p w14:paraId="271E0186"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w:t>
            </w:r>
          </w:p>
        </w:tc>
      </w:tr>
      <w:tr w:rsidR="00BC3CC5" w:rsidRPr="005E46B1" w14:paraId="6173EA4B" w14:textId="77777777" w:rsidTr="00DA775C">
        <w:trPr>
          <w:trHeight w:val="240"/>
        </w:trPr>
        <w:tc>
          <w:tcPr>
            <w:tcW w:w="2294" w:type="pct"/>
            <w:tcBorders>
              <w:top w:val="nil"/>
              <w:left w:val="nil"/>
              <w:bottom w:val="single" w:sz="4" w:space="0" w:color="auto"/>
              <w:right w:val="nil"/>
            </w:tcBorders>
            <w:vAlign w:val="center"/>
          </w:tcPr>
          <w:p w14:paraId="7394D78F" w14:textId="7777777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Net receivables</w:t>
            </w:r>
          </w:p>
        </w:tc>
        <w:tc>
          <w:tcPr>
            <w:tcW w:w="477" w:type="pct"/>
            <w:tcBorders>
              <w:top w:val="nil"/>
              <w:left w:val="nil"/>
              <w:bottom w:val="single" w:sz="4" w:space="0" w:color="auto"/>
              <w:right w:val="nil"/>
            </w:tcBorders>
            <w:shd w:val="clear" w:color="auto" w:fill="F2F2F2" w:themeFill="background1" w:themeFillShade="F2"/>
          </w:tcPr>
          <w:p w14:paraId="301E7213" w14:textId="77777777" w:rsidR="00F53939" w:rsidRPr="00320CA7" w:rsidDel="00CA2F6E"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1,232</w:t>
            </w:r>
          </w:p>
        </w:tc>
        <w:tc>
          <w:tcPr>
            <w:tcW w:w="583" w:type="pct"/>
            <w:tcBorders>
              <w:top w:val="nil"/>
              <w:left w:val="nil"/>
              <w:bottom w:val="single" w:sz="4" w:space="0" w:color="auto"/>
              <w:right w:val="nil"/>
            </w:tcBorders>
          </w:tcPr>
          <w:p w14:paraId="1B0B16C0" w14:textId="77777777" w:rsidR="00F53939" w:rsidRPr="00755A85" w:rsidRDefault="00F53939" w:rsidP="00A50D03">
            <w:pPr>
              <w:jc w:val="right"/>
              <w:rPr>
                <w:rFonts w:asciiTheme="minorHAnsi" w:hAnsiTheme="minorHAnsi" w:cstheme="minorHAnsi"/>
                <w:sz w:val="20"/>
                <w:szCs w:val="20"/>
              </w:rPr>
            </w:pPr>
            <w:r w:rsidRPr="00755A85">
              <w:rPr>
                <w:rFonts w:asciiTheme="minorHAnsi" w:hAnsiTheme="minorHAnsi" w:cstheme="minorHAnsi"/>
                <w:sz w:val="20"/>
                <w:szCs w:val="20"/>
              </w:rPr>
              <w:t>1,150</w:t>
            </w:r>
          </w:p>
        </w:tc>
        <w:tc>
          <w:tcPr>
            <w:tcW w:w="584" w:type="pct"/>
            <w:tcBorders>
              <w:top w:val="nil"/>
              <w:left w:val="nil"/>
              <w:bottom w:val="single" w:sz="4" w:space="0" w:color="auto"/>
              <w:right w:val="nil"/>
            </w:tcBorders>
          </w:tcPr>
          <w:p w14:paraId="1374810B" w14:textId="77777777" w:rsidR="00F53939" w:rsidRPr="00755A85" w:rsidRDefault="00F53939" w:rsidP="00A50D03">
            <w:pPr>
              <w:jc w:val="right"/>
              <w:rPr>
                <w:rFonts w:asciiTheme="minorHAnsi" w:hAnsiTheme="minorHAnsi" w:cstheme="minorHAnsi"/>
                <w:iCs/>
                <w:sz w:val="20"/>
                <w:szCs w:val="20"/>
              </w:rPr>
            </w:pPr>
            <w:r w:rsidRPr="00755A85">
              <w:rPr>
                <w:rFonts w:asciiTheme="minorHAnsi" w:hAnsiTheme="minorHAnsi" w:cstheme="minorHAnsi"/>
                <w:sz w:val="20"/>
                <w:szCs w:val="20"/>
              </w:rPr>
              <w:t>1,151</w:t>
            </w:r>
          </w:p>
        </w:tc>
        <w:tc>
          <w:tcPr>
            <w:tcW w:w="531" w:type="pct"/>
            <w:tcBorders>
              <w:top w:val="nil"/>
              <w:left w:val="nil"/>
              <w:bottom w:val="single" w:sz="4" w:space="0" w:color="auto"/>
              <w:right w:val="nil"/>
            </w:tcBorders>
          </w:tcPr>
          <w:p w14:paraId="77874CCC"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w:t>
            </w:r>
          </w:p>
        </w:tc>
        <w:tc>
          <w:tcPr>
            <w:tcW w:w="531" w:type="pct"/>
            <w:tcBorders>
              <w:top w:val="nil"/>
              <w:left w:val="nil"/>
              <w:bottom w:val="single" w:sz="4" w:space="0" w:color="auto"/>
              <w:right w:val="nil"/>
            </w:tcBorders>
          </w:tcPr>
          <w:p w14:paraId="1C9A2B18"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w:t>
            </w:r>
          </w:p>
        </w:tc>
      </w:tr>
      <w:tr w:rsidR="00BC3CC5" w:rsidRPr="005E46B1" w14:paraId="344ACB6E" w14:textId="77777777" w:rsidTr="00DA775C">
        <w:trPr>
          <w:trHeight w:val="240"/>
        </w:trPr>
        <w:tc>
          <w:tcPr>
            <w:tcW w:w="2294" w:type="pct"/>
            <w:tcBorders>
              <w:top w:val="single" w:sz="4" w:space="0" w:color="auto"/>
              <w:left w:val="nil"/>
              <w:bottom w:val="single" w:sz="4" w:space="0" w:color="auto"/>
              <w:right w:val="nil"/>
            </w:tcBorders>
            <w:vAlign w:val="center"/>
          </w:tcPr>
          <w:p w14:paraId="36F03064" w14:textId="77777777" w:rsidR="00F53939" w:rsidRPr="00320CA7" w:rsidRDefault="00F53939" w:rsidP="00A50D03">
            <w:pPr>
              <w:ind w:right="115"/>
              <w:rPr>
                <w:rFonts w:asciiTheme="minorHAnsi" w:eastAsia="Poppins" w:hAnsiTheme="minorHAnsi" w:cstheme="minorHAnsi"/>
                <w:sz w:val="20"/>
                <w:szCs w:val="20"/>
              </w:rPr>
            </w:pPr>
          </w:p>
        </w:tc>
        <w:tc>
          <w:tcPr>
            <w:tcW w:w="477" w:type="pct"/>
            <w:tcBorders>
              <w:top w:val="single" w:sz="4" w:space="0" w:color="auto"/>
              <w:left w:val="nil"/>
              <w:bottom w:val="single" w:sz="4" w:space="0" w:color="auto"/>
              <w:right w:val="nil"/>
            </w:tcBorders>
            <w:shd w:val="clear" w:color="auto" w:fill="F2F2F2" w:themeFill="background1" w:themeFillShade="F2"/>
          </w:tcPr>
          <w:p w14:paraId="377D2A72" w14:textId="77777777" w:rsidR="00F53939" w:rsidRPr="00320CA7" w:rsidRDefault="00F53939" w:rsidP="00A50D03">
            <w:pPr>
              <w:jc w:val="right"/>
              <w:rPr>
                <w:rFonts w:asciiTheme="minorHAnsi" w:hAnsiTheme="minorHAnsi" w:cstheme="minorHAnsi"/>
                <w:b/>
                <w:color w:val="FF0000"/>
                <w:sz w:val="20"/>
                <w:szCs w:val="20"/>
              </w:rPr>
            </w:pPr>
          </w:p>
        </w:tc>
        <w:tc>
          <w:tcPr>
            <w:tcW w:w="583" w:type="pct"/>
            <w:tcBorders>
              <w:top w:val="single" w:sz="4" w:space="0" w:color="auto"/>
              <w:left w:val="nil"/>
              <w:bottom w:val="single" w:sz="4" w:space="0" w:color="auto"/>
              <w:right w:val="nil"/>
            </w:tcBorders>
            <w:vAlign w:val="bottom"/>
          </w:tcPr>
          <w:p w14:paraId="57D22124" w14:textId="77777777" w:rsidR="00F53939" w:rsidRPr="00320CA7" w:rsidRDefault="00F53939" w:rsidP="00A50D03">
            <w:pPr>
              <w:jc w:val="right"/>
              <w:rPr>
                <w:rFonts w:asciiTheme="minorHAnsi" w:hAnsiTheme="minorHAnsi" w:cstheme="minorHAnsi"/>
                <w:color w:val="FF0000"/>
                <w:sz w:val="20"/>
                <w:szCs w:val="20"/>
              </w:rPr>
            </w:pPr>
          </w:p>
        </w:tc>
        <w:tc>
          <w:tcPr>
            <w:tcW w:w="584" w:type="pct"/>
            <w:tcBorders>
              <w:top w:val="single" w:sz="4" w:space="0" w:color="auto"/>
              <w:left w:val="nil"/>
              <w:bottom w:val="single" w:sz="4" w:space="0" w:color="auto"/>
              <w:right w:val="nil"/>
            </w:tcBorders>
          </w:tcPr>
          <w:p w14:paraId="334E5817" w14:textId="77777777" w:rsidR="00F53939" w:rsidRPr="00320CA7" w:rsidRDefault="00F53939" w:rsidP="00A50D03">
            <w:pPr>
              <w:jc w:val="right"/>
              <w:rPr>
                <w:rFonts w:asciiTheme="minorHAnsi" w:hAnsiTheme="minorHAnsi" w:cstheme="minorHAnsi"/>
                <w:iCs/>
                <w:color w:val="FF0000"/>
                <w:sz w:val="20"/>
                <w:szCs w:val="20"/>
              </w:rPr>
            </w:pPr>
          </w:p>
        </w:tc>
        <w:tc>
          <w:tcPr>
            <w:tcW w:w="531" w:type="pct"/>
            <w:tcBorders>
              <w:top w:val="single" w:sz="4" w:space="0" w:color="auto"/>
              <w:left w:val="nil"/>
              <w:bottom w:val="single" w:sz="4" w:space="0" w:color="auto"/>
              <w:right w:val="nil"/>
            </w:tcBorders>
          </w:tcPr>
          <w:p w14:paraId="5F96476A" w14:textId="77777777" w:rsidR="00F53939" w:rsidRPr="00320CA7" w:rsidRDefault="00F53939" w:rsidP="00A50D03">
            <w:pPr>
              <w:jc w:val="right"/>
              <w:rPr>
                <w:rFonts w:asciiTheme="minorHAnsi" w:hAnsiTheme="minorHAnsi" w:cstheme="minorHAnsi"/>
                <w:iCs/>
                <w:color w:val="FF0000"/>
                <w:sz w:val="20"/>
                <w:szCs w:val="20"/>
              </w:rPr>
            </w:pPr>
          </w:p>
        </w:tc>
        <w:tc>
          <w:tcPr>
            <w:tcW w:w="531" w:type="pct"/>
            <w:tcBorders>
              <w:top w:val="single" w:sz="4" w:space="0" w:color="auto"/>
              <w:left w:val="nil"/>
              <w:bottom w:val="single" w:sz="4" w:space="0" w:color="auto"/>
              <w:right w:val="nil"/>
            </w:tcBorders>
          </w:tcPr>
          <w:p w14:paraId="233E9E47" w14:textId="77777777" w:rsidR="00F53939" w:rsidRPr="00320CA7" w:rsidRDefault="00F53939" w:rsidP="00A50D03">
            <w:pPr>
              <w:jc w:val="right"/>
              <w:rPr>
                <w:rFonts w:asciiTheme="minorHAnsi" w:hAnsiTheme="minorHAnsi" w:cstheme="minorHAnsi"/>
                <w:iCs/>
                <w:color w:val="FF0000"/>
                <w:sz w:val="20"/>
                <w:szCs w:val="20"/>
              </w:rPr>
            </w:pPr>
          </w:p>
        </w:tc>
      </w:tr>
      <w:tr w:rsidR="00BC3CC5" w:rsidRPr="005E46B1" w14:paraId="4E8CA988" w14:textId="77777777" w:rsidTr="00DA775C">
        <w:trPr>
          <w:trHeight w:val="240"/>
        </w:trPr>
        <w:tc>
          <w:tcPr>
            <w:tcW w:w="2294" w:type="pct"/>
            <w:tcBorders>
              <w:top w:val="single" w:sz="4" w:space="0" w:color="auto"/>
              <w:left w:val="nil"/>
              <w:bottom w:val="single" w:sz="4" w:space="0" w:color="FFFFFF"/>
              <w:right w:val="nil"/>
            </w:tcBorders>
            <w:vAlign w:val="center"/>
          </w:tcPr>
          <w:p w14:paraId="346B194C"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Interest income</w:t>
            </w:r>
          </w:p>
        </w:tc>
        <w:tc>
          <w:tcPr>
            <w:tcW w:w="477" w:type="pct"/>
            <w:tcBorders>
              <w:top w:val="single" w:sz="4" w:space="0" w:color="auto"/>
              <w:left w:val="nil"/>
              <w:bottom w:val="nil"/>
              <w:right w:val="nil"/>
            </w:tcBorders>
            <w:shd w:val="clear" w:color="auto" w:fill="F2F2F2" w:themeFill="background1" w:themeFillShade="F2"/>
          </w:tcPr>
          <w:p w14:paraId="0BB64663"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179.0</w:t>
            </w:r>
          </w:p>
        </w:tc>
        <w:tc>
          <w:tcPr>
            <w:tcW w:w="583" w:type="pct"/>
            <w:tcBorders>
              <w:top w:val="single" w:sz="4" w:space="0" w:color="auto"/>
              <w:left w:val="nil"/>
              <w:bottom w:val="single" w:sz="4" w:space="0" w:color="FFFFFF"/>
              <w:right w:val="nil"/>
            </w:tcBorders>
          </w:tcPr>
          <w:p w14:paraId="6AB70C45" w14:textId="77777777" w:rsidR="00F53939" w:rsidRPr="00496002"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182.1</w:t>
            </w:r>
          </w:p>
        </w:tc>
        <w:tc>
          <w:tcPr>
            <w:tcW w:w="584" w:type="pct"/>
            <w:tcBorders>
              <w:top w:val="single" w:sz="4" w:space="0" w:color="auto"/>
              <w:left w:val="nil"/>
              <w:bottom w:val="single" w:sz="4" w:space="0" w:color="FFFFFF"/>
              <w:right w:val="nil"/>
            </w:tcBorders>
          </w:tcPr>
          <w:p w14:paraId="0B5E97C6" w14:textId="77777777" w:rsidR="00F53939" w:rsidRPr="00320CA7"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183.6</w:t>
            </w:r>
          </w:p>
        </w:tc>
        <w:tc>
          <w:tcPr>
            <w:tcW w:w="531" w:type="pct"/>
            <w:tcBorders>
              <w:top w:val="single" w:sz="4" w:space="0" w:color="auto"/>
              <w:left w:val="nil"/>
              <w:bottom w:val="single" w:sz="4" w:space="0" w:color="FFFFFF"/>
              <w:right w:val="nil"/>
            </w:tcBorders>
          </w:tcPr>
          <w:p w14:paraId="46F13F33"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w:t>
            </w:r>
          </w:p>
        </w:tc>
        <w:tc>
          <w:tcPr>
            <w:tcW w:w="531" w:type="pct"/>
            <w:tcBorders>
              <w:top w:val="single" w:sz="4" w:space="0" w:color="auto"/>
              <w:left w:val="nil"/>
              <w:bottom w:val="single" w:sz="4" w:space="0" w:color="FFFFFF"/>
              <w:right w:val="nil"/>
            </w:tcBorders>
          </w:tcPr>
          <w:p w14:paraId="3012712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(3)</w:t>
            </w:r>
          </w:p>
        </w:tc>
      </w:tr>
      <w:tr w:rsidR="00BC3CC5" w:rsidRPr="005E46B1" w14:paraId="3A71B451" w14:textId="77777777" w:rsidTr="00DA775C">
        <w:trPr>
          <w:trHeight w:val="240"/>
        </w:trPr>
        <w:tc>
          <w:tcPr>
            <w:tcW w:w="2294" w:type="pct"/>
            <w:tcBorders>
              <w:top w:val="single" w:sz="4" w:space="0" w:color="FFFFFF"/>
              <w:left w:val="nil"/>
              <w:bottom w:val="single" w:sz="4" w:space="0" w:color="auto"/>
              <w:right w:val="nil"/>
            </w:tcBorders>
            <w:vAlign w:val="center"/>
          </w:tcPr>
          <w:p w14:paraId="0550AC9D"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Interest expense</w:t>
            </w:r>
          </w:p>
        </w:tc>
        <w:tc>
          <w:tcPr>
            <w:tcW w:w="477" w:type="pct"/>
            <w:tcBorders>
              <w:top w:val="nil"/>
              <w:left w:val="nil"/>
              <w:bottom w:val="single" w:sz="4" w:space="0" w:color="auto"/>
              <w:right w:val="nil"/>
            </w:tcBorders>
            <w:shd w:val="clear" w:color="auto" w:fill="F2F2F2" w:themeFill="background1" w:themeFillShade="F2"/>
          </w:tcPr>
          <w:p w14:paraId="02FAAD39"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(24.7)</w:t>
            </w:r>
          </w:p>
        </w:tc>
        <w:tc>
          <w:tcPr>
            <w:tcW w:w="583" w:type="pct"/>
            <w:tcBorders>
              <w:top w:val="single" w:sz="4" w:space="0" w:color="FFFFFF"/>
              <w:left w:val="nil"/>
              <w:bottom w:val="single" w:sz="4" w:space="0" w:color="auto"/>
              <w:right w:val="nil"/>
            </w:tcBorders>
          </w:tcPr>
          <w:p w14:paraId="65D4214C" w14:textId="77777777" w:rsidR="00F53939" w:rsidRPr="00496002"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(26.3)</w:t>
            </w:r>
          </w:p>
        </w:tc>
        <w:tc>
          <w:tcPr>
            <w:tcW w:w="584" w:type="pct"/>
            <w:tcBorders>
              <w:top w:val="single" w:sz="4" w:space="0" w:color="FFFFFF"/>
              <w:left w:val="nil"/>
              <w:bottom w:val="single" w:sz="4" w:space="0" w:color="auto"/>
              <w:right w:val="nil"/>
            </w:tcBorders>
          </w:tcPr>
          <w:p w14:paraId="160E464B" w14:textId="77777777" w:rsidR="00F53939" w:rsidRPr="00320CA7"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(26.9)</w:t>
            </w:r>
          </w:p>
        </w:tc>
        <w:tc>
          <w:tcPr>
            <w:tcW w:w="531" w:type="pct"/>
            <w:tcBorders>
              <w:top w:val="single" w:sz="4" w:space="0" w:color="FFFFFF"/>
              <w:left w:val="nil"/>
              <w:bottom w:val="single" w:sz="4" w:space="0" w:color="auto"/>
              <w:right w:val="nil"/>
            </w:tcBorders>
          </w:tcPr>
          <w:p w14:paraId="3CAB6205"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(6)</w:t>
            </w:r>
          </w:p>
        </w:tc>
        <w:tc>
          <w:tcPr>
            <w:tcW w:w="531" w:type="pct"/>
            <w:tcBorders>
              <w:top w:val="single" w:sz="4" w:space="0" w:color="FFFFFF"/>
              <w:left w:val="nil"/>
              <w:bottom w:val="single" w:sz="4" w:space="0" w:color="auto"/>
              <w:right w:val="nil"/>
            </w:tcBorders>
          </w:tcPr>
          <w:p w14:paraId="15DC2B3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(8)</w:t>
            </w:r>
          </w:p>
        </w:tc>
      </w:tr>
      <w:tr w:rsidR="00BC3CC5" w:rsidRPr="005E46B1" w14:paraId="058391EE" w14:textId="77777777" w:rsidTr="00DA775C">
        <w:trPr>
          <w:trHeight w:val="240"/>
        </w:trPr>
        <w:tc>
          <w:tcPr>
            <w:tcW w:w="2294" w:type="pct"/>
            <w:tcBorders>
              <w:top w:val="single" w:sz="4" w:space="0" w:color="auto"/>
              <w:left w:val="nil"/>
              <w:bottom w:val="single" w:sz="4" w:space="0" w:color="FFFFFF"/>
              <w:right w:val="nil"/>
            </w:tcBorders>
            <w:vAlign w:val="center"/>
          </w:tcPr>
          <w:p w14:paraId="371F6623" w14:textId="77777777" w:rsidR="00F53939" w:rsidRPr="00D10A26" w:rsidRDefault="00F53939" w:rsidP="00A50D03">
            <w:pPr>
              <w:ind w:right="115"/>
              <w:rPr>
                <w:rFonts w:asciiTheme="minorHAnsi" w:eastAsia="Poppins" w:hAnsiTheme="minorHAnsi" w:cstheme="minorHAnsi"/>
                <w:b/>
                <w:sz w:val="20"/>
                <w:szCs w:val="20"/>
              </w:rPr>
            </w:pPr>
            <w:r w:rsidRPr="00D10A26">
              <w:rPr>
                <w:rFonts w:asciiTheme="minorHAnsi" w:eastAsia="Poppins" w:hAnsiTheme="minorHAnsi" w:cstheme="minorHAnsi"/>
                <w:b/>
                <w:sz w:val="20"/>
                <w:szCs w:val="20"/>
              </w:rPr>
              <w:t>Net interest income</w:t>
            </w:r>
          </w:p>
        </w:tc>
        <w:tc>
          <w:tcPr>
            <w:tcW w:w="477" w:type="pct"/>
            <w:tcBorders>
              <w:top w:val="single" w:sz="4" w:space="0" w:color="auto"/>
              <w:left w:val="nil"/>
              <w:bottom w:val="nil"/>
              <w:right w:val="nil"/>
            </w:tcBorders>
            <w:shd w:val="clear" w:color="auto" w:fill="F2F2F2" w:themeFill="background1" w:themeFillShade="F2"/>
          </w:tcPr>
          <w:p w14:paraId="4A9E16F8"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154.3</w:t>
            </w:r>
          </w:p>
        </w:tc>
        <w:tc>
          <w:tcPr>
            <w:tcW w:w="583" w:type="pct"/>
            <w:tcBorders>
              <w:top w:val="single" w:sz="4" w:space="0" w:color="auto"/>
              <w:left w:val="nil"/>
              <w:bottom w:val="single" w:sz="4" w:space="0" w:color="FFFFFF"/>
              <w:right w:val="nil"/>
            </w:tcBorders>
          </w:tcPr>
          <w:p w14:paraId="2DE40229" w14:textId="77777777" w:rsidR="00F53939" w:rsidRPr="00496002"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155.8</w:t>
            </w:r>
          </w:p>
        </w:tc>
        <w:tc>
          <w:tcPr>
            <w:tcW w:w="584" w:type="pct"/>
            <w:tcBorders>
              <w:top w:val="single" w:sz="4" w:space="0" w:color="auto"/>
              <w:left w:val="nil"/>
              <w:bottom w:val="single" w:sz="4" w:space="0" w:color="FFFFFF"/>
              <w:right w:val="nil"/>
            </w:tcBorders>
          </w:tcPr>
          <w:p w14:paraId="1F339F1C" w14:textId="77777777" w:rsidR="00F53939" w:rsidRPr="00320CA7"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156.7</w:t>
            </w:r>
          </w:p>
        </w:tc>
        <w:tc>
          <w:tcPr>
            <w:tcW w:w="531" w:type="pct"/>
            <w:tcBorders>
              <w:top w:val="single" w:sz="4" w:space="0" w:color="auto"/>
              <w:left w:val="nil"/>
              <w:bottom w:val="single" w:sz="4" w:space="0" w:color="FFFFFF"/>
              <w:right w:val="nil"/>
            </w:tcBorders>
          </w:tcPr>
          <w:p w14:paraId="1A6BC233"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w:t>
            </w:r>
          </w:p>
        </w:tc>
        <w:tc>
          <w:tcPr>
            <w:tcW w:w="531" w:type="pct"/>
            <w:tcBorders>
              <w:top w:val="single" w:sz="4" w:space="0" w:color="auto"/>
              <w:left w:val="nil"/>
              <w:bottom w:val="single" w:sz="4" w:space="0" w:color="FFFFFF"/>
              <w:right w:val="nil"/>
            </w:tcBorders>
          </w:tcPr>
          <w:p w14:paraId="3305EDE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w:t>
            </w:r>
          </w:p>
        </w:tc>
      </w:tr>
      <w:tr w:rsidR="00BC3CC5" w:rsidRPr="005E46B1" w14:paraId="763B9BD8" w14:textId="77777777" w:rsidTr="00DA775C">
        <w:trPr>
          <w:trHeight w:val="240"/>
        </w:trPr>
        <w:tc>
          <w:tcPr>
            <w:tcW w:w="2294" w:type="pct"/>
            <w:tcBorders>
              <w:top w:val="single" w:sz="4" w:space="0" w:color="FFFFFF"/>
              <w:left w:val="nil"/>
              <w:bottom w:val="single" w:sz="4" w:space="0" w:color="auto"/>
              <w:right w:val="nil"/>
            </w:tcBorders>
            <w:vAlign w:val="center"/>
          </w:tcPr>
          <w:p w14:paraId="23820BFD"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Non-interest income</w:t>
            </w:r>
          </w:p>
        </w:tc>
        <w:tc>
          <w:tcPr>
            <w:tcW w:w="477" w:type="pct"/>
            <w:tcBorders>
              <w:top w:val="nil"/>
              <w:left w:val="nil"/>
              <w:bottom w:val="single" w:sz="4" w:space="0" w:color="auto"/>
              <w:right w:val="nil"/>
            </w:tcBorders>
            <w:shd w:val="clear" w:color="auto" w:fill="F2F2F2" w:themeFill="background1" w:themeFillShade="F2"/>
          </w:tcPr>
          <w:p w14:paraId="4F12A90C"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16.0</w:t>
            </w:r>
          </w:p>
        </w:tc>
        <w:tc>
          <w:tcPr>
            <w:tcW w:w="583" w:type="pct"/>
            <w:tcBorders>
              <w:top w:val="single" w:sz="4" w:space="0" w:color="FFFFFF"/>
              <w:left w:val="nil"/>
              <w:bottom w:val="single" w:sz="4" w:space="0" w:color="auto"/>
              <w:right w:val="nil"/>
            </w:tcBorders>
          </w:tcPr>
          <w:p w14:paraId="19EC1DC9" w14:textId="77777777" w:rsidR="00F53939" w:rsidRPr="00496002"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16.4</w:t>
            </w:r>
          </w:p>
        </w:tc>
        <w:tc>
          <w:tcPr>
            <w:tcW w:w="584" w:type="pct"/>
            <w:tcBorders>
              <w:top w:val="nil"/>
              <w:left w:val="nil"/>
              <w:bottom w:val="single" w:sz="4" w:space="0" w:color="auto"/>
              <w:right w:val="nil"/>
            </w:tcBorders>
          </w:tcPr>
          <w:p w14:paraId="123F5521" w14:textId="77777777" w:rsidR="00F53939" w:rsidRPr="00320CA7"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18.6</w:t>
            </w:r>
          </w:p>
        </w:tc>
        <w:tc>
          <w:tcPr>
            <w:tcW w:w="531" w:type="pct"/>
            <w:tcBorders>
              <w:top w:val="nil"/>
              <w:left w:val="nil"/>
              <w:bottom w:val="single" w:sz="4" w:space="0" w:color="auto"/>
              <w:right w:val="nil"/>
            </w:tcBorders>
          </w:tcPr>
          <w:p w14:paraId="22B193CE"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w:t>
            </w:r>
          </w:p>
        </w:tc>
        <w:tc>
          <w:tcPr>
            <w:tcW w:w="531" w:type="pct"/>
            <w:tcBorders>
              <w:top w:val="nil"/>
              <w:left w:val="nil"/>
              <w:bottom w:val="single" w:sz="4" w:space="0" w:color="auto"/>
              <w:right w:val="nil"/>
            </w:tcBorders>
          </w:tcPr>
          <w:p w14:paraId="117FFDE3"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(14)</w:t>
            </w:r>
          </w:p>
        </w:tc>
      </w:tr>
      <w:tr w:rsidR="00BC3CC5" w:rsidRPr="005E46B1" w14:paraId="25A1574B" w14:textId="77777777" w:rsidTr="00DA775C">
        <w:trPr>
          <w:trHeight w:val="240"/>
        </w:trPr>
        <w:tc>
          <w:tcPr>
            <w:tcW w:w="2294" w:type="pct"/>
            <w:tcBorders>
              <w:top w:val="single" w:sz="4" w:space="0" w:color="auto"/>
              <w:left w:val="nil"/>
              <w:bottom w:val="single" w:sz="4" w:space="0" w:color="FFFFFF"/>
              <w:right w:val="nil"/>
            </w:tcBorders>
            <w:vAlign w:val="center"/>
          </w:tcPr>
          <w:p w14:paraId="67D69804" w14:textId="77777777" w:rsidR="00F53939" w:rsidRPr="00D10A26" w:rsidRDefault="00F53939" w:rsidP="00A50D03">
            <w:pPr>
              <w:ind w:right="115"/>
              <w:rPr>
                <w:rFonts w:asciiTheme="minorHAnsi" w:eastAsia="Poppins" w:hAnsiTheme="minorHAnsi" w:cstheme="minorHAnsi"/>
                <w:b/>
                <w:sz w:val="20"/>
                <w:szCs w:val="20"/>
              </w:rPr>
            </w:pPr>
            <w:r w:rsidRPr="00D10A26">
              <w:rPr>
                <w:rFonts w:asciiTheme="minorHAnsi" w:eastAsia="Poppins" w:hAnsiTheme="minorHAnsi" w:cstheme="minorHAnsi"/>
                <w:b/>
                <w:sz w:val="20"/>
                <w:szCs w:val="20"/>
              </w:rPr>
              <w:t>Total income</w:t>
            </w:r>
          </w:p>
        </w:tc>
        <w:tc>
          <w:tcPr>
            <w:tcW w:w="477" w:type="pct"/>
            <w:tcBorders>
              <w:top w:val="single" w:sz="4" w:space="0" w:color="auto"/>
              <w:left w:val="nil"/>
              <w:bottom w:val="nil"/>
              <w:right w:val="nil"/>
            </w:tcBorders>
            <w:shd w:val="clear" w:color="auto" w:fill="F2F2F2" w:themeFill="background1" w:themeFillShade="F2"/>
          </w:tcPr>
          <w:p w14:paraId="2E92B6AF"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170.3</w:t>
            </w:r>
          </w:p>
        </w:tc>
        <w:tc>
          <w:tcPr>
            <w:tcW w:w="583" w:type="pct"/>
            <w:tcBorders>
              <w:top w:val="single" w:sz="4" w:space="0" w:color="auto"/>
              <w:left w:val="nil"/>
              <w:bottom w:val="single" w:sz="4" w:space="0" w:color="FFFFFF"/>
              <w:right w:val="nil"/>
            </w:tcBorders>
          </w:tcPr>
          <w:p w14:paraId="4D771A43" w14:textId="77777777" w:rsidR="00F53939" w:rsidRPr="00496002"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172.2</w:t>
            </w:r>
          </w:p>
        </w:tc>
        <w:tc>
          <w:tcPr>
            <w:tcW w:w="584" w:type="pct"/>
            <w:tcBorders>
              <w:top w:val="single" w:sz="4" w:space="0" w:color="auto"/>
              <w:left w:val="nil"/>
              <w:bottom w:val="single" w:sz="4" w:space="0" w:color="FFFFFF"/>
              <w:right w:val="nil"/>
            </w:tcBorders>
          </w:tcPr>
          <w:p w14:paraId="6D374924" w14:textId="77777777" w:rsidR="00F53939" w:rsidRPr="00320CA7"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175.3</w:t>
            </w:r>
          </w:p>
        </w:tc>
        <w:tc>
          <w:tcPr>
            <w:tcW w:w="531" w:type="pct"/>
            <w:tcBorders>
              <w:top w:val="single" w:sz="4" w:space="0" w:color="auto"/>
              <w:left w:val="nil"/>
              <w:bottom w:val="single" w:sz="4" w:space="0" w:color="FFFFFF"/>
              <w:right w:val="nil"/>
            </w:tcBorders>
          </w:tcPr>
          <w:p w14:paraId="7CFDCAE2"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w:t>
            </w:r>
          </w:p>
        </w:tc>
        <w:tc>
          <w:tcPr>
            <w:tcW w:w="531" w:type="pct"/>
            <w:tcBorders>
              <w:top w:val="single" w:sz="4" w:space="0" w:color="auto"/>
              <w:left w:val="nil"/>
              <w:bottom w:val="single" w:sz="4" w:space="0" w:color="FFFFFF"/>
              <w:right w:val="nil"/>
            </w:tcBorders>
          </w:tcPr>
          <w:p w14:paraId="2F5D3404"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(3)</w:t>
            </w:r>
          </w:p>
        </w:tc>
      </w:tr>
      <w:tr w:rsidR="00BC3CC5" w:rsidRPr="005E46B1" w14:paraId="629C7B8E" w14:textId="77777777" w:rsidTr="00DA775C">
        <w:trPr>
          <w:trHeight w:val="240"/>
        </w:trPr>
        <w:tc>
          <w:tcPr>
            <w:tcW w:w="2294" w:type="pct"/>
            <w:tcBorders>
              <w:top w:val="single" w:sz="4" w:space="0" w:color="FFFFFF"/>
              <w:left w:val="nil"/>
              <w:bottom w:val="single" w:sz="4" w:space="0" w:color="auto"/>
              <w:right w:val="nil"/>
            </w:tcBorders>
            <w:vAlign w:val="center"/>
          </w:tcPr>
          <w:p w14:paraId="399EA9EB"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Impairment charges</w:t>
            </w:r>
          </w:p>
        </w:tc>
        <w:tc>
          <w:tcPr>
            <w:tcW w:w="477" w:type="pct"/>
            <w:tcBorders>
              <w:top w:val="nil"/>
              <w:left w:val="nil"/>
              <w:bottom w:val="single" w:sz="4" w:space="0" w:color="auto"/>
              <w:right w:val="nil"/>
            </w:tcBorders>
            <w:shd w:val="clear" w:color="auto" w:fill="F2F2F2" w:themeFill="background1" w:themeFillShade="F2"/>
          </w:tcPr>
          <w:p w14:paraId="16E975C3"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(64.0)</w:t>
            </w:r>
          </w:p>
        </w:tc>
        <w:tc>
          <w:tcPr>
            <w:tcW w:w="583" w:type="pct"/>
            <w:tcBorders>
              <w:top w:val="single" w:sz="4" w:space="0" w:color="FFFFFF"/>
              <w:left w:val="nil"/>
              <w:bottom w:val="single" w:sz="4" w:space="0" w:color="auto"/>
              <w:right w:val="nil"/>
            </w:tcBorders>
          </w:tcPr>
          <w:p w14:paraId="15578811" w14:textId="77777777" w:rsidR="00F53939" w:rsidRPr="00496002"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(60.4)</w:t>
            </w:r>
          </w:p>
        </w:tc>
        <w:tc>
          <w:tcPr>
            <w:tcW w:w="584" w:type="pct"/>
            <w:tcBorders>
              <w:top w:val="single" w:sz="4" w:space="0" w:color="FFFFFF"/>
              <w:left w:val="nil"/>
              <w:bottom w:val="single" w:sz="4" w:space="0" w:color="auto"/>
              <w:right w:val="nil"/>
            </w:tcBorders>
          </w:tcPr>
          <w:p w14:paraId="5A0BBFED" w14:textId="77777777" w:rsidR="00F53939" w:rsidRPr="00320CA7"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(63.5)</w:t>
            </w:r>
          </w:p>
        </w:tc>
        <w:tc>
          <w:tcPr>
            <w:tcW w:w="531" w:type="pct"/>
            <w:tcBorders>
              <w:top w:val="single" w:sz="4" w:space="0" w:color="FFFFFF"/>
              <w:left w:val="nil"/>
              <w:bottom w:val="single" w:sz="4" w:space="0" w:color="auto"/>
              <w:right w:val="nil"/>
            </w:tcBorders>
          </w:tcPr>
          <w:p w14:paraId="0FCED97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6</w:t>
            </w:r>
          </w:p>
        </w:tc>
        <w:tc>
          <w:tcPr>
            <w:tcW w:w="531" w:type="pct"/>
            <w:tcBorders>
              <w:top w:val="single" w:sz="4" w:space="0" w:color="FFFFFF"/>
              <w:left w:val="nil"/>
              <w:bottom w:val="single" w:sz="4" w:space="0" w:color="auto"/>
              <w:right w:val="nil"/>
            </w:tcBorders>
          </w:tcPr>
          <w:p w14:paraId="0D787E93"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w:t>
            </w:r>
          </w:p>
        </w:tc>
      </w:tr>
      <w:tr w:rsidR="00BC3CC5" w:rsidRPr="005E46B1" w14:paraId="64B33952" w14:textId="77777777" w:rsidTr="00DA775C">
        <w:trPr>
          <w:trHeight w:val="240"/>
        </w:trPr>
        <w:tc>
          <w:tcPr>
            <w:tcW w:w="2294" w:type="pct"/>
            <w:tcBorders>
              <w:top w:val="single" w:sz="4" w:space="0" w:color="auto"/>
              <w:left w:val="nil"/>
              <w:bottom w:val="single" w:sz="4" w:space="0" w:color="FFFFFF"/>
              <w:right w:val="nil"/>
            </w:tcBorders>
            <w:vAlign w:val="center"/>
          </w:tcPr>
          <w:p w14:paraId="283CF298" w14:textId="77777777" w:rsidR="00F53939" w:rsidRPr="00D10A26" w:rsidRDefault="00F53939" w:rsidP="00A50D03">
            <w:pPr>
              <w:ind w:right="115"/>
              <w:rPr>
                <w:rFonts w:asciiTheme="minorHAnsi" w:eastAsia="Poppins" w:hAnsiTheme="minorHAnsi" w:cstheme="minorHAnsi"/>
                <w:b/>
                <w:sz w:val="20"/>
                <w:szCs w:val="20"/>
              </w:rPr>
            </w:pPr>
            <w:r w:rsidRPr="00D10A26">
              <w:rPr>
                <w:rFonts w:asciiTheme="minorHAnsi" w:eastAsia="Poppins" w:hAnsiTheme="minorHAnsi" w:cstheme="minorHAnsi"/>
                <w:b/>
                <w:sz w:val="20"/>
                <w:szCs w:val="20"/>
              </w:rPr>
              <w:t>Risk adjusted income</w:t>
            </w:r>
          </w:p>
        </w:tc>
        <w:tc>
          <w:tcPr>
            <w:tcW w:w="477" w:type="pct"/>
            <w:tcBorders>
              <w:top w:val="single" w:sz="4" w:space="0" w:color="auto"/>
              <w:left w:val="nil"/>
              <w:bottom w:val="nil"/>
              <w:right w:val="nil"/>
            </w:tcBorders>
            <w:shd w:val="clear" w:color="auto" w:fill="F2F2F2" w:themeFill="background1" w:themeFillShade="F2"/>
          </w:tcPr>
          <w:p w14:paraId="45337C4C"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106.3</w:t>
            </w:r>
          </w:p>
        </w:tc>
        <w:tc>
          <w:tcPr>
            <w:tcW w:w="583" w:type="pct"/>
            <w:tcBorders>
              <w:top w:val="single" w:sz="4" w:space="0" w:color="auto"/>
              <w:left w:val="nil"/>
              <w:bottom w:val="single" w:sz="4" w:space="0" w:color="FFFFFF"/>
              <w:right w:val="nil"/>
            </w:tcBorders>
          </w:tcPr>
          <w:p w14:paraId="63344999" w14:textId="77777777" w:rsidR="00F53939" w:rsidRPr="00496002"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111.8</w:t>
            </w:r>
          </w:p>
        </w:tc>
        <w:tc>
          <w:tcPr>
            <w:tcW w:w="584" w:type="pct"/>
            <w:tcBorders>
              <w:top w:val="single" w:sz="4" w:space="0" w:color="auto"/>
              <w:left w:val="nil"/>
              <w:bottom w:val="single" w:sz="4" w:space="0" w:color="FFFFFF"/>
              <w:right w:val="nil"/>
            </w:tcBorders>
          </w:tcPr>
          <w:p w14:paraId="67F85230" w14:textId="77777777" w:rsidR="00F53939" w:rsidRPr="00320CA7"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111.8</w:t>
            </w:r>
          </w:p>
        </w:tc>
        <w:tc>
          <w:tcPr>
            <w:tcW w:w="531" w:type="pct"/>
            <w:tcBorders>
              <w:top w:val="single" w:sz="4" w:space="0" w:color="auto"/>
              <w:left w:val="nil"/>
              <w:bottom w:val="single" w:sz="4" w:space="0" w:color="FFFFFF"/>
              <w:right w:val="nil"/>
            </w:tcBorders>
          </w:tcPr>
          <w:p w14:paraId="3C75F2F3"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w:t>
            </w:r>
          </w:p>
        </w:tc>
        <w:tc>
          <w:tcPr>
            <w:tcW w:w="531" w:type="pct"/>
            <w:tcBorders>
              <w:top w:val="single" w:sz="4" w:space="0" w:color="auto"/>
              <w:left w:val="nil"/>
              <w:bottom w:val="single" w:sz="4" w:space="0" w:color="FFFFFF"/>
              <w:right w:val="nil"/>
            </w:tcBorders>
          </w:tcPr>
          <w:p w14:paraId="13F6234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w:t>
            </w:r>
          </w:p>
        </w:tc>
      </w:tr>
      <w:tr w:rsidR="00BC3CC5" w:rsidRPr="005E46B1" w14:paraId="1096EC9C" w14:textId="77777777" w:rsidTr="00DA775C">
        <w:trPr>
          <w:trHeight w:val="240"/>
        </w:trPr>
        <w:tc>
          <w:tcPr>
            <w:tcW w:w="2294" w:type="pct"/>
            <w:tcBorders>
              <w:top w:val="single" w:sz="4" w:space="0" w:color="FFFFFF"/>
              <w:left w:val="nil"/>
              <w:bottom w:val="single" w:sz="4" w:space="0" w:color="auto"/>
              <w:right w:val="nil"/>
            </w:tcBorders>
            <w:vAlign w:val="center"/>
          </w:tcPr>
          <w:p w14:paraId="4AAAEE48"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Operating costs</w:t>
            </w:r>
          </w:p>
        </w:tc>
        <w:tc>
          <w:tcPr>
            <w:tcW w:w="477" w:type="pct"/>
            <w:tcBorders>
              <w:top w:val="nil"/>
              <w:left w:val="nil"/>
              <w:bottom w:val="single" w:sz="4" w:space="0" w:color="auto"/>
              <w:right w:val="nil"/>
            </w:tcBorders>
            <w:shd w:val="clear" w:color="auto" w:fill="F2F2F2" w:themeFill="background1" w:themeFillShade="F2"/>
          </w:tcPr>
          <w:p w14:paraId="1A8424CA"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(93.7)</w:t>
            </w:r>
          </w:p>
        </w:tc>
        <w:tc>
          <w:tcPr>
            <w:tcW w:w="583" w:type="pct"/>
            <w:tcBorders>
              <w:top w:val="single" w:sz="4" w:space="0" w:color="FFFFFF"/>
              <w:left w:val="nil"/>
              <w:bottom w:val="single" w:sz="4" w:space="0" w:color="auto"/>
              <w:right w:val="nil"/>
            </w:tcBorders>
          </w:tcPr>
          <w:p w14:paraId="5A840AAF" w14:textId="77777777" w:rsidR="00F53939" w:rsidRPr="00496002"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(93.</w:t>
            </w:r>
            <w:r>
              <w:rPr>
                <w:rFonts w:asciiTheme="minorHAnsi" w:hAnsiTheme="minorHAnsi" w:cstheme="minorHAnsi"/>
                <w:iCs/>
                <w:sz w:val="20"/>
                <w:szCs w:val="20"/>
              </w:rPr>
              <w:t>0</w:t>
            </w:r>
            <w:r w:rsidRPr="00496002">
              <w:rPr>
                <w:rFonts w:asciiTheme="minorHAnsi" w:hAnsiTheme="minorHAnsi" w:cstheme="minorHAnsi"/>
                <w:iCs/>
                <w:sz w:val="20"/>
                <w:szCs w:val="20"/>
              </w:rPr>
              <w:t>)</w:t>
            </w:r>
          </w:p>
        </w:tc>
        <w:tc>
          <w:tcPr>
            <w:tcW w:w="584" w:type="pct"/>
            <w:tcBorders>
              <w:top w:val="single" w:sz="4" w:space="0" w:color="FFFFFF"/>
              <w:left w:val="nil"/>
              <w:bottom w:val="single" w:sz="4" w:space="0" w:color="auto"/>
              <w:right w:val="nil"/>
            </w:tcBorders>
          </w:tcPr>
          <w:p w14:paraId="169AC959" w14:textId="77777777" w:rsidR="00F53939" w:rsidRPr="00320CA7"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(10</w:t>
            </w:r>
            <w:r>
              <w:rPr>
                <w:rFonts w:asciiTheme="minorHAnsi" w:hAnsiTheme="minorHAnsi" w:cstheme="minorHAnsi"/>
                <w:iCs/>
                <w:sz w:val="20"/>
                <w:szCs w:val="20"/>
              </w:rPr>
              <w:t>0.5</w:t>
            </w:r>
            <w:r w:rsidRPr="00496002">
              <w:rPr>
                <w:rFonts w:asciiTheme="minorHAnsi" w:hAnsiTheme="minorHAnsi" w:cstheme="minorHAnsi"/>
                <w:iCs/>
                <w:sz w:val="20"/>
                <w:szCs w:val="20"/>
              </w:rPr>
              <w:t>)</w:t>
            </w:r>
          </w:p>
        </w:tc>
        <w:tc>
          <w:tcPr>
            <w:tcW w:w="531" w:type="pct"/>
            <w:tcBorders>
              <w:top w:val="single" w:sz="4" w:space="0" w:color="FFFFFF"/>
              <w:left w:val="nil"/>
              <w:bottom w:val="single" w:sz="4" w:space="0" w:color="auto"/>
              <w:right w:val="nil"/>
            </w:tcBorders>
          </w:tcPr>
          <w:p w14:paraId="4B2B12C7"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w:t>
            </w:r>
          </w:p>
        </w:tc>
        <w:tc>
          <w:tcPr>
            <w:tcW w:w="531" w:type="pct"/>
            <w:tcBorders>
              <w:top w:val="single" w:sz="4" w:space="0" w:color="FFFFFF"/>
              <w:left w:val="nil"/>
              <w:bottom w:val="single" w:sz="4" w:space="0" w:color="auto"/>
              <w:right w:val="nil"/>
            </w:tcBorders>
          </w:tcPr>
          <w:p w14:paraId="4E7C4604"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w:t>
            </w:r>
          </w:p>
        </w:tc>
      </w:tr>
      <w:tr w:rsidR="00BC3CC5" w:rsidRPr="005E46B1" w14:paraId="3495CCF3" w14:textId="77777777" w:rsidTr="00DA775C">
        <w:trPr>
          <w:trHeight w:val="240"/>
        </w:trPr>
        <w:tc>
          <w:tcPr>
            <w:tcW w:w="2294" w:type="pct"/>
            <w:tcBorders>
              <w:top w:val="single" w:sz="4" w:space="0" w:color="auto"/>
              <w:left w:val="nil"/>
              <w:bottom w:val="single" w:sz="4" w:space="0" w:color="auto"/>
              <w:right w:val="nil"/>
            </w:tcBorders>
            <w:vAlign w:val="center"/>
          </w:tcPr>
          <w:p w14:paraId="08FFD865"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b/>
                <w:sz w:val="20"/>
                <w:szCs w:val="20"/>
              </w:rPr>
              <w:t>Profit before tax contribution</w:t>
            </w:r>
          </w:p>
        </w:tc>
        <w:tc>
          <w:tcPr>
            <w:tcW w:w="477" w:type="pct"/>
            <w:tcBorders>
              <w:top w:val="single" w:sz="4" w:space="0" w:color="auto"/>
              <w:left w:val="nil"/>
              <w:bottom w:val="single" w:sz="4" w:space="0" w:color="auto"/>
              <w:right w:val="nil"/>
            </w:tcBorders>
            <w:shd w:val="clear" w:color="auto" w:fill="F2F2F2" w:themeFill="background1" w:themeFillShade="F2"/>
          </w:tcPr>
          <w:p w14:paraId="5A1D4540"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12.6</w:t>
            </w:r>
          </w:p>
        </w:tc>
        <w:tc>
          <w:tcPr>
            <w:tcW w:w="583" w:type="pct"/>
            <w:tcBorders>
              <w:top w:val="single" w:sz="4" w:space="0" w:color="auto"/>
              <w:left w:val="nil"/>
              <w:bottom w:val="single" w:sz="4" w:space="0" w:color="auto"/>
              <w:right w:val="nil"/>
            </w:tcBorders>
          </w:tcPr>
          <w:p w14:paraId="2FF688AF" w14:textId="77777777" w:rsidR="00F53939" w:rsidRPr="00496002" w:rsidRDefault="00F53939" w:rsidP="00A50D03">
            <w:pPr>
              <w:jc w:val="right"/>
              <w:rPr>
                <w:rFonts w:asciiTheme="minorHAnsi" w:hAnsiTheme="minorHAnsi" w:cstheme="minorHAnsi"/>
                <w:iCs/>
                <w:sz w:val="20"/>
                <w:szCs w:val="20"/>
              </w:rPr>
            </w:pPr>
            <w:r w:rsidRPr="00496002">
              <w:rPr>
                <w:rFonts w:asciiTheme="minorHAnsi" w:hAnsiTheme="minorHAnsi" w:cstheme="minorHAnsi"/>
                <w:iCs/>
                <w:sz w:val="20"/>
                <w:szCs w:val="20"/>
              </w:rPr>
              <w:t>18.</w:t>
            </w:r>
            <w:r>
              <w:rPr>
                <w:rFonts w:asciiTheme="minorHAnsi" w:hAnsiTheme="minorHAnsi" w:cstheme="minorHAnsi"/>
                <w:iCs/>
                <w:sz w:val="20"/>
                <w:szCs w:val="20"/>
              </w:rPr>
              <w:t>8</w:t>
            </w:r>
          </w:p>
        </w:tc>
        <w:tc>
          <w:tcPr>
            <w:tcW w:w="584" w:type="pct"/>
            <w:tcBorders>
              <w:top w:val="single" w:sz="4" w:space="0" w:color="auto"/>
              <w:left w:val="nil"/>
              <w:bottom w:val="single" w:sz="4" w:space="0" w:color="auto"/>
              <w:right w:val="nil"/>
            </w:tcBorders>
          </w:tcPr>
          <w:p w14:paraId="1FE672A6"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11.3</w:t>
            </w:r>
          </w:p>
        </w:tc>
        <w:tc>
          <w:tcPr>
            <w:tcW w:w="531" w:type="pct"/>
            <w:tcBorders>
              <w:top w:val="single" w:sz="4" w:space="0" w:color="auto"/>
              <w:left w:val="nil"/>
              <w:bottom w:val="single" w:sz="4" w:space="0" w:color="auto"/>
              <w:right w:val="nil"/>
            </w:tcBorders>
          </w:tcPr>
          <w:p w14:paraId="66C9124F"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(33)</w:t>
            </w:r>
          </w:p>
        </w:tc>
        <w:tc>
          <w:tcPr>
            <w:tcW w:w="531" w:type="pct"/>
            <w:tcBorders>
              <w:top w:val="single" w:sz="4" w:space="0" w:color="auto"/>
              <w:left w:val="nil"/>
              <w:bottom w:val="single" w:sz="4" w:space="0" w:color="auto"/>
              <w:right w:val="nil"/>
            </w:tcBorders>
          </w:tcPr>
          <w:p w14:paraId="4AD04FE4"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12</w:t>
            </w:r>
          </w:p>
        </w:tc>
      </w:tr>
      <w:tr w:rsidR="00BC3CC5" w:rsidRPr="005E46B1" w14:paraId="626D90E8" w14:textId="77777777" w:rsidTr="00DA775C">
        <w:trPr>
          <w:trHeight w:val="240"/>
        </w:trPr>
        <w:tc>
          <w:tcPr>
            <w:tcW w:w="2294" w:type="pct"/>
            <w:tcBorders>
              <w:top w:val="single" w:sz="4" w:space="0" w:color="auto"/>
              <w:left w:val="nil"/>
              <w:bottom w:val="single" w:sz="4" w:space="0" w:color="auto"/>
              <w:right w:val="nil"/>
            </w:tcBorders>
            <w:vAlign w:val="center"/>
          </w:tcPr>
          <w:p w14:paraId="71E44810" w14:textId="77777777" w:rsidR="00F53939" w:rsidRPr="00D10A26" w:rsidRDefault="00F53939" w:rsidP="00A50D03">
            <w:pPr>
              <w:ind w:right="115"/>
              <w:rPr>
                <w:rFonts w:asciiTheme="minorHAnsi" w:eastAsia="Poppins" w:hAnsiTheme="minorHAnsi" w:cstheme="minorHAnsi"/>
                <w:sz w:val="20"/>
                <w:szCs w:val="20"/>
              </w:rPr>
            </w:pPr>
          </w:p>
        </w:tc>
        <w:tc>
          <w:tcPr>
            <w:tcW w:w="477" w:type="pct"/>
            <w:tcBorders>
              <w:top w:val="single" w:sz="4" w:space="0" w:color="auto"/>
              <w:left w:val="nil"/>
              <w:bottom w:val="single" w:sz="4" w:space="0" w:color="auto"/>
              <w:right w:val="nil"/>
            </w:tcBorders>
            <w:shd w:val="clear" w:color="auto" w:fill="F2F2F2" w:themeFill="background1" w:themeFillShade="F2"/>
          </w:tcPr>
          <w:p w14:paraId="5DAD7A15" w14:textId="77777777" w:rsidR="00F53939" w:rsidRPr="00320CA7" w:rsidRDefault="00F53939" w:rsidP="00A50D03">
            <w:pPr>
              <w:jc w:val="right"/>
              <w:rPr>
                <w:rFonts w:asciiTheme="minorHAnsi" w:hAnsiTheme="minorHAnsi" w:cstheme="minorHAnsi"/>
                <w:b/>
                <w:sz w:val="20"/>
                <w:szCs w:val="20"/>
              </w:rPr>
            </w:pPr>
          </w:p>
        </w:tc>
        <w:tc>
          <w:tcPr>
            <w:tcW w:w="583" w:type="pct"/>
            <w:tcBorders>
              <w:top w:val="single" w:sz="4" w:space="0" w:color="auto"/>
              <w:left w:val="nil"/>
              <w:bottom w:val="single" w:sz="4" w:space="0" w:color="auto"/>
              <w:right w:val="nil"/>
            </w:tcBorders>
            <w:vAlign w:val="bottom"/>
          </w:tcPr>
          <w:p w14:paraId="63316399" w14:textId="77777777" w:rsidR="00F53939" w:rsidRPr="00320CA7" w:rsidRDefault="00F53939" w:rsidP="00A50D03">
            <w:pPr>
              <w:jc w:val="right"/>
              <w:rPr>
                <w:rFonts w:asciiTheme="minorHAnsi" w:hAnsiTheme="minorHAnsi" w:cstheme="minorHAnsi"/>
                <w:color w:val="FF0000"/>
                <w:sz w:val="20"/>
                <w:szCs w:val="20"/>
              </w:rPr>
            </w:pPr>
          </w:p>
        </w:tc>
        <w:tc>
          <w:tcPr>
            <w:tcW w:w="584" w:type="pct"/>
            <w:tcBorders>
              <w:top w:val="single" w:sz="4" w:space="0" w:color="auto"/>
              <w:left w:val="nil"/>
              <w:bottom w:val="single" w:sz="4" w:space="0" w:color="auto"/>
              <w:right w:val="nil"/>
            </w:tcBorders>
          </w:tcPr>
          <w:p w14:paraId="78C6DAF7" w14:textId="77777777" w:rsidR="00F53939" w:rsidRPr="00320CA7" w:rsidRDefault="00F53939" w:rsidP="00A50D03">
            <w:pPr>
              <w:jc w:val="right"/>
              <w:rPr>
                <w:rFonts w:asciiTheme="minorHAnsi" w:hAnsiTheme="minorHAnsi" w:cstheme="minorHAnsi"/>
                <w:iCs/>
                <w:color w:val="FF0000"/>
                <w:sz w:val="20"/>
                <w:szCs w:val="20"/>
              </w:rPr>
            </w:pPr>
          </w:p>
        </w:tc>
        <w:tc>
          <w:tcPr>
            <w:tcW w:w="531" w:type="pct"/>
            <w:tcBorders>
              <w:top w:val="single" w:sz="4" w:space="0" w:color="auto"/>
              <w:left w:val="nil"/>
              <w:bottom w:val="single" w:sz="4" w:space="0" w:color="auto"/>
              <w:right w:val="nil"/>
            </w:tcBorders>
          </w:tcPr>
          <w:p w14:paraId="7FCB35A1" w14:textId="77777777" w:rsidR="00F53939" w:rsidRPr="00320CA7" w:rsidRDefault="00F53939" w:rsidP="00A50D03">
            <w:pPr>
              <w:jc w:val="right"/>
              <w:rPr>
                <w:rFonts w:asciiTheme="minorHAnsi" w:hAnsiTheme="minorHAnsi" w:cstheme="minorHAnsi"/>
                <w:iCs/>
                <w:color w:val="FF0000"/>
                <w:sz w:val="20"/>
                <w:szCs w:val="20"/>
              </w:rPr>
            </w:pPr>
          </w:p>
        </w:tc>
        <w:tc>
          <w:tcPr>
            <w:tcW w:w="531" w:type="pct"/>
            <w:tcBorders>
              <w:top w:val="single" w:sz="4" w:space="0" w:color="auto"/>
              <w:left w:val="nil"/>
              <w:bottom w:val="single" w:sz="4" w:space="0" w:color="auto"/>
              <w:right w:val="nil"/>
            </w:tcBorders>
          </w:tcPr>
          <w:p w14:paraId="31D56417" w14:textId="77777777" w:rsidR="00F53939" w:rsidRPr="00320CA7" w:rsidRDefault="00F53939" w:rsidP="00A50D03">
            <w:pPr>
              <w:jc w:val="right"/>
              <w:rPr>
                <w:rFonts w:asciiTheme="minorHAnsi" w:hAnsiTheme="minorHAnsi" w:cstheme="minorHAnsi"/>
                <w:iCs/>
                <w:color w:val="FF0000"/>
                <w:sz w:val="20"/>
                <w:szCs w:val="20"/>
              </w:rPr>
            </w:pPr>
          </w:p>
        </w:tc>
      </w:tr>
      <w:tr w:rsidR="00BC3CC5" w:rsidRPr="005E46B1" w14:paraId="0BDFF333" w14:textId="77777777" w:rsidTr="00DA775C">
        <w:trPr>
          <w:trHeight w:val="240"/>
        </w:trPr>
        <w:tc>
          <w:tcPr>
            <w:tcW w:w="2294" w:type="pct"/>
            <w:tcBorders>
              <w:top w:val="single" w:sz="4" w:space="0" w:color="auto"/>
              <w:left w:val="nil"/>
              <w:bottom w:val="single" w:sz="4" w:space="0" w:color="FFFFFF"/>
              <w:right w:val="nil"/>
            </w:tcBorders>
            <w:vAlign w:val="center"/>
          </w:tcPr>
          <w:p w14:paraId="205D0A38"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Asset yield (%)</w:t>
            </w:r>
            <w:r w:rsidRPr="00D10A26">
              <w:rPr>
                <w:rFonts w:asciiTheme="minorHAnsi" w:eastAsia="Poppins" w:hAnsiTheme="minorHAnsi" w:cstheme="minorHAnsi"/>
                <w:sz w:val="20"/>
                <w:szCs w:val="20"/>
                <w:vertAlign w:val="superscript"/>
              </w:rPr>
              <w:t>2</w:t>
            </w:r>
          </w:p>
        </w:tc>
        <w:tc>
          <w:tcPr>
            <w:tcW w:w="477" w:type="pct"/>
            <w:tcBorders>
              <w:top w:val="single" w:sz="4" w:space="0" w:color="auto"/>
              <w:left w:val="nil"/>
              <w:bottom w:val="nil"/>
              <w:right w:val="nil"/>
            </w:tcBorders>
            <w:shd w:val="clear" w:color="auto" w:fill="F2F2F2" w:themeFill="background1" w:themeFillShade="F2"/>
          </w:tcPr>
          <w:p w14:paraId="2C5DDC70"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27.8</w:t>
            </w:r>
          </w:p>
        </w:tc>
        <w:tc>
          <w:tcPr>
            <w:tcW w:w="583" w:type="pct"/>
            <w:tcBorders>
              <w:top w:val="single" w:sz="4" w:space="0" w:color="auto"/>
              <w:left w:val="nil"/>
              <w:bottom w:val="single" w:sz="4" w:space="0" w:color="FFFFFF"/>
              <w:right w:val="nil"/>
            </w:tcBorders>
          </w:tcPr>
          <w:p w14:paraId="27DE8337" w14:textId="77777777" w:rsidR="00F53939" w:rsidRPr="00D10A26"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28.2</w:t>
            </w:r>
          </w:p>
        </w:tc>
        <w:tc>
          <w:tcPr>
            <w:tcW w:w="584" w:type="pct"/>
            <w:tcBorders>
              <w:top w:val="single" w:sz="4" w:space="0" w:color="auto"/>
              <w:left w:val="nil"/>
              <w:bottom w:val="single" w:sz="4" w:space="0" w:color="FFFFFF"/>
              <w:right w:val="nil"/>
            </w:tcBorders>
          </w:tcPr>
          <w:p w14:paraId="1E5C963F" w14:textId="77777777" w:rsidR="00F53939" w:rsidRPr="00320CA7"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27.6</w:t>
            </w:r>
          </w:p>
        </w:tc>
        <w:tc>
          <w:tcPr>
            <w:tcW w:w="531" w:type="pct"/>
            <w:tcBorders>
              <w:top w:val="single" w:sz="4" w:space="0" w:color="auto"/>
              <w:left w:val="nil"/>
              <w:bottom w:val="single" w:sz="4" w:space="0" w:color="FFFFFF"/>
              <w:right w:val="nil"/>
            </w:tcBorders>
          </w:tcPr>
          <w:p w14:paraId="60FCAA6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(0.4)</w:t>
            </w:r>
          </w:p>
        </w:tc>
        <w:tc>
          <w:tcPr>
            <w:tcW w:w="531" w:type="pct"/>
            <w:tcBorders>
              <w:top w:val="single" w:sz="4" w:space="0" w:color="auto"/>
              <w:left w:val="nil"/>
              <w:bottom w:val="single" w:sz="4" w:space="0" w:color="FFFFFF"/>
              <w:right w:val="nil"/>
            </w:tcBorders>
          </w:tcPr>
          <w:p w14:paraId="58212D9E"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0.2</w:t>
            </w:r>
          </w:p>
        </w:tc>
      </w:tr>
      <w:tr w:rsidR="00BC3CC5" w:rsidRPr="005E46B1" w14:paraId="7ECA9B27" w14:textId="77777777" w:rsidTr="00DA775C">
        <w:trPr>
          <w:trHeight w:val="240"/>
        </w:trPr>
        <w:tc>
          <w:tcPr>
            <w:tcW w:w="2294" w:type="pct"/>
            <w:tcBorders>
              <w:top w:val="nil"/>
              <w:left w:val="nil"/>
              <w:bottom w:val="single" w:sz="4" w:space="0" w:color="FFFFFF"/>
              <w:right w:val="nil"/>
            </w:tcBorders>
            <w:vAlign w:val="center"/>
          </w:tcPr>
          <w:p w14:paraId="2981951D"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Net interest margin (%)</w:t>
            </w:r>
            <w:r w:rsidRPr="00D10A26">
              <w:rPr>
                <w:rFonts w:asciiTheme="minorHAnsi" w:eastAsia="Poppins" w:hAnsiTheme="minorHAnsi" w:cstheme="minorHAnsi"/>
                <w:sz w:val="20"/>
                <w:szCs w:val="20"/>
                <w:vertAlign w:val="superscript"/>
              </w:rPr>
              <w:t>3</w:t>
            </w:r>
          </w:p>
        </w:tc>
        <w:tc>
          <w:tcPr>
            <w:tcW w:w="477" w:type="pct"/>
            <w:tcBorders>
              <w:top w:val="nil"/>
              <w:left w:val="nil"/>
              <w:bottom w:val="nil"/>
              <w:right w:val="nil"/>
            </w:tcBorders>
            <w:shd w:val="clear" w:color="auto" w:fill="F2F2F2" w:themeFill="background1" w:themeFillShade="F2"/>
          </w:tcPr>
          <w:p w14:paraId="6B424C1B"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24.0</w:t>
            </w:r>
          </w:p>
        </w:tc>
        <w:tc>
          <w:tcPr>
            <w:tcW w:w="583" w:type="pct"/>
            <w:tcBorders>
              <w:top w:val="nil"/>
              <w:left w:val="nil"/>
              <w:bottom w:val="single" w:sz="4" w:space="0" w:color="FFFFFF"/>
              <w:right w:val="nil"/>
            </w:tcBorders>
          </w:tcPr>
          <w:p w14:paraId="696E8817" w14:textId="77777777" w:rsidR="00F53939" w:rsidRPr="00D10A26"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24.1</w:t>
            </w:r>
          </w:p>
        </w:tc>
        <w:tc>
          <w:tcPr>
            <w:tcW w:w="584" w:type="pct"/>
            <w:tcBorders>
              <w:top w:val="nil"/>
              <w:left w:val="nil"/>
              <w:bottom w:val="single" w:sz="4" w:space="0" w:color="FFFFFF"/>
              <w:right w:val="nil"/>
            </w:tcBorders>
          </w:tcPr>
          <w:p w14:paraId="5067C3EE" w14:textId="77777777" w:rsidR="00F53939" w:rsidRPr="00320CA7"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23.5</w:t>
            </w:r>
          </w:p>
        </w:tc>
        <w:tc>
          <w:tcPr>
            <w:tcW w:w="531" w:type="pct"/>
            <w:tcBorders>
              <w:top w:val="nil"/>
              <w:left w:val="nil"/>
              <w:bottom w:val="single" w:sz="4" w:space="0" w:color="FFFFFF"/>
              <w:right w:val="nil"/>
            </w:tcBorders>
          </w:tcPr>
          <w:p w14:paraId="37D458AE"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(0.1)</w:t>
            </w:r>
          </w:p>
        </w:tc>
        <w:tc>
          <w:tcPr>
            <w:tcW w:w="531" w:type="pct"/>
            <w:tcBorders>
              <w:top w:val="nil"/>
              <w:left w:val="nil"/>
              <w:bottom w:val="single" w:sz="4" w:space="0" w:color="FFFFFF"/>
              <w:right w:val="nil"/>
            </w:tcBorders>
          </w:tcPr>
          <w:p w14:paraId="685ACF2B"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0.5</w:t>
            </w:r>
          </w:p>
        </w:tc>
      </w:tr>
      <w:tr w:rsidR="00BC3CC5" w:rsidRPr="005E46B1" w14:paraId="736CEF8A" w14:textId="77777777" w:rsidTr="00DA775C">
        <w:trPr>
          <w:trHeight w:val="240"/>
        </w:trPr>
        <w:tc>
          <w:tcPr>
            <w:tcW w:w="2294" w:type="pct"/>
            <w:tcBorders>
              <w:top w:val="nil"/>
              <w:left w:val="nil"/>
              <w:bottom w:val="single" w:sz="4" w:space="0" w:color="FFFFFF"/>
              <w:right w:val="nil"/>
            </w:tcBorders>
            <w:vAlign w:val="center"/>
          </w:tcPr>
          <w:p w14:paraId="3DAF3502"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Total income margin (%)</w:t>
            </w:r>
            <w:r w:rsidRPr="00D10A26">
              <w:rPr>
                <w:rFonts w:asciiTheme="minorHAnsi" w:eastAsia="Poppins" w:hAnsiTheme="minorHAnsi" w:cstheme="minorHAnsi"/>
                <w:sz w:val="20"/>
                <w:szCs w:val="20"/>
                <w:vertAlign w:val="superscript"/>
              </w:rPr>
              <w:t>4</w:t>
            </w:r>
          </w:p>
        </w:tc>
        <w:tc>
          <w:tcPr>
            <w:tcW w:w="477" w:type="pct"/>
            <w:tcBorders>
              <w:top w:val="nil"/>
              <w:left w:val="nil"/>
              <w:bottom w:val="nil"/>
              <w:right w:val="nil"/>
            </w:tcBorders>
            <w:shd w:val="clear" w:color="auto" w:fill="F2F2F2" w:themeFill="background1" w:themeFillShade="F2"/>
          </w:tcPr>
          <w:p w14:paraId="059161BA"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26.5</w:t>
            </w:r>
          </w:p>
        </w:tc>
        <w:tc>
          <w:tcPr>
            <w:tcW w:w="583" w:type="pct"/>
            <w:tcBorders>
              <w:top w:val="nil"/>
              <w:left w:val="nil"/>
              <w:bottom w:val="single" w:sz="4" w:space="0" w:color="FFFFFF"/>
              <w:right w:val="nil"/>
            </w:tcBorders>
          </w:tcPr>
          <w:p w14:paraId="355EC170" w14:textId="77777777" w:rsidR="00F53939" w:rsidRPr="00D10A26"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26.7</w:t>
            </w:r>
          </w:p>
        </w:tc>
        <w:tc>
          <w:tcPr>
            <w:tcW w:w="584" w:type="pct"/>
            <w:tcBorders>
              <w:top w:val="nil"/>
              <w:left w:val="nil"/>
              <w:bottom w:val="single" w:sz="4" w:space="0" w:color="FFFFFF"/>
              <w:right w:val="nil"/>
            </w:tcBorders>
          </w:tcPr>
          <w:p w14:paraId="0F2FA741" w14:textId="77777777" w:rsidR="00F53939" w:rsidRPr="00320CA7"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26.3</w:t>
            </w:r>
          </w:p>
        </w:tc>
        <w:tc>
          <w:tcPr>
            <w:tcW w:w="531" w:type="pct"/>
            <w:tcBorders>
              <w:top w:val="nil"/>
              <w:left w:val="nil"/>
              <w:bottom w:val="single" w:sz="4" w:space="0" w:color="FFFFFF"/>
              <w:right w:val="nil"/>
            </w:tcBorders>
          </w:tcPr>
          <w:p w14:paraId="3230199E"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(0.2)</w:t>
            </w:r>
          </w:p>
        </w:tc>
        <w:tc>
          <w:tcPr>
            <w:tcW w:w="531" w:type="pct"/>
            <w:tcBorders>
              <w:top w:val="nil"/>
              <w:left w:val="nil"/>
              <w:bottom w:val="single" w:sz="4" w:space="0" w:color="FFFFFF"/>
              <w:right w:val="nil"/>
            </w:tcBorders>
          </w:tcPr>
          <w:p w14:paraId="7A53944B"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0.2</w:t>
            </w:r>
          </w:p>
        </w:tc>
      </w:tr>
      <w:tr w:rsidR="00BC3CC5" w:rsidRPr="005E46B1" w14:paraId="4E979B20" w14:textId="77777777" w:rsidTr="00DA775C">
        <w:trPr>
          <w:trHeight w:val="240"/>
        </w:trPr>
        <w:tc>
          <w:tcPr>
            <w:tcW w:w="2294" w:type="pct"/>
            <w:tcBorders>
              <w:top w:val="single" w:sz="4" w:space="0" w:color="FFFFFF"/>
              <w:left w:val="nil"/>
              <w:bottom w:val="single" w:sz="4" w:space="0" w:color="FFFFFF"/>
              <w:right w:val="nil"/>
            </w:tcBorders>
            <w:vAlign w:val="center"/>
          </w:tcPr>
          <w:p w14:paraId="352E695C"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Cost of risk (%)</w:t>
            </w:r>
            <w:r w:rsidRPr="00D10A26">
              <w:rPr>
                <w:rFonts w:asciiTheme="minorHAnsi" w:eastAsia="Poppins" w:hAnsiTheme="minorHAnsi" w:cstheme="minorHAnsi"/>
                <w:sz w:val="20"/>
                <w:szCs w:val="20"/>
                <w:vertAlign w:val="superscript"/>
              </w:rPr>
              <w:t>5</w:t>
            </w:r>
          </w:p>
        </w:tc>
        <w:tc>
          <w:tcPr>
            <w:tcW w:w="477" w:type="pct"/>
            <w:tcBorders>
              <w:top w:val="nil"/>
              <w:left w:val="nil"/>
              <w:bottom w:val="nil"/>
              <w:right w:val="nil"/>
            </w:tcBorders>
            <w:shd w:val="clear" w:color="auto" w:fill="F2F2F2" w:themeFill="background1" w:themeFillShade="F2"/>
          </w:tcPr>
          <w:p w14:paraId="508CBB5F"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(10.0)</w:t>
            </w:r>
          </w:p>
        </w:tc>
        <w:tc>
          <w:tcPr>
            <w:tcW w:w="583" w:type="pct"/>
            <w:tcBorders>
              <w:top w:val="single" w:sz="4" w:space="0" w:color="FFFFFF"/>
              <w:left w:val="nil"/>
              <w:bottom w:val="single" w:sz="4" w:space="0" w:color="FFFFFF"/>
              <w:right w:val="nil"/>
            </w:tcBorders>
          </w:tcPr>
          <w:p w14:paraId="41FD1A42" w14:textId="77777777" w:rsidR="00F53939" w:rsidRPr="00D10A26"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(9.4)</w:t>
            </w:r>
          </w:p>
        </w:tc>
        <w:tc>
          <w:tcPr>
            <w:tcW w:w="584" w:type="pct"/>
            <w:tcBorders>
              <w:top w:val="single" w:sz="4" w:space="0" w:color="FFFFFF"/>
              <w:left w:val="nil"/>
              <w:bottom w:val="single" w:sz="4" w:space="0" w:color="FFFFFF"/>
              <w:right w:val="nil"/>
            </w:tcBorders>
          </w:tcPr>
          <w:p w14:paraId="25E51B4A" w14:textId="77777777" w:rsidR="00F53939" w:rsidRPr="00320CA7"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(9.5)</w:t>
            </w:r>
          </w:p>
        </w:tc>
        <w:tc>
          <w:tcPr>
            <w:tcW w:w="531" w:type="pct"/>
            <w:tcBorders>
              <w:top w:val="single" w:sz="4" w:space="0" w:color="FFFFFF"/>
              <w:left w:val="nil"/>
              <w:bottom w:val="single" w:sz="4" w:space="0" w:color="FFFFFF"/>
              <w:right w:val="nil"/>
            </w:tcBorders>
          </w:tcPr>
          <w:p w14:paraId="61549A08"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(0.6)</w:t>
            </w:r>
          </w:p>
        </w:tc>
        <w:tc>
          <w:tcPr>
            <w:tcW w:w="531" w:type="pct"/>
            <w:tcBorders>
              <w:top w:val="single" w:sz="4" w:space="0" w:color="FFFFFF"/>
              <w:left w:val="nil"/>
              <w:bottom w:val="single" w:sz="4" w:space="0" w:color="FFFFFF"/>
              <w:right w:val="nil"/>
            </w:tcBorders>
          </w:tcPr>
          <w:p w14:paraId="05A60EEF"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(0.5)</w:t>
            </w:r>
          </w:p>
        </w:tc>
      </w:tr>
      <w:tr w:rsidR="00BC3CC5" w:rsidRPr="005E46B1" w14:paraId="4A2A06E0" w14:textId="77777777" w:rsidTr="00DA775C">
        <w:trPr>
          <w:trHeight w:val="240"/>
        </w:trPr>
        <w:tc>
          <w:tcPr>
            <w:tcW w:w="2294" w:type="pct"/>
            <w:tcBorders>
              <w:top w:val="single" w:sz="4" w:space="0" w:color="FFFFFF"/>
              <w:left w:val="nil"/>
              <w:bottom w:val="single" w:sz="4" w:space="0" w:color="FFFFFF"/>
              <w:right w:val="nil"/>
            </w:tcBorders>
            <w:vAlign w:val="center"/>
          </w:tcPr>
          <w:p w14:paraId="2926EC39"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Risk adjusted margin (%)</w:t>
            </w:r>
            <w:r w:rsidRPr="00D10A26">
              <w:rPr>
                <w:rFonts w:asciiTheme="minorHAnsi" w:eastAsia="Poppins" w:hAnsiTheme="minorHAnsi" w:cstheme="minorHAnsi"/>
                <w:sz w:val="20"/>
                <w:szCs w:val="20"/>
                <w:vertAlign w:val="superscript"/>
              </w:rPr>
              <w:t>6</w:t>
            </w:r>
          </w:p>
        </w:tc>
        <w:tc>
          <w:tcPr>
            <w:tcW w:w="477" w:type="pct"/>
            <w:tcBorders>
              <w:top w:val="nil"/>
              <w:left w:val="nil"/>
              <w:bottom w:val="nil"/>
              <w:right w:val="nil"/>
            </w:tcBorders>
            <w:shd w:val="clear" w:color="auto" w:fill="F2F2F2" w:themeFill="background1" w:themeFillShade="F2"/>
          </w:tcPr>
          <w:p w14:paraId="55411921"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16.5</w:t>
            </w:r>
          </w:p>
        </w:tc>
        <w:tc>
          <w:tcPr>
            <w:tcW w:w="583" w:type="pct"/>
            <w:tcBorders>
              <w:top w:val="single" w:sz="4" w:space="0" w:color="FFFFFF"/>
              <w:left w:val="nil"/>
              <w:bottom w:val="single" w:sz="4" w:space="0" w:color="FFFFFF"/>
              <w:right w:val="nil"/>
            </w:tcBorders>
          </w:tcPr>
          <w:p w14:paraId="3D6DD956" w14:textId="77777777" w:rsidR="00F53939" w:rsidRPr="00D10A26"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17.3</w:t>
            </w:r>
          </w:p>
        </w:tc>
        <w:tc>
          <w:tcPr>
            <w:tcW w:w="584" w:type="pct"/>
            <w:tcBorders>
              <w:top w:val="single" w:sz="4" w:space="0" w:color="FFFFFF"/>
              <w:left w:val="nil"/>
              <w:bottom w:val="single" w:sz="4" w:space="0" w:color="FFFFFF"/>
              <w:right w:val="nil"/>
            </w:tcBorders>
          </w:tcPr>
          <w:p w14:paraId="3A37839F" w14:textId="77777777" w:rsidR="00F53939" w:rsidRPr="00320CA7"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16.8</w:t>
            </w:r>
          </w:p>
        </w:tc>
        <w:tc>
          <w:tcPr>
            <w:tcW w:w="531" w:type="pct"/>
            <w:tcBorders>
              <w:top w:val="single" w:sz="4" w:space="0" w:color="FFFFFF"/>
              <w:left w:val="nil"/>
              <w:bottom w:val="single" w:sz="4" w:space="0" w:color="FFFFFF"/>
              <w:right w:val="nil"/>
            </w:tcBorders>
          </w:tcPr>
          <w:p w14:paraId="7EC13A42"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(0.8)</w:t>
            </w:r>
          </w:p>
        </w:tc>
        <w:tc>
          <w:tcPr>
            <w:tcW w:w="531" w:type="pct"/>
            <w:tcBorders>
              <w:top w:val="single" w:sz="4" w:space="0" w:color="FFFFFF"/>
              <w:left w:val="nil"/>
              <w:bottom w:val="single" w:sz="4" w:space="0" w:color="FFFFFF"/>
              <w:right w:val="nil"/>
            </w:tcBorders>
          </w:tcPr>
          <w:p w14:paraId="55E4EB77"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(0.3)</w:t>
            </w:r>
          </w:p>
        </w:tc>
      </w:tr>
      <w:tr w:rsidR="00BC3CC5" w:rsidRPr="005E46B1" w14:paraId="2EDA0A44" w14:textId="77777777" w:rsidTr="00DA775C">
        <w:trPr>
          <w:trHeight w:val="240"/>
        </w:trPr>
        <w:tc>
          <w:tcPr>
            <w:tcW w:w="2294" w:type="pct"/>
            <w:tcBorders>
              <w:top w:val="single" w:sz="4" w:space="0" w:color="FFFFFF"/>
              <w:left w:val="nil"/>
              <w:bottom w:val="single" w:sz="4" w:space="0" w:color="auto"/>
              <w:right w:val="nil"/>
            </w:tcBorders>
            <w:vAlign w:val="center"/>
          </w:tcPr>
          <w:p w14:paraId="4956A6A0" w14:textId="77777777" w:rsidR="00F53939" w:rsidRPr="00D10A26" w:rsidRDefault="00F53939" w:rsidP="00A50D03">
            <w:pPr>
              <w:ind w:right="115"/>
              <w:rPr>
                <w:rFonts w:asciiTheme="minorHAnsi" w:eastAsia="Poppins" w:hAnsiTheme="minorHAnsi" w:cstheme="minorHAnsi"/>
                <w:sz w:val="20"/>
                <w:szCs w:val="20"/>
              </w:rPr>
            </w:pPr>
            <w:r w:rsidRPr="00D10A26">
              <w:rPr>
                <w:rFonts w:asciiTheme="minorHAnsi" w:eastAsia="Poppins" w:hAnsiTheme="minorHAnsi" w:cstheme="minorHAnsi"/>
                <w:sz w:val="20"/>
                <w:szCs w:val="20"/>
              </w:rPr>
              <w:t>Cost: income ratio (%)</w:t>
            </w:r>
            <w:r w:rsidRPr="00D10A26">
              <w:rPr>
                <w:rFonts w:asciiTheme="minorHAnsi" w:eastAsia="Poppins" w:hAnsiTheme="minorHAnsi" w:cstheme="minorHAnsi"/>
                <w:sz w:val="20"/>
                <w:szCs w:val="20"/>
                <w:vertAlign w:val="superscript"/>
              </w:rPr>
              <w:t>7</w:t>
            </w:r>
          </w:p>
        </w:tc>
        <w:tc>
          <w:tcPr>
            <w:tcW w:w="477" w:type="pct"/>
            <w:tcBorders>
              <w:top w:val="nil"/>
              <w:left w:val="nil"/>
              <w:bottom w:val="single" w:sz="4" w:space="0" w:color="auto"/>
              <w:right w:val="nil"/>
            </w:tcBorders>
            <w:shd w:val="clear" w:color="auto" w:fill="F2F2F2" w:themeFill="background1" w:themeFillShade="F2"/>
          </w:tcPr>
          <w:p w14:paraId="1C432D81"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55.0</w:t>
            </w:r>
          </w:p>
        </w:tc>
        <w:tc>
          <w:tcPr>
            <w:tcW w:w="583" w:type="pct"/>
            <w:tcBorders>
              <w:top w:val="single" w:sz="4" w:space="0" w:color="FFFFFF"/>
              <w:left w:val="nil"/>
              <w:bottom w:val="single" w:sz="4" w:space="0" w:color="auto"/>
              <w:right w:val="nil"/>
            </w:tcBorders>
          </w:tcPr>
          <w:p w14:paraId="58357E7C" w14:textId="77777777" w:rsidR="00F53939" w:rsidRPr="00D10A26"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54.0</w:t>
            </w:r>
          </w:p>
        </w:tc>
        <w:tc>
          <w:tcPr>
            <w:tcW w:w="584" w:type="pct"/>
            <w:tcBorders>
              <w:top w:val="single" w:sz="4" w:space="0" w:color="FFFFFF"/>
              <w:left w:val="nil"/>
              <w:bottom w:val="single" w:sz="4" w:space="0" w:color="auto"/>
              <w:right w:val="nil"/>
            </w:tcBorders>
          </w:tcPr>
          <w:p w14:paraId="174245F9" w14:textId="77777777" w:rsidR="00F53939" w:rsidRPr="00320CA7" w:rsidRDefault="00F53939" w:rsidP="00A50D03">
            <w:pPr>
              <w:jc w:val="right"/>
              <w:rPr>
                <w:rFonts w:asciiTheme="minorHAnsi" w:hAnsiTheme="minorHAnsi" w:cstheme="minorHAnsi"/>
                <w:iCs/>
                <w:sz w:val="20"/>
                <w:szCs w:val="20"/>
              </w:rPr>
            </w:pPr>
            <w:r w:rsidRPr="00D10A26">
              <w:rPr>
                <w:rFonts w:asciiTheme="minorHAnsi" w:hAnsiTheme="minorHAnsi" w:cstheme="minorHAnsi"/>
                <w:iCs/>
                <w:sz w:val="20"/>
                <w:szCs w:val="20"/>
              </w:rPr>
              <w:t>57.3</w:t>
            </w:r>
          </w:p>
        </w:tc>
        <w:tc>
          <w:tcPr>
            <w:tcW w:w="531" w:type="pct"/>
            <w:tcBorders>
              <w:top w:val="single" w:sz="4" w:space="0" w:color="FFFFFF"/>
              <w:left w:val="nil"/>
              <w:bottom w:val="single" w:sz="4" w:space="0" w:color="auto"/>
              <w:right w:val="nil"/>
            </w:tcBorders>
          </w:tcPr>
          <w:p w14:paraId="64831CA6"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1.0</w:t>
            </w:r>
          </w:p>
        </w:tc>
        <w:tc>
          <w:tcPr>
            <w:tcW w:w="531" w:type="pct"/>
            <w:tcBorders>
              <w:top w:val="single" w:sz="4" w:space="0" w:color="FFFFFF"/>
              <w:left w:val="nil"/>
              <w:bottom w:val="single" w:sz="4" w:space="0" w:color="auto"/>
              <w:right w:val="nil"/>
            </w:tcBorders>
          </w:tcPr>
          <w:p w14:paraId="14EEF92E"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(2.3)</w:t>
            </w:r>
          </w:p>
        </w:tc>
      </w:tr>
    </w:tbl>
    <w:p w14:paraId="7DC8A126" w14:textId="77777777" w:rsidR="00F53939" w:rsidRDefault="00F53939" w:rsidP="00F53939"/>
    <w:p w14:paraId="14DB35D4" w14:textId="44AD26D5" w:rsidR="00F53939" w:rsidRPr="00A166EB" w:rsidRDefault="00F53939" w:rsidP="00F53939">
      <w:pPr>
        <w:jc w:val="both"/>
        <w:rPr>
          <w:rFonts w:ascii="Calibri" w:eastAsia="Calibri" w:hAnsi="Calibri" w:cs="Calibri"/>
          <w:i/>
          <w:color w:val="000000" w:themeColor="text1"/>
          <w:sz w:val="18"/>
          <w:szCs w:val="18"/>
          <w:lang w:eastAsia="en-US"/>
        </w:rPr>
      </w:pPr>
      <w:r w:rsidRPr="00A166EB">
        <w:rPr>
          <w:rFonts w:ascii="Calibri" w:eastAsia="Calibri" w:hAnsi="Calibri" w:cs="Calibri"/>
          <w:i/>
          <w:color w:val="000000" w:themeColor="text1"/>
          <w:sz w:val="18"/>
          <w:szCs w:val="18"/>
          <w:vertAlign w:val="superscript"/>
          <w:lang w:eastAsia="en-US"/>
        </w:rPr>
        <w:t>1</w:t>
      </w:r>
      <w:r w:rsidRPr="00A166EB">
        <w:rPr>
          <w:rFonts w:ascii="Calibri" w:eastAsia="Calibri" w:hAnsi="Calibri" w:cs="Calibri"/>
          <w:i/>
          <w:color w:val="000000" w:themeColor="text1"/>
          <w:sz w:val="18"/>
          <w:szCs w:val="18"/>
          <w:lang w:eastAsia="en-US"/>
        </w:rPr>
        <w:t xml:space="preserve"> Average of gross customer interest</w:t>
      </w:r>
      <w:r w:rsidR="00935C2C">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balances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 xml:space="preserve">31 December using a </w:t>
      </w:r>
      <w:r>
        <w:rPr>
          <w:rFonts w:ascii="Calibri" w:eastAsia="Calibri" w:hAnsi="Calibri" w:cs="Calibri"/>
          <w:i/>
          <w:color w:val="000000" w:themeColor="text1"/>
          <w:sz w:val="18"/>
          <w:szCs w:val="18"/>
          <w:lang w:eastAsia="en-US"/>
        </w:rPr>
        <w:t xml:space="preserve">7 </w:t>
      </w:r>
      <w:r w:rsidRPr="00A166EB">
        <w:rPr>
          <w:rFonts w:ascii="Calibri" w:eastAsia="Calibri" w:hAnsi="Calibri" w:cs="Calibri"/>
          <w:i/>
          <w:color w:val="000000" w:themeColor="text1"/>
          <w:sz w:val="18"/>
          <w:szCs w:val="18"/>
          <w:lang w:eastAsia="en-US"/>
        </w:rPr>
        <w:t>point month end average.</w:t>
      </w:r>
    </w:p>
    <w:p w14:paraId="38ACC5C8" w14:textId="38C0323A" w:rsidR="00F53939" w:rsidRPr="00A166EB" w:rsidRDefault="00F53939" w:rsidP="00F53939">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2</w:t>
      </w:r>
      <w:r w:rsidRPr="00A166EB">
        <w:rPr>
          <w:rFonts w:ascii="Calibri" w:eastAsia="Calibri" w:hAnsi="Calibri" w:cs="Calibri"/>
          <w:i/>
          <w:color w:val="000000" w:themeColor="text1"/>
          <w:sz w:val="18"/>
          <w:szCs w:val="18"/>
          <w:lang w:eastAsia="en-US"/>
        </w:rPr>
        <w:t xml:space="preserve"> Interest income from customer receivables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sidR="00935C2C">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572C533C" w14:textId="640B7A70" w:rsidR="00F53939" w:rsidRPr="00A166EB" w:rsidRDefault="00F53939" w:rsidP="00F53939">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3</w:t>
      </w:r>
      <w:r w:rsidRPr="00A166EB">
        <w:rPr>
          <w:rFonts w:ascii="Calibri" w:eastAsia="Calibri" w:hAnsi="Calibri" w:cs="Calibri"/>
          <w:i/>
          <w:color w:val="000000" w:themeColor="text1"/>
          <w:sz w:val="18"/>
          <w:szCs w:val="18"/>
          <w:lang w:eastAsia="en-US"/>
        </w:rPr>
        <w:t xml:space="preserve"> Net interest income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sidR="00935C2C">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5A820CDF" w14:textId="6AF98331" w:rsidR="00F53939" w:rsidRPr="00A166EB" w:rsidRDefault="00F53939" w:rsidP="00F53939">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4</w:t>
      </w:r>
      <w:r w:rsidRPr="00A166EB">
        <w:rPr>
          <w:rFonts w:ascii="Calibri" w:eastAsia="Calibri" w:hAnsi="Calibri" w:cs="Calibri"/>
          <w:i/>
          <w:color w:val="000000" w:themeColor="text1"/>
          <w:sz w:val="18"/>
          <w:szCs w:val="18"/>
          <w:lang w:eastAsia="en-US"/>
        </w:rPr>
        <w:t xml:space="preserve"> Total income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30</w:t>
      </w:r>
      <w:r w:rsidRPr="00A166EB">
        <w:rPr>
          <w:rFonts w:ascii="Calibri" w:eastAsia="Calibri" w:hAnsi="Calibri" w:cs="Calibri"/>
          <w:i/>
          <w:color w:val="000000" w:themeColor="text1"/>
          <w:sz w:val="18"/>
          <w:szCs w:val="18"/>
          <w:lang w:eastAsia="en-US"/>
        </w:rPr>
        <w:t xml:space="preserve"> </w:t>
      </w:r>
      <w:r>
        <w:rPr>
          <w:rFonts w:ascii="Calibri" w:eastAsia="Calibri" w:hAnsi="Calibri" w:cs="Calibri"/>
          <w:i/>
          <w:color w:val="000000" w:themeColor="text1"/>
          <w:sz w:val="18"/>
          <w:szCs w:val="18"/>
          <w:lang w:eastAsia="en-US"/>
        </w:rPr>
        <w:t xml:space="preserve">June and 31 </w:t>
      </w:r>
      <w:r w:rsidRPr="00A166EB">
        <w:rPr>
          <w:rFonts w:ascii="Calibri" w:eastAsia="Calibri" w:hAnsi="Calibri" w:cs="Calibri"/>
          <w:i/>
          <w:color w:val="000000" w:themeColor="text1"/>
          <w:sz w:val="18"/>
          <w:szCs w:val="18"/>
          <w:lang w:eastAsia="en-US"/>
        </w:rPr>
        <w:t>December as a percentage of average gross customer interest</w:t>
      </w:r>
      <w:r w:rsidR="00935C2C">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4A34AC51" w14:textId="6262C1AF" w:rsidR="00F53939" w:rsidRPr="00A166EB" w:rsidRDefault="00F53939" w:rsidP="00F53939">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5</w:t>
      </w:r>
      <w:r w:rsidRPr="00A166EB">
        <w:rPr>
          <w:rFonts w:ascii="Calibri" w:eastAsia="Calibri" w:hAnsi="Calibri" w:cs="Calibri"/>
          <w:i/>
          <w:color w:val="000000" w:themeColor="text1"/>
          <w:sz w:val="18"/>
          <w:szCs w:val="18"/>
          <w:lang w:eastAsia="en-US"/>
        </w:rPr>
        <w:t xml:space="preserve"> Impairment charges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sidR="00935C2C">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61C36914" w14:textId="6F09EE68" w:rsidR="00F53939" w:rsidRDefault="00F53939" w:rsidP="00F53939">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6</w:t>
      </w:r>
      <w:r w:rsidRPr="00A166EB">
        <w:rPr>
          <w:rFonts w:ascii="Calibri" w:eastAsia="Calibri" w:hAnsi="Calibri" w:cs="Calibri"/>
          <w:i/>
          <w:color w:val="000000" w:themeColor="text1"/>
          <w:sz w:val="18"/>
          <w:szCs w:val="18"/>
          <w:lang w:eastAsia="en-US"/>
        </w:rPr>
        <w:t xml:space="preserve"> Total income less impairment charges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sidR="00935C2C">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earning</w:t>
      </w:r>
      <w:r>
        <w:rPr>
          <w:rFonts w:ascii="Calibri" w:eastAsia="Calibri" w:hAnsi="Calibri" w:cs="Calibri"/>
          <w:i/>
          <w:color w:val="000000" w:themeColor="text1"/>
          <w:sz w:val="18"/>
          <w:szCs w:val="18"/>
          <w:lang w:eastAsia="en-US"/>
        </w:rPr>
        <w:t xml:space="preserve"> balances</w:t>
      </w:r>
      <w:r w:rsidRPr="00A166EB">
        <w:rPr>
          <w:rFonts w:ascii="Calibri" w:eastAsia="Calibri" w:hAnsi="Calibri" w:cs="Calibri"/>
          <w:i/>
          <w:color w:val="000000" w:themeColor="text1"/>
          <w:sz w:val="18"/>
          <w:szCs w:val="18"/>
          <w:lang w:eastAsia="en-US"/>
        </w:rPr>
        <w:t>.</w:t>
      </w:r>
    </w:p>
    <w:p w14:paraId="20A31350" w14:textId="77777777" w:rsidR="00F53939" w:rsidRPr="00A166EB" w:rsidRDefault="00F53939" w:rsidP="00F53939">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 xml:space="preserve">7 </w:t>
      </w:r>
      <w:r>
        <w:rPr>
          <w:rFonts w:ascii="Calibri" w:eastAsia="Calibri" w:hAnsi="Calibri" w:cs="Calibri"/>
          <w:i/>
          <w:color w:val="000000" w:themeColor="text1"/>
          <w:sz w:val="18"/>
          <w:szCs w:val="18"/>
          <w:lang w:eastAsia="en-US"/>
        </w:rPr>
        <w:t>O</w:t>
      </w:r>
      <w:r w:rsidRPr="0001189A">
        <w:rPr>
          <w:rFonts w:ascii="Calibri" w:eastAsia="Calibri" w:hAnsi="Calibri" w:cs="Calibri"/>
          <w:i/>
          <w:color w:val="000000" w:themeColor="text1"/>
          <w:sz w:val="18"/>
          <w:szCs w:val="18"/>
          <w:lang w:eastAsia="en-US"/>
        </w:rPr>
        <w:t xml:space="preserve">perating costs as a percentage of total income for the 6 months ended 30 June </w:t>
      </w:r>
      <w:r>
        <w:rPr>
          <w:rFonts w:ascii="Calibri" w:eastAsia="Calibri" w:hAnsi="Calibri" w:cs="Calibri"/>
          <w:i/>
          <w:color w:val="000000" w:themeColor="text1"/>
          <w:sz w:val="18"/>
          <w:szCs w:val="18"/>
          <w:lang w:eastAsia="en-US"/>
        </w:rPr>
        <w:t>and</w:t>
      </w:r>
      <w:r w:rsidRPr="0001189A">
        <w:rPr>
          <w:rFonts w:ascii="Calibri" w:eastAsia="Calibri" w:hAnsi="Calibri" w:cs="Calibri"/>
          <w:i/>
          <w:color w:val="000000" w:themeColor="text1"/>
          <w:sz w:val="18"/>
          <w:szCs w:val="18"/>
          <w:lang w:eastAsia="en-US"/>
        </w:rPr>
        <w:t xml:space="preserve"> 31 December.</w:t>
      </w:r>
    </w:p>
    <w:p w14:paraId="2B289EE2" w14:textId="77777777" w:rsidR="00F53939" w:rsidRPr="008C0E5B" w:rsidRDefault="00F53939" w:rsidP="00F53939">
      <w:pPr>
        <w:spacing w:line="259" w:lineRule="auto"/>
        <w:jc w:val="both"/>
        <w:rPr>
          <w:rFonts w:ascii="Calibri" w:eastAsia="Calibri" w:hAnsi="Calibri" w:cs="Calibri"/>
          <w:color w:val="FF0000"/>
          <w:sz w:val="20"/>
          <w:szCs w:val="20"/>
        </w:rPr>
      </w:pPr>
    </w:p>
    <w:p w14:paraId="50640E21" w14:textId="77777777" w:rsidR="00F53939" w:rsidRPr="008C0E5B" w:rsidRDefault="00F53939" w:rsidP="00F53939">
      <w:pPr>
        <w:jc w:val="both"/>
        <w:rPr>
          <w:rFonts w:asciiTheme="minorHAnsi" w:hAnsiTheme="minorHAnsi"/>
          <w:sz w:val="20"/>
          <w:szCs w:val="20"/>
        </w:rPr>
      </w:pPr>
      <w:r w:rsidRPr="008C0E5B">
        <w:rPr>
          <w:rStyle w:val="Strong"/>
          <w:rFonts w:asciiTheme="minorHAnsi" w:hAnsiTheme="minorHAnsi"/>
          <w:b w:val="0"/>
          <w:bCs w:val="0"/>
          <w:sz w:val="20"/>
          <w:szCs w:val="20"/>
        </w:rPr>
        <w:t>All commentary relates to year-on-year performance unless otherwise stated.</w:t>
      </w:r>
    </w:p>
    <w:p w14:paraId="297EF383" w14:textId="77777777" w:rsidR="00F53939" w:rsidRPr="008C0E5B" w:rsidRDefault="00F53939" w:rsidP="00F53939">
      <w:pPr>
        <w:spacing w:line="259" w:lineRule="auto"/>
        <w:jc w:val="both"/>
        <w:rPr>
          <w:rFonts w:ascii="Calibri" w:eastAsia="Calibri" w:hAnsi="Calibri" w:cs="Calibri"/>
          <w:color w:val="FF0000"/>
          <w:sz w:val="20"/>
          <w:szCs w:val="20"/>
        </w:rPr>
      </w:pPr>
    </w:p>
    <w:p w14:paraId="0650B52C" w14:textId="524C5BAB" w:rsidR="00F53939" w:rsidRPr="00062D0F" w:rsidRDefault="00F53939" w:rsidP="00F53939">
      <w:pPr>
        <w:spacing w:line="259" w:lineRule="auto"/>
        <w:jc w:val="both"/>
        <w:rPr>
          <w:rFonts w:ascii="Calibri" w:eastAsia="Calibri" w:hAnsi="Calibri" w:cs="Calibri"/>
          <w:sz w:val="20"/>
          <w:szCs w:val="20"/>
        </w:rPr>
      </w:pPr>
      <w:r w:rsidRPr="00062D0F">
        <w:rPr>
          <w:rFonts w:ascii="Calibri" w:eastAsia="Calibri" w:hAnsi="Calibri" w:cs="Calibri"/>
          <w:sz w:val="20"/>
          <w:szCs w:val="20"/>
        </w:rPr>
        <w:t>Total customer numbers decreased 2% to 1,290k</w:t>
      </w:r>
      <w:r w:rsidR="00C25F56">
        <w:rPr>
          <w:rFonts w:ascii="Calibri" w:eastAsia="Calibri" w:hAnsi="Calibri" w:cs="Calibri"/>
          <w:sz w:val="20"/>
          <w:szCs w:val="20"/>
        </w:rPr>
        <w:t>, but increased 2%</w:t>
      </w:r>
      <w:r w:rsidR="00604539">
        <w:rPr>
          <w:rFonts w:ascii="Calibri" w:eastAsia="Calibri" w:hAnsi="Calibri" w:cs="Calibri"/>
          <w:sz w:val="20"/>
          <w:szCs w:val="20"/>
        </w:rPr>
        <w:t xml:space="preserve"> </w:t>
      </w:r>
      <w:r w:rsidR="00004265">
        <w:rPr>
          <w:rFonts w:ascii="Calibri" w:eastAsia="Calibri" w:hAnsi="Calibri" w:cs="Calibri"/>
          <w:sz w:val="20"/>
          <w:szCs w:val="20"/>
        </w:rPr>
        <w:t>from December 202</w:t>
      </w:r>
      <w:r w:rsidR="00E8779A">
        <w:rPr>
          <w:rFonts w:ascii="Calibri" w:eastAsia="Calibri" w:hAnsi="Calibri" w:cs="Calibri"/>
          <w:sz w:val="20"/>
          <w:szCs w:val="20"/>
        </w:rPr>
        <w:t>4,</w:t>
      </w:r>
      <w:r w:rsidRPr="00062D0F">
        <w:rPr>
          <w:rFonts w:ascii="Calibri" w:eastAsia="Calibri" w:hAnsi="Calibri" w:cs="Calibri"/>
          <w:sz w:val="20"/>
          <w:szCs w:val="20"/>
        </w:rPr>
        <w:t xml:space="preserve"> reflecting a return to growth in 2Q25 following a </w:t>
      </w:r>
      <w:r w:rsidRPr="00062D0F">
        <w:rPr>
          <w:rFonts w:asciiTheme="minorHAnsi" w:hAnsiTheme="minorHAnsi"/>
          <w:sz w:val="20"/>
          <w:szCs w:val="20"/>
        </w:rPr>
        <w:t>comprehensive review of customer cohorts by risk profile, vintage and acquisition channel to ensure the future sustainable profitability of the portfolio</w:t>
      </w:r>
      <w:r w:rsidRPr="00062D0F">
        <w:rPr>
          <w:rFonts w:ascii="Calibri" w:eastAsia="Calibri" w:hAnsi="Calibri" w:cs="Calibri"/>
          <w:sz w:val="20"/>
          <w:szCs w:val="20"/>
        </w:rPr>
        <w:t>.</w:t>
      </w:r>
    </w:p>
    <w:p w14:paraId="6142FE86" w14:textId="77777777" w:rsidR="00F53939" w:rsidRPr="005627F3" w:rsidRDefault="00F53939" w:rsidP="00F53939">
      <w:pPr>
        <w:spacing w:line="259" w:lineRule="auto"/>
        <w:jc w:val="both"/>
        <w:rPr>
          <w:rFonts w:ascii="Calibri" w:eastAsia="Calibri" w:hAnsi="Calibri" w:cs="Calibri"/>
          <w:color w:val="FF0000"/>
          <w:sz w:val="20"/>
          <w:szCs w:val="20"/>
        </w:rPr>
      </w:pPr>
    </w:p>
    <w:p w14:paraId="622B3498" w14:textId="4371E20E" w:rsidR="00F53939" w:rsidRPr="00D740C6" w:rsidRDefault="00F53939" w:rsidP="00F53939">
      <w:pPr>
        <w:jc w:val="both"/>
        <w:rPr>
          <w:rFonts w:asciiTheme="minorHAnsi" w:hAnsiTheme="minorHAnsi"/>
          <w:sz w:val="20"/>
          <w:szCs w:val="20"/>
        </w:rPr>
      </w:pPr>
      <w:r w:rsidRPr="00D740C6">
        <w:rPr>
          <w:rFonts w:asciiTheme="minorHAnsi" w:hAnsiTheme="minorHAnsi"/>
          <w:sz w:val="20"/>
          <w:szCs w:val="20"/>
        </w:rPr>
        <w:t>Gross customer interest</w:t>
      </w:r>
      <w:r w:rsidR="00935C2C">
        <w:rPr>
          <w:rFonts w:asciiTheme="minorHAnsi" w:hAnsiTheme="minorHAnsi"/>
          <w:sz w:val="20"/>
          <w:szCs w:val="20"/>
        </w:rPr>
        <w:t>-</w:t>
      </w:r>
      <w:r w:rsidRPr="00D740C6">
        <w:rPr>
          <w:rFonts w:asciiTheme="minorHAnsi" w:hAnsiTheme="minorHAnsi"/>
          <w:sz w:val="20"/>
          <w:szCs w:val="20"/>
        </w:rPr>
        <w:t xml:space="preserve">earning balances increased 5% to £1,355m, all in 2Q25 following stable balances in 1Q25, reflecting both credit line increases of existing customers, and new customer growth following the release of new product variants. </w:t>
      </w:r>
    </w:p>
    <w:p w14:paraId="2E8D83DC" w14:textId="77777777" w:rsidR="00F53939" w:rsidRPr="00D740C6" w:rsidRDefault="00F53939" w:rsidP="00F53939">
      <w:pPr>
        <w:jc w:val="both"/>
        <w:rPr>
          <w:rFonts w:ascii="Calibri" w:eastAsia="Calibri" w:hAnsi="Calibri" w:cs="Calibri"/>
          <w:color w:val="FF0000"/>
          <w:sz w:val="20"/>
          <w:szCs w:val="20"/>
        </w:rPr>
      </w:pPr>
    </w:p>
    <w:p w14:paraId="06086432" w14:textId="4F895DDA" w:rsidR="00F53939" w:rsidRPr="00412BB1" w:rsidRDefault="00F53939" w:rsidP="00F53939">
      <w:pPr>
        <w:jc w:val="both"/>
        <w:rPr>
          <w:rFonts w:asciiTheme="minorHAnsi" w:hAnsiTheme="minorHAnsi"/>
          <w:sz w:val="20"/>
          <w:szCs w:val="20"/>
        </w:rPr>
      </w:pPr>
      <w:r w:rsidRPr="00412BB1">
        <w:rPr>
          <w:rFonts w:asciiTheme="minorHAnsi" w:hAnsiTheme="minorHAnsi"/>
          <w:sz w:val="20"/>
          <w:szCs w:val="20"/>
        </w:rPr>
        <w:t>Net receivables increased 7% to £1,232m, reflecting the growth in interest</w:t>
      </w:r>
      <w:r w:rsidR="00935C2C">
        <w:rPr>
          <w:rFonts w:asciiTheme="minorHAnsi" w:hAnsiTheme="minorHAnsi"/>
          <w:sz w:val="20"/>
          <w:szCs w:val="20"/>
        </w:rPr>
        <w:t>-</w:t>
      </w:r>
      <w:r w:rsidRPr="00412BB1">
        <w:rPr>
          <w:rFonts w:asciiTheme="minorHAnsi" w:hAnsiTheme="minorHAnsi"/>
          <w:sz w:val="20"/>
          <w:szCs w:val="20"/>
        </w:rPr>
        <w:t>earning balances and a 1</w:t>
      </w:r>
      <w:r w:rsidR="009F4833">
        <w:rPr>
          <w:rFonts w:asciiTheme="minorHAnsi" w:hAnsiTheme="minorHAnsi"/>
          <w:sz w:val="20"/>
          <w:szCs w:val="20"/>
        </w:rPr>
        <w:t>2</w:t>
      </w:r>
      <w:r w:rsidRPr="00412BB1">
        <w:rPr>
          <w:rFonts w:asciiTheme="minorHAnsi" w:hAnsiTheme="minorHAnsi"/>
          <w:sz w:val="20"/>
          <w:szCs w:val="20"/>
        </w:rPr>
        <w:t xml:space="preserve">% reduction in </w:t>
      </w:r>
      <w:r>
        <w:rPr>
          <w:rFonts w:asciiTheme="minorHAnsi" w:hAnsiTheme="minorHAnsi"/>
          <w:sz w:val="20"/>
          <w:szCs w:val="20"/>
        </w:rPr>
        <w:t>ECL</w:t>
      </w:r>
      <w:r w:rsidRPr="00412BB1">
        <w:rPr>
          <w:rFonts w:asciiTheme="minorHAnsi" w:hAnsiTheme="minorHAnsi"/>
          <w:sz w:val="20"/>
          <w:szCs w:val="20"/>
        </w:rPr>
        <w:t xml:space="preserve"> to £1</w:t>
      </w:r>
      <w:r w:rsidR="009F4833">
        <w:rPr>
          <w:rFonts w:asciiTheme="minorHAnsi" w:hAnsiTheme="minorHAnsi"/>
          <w:sz w:val="20"/>
          <w:szCs w:val="20"/>
        </w:rPr>
        <w:t>58</w:t>
      </w:r>
      <w:r w:rsidRPr="00412BB1">
        <w:rPr>
          <w:rFonts w:asciiTheme="minorHAnsi" w:hAnsiTheme="minorHAnsi"/>
          <w:sz w:val="20"/>
          <w:szCs w:val="20"/>
        </w:rPr>
        <w:t>m, driven by a better</w:t>
      </w:r>
      <w:r>
        <w:rPr>
          <w:rFonts w:asciiTheme="minorHAnsi" w:hAnsiTheme="minorHAnsi"/>
          <w:sz w:val="20"/>
          <w:szCs w:val="20"/>
        </w:rPr>
        <w:t xml:space="preserve"> </w:t>
      </w:r>
      <w:r w:rsidRPr="00412BB1">
        <w:rPr>
          <w:rFonts w:asciiTheme="minorHAnsi" w:hAnsiTheme="minorHAnsi"/>
          <w:sz w:val="20"/>
          <w:szCs w:val="20"/>
        </w:rPr>
        <w:t xml:space="preserve">quality portfolio, with increased balances in Stage 1 and 2 and a reduction in </w:t>
      </w:r>
      <w:r w:rsidR="00014254">
        <w:rPr>
          <w:rFonts w:asciiTheme="minorHAnsi" w:hAnsiTheme="minorHAnsi"/>
          <w:sz w:val="20"/>
          <w:szCs w:val="20"/>
        </w:rPr>
        <w:t>S</w:t>
      </w:r>
      <w:r w:rsidRPr="00412BB1">
        <w:rPr>
          <w:rFonts w:asciiTheme="minorHAnsi" w:hAnsiTheme="minorHAnsi"/>
          <w:sz w:val="20"/>
          <w:szCs w:val="20"/>
        </w:rPr>
        <w:t>tage 3 balances.</w:t>
      </w:r>
    </w:p>
    <w:p w14:paraId="0AF87A67" w14:textId="77777777" w:rsidR="00F53939" w:rsidRPr="005627F3" w:rsidRDefault="00F53939" w:rsidP="00F53939">
      <w:pPr>
        <w:jc w:val="both"/>
        <w:rPr>
          <w:rFonts w:ascii="Calibri" w:eastAsia="Calibri" w:hAnsi="Calibri" w:cs="Calibri"/>
          <w:color w:val="FF0000"/>
          <w:sz w:val="20"/>
          <w:szCs w:val="20"/>
        </w:rPr>
      </w:pPr>
    </w:p>
    <w:p w14:paraId="797C89A5" w14:textId="2562D912" w:rsidR="00F53939" w:rsidRPr="00A14F21" w:rsidRDefault="00F53939" w:rsidP="00F53939">
      <w:pPr>
        <w:jc w:val="both"/>
        <w:rPr>
          <w:rFonts w:ascii="Calibri" w:eastAsia="Calibri" w:hAnsi="Calibri" w:cs="Calibri"/>
          <w:sz w:val="20"/>
          <w:szCs w:val="20"/>
        </w:rPr>
      </w:pPr>
      <w:r w:rsidRPr="00382A72">
        <w:rPr>
          <w:rFonts w:ascii="Calibri" w:eastAsia="Calibri" w:hAnsi="Calibri" w:cs="Calibri"/>
          <w:sz w:val="20"/>
          <w:szCs w:val="20"/>
        </w:rPr>
        <w:t xml:space="preserve">Total income decreased 3% to £170.3m. </w:t>
      </w:r>
      <w:r w:rsidRPr="00A14F21">
        <w:rPr>
          <w:rFonts w:ascii="Calibri" w:eastAsia="Calibri" w:hAnsi="Calibri" w:cs="Calibri"/>
          <w:sz w:val="20"/>
          <w:szCs w:val="20"/>
        </w:rPr>
        <w:t>Net interest income reduced 2% to £154.3m</w:t>
      </w:r>
      <w:r w:rsidR="005C7B9D">
        <w:rPr>
          <w:rFonts w:ascii="Calibri" w:eastAsia="Calibri" w:hAnsi="Calibri" w:cs="Calibri"/>
          <w:sz w:val="20"/>
          <w:szCs w:val="20"/>
        </w:rPr>
        <w:t>, with</w:t>
      </w:r>
      <w:r w:rsidRPr="00A14F21">
        <w:rPr>
          <w:rFonts w:ascii="Calibri" w:eastAsia="Calibri" w:hAnsi="Calibri" w:cs="Calibri"/>
          <w:sz w:val="20"/>
          <w:szCs w:val="20"/>
        </w:rPr>
        <w:t xml:space="preserve"> non-interest income decreasing 14% to £16.0m.  Net interest margin increased 0.5% to 24.0% and total income margin increased 0.2% to 26.5%.</w:t>
      </w:r>
    </w:p>
    <w:p w14:paraId="39B9830A" w14:textId="77777777" w:rsidR="00F53939" w:rsidRPr="005627F3" w:rsidRDefault="00F53939" w:rsidP="00F53939">
      <w:pPr>
        <w:jc w:val="both"/>
        <w:rPr>
          <w:rFonts w:ascii="Calibri" w:eastAsia="Calibri" w:hAnsi="Calibri" w:cs="Calibri"/>
          <w:color w:val="FF0000"/>
          <w:sz w:val="20"/>
          <w:szCs w:val="20"/>
        </w:rPr>
      </w:pPr>
    </w:p>
    <w:p w14:paraId="1CE4F977" w14:textId="2F03E0AF" w:rsidR="00F53939" w:rsidRPr="002539C8" w:rsidRDefault="00F53939" w:rsidP="00F53939">
      <w:pPr>
        <w:jc w:val="both"/>
        <w:rPr>
          <w:rFonts w:ascii="Calibri" w:eastAsia="Calibri" w:hAnsi="Calibri" w:cs="Calibri"/>
          <w:sz w:val="20"/>
          <w:szCs w:val="20"/>
        </w:rPr>
      </w:pPr>
      <w:r w:rsidRPr="002539C8">
        <w:rPr>
          <w:rFonts w:ascii="Calibri" w:eastAsia="Calibri" w:hAnsi="Calibri" w:cs="Calibri"/>
          <w:sz w:val="20"/>
          <w:szCs w:val="20"/>
        </w:rPr>
        <w:t>Interest income decreased 3% to £179.0m, consistent with a 3% reduction in average gross customer interest</w:t>
      </w:r>
      <w:r w:rsidR="001F57A7">
        <w:rPr>
          <w:rFonts w:ascii="Calibri" w:eastAsia="Calibri" w:hAnsi="Calibri" w:cs="Calibri"/>
          <w:sz w:val="20"/>
          <w:szCs w:val="20"/>
        </w:rPr>
        <w:t>-</w:t>
      </w:r>
      <w:r w:rsidRPr="002539C8">
        <w:rPr>
          <w:rFonts w:ascii="Calibri" w:eastAsia="Calibri" w:hAnsi="Calibri" w:cs="Calibri"/>
          <w:sz w:val="20"/>
          <w:szCs w:val="20"/>
        </w:rPr>
        <w:t>earning balances to £1,296m.  A</w:t>
      </w:r>
      <w:r w:rsidRPr="002539C8" w:rsidDel="00A904EF">
        <w:rPr>
          <w:rFonts w:ascii="Calibri" w:eastAsia="Calibri" w:hAnsi="Calibri" w:cs="Calibri"/>
          <w:sz w:val="20"/>
          <w:szCs w:val="20"/>
        </w:rPr>
        <w:t>sset yield</w:t>
      </w:r>
      <w:r w:rsidRPr="002539C8">
        <w:rPr>
          <w:rFonts w:ascii="Calibri" w:eastAsia="Calibri" w:hAnsi="Calibri" w:cs="Calibri"/>
          <w:sz w:val="20"/>
          <w:szCs w:val="20"/>
        </w:rPr>
        <w:t xml:space="preserve"> increased 0.2</w:t>
      </w:r>
      <w:r w:rsidRPr="002539C8" w:rsidDel="00A904EF">
        <w:rPr>
          <w:rFonts w:ascii="Calibri" w:eastAsia="Calibri" w:hAnsi="Calibri" w:cs="Calibri"/>
          <w:sz w:val="20"/>
          <w:szCs w:val="20"/>
        </w:rPr>
        <w:t>%</w:t>
      </w:r>
      <w:r w:rsidRPr="002539C8">
        <w:rPr>
          <w:rFonts w:ascii="Calibri" w:eastAsia="Calibri" w:hAnsi="Calibri" w:cs="Calibri"/>
          <w:sz w:val="20"/>
          <w:szCs w:val="20"/>
        </w:rPr>
        <w:t xml:space="preserve"> to 27.8%, driven by risk-based repricing initiatives and despite growth in 0% balance transfers (BTs) and products.</w:t>
      </w:r>
    </w:p>
    <w:p w14:paraId="1743141D" w14:textId="77777777" w:rsidR="00F53939" w:rsidRPr="005627F3" w:rsidRDefault="00F53939" w:rsidP="00F53939">
      <w:pPr>
        <w:jc w:val="both"/>
        <w:rPr>
          <w:rFonts w:ascii="Calibri" w:eastAsia="Calibri" w:hAnsi="Calibri" w:cs="Calibri"/>
          <w:color w:val="FF0000"/>
          <w:sz w:val="20"/>
          <w:szCs w:val="20"/>
        </w:rPr>
      </w:pPr>
    </w:p>
    <w:p w14:paraId="036753C3" w14:textId="77777777" w:rsidR="00C224BF" w:rsidRPr="00861E88" w:rsidRDefault="00F53939" w:rsidP="00F53939">
      <w:pPr>
        <w:jc w:val="both"/>
        <w:rPr>
          <w:rFonts w:ascii="Calibri" w:eastAsia="Calibri" w:hAnsi="Calibri" w:cs="Calibri"/>
          <w:sz w:val="20"/>
          <w:szCs w:val="20"/>
        </w:rPr>
      </w:pPr>
      <w:r w:rsidRPr="00C518B3">
        <w:rPr>
          <w:rFonts w:ascii="Calibri" w:eastAsia="Calibri" w:hAnsi="Calibri" w:cs="Calibri"/>
          <w:sz w:val="20"/>
          <w:szCs w:val="20"/>
        </w:rPr>
        <w:lastRenderedPageBreak/>
        <w:t xml:space="preserve">Interest expense reduced 8% to £24.7m, driven by the lower funding need and lower </w:t>
      </w:r>
      <w:r w:rsidR="00C224BF" w:rsidRPr="00861E88">
        <w:rPr>
          <w:rFonts w:ascii="Calibri" w:eastAsia="Calibri" w:hAnsi="Calibri" w:cs="Calibri"/>
          <w:sz w:val="20"/>
          <w:szCs w:val="20"/>
        </w:rPr>
        <w:t>cost of funds</w:t>
      </w:r>
      <w:r w:rsidRPr="00C518B3">
        <w:rPr>
          <w:rFonts w:ascii="Calibri" w:eastAsia="Calibri" w:hAnsi="Calibri" w:cs="Calibri"/>
          <w:sz w:val="20"/>
          <w:szCs w:val="20"/>
        </w:rPr>
        <w:t xml:space="preserve">, as </w:t>
      </w:r>
      <w:r w:rsidR="00C224BF" w:rsidRPr="00861E88">
        <w:rPr>
          <w:rFonts w:ascii="Calibri" w:eastAsia="Calibri" w:hAnsi="Calibri" w:cs="Calibri"/>
          <w:sz w:val="20"/>
          <w:szCs w:val="20"/>
        </w:rPr>
        <w:t xml:space="preserve">the reduced rate outlook and maturing fixed-term deposits </w:t>
      </w:r>
      <w:r w:rsidRPr="00C518B3">
        <w:rPr>
          <w:rFonts w:ascii="Calibri" w:eastAsia="Calibri" w:hAnsi="Calibri" w:cs="Calibri"/>
          <w:sz w:val="20"/>
          <w:szCs w:val="20"/>
        </w:rPr>
        <w:t>were</w:t>
      </w:r>
      <w:r w:rsidR="00C224BF" w:rsidRPr="00861E88">
        <w:rPr>
          <w:rFonts w:ascii="Calibri" w:eastAsia="Calibri" w:hAnsi="Calibri" w:cs="Calibri"/>
          <w:sz w:val="20"/>
          <w:szCs w:val="20"/>
        </w:rPr>
        <w:t xml:space="preserve"> refinanced with lower interest rate savings products.</w:t>
      </w:r>
    </w:p>
    <w:p w14:paraId="2E050E4C" w14:textId="77777777" w:rsidR="00F53939" w:rsidRPr="0004329D" w:rsidRDefault="00F53939" w:rsidP="00F53939">
      <w:pPr>
        <w:jc w:val="both"/>
        <w:rPr>
          <w:rFonts w:ascii="Calibri" w:eastAsia="Calibri" w:hAnsi="Calibri" w:cs="Calibri"/>
          <w:sz w:val="20"/>
          <w:szCs w:val="20"/>
        </w:rPr>
      </w:pPr>
    </w:p>
    <w:p w14:paraId="130244C4" w14:textId="77777777" w:rsidR="00F53939" w:rsidRPr="0004329D" w:rsidRDefault="00F53939" w:rsidP="00F53939">
      <w:pPr>
        <w:jc w:val="both"/>
        <w:rPr>
          <w:rFonts w:ascii="Calibri" w:eastAsia="Calibri" w:hAnsi="Calibri" w:cs="Calibri"/>
          <w:sz w:val="20"/>
          <w:szCs w:val="20"/>
        </w:rPr>
      </w:pPr>
      <w:r w:rsidRPr="0004329D">
        <w:rPr>
          <w:rFonts w:ascii="Calibri" w:eastAsia="Calibri" w:hAnsi="Calibri" w:cs="Calibri"/>
          <w:sz w:val="20"/>
          <w:szCs w:val="20"/>
        </w:rPr>
        <w:t>Impairment charges were broadly stable at £64.0m (1H24: £63.5m), reflecting increased origination charges in line with growth in new gross customer interest earning balances offset by an increased IFRS9 modelled impairment benefit, as underlying credit quality</w:t>
      </w:r>
      <w:r>
        <w:rPr>
          <w:rFonts w:ascii="Calibri" w:eastAsia="Calibri" w:hAnsi="Calibri" w:cs="Calibri"/>
          <w:sz w:val="20"/>
          <w:szCs w:val="20"/>
        </w:rPr>
        <w:t xml:space="preserve"> improved</w:t>
      </w:r>
      <w:r w:rsidRPr="0004329D">
        <w:rPr>
          <w:rFonts w:ascii="Calibri" w:eastAsia="Calibri" w:hAnsi="Calibri" w:cs="Calibri"/>
          <w:sz w:val="20"/>
          <w:szCs w:val="20"/>
        </w:rPr>
        <w:t xml:space="preserve">. Cost of risk increased 0.5% to 10.0%. </w:t>
      </w:r>
    </w:p>
    <w:p w14:paraId="5914CDCC" w14:textId="77777777" w:rsidR="00F53939" w:rsidRPr="00A63430" w:rsidRDefault="00F53939" w:rsidP="00F53939">
      <w:pPr>
        <w:jc w:val="both"/>
        <w:rPr>
          <w:rFonts w:ascii="Calibri" w:eastAsia="Calibri" w:hAnsi="Calibri" w:cs="Calibri"/>
          <w:sz w:val="20"/>
          <w:szCs w:val="20"/>
        </w:rPr>
      </w:pPr>
    </w:p>
    <w:p w14:paraId="0E27E69A" w14:textId="17400353" w:rsidR="00F53939" w:rsidRPr="00A63430" w:rsidRDefault="00F53939" w:rsidP="00F53939">
      <w:pPr>
        <w:jc w:val="both"/>
        <w:rPr>
          <w:rFonts w:ascii="Calibri" w:eastAsia="Calibri" w:hAnsi="Calibri" w:cs="Calibri"/>
          <w:sz w:val="20"/>
          <w:szCs w:val="20"/>
        </w:rPr>
      </w:pPr>
      <w:r w:rsidRPr="00A63430">
        <w:rPr>
          <w:rFonts w:ascii="Calibri" w:eastAsia="Calibri" w:hAnsi="Calibri" w:cs="Calibri"/>
          <w:sz w:val="20"/>
          <w:szCs w:val="20"/>
        </w:rPr>
        <w:t xml:space="preserve">Risk adjusted income decreased 5% to £106.3m, driving a </w:t>
      </w:r>
      <w:r w:rsidR="006B70D4">
        <w:rPr>
          <w:rFonts w:ascii="Calibri" w:eastAsia="Calibri" w:hAnsi="Calibri" w:cs="Calibri"/>
          <w:sz w:val="20"/>
          <w:szCs w:val="20"/>
        </w:rPr>
        <w:t>0.</w:t>
      </w:r>
      <w:r w:rsidRPr="00A63430">
        <w:rPr>
          <w:rFonts w:ascii="Calibri" w:eastAsia="Calibri" w:hAnsi="Calibri" w:cs="Calibri"/>
          <w:sz w:val="20"/>
          <w:szCs w:val="20"/>
        </w:rPr>
        <w:t xml:space="preserve">3% reduction </w:t>
      </w:r>
      <w:r w:rsidR="00387E3D">
        <w:rPr>
          <w:rFonts w:ascii="Calibri" w:eastAsia="Calibri" w:hAnsi="Calibri" w:cs="Calibri"/>
          <w:sz w:val="20"/>
          <w:szCs w:val="20"/>
        </w:rPr>
        <w:t xml:space="preserve">in </w:t>
      </w:r>
      <w:r w:rsidRPr="00A63430">
        <w:rPr>
          <w:rFonts w:ascii="Calibri" w:eastAsia="Calibri" w:hAnsi="Calibri" w:cs="Calibri"/>
          <w:sz w:val="20"/>
          <w:szCs w:val="20"/>
        </w:rPr>
        <w:t>risk adjusted margin to 16.5%.</w:t>
      </w:r>
    </w:p>
    <w:p w14:paraId="2BC64D1B" w14:textId="77777777" w:rsidR="00F53939" w:rsidRPr="005627F3" w:rsidRDefault="00F53939" w:rsidP="00F53939">
      <w:pPr>
        <w:jc w:val="both"/>
        <w:rPr>
          <w:rFonts w:ascii="Calibri" w:eastAsia="Calibri" w:hAnsi="Calibri" w:cs="Calibri"/>
          <w:color w:val="FF0000"/>
          <w:sz w:val="20"/>
          <w:szCs w:val="20"/>
        </w:rPr>
      </w:pPr>
    </w:p>
    <w:p w14:paraId="7188D042" w14:textId="45519842" w:rsidR="00F53939" w:rsidRPr="00D8653D" w:rsidRDefault="00F53939" w:rsidP="00F53939">
      <w:pPr>
        <w:jc w:val="both"/>
        <w:rPr>
          <w:rFonts w:ascii="Calibri" w:eastAsia="Calibri" w:hAnsi="Calibri" w:cs="Calibri"/>
          <w:sz w:val="20"/>
          <w:szCs w:val="20"/>
        </w:rPr>
      </w:pPr>
      <w:r w:rsidRPr="00D8653D">
        <w:rPr>
          <w:rFonts w:ascii="Calibri" w:eastAsia="Calibri" w:hAnsi="Calibri" w:cs="Calibri"/>
          <w:sz w:val="20"/>
          <w:szCs w:val="20"/>
        </w:rPr>
        <w:t xml:space="preserve">Operating costs decreased </w:t>
      </w:r>
      <w:r w:rsidR="00014254">
        <w:rPr>
          <w:rFonts w:ascii="Calibri" w:eastAsia="Calibri" w:hAnsi="Calibri" w:cs="Calibri"/>
          <w:sz w:val="20"/>
          <w:szCs w:val="20"/>
        </w:rPr>
        <w:t>7</w:t>
      </w:r>
      <w:r w:rsidRPr="00D8653D">
        <w:rPr>
          <w:rFonts w:ascii="Calibri" w:eastAsia="Calibri" w:hAnsi="Calibri" w:cs="Calibri"/>
          <w:sz w:val="20"/>
          <w:szCs w:val="20"/>
        </w:rPr>
        <w:t>% to £93.7m, driven by transformation cost savings and lower complaint costs, more than offsetting growth and inflation driven cost increases and an accrual for discretionary staff costs.</w:t>
      </w:r>
    </w:p>
    <w:p w14:paraId="28AA70CF" w14:textId="77777777" w:rsidR="00F53939" w:rsidRPr="00AD623A" w:rsidRDefault="00F53939" w:rsidP="00F53939">
      <w:pPr>
        <w:jc w:val="both"/>
        <w:rPr>
          <w:rFonts w:ascii="Calibri" w:eastAsia="Calibri" w:hAnsi="Calibri" w:cs="Calibri"/>
          <w:sz w:val="20"/>
          <w:szCs w:val="20"/>
        </w:rPr>
      </w:pPr>
    </w:p>
    <w:p w14:paraId="55B91195" w14:textId="6BE3C11F" w:rsidR="00F53939" w:rsidRDefault="00F53939" w:rsidP="000A2B9C">
      <w:pPr>
        <w:jc w:val="both"/>
        <w:rPr>
          <w:rFonts w:asciiTheme="minorHAnsi" w:eastAsiaTheme="minorEastAsia" w:hAnsiTheme="minorHAnsi" w:cstheme="minorBidi"/>
          <w:b/>
          <w:bCs/>
          <w:color w:val="4747FF"/>
          <w:sz w:val="22"/>
          <w:szCs w:val="22"/>
          <w:lang w:eastAsia="en-US"/>
        </w:rPr>
      </w:pPr>
      <w:r w:rsidRPr="00AD623A">
        <w:rPr>
          <w:rFonts w:ascii="Calibri" w:eastAsia="Calibri" w:hAnsi="Calibri" w:cs="Calibri"/>
          <w:sz w:val="20"/>
          <w:szCs w:val="20"/>
        </w:rPr>
        <w:t>Profit before tax contribution increased 12% to £12.6m.</w:t>
      </w:r>
    </w:p>
    <w:p w14:paraId="37E46CCD" w14:textId="77777777" w:rsidR="00F53939" w:rsidRDefault="00F53939" w:rsidP="00F53939">
      <w:pPr>
        <w:rPr>
          <w:rFonts w:asciiTheme="minorHAnsi" w:eastAsiaTheme="minorEastAsia" w:hAnsiTheme="minorHAnsi" w:cstheme="minorBidi"/>
          <w:b/>
          <w:bCs/>
          <w:color w:val="4747FF"/>
          <w:sz w:val="22"/>
          <w:szCs w:val="22"/>
          <w:lang w:eastAsia="en-US"/>
        </w:rPr>
      </w:pPr>
    </w:p>
    <w:p w14:paraId="3720FD61" w14:textId="77777777" w:rsidR="005C7B9D" w:rsidRDefault="005C7B9D" w:rsidP="00F53939">
      <w:pPr>
        <w:rPr>
          <w:rFonts w:asciiTheme="minorHAnsi" w:eastAsiaTheme="minorEastAsia" w:hAnsiTheme="minorHAnsi" w:cstheme="minorBidi"/>
          <w:b/>
          <w:bCs/>
          <w:color w:val="4747FF"/>
          <w:sz w:val="22"/>
          <w:szCs w:val="22"/>
          <w:lang w:eastAsia="en-US"/>
        </w:rPr>
      </w:pPr>
    </w:p>
    <w:p w14:paraId="000F52B5" w14:textId="6BE123A2" w:rsidR="00F53939" w:rsidRPr="00BC30BE" w:rsidRDefault="00F53939" w:rsidP="00F53939">
      <w:pPr>
        <w:rPr>
          <w:rFonts w:asciiTheme="minorHAnsi" w:eastAsiaTheme="minorEastAsia" w:hAnsiTheme="minorHAnsi" w:cstheme="minorBidi"/>
          <w:b/>
          <w:bCs/>
          <w:color w:val="FF0000"/>
          <w:sz w:val="22"/>
          <w:szCs w:val="22"/>
          <w:lang w:eastAsia="en-US"/>
        </w:rPr>
      </w:pPr>
      <w:r w:rsidRPr="29FB8872">
        <w:rPr>
          <w:rFonts w:asciiTheme="minorHAnsi" w:eastAsiaTheme="minorEastAsia" w:hAnsiTheme="minorHAnsi" w:cstheme="minorBidi"/>
          <w:b/>
          <w:bCs/>
          <w:color w:val="4747FF"/>
          <w:sz w:val="22"/>
          <w:szCs w:val="22"/>
          <w:lang w:eastAsia="en-US"/>
        </w:rPr>
        <w:t>Vehicle Finance</w:t>
      </w:r>
      <w:r>
        <w:rPr>
          <w:rFonts w:asciiTheme="minorHAnsi" w:eastAsiaTheme="minorEastAsia" w:hAnsiTheme="minorHAnsi" w:cstheme="minorBidi"/>
          <w:b/>
          <w:bCs/>
          <w:color w:val="4747FF"/>
          <w:sz w:val="22"/>
          <w:szCs w:val="22"/>
          <w:lang w:eastAsia="en-US"/>
        </w:rPr>
        <w:t xml:space="preserve"> –</w:t>
      </w:r>
      <w:r w:rsidRPr="00020B25">
        <w:rPr>
          <w:rFonts w:asciiTheme="minorHAnsi" w:eastAsiaTheme="minorEastAsia" w:hAnsiTheme="minorHAnsi" w:cstheme="minorBidi"/>
          <w:b/>
          <w:bCs/>
          <w:color w:val="4747FF"/>
          <w:sz w:val="22"/>
          <w:szCs w:val="22"/>
          <w:lang w:eastAsia="en-US"/>
        </w:rPr>
        <w:t xml:space="preserve"> </w:t>
      </w:r>
      <w:r w:rsidRPr="00BC30BE">
        <w:rPr>
          <w:rFonts w:asciiTheme="minorHAnsi" w:eastAsiaTheme="minorEastAsia" w:hAnsiTheme="minorHAnsi" w:cstheme="minorBidi"/>
          <w:b/>
          <w:bCs/>
          <w:color w:val="4747FF"/>
          <w:sz w:val="22"/>
          <w:szCs w:val="22"/>
          <w:lang w:eastAsia="en-US"/>
        </w:rPr>
        <w:t>Moderated new business growth, while product profitability improved</w:t>
      </w:r>
    </w:p>
    <w:p w14:paraId="6A348055" w14:textId="77777777" w:rsidR="00F53939" w:rsidRPr="00A166EB" w:rsidRDefault="00F53939" w:rsidP="00F53939">
      <w:pPr>
        <w:jc w:val="both"/>
        <w:rPr>
          <w:rFonts w:ascii="Calibri" w:eastAsia="Calibri" w:hAnsi="Calibri" w:cs="Calibri"/>
          <w:i/>
          <w:color w:val="000000" w:themeColor="text1"/>
          <w:sz w:val="18"/>
          <w:szCs w:val="18"/>
          <w:lang w:eastAsia="en-US"/>
        </w:rPr>
      </w:pPr>
    </w:p>
    <w:tbl>
      <w:tblPr>
        <w:tblW w:w="5000" w:type="pct"/>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36"/>
        <w:gridCol w:w="994"/>
        <w:gridCol w:w="1134"/>
        <w:gridCol w:w="1173"/>
        <w:gridCol w:w="945"/>
        <w:gridCol w:w="941"/>
      </w:tblGrid>
      <w:tr w:rsidR="006D06A9" w:rsidRPr="005E46B1" w14:paraId="0FD751CD" w14:textId="77777777" w:rsidTr="006D06A9">
        <w:trPr>
          <w:trHeight w:val="390"/>
        </w:trPr>
        <w:tc>
          <w:tcPr>
            <w:tcW w:w="2333" w:type="pct"/>
            <w:tcBorders>
              <w:top w:val="nil"/>
              <w:left w:val="nil"/>
              <w:bottom w:val="single" w:sz="4" w:space="0" w:color="auto"/>
              <w:right w:val="nil"/>
            </w:tcBorders>
            <w:tcMar>
              <w:top w:w="60" w:type="dxa"/>
              <w:bottom w:w="60" w:type="dxa"/>
            </w:tcMar>
            <w:vAlign w:val="bottom"/>
          </w:tcPr>
          <w:p w14:paraId="7B2C1CDC" w14:textId="77777777" w:rsidR="00F53939" w:rsidRPr="00320CA7" w:rsidRDefault="00F53939" w:rsidP="00A50D03">
            <w:pPr>
              <w:rPr>
                <w:rFonts w:asciiTheme="minorHAnsi" w:hAnsiTheme="minorHAnsi" w:cstheme="minorHAnsi"/>
                <w:b/>
                <w:bCs/>
                <w:sz w:val="20"/>
                <w:szCs w:val="20"/>
              </w:rPr>
            </w:pPr>
            <w:r w:rsidRPr="00320CA7">
              <w:rPr>
                <w:rFonts w:asciiTheme="minorHAnsi" w:eastAsia="Poppins" w:hAnsiTheme="minorHAnsi" w:cstheme="minorHAnsi"/>
                <w:b/>
                <w:bCs/>
                <w:sz w:val="20"/>
                <w:szCs w:val="20"/>
              </w:rPr>
              <w:t>Six months ended (£m)</w:t>
            </w:r>
          </w:p>
        </w:tc>
        <w:tc>
          <w:tcPr>
            <w:tcW w:w="511" w:type="pct"/>
            <w:tcBorders>
              <w:top w:val="nil"/>
              <w:left w:val="nil"/>
              <w:bottom w:val="single" w:sz="4" w:space="0" w:color="auto"/>
              <w:right w:val="nil"/>
            </w:tcBorders>
            <w:shd w:val="clear" w:color="auto" w:fill="F2F2F2" w:themeFill="background1" w:themeFillShade="F2"/>
            <w:vAlign w:val="center"/>
          </w:tcPr>
          <w:p w14:paraId="665C17E9" w14:textId="77777777" w:rsidR="00F53939" w:rsidRPr="00320CA7" w:rsidRDefault="00F53939" w:rsidP="00A50D03">
            <w:pPr>
              <w:ind w:right="115"/>
              <w:jc w:val="right"/>
              <w:rPr>
                <w:rFonts w:asciiTheme="minorHAnsi" w:eastAsia="Poppins" w:hAnsiTheme="minorHAnsi" w:cstheme="minorHAnsi"/>
                <w:sz w:val="20"/>
                <w:szCs w:val="20"/>
              </w:rPr>
            </w:pPr>
            <w:r w:rsidRPr="00320CA7">
              <w:rPr>
                <w:rFonts w:asciiTheme="minorHAnsi" w:eastAsia="Inter Medium" w:hAnsiTheme="minorHAnsi" w:cstheme="minorHAnsi"/>
                <w:b/>
                <w:kern w:val="24"/>
                <w:sz w:val="20"/>
                <w:szCs w:val="20"/>
              </w:rPr>
              <w:t>Jun-2</w:t>
            </w:r>
            <w:r>
              <w:rPr>
                <w:rFonts w:asciiTheme="minorHAnsi" w:eastAsia="Inter Medium" w:hAnsiTheme="minorHAnsi" w:cstheme="minorHAnsi"/>
                <w:b/>
                <w:kern w:val="24"/>
                <w:sz w:val="20"/>
                <w:szCs w:val="20"/>
              </w:rPr>
              <w:t>5</w:t>
            </w:r>
          </w:p>
        </w:tc>
        <w:tc>
          <w:tcPr>
            <w:tcW w:w="583" w:type="pct"/>
            <w:tcBorders>
              <w:top w:val="nil"/>
              <w:left w:val="nil"/>
              <w:bottom w:val="single" w:sz="4" w:space="0" w:color="auto"/>
              <w:right w:val="nil"/>
            </w:tcBorders>
            <w:vAlign w:val="center"/>
          </w:tcPr>
          <w:p w14:paraId="760E2660" w14:textId="77777777" w:rsidR="00F53939" w:rsidRDefault="00F53939" w:rsidP="00A50D03">
            <w:pPr>
              <w:jc w:val="right"/>
              <w:rPr>
                <w:rFonts w:asciiTheme="minorHAnsi" w:hAnsiTheme="minorHAnsi" w:cstheme="minorHAnsi"/>
                <w:kern w:val="24"/>
                <w:sz w:val="20"/>
                <w:szCs w:val="20"/>
              </w:rPr>
            </w:pPr>
            <w:r w:rsidRPr="00320CA7">
              <w:rPr>
                <w:rFonts w:asciiTheme="minorHAnsi" w:hAnsiTheme="minorHAnsi" w:cstheme="minorHAnsi"/>
                <w:kern w:val="24"/>
                <w:sz w:val="20"/>
                <w:szCs w:val="20"/>
              </w:rPr>
              <w:t xml:space="preserve">Dec-24 </w:t>
            </w:r>
          </w:p>
          <w:p w14:paraId="17E31DD3" w14:textId="77777777" w:rsidR="00F53939" w:rsidRPr="00320CA7" w:rsidRDefault="00F53939" w:rsidP="00A50D03">
            <w:pPr>
              <w:jc w:val="right"/>
              <w:rPr>
                <w:rFonts w:asciiTheme="minorHAnsi" w:eastAsia="Poppins" w:hAnsiTheme="minorHAnsi" w:cstheme="minorHAnsi"/>
                <w:sz w:val="20"/>
                <w:szCs w:val="20"/>
                <w:vertAlign w:val="superscript"/>
              </w:rPr>
            </w:pPr>
            <w:r w:rsidRPr="00320CA7">
              <w:rPr>
                <w:rFonts w:asciiTheme="minorHAnsi" w:hAnsiTheme="minorHAnsi" w:cstheme="minorHAnsi"/>
                <w:kern w:val="24"/>
                <w:sz w:val="20"/>
                <w:szCs w:val="20"/>
              </w:rPr>
              <w:t>(</w:t>
            </w:r>
            <w:r w:rsidRPr="00EE5ED5">
              <w:rPr>
                <w:rFonts w:asciiTheme="minorHAnsi" w:hAnsiTheme="minorHAnsi" w:cstheme="minorHAnsi"/>
                <w:kern w:val="24"/>
                <w:sz w:val="20"/>
                <w:szCs w:val="20"/>
              </w:rPr>
              <w:t>Re-presented</w:t>
            </w:r>
            <w:r w:rsidRPr="00320CA7">
              <w:rPr>
                <w:rFonts w:asciiTheme="minorHAnsi" w:hAnsiTheme="minorHAnsi" w:cstheme="minorHAnsi"/>
                <w:kern w:val="24"/>
                <w:sz w:val="20"/>
                <w:szCs w:val="20"/>
              </w:rPr>
              <w:t>)</w:t>
            </w:r>
          </w:p>
        </w:tc>
        <w:tc>
          <w:tcPr>
            <w:tcW w:w="603" w:type="pct"/>
            <w:tcBorders>
              <w:top w:val="nil"/>
              <w:left w:val="nil"/>
              <w:bottom w:val="single" w:sz="4" w:space="0" w:color="auto"/>
              <w:right w:val="nil"/>
            </w:tcBorders>
            <w:vAlign w:val="center"/>
          </w:tcPr>
          <w:p w14:paraId="2C63164E" w14:textId="77777777" w:rsidR="00565580" w:rsidRDefault="00F53939" w:rsidP="00565580">
            <w:pPr>
              <w:jc w:val="right"/>
              <w:rPr>
                <w:rFonts w:asciiTheme="minorHAnsi" w:hAnsiTheme="minorHAnsi" w:cstheme="minorHAnsi"/>
                <w:kern w:val="24"/>
                <w:sz w:val="20"/>
                <w:szCs w:val="20"/>
              </w:rPr>
            </w:pPr>
            <w:r w:rsidRPr="00320CA7">
              <w:rPr>
                <w:rFonts w:asciiTheme="minorHAnsi" w:hAnsiTheme="minorHAnsi" w:cstheme="minorHAnsi"/>
                <w:kern w:val="24"/>
                <w:sz w:val="20"/>
                <w:szCs w:val="20"/>
              </w:rPr>
              <w:t xml:space="preserve">Jun-24 </w:t>
            </w:r>
          </w:p>
          <w:p w14:paraId="7EFBDF52" w14:textId="0F28D43E" w:rsidR="00F53939" w:rsidRPr="00320CA7" w:rsidRDefault="00F53939" w:rsidP="00565580">
            <w:pPr>
              <w:jc w:val="right"/>
              <w:rPr>
                <w:rFonts w:asciiTheme="minorHAnsi" w:eastAsia="Poppins" w:hAnsiTheme="minorHAnsi" w:cstheme="minorHAnsi"/>
                <w:iCs/>
                <w:sz w:val="20"/>
                <w:szCs w:val="20"/>
              </w:rPr>
            </w:pPr>
            <w:r w:rsidRPr="00320CA7">
              <w:rPr>
                <w:rFonts w:asciiTheme="minorHAnsi" w:hAnsiTheme="minorHAnsi" w:cstheme="minorHAnsi"/>
                <w:kern w:val="24"/>
                <w:sz w:val="20"/>
                <w:szCs w:val="20"/>
              </w:rPr>
              <w:t>(</w:t>
            </w:r>
            <w:r w:rsidRPr="00EE5ED5">
              <w:rPr>
                <w:rFonts w:asciiTheme="minorHAnsi" w:hAnsiTheme="minorHAnsi" w:cstheme="minorHAnsi"/>
                <w:kern w:val="24"/>
                <w:sz w:val="20"/>
                <w:szCs w:val="20"/>
              </w:rPr>
              <w:t>Re-presented</w:t>
            </w:r>
            <w:r w:rsidRPr="00320CA7">
              <w:rPr>
                <w:rFonts w:asciiTheme="minorHAnsi" w:hAnsiTheme="minorHAnsi" w:cstheme="minorHAnsi"/>
                <w:kern w:val="24"/>
                <w:sz w:val="20"/>
                <w:szCs w:val="20"/>
              </w:rPr>
              <w:t>)</w:t>
            </w:r>
          </w:p>
        </w:tc>
        <w:tc>
          <w:tcPr>
            <w:tcW w:w="486" w:type="pct"/>
            <w:tcBorders>
              <w:top w:val="nil"/>
              <w:left w:val="nil"/>
              <w:bottom w:val="single" w:sz="4" w:space="0" w:color="auto"/>
              <w:right w:val="nil"/>
            </w:tcBorders>
            <w:vAlign w:val="center"/>
          </w:tcPr>
          <w:p w14:paraId="1FB34B6C" w14:textId="77777777" w:rsidR="00F53939" w:rsidRPr="00320CA7" w:rsidRDefault="00F53939" w:rsidP="00A50D03">
            <w:pPr>
              <w:ind w:right="115"/>
              <w:jc w:val="right"/>
              <w:rPr>
                <w:rFonts w:asciiTheme="minorHAnsi" w:hAnsiTheme="minorHAnsi" w:cstheme="minorHAnsi"/>
                <w:kern w:val="24"/>
                <w:sz w:val="20"/>
                <w:szCs w:val="20"/>
              </w:rPr>
            </w:pPr>
            <w:proofErr w:type="spellStart"/>
            <w:r w:rsidRPr="00320CA7">
              <w:rPr>
                <w:rFonts w:asciiTheme="minorHAnsi" w:hAnsiTheme="minorHAnsi" w:cstheme="minorHAnsi"/>
                <w:kern w:val="24"/>
                <w:sz w:val="20"/>
                <w:szCs w:val="20"/>
              </w:rPr>
              <w:t>HoH</w:t>
            </w:r>
            <w:proofErr w:type="spellEnd"/>
          </w:p>
          <w:p w14:paraId="3C6120D0" w14:textId="77777777" w:rsidR="00F53939" w:rsidRPr="00320CA7" w:rsidRDefault="00F53939" w:rsidP="00A50D03">
            <w:pPr>
              <w:ind w:right="115"/>
              <w:jc w:val="right"/>
              <w:rPr>
                <w:rFonts w:asciiTheme="minorHAnsi" w:eastAsia="Poppins" w:hAnsiTheme="minorHAnsi" w:cstheme="minorHAnsi"/>
                <w:iCs/>
                <w:sz w:val="20"/>
                <w:szCs w:val="20"/>
              </w:rPr>
            </w:pPr>
            <w:r w:rsidRPr="00320CA7">
              <w:rPr>
                <w:rFonts w:asciiTheme="minorHAnsi" w:hAnsiTheme="minorHAnsi" w:cstheme="minorHAnsi"/>
                <w:kern w:val="24"/>
                <w:sz w:val="20"/>
                <w:szCs w:val="20"/>
              </w:rPr>
              <w:t xml:space="preserve">Change </w:t>
            </w:r>
            <w:r w:rsidRPr="00320CA7">
              <w:rPr>
                <w:rFonts w:asciiTheme="minorHAnsi" w:eastAsia="Inter Light BETA" w:hAnsiTheme="minorHAnsi" w:cstheme="minorHAnsi"/>
                <w:kern w:val="24"/>
                <w:sz w:val="20"/>
                <w:szCs w:val="20"/>
              </w:rPr>
              <w:t>%</w:t>
            </w:r>
          </w:p>
        </w:tc>
        <w:tc>
          <w:tcPr>
            <w:tcW w:w="485" w:type="pct"/>
            <w:tcBorders>
              <w:top w:val="nil"/>
              <w:left w:val="nil"/>
              <w:bottom w:val="single" w:sz="4" w:space="0" w:color="auto"/>
              <w:right w:val="nil"/>
            </w:tcBorders>
            <w:vAlign w:val="center"/>
          </w:tcPr>
          <w:p w14:paraId="75349657" w14:textId="77777777" w:rsidR="00F53939" w:rsidRPr="00320CA7" w:rsidRDefault="00F53939" w:rsidP="00A50D03">
            <w:pPr>
              <w:ind w:right="115"/>
              <w:jc w:val="right"/>
              <w:rPr>
                <w:rFonts w:asciiTheme="minorHAnsi" w:hAnsiTheme="minorHAnsi" w:cstheme="minorHAnsi"/>
                <w:kern w:val="24"/>
                <w:sz w:val="20"/>
                <w:szCs w:val="20"/>
              </w:rPr>
            </w:pPr>
            <w:r w:rsidRPr="00320CA7">
              <w:rPr>
                <w:rFonts w:asciiTheme="minorHAnsi" w:hAnsiTheme="minorHAnsi" w:cstheme="minorHAnsi"/>
                <w:kern w:val="24"/>
                <w:sz w:val="20"/>
                <w:szCs w:val="20"/>
              </w:rPr>
              <w:t>YoY</w:t>
            </w:r>
          </w:p>
          <w:p w14:paraId="7D786C15" w14:textId="77777777" w:rsidR="00F53939" w:rsidRPr="00320CA7" w:rsidRDefault="00F53939" w:rsidP="00A50D03">
            <w:pPr>
              <w:ind w:right="115"/>
              <w:jc w:val="right"/>
              <w:rPr>
                <w:rFonts w:asciiTheme="minorHAnsi" w:eastAsia="Poppins" w:hAnsiTheme="minorHAnsi" w:cstheme="minorHAnsi"/>
                <w:iCs/>
                <w:sz w:val="20"/>
                <w:szCs w:val="20"/>
              </w:rPr>
            </w:pPr>
            <w:r w:rsidRPr="00320CA7">
              <w:rPr>
                <w:rFonts w:asciiTheme="minorHAnsi" w:hAnsiTheme="minorHAnsi" w:cstheme="minorHAnsi"/>
                <w:kern w:val="24"/>
                <w:sz w:val="20"/>
                <w:szCs w:val="20"/>
              </w:rPr>
              <w:t xml:space="preserve">Change </w:t>
            </w:r>
            <w:r w:rsidRPr="00320CA7">
              <w:rPr>
                <w:rFonts w:asciiTheme="minorHAnsi" w:eastAsia="Inter Light BETA" w:hAnsiTheme="minorHAnsi" w:cstheme="minorHAnsi"/>
                <w:kern w:val="24"/>
                <w:sz w:val="20"/>
                <w:szCs w:val="20"/>
              </w:rPr>
              <w:t>%</w:t>
            </w:r>
          </w:p>
        </w:tc>
      </w:tr>
      <w:tr w:rsidR="006D06A9" w:rsidRPr="005E46B1" w14:paraId="6146217D" w14:textId="77777777" w:rsidTr="006D06A9">
        <w:trPr>
          <w:trHeight w:val="240"/>
        </w:trPr>
        <w:tc>
          <w:tcPr>
            <w:tcW w:w="2333" w:type="pct"/>
            <w:tcBorders>
              <w:top w:val="single" w:sz="4" w:space="0" w:color="auto"/>
              <w:left w:val="nil"/>
              <w:bottom w:val="single" w:sz="4" w:space="0" w:color="FFFFFF"/>
              <w:right w:val="nil"/>
            </w:tcBorders>
            <w:vAlign w:val="center"/>
          </w:tcPr>
          <w:p w14:paraId="5269D5CD" w14:textId="7777777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Total customer numbers (‘000)</w:t>
            </w:r>
          </w:p>
        </w:tc>
        <w:tc>
          <w:tcPr>
            <w:tcW w:w="511" w:type="pct"/>
            <w:tcBorders>
              <w:top w:val="single" w:sz="4" w:space="0" w:color="auto"/>
              <w:left w:val="nil"/>
              <w:bottom w:val="nil"/>
              <w:right w:val="nil"/>
            </w:tcBorders>
            <w:shd w:val="clear" w:color="auto" w:fill="F2F2F2" w:themeFill="background1" w:themeFillShade="F2"/>
          </w:tcPr>
          <w:p w14:paraId="413BF962"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106</w:t>
            </w:r>
          </w:p>
        </w:tc>
        <w:tc>
          <w:tcPr>
            <w:tcW w:w="583" w:type="pct"/>
            <w:tcBorders>
              <w:top w:val="single" w:sz="4" w:space="0" w:color="auto"/>
              <w:left w:val="nil"/>
              <w:bottom w:val="single" w:sz="4" w:space="0" w:color="FFFFFF"/>
              <w:right w:val="nil"/>
            </w:tcBorders>
          </w:tcPr>
          <w:p w14:paraId="34DAEB43"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110</w:t>
            </w:r>
          </w:p>
        </w:tc>
        <w:tc>
          <w:tcPr>
            <w:tcW w:w="603" w:type="pct"/>
            <w:tcBorders>
              <w:top w:val="single" w:sz="4" w:space="0" w:color="auto"/>
              <w:left w:val="nil"/>
              <w:bottom w:val="single" w:sz="4" w:space="0" w:color="FFFFFF"/>
              <w:right w:val="nil"/>
            </w:tcBorders>
          </w:tcPr>
          <w:p w14:paraId="4D8027D4"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110</w:t>
            </w:r>
          </w:p>
        </w:tc>
        <w:tc>
          <w:tcPr>
            <w:tcW w:w="486" w:type="pct"/>
            <w:tcBorders>
              <w:top w:val="single" w:sz="4" w:space="0" w:color="auto"/>
              <w:left w:val="nil"/>
              <w:bottom w:val="single" w:sz="4" w:space="0" w:color="FFFFFF"/>
              <w:right w:val="nil"/>
            </w:tcBorders>
          </w:tcPr>
          <w:p w14:paraId="4884DC96"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w:t>
            </w:r>
          </w:p>
        </w:tc>
        <w:tc>
          <w:tcPr>
            <w:tcW w:w="485" w:type="pct"/>
            <w:tcBorders>
              <w:top w:val="single" w:sz="4" w:space="0" w:color="auto"/>
              <w:left w:val="nil"/>
              <w:bottom w:val="single" w:sz="4" w:space="0" w:color="FFFFFF"/>
              <w:right w:val="nil"/>
            </w:tcBorders>
          </w:tcPr>
          <w:p w14:paraId="2C0F47E7"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w:t>
            </w:r>
          </w:p>
        </w:tc>
      </w:tr>
      <w:tr w:rsidR="006D06A9" w:rsidRPr="005E46B1" w14:paraId="471D9B76" w14:textId="77777777" w:rsidTr="006D06A9">
        <w:trPr>
          <w:trHeight w:val="240"/>
        </w:trPr>
        <w:tc>
          <w:tcPr>
            <w:tcW w:w="2333" w:type="pct"/>
            <w:tcBorders>
              <w:top w:val="single" w:sz="4" w:space="0" w:color="FFFFFF"/>
              <w:left w:val="nil"/>
              <w:bottom w:val="single" w:sz="4" w:space="0" w:color="FFFFFF"/>
              <w:right w:val="nil"/>
            </w:tcBorders>
            <w:vAlign w:val="center"/>
          </w:tcPr>
          <w:p w14:paraId="5A7F9791" w14:textId="68FD1732"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Gross customer interest</w:t>
            </w:r>
            <w:r w:rsidR="00AF491D">
              <w:rPr>
                <w:rFonts w:asciiTheme="minorHAnsi" w:eastAsia="Poppins" w:hAnsiTheme="minorHAnsi" w:cstheme="minorHAnsi"/>
                <w:sz w:val="20"/>
                <w:szCs w:val="20"/>
              </w:rPr>
              <w:t>-</w:t>
            </w:r>
            <w:r w:rsidRPr="00320CA7">
              <w:rPr>
                <w:rFonts w:asciiTheme="minorHAnsi" w:eastAsia="Poppins" w:hAnsiTheme="minorHAnsi" w:cstheme="minorHAnsi"/>
                <w:sz w:val="20"/>
                <w:szCs w:val="20"/>
              </w:rPr>
              <w:t>earning balances</w:t>
            </w:r>
          </w:p>
        </w:tc>
        <w:tc>
          <w:tcPr>
            <w:tcW w:w="511" w:type="pct"/>
            <w:tcBorders>
              <w:top w:val="nil"/>
              <w:left w:val="nil"/>
              <w:bottom w:val="nil"/>
              <w:right w:val="nil"/>
            </w:tcBorders>
            <w:shd w:val="clear" w:color="auto" w:fill="F2F2F2" w:themeFill="background1" w:themeFillShade="F2"/>
          </w:tcPr>
          <w:p w14:paraId="6BE689BD"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733</w:t>
            </w:r>
          </w:p>
        </w:tc>
        <w:tc>
          <w:tcPr>
            <w:tcW w:w="583" w:type="pct"/>
            <w:tcBorders>
              <w:top w:val="single" w:sz="4" w:space="0" w:color="FFFFFF"/>
              <w:left w:val="nil"/>
              <w:bottom w:val="single" w:sz="4" w:space="0" w:color="FFFFFF"/>
              <w:right w:val="nil"/>
            </w:tcBorders>
          </w:tcPr>
          <w:p w14:paraId="063EFF5D"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765</w:t>
            </w:r>
          </w:p>
        </w:tc>
        <w:tc>
          <w:tcPr>
            <w:tcW w:w="603" w:type="pct"/>
            <w:tcBorders>
              <w:top w:val="single" w:sz="4" w:space="0" w:color="FFFFFF"/>
              <w:left w:val="nil"/>
              <w:bottom w:val="single" w:sz="4" w:space="0" w:color="FFFFFF"/>
              <w:right w:val="nil"/>
            </w:tcBorders>
          </w:tcPr>
          <w:p w14:paraId="39D7553F"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850</w:t>
            </w:r>
          </w:p>
        </w:tc>
        <w:tc>
          <w:tcPr>
            <w:tcW w:w="486" w:type="pct"/>
            <w:tcBorders>
              <w:top w:val="single" w:sz="4" w:space="0" w:color="FFFFFF"/>
              <w:left w:val="nil"/>
              <w:bottom w:val="single" w:sz="4" w:space="0" w:color="FFFFFF"/>
              <w:right w:val="nil"/>
            </w:tcBorders>
          </w:tcPr>
          <w:p w14:paraId="14EE3026"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w:t>
            </w:r>
          </w:p>
        </w:tc>
        <w:tc>
          <w:tcPr>
            <w:tcW w:w="485" w:type="pct"/>
            <w:tcBorders>
              <w:top w:val="single" w:sz="4" w:space="0" w:color="FFFFFF"/>
              <w:left w:val="nil"/>
              <w:bottom w:val="single" w:sz="4" w:space="0" w:color="FFFFFF"/>
              <w:right w:val="nil"/>
            </w:tcBorders>
          </w:tcPr>
          <w:p w14:paraId="10B9E89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(14)</w:t>
            </w:r>
          </w:p>
        </w:tc>
      </w:tr>
      <w:tr w:rsidR="006D06A9" w:rsidRPr="005E46B1" w14:paraId="2A863E8C" w14:textId="77777777" w:rsidTr="006D06A9">
        <w:trPr>
          <w:trHeight w:val="230"/>
        </w:trPr>
        <w:tc>
          <w:tcPr>
            <w:tcW w:w="2333" w:type="pct"/>
            <w:tcBorders>
              <w:top w:val="single" w:sz="4" w:space="0" w:color="FFFFFF"/>
              <w:left w:val="nil"/>
              <w:bottom w:val="single" w:sz="4" w:space="0" w:color="FFFFFF"/>
              <w:right w:val="nil"/>
            </w:tcBorders>
            <w:vAlign w:val="center"/>
          </w:tcPr>
          <w:p w14:paraId="55E1E232" w14:textId="6ABF81AD"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Average gross customer interest</w:t>
            </w:r>
            <w:r w:rsidR="00AF491D">
              <w:rPr>
                <w:rFonts w:asciiTheme="minorHAnsi" w:eastAsia="Poppins" w:hAnsiTheme="minorHAnsi" w:cstheme="minorHAnsi"/>
                <w:sz w:val="20"/>
                <w:szCs w:val="20"/>
              </w:rPr>
              <w:t>-</w:t>
            </w:r>
            <w:r w:rsidRPr="00320CA7">
              <w:rPr>
                <w:rFonts w:asciiTheme="minorHAnsi" w:eastAsia="Poppins" w:hAnsiTheme="minorHAnsi" w:cstheme="minorHAnsi"/>
                <w:sz w:val="20"/>
                <w:szCs w:val="20"/>
              </w:rPr>
              <w:t>earning balances</w:t>
            </w:r>
            <w:r w:rsidRPr="00320CA7">
              <w:rPr>
                <w:rFonts w:asciiTheme="minorHAnsi" w:eastAsia="Poppins" w:hAnsiTheme="minorHAnsi" w:cstheme="minorHAnsi"/>
                <w:sz w:val="20"/>
                <w:szCs w:val="20"/>
                <w:vertAlign w:val="superscript"/>
              </w:rPr>
              <w:t xml:space="preserve">1 </w:t>
            </w:r>
          </w:p>
        </w:tc>
        <w:tc>
          <w:tcPr>
            <w:tcW w:w="511" w:type="pct"/>
            <w:tcBorders>
              <w:top w:val="nil"/>
              <w:left w:val="nil"/>
              <w:bottom w:val="nil"/>
              <w:right w:val="nil"/>
            </w:tcBorders>
            <w:shd w:val="clear" w:color="auto" w:fill="F2F2F2" w:themeFill="background1" w:themeFillShade="F2"/>
          </w:tcPr>
          <w:p w14:paraId="55AF7A52"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750</w:t>
            </w:r>
          </w:p>
        </w:tc>
        <w:tc>
          <w:tcPr>
            <w:tcW w:w="583" w:type="pct"/>
            <w:tcBorders>
              <w:top w:val="single" w:sz="4" w:space="0" w:color="FFFFFF"/>
              <w:left w:val="nil"/>
              <w:bottom w:val="single" w:sz="4" w:space="0" w:color="FFFFFF"/>
              <w:right w:val="nil"/>
            </w:tcBorders>
          </w:tcPr>
          <w:p w14:paraId="47F473AE"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803</w:t>
            </w:r>
          </w:p>
        </w:tc>
        <w:tc>
          <w:tcPr>
            <w:tcW w:w="603" w:type="pct"/>
            <w:tcBorders>
              <w:top w:val="single" w:sz="4" w:space="0" w:color="FFFFFF"/>
              <w:left w:val="nil"/>
              <w:bottom w:val="single" w:sz="4" w:space="0" w:color="FFFFFF"/>
              <w:right w:val="nil"/>
            </w:tcBorders>
          </w:tcPr>
          <w:p w14:paraId="0806B687"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851</w:t>
            </w:r>
          </w:p>
        </w:tc>
        <w:tc>
          <w:tcPr>
            <w:tcW w:w="486" w:type="pct"/>
            <w:tcBorders>
              <w:top w:val="single" w:sz="4" w:space="0" w:color="FFFFFF"/>
              <w:left w:val="nil"/>
              <w:bottom w:val="single" w:sz="4" w:space="0" w:color="FFFFFF"/>
              <w:right w:val="nil"/>
            </w:tcBorders>
          </w:tcPr>
          <w:p w14:paraId="0495042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w:t>
            </w:r>
          </w:p>
        </w:tc>
        <w:tc>
          <w:tcPr>
            <w:tcW w:w="485" w:type="pct"/>
            <w:tcBorders>
              <w:top w:val="single" w:sz="4" w:space="0" w:color="FFFFFF"/>
              <w:left w:val="nil"/>
              <w:bottom w:val="single" w:sz="4" w:space="0" w:color="FFFFFF"/>
              <w:right w:val="nil"/>
            </w:tcBorders>
          </w:tcPr>
          <w:p w14:paraId="63CC2A79"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(12)</w:t>
            </w:r>
          </w:p>
        </w:tc>
      </w:tr>
      <w:tr w:rsidR="006D06A9" w:rsidRPr="005E46B1" w14:paraId="4B42CBBD" w14:textId="77777777" w:rsidTr="006D06A9">
        <w:trPr>
          <w:trHeight w:val="240"/>
        </w:trPr>
        <w:tc>
          <w:tcPr>
            <w:tcW w:w="2333" w:type="pct"/>
            <w:tcBorders>
              <w:top w:val="single" w:sz="4" w:space="0" w:color="FFFFFF"/>
              <w:left w:val="nil"/>
              <w:bottom w:val="nil"/>
              <w:right w:val="nil"/>
            </w:tcBorders>
            <w:vAlign w:val="center"/>
          </w:tcPr>
          <w:p w14:paraId="7B1A4B7C" w14:textId="7777777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Gross receivables</w:t>
            </w:r>
          </w:p>
        </w:tc>
        <w:tc>
          <w:tcPr>
            <w:tcW w:w="511" w:type="pct"/>
            <w:tcBorders>
              <w:top w:val="nil"/>
              <w:left w:val="nil"/>
              <w:bottom w:val="nil"/>
              <w:right w:val="nil"/>
            </w:tcBorders>
            <w:shd w:val="clear" w:color="auto" w:fill="F2F2F2" w:themeFill="background1" w:themeFillShade="F2"/>
          </w:tcPr>
          <w:p w14:paraId="3ACED0F4"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795</w:t>
            </w:r>
          </w:p>
        </w:tc>
        <w:tc>
          <w:tcPr>
            <w:tcW w:w="583" w:type="pct"/>
            <w:tcBorders>
              <w:top w:val="single" w:sz="4" w:space="0" w:color="FFFFFF"/>
              <w:left w:val="nil"/>
              <w:bottom w:val="nil"/>
              <w:right w:val="nil"/>
            </w:tcBorders>
          </w:tcPr>
          <w:p w14:paraId="2B32F2B0"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832</w:t>
            </w:r>
          </w:p>
        </w:tc>
        <w:tc>
          <w:tcPr>
            <w:tcW w:w="603" w:type="pct"/>
            <w:tcBorders>
              <w:top w:val="single" w:sz="4" w:space="0" w:color="FFFFFF"/>
              <w:left w:val="nil"/>
              <w:bottom w:val="nil"/>
              <w:right w:val="nil"/>
            </w:tcBorders>
          </w:tcPr>
          <w:p w14:paraId="5C951FCE"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921</w:t>
            </w:r>
          </w:p>
        </w:tc>
        <w:tc>
          <w:tcPr>
            <w:tcW w:w="486" w:type="pct"/>
            <w:tcBorders>
              <w:top w:val="single" w:sz="4" w:space="0" w:color="FFFFFF"/>
              <w:left w:val="nil"/>
              <w:bottom w:val="nil"/>
              <w:right w:val="nil"/>
            </w:tcBorders>
          </w:tcPr>
          <w:p w14:paraId="5FF201D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w:t>
            </w:r>
          </w:p>
        </w:tc>
        <w:tc>
          <w:tcPr>
            <w:tcW w:w="485" w:type="pct"/>
            <w:tcBorders>
              <w:top w:val="single" w:sz="4" w:space="0" w:color="FFFFFF"/>
              <w:left w:val="nil"/>
              <w:bottom w:val="nil"/>
              <w:right w:val="nil"/>
            </w:tcBorders>
          </w:tcPr>
          <w:p w14:paraId="623CA2EA"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(14)</w:t>
            </w:r>
          </w:p>
        </w:tc>
      </w:tr>
      <w:tr w:rsidR="006D06A9" w:rsidRPr="005E46B1" w14:paraId="484B6F35" w14:textId="77777777" w:rsidTr="006D06A9">
        <w:trPr>
          <w:trHeight w:val="240"/>
        </w:trPr>
        <w:tc>
          <w:tcPr>
            <w:tcW w:w="2333" w:type="pct"/>
            <w:tcBorders>
              <w:top w:val="nil"/>
              <w:left w:val="nil"/>
              <w:bottom w:val="single" w:sz="4" w:space="0" w:color="auto"/>
              <w:right w:val="nil"/>
            </w:tcBorders>
            <w:vAlign w:val="center"/>
          </w:tcPr>
          <w:p w14:paraId="5C8EFE9B" w14:textId="7777777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Net receivables</w:t>
            </w:r>
          </w:p>
        </w:tc>
        <w:tc>
          <w:tcPr>
            <w:tcW w:w="511" w:type="pct"/>
            <w:tcBorders>
              <w:top w:val="nil"/>
              <w:left w:val="nil"/>
              <w:bottom w:val="single" w:sz="4" w:space="0" w:color="auto"/>
              <w:right w:val="nil"/>
            </w:tcBorders>
            <w:shd w:val="clear" w:color="auto" w:fill="F2F2F2" w:themeFill="background1" w:themeFillShade="F2"/>
          </w:tcPr>
          <w:p w14:paraId="74CA5E31" w14:textId="77777777" w:rsidR="00F53939" w:rsidRPr="00320CA7" w:rsidDel="00CA2F6E"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709</w:t>
            </w:r>
          </w:p>
        </w:tc>
        <w:tc>
          <w:tcPr>
            <w:tcW w:w="583" w:type="pct"/>
            <w:tcBorders>
              <w:top w:val="nil"/>
              <w:left w:val="nil"/>
              <w:bottom w:val="single" w:sz="4" w:space="0" w:color="auto"/>
              <w:right w:val="nil"/>
            </w:tcBorders>
          </w:tcPr>
          <w:p w14:paraId="128C6E7F"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73</w:t>
            </w:r>
            <w:r>
              <w:rPr>
                <w:rFonts w:asciiTheme="minorHAnsi" w:hAnsiTheme="minorHAnsi" w:cstheme="minorHAnsi"/>
                <w:iCs/>
                <w:sz w:val="20"/>
                <w:szCs w:val="20"/>
              </w:rPr>
              <w:t>5</w:t>
            </w:r>
          </w:p>
        </w:tc>
        <w:tc>
          <w:tcPr>
            <w:tcW w:w="603" w:type="pct"/>
            <w:tcBorders>
              <w:top w:val="nil"/>
              <w:left w:val="nil"/>
              <w:bottom w:val="single" w:sz="4" w:space="0" w:color="auto"/>
              <w:right w:val="nil"/>
            </w:tcBorders>
          </w:tcPr>
          <w:p w14:paraId="3077B8CF"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760</w:t>
            </w:r>
          </w:p>
        </w:tc>
        <w:tc>
          <w:tcPr>
            <w:tcW w:w="486" w:type="pct"/>
            <w:tcBorders>
              <w:top w:val="nil"/>
              <w:left w:val="nil"/>
              <w:bottom w:val="single" w:sz="4" w:space="0" w:color="auto"/>
              <w:right w:val="nil"/>
            </w:tcBorders>
          </w:tcPr>
          <w:p w14:paraId="7BF9994A"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w:t>
            </w:r>
          </w:p>
        </w:tc>
        <w:tc>
          <w:tcPr>
            <w:tcW w:w="485" w:type="pct"/>
            <w:tcBorders>
              <w:top w:val="nil"/>
              <w:left w:val="nil"/>
              <w:bottom w:val="single" w:sz="4" w:space="0" w:color="auto"/>
              <w:right w:val="nil"/>
            </w:tcBorders>
          </w:tcPr>
          <w:p w14:paraId="317A9FA6"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w:t>
            </w:r>
          </w:p>
        </w:tc>
      </w:tr>
      <w:tr w:rsidR="006D06A9" w:rsidRPr="005E46B1" w14:paraId="09DC38BF" w14:textId="77777777" w:rsidTr="006D06A9">
        <w:trPr>
          <w:trHeight w:val="240"/>
        </w:trPr>
        <w:tc>
          <w:tcPr>
            <w:tcW w:w="2333" w:type="pct"/>
            <w:tcBorders>
              <w:top w:val="single" w:sz="4" w:space="0" w:color="auto"/>
              <w:left w:val="nil"/>
              <w:bottom w:val="single" w:sz="4" w:space="0" w:color="auto"/>
              <w:right w:val="nil"/>
            </w:tcBorders>
            <w:vAlign w:val="center"/>
          </w:tcPr>
          <w:p w14:paraId="10F61E2C" w14:textId="77777777" w:rsidR="00F53939" w:rsidRPr="00320CA7" w:rsidRDefault="00F53939" w:rsidP="00A50D03">
            <w:pPr>
              <w:ind w:right="115"/>
              <w:rPr>
                <w:rFonts w:asciiTheme="minorHAnsi" w:eastAsia="Poppins" w:hAnsiTheme="minorHAnsi" w:cstheme="minorHAnsi"/>
                <w:sz w:val="20"/>
                <w:szCs w:val="20"/>
              </w:rPr>
            </w:pPr>
          </w:p>
        </w:tc>
        <w:tc>
          <w:tcPr>
            <w:tcW w:w="511" w:type="pct"/>
            <w:tcBorders>
              <w:top w:val="single" w:sz="4" w:space="0" w:color="auto"/>
              <w:left w:val="nil"/>
              <w:bottom w:val="single" w:sz="4" w:space="0" w:color="auto"/>
              <w:right w:val="nil"/>
            </w:tcBorders>
            <w:shd w:val="clear" w:color="auto" w:fill="F2F2F2" w:themeFill="background1" w:themeFillShade="F2"/>
          </w:tcPr>
          <w:p w14:paraId="4CF03043" w14:textId="77777777" w:rsidR="00F53939" w:rsidRPr="00320CA7" w:rsidRDefault="00F53939" w:rsidP="00A50D03">
            <w:pPr>
              <w:jc w:val="right"/>
              <w:rPr>
                <w:rFonts w:asciiTheme="minorHAnsi" w:hAnsiTheme="minorHAnsi" w:cstheme="minorHAnsi"/>
                <w:b/>
                <w:color w:val="FF0000"/>
                <w:sz w:val="20"/>
                <w:szCs w:val="20"/>
              </w:rPr>
            </w:pPr>
          </w:p>
        </w:tc>
        <w:tc>
          <w:tcPr>
            <w:tcW w:w="583" w:type="pct"/>
            <w:tcBorders>
              <w:top w:val="single" w:sz="4" w:space="0" w:color="auto"/>
              <w:left w:val="nil"/>
              <w:bottom w:val="single" w:sz="4" w:space="0" w:color="auto"/>
              <w:right w:val="nil"/>
            </w:tcBorders>
            <w:vAlign w:val="bottom"/>
          </w:tcPr>
          <w:p w14:paraId="35784F9C" w14:textId="77777777" w:rsidR="00F53939" w:rsidRPr="002F0FA2" w:rsidRDefault="00F53939" w:rsidP="00A50D03">
            <w:pPr>
              <w:jc w:val="right"/>
              <w:rPr>
                <w:rFonts w:asciiTheme="minorHAnsi" w:hAnsiTheme="minorHAnsi" w:cstheme="minorHAnsi"/>
                <w:iCs/>
                <w:sz w:val="20"/>
                <w:szCs w:val="20"/>
              </w:rPr>
            </w:pPr>
          </w:p>
        </w:tc>
        <w:tc>
          <w:tcPr>
            <w:tcW w:w="603" w:type="pct"/>
            <w:tcBorders>
              <w:top w:val="single" w:sz="4" w:space="0" w:color="auto"/>
              <w:left w:val="nil"/>
              <w:bottom w:val="single" w:sz="4" w:space="0" w:color="auto"/>
              <w:right w:val="nil"/>
            </w:tcBorders>
          </w:tcPr>
          <w:p w14:paraId="6392E245" w14:textId="77777777" w:rsidR="00F53939" w:rsidRPr="002F0FA2" w:rsidRDefault="00F53939" w:rsidP="00A50D03">
            <w:pPr>
              <w:jc w:val="right"/>
              <w:rPr>
                <w:rFonts w:asciiTheme="minorHAnsi" w:hAnsiTheme="minorHAnsi" w:cstheme="minorHAnsi"/>
                <w:iCs/>
                <w:sz w:val="20"/>
                <w:szCs w:val="20"/>
              </w:rPr>
            </w:pPr>
          </w:p>
        </w:tc>
        <w:tc>
          <w:tcPr>
            <w:tcW w:w="486" w:type="pct"/>
            <w:tcBorders>
              <w:top w:val="single" w:sz="4" w:space="0" w:color="auto"/>
              <w:left w:val="nil"/>
              <w:bottom w:val="single" w:sz="4" w:space="0" w:color="auto"/>
              <w:right w:val="nil"/>
            </w:tcBorders>
          </w:tcPr>
          <w:p w14:paraId="14FF5FAA" w14:textId="77777777" w:rsidR="00F53939" w:rsidRPr="00320CA7" w:rsidRDefault="00F53939" w:rsidP="00A50D03">
            <w:pPr>
              <w:jc w:val="right"/>
              <w:rPr>
                <w:rFonts w:asciiTheme="minorHAnsi" w:hAnsiTheme="minorHAnsi" w:cstheme="minorHAnsi"/>
                <w:iCs/>
                <w:color w:val="FF0000"/>
                <w:sz w:val="20"/>
                <w:szCs w:val="20"/>
              </w:rPr>
            </w:pPr>
          </w:p>
        </w:tc>
        <w:tc>
          <w:tcPr>
            <w:tcW w:w="485" w:type="pct"/>
            <w:tcBorders>
              <w:top w:val="single" w:sz="4" w:space="0" w:color="auto"/>
              <w:left w:val="nil"/>
              <w:bottom w:val="single" w:sz="4" w:space="0" w:color="auto"/>
              <w:right w:val="nil"/>
            </w:tcBorders>
          </w:tcPr>
          <w:p w14:paraId="2405B422" w14:textId="77777777" w:rsidR="00F53939" w:rsidRPr="00320CA7" w:rsidRDefault="00F53939" w:rsidP="00A50D03">
            <w:pPr>
              <w:jc w:val="right"/>
              <w:rPr>
                <w:rFonts w:asciiTheme="minorHAnsi" w:hAnsiTheme="minorHAnsi" w:cstheme="minorHAnsi"/>
                <w:iCs/>
                <w:color w:val="FF0000"/>
                <w:sz w:val="20"/>
                <w:szCs w:val="20"/>
              </w:rPr>
            </w:pPr>
          </w:p>
        </w:tc>
      </w:tr>
      <w:tr w:rsidR="006D06A9" w:rsidRPr="005E46B1" w14:paraId="3A98BB6E" w14:textId="77777777" w:rsidTr="006D06A9">
        <w:trPr>
          <w:trHeight w:val="240"/>
        </w:trPr>
        <w:tc>
          <w:tcPr>
            <w:tcW w:w="2333" w:type="pct"/>
            <w:tcBorders>
              <w:top w:val="single" w:sz="4" w:space="0" w:color="auto"/>
              <w:left w:val="nil"/>
              <w:bottom w:val="single" w:sz="4" w:space="0" w:color="FFFFFF"/>
              <w:right w:val="nil"/>
            </w:tcBorders>
            <w:vAlign w:val="center"/>
          </w:tcPr>
          <w:p w14:paraId="6079BA4C"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Interest income</w:t>
            </w:r>
          </w:p>
        </w:tc>
        <w:tc>
          <w:tcPr>
            <w:tcW w:w="511" w:type="pct"/>
            <w:tcBorders>
              <w:top w:val="single" w:sz="4" w:space="0" w:color="auto"/>
              <w:left w:val="nil"/>
              <w:bottom w:val="nil"/>
              <w:right w:val="nil"/>
            </w:tcBorders>
            <w:shd w:val="clear" w:color="auto" w:fill="F2F2F2" w:themeFill="background1" w:themeFillShade="F2"/>
          </w:tcPr>
          <w:p w14:paraId="38ECD751"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62.9</w:t>
            </w:r>
          </w:p>
        </w:tc>
        <w:tc>
          <w:tcPr>
            <w:tcW w:w="583" w:type="pct"/>
            <w:tcBorders>
              <w:top w:val="single" w:sz="4" w:space="0" w:color="auto"/>
              <w:left w:val="nil"/>
              <w:bottom w:val="single" w:sz="4" w:space="0" w:color="FFFFFF"/>
              <w:right w:val="nil"/>
            </w:tcBorders>
          </w:tcPr>
          <w:p w14:paraId="710D12DE"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63.4</w:t>
            </w:r>
          </w:p>
        </w:tc>
        <w:tc>
          <w:tcPr>
            <w:tcW w:w="603" w:type="pct"/>
            <w:tcBorders>
              <w:top w:val="single" w:sz="4" w:space="0" w:color="auto"/>
              <w:left w:val="nil"/>
              <w:bottom w:val="single" w:sz="4" w:space="0" w:color="FFFFFF"/>
              <w:right w:val="nil"/>
            </w:tcBorders>
          </w:tcPr>
          <w:p w14:paraId="1D99C3B0"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69.7</w:t>
            </w:r>
          </w:p>
        </w:tc>
        <w:tc>
          <w:tcPr>
            <w:tcW w:w="486" w:type="pct"/>
            <w:tcBorders>
              <w:top w:val="single" w:sz="4" w:space="0" w:color="auto"/>
              <w:left w:val="nil"/>
              <w:bottom w:val="single" w:sz="4" w:space="0" w:color="FFFFFF"/>
              <w:right w:val="nil"/>
            </w:tcBorders>
          </w:tcPr>
          <w:p w14:paraId="2EF5064A"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w:t>
            </w:r>
          </w:p>
        </w:tc>
        <w:tc>
          <w:tcPr>
            <w:tcW w:w="485" w:type="pct"/>
            <w:tcBorders>
              <w:top w:val="single" w:sz="4" w:space="0" w:color="auto"/>
              <w:left w:val="nil"/>
              <w:bottom w:val="single" w:sz="4" w:space="0" w:color="FFFFFF"/>
              <w:right w:val="nil"/>
            </w:tcBorders>
          </w:tcPr>
          <w:p w14:paraId="08FF0613"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(10)</w:t>
            </w:r>
          </w:p>
        </w:tc>
      </w:tr>
      <w:tr w:rsidR="006D06A9" w:rsidRPr="005E46B1" w14:paraId="1E56DB4A" w14:textId="77777777" w:rsidTr="006D06A9">
        <w:trPr>
          <w:trHeight w:val="240"/>
        </w:trPr>
        <w:tc>
          <w:tcPr>
            <w:tcW w:w="2333" w:type="pct"/>
            <w:tcBorders>
              <w:top w:val="single" w:sz="4" w:space="0" w:color="FFFFFF"/>
              <w:left w:val="nil"/>
              <w:bottom w:val="single" w:sz="4" w:space="0" w:color="auto"/>
              <w:right w:val="nil"/>
            </w:tcBorders>
            <w:vAlign w:val="center"/>
          </w:tcPr>
          <w:p w14:paraId="105B2B1A"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Interest expense</w:t>
            </w:r>
          </w:p>
        </w:tc>
        <w:tc>
          <w:tcPr>
            <w:tcW w:w="511" w:type="pct"/>
            <w:tcBorders>
              <w:top w:val="nil"/>
              <w:left w:val="nil"/>
              <w:bottom w:val="single" w:sz="4" w:space="0" w:color="auto"/>
              <w:right w:val="nil"/>
            </w:tcBorders>
            <w:shd w:val="clear" w:color="auto" w:fill="F2F2F2" w:themeFill="background1" w:themeFillShade="F2"/>
          </w:tcPr>
          <w:p w14:paraId="14914A82"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(14.3)</w:t>
            </w:r>
          </w:p>
        </w:tc>
        <w:tc>
          <w:tcPr>
            <w:tcW w:w="583" w:type="pct"/>
            <w:tcBorders>
              <w:top w:val="single" w:sz="4" w:space="0" w:color="FFFFFF"/>
              <w:left w:val="nil"/>
              <w:bottom w:val="single" w:sz="4" w:space="0" w:color="auto"/>
              <w:right w:val="nil"/>
            </w:tcBorders>
          </w:tcPr>
          <w:p w14:paraId="24E40A56" w14:textId="77777777" w:rsidR="00F53939" w:rsidRPr="002F0FA2"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r w:rsidRPr="002F0FA2">
              <w:rPr>
                <w:rFonts w:asciiTheme="minorHAnsi" w:hAnsiTheme="minorHAnsi" w:cstheme="minorHAnsi"/>
                <w:iCs/>
                <w:sz w:val="20"/>
                <w:szCs w:val="20"/>
              </w:rPr>
              <w:t>15.7</w:t>
            </w:r>
            <w:r>
              <w:rPr>
                <w:rFonts w:asciiTheme="minorHAnsi" w:hAnsiTheme="minorHAnsi" w:cstheme="minorHAnsi"/>
                <w:iCs/>
                <w:sz w:val="20"/>
                <w:szCs w:val="20"/>
              </w:rPr>
              <w:t>)</w:t>
            </w:r>
          </w:p>
        </w:tc>
        <w:tc>
          <w:tcPr>
            <w:tcW w:w="603" w:type="pct"/>
            <w:tcBorders>
              <w:top w:val="single" w:sz="4" w:space="0" w:color="FFFFFF"/>
              <w:left w:val="nil"/>
              <w:bottom w:val="single" w:sz="4" w:space="0" w:color="auto"/>
              <w:right w:val="nil"/>
            </w:tcBorders>
          </w:tcPr>
          <w:p w14:paraId="5B6D460E"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(15.7)</w:t>
            </w:r>
          </w:p>
        </w:tc>
        <w:tc>
          <w:tcPr>
            <w:tcW w:w="486" w:type="pct"/>
            <w:tcBorders>
              <w:top w:val="single" w:sz="4" w:space="0" w:color="FFFFFF"/>
              <w:left w:val="nil"/>
              <w:bottom w:val="single" w:sz="4" w:space="0" w:color="auto"/>
              <w:right w:val="nil"/>
            </w:tcBorders>
          </w:tcPr>
          <w:p w14:paraId="0A256580"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(9)</w:t>
            </w:r>
          </w:p>
        </w:tc>
        <w:tc>
          <w:tcPr>
            <w:tcW w:w="485" w:type="pct"/>
            <w:tcBorders>
              <w:top w:val="single" w:sz="4" w:space="0" w:color="FFFFFF"/>
              <w:left w:val="nil"/>
              <w:bottom w:val="single" w:sz="4" w:space="0" w:color="auto"/>
              <w:right w:val="nil"/>
            </w:tcBorders>
          </w:tcPr>
          <w:p w14:paraId="57B38DE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(9)</w:t>
            </w:r>
          </w:p>
        </w:tc>
      </w:tr>
      <w:tr w:rsidR="006D06A9" w:rsidRPr="005E46B1" w14:paraId="003A1967" w14:textId="77777777" w:rsidTr="006D06A9">
        <w:trPr>
          <w:trHeight w:val="240"/>
        </w:trPr>
        <w:tc>
          <w:tcPr>
            <w:tcW w:w="2333" w:type="pct"/>
            <w:tcBorders>
              <w:top w:val="single" w:sz="4" w:space="0" w:color="auto"/>
              <w:left w:val="nil"/>
              <w:bottom w:val="single" w:sz="4" w:space="0" w:color="FFFFFF"/>
              <w:right w:val="nil"/>
            </w:tcBorders>
            <w:vAlign w:val="center"/>
          </w:tcPr>
          <w:p w14:paraId="0527649A" w14:textId="77777777" w:rsidR="00F53939" w:rsidRPr="00963BE5" w:rsidRDefault="00F53939" w:rsidP="00A50D03">
            <w:pPr>
              <w:ind w:right="115"/>
              <w:rPr>
                <w:rFonts w:asciiTheme="minorHAnsi" w:eastAsia="Poppins" w:hAnsiTheme="minorHAnsi" w:cstheme="minorHAnsi"/>
                <w:b/>
                <w:sz w:val="20"/>
                <w:szCs w:val="20"/>
              </w:rPr>
            </w:pPr>
            <w:r w:rsidRPr="00963BE5">
              <w:rPr>
                <w:rFonts w:asciiTheme="minorHAnsi" w:eastAsia="Poppins" w:hAnsiTheme="minorHAnsi" w:cstheme="minorHAnsi"/>
                <w:b/>
                <w:sz w:val="20"/>
                <w:szCs w:val="20"/>
              </w:rPr>
              <w:t>Net interest income</w:t>
            </w:r>
          </w:p>
        </w:tc>
        <w:tc>
          <w:tcPr>
            <w:tcW w:w="511" w:type="pct"/>
            <w:tcBorders>
              <w:top w:val="single" w:sz="4" w:space="0" w:color="auto"/>
              <w:left w:val="nil"/>
              <w:bottom w:val="nil"/>
              <w:right w:val="nil"/>
            </w:tcBorders>
            <w:shd w:val="clear" w:color="auto" w:fill="F2F2F2" w:themeFill="background1" w:themeFillShade="F2"/>
          </w:tcPr>
          <w:p w14:paraId="534B1CB2"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48.6</w:t>
            </w:r>
          </w:p>
        </w:tc>
        <w:tc>
          <w:tcPr>
            <w:tcW w:w="583" w:type="pct"/>
            <w:tcBorders>
              <w:top w:val="single" w:sz="4" w:space="0" w:color="auto"/>
              <w:left w:val="nil"/>
              <w:bottom w:val="single" w:sz="4" w:space="0" w:color="FFFFFF"/>
              <w:right w:val="nil"/>
            </w:tcBorders>
          </w:tcPr>
          <w:p w14:paraId="0398ADB6"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47.7</w:t>
            </w:r>
          </w:p>
        </w:tc>
        <w:tc>
          <w:tcPr>
            <w:tcW w:w="603" w:type="pct"/>
            <w:tcBorders>
              <w:top w:val="single" w:sz="4" w:space="0" w:color="auto"/>
              <w:left w:val="nil"/>
              <w:bottom w:val="single" w:sz="4" w:space="0" w:color="FFFFFF"/>
              <w:right w:val="nil"/>
            </w:tcBorders>
          </w:tcPr>
          <w:p w14:paraId="134CD8D1"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54.0</w:t>
            </w:r>
          </w:p>
        </w:tc>
        <w:tc>
          <w:tcPr>
            <w:tcW w:w="486" w:type="pct"/>
            <w:tcBorders>
              <w:top w:val="single" w:sz="4" w:space="0" w:color="auto"/>
              <w:left w:val="nil"/>
              <w:bottom w:val="single" w:sz="4" w:space="0" w:color="FFFFFF"/>
              <w:right w:val="nil"/>
            </w:tcBorders>
          </w:tcPr>
          <w:p w14:paraId="06267829"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w:t>
            </w:r>
          </w:p>
        </w:tc>
        <w:tc>
          <w:tcPr>
            <w:tcW w:w="485" w:type="pct"/>
            <w:tcBorders>
              <w:top w:val="single" w:sz="4" w:space="0" w:color="auto"/>
              <w:left w:val="nil"/>
              <w:bottom w:val="single" w:sz="4" w:space="0" w:color="FFFFFF"/>
              <w:right w:val="nil"/>
            </w:tcBorders>
          </w:tcPr>
          <w:p w14:paraId="0CDC7325"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(10)</w:t>
            </w:r>
          </w:p>
        </w:tc>
      </w:tr>
      <w:tr w:rsidR="006D06A9" w:rsidRPr="005E46B1" w14:paraId="1393558A" w14:textId="77777777" w:rsidTr="006D06A9">
        <w:trPr>
          <w:trHeight w:val="240"/>
        </w:trPr>
        <w:tc>
          <w:tcPr>
            <w:tcW w:w="2333" w:type="pct"/>
            <w:tcBorders>
              <w:top w:val="single" w:sz="4" w:space="0" w:color="auto"/>
              <w:left w:val="nil"/>
              <w:bottom w:val="single" w:sz="4" w:space="0" w:color="FFFFFF"/>
              <w:right w:val="nil"/>
            </w:tcBorders>
            <w:vAlign w:val="center"/>
          </w:tcPr>
          <w:p w14:paraId="4FED386B" w14:textId="77777777" w:rsidR="00F53939" w:rsidRPr="00963BE5" w:rsidRDefault="00F53939" w:rsidP="00A50D03">
            <w:pPr>
              <w:ind w:right="115"/>
              <w:rPr>
                <w:rFonts w:asciiTheme="minorHAnsi" w:eastAsia="Poppins" w:hAnsiTheme="minorHAnsi" w:cstheme="minorHAnsi"/>
                <w:b/>
                <w:sz w:val="20"/>
                <w:szCs w:val="20"/>
              </w:rPr>
            </w:pPr>
            <w:r w:rsidRPr="00963BE5">
              <w:rPr>
                <w:rFonts w:asciiTheme="minorHAnsi" w:eastAsia="Poppins" w:hAnsiTheme="minorHAnsi" w:cstheme="minorHAnsi"/>
                <w:b/>
                <w:sz w:val="20"/>
                <w:szCs w:val="20"/>
              </w:rPr>
              <w:t>Total income</w:t>
            </w:r>
          </w:p>
        </w:tc>
        <w:tc>
          <w:tcPr>
            <w:tcW w:w="511" w:type="pct"/>
            <w:tcBorders>
              <w:top w:val="single" w:sz="4" w:space="0" w:color="auto"/>
              <w:left w:val="nil"/>
              <w:bottom w:val="nil"/>
              <w:right w:val="nil"/>
            </w:tcBorders>
            <w:shd w:val="clear" w:color="auto" w:fill="F2F2F2" w:themeFill="background1" w:themeFillShade="F2"/>
          </w:tcPr>
          <w:p w14:paraId="5A9A3CF5"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48.6</w:t>
            </w:r>
          </w:p>
        </w:tc>
        <w:tc>
          <w:tcPr>
            <w:tcW w:w="583" w:type="pct"/>
            <w:tcBorders>
              <w:top w:val="single" w:sz="4" w:space="0" w:color="auto"/>
              <w:left w:val="nil"/>
              <w:bottom w:val="single" w:sz="4" w:space="0" w:color="FFFFFF"/>
              <w:right w:val="nil"/>
            </w:tcBorders>
          </w:tcPr>
          <w:p w14:paraId="6A21744B"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47.7</w:t>
            </w:r>
          </w:p>
        </w:tc>
        <w:tc>
          <w:tcPr>
            <w:tcW w:w="603" w:type="pct"/>
            <w:tcBorders>
              <w:top w:val="single" w:sz="4" w:space="0" w:color="auto"/>
              <w:left w:val="nil"/>
              <w:bottom w:val="single" w:sz="4" w:space="0" w:color="FFFFFF"/>
              <w:right w:val="nil"/>
            </w:tcBorders>
          </w:tcPr>
          <w:p w14:paraId="207753AA"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54.0</w:t>
            </w:r>
          </w:p>
        </w:tc>
        <w:tc>
          <w:tcPr>
            <w:tcW w:w="486" w:type="pct"/>
            <w:tcBorders>
              <w:top w:val="single" w:sz="4" w:space="0" w:color="auto"/>
              <w:left w:val="nil"/>
              <w:bottom w:val="single" w:sz="4" w:space="0" w:color="FFFFFF"/>
              <w:right w:val="nil"/>
            </w:tcBorders>
          </w:tcPr>
          <w:p w14:paraId="1CD1623F"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w:t>
            </w:r>
          </w:p>
        </w:tc>
        <w:tc>
          <w:tcPr>
            <w:tcW w:w="485" w:type="pct"/>
            <w:tcBorders>
              <w:top w:val="single" w:sz="4" w:space="0" w:color="auto"/>
              <w:left w:val="nil"/>
              <w:bottom w:val="single" w:sz="4" w:space="0" w:color="FFFFFF"/>
              <w:right w:val="nil"/>
            </w:tcBorders>
          </w:tcPr>
          <w:p w14:paraId="27B2DB49"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(10)</w:t>
            </w:r>
          </w:p>
        </w:tc>
      </w:tr>
      <w:tr w:rsidR="006D06A9" w:rsidRPr="005E46B1" w14:paraId="66C6C313" w14:textId="77777777" w:rsidTr="006D06A9">
        <w:trPr>
          <w:trHeight w:val="240"/>
        </w:trPr>
        <w:tc>
          <w:tcPr>
            <w:tcW w:w="2333" w:type="pct"/>
            <w:tcBorders>
              <w:top w:val="single" w:sz="4" w:space="0" w:color="FFFFFF"/>
              <w:left w:val="nil"/>
              <w:bottom w:val="single" w:sz="4" w:space="0" w:color="auto"/>
              <w:right w:val="nil"/>
            </w:tcBorders>
            <w:vAlign w:val="center"/>
          </w:tcPr>
          <w:p w14:paraId="164556B1"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Impairment charges</w:t>
            </w:r>
          </w:p>
        </w:tc>
        <w:tc>
          <w:tcPr>
            <w:tcW w:w="511" w:type="pct"/>
            <w:tcBorders>
              <w:top w:val="nil"/>
              <w:left w:val="nil"/>
              <w:bottom w:val="single" w:sz="4" w:space="0" w:color="auto"/>
              <w:right w:val="nil"/>
            </w:tcBorders>
            <w:shd w:val="clear" w:color="auto" w:fill="F2F2F2" w:themeFill="background1" w:themeFillShade="F2"/>
          </w:tcPr>
          <w:p w14:paraId="7D1B89AE"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(12.7)</w:t>
            </w:r>
          </w:p>
        </w:tc>
        <w:tc>
          <w:tcPr>
            <w:tcW w:w="583" w:type="pct"/>
            <w:tcBorders>
              <w:top w:val="single" w:sz="4" w:space="0" w:color="FFFFFF"/>
              <w:left w:val="nil"/>
              <w:bottom w:val="single" w:sz="4" w:space="0" w:color="auto"/>
              <w:right w:val="nil"/>
            </w:tcBorders>
          </w:tcPr>
          <w:p w14:paraId="247DE00F"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(30.9)</w:t>
            </w:r>
          </w:p>
        </w:tc>
        <w:tc>
          <w:tcPr>
            <w:tcW w:w="603" w:type="pct"/>
            <w:tcBorders>
              <w:top w:val="single" w:sz="4" w:space="0" w:color="FFFFFF"/>
              <w:left w:val="nil"/>
              <w:bottom w:val="single" w:sz="4" w:space="0" w:color="auto"/>
              <w:right w:val="nil"/>
            </w:tcBorders>
          </w:tcPr>
          <w:p w14:paraId="0C095F11"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(29.5)</w:t>
            </w:r>
          </w:p>
        </w:tc>
        <w:tc>
          <w:tcPr>
            <w:tcW w:w="486" w:type="pct"/>
            <w:tcBorders>
              <w:top w:val="single" w:sz="4" w:space="0" w:color="FFFFFF"/>
              <w:left w:val="nil"/>
              <w:bottom w:val="single" w:sz="4" w:space="0" w:color="auto"/>
              <w:right w:val="nil"/>
            </w:tcBorders>
          </w:tcPr>
          <w:p w14:paraId="5E90CAD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(59)</w:t>
            </w:r>
          </w:p>
        </w:tc>
        <w:tc>
          <w:tcPr>
            <w:tcW w:w="485" w:type="pct"/>
            <w:tcBorders>
              <w:top w:val="single" w:sz="4" w:space="0" w:color="FFFFFF"/>
              <w:left w:val="nil"/>
              <w:bottom w:val="single" w:sz="4" w:space="0" w:color="auto"/>
              <w:right w:val="nil"/>
            </w:tcBorders>
          </w:tcPr>
          <w:p w14:paraId="73C1A43E"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(57)</w:t>
            </w:r>
          </w:p>
        </w:tc>
      </w:tr>
      <w:tr w:rsidR="006D06A9" w:rsidRPr="005E46B1" w14:paraId="1FCEC716" w14:textId="77777777" w:rsidTr="006D06A9">
        <w:trPr>
          <w:trHeight w:val="240"/>
        </w:trPr>
        <w:tc>
          <w:tcPr>
            <w:tcW w:w="2333" w:type="pct"/>
            <w:tcBorders>
              <w:top w:val="single" w:sz="4" w:space="0" w:color="auto"/>
              <w:left w:val="nil"/>
              <w:bottom w:val="single" w:sz="4" w:space="0" w:color="FFFFFF"/>
              <w:right w:val="nil"/>
            </w:tcBorders>
            <w:vAlign w:val="center"/>
          </w:tcPr>
          <w:p w14:paraId="7236A71C" w14:textId="77777777" w:rsidR="00F53939" w:rsidRPr="00963BE5" w:rsidRDefault="00F53939" w:rsidP="00A50D03">
            <w:pPr>
              <w:ind w:right="115"/>
              <w:rPr>
                <w:rFonts w:asciiTheme="minorHAnsi" w:eastAsia="Poppins" w:hAnsiTheme="minorHAnsi" w:cstheme="minorHAnsi"/>
                <w:b/>
                <w:sz w:val="20"/>
                <w:szCs w:val="20"/>
              </w:rPr>
            </w:pPr>
            <w:r w:rsidRPr="00963BE5">
              <w:rPr>
                <w:rFonts w:asciiTheme="minorHAnsi" w:eastAsia="Poppins" w:hAnsiTheme="minorHAnsi" w:cstheme="minorHAnsi"/>
                <w:b/>
                <w:sz w:val="20"/>
                <w:szCs w:val="20"/>
              </w:rPr>
              <w:t>Risk adjusted income</w:t>
            </w:r>
          </w:p>
        </w:tc>
        <w:tc>
          <w:tcPr>
            <w:tcW w:w="511" w:type="pct"/>
            <w:tcBorders>
              <w:top w:val="single" w:sz="4" w:space="0" w:color="auto"/>
              <w:left w:val="nil"/>
              <w:bottom w:val="nil"/>
              <w:right w:val="nil"/>
            </w:tcBorders>
            <w:shd w:val="clear" w:color="auto" w:fill="F2F2F2" w:themeFill="background1" w:themeFillShade="F2"/>
          </w:tcPr>
          <w:p w14:paraId="35B5DD00"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35.9</w:t>
            </w:r>
          </w:p>
        </w:tc>
        <w:tc>
          <w:tcPr>
            <w:tcW w:w="583" w:type="pct"/>
            <w:tcBorders>
              <w:top w:val="single" w:sz="4" w:space="0" w:color="auto"/>
              <w:left w:val="nil"/>
              <w:bottom w:val="single" w:sz="4" w:space="0" w:color="FFFFFF"/>
              <w:right w:val="nil"/>
            </w:tcBorders>
          </w:tcPr>
          <w:p w14:paraId="1CEC1E59"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16.8</w:t>
            </w:r>
          </w:p>
        </w:tc>
        <w:tc>
          <w:tcPr>
            <w:tcW w:w="603" w:type="pct"/>
            <w:tcBorders>
              <w:top w:val="single" w:sz="4" w:space="0" w:color="auto"/>
              <w:left w:val="nil"/>
              <w:bottom w:val="single" w:sz="4" w:space="0" w:color="FFFFFF"/>
              <w:right w:val="nil"/>
            </w:tcBorders>
          </w:tcPr>
          <w:p w14:paraId="2954EB8A"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24.5</w:t>
            </w:r>
          </w:p>
        </w:tc>
        <w:tc>
          <w:tcPr>
            <w:tcW w:w="486" w:type="pct"/>
            <w:tcBorders>
              <w:top w:val="single" w:sz="4" w:space="0" w:color="auto"/>
              <w:left w:val="nil"/>
              <w:bottom w:val="single" w:sz="4" w:space="0" w:color="FFFFFF"/>
              <w:right w:val="nil"/>
            </w:tcBorders>
          </w:tcPr>
          <w:p w14:paraId="39DCD13E"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114</w:t>
            </w:r>
          </w:p>
        </w:tc>
        <w:tc>
          <w:tcPr>
            <w:tcW w:w="485" w:type="pct"/>
            <w:tcBorders>
              <w:top w:val="single" w:sz="4" w:space="0" w:color="auto"/>
              <w:left w:val="nil"/>
              <w:bottom w:val="single" w:sz="4" w:space="0" w:color="FFFFFF"/>
              <w:right w:val="nil"/>
            </w:tcBorders>
          </w:tcPr>
          <w:p w14:paraId="675415A2"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47</w:t>
            </w:r>
          </w:p>
        </w:tc>
      </w:tr>
      <w:tr w:rsidR="006D06A9" w:rsidRPr="005E46B1" w14:paraId="11945264" w14:textId="77777777" w:rsidTr="006D06A9">
        <w:trPr>
          <w:trHeight w:val="240"/>
        </w:trPr>
        <w:tc>
          <w:tcPr>
            <w:tcW w:w="2333" w:type="pct"/>
            <w:tcBorders>
              <w:top w:val="single" w:sz="4" w:space="0" w:color="FFFFFF"/>
              <w:left w:val="nil"/>
              <w:bottom w:val="single" w:sz="4" w:space="0" w:color="auto"/>
              <w:right w:val="nil"/>
            </w:tcBorders>
            <w:vAlign w:val="center"/>
          </w:tcPr>
          <w:p w14:paraId="5AB86BA9"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Operating costs</w:t>
            </w:r>
          </w:p>
        </w:tc>
        <w:tc>
          <w:tcPr>
            <w:tcW w:w="511" w:type="pct"/>
            <w:tcBorders>
              <w:top w:val="nil"/>
              <w:left w:val="nil"/>
              <w:bottom w:val="single" w:sz="4" w:space="0" w:color="auto"/>
              <w:right w:val="nil"/>
            </w:tcBorders>
            <w:shd w:val="clear" w:color="auto" w:fill="F2F2F2" w:themeFill="background1" w:themeFillShade="F2"/>
          </w:tcPr>
          <w:p w14:paraId="700715F9"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(34.5)</w:t>
            </w:r>
          </w:p>
        </w:tc>
        <w:tc>
          <w:tcPr>
            <w:tcW w:w="583" w:type="pct"/>
            <w:tcBorders>
              <w:top w:val="single" w:sz="4" w:space="0" w:color="FFFFFF"/>
              <w:left w:val="nil"/>
              <w:bottom w:val="single" w:sz="4" w:space="0" w:color="auto"/>
              <w:right w:val="nil"/>
            </w:tcBorders>
          </w:tcPr>
          <w:p w14:paraId="5AE2DAA8"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(37.</w:t>
            </w:r>
            <w:r>
              <w:rPr>
                <w:rFonts w:asciiTheme="minorHAnsi" w:hAnsiTheme="minorHAnsi" w:cstheme="minorHAnsi"/>
                <w:iCs/>
                <w:sz w:val="20"/>
                <w:szCs w:val="20"/>
              </w:rPr>
              <w:t>3</w:t>
            </w:r>
            <w:r w:rsidRPr="002F0FA2">
              <w:rPr>
                <w:rFonts w:asciiTheme="minorHAnsi" w:hAnsiTheme="minorHAnsi" w:cstheme="minorHAnsi"/>
                <w:iCs/>
                <w:sz w:val="20"/>
                <w:szCs w:val="20"/>
              </w:rPr>
              <w:t>)</w:t>
            </w:r>
          </w:p>
        </w:tc>
        <w:tc>
          <w:tcPr>
            <w:tcW w:w="603" w:type="pct"/>
            <w:tcBorders>
              <w:top w:val="single" w:sz="4" w:space="0" w:color="FFFFFF"/>
              <w:left w:val="nil"/>
              <w:bottom w:val="single" w:sz="4" w:space="0" w:color="auto"/>
              <w:right w:val="nil"/>
            </w:tcBorders>
          </w:tcPr>
          <w:p w14:paraId="4BEB39C5"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(4</w:t>
            </w:r>
            <w:r>
              <w:rPr>
                <w:rFonts w:asciiTheme="minorHAnsi" w:hAnsiTheme="minorHAnsi" w:cstheme="minorHAnsi"/>
                <w:iCs/>
                <w:sz w:val="20"/>
                <w:szCs w:val="20"/>
              </w:rPr>
              <w:t>2.8</w:t>
            </w:r>
            <w:r w:rsidRPr="002F0FA2">
              <w:rPr>
                <w:rFonts w:asciiTheme="minorHAnsi" w:hAnsiTheme="minorHAnsi" w:cstheme="minorHAnsi"/>
                <w:iCs/>
                <w:sz w:val="20"/>
                <w:szCs w:val="20"/>
              </w:rPr>
              <w:t>)</w:t>
            </w:r>
          </w:p>
        </w:tc>
        <w:tc>
          <w:tcPr>
            <w:tcW w:w="486" w:type="pct"/>
            <w:tcBorders>
              <w:top w:val="single" w:sz="4" w:space="0" w:color="FFFFFF"/>
              <w:left w:val="nil"/>
              <w:bottom w:val="single" w:sz="4" w:space="0" w:color="auto"/>
              <w:right w:val="nil"/>
            </w:tcBorders>
          </w:tcPr>
          <w:p w14:paraId="1A141322"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(8)</w:t>
            </w:r>
          </w:p>
        </w:tc>
        <w:tc>
          <w:tcPr>
            <w:tcW w:w="485" w:type="pct"/>
            <w:tcBorders>
              <w:top w:val="single" w:sz="4" w:space="0" w:color="FFFFFF"/>
              <w:left w:val="nil"/>
              <w:bottom w:val="single" w:sz="4" w:space="0" w:color="auto"/>
              <w:right w:val="nil"/>
            </w:tcBorders>
          </w:tcPr>
          <w:p w14:paraId="0F2ECDA8"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(19)</w:t>
            </w:r>
          </w:p>
        </w:tc>
      </w:tr>
      <w:tr w:rsidR="006D06A9" w:rsidRPr="005E46B1" w14:paraId="3F6DA5A0" w14:textId="77777777" w:rsidTr="006D06A9">
        <w:trPr>
          <w:trHeight w:val="240"/>
        </w:trPr>
        <w:tc>
          <w:tcPr>
            <w:tcW w:w="2333" w:type="pct"/>
            <w:tcBorders>
              <w:top w:val="single" w:sz="4" w:space="0" w:color="auto"/>
              <w:left w:val="nil"/>
              <w:bottom w:val="single" w:sz="4" w:space="0" w:color="auto"/>
              <w:right w:val="nil"/>
            </w:tcBorders>
            <w:vAlign w:val="center"/>
          </w:tcPr>
          <w:p w14:paraId="02298E30"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b/>
                <w:sz w:val="20"/>
                <w:szCs w:val="20"/>
              </w:rPr>
              <w:t>Profit/(loss) before tax contribution</w:t>
            </w:r>
          </w:p>
        </w:tc>
        <w:tc>
          <w:tcPr>
            <w:tcW w:w="511" w:type="pct"/>
            <w:tcBorders>
              <w:top w:val="single" w:sz="4" w:space="0" w:color="auto"/>
              <w:left w:val="nil"/>
              <w:bottom w:val="single" w:sz="4" w:space="0" w:color="auto"/>
              <w:right w:val="nil"/>
            </w:tcBorders>
            <w:shd w:val="clear" w:color="auto" w:fill="F2F2F2" w:themeFill="background1" w:themeFillShade="F2"/>
          </w:tcPr>
          <w:p w14:paraId="0F408256"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1.4</w:t>
            </w:r>
          </w:p>
        </w:tc>
        <w:tc>
          <w:tcPr>
            <w:tcW w:w="583" w:type="pct"/>
            <w:tcBorders>
              <w:top w:val="single" w:sz="4" w:space="0" w:color="auto"/>
              <w:left w:val="nil"/>
              <w:bottom w:val="single" w:sz="4" w:space="0" w:color="auto"/>
              <w:right w:val="nil"/>
            </w:tcBorders>
          </w:tcPr>
          <w:p w14:paraId="38D4C7E1" w14:textId="77777777" w:rsidR="00F53939" w:rsidRPr="002F0FA2"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(20.5)</w:t>
            </w:r>
          </w:p>
        </w:tc>
        <w:tc>
          <w:tcPr>
            <w:tcW w:w="603" w:type="pct"/>
            <w:tcBorders>
              <w:top w:val="single" w:sz="4" w:space="0" w:color="auto"/>
              <w:left w:val="nil"/>
              <w:bottom w:val="single" w:sz="4" w:space="0" w:color="auto"/>
              <w:right w:val="nil"/>
            </w:tcBorders>
          </w:tcPr>
          <w:p w14:paraId="5604DAC7" w14:textId="77777777" w:rsidR="00F53939" w:rsidRPr="00320CA7" w:rsidRDefault="00F53939" w:rsidP="00A50D03">
            <w:pPr>
              <w:jc w:val="right"/>
              <w:rPr>
                <w:rFonts w:asciiTheme="minorHAnsi" w:hAnsiTheme="minorHAnsi" w:cstheme="minorHAnsi"/>
                <w:iCs/>
                <w:sz w:val="20"/>
                <w:szCs w:val="20"/>
              </w:rPr>
            </w:pPr>
            <w:r w:rsidRPr="002F0FA2">
              <w:rPr>
                <w:rFonts w:asciiTheme="minorHAnsi" w:hAnsiTheme="minorHAnsi" w:cstheme="minorHAnsi"/>
                <w:iCs/>
                <w:sz w:val="20"/>
                <w:szCs w:val="20"/>
              </w:rPr>
              <w:t>(18.3)</w:t>
            </w:r>
          </w:p>
        </w:tc>
        <w:tc>
          <w:tcPr>
            <w:tcW w:w="486" w:type="pct"/>
            <w:tcBorders>
              <w:top w:val="single" w:sz="4" w:space="0" w:color="auto"/>
              <w:left w:val="nil"/>
              <w:bottom w:val="single" w:sz="4" w:space="0" w:color="auto"/>
              <w:right w:val="nil"/>
            </w:tcBorders>
          </w:tcPr>
          <w:p w14:paraId="1349EE8B" w14:textId="77777777" w:rsidR="00F53939" w:rsidRPr="00320CA7" w:rsidRDefault="00F53939" w:rsidP="00A50D03">
            <w:pPr>
              <w:jc w:val="right"/>
              <w:rPr>
                <w:rFonts w:asciiTheme="minorHAnsi" w:hAnsiTheme="minorHAnsi" w:cstheme="minorHAnsi"/>
                <w:iCs/>
                <w:sz w:val="20"/>
                <w:szCs w:val="20"/>
              </w:rPr>
            </w:pPr>
          </w:p>
        </w:tc>
        <w:tc>
          <w:tcPr>
            <w:tcW w:w="485" w:type="pct"/>
            <w:tcBorders>
              <w:top w:val="single" w:sz="4" w:space="0" w:color="auto"/>
              <w:left w:val="nil"/>
              <w:bottom w:val="single" w:sz="4" w:space="0" w:color="auto"/>
              <w:right w:val="nil"/>
            </w:tcBorders>
          </w:tcPr>
          <w:p w14:paraId="165113B4" w14:textId="77777777" w:rsidR="00F53939" w:rsidRPr="00320CA7" w:rsidRDefault="00F53939" w:rsidP="00A50D03">
            <w:pPr>
              <w:jc w:val="right"/>
              <w:rPr>
                <w:rFonts w:asciiTheme="minorHAnsi" w:hAnsiTheme="minorHAnsi" w:cstheme="minorHAnsi"/>
                <w:iCs/>
                <w:sz w:val="20"/>
                <w:szCs w:val="20"/>
              </w:rPr>
            </w:pPr>
          </w:p>
        </w:tc>
      </w:tr>
      <w:tr w:rsidR="006D06A9" w:rsidRPr="005E46B1" w14:paraId="66539621" w14:textId="77777777" w:rsidTr="006D06A9">
        <w:trPr>
          <w:trHeight w:val="240"/>
        </w:trPr>
        <w:tc>
          <w:tcPr>
            <w:tcW w:w="2333" w:type="pct"/>
            <w:tcBorders>
              <w:top w:val="single" w:sz="4" w:space="0" w:color="auto"/>
              <w:left w:val="nil"/>
              <w:bottom w:val="single" w:sz="4" w:space="0" w:color="auto"/>
              <w:right w:val="nil"/>
            </w:tcBorders>
            <w:vAlign w:val="center"/>
          </w:tcPr>
          <w:p w14:paraId="6C77BEAB" w14:textId="77777777" w:rsidR="00F53939" w:rsidRPr="00963BE5" w:rsidRDefault="00F53939" w:rsidP="00A50D03">
            <w:pPr>
              <w:ind w:right="115"/>
              <w:rPr>
                <w:rFonts w:asciiTheme="minorHAnsi" w:eastAsia="Poppins" w:hAnsiTheme="minorHAnsi" w:cstheme="minorHAnsi"/>
                <w:sz w:val="20"/>
                <w:szCs w:val="20"/>
              </w:rPr>
            </w:pPr>
          </w:p>
        </w:tc>
        <w:tc>
          <w:tcPr>
            <w:tcW w:w="511" w:type="pct"/>
            <w:tcBorders>
              <w:top w:val="single" w:sz="4" w:space="0" w:color="auto"/>
              <w:left w:val="nil"/>
              <w:bottom w:val="single" w:sz="4" w:space="0" w:color="auto"/>
              <w:right w:val="nil"/>
            </w:tcBorders>
            <w:shd w:val="clear" w:color="auto" w:fill="F2F2F2" w:themeFill="background1" w:themeFillShade="F2"/>
          </w:tcPr>
          <w:p w14:paraId="48DA9444" w14:textId="77777777" w:rsidR="00F53939" w:rsidRPr="00320CA7" w:rsidRDefault="00F53939" w:rsidP="00A50D03">
            <w:pPr>
              <w:jc w:val="right"/>
              <w:rPr>
                <w:rFonts w:asciiTheme="minorHAnsi" w:hAnsiTheme="minorHAnsi" w:cstheme="minorHAnsi"/>
                <w:b/>
                <w:sz w:val="20"/>
                <w:szCs w:val="20"/>
              </w:rPr>
            </w:pPr>
          </w:p>
        </w:tc>
        <w:tc>
          <w:tcPr>
            <w:tcW w:w="583" w:type="pct"/>
            <w:tcBorders>
              <w:top w:val="single" w:sz="4" w:space="0" w:color="auto"/>
              <w:left w:val="nil"/>
              <w:bottom w:val="single" w:sz="4" w:space="0" w:color="auto"/>
              <w:right w:val="nil"/>
            </w:tcBorders>
            <w:vAlign w:val="bottom"/>
          </w:tcPr>
          <w:p w14:paraId="0476CF25" w14:textId="77777777" w:rsidR="00F53939" w:rsidRPr="00320CA7" w:rsidRDefault="00F53939" w:rsidP="00A50D03">
            <w:pPr>
              <w:jc w:val="right"/>
              <w:rPr>
                <w:rFonts w:asciiTheme="minorHAnsi" w:hAnsiTheme="minorHAnsi" w:cstheme="minorHAnsi"/>
                <w:color w:val="FF0000"/>
                <w:sz w:val="20"/>
                <w:szCs w:val="20"/>
              </w:rPr>
            </w:pPr>
          </w:p>
        </w:tc>
        <w:tc>
          <w:tcPr>
            <w:tcW w:w="603" w:type="pct"/>
            <w:tcBorders>
              <w:top w:val="single" w:sz="4" w:space="0" w:color="auto"/>
              <w:left w:val="nil"/>
              <w:bottom w:val="single" w:sz="4" w:space="0" w:color="auto"/>
              <w:right w:val="nil"/>
            </w:tcBorders>
          </w:tcPr>
          <w:p w14:paraId="5CF57B22" w14:textId="77777777" w:rsidR="00F53939" w:rsidRPr="00320CA7" w:rsidRDefault="00F53939" w:rsidP="00A50D03">
            <w:pPr>
              <w:jc w:val="right"/>
              <w:rPr>
                <w:rFonts w:asciiTheme="minorHAnsi" w:hAnsiTheme="minorHAnsi" w:cstheme="minorHAnsi"/>
                <w:iCs/>
                <w:color w:val="FF0000"/>
                <w:sz w:val="20"/>
                <w:szCs w:val="20"/>
              </w:rPr>
            </w:pPr>
          </w:p>
        </w:tc>
        <w:tc>
          <w:tcPr>
            <w:tcW w:w="486" w:type="pct"/>
            <w:tcBorders>
              <w:top w:val="single" w:sz="4" w:space="0" w:color="auto"/>
              <w:left w:val="nil"/>
              <w:bottom w:val="single" w:sz="4" w:space="0" w:color="auto"/>
              <w:right w:val="nil"/>
            </w:tcBorders>
          </w:tcPr>
          <w:p w14:paraId="5081A623" w14:textId="77777777" w:rsidR="00F53939" w:rsidRPr="00320CA7" w:rsidRDefault="00F53939" w:rsidP="00A50D03">
            <w:pPr>
              <w:jc w:val="right"/>
              <w:rPr>
                <w:rFonts w:asciiTheme="minorHAnsi" w:hAnsiTheme="minorHAnsi" w:cstheme="minorHAnsi"/>
                <w:iCs/>
                <w:color w:val="FF0000"/>
                <w:sz w:val="20"/>
                <w:szCs w:val="20"/>
              </w:rPr>
            </w:pPr>
          </w:p>
        </w:tc>
        <w:tc>
          <w:tcPr>
            <w:tcW w:w="485" w:type="pct"/>
            <w:tcBorders>
              <w:top w:val="single" w:sz="4" w:space="0" w:color="auto"/>
              <w:left w:val="nil"/>
              <w:bottom w:val="single" w:sz="4" w:space="0" w:color="auto"/>
              <w:right w:val="nil"/>
            </w:tcBorders>
          </w:tcPr>
          <w:p w14:paraId="18CF5DF1" w14:textId="77777777" w:rsidR="00F53939" w:rsidRPr="00320CA7" w:rsidRDefault="00F53939" w:rsidP="00A50D03">
            <w:pPr>
              <w:jc w:val="right"/>
              <w:rPr>
                <w:rFonts w:asciiTheme="minorHAnsi" w:hAnsiTheme="minorHAnsi" w:cstheme="minorHAnsi"/>
                <w:iCs/>
                <w:color w:val="FF0000"/>
                <w:sz w:val="20"/>
                <w:szCs w:val="20"/>
              </w:rPr>
            </w:pPr>
          </w:p>
        </w:tc>
      </w:tr>
      <w:tr w:rsidR="006D06A9" w:rsidRPr="005E46B1" w14:paraId="6EA4D8FA" w14:textId="77777777" w:rsidTr="006D06A9">
        <w:trPr>
          <w:trHeight w:val="240"/>
        </w:trPr>
        <w:tc>
          <w:tcPr>
            <w:tcW w:w="2333" w:type="pct"/>
            <w:tcBorders>
              <w:top w:val="single" w:sz="4" w:space="0" w:color="auto"/>
              <w:left w:val="nil"/>
              <w:bottom w:val="single" w:sz="4" w:space="0" w:color="FFFFFF"/>
              <w:right w:val="nil"/>
            </w:tcBorders>
            <w:vAlign w:val="center"/>
          </w:tcPr>
          <w:p w14:paraId="2FB356F1"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Asset yield (%)</w:t>
            </w:r>
            <w:r w:rsidRPr="00963BE5">
              <w:rPr>
                <w:rFonts w:asciiTheme="minorHAnsi" w:eastAsia="Poppins" w:hAnsiTheme="minorHAnsi" w:cstheme="minorHAnsi"/>
                <w:sz w:val="20"/>
                <w:szCs w:val="20"/>
                <w:vertAlign w:val="superscript"/>
              </w:rPr>
              <w:t>2</w:t>
            </w:r>
          </w:p>
        </w:tc>
        <w:tc>
          <w:tcPr>
            <w:tcW w:w="511" w:type="pct"/>
            <w:tcBorders>
              <w:top w:val="single" w:sz="4" w:space="0" w:color="auto"/>
              <w:left w:val="nil"/>
              <w:bottom w:val="nil"/>
              <w:right w:val="nil"/>
            </w:tcBorders>
            <w:shd w:val="clear" w:color="auto" w:fill="F2F2F2" w:themeFill="background1" w:themeFillShade="F2"/>
          </w:tcPr>
          <w:p w14:paraId="0E1B250F"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16.9</w:t>
            </w:r>
          </w:p>
        </w:tc>
        <w:tc>
          <w:tcPr>
            <w:tcW w:w="583" w:type="pct"/>
            <w:tcBorders>
              <w:top w:val="single" w:sz="4" w:space="0" w:color="auto"/>
              <w:left w:val="nil"/>
              <w:bottom w:val="single" w:sz="4" w:space="0" w:color="FFFFFF"/>
              <w:right w:val="nil"/>
            </w:tcBorders>
          </w:tcPr>
          <w:p w14:paraId="42696B31" w14:textId="77777777" w:rsidR="00F53939" w:rsidRPr="00963BE5"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15.7</w:t>
            </w:r>
          </w:p>
        </w:tc>
        <w:tc>
          <w:tcPr>
            <w:tcW w:w="603" w:type="pct"/>
            <w:tcBorders>
              <w:top w:val="single" w:sz="4" w:space="0" w:color="auto"/>
              <w:left w:val="nil"/>
              <w:bottom w:val="single" w:sz="4" w:space="0" w:color="FFFFFF"/>
              <w:right w:val="nil"/>
            </w:tcBorders>
          </w:tcPr>
          <w:p w14:paraId="61422039" w14:textId="77777777" w:rsidR="00F53939" w:rsidRPr="00320CA7"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16.5</w:t>
            </w:r>
          </w:p>
        </w:tc>
        <w:tc>
          <w:tcPr>
            <w:tcW w:w="486" w:type="pct"/>
            <w:tcBorders>
              <w:top w:val="single" w:sz="4" w:space="0" w:color="auto"/>
              <w:left w:val="nil"/>
              <w:bottom w:val="single" w:sz="4" w:space="0" w:color="FFFFFF"/>
              <w:right w:val="nil"/>
            </w:tcBorders>
          </w:tcPr>
          <w:p w14:paraId="40DB1A5A"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1.2</w:t>
            </w:r>
          </w:p>
        </w:tc>
        <w:tc>
          <w:tcPr>
            <w:tcW w:w="485" w:type="pct"/>
            <w:tcBorders>
              <w:top w:val="single" w:sz="4" w:space="0" w:color="auto"/>
              <w:left w:val="nil"/>
              <w:bottom w:val="single" w:sz="4" w:space="0" w:color="FFFFFF"/>
              <w:right w:val="nil"/>
            </w:tcBorders>
          </w:tcPr>
          <w:p w14:paraId="308EBAE6"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0.4</w:t>
            </w:r>
          </w:p>
        </w:tc>
      </w:tr>
      <w:tr w:rsidR="006D06A9" w:rsidRPr="005E46B1" w14:paraId="36065E49" w14:textId="77777777" w:rsidTr="006D06A9">
        <w:trPr>
          <w:trHeight w:val="240"/>
        </w:trPr>
        <w:tc>
          <w:tcPr>
            <w:tcW w:w="2333" w:type="pct"/>
            <w:tcBorders>
              <w:top w:val="nil"/>
              <w:left w:val="nil"/>
              <w:bottom w:val="single" w:sz="4" w:space="0" w:color="FFFFFF"/>
              <w:right w:val="nil"/>
            </w:tcBorders>
            <w:vAlign w:val="center"/>
          </w:tcPr>
          <w:p w14:paraId="4524DD57"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Net interest margin (%)</w:t>
            </w:r>
            <w:r w:rsidRPr="00963BE5">
              <w:rPr>
                <w:rFonts w:asciiTheme="minorHAnsi" w:eastAsia="Poppins" w:hAnsiTheme="minorHAnsi" w:cstheme="minorHAnsi"/>
                <w:sz w:val="20"/>
                <w:szCs w:val="20"/>
                <w:vertAlign w:val="superscript"/>
              </w:rPr>
              <w:t>3</w:t>
            </w:r>
          </w:p>
        </w:tc>
        <w:tc>
          <w:tcPr>
            <w:tcW w:w="511" w:type="pct"/>
            <w:tcBorders>
              <w:top w:val="nil"/>
              <w:left w:val="nil"/>
              <w:bottom w:val="nil"/>
              <w:right w:val="nil"/>
            </w:tcBorders>
            <w:shd w:val="clear" w:color="auto" w:fill="F2F2F2" w:themeFill="background1" w:themeFillShade="F2"/>
          </w:tcPr>
          <w:p w14:paraId="324C2973"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13.1</w:t>
            </w:r>
          </w:p>
        </w:tc>
        <w:tc>
          <w:tcPr>
            <w:tcW w:w="583" w:type="pct"/>
            <w:tcBorders>
              <w:top w:val="nil"/>
              <w:left w:val="nil"/>
              <w:bottom w:val="single" w:sz="4" w:space="0" w:color="FFFFFF"/>
              <w:right w:val="nil"/>
            </w:tcBorders>
          </w:tcPr>
          <w:p w14:paraId="2EDEE843" w14:textId="77777777" w:rsidR="00F53939" w:rsidRPr="00963BE5"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11.8</w:t>
            </w:r>
          </w:p>
        </w:tc>
        <w:tc>
          <w:tcPr>
            <w:tcW w:w="603" w:type="pct"/>
            <w:tcBorders>
              <w:top w:val="nil"/>
              <w:left w:val="nil"/>
              <w:bottom w:val="single" w:sz="4" w:space="0" w:color="FFFFFF"/>
              <w:right w:val="nil"/>
            </w:tcBorders>
          </w:tcPr>
          <w:p w14:paraId="388110C2" w14:textId="77777777" w:rsidR="00F53939" w:rsidRPr="00320CA7"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12.8</w:t>
            </w:r>
          </w:p>
        </w:tc>
        <w:tc>
          <w:tcPr>
            <w:tcW w:w="486" w:type="pct"/>
            <w:tcBorders>
              <w:top w:val="nil"/>
              <w:left w:val="nil"/>
              <w:bottom w:val="single" w:sz="4" w:space="0" w:color="FFFFFF"/>
              <w:right w:val="nil"/>
            </w:tcBorders>
          </w:tcPr>
          <w:p w14:paraId="4A6CA1B7"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1.3</w:t>
            </w:r>
          </w:p>
        </w:tc>
        <w:tc>
          <w:tcPr>
            <w:tcW w:w="485" w:type="pct"/>
            <w:tcBorders>
              <w:top w:val="nil"/>
              <w:left w:val="nil"/>
              <w:bottom w:val="single" w:sz="4" w:space="0" w:color="FFFFFF"/>
              <w:right w:val="nil"/>
            </w:tcBorders>
          </w:tcPr>
          <w:p w14:paraId="4484CF02"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0.3</w:t>
            </w:r>
          </w:p>
        </w:tc>
      </w:tr>
      <w:tr w:rsidR="006D06A9" w:rsidRPr="005E46B1" w14:paraId="3877B354" w14:textId="77777777" w:rsidTr="006D06A9">
        <w:trPr>
          <w:trHeight w:val="240"/>
        </w:trPr>
        <w:tc>
          <w:tcPr>
            <w:tcW w:w="2333" w:type="pct"/>
            <w:tcBorders>
              <w:top w:val="nil"/>
              <w:left w:val="nil"/>
              <w:bottom w:val="single" w:sz="4" w:space="0" w:color="FFFFFF"/>
              <w:right w:val="nil"/>
            </w:tcBorders>
            <w:vAlign w:val="center"/>
          </w:tcPr>
          <w:p w14:paraId="2D5BF934"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Total income margin (%)</w:t>
            </w:r>
            <w:r w:rsidRPr="00963BE5">
              <w:rPr>
                <w:rFonts w:asciiTheme="minorHAnsi" w:eastAsia="Poppins" w:hAnsiTheme="minorHAnsi" w:cstheme="minorHAnsi"/>
                <w:sz w:val="20"/>
                <w:szCs w:val="20"/>
                <w:vertAlign w:val="superscript"/>
              </w:rPr>
              <w:t>4</w:t>
            </w:r>
          </w:p>
        </w:tc>
        <w:tc>
          <w:tcPr>
            <w:tcW w:w="511" w:type="pct"/>
            <w:tcBorders>
              <w:top w:val="nil"/>
              <w:left w:val="nil"/>
              <w:bottom w:val="nil"/>
              <w:right w:val="nil"/>
            </w:tcBorders>
            <w:shd w:val="clear" w:color="auto" w:fill="F2F2F2" w:themeFill="background1" w:themeFillShade="F2"/>
          </w:tcPr>
          <w:p w14:paraId="3C73FBD5"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13.1</w:t>
            </w:r>
          </w:p>
        </w:tc>
        <w:tc>
          <w:tcPr>
            <w:tcW w:w="583" w:type="pct"/>
            <w:tcBorders>
              <w:top w:val="nil"/>
              <w:left w:val="nil"/>
              <w:bottom w:val="single" w:sz="4" w:space="0" w:color="FFFFFF"/>
              <w:right w:val="nil"/>
            </w:tcBorders>
          </w:tcPr>
          <w:p w14:paraId="48910035" w14:textId="77777777" w:rsidR="00F53939" w:rsidRPr="00963BE5"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11.8</w:t>
            </w:r>
          </w:p>
        </w:tc>
        <w:tc>
          <w:tcPr>
            <w:tcW w:w="603" w:type="pct"/>
            <w:tcBorders>
              <w:top w:val="nil"/>
              <w:left w:val="nil"/>
              <w:bottom w:val="single" w:sz="4" w:space="0" w:color="FFFFFF"/>
              <w:right w:val="nil"/>
            </w:tcBorders>
          </w:tcPr>
          <w:p w14:paraId="7DC1C552" w14:textId="77777777" w:rsidR="00F53939" w:rsidRPr="00320CA7"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12.8</w:t>
            </w:r>
          </w:p>
        </w:tc>
        <w:tc>
          <w:tcPr>
            <w:tcW w:w="486" w:type="pct"/>
            <w:tcBorders>
              <w:top w:val="nil"/>
              <w:left w:val="nil"/>
              <w:bottom w:val="single" w:sz="4" w:space="0" w:color="FFFFFF"/>
              <w:right w:val="nil"/>
            </w:tcBorders>
          </w:tcPr>
          <w:p w14:paraId="0DBBD35A"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1.3</w:t>
            </w:r>
          </w:p>
        </w:tc>
        <w:tc>
          <w:tcPr>
            <w:tcW w:w="485" w:type="pct"/>
            <w:tcBorders>
              <w:top w:val="nil"/>
              <w:left w:val="nil"/>
              <w:bottom w:val="single" w:sz="4" w:space="0" w:color="FFFFFF"/>
              <w:right w:val="nil"/>
            </w:tcBorders>
          </w:tcPr>
          <w:p w14:paraId="79A7E135"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0.3</w:t>
            </w:r>
          </w:p>
        </w:tc>
      </w:tr>
      <w:tr w:rsidR="006D06A9" w:rsidRPr="005E46B1" w14:paraId="745ED035" w14:textId="77777777" w:rsidTr="006D06A9">
        <w:trPr>
          <w:trHeight w:val="240"/>
        </w:trPr>
        <w:tc>
          <w:tcPr>
            <w:tcW w:w="2333" w:type="pct"/>
            <w:tcBorders>
              <w:top w:val="single" w:sz="4" w:space="0" w:color="FFFFFF"/>
              <w:left w:val="nil"/>
              <w:bottom w:val="single" w:sz="4" w:space="0" w:color="FFFFFF"/>
              <w:right w:val="nil"/>
            </w:tcBorders>
            <w:vAlign w:val="center"/>
          </w:tcPr>
          <w:p w14:paraId="632767C5"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Cost of risk (%)</w:t>
            </w:r>
            <w:r w:rsidRPr="00963BE5">
              <w:rPr>
                <w:rFonts w:asciiTheme="minorHAnsi" w:eastAsia="Poppins" w:hAnsiTheme="minorHAnsi" w:cstheme="minorHAnsi"/>
                <w:sz w:val="20"/>
                <w:szCs w:val="20"/>
                <w:vertAlign w:val="superscript"/>
              </w:rPr>
              <w:t>5</w:t>
            </w:r>
          </w:p>
        </w:tc>
        <w:tc>
          <w:tcPr>
            <w:tcW w:w="511" w:type="pct"/>
            <w:tcBorders>
              <w:top w:val="nil"/>
              <w:left w:val="nil"/>
              <w:bottom w:val="nil"/>
              <w:right w:val="nil"/>
            </w:tcBorders>
            <w:shd w:val="clear" w:color="auto" w:fill="F2F2F2" w:themeFill="background1" w:themeFillShade="F2"/>
          </w:tcPr>
          <w:p w14:paraId="79C4CAA1"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(3.4)</w:t>
            </w:r>
          </w:p>
        </w:tc>
        <w:tc>
          <w:tcPr>
            <w:tcW w:w="583" w:type="pct"/>
            <w:tcBorders>
              <w:top w:val="single" w:sz="4" w:space="0" w:color="FFFFFF"/>
              <w:left w:val="nil"/>
              <w:bottom w:val="single" w:sz="4" w:space="0" w:color="FFFFFF"/>
              <w:right w:val="nil"/>
            </w:tcBorders>
          </w:tcPr>
          <w:p w14:paraId="0D9E6912" w14:textId="77777777" w:rsidR="00F53939" w:rsidRPr="00963BE5"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(7.7)</w:t>
            </w:r>
          </w:p>
        </w:tc>
        <w:tc>
          <w:tcPr>
            <w:tcW w:w="603" w:type="pct"/>
            <w:tcBorders>
              <w:top w:val="single" w:sz="4" w:space="0" w:color="FFFFFF"/>
              <w:left w:val="nil"/>
              <w:bottom w:val="single" w:sz="4" w:space="0" w:color="FFFFFF"/>
              <w:right w:val="nil"/>
            </w:tcBorders>
          </w:tcPr>
          <w:p w14:paraId="11317E48" w14:textId="77777777" w:rsidR="00F53939" w:rsidRPr="00320CA7"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(7.0)</w:t>
            </w:r>
          </w:p>
        </w:tc>
        <w:tc>
          <w:tcPr>
            <w:tcW w:w="486" w:type="pct"/>
            <w:tcBorders>
              <w:top w:val="single" w:sz="4" w:space="0" w:color="FFFFFF"/>
              <w:left w:val="nil"/>
              <w:bottom w:val="single" w:sz="4" w:space="0" w:color="FFFFFF"/>
              <w:right w:val="nil"/>
            </w:tcBorders>
          </w:tcPr>
          <w:p w14:paraId="32C6401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4.3</w:t>
            </w:r>
          </w:p>
        </w:tc>
        <w:tc>
          <w:tcPr>
            <w:tcW w:w="485" w:type="pct"/>
            <w:tcBorders>
              <w:top w:val="single" w:sz="4" w:space="0" w:color="FFFFFF"/>
              <w:left w:val="nil"/>
              <w:bottom w:val="single" w:sz="4" w:space="0" w:color="FFFFFF"/>
              <w:right w:val="nil"/>
            </w:tcBorders>
          </w:tcPr>
          <w:p w14:paraId="7A965599"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3.6</w:t>
            </w:r>
          </w:p>
        </w:tc>
      </w:tr>
      <w:tr w:rsidR="006D06A9" w:rsidRPr="005E46B1" w14:paraId="14619B05" w14:textId="77777777" w:rsidTr="006D06A9">
        <w:trPr>
          <w:trHeight w:val="240"/>
        </w:trPr>
        <w:tc>
          <w:tcPr>
            <w:tcW w:w="2333" w:type="pct"/>
            <w:tcBorders>
              <w:top w:val="single" w:sz="4" w:space="0" w:color="FFFFFF"/>
              <w:left w:val="nil"/>
              <w:bottom w:val="single" w:sz="4" w:space="0" w:color="FFFFFF"/>
              <w:right w:val="nil"/>
            </w:tcBorders>
            <w:vAlign w:val="center"/>
          </w:tcPr>
          <w:p w14:paraId="74666462"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Risk adjusted margin (%)</w:t>
            </w:r>
            <w:r w:rsidRPr="00963BE5">
              <w:rPr>
                <w:rFonts w:asciiTheme="minorHAnsi" w:eastAsia="Poppins" w:hAnsiTheme="minorHAnsi" w:cstheme="minorHAnsi"/>
                <w:sz w:val="20"/>
                <w:szCs w:val="20"/>
                <w:vertAlign w:val="superscript"/>
              </w:rPr>
              <w:t>6</w:t>
            </w:r>
          </w:p>
        </w:tc>
        <w:tc>
          <w:tcPr>
            <w:tcW w:w="511" w:type="pct"/>
            <w:tcBorders>
              <w:top w:val="nil"/>
              <w:left w:val="nil"/>
              <w:bottom w:val="nil"/>
              <w:right w:val="nil"/>
            </w:tcBorders>
            <w:shd w:val="clear" w:color="auto" w:fill="F2F2F2" w:themeFill="background1" w:themeFillShade="F2"/>
          </w:tcPr>
          <w:p w14:paraId="1725E96F"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9.7</w:t>
            </w:r>
          </w:p>
        </w:tc>
        <w:tc>
          <w:tcPr>
            <w:tcW w:w="583" w:type="pct"/>
            <w:tcBorders>
              <w:top w:val="single" w:sz="4" w:space="0" w:color="FFFFFF"/>
              <w:left w:val="nil"/>
              <w:bottom w:val="single" w:sz="4" w:space="0" w:color="FFFFFF"/>
              <w:right w:val="nil"/>
            </w:tcBorders>
          </w:tcPr>
          <w:p w14:paraId="2478F51B" w14:textId="77777777" w:rsidR="00F53939" w:rsidRPr="00963BE5"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4.2</w:t>
            </w:r>
          </w:p>
        </w:tc>
        <w:tc>
          <w:tcPr>
            <w:tcW w:w="603" w:type="pct"/>
            <w:tcBorders>
              <w:top w:val="single" w:sz="4" w:space="0" w:color="FFFFFF"/>
              <w:left w:val="nil"/>
              <w:bottom w:val="single" w:sz="4" w:space="0" w:color="FFFFFF"/>
              <w:right w:val="nil"/>
            </w:tcBorders>
          </w:tcPr>
          <w:p w14:paraId="4F5FE5F9" w14:textId="77777777" w:rsidR="00F53939" w:rsidRPr="00320CA7"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5.8</w:t>
            </w:r>
          </w:p>
        </w:tc>
        <w:tc>
          <w:tcPr>
            <w:tcW w:w="486" w:type="pct"/>
            <w:tcBorders>
              <w:top w:val="single" w:sz="4" w:space="0" w:color="FFFFFF"/>
              <w:left w:val="nil"/>
              <w:bottom w:val="single" w:sz="4" w:space="0" w:color="FFFFFF"/>
              <w:right w:val="nil"/>
            </w:tcBorders>
          </w:tcPr>
          <w:p w14:paraId="2D066124"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5.5</w:t>
            </w:r>
          </w:p>
        </w:tc>
        <w:tc>
          <w:tcPr>
            <w:tcW w:w="485" w:type="pct"/>
            <w:tcBorders>
              <w:top w:val="single" w:sz="4" w:space="0" w:color="FFFFFF"/>
              <w:left w:val="nil"/>
              <w:bottom w:val="single" w:sz="4" w:space="0" w:color="FFFFFF"/>
              <w:right w:val="nil"/>
            </w:tcBorders>
          </w:tcPr>
          <w:p w14:paraId="68C97A3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3.9</w:t>
            </w:r>
          </w:p>
        </w:tc>
      </w:tr>
      <w:tr w:rsidR="006D06A9" w:rsidRPr="005E46B1" w14:paraId="354B2D3D" w14:textId="77777777" w:rsidTr="006D06A9">
        <w:trPr>
          <w:trHeight w:val="240"/>
        </w:trPr>
        <w:tc>
          <w:tcPr>
            <w:tcW w:w="2333" w:type="pct"/>
            <w:tcBorders>
              <w:top w:val="single" w:sz="4" w:space="0" w:color="FFFFFF"/>
              <w:left w:val="nil"/>
              <w:bottom w:val="single" w:sz="4" w:space="0" w:color="auto"/>
              <w:right w:val="nil"/>
            </w:tcBorders>
            <w:vAlign w:val="center"/>
          </w:tcPr>
          <w:p w14:paraId="7F84D3E6" w14:textId="77777777" w:rsidR="00F53939" w:rsidRPr="00963BE5" w:rsidRDefault="00F53939" w:rsidP="00A50D03">
            <w:pPr>
              <w:ind w:right="115"/>
              <w:rPr>
                <w:rFonts w:asciiTheme="minorHAnsi" w:eastAsia="Poppins" w:hAnsiTheme="minorHAnsi" w:cstheme="minorHAnsi"/>
                <w:sz w:val="20"/>
                <w:szCs w:val="20"/>
              </w:rPr>
            </w:pPr>
            <w:r w:rsidRPr="00963BE5">
              <w:rPr>
                <w:rFonts w:asciiTheme="minorHAnsi" w:eastAsia="Poppins" w:hAnsiTheme="minorHAnsi" w:cstheme="minorHAnsi"/>
                <w:sz w:val="20"/>
                <w:szCs w:val="20"/>
              </w:rPr>
              <w:t>Cost: income ratio (%)</w:t>
            </w:r>
            <w:r w:rsidRPr="00963BE5">
              <w:rPr>
                <w:rFonts w:asciiTheme="minorHAnsi" w:eastAsia="Poppins" w:hAnsiTheme="minorHAnsi" w:cstheme="minorHAnsi"/>
                <w:sz w:val="20"/>
                <w:szCs w:val="20"/>
                <w:vertAlign w:val="superscript"/>
              </w:rPr>
              <w:t>7</w:t>
            </w:r>
          </w:p>
        </w:tc>
        <w:tc>
          <w:tcPr>
            <w:tcW w:w="511" w:type="pct"/>
            <w:tcBorders>
              <w:top w:val="nil"/>
              <w:left w:val="nil"/>
              <w:bottom w:val="single" w:sz="4" w:space="0" w:color="auto"/>
              <w:right w:val="nil"/>
            </w:tcBorders>
            <w:shd w:val="clear" w:color="auto" w:fill="F2F2F2" w:themeFill="background1" w:themeFillShade="F2"/>
          </w:tcPr>
          <w:p w14:paraId="25C20A87"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71.0</w:t>
            </w:r>
          </w:p>
        </w:tc>
        <w:tc>
          <w:tcPr>
            <w:tcW w:w="583" w:type="pct"/>
            <w:tcBorders>
              <w:top w:val="single" w:sz="4" w:space="0" w:color="FFFFFF"/>
              <w:left w:val="nil"/>
              <w:bottom w:val="single" w:sz="4" w:space="0" w:color="auto"/>
              <w:right w:val="nil"/>
            </w:tcBorders>
          </w:tcPr>
          <w:p w14:paraId="201AAD25" w14:textId="77777777" w:rsidR="00F53939" w:rsidRPr="00963BE5"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78.2</w:t>
            </w:r>
          </w:p>
        </w:tc>
        <w:tc>
          <w:tcPr>
            <w:tcW w:w="603" w:type="pct"/>
            <w:tcBorders>
              <w:top w:val="single" w:sz="4" w:space="0" w:color="FFFFFF"/>
              <w:left w:val="nil"/>
              <w:bottom w:val="single" w:sz="4" w:space="0" w:color="auto"/>
              <w:right w:val="nil"/>
            </w:tcBorders>
          </w:tcPr>
          <w:p w14:paraId="3A711E96" w14:textId="77777777" w:rsidR="00F53939" w:rsidRPr="00320CA7" w:rsidRDefault="00F53939" w:rsidP="00A50D03">
            <w:pPr>
              <w:jc w:val="right"/>
              <w:rPr>
                <w:rFonts w:asciiTheme="minorHAnsi" w:hAnsiTheme="minorHAnsi" w:cstheme="minorHAnsi"/>
                <w:iCs/>
                <w:sz w:val="20"/>
                <w:szCs w:val="20"/>
              </w:rPr>
            </w:pPr>
            <w:r w:rsidRPr="00963BE5">
              <w:rPr>
                <w:rFonts w:asciiTheme="minorHAnsi" w:hAnsiTheme="minorHAnsi" w:cstheme="minorHAnsi"/>
                <w:iCs/>
                <w:sz w:val="20"/>
                <w:szCs w:val="20"/>
              </w:rPr>
              <w:t>79.3</w:t>
            </w:r>
          </w:p>
        </w:tc>
        <w:tc>
          <w:tcPr>
            <w:tcW w:w="486" w:type="pct"/>
            <w:tcBorders>
              <w:top w:val="single" w:sz="4" w:space="0" w:color="FFFFFF"/>
              <w:left w:val="nil"/>
              <w:bottom w:val="single" w:sz="4" w:space="0" w:color="auto"/>
              <w:right w:val="nil"/>
            </w:tcBorders>
          </w:tcPr>
          <w:p w14:paraId="20AF3889"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(7.2)</w:t>
            </w:r>
          </w:p>
        </w:tc>
        <w:tc>
          <w:tcPr>
            <w:tcW w:w="485" w:type="pct"/>
            <w:tcBorders>
              <w:top w:val="single" w:sz="4" w:space="0" w:color="FFFFFF"/>
              <w:left w:val="nil"/>
              <w:bottom w:val="single" w:sz="4" w:space="0" w:color="auto"/>
              <w:right w:val="nil"/>
            </w:tcBorders>
          </w:tcPr>
          <w:p w14:paraId="7D18A3A7"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(8.3)</w:t>
            </w:r>
          </w:p>
        </w:tc>
      </w:tr>
    </w:tbl>
    <w:p w14:paraId="20134279" w14:textId="77777777" w:rsidR="00F53939" w:rsidRDefault="00F53939" w:rsidP="00F53939"/>
    <w:p w14:paraId="1E07EEA1" w14:textId="77777777" w:rsidR="00DD6CA4" w:rsidRPr="00A166EB" w:rsidRDefault="00DD6CA4" w:rsidP="00DD6CA4">
      <w:pPr>
        <w:jc w:val="both"/>
        <w:rPr>
          <w:rFonts w:ascii="Calibri" w:eastAsia="Calibri" w:hAnsi="Calibri" w:cs="Calibri"/>
          <w:i/>
          <w:color w:val="000000" w:themeColor="text1"/>
          <w:sz w:val="18"/>
          <w:szCs w:val="18"/>
          <w:lang w:eastAsia="en-US"/>
        </w:rPr>
      </w:pPr>
      <w:r w:rsidRPr="00A166EB">
        <w:rPr>
          <w:rFonts w:ascii="Calibri" w:eastAsia="Calibri" w:hAnsi="Calibri" w:cs="Calibri"/>
          <w:i/>
          <w:color w:val="000000" w:themeColor="text1"/>
          <w:sz w:val="18"/>
          <w:szCs w:val="18"/>
          <w:vertAlign w:val="superscript"/>
          <w:lang w:eastAsia="en-US"/>
        </w:rPr>
        <w:t>1</w:t>
      </w:r>
      <w:r w:rsidRPr="00A166EB">
        <w:rPr>
          <w:rFonts w:ascii="Calibri" w:eastAsia="Calibri" w:hAnsi="Calibri" w:cs="Calibri"/>
          <w:i/>
          <w:color w:val="000000" w:themeColor="text1"/>
          <w:sz w:val="18"/>
          <w:szCs w:val="18"/>
          <w:lang w:eastAsia="en-US"/>
        </w:rPr>
        <w:t xml:space="preserve"> Average of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balances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 xml:space="preserve">31 December using a </w:t>
      </w:r>
      <w:r>
        <w:rPr>
          <w:rFonts w:ascii="Calibri" w:eastAsia="Calibri" w:hAnsi="Calibri" w:cs="Calibri"/>
          <w:i/>
          <w:color w:val="000000" w:themeColor="text1"/>
          <w:sz w:val="18"/>
          <w:szCs w:val="18"/>
          <w:lang w:eastAsia="en-US"/>
        </w:rPr>
        <w:t xml:space="preserve">7 </w:t>
      </w:r>
      <w:r w:rsidRPr="00A166EB">
        <w:rPr>
          <w:rFonts w:ascii="Calibri" w:eastAsia="Calibri" w:hAnsi="Calibri" w:cs="Calibri"/>
          <w:i/>
          <w:color w:val="000000" w:themeColor="text1"/>
          <w:sz w:val="18"/>
          <w:szCs w:val="18"/>
          <w:lang w:eastAsia="en-US"/>
        </w:rPr>
        <w:t>point month end average.</w:t>
      </w:r>
    </w:p>
    <w:p w14:paraId="315A49AA"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2</w:t>
      </w:r>
      <w:r w:rsidRPr="00A166EB">
        <w:rPr>
          <w:rFonts w:ascii="Calibri" w:eastAsia="Calibri" w:hAnsi="Calibri" w:cs="Calibri"/>
          <w:i/>
          <w:color w:val="000000" w:themeColor="text1"/>
          <w:sz w:val="18"/>
          <w:szCs w:val="18"/>
          <w:lang w:eastAsia="en-US"/>
        </w:rPr>
        <w:t xml:space="preserve"> Interest income from customer receivables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6FC8DAEB"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3</w:t>
      </w:r>
      <w:r w:rsidRPr="00A166EB">
        <w:rPr>
          <w:rFonts w:ascii="Calibri" w:eastAsia="Calibri" w:hAnsi="Calibri" w:cs="Calibri"/>
          <w:i/>
          <w:color w:val="000000" w:themeColor="text1"/>
          <w:sz w:val="18"/>
          <w:szCs w:val="18"/>
          <w:lang w:eastAsia="en-US"/>
        </w:rPr>
        <w:t xml:space="preserve"> Net interest income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07835340"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4</w:t>
      </w:r>
      <w:r w:rsidRPr="00A166EB">
        <w:rPr>
          <w:rFonts w:ascii="Calibri" w:eastAsia="Calibri" w:hAnsi="Calibri" w:cs="Calibri"/>
          <w:i/>
          <w:color w:val="000000" w:themeColor="text1"/>
          <w:sz w:val="18"/>
          <w:szCs w:val="18"/>
          <w:lang w:eastAsia="en-US"/>
        </w:rPr>
        <w:t xml:space="preserve"> Total income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30</w:t>
      </w:r>
      <w:r w:rsidRPr="00A166EB">
        <w:rPr>
          <w:rFonts w:ascii="Calibri" w:eastAsia="Calibri" w:hAnsi="Calibri" w:cs="Calibri"/>
          <w:i/>
          <w:color w:val="000000" w:themeColor="text1"/>
          <w:sz w:val="18"/>
          <w:szCs w:val="18"/>
          <w:lang w:eastAsia="en-US"/>
        </w:rPr>
        <w:t xml:space="preserve"> </w:t>
      </w:r>
      <w:r>
        <w:rPr>
          <w:rFonts w:ascii="Calibri" w:eastAsia="Calibri" w:hAnsi="Calibri" w:cs="Calibri"/>
          <w:i/>
          <w:color w:val="000000" w:themeColor="text1"/>
          <w:sz w:val="18"/>
          <w:szCs w:val="18"/>
          <w:lang w:eastAsia="en-US"/>
        </w:rPr>
        <w:t xml:space="preserve">June and 31 </w:t>
      </w:r>
      <w:r w:rsidRPr="00A166EB">
        <w:rPr>
          <w:rFonts w:ascii="Calibri" w:eastAsia="Calibri" w:hAnsi="Calibri" w:cs="Calibri"/>
          <w:i/>
          <w:color w:val="000000" w:themeColor="text1"/>
          <w:sz w:val="18"/>
          <w:szCs w:val="18"/>
          <w:lang w:eastAsia="en-US"/>
        </w:rPr>
        <w:t>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541D64B0"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5</w:t>
      </w:r>
      <w:r w:rsidRPr="00A166EB">
        <w:rPr>
          <w:rFonts w:ascii="Calibri" w:eastAsia="Calibri" w:hAnsi="Calibri" w:cs="Calibri"/>
          <w:i/>
          <w:color w:val="000000" w:themeColor="text1"/>
          <w:sz w:val="18"/>
          <w:szCs w:val="18"/>
          <w:lang w:eastAsia="en-US"/>
        </w:rPr>
        <w:t xml:space="preserve"> Impairment charges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06AC94C0" w14:textId="77777777" w:rsidR="00DD6CA4"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6</w:t>
      </w:r>
      <w:r w:rsidRPr="00A166EB">
        <w:rPr>
          <w:rFonts w:ascii="Calibri" w:eastAsia="Calibri" w:hAnsi="Calibri" w:cs="Calibri"/>
          <w:i/>
          <w:color w:val="000000" w:themeColor="text1"/>
          <w:sz w:val="18"/>
          <w:szCs w:val="18"/>
          <w:lang w:eastAsia="en-US"/>
        </w:rPr>
        <w:t xml:space="preserve"> Total income less impairment charges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earning</w:t>
      </w:r>
      <w:r>
        <w:rPr>
          <w:rFonts w:ascii="Calibri" w:eastAsia="Calibri" w:hAnsi="Calibri" w:cs="Calibri"/>
          <w:i/>
          <w:color w:val="000000" w:themeColor="text1"/>
          <w:sz w:val="18"/>
          <w:szCs w:val="18"/>
          <w:lang w:eastAsia="en-US"/>
        </w:rPr>
        <w:t xml:space="preserve"> balances</w:t>
      </w:r>
      <w:r w:rsidRPr="00A166EB">
        <w:rPr>
          <w:rFonts w:ascii="Calibri" w:eastAsia="Calibri" w:hAnsi="Calibri" w:cs="Calibri"/>
          <w:i/>
          <w:color w:val="000000" w:themeColor="text1"/>
          <w:sz w:val="18"/>
          <w:szCs w:val="18"/>
          <w:lang w:eastAsia="en-US"/>
        </w:rPr>
        <w:t>.</w:t>
      </w:r>
    </w:p>
    <w:p w14:paraId="25D330F0"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 xml:space="preserve">7 </w:t>
      </w:r>
      <w:r>
        <w:rPr>
          <w:rFonts w:ascii="Calibri" w:eastAsia="Calibri" w:hAnsi="Calibri" w:cs="Calibri"/>
          <w:i/>
          <w:color w:val="000000" w:themeColor="text1"/>
          <w:sz w:val="18"/>
          <w:szCs w:val="18"/>
          <w:lang w:eastAsia="en-US"/>
        </w:rPr>
        <w:t>O</w:t>
      </w:r>
      <w:r w:rsidRPr="0001189A">
        <w:rPr>
          <w:rFonts w:ascii="Calibri" w:eastAsia="Calibri" w:hAnsi="Calibri" w:cs="Calibri"/>
          <w:i/>
          <w:color w:val="000000" w:themeColor="text1"/>
          <w:sz w:val="18"/>
          <w:szCs w:val="18"/>
          <w:lang w:eastAsia="en-US"/>
        </w:rPr>
        <w:t xml:space="preserve">perating costs as a percentage of total income for the 6 months ended 30 June </w:t>
      </w:r>
      <w:r>
        <w:rPr>
          <w:rFonts w:ascii="Calibri" w:eastAsia="Calibri" w:hAnsi="Calibri" w:cs="Calibri"/>
          <w:i/>
          <w:color w:val="000000" w:themeColor="text1"/>
          <w:sz w:val="18"/>
          <w:szCs w:val="18"/>
          <w:lang w:eastAsia="en-US"/>
        </w:rPr>
        <w:t>and</w:t>
      </w:r>
      <w:r w:rsidRPr="0001189A">
        <w:rPr>
          <w:rFonts w:ascii="Calibri" w:eastAsia="Calibri" w:hAnsi="Calibri" w:cs="Calibri"/>
          <w:i/>
          <w:color w:val="000000" w:themeColor="text1"/>
          <w:sz w:val="18"/>
          <w:szCs w:val="18"/>
          <w:lang w:eastAsia="en-US"/>
        </w:rPr>
        <w:t xml:space="preserve"> 31 December.</w:t>
      </w:r>
    </w:p>
    <w:p w14:paraId="5A248BAC" w14:textId="77777777" w:rsidR="00F53939" w:rsidRPr="00582164" w:rsidRDefault="00F53939" w:rsidP="00F53939">
      <w:pPr>
        <w:jc w:val="both"/>
        <w:rPr>
          <w:rFonts w:ascii="Calibri" w:eastAsia="Calibri" w:hAnsi="Calibri" w:cs="Calibri"/>
          <w:color w:val="FF0000"/>
          <w:sz w:val="22"/>
          <w:szCs w:val="22"/>
        </w:rPr>
      </w:pPr>
    </w:p>
    <w:p w14:paraId="6EFCB527" w14:textId="77777777" w:rsidR="00F53939" w:rsidRPr="00EF06A0" w:rsidRDefault="00F53939" w:rsidP="00F53939">
      <w:pPr>
        <w:jc w:val="both"/>
        <w:rPr>
          <w:rFonts w:asciiTheme="minorHAnsi" w:hAnsiTheme="minorHAnsi"/>
          <w:sz w:val="20"/>
          <w:szCs w:val="20"/>
        </w:rPr>
      </w:pPr>
      <w:r w:rsidRPr="008C0E5B">
        <w:rPr>
          <w:rStyle w:val="Strong"/>
          <w:rFonts w:asciiTheme="minorHAnsi" w:hAnsiTheme="minorHAnsi"/>
          <w:b w:val="0"/>
          <w:bCs w:val="0"/>
          <w:sz w:val="20"/>
          <w:szCs w:val="20"/>
        </w:rPr>
        <w:t>All commentary relates to year-on-year performance unless otherwise stated.</w:t>
      </w:r>
    </w:p>
    <w:p w14:paraId="6FBE89EF" w14:textId="77777777" w:rsidR="00F53939" w:rsidRDefault="00F53939" w:rsidP="00F53939">
      <w:pPr>
        <w:spacing w:line="259" w:lineRule="auto"/>
        <w:jc w:val="both"/>
        <w:rPr>
          <w:rFonts w:ascii="Calibri" w:eastAsia="Calibri" w:hAnsi="Calibri" w:cs="Calibri"/>
          <w:color w:val="FF0000"/>
          <w:sz w:val="20"/>
          <w:szCs w:val="20"/>
        </w:rPr>
      </w:pPr>
    </w:p>
    <w:p w14:paraId="7BBE7DE5" w14:textId="77777777" w:rsidR="00F53939" w:rsidRPr="00EB55A8" w:rsidRDefault="00F53939" w:rsidP="00F53939">
      <w:pPr>
        <w:spacing w:line="259" w:lineRule="auto"/>
        <w:jc w:val="both"/>
        <w:rPr>
          <w:rFonts w:ascii="Calibri" w:eastAsia="Calibri" w:hAnsi="Calibri" w:cs="Calibri"/>
          <w:sz w:val="20"/>
          <w:szCs w:val="20"/>
        </w:rPr>
      </w:pPr>
      <w:r w:rsidRPr="00EB55A8">
        <w:rPr>
          <w:rFonts w:ascii="Calibri" w:eastAsia="Calibri" w:hAnsi="Calibri" w:cs="Calibri"/>
          <w:sz w:val="20"/>
          <w:szCs w:val="20"/>
        </w:rPr>
        <w:lastRenderedPageBreak/>
        <w:t>Total customer numbers decreased 4% to 106k, reflecting moderated new business growth in the near-term in advance of the new onboarding and servicing platform being d</w:t>
      </w:r>
      <w:r>
        <w:rPr>
          <w:rFonts w:ascii="Calibri" w:eastAsia="Calibri" w:hAnsi="Calibri" w:cs="Calibri"/>
          <w:sz w:val="20"/>
          <w:szCs w:val="20"/>
        </w:rPr>
        <w:t>elivered</w:t>
      </w:r>
      <w:r w:rsidRPr="00EB55A8">
        <w:rPr>
          <w:rFonts w:ascii="Calibri" w:eastAsia="Calibri" w:hAnsi="Calibri" w:cs="Calibri"/>
          <w:sz w:val="20"/>
          <w:szCs w:val="20"/>
        </w:rPr>
        <w:t xml:space="preserve"> by mid-2026 as part of the Gateway technology transformation.  A new lending decision engine was introduced in 2024 enabling a more granular level of portfolio segmentation and delivered a stronger platform to optimise higher-margin customer segments in 1H25.</w:t>
      </w:r>
    </w:p>
    <w:p w14:paraId="55F0C5EF" w14:textId="77777777" w:rsidR="00F53939" w:rsidRPr="00E10FC0" w:rsidRDefault="00F53939" w:rsidP="00F53939">
      <w:pPr>
        <w:spacing w:line="259" w:lineRule="auto"/>
        <w:jc w:val="both"/>
        <w:rPr>
          <w:rFonts w:ascii="Calibri" w:eastAsia="Calibri" w:hAnsi="Calibri" w:cs="Calibri"/>
          <w:color w:val="FF0000"/>
          <w:sz w:val="20"/>
          <w:szCs w:val="20"/>
        </w:rPr>
      </w:pPr>
    </w:p>
    <w:p w14:paraId="10E63286" w14:textId="7C7B95AF" w:rsidR="00F53939" w:rsidRPr="00BF0839" w:rsidRDefault="00F53939" w:rsidP="00F53939">
      <w:pPr>
        <w:jc w:val="both"/>
        <w:rPr>
          <w:rFonts w:ascii="Calibri" w:eastAsia="Calibri" w:hAnsi="Calibri" w:cs="Calibri"/>
          <w:sz w:val="20"/>
          <w:szCs w:val="20"/>
        </w:rPr>
      </w:pPr>
      <w:r w:rsidRPr="00BF0839">
        <w:rPr>
          <w:rFonts w:ascii="Calibri" w:eastAsia="Calibri" w:hAnsi="Calibri" w:cs="Calibri"/>
          <w:sz w:val="20"/>
          <w:szCs w:val="20"/>
        </w:rPr>
        <w:t>Gross customer interest</w:t>
      </w:r>
      <w:r w:rsidR="00DD6CA4">
        <w:rPr>
          <w:rFonts w:ascii="Calibri" w:eastAsia="Calibri" w:hAnsi="Calibri" w:cs="Calibri"/>
          <w:sz w:val="20"/>
          <w:szCs w:val="20"/>
        </w:rPr>
        <w:t>-</w:t>
      </w:r>
      <w:r w:rsidRPr="00BF0839">
        <w:rPr>
          <w:rFonts w:ascii="Calibri" w:eastAsia="Calibri" w:hAnsi="Calibri" w:cs="Calibri"/>
          <w:sz w:val="20"/>
          <w:szCs w:val="20"/>
        </w:rPr>
        <w:t xml:space="preserve">earning balances decreased 14% to £733m, driven by the combination of the prior year impact of the Vehicle Finance receivables review resulting in an updated charge-off policy reclassifying Stage 3 impaired loans to post-charge-off assets, and the moderating of new business growth.  </w:t>
      </w:r>
    </w:p>
    <w:p w14:paraId="6A2D0A35" w14:textId="77777777" w:rsidR="00F53939" w:rsidRPr="00E10FC0" w:rsidRDefault="00F53939" w:rsidP="00F53939">
      <w:pPr>
        <w:jc w:val="both"/>
        <w:rPr>
          <w:rFonts w:ascii="Calibri" w:eastAsia="Calibri" w:hAnsi="Calibri" w:cs="Calibri"/>
          <w:color w:val="FF0000"/>
          <w:sz w:val="20"/>
          <w:szCs w:val="20"/>
        </w:rPr>
      </w:pPr>
    </w:p>
    <w:p w14:paraId="5CED70B0" w14:textId="6C48DFBC" w:rsidR="00F53939" w:rsidRPr="001424FC" w:rsidRDefault="00F53939" w:rsidP="00F53939">
      <w:pPr>
        <w:jc w:val="both"/>
        <w:rPr>
          <w:rFonts w:ascii="Calibri" w:eastAsia="Calibri" w:hAnsi="Calibri" w:cs="Calibri"/>
          <w:sz w:val="20"/>
          <w:szCs w:val="20"/>
        </w:rPr>
      </w:pPr>
      <w:r w:rsidRPr="001424FC">
        <w:rPr>
          <w:rFonts w:ascii="Calibri" w:eastAsia="Calibri" w:hAnsi="Calibri" w:cs="Calibri"/>
          <w:sz w:val="20"/>
          <w:szCs w:val="20"/>
        </w:rPr>
        <w:t>Net receivables decreased 7% to £709m, r</w:t>
      </w:r>
      <w:r w:rsidRPr="001424FC">
        <w:rPr>
          <w:rFonts w:asciiTheme="minorHAnsi" w:hAnsiTheme="minorHAnsi"/>
          <w:sz w:val="20"/>
          <w:szCs w:val="20"/>
        </w:rPr>
        <w:t>eflecting the reduction in interest</w:t>
      </w:r>
      <w:r w:rsidR="00DD6CA4">
        <w:rPr>
          <w:rFonts w:asciiTheme="minorHAnsi" w:hAnsiTheme="minorHAnsi"/>
          <w:sz w:val="20"/>
          <w:szCs w:val="20"/>
        </w:rPr>
        <w:t>-</w:t>
      </w:r>
      <w:r w:rsidRPr="001424FC">
        <w:rPr>
          <w:rFonts w:asciiTheme="minorHAnsi" w:hAnsiTheme="minorHAnsi"/>
          <w:sz w:val="20"/>
          <w:szCs w:val="20"/>
        </w:rPr>
        <w:t xml:space="preserve">earning balances and </w:t>
      </w:r>
      <w:r w:rsidRPr="001424FC">
        <w:rPr>
          <w:rFonts w:ascii="Calibri" w:eastAsia="Calibri" w:hAnsi="Calibri" w:cs="Calibri"/>
          <w:sz w:val="20"/>
          <w:szCs w:val="20"/>
        </w:rPr>
        <w:t>a 46% reduction in ECL to £86m.  ECL reduced across stages given the reduction in balances, but particularly in Stage 3 driven by the reduction in impaired loans following the receivables review.</w:t>
      </w:r>
    </w:p>
    <w:p w14:paraId="1C08FD2F" w14:textId="77777777" w:rsidR="00F53939" w:rsidRPr="00E10FC0" w:rsidRDefault="00F53939" w:rsidP="00F53939">
      <w:pPr>
        <w:jc w:val="both"/>
        <w:rPr>
          <w:rFonts w:ascii="Calibri" w:eastAsia="Calibri" w:hAnsi="Calibri" w:cs="Calibri"/>
          <w:color w:val="FF0000"/>
          <w:sz w:val="20"/>
          <w:szCs w:val="20"/>
        </w:rPr>
      </w:pPr>
    </w:p>
    <w:p w14:paraId="1FE5C779" w14:textId="77777777" w:rsidR="00F53939" w:rsidRPr="000E1E4F" w:rsidRDefault="00F53939" w:rsidP="00F53939">
      <w:pPr>
        <w:jc w:val="both"/>
        <w:rPr>
          <w:rFonts w:ascii="Calibri" w:eastAsia="Calibri" w:hAnsi="Calibri" w:cs="Calibri"/>
          <w:sz w:val="20"/>
          <w:szCs w:val="20"/>
        </w:rPr>
      </w:pPr>
      <w:r w:rsidRPr="000E1E4F">
        <w:rPr>
          <w:rFonts w:ascii="Calibri" w:eastAsia="Calibri" w:hAnsi="Calibri" w:cs="Calibri"/>
          <w:sz w:val="20"/>
          <w:szCs w:val="20"/>
        </w:rPr>
        <w:t xml:space="preserve">Total income decreased 10% to £48.6m, which represented all net interest income.  Net interest margin and total income margin increased 0.3% respectively to 13.1%.  </w:t>
      </w:r>
    </w:p>
    <w:p w14:paraId="4D2226CD" w14:textId="77777777" w:rsidR="00F53939" w:rsidRPr="00E10FC0" w:rsidRDefault="00F53939" w:rsidP="00F53939">
      <w:pPr>
        <w:jc w:val="both"/>
        <w:rPr>
          <w:rFonts w:ascii="Calibri" w:eastAsia="Calibri" w:hAnsi="Calibri" w:cs="Calibri"/>
          <w:color w:val="FF0000"/>
          <w:sz w:val="20"/>
          <w:szCs w:val="20"/>
        </w:rPr>
      </w:pPr>
    </w:p>
    <w:p w14:paraId="32376901" w14:textId="46A84825" w:rsidR="00F53939" w:rsidRPr="0052656A" w:rsidRDefault="00F53939" w:rsidP="00F53939">
      <w:pPr>
        <w:jc w:val="both"/>
        <w:rPr>
          <w:rFonts w:ascii="Calibri" w:eastAsia="Calibri" w:hAnsi="Calibri" w:cs="Calibri"/>
          <w:sz w:val="20"/>
          <w:szCs w:val="20"/>
        </w:rPr>
      </w:pPr>
      <w:r w:rsidRPr="0052656A">
        <w:rPr>
          <w:rFonts w:ascii="Calibri" w:eastAsia="Calibri" w:hAnsi="Calibri" w:cs="Calibri"/>
          <w:sz w:val="20"/>
          <w:szCs w:val="20"/>
        </w:rPr>
        <w:t>Interest income decreased 10% to £62.9m, consistent with a 12% reduction in average gross customer interest</w:t>
      </w:r>
      <w:r w:rsidR="00DD6CA4">
        <w:rPr>
          <w:rFonts w:ascii="Calibri" w:eastAsia="Calibri" w:hAnsi="Calibri" w:cs="Calibri"/>
          <w:sz w:val="20"/>
          <w:szCs w:val="20"/>
        </w:rPr>
        <w:t>-</w:t>
      </w:r>
      <w:r w:rsidRPr="0052656A">
        <w:rPr>
          <w:rFonts w:ascii="Calibri" w:eastAsia="Calibri" w:hAnsi="Calibri" w:cs="Calibri"/>
          <w:sz w:val="20"/>
          <w:szCs w:val="20"/>
        </w:rPr>
        <w:t>earning balances to £750m.  The a</w:t>
      </w:r>
      <w:r w:rsidRPr="0052656A" w:rsidDel="00A904EF">
        <w:rPr>
          <w:rFonts w:ascii="Calibri" w:eastAsia="Calibri" w:hAnsi="Calibri" w:cs="Calibri"/>
          <w:sz w:val="20"/>
          <w:szCs w:val="20"/>
        </w:rPr>
        <w:t xml:space="preserve">sset yield </w:t>
      </w:r>
      <w:r w:rsidRPr="0052656A">
        <w:rPr>
          <w:rFonts w:ascii="Calibri" w:eastAsia="Calibri" w:hAnsi="Calibri" w:cs="Calibri"/>
          <w:sz w:val="20"/>
          <w:szCs w:val="20"/>
        </w:rPr>
        <w:t>increased 0.4</w:t>
      </w:r>
      <w:r w:rsidRPr="0052656A" w:rsidDel="00A904EF">
        <w:rPr>
          <w:rFonts w:ascii="Calibri" w:eastAsia="Calibri" w:hAnsi="Calibri" w:cs="Calibri"/>
          <w:sz w:val="20"/>
          <w:szCs w:val="20"/>
        </w:rPr>
        <w:t xml:space="preserve">% to </w:t>
      </w:r>
      <w:r w:rsidRPr="0052656A">
        <w:rPr>
          <w:rFonts w:ascii="Calibri" w:eastAsia="Calibri" w:hAnsi="Calibri" w:cs="Calibri"/>
          <w:sz w:val="20"/>
          <w:szCs w:val="20"/>
        </w:rPr>
        <w:t>16.9</w:t>
      </w:r>
      <w:r w:rsidRPr="0052656A" w:rsidDel="00A904EF">
        <w:rPr>
          <w:rFonts w:ascii="Calibri" w:eastAsia="Calibri" w:hAnsi="Calibri" w:cs="Calibri"/>
          <w:sz w:val="20"/>
          <w:szCs w:val="20"/>
        </w:rPr>
        <w:t>%</w:t>
      </w:r>
      <w:r w:rsidRPr="0052656A">
        <w:rPr>
          <w:rFonts w:ascii="Calibri" w:eastAsia="Calibri" w:hAnsi="Calibri" w:cs="Calibri"/>
          <w:sz w:val="20"/>
          <w:szCs w:val="20"/>
        </w:rPr>
        <w:t>, driven by repricing initiatives</w:t>
      </w:r>
      <w:r w:rsidRPr="0052656A" w:rsidDel="00A904EF">
        <w:rPr>
          <w:rFonts w:ascii="Calibri" w:eastAsia="Calibri" w:hAnsi="Calibri" w:cs="Calibri"/>
          <w:sz w:val="20"/>
          <w:szCs w:val="20"/>
        </w:rPr>
        <w:t>.</w:t>
      </w:r>
    </w:p>
    <w:p w14:paraId="12C41FBC" w14:textId="77777777" w:rsidR="00F53939" w:rsidRPr="00E10FC0" w:rsidRDefault="00F53939" w:rsidP="00F53939">
      <w:pPr>
        <w:jc w:val="both"/>
        <w:rPr>
          <w:rFonts w:ascii="Calibri" w:eastAsia="Calibri" w:hAnsi="Calibri" w:cs="Calibri"/>
          <w:color w:val="FF0000"/>
          <w:sz w:val="20"/>
          <w:szCs w:val="20"/>
        </w:rPr>
      </w:pPr>
    </w:p>
    <w:p w14:paraId="09023702" w14:textId="77777777" w:rsidR="00F53939" w:rsidRPr="00CA7C09" w:rsidRDefault="00F53939" w:rsidP="00F53939">
      <w:pPr>
        <w:jc w:val="both"/>
        <w:rPr>
          <w:rFonts w:ascii="Calibri" w:eastAsia="Calibri" w:hAnsi="Calibri" w:cs="Calibri"/>
          <w:sz w:val="20"/>
          <w:szCs w:val="20"/>
        </w:rPr>
      </w:pPr>
      <w:r w:rsidRPr="00CA7C09">
        <w:rPr>
          <w:rFonts w:ascii="Calibri" w:eastAsia="Calibri" w:hAnsi="Calibri" w:cs="Calibri"/>
          <w:sz w:val="20"/>
          <w:szCs w:val="20"/>
        </w:rPr>
        <w:t xml:space="preserve">Interest expense reduced 9% to £14.3m, </w:t>
      </w:r>
      <w:r w:rsidRPr="00C518B3">
        <w:rPr>
          <w:rFonts w:ascii="Calibri" w:eastAsia="Calibri" w:hAnsi="Calibri" w:cs="Calibri"/>
          <w:sz w:val="20"/>
          <w:szCs w:val="20"/>
        </w:rPr>
        <w:t xml:space="preserve">driven by the lower funding need and lower </w:t>
      </w:r>
      <w:r w:rsidR="00C224BF" w:rsidRPr="00861E88">
        <w:rPr>
          <w:rFonts w:ascii="Calibri" w:eastAsia="Calibri" w:hAnsi="Calibri" w:cs="Calibri"/>
          <w:sz w:val="20"/>
          <w:szCs w:val="20"/>
        </w:rPr>
        <w:t>cost of funds</w:t>
      </w:r>
      <w:r w:rsidRPr="00C518B3">
        <w:rPr>
          <w:rFonts w:ascii="Calibri" w:eastAsia="Calibri" w:hAnsi="Calibri" w:cs="Calibri"/>
          <w:sz w:val="20"/>
          <w:szCs w:val="20"/>
        </w:rPr>
        <w:t xml:space="preserve">, as </w:t>
      </w:r>
      <w:r w:rsidR="00C224BF" w:rsidRPr="00861E88">
        <w:rPr>
          <w:rFonts w:ascii="Calibri" w:eastAsia="Calibri" w:hAnsi="Calibri" w:cs="Calibri"/>
          <w:sz w:val="20"/>
          <w:szCs w:val="20"/>
        </w:rPr>
        <w:t xml:space="preserve">the reduced rate outlook and maturing fixed-term deposits </w:t>
      </w:r>
      <w:r w:rsidRPr="00C518B3">
        <w:rPr>
          <w:rFonts w:ascii="Calibri" w:eastAsia="Calibri" w:hAnsi="Calibri" w:cs="Calibri"/>
          <w:sz w:val="20"/>
          <w:szCs w:val="20"/>
        </w:rPr>
        <w:t>were</w:t>
      </w:r>
      <w:r w:rsidR="00C224BF" w:rsidRPr="00861E88">
        <w:rPr>
          <w:rFonts w:ascii="Calibri" w:eastAsia="Calibri" w:hAnsi="Calibri" w:cs="Calibri"/>
          <w:sz w:val="20"/>
          <w:szCs w:val="20"/>
        </w:rPr>
        <w:t xml:space="preserve"> refinanced with lower interest rate savings products.</w:t>
      </w:r>
    </w:p>
    <w:p w14:paraId="3504F4AF" w14:textId="77777777" w:rsidR="00F53939" w:rsidRPr="00E10FC0" w:rsidRDefault="00F53939" w:rsidP="00F53939">
      <w:pPr>
        <w:jc w:val="both"/>
        <w:rPr>
          <w:rFonts w:ascii="Calibri" w:eastAsia="Calibri" w:hAnsi="Calibri" w:cs="Calibri"/>
          <w:color w:val="FF0000"/>
          <w:sz w:val="20"/>
          <w:szCs w:val="20"/>
        </w:rPr>
      </w:pPr>
    </w:p>
    <w:p w14:paraId="1A2BB6D1" w14:textId="79641E40" w:rsidR="00F53939" w:rsidRPr="00BB0C76" w:rsidRDefault="00F53939" w:rsidP="00F53939">
      <w:pPr>
        <w:jc w:val="both"/>
        <w:rPr>
          <w:rFonts w:ascii="Calibri" w:eastAsia="Calibri" w:hAnsi="Calibri" w:cs="Calibri"/>
          <w:sz w:val="20"/>
          <w:szCs w:val="20"/>
        </w:rPr>
      </w:pPr>
      <w:r w:rsidRPr="00BB0C76">
        <w:rPr>
          <w:rFonts w:ascii="Calibri" w:eastAsia="Calibri" w:hAnsi="Calibri" w:cs="Calibri"/>
          <w:sz w:val="20"/>
          <w:szCs w:val="20"/>
        </w:rPr>
        <w:t xml:space="preserve">The prior year Vehicle Finance receivables review drove elevated impairment in </w:t>
      </w:r>
      <w:r w:rsidR="00964B48">
        <w:rPr>
          <w:rFonts w:ascii="Calibri" w:eastAsia="Calibri" w:hAnsi="Calibri" w:cs="Calibri"/>
          <w:sz w:val="20"/>
          <w:szCs w:val="20"/>
        </w:rPr>
        <w:t>2024</w:t>
      </w:r>
      <w:r w:rsidRPr="00BB0C76">
        <w:rPr>
          <w:rFonts w:ascii="Calibri" w:eastAsia="Calibri" w:hAnsi="Calibri" w:cs="Calibri"/>
          <w:sz w:val="20"/>
          <w:szCs w:val="20"/>
        </w:rPr>
        <w:t>, result</w:t>
      </w:r>
      <w:r w:rsidR="00B20174">
        <w:rPr>
          <w:rFonts w:ascii="Calibri" w:eastAsia="Calibri" w:hAnsi="Calibri" w:cs="Calibri"/>
          <w:sz w:val="20"/>
          <w:szCs w:val="20"/>
        </w:rPr>
        <w:t>ing</w:t>
      </w:r>
      <w:r w:rsidRPr="00BB0C76">
        <w:rPr>
          <w:rFonts w:ascii="Calibri" w:eastAsia="Calibri" w:hAnsi="Calibri" w:cs="Calibri"/>
          <w:sz w:val="20"/>
          <w:szCs w:val="20"/>
        </w:rPr>
        <w:t xml:space="preserve"> in a clearer cost of risk outlook for the portfolio.  Impairment charges decreased 57% to £12.7m, reflecting reduced origination charges in line with</w:t>
      </w:r>
      <w:r w:rsidR="00D3031F">
        <w:rPr>
          <w:rFonts w:ascii="Calibri" w:eastAsia="Calibri" w:hAnsi="Calibri" w:cs="Calibri"/>
          <w:sz w:val="20"/>
          <w:szCs w:val="20"/>
        </w:rPr>
        <w:t xml:space="preserve"> the</w:t>
      </w:r>
      <w:r w:rsidRPr="00BB0C76">
        <w:rPr>
          <w:rFonts w:ascii="Calibri" w:eastAsia="Calibri" w:hAnsi="Calibri" w:cs="Calibri"/>
          <w:sz w:val="20"/>
          <w:szCs w:val="20"/>
        </w:rPr>
        <w:t xml:space="preserve"> reduction in new gross customer interest</w:t>
      </w:r>
      <w:r w:rsidR="00AF491D">
        <w:rPr>
          <w:rFonts w:ascii="Calibri" w:eastAsia="Calibri" w:hAnsi="Calibri" w:cs="Calibri"/>
          <w:sz w:val="20"/>
          <w:szCs w:val="20"/>
        </w:rPr>
        <w:t>-</w:t>
      </w:r>
      <w:r w:rsidRPr="00BB0C76">
        <w:rPr>
          <w:rFonts w:ascii="Calibri" w:eastAsia="Calibri" w:hAnsi="Calibri" w:cs="Calibri"/>
          <w:sz w:val="20"/>
          <w:szCs w:val="20"/>
        </w:rPr>
        <w:t>earning balances and an increased IFRS9 modelled impairment benefit, as underlying credit quality improved. Cost of risk reduced 3.6% to 3.4%.</w:t>
      </w:r>
    </w:p>
    <w:p w14:paraId="1A113038" w14:textId="77777777" w:rsidR="00F53939" w:rsidRPr="00BB0C76" w:rsidRDefault="00F53939" w:rsidP="00F53939">
      <w:pPr>
        <w:jc w:val="both"/>
        <w:rPr>
          <w:rFonts w:ascii="Calibri" w:eastAsia="Calibri" w:hAnsi="Calibri" w:cs="Calibri"/>
          <w:sz w:val="20"/>
          <w:szCs w:val="20"/>
        </w:rPr>
      </w:pPr>
    </w:p>
    <w:p w14:paraId="207381FA" w14:textId="77777777" w:rsidR="00F53939" w:rsidRPr="00BB0C76" w:rsidRDefault="00F53939" w:rsidP="00F53939">
      <w:pPr>
        <w:jc w:val="both"/>
        <w:rPr>
          <w:rFonts w:ascii="Calibri" w:eastAsia="Calibri" w:hAnsi="Calibri" w:cs="Calibri"/>
          <w:sz w:val="20"/>
          <w:szCs w:val="20"/>
        </w:rPr>
      </w:pPr>
      <w:r w:rsidRPr="00BB0C76">
        <w:rPr>
          <w:rFonts w:ascii="Calibri" w:eastAsia="Calibri" w:hAnsi="Calibri" w:cs="Calibri"/>
          <w:sz w:val="20"/>
          <w:szCs w:val="20"/>
        </w:rPr>
        <w:t xml:space="preserve">Risk adjusted income increased 47% to £35.9m and risk adjusted margin improved 3.9% to 9.7%. </w:t>
      </w:r>
    </w:p>
    <w:p w14:paraId="0A4E1F0D" w14:textId="77777777" w:rsidR="00F53939" w:rsidRPr="00E10FC0" w:rsidRDefault="00F53939" w:rsidP="00F53939">
      <w:pPr>
        <w:jc w:val="both"/>
        <w:rPr>
          <w:rFonts w:ascii="Calibri" w:eastAsia="Calibri" w:hAnsi="Calibri" w:cs="Calibri"/>
          <w:color w:val="FF0000"/>
          <w:sz w:val="20"/>
          <w:szCs w:val="20"/>
        </w:rPr>
      </w:pPr>
    </w:p>
    <w:p w14:paraId="7209F748" w14:textId="77777777" w:rsidR="00F53939" w:rsidRPr="00E10FC0" w:rsidRDefault="00F53939" w:rsidP="00F53939">
      <w:pPr>
        <w:jc w:val="both"/>
        <w:rPr>
          <w:rFonts w:ascii="Calibri" w:eastAsia="Calibri" w:hAnsi="Calibri" w:cs="Calibri"/>
          <w:color w:val="FF0000"/>
          <w:sz w:val="20"/>
          <w:szCs w:val="20"/>
        </w:rPr>
      </w:pPr>
      <w:r w:rsidRPr="003E3D6B">
        <w:rPr>
          <w:rFonts w:ascii="Calibri" w:eastAsia="Calibri" w:hAnsi="Calibri" w:cs="Calibri"/>
          <w:sz w:val="20"/>
          <w:szCs w:val="20"/>
        </w:rPr>
        <w:t>Operating costs decreased 19% to £34.5m,</w:t>
      </w:r>
      <w:r>
        <w:rPr>
          <w:rFonts w:ascii="Calibri" w:eastAsia="Calibri" w:hAnsi="Calibri" w:cs="Calibri"/>
          <w:sz w:val="20"/>
          <w:szCs w:val="20"/>
        </w:rPr>
        <w:t xml:space="preserve"> driven </w:t>
      </w:r>
      <w:r w:rsidRPr="003E3D6B">
        <w:rPr>
          <w:rFonts w:ascii="Calibri" w:eastAsia="Calibri" w:hAnsi="Calibri" w:cs="Calibri"/>
          <w:sz w:val="20"/>
          <w:szCs w:val="20"/>
        </w:rPr>
        <w:t>by transformation cost savings, more than offsetting growth and inflation driven cost increases and an accrual for discretionary staff costs</w:t>
      </w:r>
      <w:r w:rsidRPr="00D8653D">
        <w:rPr>
          <w:rFonts w:ascii="Calibri" w:eastAsia="Calibri" w:hAnsi="Calibri" w:cs="Calibri"/>
          <w:sz w:val="20"/>
          <w:szCs w:val="20"/>
        </w:rPr>
        <w:t>.</w:t>
      </w:r>
    </w:p>
    <w:p w14:paraId="036082E4" w14:textId="77777777" w:rsidR="00F53939" w:rsidRPr="00FD42D2" w:rsidRDefault="00F53939" w:rsidP="00F53939">
      <w:pPr>
        <w:jc w:val="both"/>
        <w:rPr>
          <w:rFonts w:ascii="Calibri" w:eastAsia="Calibri" w:hAnsi="Calibri" w:cs="Calibri"/>
          <w:sz w:val="20"/>
          <w:szCs w:val="20"/>
        </w:rPr>
      </w:pPr>
    </w:p>
    <w:p w14:paraId="288A1083" w14:textId="77777777" w:rsidR="00F53939" w:rsidRPr="00FD42D2" w:rsidRDefault="00F53939" w:rsidP="00F53939">
      <w:pPr>
        <w:jc w:val="both"/>
        <w:rPr>
          <w:rFonts w:ascii="Calibri" w:eastAsia="Calibri" w:hAnsi="Calibri" w:cs="Calibri"/>
          <w:sz w:val="20"/>
          <w:szCs w:val="20"/>
        </w:rPr>
      </w:pPr>
      <w:r w:rsidRPr="00FD42D2">
        <w:rPr>
          <w:rFonts w:ascii="Calibri" w:eastAsia="Calibri" w:hAnsi="Calibri" w:cs="Calibri"/>
          <w:sz w:val="20"/>
          <w:szCs w:val="20"/>
        </w:rPr>
        <w:t>Profit before tax contribution was £1.4m (1H24: loss contribution of £18.3m).</w:t>
      </w:r>
    </w:p>
    <w:p w14:paraId="23C8A391" w14:textId="77777777" w:rsidR="005C7B9D" w:rsidRDefault="005C7B9D" w:rsidP="00F53939">
      <w:pPr>
        <w:rPr>
          <w:rFonts w:asciiTheme="minorHAnsi" w:eastAsiaTheme="minorEastAsia" w:hAnsiTheme="minorHAnsi" w:cstheme="minorBidi"/>
          <w:b/>
          <w:bCs/>
          <w:color w:val="4747FF"/>
          <w:sz w:val="22"/>
          <w:szCs w:val="22"/>
          <w:lang w:eastAsia="en-US"/>
        </w:rPr>
      </w:pPr>
    </w:p>
    <w:p w14:paraId="091CBC82" w14:textId="51A0E045" w:rsidR="00F53939" w:rsidRPr="00AF0CA2" w:rsidRDefault="00F53939" w:rsidP="00F53939">
      <w:pPr>
        <w:rPr>
          <w:rFonts w:asciiTheme="minorHAnsi" w:eastAsiaTheme="minorEastAsia" w:hAnsiTheme="minorHAnsi" w:cstheme="minorBidi"/>
          <w:b/>
          <w:bCs/>
          <w:color w:val="4747FF"/>
          <w:sz w:val="22"/>
          <w:szCs w:val="22"/>
          <w:lang w:eastAsia="en-US"/>
        </w:rPr>
      </w:pPr>
      <w:r>
        <w:rPr>
          <w:rFonts w:asciiTheme="minorHAnsi" w:eastAsiaTheme="minorEastAsia" w:hAnsiTheme="minorHAnsi" w:cstheme="minorBidi"/>
          <w:b/>
          <w:bCs/>
          <w:color w:val="4747FF"/>
          <w:sz w:val="22"/>
          <w:szCs w:val="22"/>
          <w:lang w:eastAsia="en-US"/>
        </w:rPr>
        <w:t>Second Charge Mortgages –</w:t>
      </w:r>
      <w:r w:rsidRPr="00020B25">
        <w:rPr>
          <w:rFonts w:asciiTheme="minorHAnsi" w:eastAsiaTheme="minorEastAsia" w:hAnsiTheme="minorHAnsi" w:cstheme="minorBidi"/>
          <w:b/>
          <w:bCs/>
          <w:color w:val="4747FF"/>
          <w:sz w:val="22"/>
          <w:szCs w:val="22"/>
          <w:lang w:eastAsia="en-US"/>
        </w:rPr>
        <w:t xml:space="preserve"> </w:t>
      </w:r>
      <w:r w:rsidRPr="00AF0CA2">
        <w:rPr>
          <w:rFonts w:asciiTheme="minorHAnsi" w:eastAsiaTheme="minorEastAsia" w:hAnsiTheme="minorHAnsi" w:cstheme="minorBidi"/>
          <w:b/>
          <w:bCs/>
          <w:color w:val="4747FF"/>
          <w:sz w:val="22"/>
          <w:szCs w:val="22"/>
          <w:lang w:eastAsia="en-US"/>
        </w:rPr>
        <w:t>Continued strong growth in a growing market</w:t>
      </w:r>
    </w:p>
    <w:p w14:paraId="60C888E3" w14:textId="77777777" w:rsidR="00F53939" w:rsidRDefault="00F53939" w:rsidP="00F53939">
      <w:pPr>
        <w:spacing w:line="259" w:lineRule="auto"/>
        <w:jc w:val="both"/>
        <w:rPr>
          <w:rFonts w:ascii="Calibri" w:eastAsia="Calibri" w:hAnsi="Calibri" w:cs="Calibri"/>
          <w:sz w:val="22"/>
          <w:szCs w:val="22"/>
        </w:rPr>
      </w:pPr>
    </w:p>
    <w:tbl>
      <w:tblPr>
        <w:tblW w:w="4957" w:type="pct"/>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4537"/>
        <w:gridCol w:w="1207"/>
        <w:gridCol w:w="1299"/>
        <w:gridCol w:w="1299"/>
        <w:gridCol w:w="1297"/>
      </w:tblGrid>
      <w:tr w:rsidR="00F53939" w:rsidRPr="005E46B1" w14:paraId="291A901A" w14:textId="77777777" w:rsidTr="00DE5367">
        <w:trPr>
          <w:trHeight w:val="390"/>
        </w:trPr>
        <w:tc>
          <w:tcPr>
            <w:tcW w:w="2353" w:type="pct"/>
            <w:tcBorders>
              <w:top w:val="nil"/>
              <w:left w:val="nil"/>
              <w:bottom w:val="single" w:sz="4" w:space="0" w:color="auto"/>
              <w:right w:val="nil"/>
            </w:tcBorders>
            <w:tcMar>
              <w:top w:w="60" w:type="dxa"/>
              <w:bottom w:w="60" w:type="dxa"/>
            </w:tcMar>
            <w:vAlign w:val="bottom"/>
          </w:tcPr>
          <w:p w14:paraId="08384F26" w14:textId="77777777" w:rsidR="00F53939" w:rsidRPr="00320CA7" w:rsidRDefault="00F53939" w:rsidP="00A50D03">
            <w:pPr>
              <w:rPr>
                <w:rFonts w:asciiTheme="minorHAnsi" w:hAnsiTheme="minorHAnsi" w:cstheme="minorHAnsi"/>
                <w:b/>
                <w:bCs/>
                <w:sz w:val="20"/>
                <w:szCs w:val="20"/>
              </w:rPr>
            </w:pPr>
            <w:r w:rsidRPr="00320CA7">
              <w:rPr>
                <w:rFonts w:asciiTheme="minorHAnsi" w:eastAsia="Poppins" w:hAnsiTheme="minorHAnsi" w:cstheme="minorHAnsi"/>
                <w:b/>
                <w:bCs/>
                <w:sz w:val="20"/>
                <w:szCs w:val="20"/>
              </w:rPr>
              <w:t>Six months ended (£m)</w:t>
            </w:r>
          </w:p>
        </w:tc>
        <w:tc>
          <w:tcPr>
            <w:tcW w:w="626" w:type="pct"/>
            <w:tcBorders>
              <w:top w:val="nil"/>
              <w:left w:val="nil"/>
              <w:bottom w:val="single" w:sz="4" w:space="0" w:color="auto"/>
              <w:right w:val="nil"/>
            </w:tcBorders>
            <w:shd w:val="clear" w:color="auto" w:fill="F2F2F2" w:themeFill="background1" w:themeFillShade="F2"/>
            <w:vAlign w:val="center"/>
          </w:tcPr>
          <w:p w14:paraId="734120BF" w14:textId="77777777" w:rsidR="00F53939" w:rsidRPr="00320CA7" w:rsidRDefault="00F53939" w:rsidP="00A50D03">
            <w:pPr>
              <w:ind w:right="115"/>
              <w:jc w:val="right"/>
              <w:rPr>
                <w:rFonts w:asciiTheme="minorHAnsi" w:eastAsia="Poppins" w:hAnsiTheme="minorHAnsi" w:cstheme="minorHAnsi"/>
                <w:sz w:val="20"/>
                <w:szCs w:val="20"/>
              </w:rPr>
            </w:pPr>
            <w:r w:rsidRPr="00320CA7">
              <w:rPr>
                <w:rFonts w:asciiTheme="minorHAnsi" w:eastAsia="Inter Medium" w:hAnsiTheme="minorHAnsi" w:cstheme="minorHAnsi"/>
                <w:b/>
                <w:kern w:val="24"/>
                <w:sz w:val="20"/>
                <w:szCs w:val="20"/>
              </w:rPr>
              <w:t>Jun-2</w:t>
            </w:r>
            <w:r>
              <w:rPr>
                <w:rFonts w:asciiTheme="minorHAnsi" w:eastAsia="Inter Medium" w:hAnsiTheme="minorHAnsi" w:cstheme="minorHAnsi"/>
                <w:b/>
                <w:kern w:val="24"/>
                <w:sz w:val="20"/>
                <w:szCs w:val="20"/>
              </w:rPr>
              <w:t>5</w:t>
            </w:r>
          </w:p>
        </w:tc>
        <w:tc>
          <w:tcPr>
            <w:tcW w:w="674" w:type="pct"/>
            <w:tcBorders>
              <w:top w:val="nil"/>
              <w:left w:val="nil"/>
              <w:bottom w:val="single" w:sz="4" w:space="0" w:color="auto"/>
              <w:right w:val="nil"/>
            </w:tcBorders>
            <w:vAlign w:val="center"/>
          </w:tcPr>
          <w:p w14:paraId="24922537" w14:textId="77777777" w:rsidR="00F53939" w:rsidRDefault="00F53939" w:rsidP="00A50D03">
            <w:pPr>
              <w:jc w:val="right"/>
              <w:rPr>
                <w:rFonts w:asciiTheme="minorHAnsi" w:hAnsiTheme="minorHAnsi" w:cstheme="minorHAnsi"/>
                <w:kern w:val="24"/>
                <w:sz w:val="20"/>
                <w:szCs w:val="20"/>
              </w:rPr>
            </w:pPr>
            <w:r w:rsidRPr="00320CA7">
              <w:rPr>
                <w:rFonts w:asciiTheme="minorHAnsi" w:hAnsiTheme="minorHAnsi" w:cstheme="minorHAnsi"/>
                <w:kern w:val="24"/>
                <w:sz w:val="20"/>
                <w:szCs w:val="20"/>
              </w:rPr>
              <w:t xml:space="preserve">Dec-24 </w:t>
            </w:r>
          </w:p>
          <w:p w14:paraId="15AA8321" w14:textId="77777777" w:rsidR="00F53939" w:rsidRPr="00320CA7" w:rsidRDefault="00F53939" w:rsidP="00A50D03">
            <w:pPr>
              <w:jc w:val="right"/>
              <w:rPr>
                <w:rFonts w:asciiTheme="minorHAnsi" w:eastAsia="Poppins" w:hAnsiTheme="minorHAnsi" w:cstheme="minorHAnsi"/>
                <w:sz w:val="20"/>
                <w:szCs w:val="20"/>
                <w:vertAlign w:val="superscript"/>
              </w:rPr>
            </w:pPr>
            <w:r w:rsidRPr="00320CA7">
              <w:rPr>
                <w:rFonts w:asciiTheme="minorHAnsi" w:hAnsiTheme="minorHAnsi" w:cstheme="minorHAnsi"/>
                <w:kern w:val="24"/>
                <w:sz w:val="20"/>
                <w:szCs w:val="20"/>
              </w:rPr>
              <w:t>(</w:t>
            </w:r>
            <w:r w:rsidRPr="00EE5ED5">
              <w:rPr>
                <w:rFonts w:asciiTheme="minorHAnsi" w:hAnsiTheme="minorHAnsi" w:cstheme="minorHAnsi"/>
                <w:kern w:val="24"/>
                <w:sz w:val="20"/>
                <w:szCs w:val="20"/>
              </w:rPr>
              <w:t>Re-presented</w:t>
            </w:r>
            <w:r w:rsidRPr="00320CA7">
              <w:rPr>
                <w:rFonts w:asciiTheme="minorHAnsi" w:hAnsiTheme="minorHAnsi" w:cstheme="minorHAnsi"/>
                <w:kern w:val="24"/>
                <w:sz w:val="20"/>
                <w:szCs w:val="20"/>
              </w:rPr>
              <w:t>)</w:t>
            </w:r>
          </w:p>
        </w:tc>
        <w:tc>
          <w:tcPr>
            <w:tcW w:w="674" w:type="pct"/>
            <w:tcBorders>
              <w:top w:val="nil"/>
              <w:left w:val="nil"/>
              <w:bottom w:val="single" w:sz="4" w:space="0" w:color="auto"/>
              <w:right w:val="nil"/>
            </w:tcBorders>
            <w:vAlign w:val="center"/>
          </w:tcPr>
          <w:p w14:paraId="6A933EEE" w14:textId="77777777" w:rsidR="0048653E" w:rsidRDefault="00F53939" w:rsidP="00A50D03">
            <w:pPr>
              <w:ind w:right="115"/>
              <w:jc w:val="right"/>
              <w:rPr>
                <w:rFonts w:asciiTheme="minorHAnsi" w:hAnsiTheme="minorHAnsi" w:cstheme="minorHAnsi"/>
                <w:kern w:val="24"/>
                <w:sz w:val="20"/>
                <w:szCs w:val="20"/>
              </w:rPr>
            </w:pPr>
            <w:r w:rsidRPr="00320CA7">
              <w:rPr>
                <w:rFonts w:asciiTheme="minorHAnsi" w:hAnsiTheme="minorHAnsi" w:cstheme="minorHAnsi"/>
                <w:kern w:val="24"/>
                <w:sz w:val="20"/>
                <w:szCs w:val="20"/>
              </w:rPr>
              <w:t xml:space="preserve">Jun-24 </w:t>
            </w:r>
          </w:p>
          <w:p w14:paraId="49753BCA" w14:textId="56B14AE6" w:rsidR="00F53939" w:rsidRPr="00320CA7" w:rsidRDefault="00F53939" w:rsidP="00A50D03">
            <w:pPr>
              <w:ind w:right="115"/>
              <w:jc w:val="right"/>
              <w:rPr>
                <w:rFonts w:asciiTheme="minorHAnsi" w:eastAsia="Poppins" w:hAnsiTheme="minorHAnsi" w:cstheme="minorHAnsi"/>
                <w:iCs/>
                <w:sz w:val="20"/>
                <w:szCs w:val="20"/>
              </w:rPr>
            </w:pPr>
            <w:r w:rsidRPr="00320CA7">
              <w:rPr>
                <w:rFonts w:asciiTheme="minorHAnsi" w:hAnsiTheme="minorHAnsi" w:cstheme="minorHAnsi"/>
                <w:kern w:val="24"/>
                <w:sz w:val="20"/>
                <w:szCs w:val="20"/>
              </w:rPr>
              <w:t>(</w:t>
            </w:r>
            <w:r w:rsidRPr="00EE5ED5">
              <w:rPr>
                <w:rFonts w:asciiTheme="minorHAnsi" w:hAnsiTheme="minorHAnsi" w:cstheme="minorHAnsi"/>
                <w:kern w:val="24"/>
                <w:sz w:val="20"/>
                <w:szCs w:val="20"/>
              </w:rPr>
              <w:t>Re-presented</w:t>
            </w:r>
            <w:r w:rsidRPr="00320CA7">
              <w:rPr>
                <w:rFonts w:asciiTheme="minorHAnsi" w:hAnsiTheme="minorHAnsi" w:cstheme="minorHAnsi"/>
                <w:kern w:val="24"/>
                <w:sz w:val="20"/>
                <w:szCs w:val="20"/>
              </w:rPr>
              <w:t>)</w:t>
            </w:r>
          </w:p>
        </w:tc>
        <w:tc>
          <w:tcPr>
            <w:tcW w:w="674" w:type="pct"/>
            <w:tcBorders>
              <w:top w:val="nil"/>
              <w:left w:val="nil"/>
              <w:bottom w:val="single" w:sz="4" w:space="0" w:color="auto"/>
              <w:right w:val="nil"/>
            </w:tcBorders>
            <w:vAlign w:val="center"/>
          </w:tcPr>
          <w:p w14:paraId="31839411" w14:textId="77777777" w:rsidR="00F53939" w:rsidRPr="00320CA7" w:rsidRDefault="00F53939" w:rsidP="00A50D03">
            <w:pPr>
              <w:ind w:right="115"/>
              <w:jc w:val="right"/>
              <w:rPr>
                <w:rFonts w:asciiTheme="minorHAnsi" w:hAnsiTheme="minorHAnsi" w:cstheme="minorHAnsi"/>
                <w:kern w:val="24"/>
                <w:sz w:val="20"/>
                <w:szCs w:val="20"/>
              </w:rPr>
            </w:pPr>
            <w:proofErr w:type="spellStart"/>
            <w:r w:rsidRPr="00320CA7">
              <w:rPr>
                <w:rFonts w:asciiTheme="minorHAnsi" w:hAnsiTheme="minorHAnsi" w:cstheme="minorHAnsi"/>
                <w:kern w:val="24"/>
                <w:sz w:val="20"/>
                <w:szCs w:val="20"/>
              </w:rPr>
              <w:t>HoH</w:t>
            </w:r>
            <w:proofErr w:type="spellEnd"/>
          </w:p>
          <w:p w14:paraId="1FD4284B" w14:textId="77777777" w:rsidR="00F53939" w:rsidRPr="00320CA7" w:rsidRDefault="00F53939" w:rsidP="00A50D03">
            <w:pPr>
              <w:ind w:right="115"/>
              <w:jc w:val="right"/>
              <w:rPr>
                <w:rFonts w:asciiTheme="minorHAnsi" w:eastAsia="Poppins" w:hAnsiTheme="minorHAnsi" w:cstheme="minorHAnsi"/>
                <w:iCs/>
                <w:sz w:val="20"/>
                <w:szCs w:val="20"/>
              </w:rPr>
            </w:pPr>
            <w:r w:rsidRPr="00320CA7">
              <w:rPr>
                <w:rFonts w:asciiTheme="minorHAnsi" w:hAnsiTheme="minorHAnsi" w:cstheme="minorHAnsi"/>
                <w:kern w:val="24"/>
                <w:sz w:val="20"/>
                <w:szCs w:val="20"/>
              </w:rPr>
              <w:t xml:space="preserve">Change </w:t>
            </w:r>
            <w:r w:rsidRPr="00320CA7">
              <w:rPr>
                <w:rFonts w:asciiTheme="minorHAnsi" w:eastAsia="Inter Light BETA" w:hAnsiTheme="minorHAnsi" w:cstheme="minorHAnsi"/>
                <w:kern w:val="24"/>
                <w:sz w:val="20"/>
                <w:szCs w:val="20"/>
              </w:rPr>
              <w:t>%</w:t>
            </w:r>
          </w:p>
        </w:tc>
      </w:tr>
      <w:tr w:rsidR="00F53939" w:rsidRPr="005E46B1" w14:paraId="5A32A2B4" w14:textId="77777777" w:rsidTr="00DE5367">
        <w:trPr>
          <w:trHeight w:val="240"/>
        </w:trPr>
        <w:tc>
          <w:tcPr>
            <w:tcW w:w="2353" w:type="pct"/>
            <w:tcBorders>
              <w:top w:val="single" w:sz="4" w:space="0" w:color="auto"/>
              <w:left w:val="nil"/>
              <w:bottom w:val="single" w:sz="4" w:space="0" w:color="FFFFFF"/>
              <w:right w:val="nil"/>
            </w:tcBorders>
            <w:vAlign w:val="center"/>
          </w:tcPr>
          <w:p w14:paraId="7B16FA87" w14:textId="7777777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Total customer numbers (‘000)</w:t>
            </w:r>
          </w:p>
        </w:tc>
        <w:tc>
          <w:tcPr>
            <w:tcW w:w="626" w:type="pct"/>
            <w:tcBorders>
              <w:top w:val="single" w:sz="4" w:space="0" w:color="auto"/>
              <w:left w:val="nil"/>
              <w:bottom w:val="nil"/>
              <w:right w:val="nil"/>
            </w:tcBorders>
            <w:shd w:val="clear" w:color="auto" w:fill="F2F2F2" w:themeFill="background1" w:themeFillShade="F2"/>
          </w:tcPr>
          <w:p w14:paraId="3B95F904"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6.3</w:t>
            </w:r>
          </w:p>
        </w:tc>
        <w:tc>
          <w:tcPr>
            <w:tcW w:w="674" w:type="pct"/>
            <w:tcBorders>
              <w:top w:val="single" w:sz="4" w:space="0" w:color="auto"/>
              <w:left w:val="nil"/>
              <w:bottom w:val="single" w:sz="4" w:space="0" w:color="FFFFFF"/>
              <w:right w:val="nil"/>
            </w:tcBorders>
          </w:tcPr>
          <w:p w14:paraId="037EDE8E"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3.7</w:t>
            </w:r>
          </w:p>
        </w:tc>
        <w:tc>
          <w:tcPr>
            <w:tcW w:w="674" w:type="pct"/>
            <w:tcBorders>
              <w:top w:val="single" w:sz="4" w:space="0" w:color="auto"/>
              <w:left w:val="nil"/>
              <w:bottom w:val="single" w:sz="4" w:space="0" w:color="FFFFFF"/>
              <w:right w:val="nil"/>
            </w:tcBorders>
          </w:tcPr>
          <w:p w14:paraId="352CA7BB"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0.6</w:t>
            </w:r>
          </w:p>
        </w:tc>
        <w:tc>
          <w:tcPr>
            <w:tcW w:w="674" w:type="pct"/>
            <w:tcBorders>
              <w:top w:val="single" w:sz="4" w:space="0" w:color="auto"/>
              <w:left w:val="nil"/>
              <w:bottom w:val="single" w:sz="4" w:space="0" w:color="FFFFFF"/>
              <w:right w:val="nil"/>
            </w:tcBorders>
          </w:tcPr>
          <w:p w14:paraId="0D2B88FA"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70</w:t>
            </w:r>
          </w:p>
        </w:tc>
      </w:tr>
      <w:tr w:rsidR="00F53939" w:rsidRPr="005E46B1" w14:paraId="5C23DD62" w14:textId="77777777" w:rsidTr="00DE5367">
        <w:trPr>
          <w:trHeight w:val="240"/>
        </w:trPr>
        <w:tc>
          <w:tcPr>
            <w:tcW w:w="2353" w:type="pct"/>
            <w:tcBorders>
              <w:top w:val="single" w:sz="4" w:space="0" w:color="FFFFFF"/>
              <w:left w:val="nil"/>
              <w:bottom w:val="single" w:sz="4" w:space="0" w:color="FFFFFF"/>
              <w:right w:val="nil"/>
            </w:tcBorders>
            <w:vAlign w:val="center"/>
          </w:tcPr>
          <w:p w14:paraId="6398C2F5" w14:textId="2EB2A0A6"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Gross customer interest</w:t>
            </w:r>
            <w:r w:rsidR="00AF491D">
              <w:rPr>
                <w:rFonts w:asciiTheme="minorHAnsi" w:eastAsia="Poppins" w:hAnsiTheme="minorHAnsi" w:cstheme="minorHAnsi"/>
                <w:sz w:val="20"/>
                <w:szCs w:val="20"/>
              </w:rPr>
              <w:t>-</w:t>
            </w:r>
            <w:r w:rsidRPr="00320CA7">
              <w:rPr>
                <w:rFonts w:asciiTheme="minorHAnsi" w:eastAsia="Poppins" w:hAnsiTheme="minorHAnsi" w:cstheme="minorHAnsi"/>
                <w:sz w:val="20"/>
                <w:szCs w:val="20"/>
              </w:rPr>
              <w:t>earning balances</w:t>
            </w:r>
          </w:p>
        </w:tc>
        <w:tc>
          <w:tcPr>
            <w:tcW w:w="626" w:type="pct"/>
            <w:tcBorders>
              <w:top w:val="nil"/>
              <w:left w:val="nil"/>
              <w:bottom w:val="nil"/>
              <w:right w:val="nil"/>
            </w:tcBorders>
            <w:shd w:val="clear" w:color="auto" w:fill="F2F2F2" w:themeFill="background1" w:themeFillShade="F2"/>
          </w:tcPr>
          <w:p w14:paraId="767C1C99"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371</w:t>
            </w:r>
          </w:p>
        </w:tc>
        <w:tc>
          <w:tcPr>
            <w:tcW w:w="674" w:type="pct"/>
            <w:tcBorders>
              <w:top w:val="single" w:sz="4" w:space="0" w:color="FFFFFF"/>
              <w:left w:val="nil"/>
              <w:bottom w:val="single" w:sz="4" w:space="0" w:color="FFFFFF"/>
              <w:right w:val="nil"/>
            </w:tcBorders>
          </w:tcPr>
          <w:p w14:paraId="1262137E"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217</w:t>
            </w:r>
          </w:p>
        </w:tc>
        <w:tc>
          <w:tcPr>
            <w:tcW w:w="674" w:type="pct"/>
            <w:tcBorders>
              <w:top w:val="single" w:sz="4" w:space="0" w:color="FFFFFF"/>
              <w:left w:val="nil"/>
              <w:bottom w:val="single" w:sz="4" w:space="0" w:color="FFFFFF"/>
              <w:right w:val="nil"/>
            </w:tcBorders>
          </w:tcPr>
          <w:p w14:paraId="579290A1"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30</w:t>
            </w:r>
          </w:p>
        </w:tc>
        <w:tc>
          <w:tcPr>
            <w:tcW w:w="674" w:type="pct"/>
            <w:tcBorders>
              <w:top w:val="single" w:sz="4" w:space="0" w:color="FFFFFF"/>
              <w:left w:val="nil"/>
              <w:bottom w:val="single" w:sz="4" w:space="0" w:color="FFFFFF"/>
              <w:right w:val="nil"/>
            </w:tcBorders>
          </w:tcPr>
          <w:p w14:paraId="2CC351BF"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71</w:t>
            </w:r>
          </w:p>
        </w:tc>
      </w:tr>
      <w:tr w:rsidR="00F53939" w:rsidRPr="005E46B1" w14:paraId="6EF511AE" w14:textId="77777777" w:rsidTr="00DE5367">
        <w:trPr>
          <w:trHeight w:val="230"/>
        </w:trPr>
        <w:tc>
          <w:tcPr>
            <w:tcW w:w="2353" w:type="pct"/>
            <w:tcBorders>
              <w:top w:val="single" w:sz="4" w:space="0" w:color="FFFFFF"/>
              <w:left w:val="nil"/>
              <w:bottom w:val="single" w:sz="4" w:space="0" w:color="FFFFFF"/>
              <w:right w:val="nil"/>
            </w:tcBorders>
            <w:vAlign w:val="center"/>
          </w:tcPr>
          <w:p w14:paraId="66F0E000" w14:textId="7A94BCB0"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Average gross customer interest</w:t>
            </w:r>
            <w:r w:rsidR="00AF491D">
              <w:rPr>
                <w:rFonts w:asciiTheme="minorHAnsi" w:eastAsia="Poppins" w:hAnsiTheme="minorHAnsi" w:cstheme="minorHAnsi"/>
                <w:sz w:val="20"/>
                <w:szCs w:val="20"/>
              </w:rPr>
              <w:t>-</w:t>
            </w:r>
            <w:r w:rsidRPr="00320CA7">
              <w:rPr>
                <w:rFonts w:asciiTheme="minorHAnsi" w:eastAsia="Poppins" w:hAnsiTheme="minorHAnsi" w:cstheme="minorHAnsi"/>
                <w:sz w:val="20"/>
                <w:szCs w:val="20"/>
              </w:rPr>
              <w:t>earning balances</w:t>
            </w:r>
            <w:r w:rsidRPr="00320CA7">
              <w:rPr>
                <w:rFonts w:asciiTheme="minorHAnsi" w:eastAsia="Poppins" w:hAnsiTheme="minorHAnsi" w:cstheme="minorHAnsi"/>
                <w:sz w:val="20"/>
                <w:szCs w:val="20"/>
                <w:vertAlign w:val="superscript"/>
              </w:rPr>
              <w:t xml:space="preserve">1 </w:t>
            </w:r>
          </w:p>
        </w:tc>
        <w:tc>
          <w:tcPr>
            <w:tcW w:w="626" w:type="pct"/>
            <w:tcBorders>
              <w:top w:val="nil"/>
              <w:left w:val="nil"/>
              <w:bottom w:val="nil"/>
              <w:right w:val="nil"/>
            </w:tcBorders>
            <w:shd w:val="clear" w:color="auto" w:fill="F2F2F2" w:themeFill="background1" w:themeFillShade="F2"/>
          </w:tcPr>
          <w:p w14:paraId="41CE5351"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293</w:t>
            </w:r>
          </w:p>
        </w:tc>
        <w:tc>
          <w:tcPr>
            <w:tcW w:w="674" w:type="pct"/>
            <w:tcBorders>
              <w:top w:val="single" w:sz="4" w:space="0" w:color="FFFFFF"/>
              <w:left w:val="nil"/>
              <w:bottom w:val="single" w:sz="4" w:space="0" w:color="FFFFFF"/>
              <w:right w:val="nil"/>
            </w:tcBorders>
          </w:tcPr>
          <w:p w14:paraId="235F12CF"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121</w:t>
            </w:r>
          </w:p>
        </w:tc>
        <w:tc>
          <w:tcPr>
            <w:tcW w:w="674" w:type="pct"/>
            <w:tcBorders>
              <w:top w:val="single" w:sz="4" w:space="0" w:color="FFFFFF"/>
              <w:left w:val="nil"/>
              <w:bottom w:val="single" w:sz="4" w:space="0" w:color="FFFFFF"/>
              <w:right w:val="nil"/>
            </w:tcBorders>
          </w:tcPr>
          <w:p w14:paraId="11615483"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11</w:t>
            </w:r>
          </w:p>
        </w:tc>
        <w:tc>
          <w:tcPr>
            <w:tcW w:w="674" w:type="pct"/>
            <w:tcBorders>
              <w:top w:val="single" w:sz="4" w:space="0" w:color="FFFFFF"/>
              <w:left w:val="nil"/>
              <w:bottom w:val="single" w:sz="4" w:space="0" w:color="FFFFFF"/>
              <w:right w:val="nil"/>
            </w:tcBorders>
          </w:tcPr>
          <w:p w14:paraId="5DF3D9B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142</w:t>
            </w:r>
          </w:p>
        </w:tc>
      </w:tr>
      <w:tr w:rsidR="00F53939" w:rsidRPr="005E46B1" w14:paraId="4366C4E3" w14:textId="77777777" w:rsidTr="00DE5367">
        <w:trPr>
          <w:trHeight w:val="240"/>
        </w:trPr>
        <w:tc>
          <w:tcPr>
            <w:tcW w:w="2353" w:type="pct"/>
            <w:tcBorders>
              <w:top w:val="single" w:sz="4" w:space="0" w:color="FFFFFF"/>
              <w:left w:val="nil"/>
              <w:bottom w:val="nil"/>
              <w:right w:val="nil"/>
            </w:tcBorders>
            <w:vAlign w:val="center"/>
          </w:tcPr>
          <w:p w14:paraId="4AB4413D" w14:textId="7777777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Gross receivables</w:t>
            </w:r>
          </w:p>
        </w:tc>
        <w:tc>
          <w:tcPr>
            <w:tcW w:w="626" w:type="pct"/>
            <w:tcBorders>
              <w:top w:val="nil"/>
              <w:left w:val="nil"/>
              <w:bottom w:val="nil"/>
              <w:right w:val="nil"/>
            </w:tcBorders>
            <w:shd w:val="clear" w:color="auto" w:fill="F2F2F2" w:themeFill="background1" w:themeFillShade="F2"/>
          </w:tcPr>
          <w:p w14:paraId="003792E9"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385</w:t>
            </w:r>
          </w:p>
        </w:tc>
        <w:tc>
          <w:tcPr>
            <w:tcW w:w="674" w:type="pct"/>
            <w:tcBorders>
              <w:top w:val="single" w:sz="4" w:space="0" w:color="FFFFFF"/>
              <w:left w:val="nil"/>
              <w:bottom w:val="nil"/>
              <w:right w:val="nil"/>
            </w:tcBorders>
          </w:tcPr>
          <w:p w14:paraId="6F0BAEA3"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226</w:t>
            </w:r>
          </w:p>
        </w:tc>
        <w:tc>
          <w:tcPr>
            <w:tcW w:w="674" w:type="pct"/>
            <w:tcBorders>
              <w:top w:val="single" w:sz="4" w:space="0" w:color="FFFFFF"/>
              <w:left w:val="nil"/>
              <w:bottom w:val="nil"/>
              <w:right w:val="nil"/>
            </w:tcBorders>
          </w:tcPr>
          <w:p w14:paraId="2E3793AF"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32</w:t>
            </w:r>
          </w:p>
        </w:tc>
        <w:tc>
          <w:tcPr>
            <w:tcW w:w="674" w:type="pct"/>
            <w:tcBorders>
              <w:top w:val="single" w:sz="4" w:space="0" w:color="FFFFFF"/>
              <w:left w:val="nil"/>
              <w:bottom w:val="nil"/>
              <w:right w:val="nil"/>
            </w:tcBorders>
          </w:tcPr>
          <w:p w14:paraId="25297B2A"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70</w:t>
            </w:r>
          </w:p>
        </w:tc>
      </w:tr>
      <w:tr w:rsidR="00F53939" w:rsidRPr="005E46B1" w14:paraId="3F011939" w14:textId="77777777" w:rsidTr="00DE5367">
        <w:trPr>
          <w:trHeight w:val="240"/>
        </w:trPr>
        <w:tc>
          <w:tcPr>
            <w:tcW w:w="2353" w:type="pct"/>
            <w:tcBorders>
              <w:top w:val="nil"/>
              <w:left w:val="nil"/>
              <w:bottom w:val="single" w:sz="4" w:space="0" w:color="auto"/>
              <w:right w:val="nil"/>
            </w:tcBorders>
            <w:vAlign w:val="center"/>
          </w:tcPr>
          <w:p w14:paraId="589C0F01" w14:textId="77777777" w:rsidR="00F53939" w:rsidRPr="00320CA7" w:rsidRDefault="00F53939" w:rsidP="00A50D03">
            <w:pPr>
              <w:ind w:right="115"/>
              <w:rPr>
                <w:rFonts w:asciiTheme="minorHAnsi" w:eastAsia="Poppins" w:hAnsiTheme="minorHAnsi" w:cstheme="minorHAnsi"/>
                <w:sz w:val="20"/>
                <w:szCs w:val="20"/>
              </w:rPr>
            </w:pPr>
            <w:r w:rsidRPr="00320CA7">
              <w:rPr>
                <w:rFonts w:asciiTheme="minorHAnsi" w:eastAsia="Poppins" w:hAnsiTheme="minorHAnsi" w:cstheme="minorHAnsi"/>
                <w:sz w:val="20"/>
                <w:szCs w:val="20"/>
              </w:rPr>
              <w:t>Net receivables</w:t>
            </w:r>
          </w:p>
        </w:tc>
        <w:tc>
          <w:tcPr>
            <w:tcW w:w="626" w:type="pct"/>
            <w:tcBorders>
              <w:top w:val="nil"/>
              <w:left w:val="nil"/>
              <w:bottom w:val="single" w:sz="4" w:space="0" w:color="auto"/>
              <w:right w:val="nil"/>
            </w:tcBorders>
            <w:shd w:val="clear" w:color="auto" w:fill="F2F2F2" w:themeFill="background1" w:themeFillShade="F2"/>
          </w:tcPr>
          <w:p w14:paraId="75F891B2" w14:textId="77777777" w:rsidR="00F53939" w:rsidRPr="00320CA7" w:rsidDel="00CA2F6E"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385</w:t>
            </w:r>
          </w:p>
        </w:tc>
        <w:tc>
          <w:tcPr>
            <w:tcW w:w="674" w:type="pct"/>
            <w:tcBorders>
              <w:top w:val="nil"/>
              <w:left w:val="nil"/>
              <w:bottom w:val="single" w:sz="4" w:space="0" w:color="auto"/>
              <w:right w:val="nil"/>
            </w:tcBorders>
          </w:tcPr>
          <w:p w14:paraId="5BFA4EED"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225</w:t>
            </w:r>
          </w:p>
        </w:tc>
        <w:tc>
          <w:tcPr>
            <w:tcW w:w="674" w:type="pct"/>
            <w:tcBorders>
              <w:top w:val="nil"/>
              <w:left w:val="nil"/>
              <w:bottom w:val="single" w:sz="4" w:space="0" w:color="auto"/>
              <w:right w:val="nil"/>
            </w:tcBorders>
          </w:tcPr>
          <w:p w14:paraId="2CB2BE47"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32</w:t>
            </w:r>
          </w:p>
        </w:tc>
        <w:tc>
          <w:tcPr>
            <w:tcW w:w="674" w:type="pct"/>
            <w:tcBorders>
              <w:top w:val="nil"/>
              <w:left w:val="nil"/>
              <w:bottom w:val="single" w:sz="4" w:space="0" w:color="auto"/>
              <w:right w:val="nil"/>
            </w:tcBorders>
          </w:tcPr>
          <w:p w14:paraId="603A7E03"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71</w:t>
            </w:r>
          </w:p>
        </w:tc>
      </w:tr>
      <w:tr w:rsidR="00F53939" w:rsidRPr="005E46B1" w14:paraId="12C44E77" w14:textId="77777777" w:rsidTr="00DE5367">
        <w:trPr>
          <w:trHeight w:val="240"/>
        </w:trPr>
        <w:tc>
          <w:tcPr>
            <w:tcW w:w="2353" w:type="pct"/>
            <w:tcBorders>
              <w:top w:val="single" w:sz="4" w:space="0" w:color="auto"/>
              <w:left w:val="nil"/>
              <w:bottom w:val="single" w:sz="4" w:space="0" w:color="auto"/>
              <w:right w:val="nil"/>
            </w:tcBorders>
            <w:vAlign w:val="center"/>
          </w:tcPr>
          <w:p w14:paraId="28317B45" w14:textId="77777777" w:rsidR="00F53939" w:rsidRPr="00320CA7" w:rsidRDefault="00F53939" w:rsidP="00A50D03">
            <w:pPr>
              <w:ind w:right="115"/>
              <w:rPr>
                <w:rFonts w:asciiTheme="minorHAnsi" w:eastAsia="Poppins" w:hAnsiTheme="minorHAnsi" w:cstheme="minorHAnsi"/>
                <w:sz w:val="20"/>
                <w:szCs w:val="20"/>
              </w:rPr>
            </w:pPr>
          </w:p>
        </w:tc>
        <w:tc>
          <w:tcPr>
            <w:tcW w:w="626" w:type="pct"/>
            <w:tcBorders>
              <w:top w:val="single" w:sz="4" w:space="0" w:color="auto"/>
              <w:left w:val="nil"/>
              <w:bottom w:val="single" w:sz="4" w:space="0" w:color="auto"/>
              <w:right w:val="nil"/>
            </w:tcBorders>
            <w:shd w:val="clear" w:color="auto" w:fill="F2F2F2" w:themeFill="background1" w:themeFillShade="F2"/>
          </w:tcPr>
          <w:p w14:paraId="0D52DE8F" w14:textId="77777777" w:rsidR="00F53939" w:rsidRPr="00320CA7" w:rsidRDefault="00F53939" w:rsidP="00A50D03">
            <w:pPr>
              <w:jc w:val="right"/>
              <w:rPr>
                <w:rFonts w:asciiTheme="minorHAnsi" w:hAnsiTheme="minorHAnsi" w:cstheme="minorHAnsi"/>
                <w:b/>
                <w:color w:val="FF0000"/>
                <w:sz w:val="20"/>
                <w:szCs w:val="20"/>
              </w:rPr>
            </w:pPr>
          </w:p>
        </w:tc>
        <w:tc>
          <w:tcPr>
            <w:tcW w:w="674" w:type="pct"/>
            <w:tcBorders>
              <w:top w:val="single" w:sz="4" w:space="0" w:color="auto"/>
              <w:left w:val="nil"/>
              <w:bottom w:val="single" w:sz="4" w:space="0" w:color="auto"/>
              <w:right w:val="nil"/>
            </w:tcBorders>
            <w:vAlign w:val="bottom"/>
          </w:tcPr>
          <w:p w14:paraId="3F30DB48" w14:textId="77777777" w:rsidR="00F53939" w:rsidRPr="00A27BDF" w:rsidRDefault="00F53939" w:rsidP="00A50D03">
            <w:pPr>
              <w:jc w:val="right"/>
              <w:rPr>
                <w:rFonts w:asciiTheme="minorHAnsi" w:hAnsiTheme="minorHAnsi" w:cstheme="minorHAnsi"/>
                <w:iCs/>
                <w:sz w:val="20"/>
                <w:szCs w:val="20"/>
              </w:rPr>
            </w:pPr>
          </w:p>
        </w:tc>
        <w:tc>
          <w:tcPr>
            <w:tcW w:w="674" w:type="pct"/>
            <w:tcBorders>
              <w:top w:val="single" w:sz="4" w:space="0" w:color="auto"/>
              <w:left w:val="nil"/>
              <w:bottom w:val="single" w:sz="4" w:space="0" w:color="auto"/>
              <w:right w:val="nil"/>
            </w:tcBorders>
          </w:tcPr>
          <w:p w14:paraId="50592FFF" w14:textId="77777777" w:rsidR="00F53939" w:rsidRPr="00A27BDF" w:rsidRDefault="00F53939" w:rsidP="00A50D03">
            <w:pPr>
              <w:jc w:val="right"/>
              <w:rPr>
                <w:rFonts w:asciiTheme="minorHAnsi" w:hAnsiTheme="minorHAnsi" w:cstheme="minorHAnsi"/>
                <w:iCs/>
                <w:sz w:val="20"/>
                <w:szCs w:val="20"/>
              </w:rPr>
            </w:pPr>
          </w:p>
        </w:tc>
        <w:tc>
          <w:tcPr>
            <w:tcW w:w="674" w:type="pct"/>
            <w:tcBorders>
              <w:top w:val="single" w:sz="4" w:space="0" w:color="auto"/>
              <w:left w:val="nil"/>
              <w:bottom w:val="single" w:sz="4" w:space="0" w:color="auto"/>
              <w:right w:val="nil"/>
            </w:tcBorders>
          </w:tcPr>
          <w:p w14:paraId="0893377C" w14:textId="77777777" w:rsidR="00F53939" w:rsidRPr="00320CA7" w:rsidRDefault="00F53939" w:rsidP="00A50D03">
            <w:pPr>
              <w:jc w:val="right"/>
              <w:rPr>
                <w:rFonts w:asciiTheme="minorHAnsi" w:hAnsiTheme="minorHAnsi" w:cstheme="minorHAnsi"/>
                <w:iCs/>
                <w:color w:val="FF0000"/>
                <w:sz w:val="20"/>
                <w:szCs w:val="20"/>
              </w:rPr>
            </w:pPr>
          </w:p>
        </w:tc>
      </w:tr>
      <w:tr w:rsidR="00F53939" w:rsidRPr="005E46B1" w14:paraId="064E16E3" w14:textId="77777777" w:rsidTr="00DE5367">
        <w:trPr>
          <w:trHeight w:val="240"/>
        </w:trPr>
        <w:tc>
          <w:tcPr>
            <w:tcW w:w="2353" w:type="pct"/>
            <w:tcBorders>
              <w:top w:val="single" w:sz="4" w:space="0" w:color="auto"/>
              <w:left w:val="nil"/>
              <w:bottom w:val="single" w:sz="4" w:space="0" w:color="FFFFFF"/>
              <w:right w:val="nil"/>
            </w:tcBorders>
            <w:vAlign w:val="center"/>
          </w:tcPr>
          <w:p w14:paraId="1002EA79"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Interest income</w:t>
            </w:r>
          </w:p>
        </w:tc>
        <w:tc>
          <w:tcPr>
            <w:tcW w:w="626" w:type="pct"/>
            <w:tcBorders>
              <w:top w:val="single" w:sz="4" w:space="0" w:color="auto"/>
              <w:left w:val="nil"/>
              <w:bottom w:val="nil"/>
              <w:right w:val="nil"/>
            </w:tcBorders>
            <w:shd w:val="clear" w:color="auto" w:fill="F2F2F2" w:themeFill="background1" w:themeFillShade="F2"/>
          </w:tcPr>
          <w:p w14:paraId="5AE9E31F"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11.0</w:t>
            </w:r>
          </w:p>
        </w:tc>
        <w:tc>
          <w:tcPr>
            <w:tcW w:w="674" w:type="pct"/>
            <w:tcBorders>
              <w:top w:val="single" w:sz="4" w:space="0" w:color="auto"/>
              <w:left w:val="nil"/>
              <w:bottom w:val="single" w:sz="4" w:space="0" w:color="FFFFFF"/>
              <w:right w:val="nil"/>
            </w:tcBorders>
          </w:tcPr>
          <w:p w14:paraId="59BAFAD2"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4.6</w:t>
            </w:r>
          </w:p>
        </w:tc>
        <w:tc>
          <w:tcPr>
            <w:tcW w:w="674" w:type="pct"/>
            <w:tcBorders>
              <w:top w:val="single" w:sz="4" w:space="0" w:color="auto"/>
              <w:left w:val="nil"/>
              <w:bottom w:val="single" w:sz="4" w:space="0" w:color="FFFFFF"/>
              <w:right w:val="nil"/>
            </w:tcBorders>
          </w:tcPr>
          <w:p w14:paraId="75352CF7"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0.2</w:t>
            </w:r>
          </w:p>
        </w:tc>
        <w:tc>
          <w:tcPr>
            <w:tcW w:w="674" w:type="pct"/>
            <w:tcBorders>
              <w:top w:val="single" w:sz="4" w:space="0" w:color="auto"/>
              <w:left w:val="nil"/>
              <w:bottom w:val="single" w:sz="4" w:space="0" w:color="FFFFFF"/>
              <w:right w:val="nil"/>
            </w:tcBorders>
          </w:tcPr>
          <w:p w14:paraId="140B0867"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139</w:t>
            </w:r>
          </w:p>
        </w:tc>
      </w:tr>
      <w:tr w:rsidR="00F53939" w:rsidRPr="005E46B1" w14:paraId="35CFFB6B" w14:textId="77777777" w:rsidTr="00DE5367">
        <w:trPr>
          <w:trHeight w:val="240"/>
        </w:trPr>
        <w:tc>
          <w:tcPr>
            <w:tcW w:w="2353" w:type="pct"/>
            <w:tcBorders>
              <w:top w:val="single" w:sz="4" w:space="0" w:color="FFFFFF"/>
              <w:left w:val="nil"/>
              <w:bottom w:val="single" w:sz="4" w:space="0" w:color="auto"/>
              <w:right w:val="nil"/>
            </w:tcBorders>
            <w:vAlign w:val="center"/>
          </w:tcPr>
          <w:p w14:paraId="7CD0B02B"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Interest expense</w:t>
            </w:r>
          </w:p>
        </w:tc>
        <w:tc>
          <w:tcPr>
            <w:tcW w:w="626" w:type="pct"/>
            <w:tcBorders>
              <w:top w:val="nil"/>
              <w:left w:val="nil"/>
              <w:bottom w:val="single" w:sz="4" w:space="0" w:color="auto"/>
              <w:right w:val="nil"/>
            </w:tcBorders>
            <w:shd w:val="clear" w:color="auto" w:fill="F2F2F2" w:themeFill="background1" w:themeFillShade="F2"/>
          </w:tcPr>
          <w:p w14:paraId="6D035A2E"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(6.7)</w:t>
            </w:r>
          </w:p>
        </w:tc>
        <w:tc>
          <w:tcPr>
            <w:tcW w:w="674" w:type="pct"/>
            <w:tcBorders>
              <w:top w:val="single" w:sz="4" w:space="0" w:color="FFFFFF"/>
              <w:left w:val="nil"/>
              <w:bottom w:val="single" w:sz="4" w:space="0" w:color="auto"/>
              <w:right w:val="nil"/>
            </w:tcBorders>
          </w:tcPr>
          <w:p w14:paraId="34A77A97"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(3.1)</w:t>
            </w:r>
          </w:p>
        </w:tc>
        <w:tc>
          <w:tcPr>
            <w:tcW w:w="674" w:type="pct"/>
            <w:tcBorders>
              <w:top w:val="single" w:sz="4" w:space="0" w:color="FFFFFF"/>
              <w:left w:val="nil"/>
              <w:bottom w:val="single" w:sz="4" w:space="0" w:color="auto"/>
              <w:right w:val="nil"/>
            </w:tcBorders>
          </w:tcPr>
          <w:p w14:paraId="1816D1A4"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(0.3)</w:t>
            </w:r>
          </w:p>
        </w:tc>
        <w:tc>
          <w:tcPr>
            <w:tcW w:w="674" w:type="pct"/>
            <w:tcBorders>
              <w:top w:val="single" w:sz="4" w:space="0" w:color="FFFFFF"/>
              <w:left w:val="nil"/>
              <w:bottom w:val="single" w:sz="4" w:space="0" w:color="auto"/>
              <w:right w:val="nil"/>
            </w:tcBorders>
          </w:tcPr>
          <w:p w14:paraId="3E7551C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116</w:t>
            </w:r>
          </w:p>
        </w:tc>
      </w:tr>
      <w:tr w:rsidR="00F53939" w:rsidRPr="005E46B1" w14:paraId="50ECEF2D" w14:textId="77777777" w:rsidTr="00DE5367">
        <w:trPr>
          <w:trHeight w:val="240"/>
        </w:trPr>
        <w:tc>
          <w:tcPr>
            <w:tcW w:w="2353" w:type="pct"/>
            <w:tcBorders>
              <w:top w:val="single" w:sz="4" w:space="0" w:color="auto"/>
              <w:left w:val="nil"/>
              <w:bottom w:val="single" w:sz="4" w:space="0" w:color="FFFFFF"/>
              <w:right w:val="nil"/>
            </w:tcBorders>
            <w:vAlign w:val="center"/>
          </w:tcPr>
          <w:p w14:paraId="06ECF877" w14:textId="77777777" w:rsidR="00F53939" w:rsidRPr="00A27BDF" w:rsidRDefault="00F53939" w:rsidP="00A50D03">
            <w:pPr>
              <w:ind w:right="115"/>
              <w:rPr>
                <w:rFonts w:asciiTheme="minorHAnsi" w:eastAsia="Poppins" w:hAnsiTheme="minorHAnsi" w:cstheme="minorHAnsi"/>
                <w:b/>
                <w:sz w:val="20"/>
                <w:szCs w:val="20"/>
              </w:rPr>
            </w:pPr>
            <w:r w:rsidRPr="00A27BDF">
              <w:rPr>
                <w:rFonts w:asciiTheme="minorHAnsi" w:eastAsia="Poppins" w:hAnsiTheme="minorHAnsi" w:cstheme="minorHAnsi"/>
                <w:b/>
                <w:sz w:val="20"/>
                <w:szCs w:val="20"/>
              </w:rPr>
              <w:t>Net interest income</w:t>
            </w:r>
          </w:p>
        </w:tc>
        <w:tc>
          <w:tcPr>
            <w:tcW w:w="626" w:type="pct"/>
            <w:tcBorders>
              <w:top w:val="single" w:sz="4" w:space="0" w:color="auto"/>
              <w:left w:val="nil"/>
              <w:bottom w:val="nil"/>
              <w:right w:val="nil"/>
            </w:tcBorders>
            <w:shd w:val="clear" w:color="auto" w:fill="F2F2F2" w:themeFill="background1" w:themeFillShade="F2"/>
          </w:tcPr>
          <w:p w14:paraId="4C04905F"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4.3</w:t>
            </w:r>
          </w:p>
        </w:tc>
        <w:tc>
          <w:tcPr>
            <w:tcW w:w="674" w:type="pct"/>
            <w:tcBorders>
              <w:top w:val="single" w:sz="4" w:space="0" w:color="auto"/>
              <w:left w:val="nil"/>
              <w:bottom w:val="single" w:sz="4" w:space="0" w:color="FFFFFF"/>
              <w:right w:val="nil"/>
            </w:tcBorders>
          </w:tcPr>
          <w:p w14:paraId="66236D9E"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1.5</w:t>
            </w:r>
          </w:p>
        </w:tc>
        <w:tc>
          <w:tcPr>
            <w:tcW w:w="674" w:type="pct"/>
            <w:tcBorders>
              <w:top w:val="single" w:sz="4" w:space="0" w:color="auto"/>
              <w:left w:val="nil"/>
              <w:bottom w:val="single" w:sz="4" w:space="0" w:color="FFFFFF"/>
              <w:right w:val="nil"/>
            </w:tcBorders>
          </w:tcPr>
          <w:p w14:paraId="78312FD2"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(0.1)</w:t>
            </w:r>
          </w:p>
        </w:tc>
        <w:tc>
          <w:tcPr>
            <w:tcW w:w="674" w:type="pct"/>
            <w:tcBorders>
              <w:top w:val="single" w:sz="4" w:space="0" w:color="auto"/>
              <w:left w:val="nil"/>
              <w:bottom w:val="single" w:sz="4" w:space="0" w:color="FFFFFF"/>
              <w:right w:val="nil"/>
            </w:tcBorders>
          </w:tcPr>
          <w:p w14:paraId="12047AEF"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187</w:t>
            </w:r>
          </w:p>
        </w:tc>
      </w:tr>
      <w:tr w:rsidR="00F53939" w:rsidRPr="005E46B1" w14:paraId="51FF98EA" w14:textId="77777777" w:rsidTr="00DE5367">
        <w:trPr>
          <w:trHeight w:val="240"/>
        </w:trPr>
        <w:tc>
          <w:tcPr>
            <w:tcW w:w="2353" w:type="pct"/>
            <w:tcBorders>
              <w:top w:val="single" w:sz="4" w:space="0" w:color="FFFFFF"/>
              <w:left w:val="nil"/>
              <w:bottom w:val="single" w:sz="4" w:space="0" w:color="auto"/>
              <w:right w:val="nil"/>
            </w:tcBorders>
            <w:vAlign w:val="center"/>
          </w:tcPr>
          <w:p w14:paraId="2CA06EB6"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Non-interest income</w:t>
            </w:r>
          </w:p>
        </w:tc>
        <w:tc>
          <w:tcPr>
            <w:tcW w:w="626" w:type="pct"/>
            <w:tcBorders>
              <w:top w:val="nil"/>
              <w:left w:val="nil"/>
              <w:bottom w:val="single" w:sz="4" w:space="0" w:color="auto"/>
              <w:right w:val="nil"/>
            </w:tcBorders>
            <w:shd w:val="clear" w:color="auto" w:fill="F2F2F2" w:themeFill="background1" w:themeFillShade="F2"/>
          </w:tcPr>
          <w:p w14:paraId="21C3FC08"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0.2</w:t>
            </w:r>
          </w:p>
        </w:tc>
        <w:tc>
          <w:tcPr>
            <w:tcW w:w="674" w:type="pct"/>
            <w:tcBorders>
              <w:top w:val="single" w:sz="4" w:space="0" w:color="FFFFFF"/>
              <w:left w:val="nil"/>
              <w:bottom w:val="single" w:sz="4" w:space="0" w:color="auto"/>
              <w:right w:val="nil"/>
            </w:tcBorders>
          </w:tcPr>
          <w:p w14:paraId="76A8966B" w14:textId="77777777" w:rsidR="00F53939" w:rsidRPr="00A27BDF"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p>
        </w:tc>
        <w:tc>
          <w:tcPr>
            <w:tcW w:w="674" w:type="pct"/>
            <w:tcBorders>
              <w:top w:val="nil"/>
              <w:left w:val="nil"/>
              <w:bottom w:val="single" w:sz="4" w:space="0" w:color="auto"/>
              <w:right w:val="nil"/>
            </w:tcBorders>
          </w:tcPr>
          <w:p w14:paraId="3C9F8D1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p>
        </w:tc>
        <w:tc>
          <w:tcPr>
            <w:tcW w:w="674" w:type="pct"/>
            <w:tcBorders>
              <w:top w:val="nil"/>
              <w:left w:val="nil"/>
              <w:bottom w:val="single" w:sz="4" w:space="0" w:color="auto"/>
              <w:right w:val="nil"/>
            </w:tcBorders>
          </w:tcPr>
          <w:p w14:paraId="4FF3AB4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100</w:t>
            </w:r>
          </w:p>
        </w:tc>
      </w:tr>
      <w:tr w:rsidR="00F53939" w:rsidRPr="005E46B1" w14:paraId="530EFBDD" w14:textId="77777777" w:rsidTr="00DE5367">
        <w:trPr>
          <w:trHeight w:val="240"/>
        </w:trPr>
        <w:tc>
          <w:tcPr>
            <w:tcW w:w="2353" w:type="pct"/>
            <w:tcBorders>
              <w:top w:val="single" w:sz="4" w:space="0" w:color="auto"/>
              <w:left w:val="nil"/>
              <w:bottom w:val="single" w:sz="4" w:space="0" w:color="FFFFFF"/>
              <w:right w:val="nil"/>
            </w:tcBorders>
            <w:vAlign w:val="center"/>
          </w:tcPr>
          <w:p w14:paraId="559A3115" w14:textId="77777777" w:rsidR="00F53939" w:rsidRPr="00A27BDF" w:rsidRDefault="00F53939" w:rsidP="00A50D03">
            <w:pPr>
              <w:ind w:right="115"/>
              <w:rPr>
                <w:rFonts w:asciiTheme="minorHAnsi" w:eastAsia="Poppins" w:hAnsiTheme="minorHAnsi" w:cstheme="minorHAnsi"/>
                <w:b/>
                <w:sz w:val="20"/>
                <w:szCs w:val="20"/>
              </w:rPr>
            </w:pPr>
            <w:r w:rsidRPr="00A27BDF">
              <w:rPr>
                <w:rFonts w:asciiTheme="minorHAnsi" w:eastAsia="Poppins" w:hAnsiTheme="minorHAnsi" w:cstheme="minorHAnsi"/>
                <w:b/>
                <w:sz w:val="20"/>
                <w:szCs w:val="20"/>
              </w:rPr>
              <w:t>Total income</w:t>
            </w:r>
          </w:p>
        </w:tc>
        <w:tc>
          <w:tcPr>
            <w:tcW w:w="626" w:type="pct"/>
            <w:tcBorders>
              <w:top w:val="single" w:sz="4" w:space="0" w:color="auto"/>
              <w:left w:val="nil"/>
              <w:bottom w:val="nil"/>
              <w:right w:val="nil"/>
            </w:tcBorders>
            <w:shd w:val="clear" w:color="auto" w:fill="F2F2F2" w:themeFill="background1" w:themeFillShade="F2"/>
          </w:tcPr>
          <w:p w14:paraId="1759D7EF"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4.5</w:t>
            </w:r>
          </w:p>
        </w:tc>
        <w:tc>
          <w:tcPr>
            <w:tcW w:w="674" w:type="pct"/>
            <w:tcBorders>
              <w:top w:val="single" w:sz="4" w:space="0" w:color="auto"/>
              <w:left w:val="nil"/>
              <w:bottom w:val="single" w:sz="4" w:space="0" w:color="FFFFFF"/>
              <w:right w:val="nil"/>
            </w:tcBorders>
          </w:tcPr>
          <w:p w14:paraId="6CBDB57A"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1.5</w:t>
            </w:r>
          </w:p>
        </w:tc>
        <w:tc>
          <w:tcPr>
            <w:tcW w:w="674" w:type="pct"/>
            <w:tcBorders>
              <w:top w:val="single" w:sz="4" w:space="0" w:color="auto"/>
              <w:left w:val="nil"/>
              <w:bottom w:val="single" w:sz="4" w:space="0" w:color="FFFFFF"/>
              <w:right w:val="nil"/>
            </w:tcBorders>
          </w:tcPr>
          <w:p w14:paraId="44E7F85D"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(0.1)</w:t>
            </w:r>
          </w:p>
        </w:tc>
        <w:tc>
          <w:tcPr>
            <w:tcW w:w="674" w:type="pct"/>
            <w:tcBorders>
              <w:top w:val="single" w:sz="4" w:space="0" w:color="auto"/>
              <w:left w:val="nil"/>
              <w:bottom w:val="single" w:sz="4" w:space="0" w:color="FFFFFF"/>
              <w:right w:val="nil"/>
            </w:tcBorders>
          </w:tcPr>
          <w:p w14:paraId="122FE91F"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200</w:t>
            </w:r>
          </w:p>
        </w:tc>
      </w:tr>
      <w:tr w:rsidR="00F53939" w:rsidRPr="005E46B1" w14:paraId="48B2E51D" w14:textId="77777777" w:rsidTr="00DE5367">
        <w:trPr>
          <w:trHeight w:val="240"/>
        </w:trPr>
        <w:tc>
          <w:tcPr>
            <w:tcW w:w="2353" w:type="pct"/>
            <w:tcBorders>
              <w:top w:val="single" w:sz="4" w:space="0" w:color="FFFFFF"/>
              <w:left w:val="nil"/>
              <w:bottom w:val="single" w:sz="4" w:space="0" w:color="auto"/>
              <w:right w:val="nil"/>
            </w:tcBorders>
            <w:vAlign w:val="center"/>
          </w:tcPr>
          <w:p w14:paraId="00E13092"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Impairment charges</w:t>
            </w:r>
          </w:p>
        </w:tc>
        <w:tc>
          <w:tcPr>
            <w:tcW w:w="626" w:type="pct"/>
            <w:tcBorders>
              <w:top w:val="nil"/>
              <w:left w:val="nil"/>
              <w:bottom w:val="single" w:sz="4" w:space="0" w:color="auto"/>
              <w:right w:val="nil"/>
            </w:tcBorders>
            <w:shd w:val="clear" w:color="auto" w:fill="F2F2F2" w:themeFill="background1" w:themeFillShade="F2"/>
          </w:tcPr>
          <w:p w14:paraId="5A10F800"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(0.2)</w:t>
            </w:r>
          </w:p>
        </w:tc>
        <w:tc>
          <w:tcPr>
            <w:tcW w:w="674" w:type="pct"/>
            <w:tcBorders>
              <w:top w:val="single" w:sz="4" w:space="0" w:color="FFFFFF"/>
              <w:left w:val="nil"/>
              <w:bottom w:val="single" w:sz="4" w:space="0" w:color="auto"/>
              <w:right w:val="nil"/>
            </w:tcBorders>
          </w:tcPr>
          <w:p w14:paraId="58070339" w14:textId="77777777" w:rsidR="00F53939" w:rsidRPr="00A27BDF"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r w:rsidRPr="00A27BDF">
              <w:rPr>
                <w:rFonts w:asciiTheme="minorHAnsi" w:hAnsiTheme="minorHAnsi" w:cstheme="minorHAnsi"/>
                <w:iCs/>
                <w:sz w:val="20"/>
                <w:szCs w:val="20"/>
              </w:rPr>
              <w:t>0.2</w:t>
            </w:r>
            <w:r>
              <w:rPr>
                <w:rFonts w:asciiTheme="minorHAnsi" w:hAnsiTheme="minorHAnsi" w:cstheme="minorHAnsi"/>
                <w:iCs/>
                <w:sz w:val="20"/>
                <w:szCs w:val="20"/>
              </w:rPr>
              <w:t>)</w:t>
            </w:r>
          </w:p>
        </w:tc>
        <w:tc>
          <w:tcPr>
            <w:tcW w:w="674" w:type="pct"/>
            <w:tcBorders>
              <w:top w:val="single" w:sz="4" w:space="0" w:color="FFFFFF"/>
              <w:left w:val="nil"/>
              <w:bottom w:val="single" w:sz="4" w:space="0" w:color="auto"/>
              <w:right w:val="nil"/>
            </w:tcBorders>
          </w:tcPr>
          <w:p w14:paraId="2013843D"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w:t>
            </w:r>
          </w:p>
        </w:tc>
        <w:tc>
          <w:tcPr>
            <w:tcW w:w="674" w:type="pct"/>
            <w:tcBorders>
              <w:top w:val="single" w:sz="4" w:space="0" w:color="FFFFFF"/>
              <w:left w:val="nil"/>
              <w:bottom w:val="single" w:sz="4" w:space="0" w:color="auto"/>
              <w:right w:val="nil"/>
            </w:tcBorders>
          </w:tcPr>
          <w:p w14:paraId="27C4EC88"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p>
        </w:tc>
      </w:tr>
      <w:tr w:rsidR="00F53939" w:rsidRPr="005E46B1" w14:paraId="58DA8BCD" w14:textId="77777777" w:rsidTr="00DE5367">
        <w:trPr>
          <w:trHeight w:val="240"/>
        </w:trPr>
        <w:tc>
          <w:tcPr>
            <w:tcW w:w="2353" w:type="pct"/>
            <w:tcBorders>
              <w:top w:val="single" w:sz="4" w:space="0" w:color="auto"/>
              <w:left w:val="nil"/>
              <w:bottom w:val="single" w:sz="4" w:space="0" w:color="FFFFFF"/>
              <w:right w:val="nil"/>
            </w:tcBorders>
            <w:vAlign w:val="center"/>
          </w:tcPr>
          <w:p w14:paraId="120C5CDC" w14:textId="77777777" w:rsidR="00F53939" w:rsidRPr="00A27BDF" w:rsidRDefault="00F53939" w:rsidP="00A50D03">
            <w:pPr>
              <w:ind w:right="115"/>
              <w:rPr>
                <w:rFonts w:asciiTheme="minorHAnsi" w:eastAsia="Poppins" w:hAnsiTheme="minorHAnsi" w:cstheme="minorHAnsi"/>
                <w:b/>
                <w:sz w:val="20"/>
                <w:szCs w:val="20"/>
              </w:rPr>
            </w:pPr>
            <w:r w:rsidRPr="00A27BDF">
              <w:rPr>
                <w:rFonts w:asciiTheme="minorHAnsi" w:eastAsia="Poppins" w:hAnsiTheme="minorHAnsi" w:cstheme="minorHAnsi"/>
                <w:b/>
                <w:sz w:val="20"/>
                <w:szCs w:val="20"/>
              </w:rPr>
              <w:t>Risk adjusted income</w:t>
            </w:r>
          </w:p>
        </w:tc>
        <w:tc>
          <w:tcPr>
            <w:tcW w:w="626" w:type="pct"/>
            <w:tcBorders>
              <w:top w:val="single" w:sz="4" w:space="0" w:color="auto"/>
              <w:left w:val="nil"/>
              <w:bottom w:val="nil"/>
              <w:right w:val="nil"/>
            </w:tcBorders>
            <w:shd w:val="clear" w:color="auto" w:fill="F2F2F2" w:themeFill="background1" w:themeFillShade="F2"/>
          </w:tcPr>
          <w:p w14:paraId="7F5316CB"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4.3</w:t>
            </w:r>
          </w:p>
        </w:tc>
        <w:tc>
          <w:tcPr>
            <w:tcW w:w="674" w:type="pct"/>
            <w:tcBorders>
              <w:top w:val="single" w:sz="4" w:space="0" w:color="auto"/>
              <w:left w:val="nil"/>
              <w:bottom w:val="single" w:sz="4" w:space="0" w:color="FFFFFF"/>
              <w:right w:val="nil"/>
            </w:tcBorders>
          </w:tcPr>
          <w:p w14:paraId="319E76C3"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1.3</w:t>
            </w:r>
          </w:p>
        </w:tc>
        <w:tc>
          <w:tcPr>
            <w:tcW w:w="674" w:type="pct"/>
            <w:tcBorders>
              <w:top w:val="single" w:sz="4" w:space="0" w:color="auto"/>
              <w:left w:val="nil"/>
              <w:bottom w:val="single" w:sz="4" w:space="0" w:color="FFFFFF"/>
              <w:right w:val="nil"/>
            </w:tcBorders>
          </w:tcPr>
          <w:p w14:paraId="273EEAFC"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(0.1)</w:t>
            </w:r>
          </w:p>
        </w:tc>
        <w:tc>
          <w:tcPr>
            <w:tcW w:w="674" w:type="pct"/>
            <w:tcBorders>
              <w:top w:val="single" w:sz="4" w:space="0" w:color="auto"/>
              <w:left w:val="nil"/>
              <w:bottom w:val="single" w:sz="4" w:space="0" w:color="FFFFFF"/>
              <w:right w:val="nil"/>
            </w:tcBorders>
          </w:tcPr>
          <w:p w14:paraId="33C99EB6"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231</w:t>
            </w:r>
          </w:p>
        </w:tc>
      </w:tr>
      <w:tr w:rsidR="00F53939" w:rsidRPr="005E46B1" w14:paraId="3A9CB938" w14:textId="77777777" w:rsidTr="00DE5367">
        <w:trPr>
          <w:trHeight w:val="240"/>
        </w:trPr>
        <w:tc>
          <w:tcPr>
            <w:tcW w:w="2353" w:type="pct"/>
            <w:tcBorders>
              <w:top w:val="single" w:sz="4" w:space="0" w:color="FFFFFF"/>
              <w:left w:val="nil"/>
              <w:bottom w:val="single" w:sz="4" w:space="0" w:color="auto"/>
              <w:right w:val="nil"/>
            </w:tcBorders>
            <w:vAlign w:val="center"/>
          </w:tcPr>
          <w:p w14:paraId="53320F96"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Operating costs</w:t>
            </w:r>
          </w:p>
        </w:tc>
        <w:tc>
          <w:tcPr>
            <w:tcW w:w="626" w:type="pct"/>
            <w:tcBorders>
              <w:top w:val="nil"/>
              <w:left w:val="nil"/>
              <w:bottom w:val="single" w:sz="4" w:space="0" w:color="auto"/>
              <w:right w:val="nil"/>
            </w:tcBorders>
            <w:shd w:val="clear" w:color="auto" w:fill="F2F2F2" w:themeFill="background1" w:themeFillShade="F2"/>
          </w:tcPr>
          <w:p w14:paraId="428CDEB6"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(1.9)</w:t>
            </w:r>
          </w:p>
        </w:tc>
        <w:tc>
          <w:tcPr>
            <w:tcW w:w="674" w:type="pct"/>
            <w:tcBorders>
              <w:top w:val="single" w:sz="4" w:space="0" w:color="FFFFFF"/>
              <w:left w:val="nil"/>
              <w:bottom w:val="single" w:sz="4" w:space="0" w:color="auto"/>
              <w:right w:val="nil"/>
            </w:tcBorders>
          </w:tcPr>
          <w:p w14:paraId="3148B134"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(0.4)</w:t>
            </w:r>
          </w:p>
        </w:tc>
        <w:tc>
          <w:tcPr>
            <w:tcW w:w="674" w:type="pct"/>
            <w:tcBorders>
              <w:top w:val="single" w:sz="4" w:space="0" w:color="FFFFFF"/>
              <w:left w:val="nil"/>
              <w:bottom w:val="single" w:sz="4" w:space="0" w:color="auto"/>
              <w:right w:val="nil"/>
            </w:tcBorders>
          </w:tcPr>
          <w:p w14:paraId="4CC2DD80"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(0.2)</w:t>
            </w:r>
          </w:p>
        </w:tc>
        <w:tc>
          <w:tcPr>
            <w:tcW w:w="674" w:type="pct"/>
            <w:tcBorders>
              <w:top w:val="single" w:sz="4" w:space="0" w:color="FFFFFF"/>
              <w:left w:val="nil"/>
              <w:bottom w:val="single" w:sz="4" w:space="0" w:color="auto"/>
              <w:right w:val="nil"/>
            </w:tcBorders>
          </w:tcPr>
          <w:p w14:paraId="6AB84785" w14:textId="664AF98F"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3</w:t>
            </w:r>
            <w:r w:rsidR="00206F36">
              <w:rPr>
                <w:rFonts w:asciiTheme="minorHAnsi" w:hAnsiTheme="minorHAnsi" w:cstheme="minorHAnsi"/>
                <w:iCs/>
                <w:sz w:val="20"/>
                <w:szCs w:val="20"/>
              </w:rPr>
              <w:t>75</w:t>
            </w:r>
          </w:p>
        </w:tc>
      </w:tr>
      <w:tr w:rsidR="00F53939" w:rsidRPr="005E46B1" w14:paraId="2DA3359E" w14:textId="77777777" w:rsidTr="00DE5367">
        <w:trPr>
          <w:trHeight w:val="240"/>
        </w:trPr>
        <w:tc>
          <w:tcPr>
            <w:tcW w:w="2353" w:type="pct"/>
            <w:tcBorders>
              <w:top w:val="single" w:sz="4" w:space="0" w:color="auto"/>
              <w:left w:val="nil"/>
              <w:bottom w:val="single" w:sz="4" w:space="0" w:color="auto"/>
              <w:right w:val="nil"/>
            </w:tcBorders>
            <w:vAlign w:val="center"/>
          </w:tcPr>
          <w:p w14:paraId="297A7582"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b/>
                <w:sz w:val="20"/>
                <w:szCs w:val="20"/>
              </w:rPr>
              <w:t>Profit/(loss) before tax contribution</w:t>
            </w:r>
          </w:p>
        </w:tc>
        <w:tc>
          <w:tcPr>
            <w:tcW w:w="626" w:type="pct"/>
            <w:tcBorders>
              <w:top w:val="single" w:sz="4" w:space="0" w:color="auto"/>
              <w:left w:val="nil"/>
              <w:bottom w:val="single" w:sz="4" w:space="0" w:color="auto"/>
              <w:right w:val="nil"/>
            </w:tcBorders>
            <w:shd w:val="clear" w:color="auto" w:fill="F2F2F2" w:themeFill="background1" w:themeFillShade="F2"/>
          </w:tcPr>
          <w:p w14:paraId="59FABFBC"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2.4</w:t>
            </w:r>
          </w:p>
        </w:tc>
        <w:tc>
          <w:tcPr>
            <w:tcW w:w="674" w:type="pct"/>
            <w:tcBorders>
              <w:top w:val="single" w:sz="4" w:space="0" w:color="auto"/>
              <w:left w:val="nil"/>
              <w:bottom w:val="single" w:sz="4" w:space="0" w:color="auto"/>
              <w:right w:val="nil"/>
            </w:tcBorders>
          </w:tcPr>
          <w:p w14:paraId="039A8264"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0.9</w:t>
            </w:r>
          </w:p>
        </w:tc>
        <w:tc>
          <w:tcPr>
            <w:tcW w:w="674" w:type="pct"/>
            <w:tcBorders>
              <w:top w:val="single" w:sz="4" w:space="0" w:color="auto"/>
              <w:left w:val="nil"/>
              <w:bottom w:val="single" w:sz="4" w:space="0" w:color="auto"/>
              <w:right w:val="nil"/>
            </w:tcBorders>
          </w:tcPr>
          <w:p w14:paraId="5988E9CD"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(0.3)</w:t>
            </w:r>
          </w:p>
        </w:tc>
        <w:tc>
          <w:tcPr>
            <w:tcW w:w="674" w:type="pct"/>
            <w:tcBorders>
              <w:top w:val="single" w:sz="4" w:space="0" w:color="auto"/>
              <w:left w:val="nil"/>
              <w:bottom w:val="single" w:sz="4" w:space="0" w:color="auto"/>
              <w:right w:val="nil"/>
            </w:tcBorders>
          </w:tcPr>
          <w:p w14:paraId="747E5581" w14:textId="197593DC" w:rsidR="00F53939" w:rsidRPr="00320CA7" w:rsidRDefault="005C7B9D" w:rsidP="00A50D03">
            <w:pPr>
              <w:jc w:val="right"/>
              <w:rPr>
                <w:rFonts w:asciiTheme="minorHAnsi" w:hAnsiTheme="minorHAnsi" w:cstheme="minorHAnsi"/>
                <w:iCs/>
                <w:sz w:val="20"/>
                <w:szCs w:val="20"/>
              </w:rPr>
            </w:pPr>
            <w:r>
              <w:rPr>
                <w:rFonts w:asciiTheme="minorHAnsi" w:hAnsiTheme="minorHAnsi" w:cstheme="minorHAnsi"/>
                <w:iCs/>
                <w:sz w:val="20"/>
                <w:szCs w:val="20"/>
              </w:rPr>
              <w:t>167</w:t>
            </w:r>
          </w:p>
        </w:tc>
      </w:tr>
      <w:tr w:rsidR="00F53939" w:rsidRPr="005E46B1" w14:paraId="4575A1A0" w14:textId="77777777" w:rsidTr="00DE5367">
        <w:trPr>
          <w:trHeight w:val="240"/>
        </w:trPr>
        <w:tc>
          <w:tcPr>
            <w:tcW w:w="2353" w:type="pct"/>
            <w:tcBorders>
              <w:top w:val="single" w:sz="4" w:space="0" w:color="auto"/>
              <w:left w:val="nil"/>
              <w:bottom w:val="single" w:sz="4" w:space="0" w:color="auto"/>
              <w:right w:val="nil"/>
            </w:tcBorders>
            <w:vAlign w:val="center"/>
          </w:tcPr>
          <w:p w14:paraId="694CBCB2" w14:textId="77777777" w:rsidR="00F53939" w:rsidRPr="00A27BDF" w:rsidRDefault="00F53939" w:rsidP="00A50D03">
            <w:pPr>
              <w:ind w:right="115"/>
              <w:rPr>
                <w:rFonts w:asciiTheme="minorHAnsi" w:eastAsia="Poppins" w:hAnsiTheme="minorHAnsi" w:cstheme="minorHAnsi"/>
                <w:sz w:val="20"/>
                <w:szCs w:val="20"/>
              </w:rPr>
            </w:pPr>
          </w:p>
        </w:tc>
        <w:tc>
          <w:tcPr>
            <w:tcW w:w="626" w:type="pct"/>
            <w:tcBorders>
              <w:top w:val="single" w:sz="4" w:space="0" w:color="auto"/>
              <w:left w:val="nil"/>
              <w:bottom w:val="single" w:sz="4" w:space="0" w:color="auto"/>
              <w:right w:val="nil"/>
            </w:tcBorders>
            <w:shd w:val="clear" w:color="auto" w:fill="F2F2F2" w:themeFill="background1" w:themeFillShade="F2"/>
          </w:tcPr>
          <w:p w14:paraId="3FEFF1C0" w14:textId="77777777" w:rsidR="00F53939" w:rsidRPr="00320CA7" w:rsidRDefault="00F53939" w:rsidP="00A50D03">
            <w:pPr>
              <w:jc w:val="right"/>
              <w:rPr>
                <w:rFonts w:asciiTheme="minorHAnsi" w:hAnsiTheme="minorHAnsi" w:cstheme="minorHAnsi"/>
                <w:b/>
                <w:sz w:val="20"/>
                <w:szCs w:val="20"/>
              </w:rPr>
            </w:pPr>
          </w:p>
        </w:tc>
        <w:tc>
          <w:tcPr>
            <w:tcW w:w="674" w:type="pct"/>
            <w:tcBorders>
              <w:top w:val="single" w:sz="4" w:space="0" w:color="auto"/>
              <w:left w:val="nil"/>
              <w:bottom w:val="single" w:sz="4" w:space="0" w:color="auto"/>
              <w:right w:val="nil"/>
            </w:tcBorders>
            <w:vAlign w:val="bottom"/>
          </w:tcPr>
          <w:p w14:paraId="731A1A9A" w14:textId="77777777" w:rsidR="00F53939" w:rsidRPr="00A27BDF" w:rsidRDefault="00F53939" w:rsidP="00A50D03">
            <w:pPr>
              <w:jc w:val="right"/>
              <w:rPr>
                <w:rFonts w:asciiTheme="minorHAnsi" w:hAnsiTheme="minorHAnsi" w:cstheme="minorHAnsi"/>
                <w:iCs/>
                <w:sz w:val="20"/>
                <w:szCs w:val="20"/>
              </w:rPr>
            </w:pPr>
          </w:p>
        </w:tc>
        <w:tc>
          <w:tcPr>
            <w:tcW w:w="674" w:type="pct"/>
            <w:tcBorders>
              <w:top w:val="single" w:sz="4" w:space="0" w:color="auto"/>
              <w:left w:val="nil"/>
              <w:bottom w:val="single" w:sz="4" w:space="0" w:color="auto"/>
              <w:right w:val="nil"/>
            </w:tcBorders>
          </w:tcPr>
          <w:p w14:paraId="4B7B8D91" w14:textId="77777777" w:rsidR="00F53939" w:rsidRPr="00A27BDF" w:rsidRDefault="00F53939" w:rsidP="00A50D03">
            <w:pPr>
              <w:jc w:val="right"/>
              <w:rPr>
                <w:rFonts w:asciiTheme="minorHAnsi" w:hAnsiTheme="minorHAnsi" w:cstheme="minorHAnsi"/>
                <w:iCs/>
                <w:sz w:val="20"/>
                <w:szCs w:val="20"/>
              </w:rPr>
            </w:pPr>
          </w:p>
        </w:tc>
        <w:tc>
          <w:tcPr>
            <w:tcW w:w="674" w:type="pct"/>
            <w:tcBorders>
              <w:top w:val="single" w:sz="4" w:space="0" w:color="auto"/>
              <w:left w:val="nil"/>
              <w:bottom w:val="single" w:sz="4" w:space="0" w:color="auto"/>
              <w:right w:val="nil"/>
            </w:tcBorders>
          </w:tcPr>
          <w:p w14:paraId="5DF2C4D2" w14:textId="77777777" w:rsidR="00F53939" w:rsidRPr="00320CA7" w:rsidRDefault="00F53939" w:rsidP="00A50D03">
            <w:pPr>
              <w:jc w:val="right"/>
              <w:rPr>
                <w:rFonts w:asciiTheme="minorHAnsi" w:hAnsiTheme="minorHAnsi" w:cstheme="minorHAnsi"/>
                <w:iCs/>
                <w:color w:val="FF0000"/>
                <w:sz w:val="20"/>
                <w:szCs w:val="20"/>
              </w:rPr>
            </w:pPr>
          </w:p>
        </w:tc>
      </w:tr>
      <w:tr w:rsidR="00F53939" w:rsidRPr="005E46B1" w14:paraId="4D72D40B" w14:textId="77777777" w:rsidTr="00DE5367">
        <w:trPr>
          <w:trHeight w:val="240"/>
        </w:trPr>
        <w:tc>
          <w:tcPr>
            <w:tcW w:w="2353" w:type="pct"/>
            <w:tcBorders>
              <w:top w:val="single" w:sz="4" w:space="0" w:color="auto"/>
              <w:left w:val="nil"/>
              <w:bottom w:val="single" w:sz="4" w:space="0" w:color="FFFFFF"/>
              <w:right w:val="nil"/>
            </w:tcBorders>
            <w:vAlign w:val="center"/>
          </w:tcPr>
          <w:p w14:paraId="4CC66232"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Asset yield (%)</w:t>
            </w:r>
            <w:r w:rsidRPr="00A27BDF">
              <w:rPr>
                <w:rFonts w:asciiTheme="minorHAnsi" w:eastAsia="Poppins" w:hAnsiTheme="minorHAnsi" w:cstheme="minorHAnsi"/>
                <w:sz w:val="20"/>
                <w:szCs w:val="20"/>
                <w:vertAlign w:val="superscript"/>
              </w:rPr>
              <w:t>2</w:t>
            </w:r>
          </w:p>
        </w:tc>
        <w:tc>
          <w:tcPr>
            <w:tcW w:w="626" w:type="pct"/>
            <w:tcBorders>
              <w:top w:val="single" w:sz="4" w:space="0" w:color="auto"/>
              <w:left w:val="nil"/>
              <w:bottom w:val="nil"/>
              <w:right w:val="nil"/>
            </w:tcBorders>
            <w:shd w:val="clear" w:color="auto" w:fill="F2F2F2" w:themeFill="background1" w:themeFillShade="F2"/>
          </w:tcPr>
          <w:p w14:paraId="71B207A8"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7.6</w:t>
            </w:r>
          </w:p>
        </w:tc>
        <w:tc>
          <w:tcPr>
            <w:tcW w:w="674" w:type="pct"/>
            <w:tcBorders>
              <w:top w:val="single" w:sz="4" w:space="0" w:color="auto"/>
              <w:left w:val="nil"/>
              <w:bottom w:val="single" w:sz="4" w:space="0" w:color="FFFFFF"/>
              <w:right w:val="nil"/>
            </w:tcBorders>
          </w:tcPr>
          <w:p w14:paraId="55DC9CA9"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7.6</w:t>
            </w:r>
          </w:p>
        </w:tc>
        <w:tc>
          <w:tcPr>
            <w:tcW w:w="674" w:type="pct"/>
            <w:tcBorders>
              <w:top w:val="single" w:sz="4" w:space="0" w:color="auto"/>
              <w:left w:val="nil"/>
              <w:bottom w:val="single" w:sz="4" w:space="0" w:color="FFFFFF"/>
              <w:right w:val="nil"/>
            </w:tcBorders>
          </w:tcPr>
          <w:p w14:paraId="0B72D724"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n/m</w:t>
            </w:r>
          </w:p>
        </w:tc>
        <w:tc>
          <w:tcPr>
            <w:tcW w:w="674" w:type="pct"/>
            <w:tcBorders>
              <w:top w:val="single" w:sz="4" w:space="0" w:color="auto"/>
              <w:left w:val="nil"/>
              <w:bottom w:val="single" w:sz="4" w:space="0" w:color="FFFFFF"/>
              <w:right w:val="nil"/>
            </w:tcBorders>
          </w:tcPr>
          <w:p w14:paraId="4FB42817"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p>
        </w:tc>
      </w:tr>
      <w:tr w:rsidR="00F53939" w:rsidRPr="005E46B1" w14:paraId="2842E0D2" w14:textId="77777777" w:rsidTr="00DE5367">
        <w:trPr>
          <w:trHeight w:val="240"/>
        </w:trPr>
        <w:tc>
          <w:tcPr>
            <w:tcW w:w="2353" w:type="pct"/>
            <w:tcBorders>
              <w:top w:val="nil"/>
              <w:left w:val="nil"/>
              <w:bottom w:val="single" w:sz="4" w:space="0" w:color="FFFFFF"/>
              <w:right w:val="nil"/>
            </w:tcBorders>
            <w:vAlign w:val="center"/>
          </w:tcPr>
          <w:p w14:paraId="493D9418"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lastRenderedPageBreak/>
              <w:t>Net interest margin (%)</w:t>
            </w:r>
            <w:r w:rsidRPr="00A27BDF">
              <w:rPr>
                <w:rFonts w:asciiTheme="minorHAnsi" w:eastAsia="Poppins" w:hAnsiTheme="minorHAnsi" w:cstheme="minorHAnsi"/>
                <w:sz w:val="20"/>
                <w:szCs w:val="20"/>
                <w:vertAlign w:val="superscript"/>
              </w:rPr>
              <w:t>3</w:t>
            </w:r>
          </w:p>
        </w:tc>
        <w:tc>
          <w:tcPr>
            <w:tcW w:w="626" w:type="pct"/>
            <w:tcBorders>
              <w:top w:val="nil"/>
              <w:left w:val="nil"/>
              <w:bottom w:val="nil"/>
              <w:right w:val="nil"/>
            </w:tcBorders>
            <w:shd w:val="clear" w:color="auto" w:fill="F2F2F2" w:themeFill="background1" w:themeFillShade="F2"/>
          </w:tcPr>
          <w:p w14:paraId="5A673E59"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3.0</w:t>
            </w:r>
          </w:p>
        </w:tc>
        <w:tc>
          <w:tcPr>
            <w:tcW w:w="674" w:type="pct"/>
            <w:tcBorders>
              <w:top w:val="nil"/>
              <w:left w:val="nil"/>
              <w:bottom w:val="single" w:sz="4" w:space="0" w:color="FFFFFF"/>
              <w:right w:val="nil"/>
            </w:tcBorders>
          </w:tcPr>
          <w:p w14:paraId="45CFD02C"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2.5</w:t>
            </w:r>
          </w:p>
        </w:tc>
        <w:tc>
          <w:tcPr>
            <w:tcW w:w="674" w:type="pct"/>
            <w:tcBorders>
              <w:top w:val="nil"/>
              <w:left w:val="nil"/>
              <w:bottom w:val="single" w:sz="4" w:space="0" w:color="FFFFFF"/>
              <w:right w:val="nil"/>
            </w:tcBorders>
          </w:tcPr>
          <w:p w14:paraId="5071FAC8"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n/m</w:t>
            </w:r>
          </w:p>
        </w:tc>
        <w:tc>
          <w:tcPr>
            <w:tcW w:w="674" w:type="pct"/>
            <w:tcBorders>
              <w:top w:val="nil"/>
              <w:left w:val="nil"/>
              <w:bottom w:val="single" w:sz="4" w:space="0" w:color="FFFFFF"/>
              <w:right w:val="nil"/>
            </w:tcBorders>
          </w:tcPr>
          <w:p w14:paraId="3FAE997B"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0.5</w:t>
            </w:r>
          </w:p>
        </w:tc>
      </w:tr>
      <w:tr w:rsidR="00F53939" w:rsidRPr="005E46B1" w14:paraId="74869120" w14:textId="77777777" w:rsidTr="00DE5367">
        <w:trPr>
          <w:trHeight w:val="240"/>
        </w:trPr>
        <w:tc>
          <w:tcPr>
            <w:tcW w:w="2353" w:type="pct"/>
            <w:tcBorders>
              <w:top w:val="nil"/>
              <w:left w:val="nil"/>
              <w:bottom w:val="single" w:sz="4" w:space="0" w:color="FFFFFF"/>
              <w:right w:val="nil"/>
            </w:tcBorders>
            <w:vAlign w:val="center"/>
          </w:tcPr>
          <w:p w14:paraId="28B7A9AA"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Total income margin (%)</w:t>
            </w:r>
            <w:r w:rsidRPr="00A27BDF">
              <w:rPr>
                <w:rFonts w:asciiTheme="minorHAnsi" w:eastAsia="Poppins" w:hAnsiTheme="minorHAnsi" w:cstheme="minorHAnsi"/>
                <w:sz w:val="20"/>
                <w:szCs w:val="20"/>
                <w:vertAlign w:val="superscript"/>
              </w:rPr>
              <w:t>4</w:t>
            </w:r>
          </w:p>
        </w:tc>
        <w:tc>
          <w:tcPr>
            <w:tcW w:w="626" w:type="pct"/>
            <w:tcBorders>
              <w:top w:val="nil"/>
              <w:left w:val="nil"/>
              <w:bottom w:val="nil"/>
              <w:right w:val="nil"/>
            </w:tcBorders>
            <w:shd w:val="clear" w:color="auto" w:fill="F2F2F2" w:themeFill="background1" w:themeFillShade="F2"/>
          </w:tcPr>
          <w:p w14:paraId="28F49C47"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3.1</w:t>
            </w:r>
          </w:p>
        </w:tc>
        <w:tc>
          <w:tcPr>
            <w:tcW w:w="674" w:type="pct"/>
            <w:tcBorders>
              <w:top w:val="nil"/>
              <w:left w:val="nil"/>
              <w:bottom w:val="single" w:sz="4" w:space="0" w:color="FFFFFF"/>
              <w:right w:val="nil"/>
            </w:tcBorders>
          </w:tcPr>
          <w:p w14:paraId="4B1C0824"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2.5</w:t>
            </w:r>
          </w:p>
        </w:tc>
        <w:tc>
          <w:tcPr>
            <w:tcW w:w="674" w:type="pct"/>
            <w:tcBorders>
              <w:top w:val="nil"/>
              <w:left w:val="nil"/>
              <w:bottom w:val="single" w:sz="4" w:space="0" w:color="FFFFFF"/>
              <w:right w:val="nil"/>
            </w:tcBorders>
          </w:tcPr>
          <w:p w14:paraId="0D711756"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n/m</w:t>
            </w:r>
          </w:p>
        </w:tc>
        <w:tc>
          <w:tcPr>
            <w:tcW w:w="674" w:type="pct"/>
            <w:tcBorders>
              <w:top w:val="nil"/>
              <w:left w:val="nil"/>
              <w:bottom w:val="single" w:sz="4" w:space="0" w:color="FFFFFF"/>
              <w:right w:val="nil"/>
            </w:tcBorders>
          </w:tcPr>
          <w:p w14:paraId="4698F1F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0.6</w:t>
            </w:r>
          </w:p>
        </w:tc>
      </w:tr>
      <w:tr w:rsidR="00F53939" w:rsidRPr="005E46B1" w14:paraId="0C42D046" w14:textId="77777777" w:rsidTr="00DE5367">
        <w:trPr>
          <w:trHeight w:val="240"/>
        </w:trPr>
        <w:tc>
          <w:tcPr>
            <w:tcW w:w="2353" w:type="pct"/>
            <w:tcBorders>
              <w:top w:val="single" w:sz="4" w:space="0" w:color="FFFFFF"/>
              <w:left w:val="nil"/>
              <w:bottom w:val="single" w:sz="4" w:space="0" w:color="FFFFFF"/>
              <w:right w:val="nil"/>
            </w:tcBorders>
            <w:vAlign w:val="center"/>
          </w:tcPr>
          <w:p w14:paraId="697A6C03"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Cost of risk (%)</w:t>
            </w:r>
            <w:r w:rsidRPr="00A27BDF">
              <w:rPr>
                <w:rFonts w:asciiTheme="minorHAnsi" w:eastAsia="Poppins" w:hAnsiTheme="minorHAnsi" w:cstheme="minorHAnsi"/>
                <w:sz w:val="20"/>
                <w:szCs w:val="20"/>
                <w:vertAlign w:val="superscript"/>
              </w:rPr>
              <w:t>5</w:t>
            </w:r>
          </w:p>
        </w:tc>
        <w:tc>
          <w:tcPr>
            <w:tcW w:w="626" w:type="pct"/>
            <w:tcBorders>
              <w:top w:val="nil"/>
              <w:left w:val="nil"/>
              <w:bottom w:val="nil"/>
              <w:right w:val="nil"/>
            </w:tcBorders>
            <w:shd w:val="clear" w:color="auto" w:fill="F2F2F2" w:themeFill="background1" w:themeFillShade="F2"/>
          </w:tcPr>
          <w:p w14:paraId="188EA4CE"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(0.1)</w:t>
            </w:r>
          </w:p>
        </w:tc>
        <w:tc>
          <w:tcPr>
            <w:tcW w:w="674" w:type="pct"/>
            <w:tcBorders>
              <w:top w:val="single" w:sz="4" w:space="0" w:color="FFFFFF"/>
              <w:left w:val="nil"/>
              <w:bottom w:val="single" w:sz="4" w:space="0" w:color="FFFFFF"/>
              <w:right w:val="nil"/>
            </w:tcBorders>
          </w:tcPr>
          <w:p w14:paraId="33553406"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(0.3)</w:t>
            </w:r>
          </w:p>
        </w:tc>
        <w:tc>
          <w:tcPr>
            <w:tcW w:w="674" w:type="pct"/>
            <w:tcBorders>
              <w:top w:val="single" w:sz="4" w:space="0" w:color="FFFFFF"/>
              <w:left w:val="nil"/>
              <w:bottom w:val="single" w:sz="4" w:space="0" w:color="FFFFFF"/>
              <w:right w:val="nil"/>
            </w:tcBorders>
          </w:tcPr>
          <w:p w14:paraId="66B9A511"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n/m</w:t>
            </w:r>
          </w:p>
        </w:tc>
        <w:tc>
          <w:tcPr>
            <w:tcW w:w="674" w:type="pct"/>
            <w:tcBorders>
              <w:top w:val="single" w:sz="4" w:space="0" w:color="FFFFFF"/>
              <w:left w:val="nil"/>
              <w:bottom w:val="single" w:sz="4" w:space="0" w:color="FFFFFF"/>
              <w:right w:val="nil"/>
            </w:tcBorders>
          </w:tcPr>
          <w:p w14:paraId="7AFE63A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0.2</w:t>
            </w:r>
          </w:p>
        </w:tc>
      </w:tr>
      <w:tr w:rsidR="00F53939" w:rsidRPr="005E46B1" w14:paraId="700557DD" w14:textId="77777777" w:rsidTr="00DE5367">
        <w:trPr>
          <w:trHeight w:val="240"/>
        </w:trPr>
        <w:tc>
          <w:tcPr>
            <w:tcW w:w="2353" w:type="pct"/>
            <w:tcBorders>
              <w:top w:val="single" w:sz="4" w:space="0" w:color="FFFFFF"/>
              <w:left w:val="nil"/>
              <w:bottom w:val="single" w:sz="4" w:space="0" w:color="FFFFFF"/>
              <w:right w:val="nil"/>
            </w:tcBorders>
            <w:vAlign w:val="center"/>
          </w:tcPr>
          <w:p w14:paraId="7A3CBA9C"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Risk adjusted margin (%)</w:t>
            </w:r>
            <w:r w:rsidRPr="00A27BDF">
              <w:rPr>
                <w:rFonts w:asciiTheme="minorHAnsi" w:eastAsia="Poppins" w:hAnsiTheme="minorHAnsi" w:cstheme="minorHAnsi"/>
                <w:sz w:val="20"/>
                <w:szCs w:val="20"/>
                <w:vertAlign w:val="superscript"/>
              </w:rPr>
              <w:t>6</w:t>
            </w:r>
          </w:p>
        </w:tc>
        <w:tc>
          <w:tcPr>
            <w:tcW w:w="626" w:type="pct"/>
            <w:tcBorders>
              <w:top w:val="nil"/>
              <w:left w:val="nil"/>
              <w:bottom w:val="nil"/>
              <w:right w:val="nil"/>
            </w:tcBorders>
            <w:shd w:val="clear" w:color="auto" w:fill="F2F2F2" w:themeFill="background1" w:themeFillShade="F2"/>
          </w:tcPr>
          <w:p w14:paraId="06CFE0D2"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3.0</w:t>
            </w:r>
          </w:p>
        </w:tc>
        <w:tc>
          <w:tcPr>
            <w:tcW w:w="674" w:type="pct"/>
            <w:tcBorders>
              <w:top w:val="single" w:sz="4" w:space="0" w:color="FFFFFF"/>
              <w:left w:val="nil"/>
              <w:bottom w:val="single" w:sz="4" w:space="0" w:color="FFFFFF"/>
              <w:right w:val="nil"/>
            </w:tcBorders>
          </w:tcPr>
          <w:p w14:paraId="6FF08C5D"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2.1</w:t>
            </w:r>
          </w:p>
        </w:tc>
        <w:tc>
          <w:tcPr>
            <w:tcW w:w="674" w:type="pct"/>
            <w:tcBorders>
              <w:top w:val="single" w:sz="4" w:space="0" w:color="FFFFFF"/>
              <w:left w:val="nil"/>
              <w:bottom w:val="single" w:sz="4" w:space="0" w:color="FFFFFF"/>
              <w:right w:val="nil"/>
            </w:tcBorders>
          </w:tcPr>
          <w:p w14:paraId="7A45AED6"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n/m</w:t>
            </w:r>
          </w:p>
        </w:tc>
        <w:tc>
          <w:tcPr>
            <w:tcW w:w="674" w:type="pct"/>
            <w:tcBorders>
              <w:top w:val="single" w:sz="4" w:space="0" w:color="FFFFFF"/>
              <w:left w:val="nil"/>
              <w:bottom w:val="single" w:sz="4" w:space="0" w:color="FFFFFF"/>
              <w:right w:val="nil"/>
            </w:tcBorders>
          </w:tcPr>
          <w:p w14:paraId="5E514D0A"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0.9</w:t>
            </w:r>
          </w:p>
        </w:tc>
      </w:tr>
      <w:tr w:rsidR="00F53939" w:rsidRPr="005E46B1" w14:paraId="5F4F1FEB" w14:textId="77777777" w:rsidTr="00DE5367">
        <w:trPr>
          <w:trHeight w:val="240"/>
        </w:trPr>
        <w:tc>
          <w:tcPr>
            <w:tcW w:w="2353" w:type="pct"/>
            <w:tcBorders>
              <w:top w:val="single" w:sz="4" w:space="0" w:color="FFFFFF"/>
              <w:left w:val="nil"/>
              <w:bottom w:val="single" w:sz="4" w:space="0" w:color="auto"/>
              <w:right w:val="nil"/>
            </w:tcBorders>
            <w:vAlign w:val="center"/>
          </w:tcPr>
          <w:p w14:paraId="1808B452" w14:textId="77777777" w:rsidR="00F53939" w:rsidRPr="00A27BDF" w:rsidRDefault="00F53939" w:rsidP="00A50D03">
            <w:pPr>
              <w:ind w:right="115"/>
              <w:rPr>
                <w:rFonts w:asciiTheme="minorHAnsi" w:eastAsia="Poppins" w:hAnsiTheme="minorHAnsi" w:cstheme="minorHAnsi"/>
                <w:sz w:val="20"/>
                <w:szCs w:val="20"/>
              </w:rPr>
            </w:pPr>
            <w:r w:rsidRPr="00A27BDF">
              <w:rPr>
                <w:rFonts w:asciiTheme="minorHAnsi" w:eastAsia="Poppins" w:hAnsiTheme="minorHAnsi" w:cstheme="minorHAnsi"/>
                <w:sz w:val="20"/>
                <w:szCs w:val="20"/>
              </w:rPr>
              <w:t>Cost: income ratio (%)</w:t>
            </w:r>
            <w:r w:rsidRPr="00A27BDF">
              <w:rPr>
                <w:rFonts w:asciiTheme="minorHAnsi" w:eastAsia="Poppins" w:hAnsiTheme="minorHAnsi" w:cstheme="minorHAnsi"/>
                <w:sz w:val="20"/>
                <w:szCs w:val="20"/>
                <w:vertAlign w:val="superscript"/>
              </w:rPr>
              <w:t>7</w:t>
            </w:r>
          </w:p>
        </w:tc>
        <w:tc>
          <w:tcPr>
            <w:tcW w:w="626" w:type="pct"/>
            <w:tcBorders>
              <w:top w:val="nil"/>
              <w:left w:val="nil"/>
              <w:bottom w:val="single" w:sz="4" w:space="0" w:color="auto"/>
              <w:right w:val="nil"/>
            </w:tcBorders>
            <w:shd w:val="clear" w:color="auto" w:fill="F2F2F2" w:themeFill="background1" w:themeFillShade="F2"/>
          </w:tcPr>
          <w:p w14:paraId="20FA6B28"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42.2</w:t>
            </w:r>
          </w:p>
        </w:tc>
        <w:tc>
          <w:tcPr>
            <w:tcW w:w="674" w:type="pct"/>
            <w:tcBorders>
              <w:top w:val="single" w:sz="4" w:space="0" w:color="FFFFFF"/>
              <w:left w:val="nil"/>
              <w:bottom w:val="single" w:sz="4" w:space="0" w:color="auto"/>
              <w:right w:val="nil"/>
            </w:tcBorders>
          </w:tcPr>
          <w:p w14:paraId="41EDAE4E" w14:textId="77777777" w:rsidR="00F53939" w:rsidRPr="00A27BDF"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26.7</w:t>
            </w:r>
          </w:p>
        </w:tc>
        <w:tc>
          <w:tcPr>
            <w:tcW w:w="674" w:type="pct"/>
            <w:tcBorders>
              <w:top w:val="single" w:sz="4" w:space="0" w:color="FFFFFF"/>
              <w:left w:val="nil"/>
              <w:bottom w:val="single" w:sz="4" w:space="0" w:color="auto"/>
              <w:right w:val="nil"/>
            </w:tcBorders>
          </w:tcPr>
          <w:p w14:paraId="5644B8D5" w14:textId="77777777" w:rsidR="00F53939" w:rsidRPr="00320CA7" w:rsidRDefault="00F53939" w:rsidP="00A50D03">
            <w:pPr>
              <w:jc w:val="right"/>
              <w:rPr>
                <w:rFonts w:asciiTheme="minorHAnsi" w:hAnsiTheme="minorHAnsi" w:cstheme="minorHAnsi"/>
                <w:iCs/>
                <w:sz w:val="20"/>
                <w:szCs w:val="20"/>
              </w:rPr>
            </w:pPr>
            <w:r w:rsidRPr="00A27BDF">
              <w:rPr>
                <w:rFonts w:asciiTheme="minorHAnsi" w:hAnsiTheme="minorHAnsi" w:cstheme="minorHAnsi"/>
                <w:iCs/>
                <w:sz w:val="20"/>
                <w:szCs w:val="20"/>
              </w:rPr>
              <w:t>n/m</w:t>
            </w:r>
          </w:p>
        </w:tc>
        <w:tc>
          <w:tcPr>
            <w:tcW w:w="674" w:type="pct"/>
            <w:tcBorders>
              <w:top w:val="single" w:sz="4" w:space="0" w:color="FFFFFF"/>
              <w:left w:val="nil"/>
              <w:bottom w:val="single" w:sz="4" w:space="0" w:color="auto"/>
              <w:right w:val="nil"/>
            </w:tcBorders>
          </w:tcPr>
          <w:p w14:paraId="25739CB2" w14:textId="6554DE21" w:rsidR="00F53939" w:rsidRPr="00320CA7" w:rsidRDefault="00E144D1" w:rsidP="00A50D03">
            <w:pPr>
              <w:jc w:val="right"/>
              <w:rPr>
                <w:rFonts w:asciiTheme="minorHAnsi" w:hAnsiTheme="minorHAnsi" w:cstheme="minorHAnsi"/>
                <w:iCs/>
                <w:sz w:val="20"/>
                <w:szCs w:val="20"/>
              </w:rPr>
            </w:pPr>
            <w:r>
              <w:rPr>
                <w:rFonts w:asciiTheme="minorHAnsi" w:hAnsiTheme="minorHAnsi" w:cstheme="minorHAnsi"/>
                <w:iCs/>
                <w:sz w:val="20"/>
                <w:szCs w:val="20"/>
              </w:rPr>
              <w:t>15.5</w:t>
            </w:r>
          </w:p>
        </w:tc>
      </w:tr>
    </w:tbl>
    <w:p w14:paraId="7988709B" w14:textId="77777777" w:rsidR="00F53939" w:rsidRDefault="00F53939" w:rsidP="00F53939"/>
    <w:p w14:paraId="1CDCAD23" w14:textId="77777777" w:rsidR="00DD6CA4" w:rsidRPr="00A166EB" w:rsidRDefault="00DD6CA4" w:rsidP="00DD6CA4">
      <w:pPr>
        <w:jc w:val="both"/>
        <w:rPr>
          <w:rFonts w:ascii="Calibri" w:eastAsia="Calibri" w:hAnsi="Calibri" w:cs="Calibri"/>
          <w:i/>
          <w:color w:val="000000" w:themeColor="text1"/>
          <w:sz w:val="18"/>
          <w:szCs w:val="18"/>
          <w:lang w:eastAsia="en-US"/>
        </w:rPr>
      </w:pPr>
      <w:r w:rsidRPr="00A166EB">
        <w:rPr>
          <w:rFonts w:ascii="Calibri" w:eastAsia="Calibri" w:hAnsi="Calibri" w:cs="Calibri"/>
          <w:i/>
          <w:color w:val="000000" w:themeColor="text1"/>
          <w:sz w:val="18"/>
          <w:szCs w:val="18"/>
          <w:vertAlign w:val="superscript"/>
          <w:lang w:eastAsia="en-US"/>
        </w:rPr>
        <w:t>1</w:t>
      </w:r>
      <w:r w:rsidRPr="00A166EB">
        <w:rPr>
          <w:rFonts w:ascii="Calibri" w:eastAsia="Calibri" w:hAnsi="Calibri" w:cs="Calibri"/>
          <w:i/>
          <w:color w:val="000000" w:themeColor="text1"/>
          <w:sz w:val="18"/>
          <w:szCs w:val="18"/>
          <w:lang w:eastAsia="en-US"/>
        </w:rPr>
        <w:t xml:space="preserve"> Average of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balances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 xml:space="preserve">31 December using a </w:t>
      </w:r>
      <w:r>
        <w:rPr>
          <w:rFonts w:ascii="Calibri" w:eastAsia="Calibri" w:hAnsi="Calibri" w:cs="Calibri"/>
          <w:i/>
          <w:color w:val="000000" w:themeColor="text1"/>
          <w:sz w:val="18"/>
          <w:szCs w:val="18"/>
          <w:lang w:eastAsia="en-US"/>
        </w:rPr>
        <w:t xml:space="preserve">7 </w:t>
      </w:r>
      <w:r w:rsidRPr="00A166EB">
        <w:rPr>
          <w:rFonts w:ascii="Calibri" w:eastAsia="Calibri" w:hAnsi="Calibri" w:cs="Calibri"/>
          <w:i/>
          <w:color w:val="000000" w:themeColor="text1"/>
          <w:sz w:val="18"/>
          <w:szCs w:val="18"/>
          <w:lang w:eastAsia="en-US"/>
        </w:rPr>
        <w:t>point month end average.</w:t>
      </w:r>
    </w:p>
    <w:p w14:paraId="58EAC9C4"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2</w:t>
      </w:r>
      <w:r w:rsidRPr="00A166EB">
        <w:rPr>
          <w:rFonts w:ascii="Calibri" w:eastAsia="Calibri" w:hAnsi="Calibri" w:cs="Calibri"/>
          <w:i/>
          <w:color w:val="000000" w:themeColor="text1"/>
          <w:sz w:val="18"/>
          <w:szCs w:val="18"/>
          <w:lang w:eastAsia="en-US"/>
        </w:rPr>
        <w:t xml:space="preserve"> Interest income from customer receivables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424B4AEE"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3</w:t>
      </w:r>
      <w:r w:rsidRPr="00A166EB">
        <w:rPr>
          <w:rFonts w:ascii="Calibri" w:eastAsia="Calibri" w:hAnsi="Calibri" w:cs="Calibri"/>
          <w:i/>
          <w:color w:val="000000" w:themeColor="text1"/>
          <w:sz w:val="18"/>
          <w:szCs w:val="18"/>
          <w:lang w:eastAsia="en-US"/>
        </w:rPr>
        <w:t xml:space="preserve"> Net interest income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5D86676C"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4</w:t>
      </w:r>
      <w:r w:rsidRPr="00A166EB">
        <w:rPr>
          <w:rFonts w:ascii="Calibri" w:eastAsia="Calibri" w:hAnsi="Calibri" w:cs="Calibri"/>
          <w:i/>
          <w:color w:val="000000" w:themeColor="text1"/>
          <w:sz w:val="18"/>
          <w:szCs w:val="18"/>
          <w:lang w:eastAsia="en-US"/>
        </w:rPr>
        <w:t xml:space="preserve"> Total income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30</w:t>
      </w:r>
      <w:r w:rsidRPr="00A166EB">
        <w:rPr>
          <w:rFonts w:ascii="Calibri" w:eastAsia="Calibri" w:hAnsi="Calibri" w:cs="Calibri"/>
          <w:i/>
          <w:color w:val="000000" w:themeColor="text1"/>
          <w:sz w:val="18"/>
          <w:szCs w:val="18"/>
          <w:lang w:eastAsia="en-US"/>
        </w:rPr>
        <w:t xml:space="preserve"> </w:t>
      </w:r>
      <w:r>
        <w:rPr>
          <w:rFonts w:ascii="Calibri" w:eastAsia="Calibri" w:hAnsi="Calibri" w:cs="Calibri"/>
          <w:i/>
          <w:color w:val="000000" w:themeColor="text1"/>
          <w:sz w:val="18"/>
          <w:szCs w:val="18"/>
          <w:lang w:eastAsia="en-US"/>
        </w:rPr>
        <w:t xml:space="preserve">June and 31 </w:t>
      </w:r>
      <w:r w:rsidRPr="00A166EB">
        <w:rPr>
          <w:rFonts w:ascii="Calibri" w:eastAsia="Calibri" w:hAnsi="Calibri" w:cs="Calibri"/>
          <w:i/>
          <w:color w:val="000000" w:themeColor="text1"/>
          <w:sz w:val="18"/>
          <w:szCs w:val="18"/>
          <w:lang w:eastAsia="en-US"/>
        </w:rPr>
        <w:t>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083A87B5"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5</w:t>
      </w:r>
      <w:r w:rsidRPr="00A166EB">
        <w:rPr>
          <w:rFonts w:ascii="Calibri" w:eastAsia="Calibri" w:hAnsi="Calibri" w:cs="Calibri"/>
          <w:i/>
          <w:color w:val="000000" w:themeColor="text1"/>
          <w:sz w:val="18"/>
          <w:szCs w:val="18"/>
          <w:lang w:eastAsia="en-US"/>
        </w:rPr>
        <w:t xml:space="preserve"> Impairment charges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 xml:space="preserve">earning </w:t>
      </w:r>
      <w:r>
        <w:rPr>
          <w:rFonts w:ascii="Calibri" w:eastAsia="Calibri" w:hAnsi="Calibri" w:cs="Calibri"/>
          <w:i/>
          <w:color w:val="000000" w:themeColor="text1"/>
          <w:sz w:val="18"/>
          <w:szCs w:val="18"/>
          <w:lang w:eastAsia="en-US"/>
        </w:rPr>
        <w:t>balances</w:t>
      </w:r>
      <w:r w:rsidRPr="00A166EB">
        <w:rPr>
          <w:rFonts w:ascii="Calibri" w:eastAsia="Calibri" w:hAnsi="Calibri" w:cs="Calibri"/>
          <w:i/>
          <w:color w:val="000000" w:themeColor="text1"/>
          <w:sz w:val="18"/>
          <w:szCs w:val="18"/>
          <w:lang w:eastAsia="en-US"/>
        </w:rPr>
        <w:t>.</w:t>
      </w:r>
    </w:p>
    <w:p w14:paraId="4874ECB1" w14:textId="77777777" w:rsidR="00DD6CA4"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6</w:t>
      </w:r>
      <w:r w:rsidRPr="00A166EB">
        <w:rPr>
          <w:rFonts w:ascii="Calibri" w:eastAsia="Calibri" w:hAnsi="Calibri" w:cs="Calibri"/>
          <w:i/>
          <w:color w:val="000000" w:themeColor="text1"/>
          <w:sz w:val="18"/>
          <w:szCs w:val="18"/>
          <w:lang w:eastAsia="en-US"/>
        </w:rPr>
        <w:t xml:space="preserve"> Total income less impairment charges for the </w:t>
      </w:r>
      <w:r>
        <w:rPr>
          <w:rFonts w:ascii="Calibri" w:eastAsia="Calibri" w:hAnsi="Calibri" w:cs="Calibri"/>
          <w:i/>
          <w:color w:val="000000" w:themeColor="text1"/>
          <w:sz w:val="18"/>
          <w:szCs w:val="18"/>
          <w:lang w:eastAsia="en-US"/>
        </w:rPr>
        <w:t>6</w:t>
      </w:r>
      <w:r w:rsidRPr="00A166EB">
        <w:rPr>
          <w:rFonts w:ascii="Calibri" w:eastAsia="Calibri" w:hAnsi="Calibri" w:cs="Calibri"/>
          <w:i/>
          <w:color w:val="000000" w:themeColor="text1"/>
          <w:sz w:val="18"/>
          <w:szCs w:val="18"/>
          <w:lang w:eastAsia="en-US"/>
        </w:rPr>
        <w:t xml:space="preserve"> months ended </w:t>
      </w:r>
      <w:r>
        <w:rPr>
          <w:rFonts w:ascii="Calibri" w:eastAsia="Calibri" w:hAnsi="Calibri" w:cs="Calibri"/>
          <w:i/>
          <w:color w:val="000000" w:themeColor="text1"/>
          <w:sz w:val="18"/>
          <w:szCs w:val="18"/>
          <w:lang w:eastAsia="en-US"/>
        </w:rPr>
        <w:t xml:space="preserve">30 June and </w:t>
      </w:r>
      <w:r w:rsidRPr="00A166EB">
        <w:rPr>
          <w:rFonts w:ascii="Calibri" w:eastAsia="Calibri" w:hAnsi="Calibri" w:cs="Calibri"/>
          <w:i/>
          <w:color w:val="000000" w:themeColor="text1"/>
          <w:sz w:val="18"/>
          <w:szCs w:val="18"/>
          <w:lang w:eastAsia="en-US"/>
        </w:rPr>
        <w:t>31 December as a percentage of average gross customer interest</w:t>
      </w:r>
      <w:r>
        <w:rPr>
          <w:rFonts w:ascii="Calibri" w:eastAsia="Calibri" w:hAnsi="Calibri" w:cs="Calibri"/>
          <w:i/>
          <w:color w:val="000000" w:themeColor="text1"/>
          <w:sz w:val="18"/>
          <w:szCs w:val="18"/>
          <w:lang w:eastAsia="en-US"/>
        </w:rPr>
        <w:t>-</w:t>
      </w:r>
      <w:r w:rsidRPr="00A166EB">
        <w:rPr>
          <w:rFonts w:ascii="Calibri" w:eastAsia="Calibri" w:hAnsi="Calibri" w:cs="Calibri"/>
          <w:i/>
          <w:color w:val="000000" w:themeColor="text1"/>
          <w:sz w:val="18"/>
          <w:szCs w:val="18"/>
          <w:lang w:eastAsia="en-US"/>
        </w:rPr>
        <w:t>earning</w:t>
      </w:r>
      <w:r>
        <w:rPr>
          <w:rFonts w:ascii="Calibri" w:eastAsia="Calibri" w:hAnsi="Calibri" w:cs="Calibri"/>
          <w:i/>
          <w:color w:val="000000" w:themeColor="text1"/>
          <w:sz w:val="18"/>
          <w:szCs w:val="18"/>
          <w:lang w:eastAsia="en-US"/>
        </w:rPr>
        <w:t xml:space="preserve"> balances</w:t>
      </w:r>
      <w:r w:rsidRPr="00A166EB">
        <w:rPr>
          <w:rFonts w:ascii="Calibri" w:eastAsia="Calibri" w:hAnsi="Calibri" w:cs="Calibri"/>
          <w:i/>
          <w:color w:val="000000" w:themeColor="text1"/>
          <w:sz w:val="18"/>
          <w:szCs w:val="18"/>
          <w:lang w:eastAsia="en-US"/>
        </w:rPr>
        <w:t>.</w:t>
      </w:r>
    </w:p>
    <w:p w14:paraId="48A91625" w14:textId="77777777" w:rsidR="00DD6CA4" w:rsidRPr="00A166EB" w:rsidRDefault="00DD6CA4" w:rsidP="00DD6CA4">
      <w:pPr>
        <w:jc w:val="both"/>
        <w:rPr>
          <w:rFonts w:ascii="Calibri" w:eastAsia="Calibri" w:hAnsi="Calibri" w:cs="Calibri"/>
          <w:i/>
          <w:color w:val="000000" w:themeColor="text1"/>
          <w:sz w:val="18"/>
          <w:szCs w:val="18"/>
          <w:lang w:eastAsia="en-US"/>
        </w:rPr>
      </w:pPr>
      <w:r>
        <w:rPr>
          <w:rFonts w:ascii="Calibri" w:eastAsia="Calibri" w:hAnsi="Calibri" w:cs="Calibri"/>
          <w:i/>
          <w:color w:val="000000" w:themeColor="text1"/>
          <w:sz w:val="18"/>
          <w:szCs w:val="18"/>
          <w:vertAlign w:val="superscript"/>
          <w:lang w:eastAsia="en-US"/>
        </w:rPr>
        <w:t xml:space="preserve">7 </w:t>
      </w:r>
      <w:r>
        <w:rPr>
          <w:rFonts w:ascii="Calibri" w:eastAsia="Calibri" w:hAnsi="Calibri" w:cs="Calibri"/>
          <w:i/>
          <w:color w:val="000000" w:themeColor="text1"/>
          <w:sz w:val="18"/>
          <w:szCs w:val="18"/>
          <w:lang w:eastAsia="en-US"/>
        </w:rPr>
        <w:t>O</w:t>
      </w:r>
      <w:r w:rsidRPr="0001189A">
        <w:rPr>
          <w:rFonts w:ascii="Calibri" w:eastAsia="Calibri" w:hAnsi="Calibri" w:cs="Calibri"/>
          <w:i/>
          <w:color w:val="000000" w:themeColor="text1"/>
          <w:sz w:val="18"/>
          <w:szCs w:val="18"/>
          <w:lang w:eastAsia="en-US"/>
        </w:rPr>
        <w:t xml:space="preserve">perating costs as a percentage of total income for the 6 months ended 30 June </w:t>
      </w:r>
      <w:r>
        <w:rPr>
          <w:rFonts w:ascii="Calibri" w:eastAsia="Calibri" w:hAnsi="Calibri" w:cs="Calibri"/>
          <w:i/>
          <w:color w:val="000000" w:themeColor="text1"/>
          <w:sz w:val="18"/>
          <w:szCs w:val="18"/>
          <w:lang w:eastAsia="en-US"/>
        </w:rPr>
        <w:t>and</w:t>
      </w:r>
      <w:r w:rsidRPr="0001189A">
        <w:rPr>
          <w:rFonts w:ascii="Calibri" w:eastAsia="Calibri" w:hAnsi="Calibri" w:cs="Calibri"/>
          <w:i/>
          <w:color w:val="000000" w:themeColor="text1"/>
          <w:sz w:val="18"/>
          <w:szCs w:val="18"/>
          <w:lang w:eastAsia="en-US"/>
        </w:rPr>
        <w:t xml:space="preserve"> 31 December.</w:t>
      </w:r>
    </w:p>
    <w:p w14:paraId="4775FCFB" w14:textId="77777777" w:rsidR="00F53939" w:rsidRDefault="00F53939" w:rsidP="00F53939">
      <w:pPr>
        <w:spacing w:line="259" w:lineRule="auto"/>
        <w:jc w:val="both"/>
        <w:rPr>
          <w:rFonts w:ascii="Calibri" w:eastAsia="Calibri" w:hAnsi="Calibri" w:cs="Calibri"/>
          <w:sz w:val="22"/>
          <w:szCs w:val="22"/>
        </w:rPr>
      </w:pPr>
    </w:p>
    <w:p w14:paraId="1FF7E617" w14:textId="77777777" w:rsidR="00F53939" w:rsidRDefault="00F53939" w:rsidP="00F53939">
      <w:pPr>
        <w:spacing w:line="259" w:lineRule="auto"/>
        <w:jc w:val="both"/>
        <w:rPr>
          <w:rFonts w:ascii="Calibri" w:eastAsia="Calibri" w:hAnsi="Calibri" w:cs="Calibri"/>
          <w:color w:val="FF0000"/>
          <w:sz w:val="20"/>
          <w:szCs w:val="20"/>
        </w:rPr>
      </w:pPr>
      <w:r w:rsidRPr="008C0E5B">
        <w:rPr>
          <w:rStyle w:val="Strong"/>
          <w:rFonts w:asciiTheme="minorHAnsi" w:hAnsiTheme="minorHAnsi"/>
          <w:b w:val="0"/>
          <w:bCs w:val="0"/>
          <w:sz w:val="20"/>
          <w:szCs w:val="20"/>
        </w:rPr>
        <w:t>All commentary relates to year-on-year performance unless otherwise stated.</w:t>
      </w:r>
    </w:p>
    <w:p w14:paraId="0442B46F" w14:textId="77777777" w:rsidR="00F53939" w:rsidRDefault="00F53939" w:rsidP="00F53939">
      <w:pPr>
        <w:spacing w:line="259" w:lineRule="auto"/>
        <w:jc w:val="both"/>
        <w:rPr>
          <w:rFonts w:ascii="Calibri" w:eastAsia="Calibri" w:hAnsi="Calibri" w:cs="Calibri"/>
          <w:color w:val="FF0000"/>
          <w:sz w:val="20"/>
          <w:szCs w:val="20"/>
        </w:rPr>
      </w:pPr>
    </w:p>
    <w:p w14:paraId="0E10C305" w14:textId="77777777" w:rsidR="00F53939" w:rsidRPr="00855DB5" w:rsidRDefault="00F53939" w:rsidP="00F53939">
      <w:pPr>
        <w:spacing w:line="259" w:lineRule="auto"/>
        <w:jc w:val="both"/>
        <w:rPr>
          <w:rFonts w:ascii="Calibri" w:eastAsia="Calibri" w:hAnsi="Calibri" w:cs="Calibri"/>
          <w:sz w:val="20"/>
          <w:szCs w:val="20"/>
        </w:rPr>
      </w:pPr>
      <w:r w:rsidRPr="00855DB5">
        <w:rPr>
          <w:rFonts w:ascii="Calibri" w:eastAsia="Calibri" w:hAnsi="Calibri" w:cs="Calibri"/>
          <w:sz w:val="20"/>
          <w:szCs w:val="20"/>
        </w:rPr>
        <w:t xml:space="preserve">Total customer numbers increased to 6.3k (June 2024: 0.6k) following the successful growth of the forward flow agreement with </w:t>
      </w:r>
      <w:proofErr w:type="spellStart"/>
      <w:r w:rsidRPr="00855DB5">
        <w:rPr>
          <w:rFonts w:asciiTheme="minorHAnsi" w:hAnsiTheme="minorHAnsi" w:cstheme="minorHAnsi"/>
          <w:sz w:val="20"/>
          <w:szCs w:val="20"/>
        </w:rPr>
        <w:t>Interbridge</w:t>
      </w:r>
      <w:proofErr w:type="spellEnd"/>
      <w:r w:rsidRPr="00855DB5">
        <w:rPr>
          <w:rFonts w:asciiTheme="minorHAnsi" w:hAnsiTheme="minorHAnsi" w:cstheme="minorHAnsi"/>
          <w:sz w:val="20"/>
          <w:szCs w:val="20"/>
        </w:rPr>
        <w:t xml:space="preserve"> Mortgages and expanded partnership with Selina Finance</w:t>
      </w:r>
      <w:r w:rsidRPr="00855DB5">
        <w:rPr>
          <w:rFonts w:ascii="Calibri" w:eastAsia="Calibri" w:hAnsi="Calibri" w:cs="Calibri"/>
          <w:sz w:val="20"/>
          <w:szCs w:val="20"/>
        </w:rPr>
        <w:t xml:space="preserve">.  </w:t>
      </w:r>
    </w:p>
    <w:p w14:paraId="34164F3D" w14:textId="77777777" w:rsidR="00F53939" w:rsidRPr="00855DB5" w:rsidRDefault="00F53939" w:rsidP="00F53939">
      <w:pPr>
        <w:spacing w:line="259" w:lineRule="auto"/>
        <w:jc w:val="both"/>
        <w:rPr>
          <w:rFonts w:ascii="Calibri" w:eastAsia="Calibri" w:hAnsi="Calibri" w:cs="Calibri"/>
          <w:sz w:val="20"/>
          <w:szCs w:val="20"/>
        </w:rPr>
      </w:pPr>
    </w:p>
    <w:p w14:paraId="56EAA862" w14:textId="0D7FD2A4" w:rsidR="00F53939" w:rsidRPr="00855DB5" w:rsidRDefault="00F53939" w:rsidP="00F53939">
      <w:pPr>
        <w:jc w:val="both"/>
        <w:rPr>
          <w:rFonts w:ascii="Calibri" w:eastAsia="Calibri" w:hAnsi="Calibri" w:cs="Calibri"/>
          <w:sz w:val="20"/>
          <w:szCs w:val="20"/>
        </w:rPr>
      </w:pPr>
      <w:r w:rsidRPr="00855DB5">
        <w:rPr>
          <w:rFonts w:ascii="Calibri" w:eastAsia="Calibri" w:hAnsi="Calibri" w:cs="Calibri"/>
          <w:sz w:val="20"/>
          <w:szCs w:val="20"/>
        </w:rPr>
        <w:t>Gross customer interest</w:t>
      </w:r>
      <w:r w:rsidR="00DE5367">
        <w:rPr>
          <w:rFonts w:ascii="Calibri" w:eastAsia="Calibri" w:hAnsi="Calibri" w:cs="Calibri"/>
          <w:sz w:val="20"/>
          <w:szCs w:val="20"/>
        </w:rPr>
        <w:t>-</w:t>
      </w:r>
      <w:r w:rsidRPr="00855DB5">
        <w:rPr>
          <w:rFonts w:ascii="Calibri" w:eastAsia="Calibri" w:hAnsi="Calibri" w:cs="Calibri"/>
          <w:sz w:val="20"/>
          <w:szCs w:val="20"/>
        </w:rPr>
        <w:t>earning balances increased to £3</w:t>
      </w:r>
      <w:r w:rsidR="00BA5B9B">
        <w:rPr>
          <w:rFonts w:ascii="Calibri" w:eastAsia="Calibri" w:hAnsi="Calibri" w:cs="Calibri"/>
          <w:sz w:val="20"/>
          <w:szCs w:val="20"/>
        </w:rPr>
        <w:t>71</w:t>
      </w:r>
      <w:r w:rsidRPr="00855DB5">
        <w:rPr>
          <w:rFonts w:ascii="Calibri" w:eastAsia="Calibri" w:hAnsi="Calibri" w:cs="Calibri"/>
          <w:sz w:val="20"/>
          <w:szCs w:val="20"/>
        </w:rPr>
        <w:t xml:space="preserve">m (June 2024: £30m) and net receivables increased to £385m (June 2024: £32m), which includes deferred acquisition costs. </w:t>
      </w:r>
    </w:p>
    <w:p w14:paraId="034A8D8C" w14:textId="77777777" w:rsidR="00F53939" w:rsidRPr="00855DB5" w:rsidRDefault="00F53939" w:rsidP="00F53939">
      <w:pPr>
        <w:jc w:val="both"/>
        <w:rPr>
          <w:rFonts w:ascii="Calibri" w:eastAsia="Calibri" w:hAnsi="Calibri" w:cs="Calibri"/>
          <w:sz w:val="20"/>
          <w:szCs w:val="20"/>
        </w:rPr>
      </w:pPr>
    </w:p>
    <w:p w14:paraId="5E24F472" w14:textId="77777777" w:rsidR="00F53939" w:rsidRPr="00855DB5" w:rsidRDefault="00F53939" w:rsidP="00F53939">
      <w:pPr>
        <w:jc w:val="both"/>
        <w:rPr>
          <w:rFonts w:ascii="Calibri" w:eastAsia="Calibri" w:hAnsi="Calibri" w:cs="Calibri"/>
          <w:sz w:val="20"/>
          <w:szCs w:val="20"/>
        </w:rPr>
      </w:pPr>
      <w:r w:rsidRPr="00855DB5">
        <w:rPr>
          <w:rFonts w:ascii="Calibri" w:eastAsia="Calibri" w:hAnsi="Calibri" w:cs="Calibri"/>
          <w:sz w:val="20"/>
          <w:szCs w:val="20"/>
        </w:rPr>
        <w:t xml:space="preserve">Total income increased to £4.5m (1H24: £(0.1)m).  Net interest margin </w:t>
      </w:r>
      <w:r>
        <w:rPr>
          <w:rFonts w:ascii="Calibri" w:eastAsia="Calibri" w:hAnsi="Calibri" w:cs="Calibri"/>
          <w:sz w:val="20"/>
          <w:szCs w:val="20"/>
        </w:rPr>
        <w:t xml:space="preserve">was </w:t>
      </w:r>
      <w:r w:rsidRPr="00855DB5">
        <w:rPr>
          <w:rFonts w:ascii="Calibri" w:eastAsia="Calibri" w:hAnsi="Calibri" w:cs="Calibri"/>
          <w:sz w:val="20"/>
          <w:szCs w:val="20"/>
        </w:rPr>
        <w:t xml:space="preserve">3.0% and total income margin </w:t>
      </w:r>
      <w:r>
        <w:rPr>
          <w:rFonts w:ascii="Calibri" w:eastAsia="Calibri" w:hAnsi="Calibri" w:cs="Calibri"/>
          <w:sz w:val="20"/>
          <w:szCs w:val="20"/>
        </w:rPr>
        <w:t>was</w:t>
      </w:r>
      <w:r w:rsidRPr="00855DB5">
        <w:rPr>
          <w:rFonts w:ascii="Calibri" w:eastAsia="Calibri" w:hAnsi="Calibri" w:cs="Calibri"/>
          <w:sz w:val="20"/>
          <w:szCs w:val="20"/>
        </w:rPr>
        <w:t xml:space="preserve"> 3.1%.</w:t>
      </w:r>
    </w:p>
    <w:p w14:paraId="4AC2A949" w14:textId="77777777" w:rsidR="00F53939" w:rsidRPr="007C0F27" w:rsidRDefault="00F53939" w:rsidP="00F53939">
      <w:pPr>
        <w:jc w:val="both"/>
        <w:rPr>
          <w:rFonts w:ascii="Calibri" w:eastAsia="Calibri" w:hAnsi="Calibri" w:cs="Calibri"/>
          <w:color w:val="FF0000"/>
          <w:sz w:val="20"/>
          <w:szCs w:val="20"/>
        </w:rPr>
      </w:pPr>
    </w:p>
    <w:p w14:paraId="28E52745" w14:textId="77777777" w:rsidR="00F53939" w:rsidRPr="0042417A" w:rsidRDefault="00F53939" w:rsidP="00F53939">
      <w:pPr>
        <w:jc w:val="both"/>
        <w:rPr>
          <w:rFonts w:ascii="Calibri" w:eastAsia="Calibri" w:hAnsi="Calibri" w:cs="Calibri"/>
          <w:sz w:val="20"/>
          <w:szCs w:val="20"/>
        </w:rPr>
      </w:pPr>
      <w:r w:rsidRPr="0042417A">
        <w:rPr>
          <w:rFonts w:ascii="Calibri" w:eastAsia="Calibri" w:hAnsi="Calibri" w:cs="Calibri"/>
          <w:sz w:val="20"/>
          <w:szCs w:val="20"/>
        </w:rPr>
        <w:t>Interest income increased to £11.0m (1H24: £0.2m) with an a</w:t>
      </w:r>
      <w:r w:rsidRPr="0042417A" w:rsidDel="00A904EF">
        <w:rPr>
          <w:rFonts w:ascii="Calibri" w:eastAsia="Calibri" w:hAnsi="Calibri" w:cs="Calibri"/>
          <w:sz w:val="20"/>
          <w:szCs w:val="20"/>
        </w:rPr>
        <w:t>sset yield</w:t>
      </w:r>
      <w:r w:rsidRPr="0042417A">
        <w:rPr>
          <w:rFonts w:ascii="Calibri" w:eastAsia="Calibri" w:hAnsi="Calibri" w:cs="Calibri"/>
          <w:sz w:val="20"/>
          <w:szCs w:val="20"/>
        </w:rPr>
        <w:t xml:space="preserve"> of</w:t>
      </w:r>
      <w:r w:rsidRPr="0042417A" w:rsidDel="00A904EF">
        <w:rPr>
          <w:rFonts w:ascii="Calibri" w:eastAsia="Calibri" w:hAnsi="Calibri" w:cs="Calibri"/>
          <w:sz w:val="20"/>
          <w:szCs w:val="20"/>
        </w:rPr>
        <w:t xml:space="preserve"> </w:t>
      </w:r>
      <w:r w:rsidRPr="0042417A">
        <w:rPr>
          <w:rFonts w:ascii="Calibri" w:eastAsia="Calibri" w:hAnsi="Calibri" w:cs="Calibri"/>
          <w:sz w:val="20"/>
          <w:szCs w:val="20"/>
        </w:rPr>
        <w:t>7.6</w:t>
      </w:r>
      <w:r w:rsidRPr="0042417A" w:rsidDel="00A904EF">
        <w:rPr>
          <w:rFonts w:ascii="Calibri" w:eastAsia="Calibri" w:hAnsi="Calibri" w:cs="Calibri"/>
          <w:sz w:val="20"/>
          <w:szCs w:val="20"/>
        </w:rPr>
        <w:t>%.</w:t>
      </w:r>
      <w:r w:rsidRPr="0042417A">
        <w:rPr>
          <w:rFonts w:ascii="Calibri" w:eastAsia="Calibri" w:hAnsi="Calibri" w:cs="Calibri"/>
          <w:sz w:val="20"/>
          <w:szCs w:val="20"/>
        </w:rPr>
        <w:t xml:space="preserve">  Interest expense was £6.7m (1H24: £0.3m).</w:t>
      </w:r>
    </w:p>
    <w:p w14:paraId="7A203C0F" w14:textId="77777777" w:rsidR="00F53939" w:rsidRPr="007C0F27" w:rsidRDefault="00F53939" w:rsidP="00F53939">
      <w:pPr>
        <w:jc w:val="both"/>
        <w:rPr>
          <w:rFonts w:ascii="Calibri" w:eastAsia="Calibri" w:hAnsi="Calibri" w:cs="Calibri"/>
          <w:color w:val="FF0000"/>
          <w:sz w:val="20"/>
          <w:szCs w:val="20"/>
        </w:rPr>
      </w:pPr>
    </w:p>
    <w:p w14:paraId="41ACFBEB" w14:textId="77777777" w:rsidR="00F53939" w:rsidRPr="006D30D8" w:rsidRDefault="00F53939" w:rsidP="00F53939">
      <w:pPr>
        <w:jc w:val="both"/>
        <w:rPr>
          <w:rFonts w:ascii="Calibri" w:eastAsia="Calibri" w:hAnsi="Calibri" w:cs="Calibri"/>
          <w:sz w:val="20"/>
          <w:szCs w:val="20"/>
        </w:rPr>
      </w:pPr>
      <w:r w:rsidRPr="006D30D8">
        <w:rPr>
          <w:rFonts w:ascii="Calibri" w:eastAsia="Calibri" w:hAnsi="Calibri" w:cs="Calibri"/>
          <w:sz w:val="20"/>
          <w:szCs w:val="20"/>
        </w:rPr>
        <w:t>Risk adjusted income increased to £4.3m (1H24: £(0.1)m), including impairment charges of £0.2m (1H24: £0.0m). Cost of risk was 0.1% and risk adjusted margin was 3.0%.</w:t>
      </w:r>
    </w:p>
    <w:p w14:paraId="24493293" w14:textId="77777777" w:rsidR="00F53939" w:rsidRPr="006D30D8" w:rsidRDefault="00F53939" w:rsidP="00F53939">
      <w:pPr>
        <w:jc w:val="both"/>
        <w:rPr>
          <w:rFonts w:ascii="Calibri" w:eastAsia="Calibri" w:hAnsi="Calibri" w:cs="Calibri"/>
          <w:sz w:val="20"/>
          <w:szCs w:val="20"/>
        </w:rPr>
      </w:pPr>
    </w:p>
    <w:p w14:paraId="272600D4" w14:textId="77777777" w:rsidR="00F53939" w:rsidRPr="006D30D8" w:rsidRDefault="00F53939" w:rsidP="00F53939">
      <w:pPr>
        <w:jc w:val="both"/>
        <w:rPr>
          <w:rFonts w:ascii="Calibri" w:eastAsia="Calibri" w:hAnsi="Calibri" w:cs="Calibri"/>
          <w:sz w:val="20"/>
          <w:szCs w:val="20"/>
        </w:rPr>
      </w:pPr>
      <w:r w:rsidRPr="006D30D8">
        <w:rPr>
          <w:rFonts w:ascii="Calibri" w:eastAsia="Calibri" w:hAnsi="Calibri" w:cs="Calibri"/>
          <w:sz w:val="20"/>
          <w:szCs w:val="20"/>
        </w:rPr>
        <w:t>Operating costs were £1.9m (1H24: £0.2m), reflecting the limited fixed costs associated with the business given the origination partnership arrangements in place.</w:t>
      </w:r>
    </w:p>
    <w:p w14:paraId="77FA8D2B" w14:textId="77777777" w:rsidR="00F53939" w:rsidRPr="006D30D8" w:rsidRDefault="00F53939" w:rsidP="00F53939">
      <w:pPr>
        <w:jc w:val="both"/>
        <w:rPr>
          <w:rFonts w:ascii="Calibri" w:eastAsia="Calibri" w:hAnsi="Calibri" w:cs="Calibri"/>
          <w:sz w:val="20"/>
          <w:szCs w:val="20"/>
        </w:rPr>
      </w:pPr>
    </w:p>
    <w:p w14:paraId="5474FCA0" w14:textId="493C203A" w:rsidR="00F53939" w:rsidRDefault="00F53939" w:rsidP="00F53939">
      <w:pPr>
        <w:jc w:val="both"/>
        <w:rPr>
          <w:rFonts w:ascii="Calibri" w:eastAsia="Calibri" w:hAnsi="Calibri" w:cs="Calibri"/>
          <w:color w:val="FF0000"/>
          <w:sz w:val="20"/>
          <w:szCs w:val="20"/>
        </w:rPr>
      </w:pPr>
      <w:r w:rsidRPr="006D30D8">
        <w:rPr>
          <w:rFonts w:ascii="Calibri" w:eastAsia="Calibri" w:hAnsi="Calibri" w:cs="Calibri"/>
          <w:sz w:val="20"/>
          <w:szCs w:val="20"/>
        </w:rPr>
        <w:t>Profit before tax contribution was £2.4m (1H24: loss contribution of £(0.3)m).</w:t>
      </w:r>
    </w:p>
    <w:p w14:paraId="21AC402A" w14:textId="77777777" w:rsidR="00F53939" w:rsidRDefault="00F53939" w:rsidP="00F53939">
      <w:pPr>
        <w:spacing w:line="259" w:lineRule="auto"/>
        <w:jc w:val="both"/>
        <w:rPr>
          <w:rFonts w:ascii="Calibri" w:eastAsia="Calibri" w:hAnsi="Calibri" w:cs="Calibri"/>
          <w:color w:val="FF0000"/>
          <w:sz w:val="20"/>
          <w:szCs w:val="20"/>
        </w:rPr>
      </w:pPr>
    </w:p>
    <w:p w14:paraId="51F4A2CE" w14:textId="4D67BA38" w:rsidR="00F53939" w:rsidRDefault="00F53939" w:rsidP="00F53939">
      <w:pPr>
        <w:spacing w:line="259" w:lineRule="auto"/>
        <w:jc w:val="both"/>
        <w:rPr>
          <w:rFonts w:asciiTheme="minorHAnsi" w:eastAsiaTheme="minorEastAsia" w:hAnsiTheme="minorHAnsi" w:cstheme="minorBidi"/>
          <w:b/>
          <w:bCs/>
          <w:color w:val="4747FF"/>
          <w:sz w:val="22"/>
          <w:szCs w:val="22"/>
          <w:lang w:eastAsia="en-US"/>
        </w:rPr>
      </w:pPr>
      <w:r>
        <w:rPr>
          <w:rFonts w:asciiTheme="minorHAnsi" w:eastAsiaTheme="minorEastAsia" w:hAnsiTheme="minorHAnsi" w:cstheme="minorBidi"/>
          <w:b/>
          <w:bCs/>
          <w:color w:val="4747FF"/>
          <w:sz w:val="22"/>
          <w:szCs w:val="22"/>
          <w:lang w:eastAsia="en-US"/>
        </w:rPr>
        <w:t>Corporate Centre</w:t>
      </w:r>
    </w:p>
    <w:p w14:paraId="4375E9AA" w14:textId="77777777" w:rsidR="00F53939" w:rsidRDefault="00F53939" w:rsidP="00F53939">
      <w:pPr>
        <w:pStyle w:val="subhead1"/>
        <w:rPr>
          <w:rFonts w:ascii="Calibri" w:eastAsia="Calibri" w:hAnsi="Calibri" w:cs="Calibri"/>
          <w:b w:val="0"/>
          <w:bCs w:val="0"/>
          <w:color w:val="auto"/>
          <w:sz w:val="20"/>
          <w:szCs w:val="20"/>
          <w:lang w:eastAsia="en-GB"/>
        </w:rPr>
      </w:pPr>
    </w:p>
    <w:tbl>
      <w:tblPr>
        <w:tblW w:w="5000" w:type="pct"/>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738"/>
        <w:gridCol w:w="1192"/>
        <w:gridCol w:w="1192"/>
        <w:gridCol w:w="1221"/>
        <w:gridCol w:w="1194"/>
        <w:gridCol w:w="1186"/>
      </w:tblGrid>
      <w:tr w:rsidR="00F53939" w:rsidRPr="00320CA7" w14:paraId="1164D383" w14:textId="77777777" w:rsidTr="003B7755">
        <w:trPr>
          <w:trHeight w:val="390"/>
        </w:trPr>
        <w:tc>
          <w:tcPr>
            <w:tcW w:w="1922" w:type="pct"/>
            <w:tcBorders>
              <w:top w:val="nil"/>
              <w:left w:val="nil"/>
              <w:bottom w:val="single" w:sz="4" w:space="0" w:color="auto"/>
              <w:right w:val="nil"/>
            </w:tcBorders>
            <w:tcMar>
              <w:top w:w="60" w:type="dxa"/>
              <w:bottom w:w="60" w:type="dxa"/>
            </w:tcMar>
            <w:vAlign w:val="bottom"/>
          </w:tcPr>
          <w:p w14:paraId="7FE923DD" w14:textId="77777777" w:rsidR="00F53939" w:rsidRPr="00320CA7" w:rsidRDefault="00F53939" w:rsidP="00A50D03">
            <w:pPr>
              <w:rPr>
                <w:rFonts w:asciiTheme="minorHAnsi" w:hAnsiTheme="minorHAnsi" w:cstheme="minorHAnsi"/>
                <w:b/>
                <w:bCs/>
                <w:sz w:val="20"/>
                <w:szCs w:val="20"/>
              </w:rPr>
            </w:pPr>
            <w:r w:rsidRPr="00320CA7">
              <w:rPr>
                <w:rFonts w:asciiTheme="minorHAnsi" w:eastAsia="Poppins" w:hAnsiTheme="minorHAnsi" w:cstheme="minorHAnsi"/>
                <w:b/>
                <w:bCs/>
                <w:sz w:val="20"/>
                <w:szCs w:val="20"/>
              </w:rPr>
              <w:t>Six months ended (£m)</w:t>
            </w:r>
          </w:p>
        </w:tc>
        <w:tc>
          <w:tcPr>
            <w:tcW w:w="613" w:type="pct"/>
            <w:tcBorders>
              <w:top w:val="nil"/>
              <w:left w:val="nil"/>
              <w:bottom w:val="single" w:sz="4" w:space="0" w:color="auto"/>
              <w:right w:val="nil"/>
            </w:tcBorders>
            <w:shd w:val="clear" w:color="auto" w:fill="F2F2F2" w:themeFill="background1" w:themeFillShade="F2"/>
            <w:vAlign w:val="center"/>
          </w:tcPr>
          <w:p w14:paraId="2E11C874" w14:textId="77777777" w:rsidR="00F53939" w:rsidRPr="00320CA7" w:rsidRDefault="00F53939" w:rsidP="00A50D03">
            <w:pPr>
              <w:ind w:right="115"/>
              <w:jc w:val="right"/>
              <w:rPr>
                <w:rFonts w:asciiTheme="minorHAnsi" w:eastAsia="Poppins" w:hAnsiTheme="minorHAnsi" w:cstheme="minorHAnsi"/>
                <w:sz w:val="20"/>
                <w:szCs w:val="20"/>
              </w:rPr>
            </w:pPr>
            <w:r w:rsidRPr="00320CA7">
              <w:rPr>
                <w:rFonts w:asciiTheme="minorHAnsi" w:eastAsia="Inter Medium" w:hAnsiTheme="minorHAnsi" w:cstheme="minorHAnsi"/>
                <w:b/>
                <w:kern w:val="24"/>
                <w:sz w:val="20"/>
                <w:szCs w:val="20"/>
              </w:rPr>
              <w:t>Jun-2</w:t>
            </w:r>
            <w:r>
              <w:rPr>
                <w:rFonts w:asciiTheme="minorHAnsi" w:eastAsia="Inter Medium" w:hAnsiTheme="minorHAnsi" w:cstheme="minorHAnsi"/>
                <w:b/>
                <w:kern w:val="24"/>
                <w:sz w:val="20"/>
                <w:szCs w:val="20"/>
              </w:rPr>
              <w:t>5</w:t>
            </w:r>
          </w:p>
        </w:tc>
        <w:tc>
          <w:tcPr>
            <w:tcW w:w="613" w:type="pct"/>
            <w:tcBorders>
              <w:top w:val="nil"/>
              <w:left w:val="nil"/>
              <w:bottom w:val="single" w:sz="4" w:space="0" w:color="auto"/>
              <w:right w:val="nil"/>
            </w:tcBorders>
            <w:vAlign w:val="center"/>
          </w:tcPr>
          <w:p w14:paraId="7B43C4A8" w14:textId="77777777" w:rsidR="00F53939" w:rsidRDefault="00F53939" w:rsidP="00A50D03">
            <w:pPr>
              <w:jc w:val="right"/>
              <w:rPr>
                <w:rFonts w:asciiTheme="minorHAnsi" w:hAnsiTheme="minorHAnsi" w:cstheme="minorHAnsi"/>
                <w:kern w:val="24"/>
                <w:sz w:val="20"/>
                <w:szCs w:val="20"/>
              </w:rPr>
            </w:pPr>
            <w:r w:rsidRPr="00320CA7">
              <w:rPr>
                <w:rFonts w:asciiTheme="minorHAnsi" w:hAnsiTheme="minorHAnsi" w:cstheme="minorHAnsi"/>
                <w:kern w:val="24"/>
                <w:sz w:val="20"/>
                <w:szCs w:val="20"/>
              </w:rPr>
              <w:t xml:space="preserve">Dec-24 </w:t>
            </w:r>
          </w:p>
          <w:p w14:paraId="71DC5BE9" w14:textId="77777777" w:rsidR="00F53939" w:rsidRPr="00320CA7" w:rsidRDefault="00F53939" w:rsidP="00A50D03">
            <w:pPr>
              <w:jc w:val="right"/>
              <w:rPr>
                <w:rFonts w:asciiTheme="minorHAnsi" w:eastAsia="Poppins" w:hAnsiTheme="minorHAnsi" w:cstheme="minorHAnsi"/>
                <w:sz w:val="20"/>
                <w:szCs w:val="20"/>
                <w:vertAlign w:val="superscript"/>
              </w:rPr>
            </w:pPr>
            <w:r w:rsidRPr="00320CA7">
              <w:rPr>
                <w:rFonts w:asciiTheme="minorHAnsi" w:hAnsiTheme="minorHAnsi" w:cstheme="minorHAnsi"/>
                <w:kern w:val="24"/>
                <w:sz w:val="20"/>
                <w:szCs w:val="20"/>
              </w:rPr>
              <w:t>(</w:t>
            </w:r>
            <w:r w:rsidRPr="00EE5ED5">
              <w:rPr>
                <w:rFonts w:asciiTheme="minorHAnsi" w:hAnsiTheme="minorHAnsi" w:cstheme="minorHAnsi"/>
                <w:kern w:val="24"/>
                <w:sz w:val="20"/>
                <w:szCs w:val="20"/>
              </w:rPr>
              <w:t>Re-presented</w:t>
            </w:r>
            <w:r w:rsidRPr="00320CA7">
              <w:rPr>
                <w:rFonts w:asciiTheme="minorHAnsi" w:hAnsiTheme="minorHAnsi" w:cstheme="minorHAnsi"/>
                <w:kern w:val="24"/>
                <w:sz w:val="20"/>
                <w:szCs w:val="20"/>
              </w:rPr>
              <w:t>)</w:t>
            </w:r>
          </w:p>
        </w:tc>
        <w:tc>
          <w:tcPr>
            <w:tcW w:w="628" w:type="pct"/>
            <w:tcBorders>
              <w:top w:val="nil"/>
              <w:left w:val="nil"/>
              <w:bottom w:val="single" w:sz="4" w:space="0" w:color="auto"/>
              <w:right w:val="nil"/>
            </w:tcBorders>
            <w:vAlign w:val="center"/>
          </w:tcPr>
          <w:p w14:paraId="2DBEF5A7" w14:textId="77777777" w:rsidR="00F53939" w:rsidRPr="00320CA7" w:rsidRDefault="00F53939" w:rsidP="00A50D03">
            <w:pPr>
              <w:ind w:right="115"/>
              <w:jc w:val="right"/>
              <w:rPr>
                <w:rFonts w:asciiTheme="minorHAnsi" w:eastAsia="Poppins" w:hAnsiTheme="minorHAnsi" w:cstheme="minorHAnsi"/>
                <w:iCs/>
                <w:sz w:val="20"/>
                <w:szCs w:val="20"/>
              </w:rPr>
            </w:pPr>
            <w:r w:rsidRPr="00320CA7">
              <w:rPr>
                <w:rFonts w:asciiTheme="minorHAnsi" w:hAnsiTheme="minorHAnsi" w:cstheme="minorHAnsi"/>
                <w:kern w:val="24"/>
                <w:sz w:val="20"/>
                <w:szCs w:val="20"/>
              </w:rPr>
              <w:t>Jun-24 (</w:t>
            </w:r>
            <w:r w:rsidRPr="00EE5ED5">
              <w:rPr>
                <w:rFonts w:asciiTheme="minorHAnsi" w:hAnsiTheme="minorHAnsi" w:cstheme="minorHAnsi"/>
                <w:kern w:val="24"/>
                <w:sz w:val="20"/>
                <w:szCs w:val="20"/>
              </w:rPr>
              <w:t>Re-presented</w:t>
            </w:r>
            <w:r w:rsidRPr="00320CA7">
              <w:rPr>
                <w:rFonts w:asciiTheme="minorHAnsi" w:hAnsiTheme="minorHAnsi" w:cstheme="minorHAnsi"/>
                <w:kern w:val="24"/>
                <w:sz w:val="20"/>
                <w:szCs w:val="20"/>
              </w:rPr>
              <w:t>)</w:t>
            </w:r>
          </w:p>
        </w:tc>
        <w:tc>
          <w:tcPr>
            <w:tcW w:w="614" w:type="pct"/>
            <w:tcBorders>
              <w:top w:val="nil"/>
              <w:left w:val="nil"/>
              <w:bottom w:val="single" w:sz="4" w:space="0" w:color="auto"/>
              <w:right w:val="nil"/>
            </w:tcBorders>
            <w:vAlign w:val="center"/>
          </w:tcPr>
          <w:p w14:paraId="11E2D2D3" w14:textId="77777777" w:rsidR="00F53939" w:rsidRPr="00320CA7" w:rsidRDefault="00F53939" w:rsidP="00A50D03">
            <w:pPr>
              <w:ind w:right="115"/>
              <w:jc w:val="right"/>
              <w:rPr>
                <w:rFonts w:asciiTheme="minorHAnsi" w:hAnsiTheme="minorHAnsi" w:cstheme="minorHAnsi"/>
                <w:kern w:val="24"/>
                <w:sz w:val="20"/>
                <w:szCs w:val="20"/>
              </w:rPr>
            </w:pPr>
            <w:proofErr w:type="spellStart"/>
            <w:r w:rsidRPr="00320CA7">
              <w:rPr>
                <w:rFonts w:asciiTheme="minorHAnsi" w:hAnsiTheme="minorHAnsi" w:cstheme="minorHAnsi"/>
                <w:kern w:val="24"/>
                <w:sz w:val="20"/>
                <w:szCs w:val="20"/>
              </w:rPr>
              <w:t>HoH</w:t>
            </w:r>
            <w:proofErr w:type="spellEnd"/>
          </w:p>
          <w:p w14:paraId="45BEA33F" w14:textId="77777777" w:rsidR="00F53939" w:rsidRPr="00320CA7" w:rsidRDefault="00F53939" w:rsidP="00A50D03">
            <w:pPr>
              <w:ind w:right="115"/>
              <w:jc w:val="right"/>
              <w:rPr>
                <w:rFonts w:asciiTheme="minorHAnsi" w:eastAsia="Poppins" w:hAnsiTheme="minorHAnsi" w:cstheme="minorHAnsi"/>
                <w:iCs/>
                <w:sz w:val="20"/>
                <w:szCs w:val="20"/>
              </w:rPr>
            </w:pPr>
            <w:r w:rsidRPr="00320CA7">
              <w:rPr>
                <w:rFonts w:asciiTheme="minorHAnsi" w:hAnsiTheme="minorHAnsi" w:cstheme="minorHAnsi"/>
                <w:kern w:val="24"/>
                <w:sz w:val="20"/>
                <w:szCs w:val="20"/>
              </w:rPr>
              <w:t xml:space="preserve">Change </w:t>
            </w:r>
            <w:r w:rsidRPr="00320CA7">
              <w:rPr>
                <w:rFonts w:asciiTheme="minorHAnsi" w:eastAsia="Inter Light BETA" w:hAnsiTheme="minorHAnsi" w:cstheme="minorHAnsi"/>
                <w:kern w:val="24"/>
                <w:sz w:val="20"/>
                <w:szCs w:val="20"/>
              </w:rPr>
              <w:t>%</w:t>
            </w:r>
          </w:p>
        </w:tc>
        <w:tc>
          <w:tcPr>
            <w:tcW w:w="610" w:type="pct"/>
            <w:tcBorders>
              <w:top w:val="nil"/>
              <w:left w:val="nil"/>
              <w:bottom w:val="single" w:sz="4" w:space="0" w:color="auto"/>
              <w:right w:val="nil"/>
            </w:tcBorders>
            <w:vAlign w:val="center"/>
          </w:tcPr>
          <w:p w14:paraId="3D898360" w14:textId="77777777" w:rsidR="00F53939" w:rsidRPr="00320CA7" w:rsidRDefault="00F53939" w:rsidP="00A50D03">
            <w:pPr>
              <w:ind w:right="115"/>
              <w:jc w:val="right"/>
              <w:rPr>
                <w:rFonts w:asciiTheme="minorHAnsi" w:hAnsiTheme="minorHAnsi" w:cstheme="minorHAnsi"/>
                <w:kern w:val="24"/>
                <w:sz w:val="20"/>
                <w:szCs w:val="20"/>
              </w:rPr>
            </w:pPr>
            <w:r w:rsidRPr="00320CA7">
              <w:rPr>
                <w:rFonts w:asciiTheme="minorHAnsi" w:hAnsiTheme="minorHAnsi" w:cstheme="minorHAnsi"/>
                <w:kern w:val="24"/>
                <w:sz w:val="20"/>
                <w:szCs w:val="20"/>
              </w:rPr>
              <w:t>YoY</w:t>
            </w:r>
          </w:p>
          <w:p w14:paraId="5F81CB65" w14:textId="77777777" w:rsidR="00F53939" w:rsidRPr="00320CA7" w:rsidRDefault="00F53939" w:rsidP="00A50D03">
            <w:pPr>
              <w:ind w:right="115"/>
              <w:jc w:val="right"/>
              <w:rPr>
                <w:rFonts w:asciiTheme="minorHAnsi" w:eastAsia="Poppins" w:hAnsiTheme="minorHAnsi" w:cstheme="minorHAnsi"/>
                <w:iCs/>
                <w:sz w:val="20"/>
                <w:szCs w:val="20"/>
              </w:rPr>
            </w:pPr>
            <w:r w:rsidRPr="00320CA7">
              <w:rPr>
                <w:rFonts w:asciiTheme="minorHAnsi" w:hAnsiTheme="minorHAnsi" w:cstheme="minorHAnsi"/>
                <w:kern w:val="24"/>
                <w:sz w:val="20"/>
                <w:szCs w:val="20"/>
              </w:rPr>
              <w:t xml:space="preserve">Change </w:t>
            </w:r>
            <w:r w:rsidRPr="00320CA7">
              <w:rPr>
                <w:rFonts w:asciiTheme="minorHAnsi" w:eastAsia="Inter Light BETA" w:hAnsiTheme="minorHAnsi" w:cstheme="minorHAnsi"/>
                <w:kern w:val="24"/>
                <w:sz w:val="20"/>
                <w:szCs w:val="20"/>
              </w:rPr>
              <w:t>%</w:t>
            </w:r>
          </w:p>
        </w:tc>
      </w:tr>
      <w:tr w:rsidR="00F53939" w:rsidRPr="00320CA7" w14:paraId="2AF118FF" w14:textId="77777777" w:rsidTr="003B7755">
        <w:trPr>
          <w:trHeight w:val="240"/>
        </w:trPr>
        <w:tc>
          <w:tcPr>
            <w:tcW w:w="1922" w:type="pct"/>
            <w:tcBorders>
              <w:top w:val="single" w:sz="4" w:space="0" w:color="auto"/>
              <w:left w:val="nil"/>
              <w:bottom w:val="single" w:sz="4" w:space="0" w:color="FFFFFF"/>
              <w:right w:val="nil"/>
            </w:tcBorders>
            <w:vAlign w:val="center"/>
          </w:tcPr>
          <w:p w14:paraId="6412F8B1" w14:textId="77777777" w:rsidR="00F53939" w:rsidRPr="0013356E" w:rsidRDefault="00F53939" w:rsidP="00A50D03">
            <w:pPr>
              <w:ind w:right="115"/>
              <w:rPr>
                <w:rFonts w:asciiTheme="minorHAnsi" w:eastAsia="Poppins" w:hAnsiTheme="minorHAnsi" w:cstheme="minorHAnsi"/>
                <w:sz w:val="20"/>
                <w:szCs w:val="20"/>
              </w:rPr>
            </w:pPr>
            <w:r w:rsidRPr="0013356E">
              <w:rPr>
                <w:rFonts w:asciiTheme="minorHAnsi" w:eastAsia="Poppins" w:hAnsiTheme="minorHAnsi" w:cstheme="minorHAnsi"/>
                <w:sz w:val="20"/>
                <w:szCs w:val="20"/>
              </w:rPr>
              <w:t>Interest income</w:t>
            </w:r>
          </w:p>
        </w:tc>
        <w:tc>
          <w:tcPr>
            <w:tcW w:w="613" w:type="pct"/>
            <w:tcBorders>
              <w:top w:val="single" w:sz="4" w:space="0" w:color="auto"/>
              <w:left w:val="nil"/>
              <w:bottom w:val="nil"/>
              <w:right w:val="nil"/>
            </w:tcBorders>
            <w:shd w:val="clear" w:color="auto" w:fill="F2F2F2" w:themeFill="background1" w:themeFillShade="F2"/>
          </w:tcPr>
          <w:p w14:paraId="46DB8FAB"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22.0</w:t>
            </w:r>
          </w:p>
        </w:tc>
        <w:tc>
          <w:tcPr>
            <w:tcW w:w="613" w:type="pct"/>
            <w:tcBorders>
              <w:top w:val="single" w:sz="4" w:space="0" w:color="auto"/>
              <w:left w:val="nil"/>
              <w:bottom w:val="single" w:sz="4" w:space="0" w:color="FFFFFF"/>
              <w:right w:val="nil"/>
            </w:tcBorders>
          </w:tcPr>
          <w:p w14:paraId="70236624" w14:textId="77777777" w:rsidR="00F53939" w:rsidRPr="00F8240B"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23.8</w:t>
            </w:r>
          </w:p>
        </w:tc>
        <w:tc>
          <w:tcPr>
            <w:tcW w:w="628" w:type="pct"/>
            <w:tcBorders>
              <w:top w:val="single" w:sz="4" w:space="0" w:color="auto"/>
              <w:left w:val="nil"/>
              <w:bottom w:val="single" w:sz="4" w:space="0" w:color="FFFFFF"/>
              <w:right w:val="nil"/>
            </w:tcBorders>
          </w:tcPr>
          <w:p w14:paraId="191256CF" w14:textId="77777777" w:rsidR="00F53939" w:rsidRPr="00320CA7"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22.5</w:t>
            </w:r>
          </w:p>
        </w:tc>
        <w:tc>
          <w:tcPr>
            <w:tcW w:w="614" w:type="pct"/>
            <w:tcBorders>
              <w:top w:val="single" w:sz="4" w:space="0" w:color="auto"/>
              <w:left w:val="nil"/>
              <w:bottom w:val="single" w:sz="4" w:space="0" w:color="FFFFFF"/>
              <w:right w:val="nil"/>
            </w:tcBorders>
          </w:tcPr>
          <w:p w14:paraId="6F99140B"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(8)</w:t>
            </w:r>
          </w:p>
        </w:tc>
        <w:tc>
          <w:tcPr>
            <w:tcW w:w="610" w:type="pct"/>
            <w:tcBorders>
              <w:top w:val="single" w:sz="4" w:space="0" w:color="auto"/>
              <w:left w:val="nil"/>
              <w:bottom w:val="single" w:sz="4" w:space="0" w:color="FFFFFF"/>
              <w:right w:val="nil"/>
            </w:tcBorders>
          </w:tcPr>
          <w:p w14:paraId="5EA2E9D2"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w:t>
            </w:r>
          </w:p>
        </w:tc>
      </w:tr>
      <w:tr w:rsidR="00F53939" w:rsidRPr="00320CA7" w14:paraId="23C5CABA" w14:textId="77777777" w:rsidTr="003B7755">
        <w:trPr>
          <w:trHeight w:val="240"/>
        </w:trPr>
        <w:tc>
          <w:tcPr>
            <w:tcW w:w="1922" w:type="pct"/>
            <w:tcBorders>
              <w:top w:val="single" w:sz="4" w:space="0" w:color="FFFFFF"/>
              <w:left w:val="nil"/>
              <w:bottom w:val="single" w:sz="4" w:space="0" w:color="auto"/>
              <w:right w:val="nil"/>
            </w:tcBorders>
            <w:vAlign w:val="center"/>
          </w:tcPr>
          <w:p w14:paraId="7E58C434" w14:textId="77777777" w:rsidR="00F53939" w:rsidRPr="0013356E" w:rsidRDefault="00F53939" w:rsidP="00A50D03">
            <w:pPr>
              <w:ind w:right="115"/>
              <w:rPr>
                <w:rFonts w:asciiTheme="minorHAnsi" w:eastAsia="Poppins" w:hAnsiTheme="minorHAnsi" w:cstheme="minorHAnsi"/>
                <w:sz w:val="20"/>
                <w:szCs w:val="20"/>
              </w:rPr>
            </w:pPr>
            <w:r w:rsidRPr="0013356E">
              <w:rPr>
                <w:rFonts w:asciiTheme="minorHAnsi" w:eastAsia="Poppins" w:hAnsiTheme="minorHAnsi" w:cstheme="minorHAnsi"/>
                <w:sz w:val="20"/>
                <w:szCs w:val="20"/>
              </w:rPr>
              <w:t>Interest expense</w:t>
            </w:r>
          </w:p>
        </w:tc>
        <w:tc>
          <w:tcPr>
            <w:tcW w:w="613" w:type="pct"/>
            <w:tcBorders>
              <w:top w:val="nil"/>
              <w:left w:val="nil"/>
              <w:bottom w:val="single" w:sz="4" w:space="0" w:color="auto"/>
              <w:right w:val="nil"/>
            </w:tcBorders>
            <w:shd w:val="clear" w:color="auto" w:fill="F2F2F2" w:themeFill="background1" w:themeFillShade="F2"/>
          </w:tcPr>
          <w:p w14:paraId="2E6BE95D"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(27.0)</w:t>
            </w:r>
          </w:p>
        </w:tc>
        <w:tc>
          <w:tcPr>
            <w:tcW w:w="613" w:type="pct"/>
            <w:tcBorders>
              <w:top w:val="single" w:sz="4" w:space="0" w:color="FFFFFF"/>
              <w:left w:val="nil"/>
              <w:bottom w:val="single" w:sz="4" w:space="0" w:color="auto"/>
              <w:right w:val="nil"/>
            </w:tcBorders>
          </w:tcPr>
          <w:p w14:paraId="7CE472F7" w14:textId="77777777" w:rsidR="00F53939" w:rsidRPr="00F8240B"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(28.2)</w:t>
            </w:r>
          </w:p>
        </w:tc>
        <w:tc>
          <w:tcPr>
            <w:tcW w:w="628" w:type="pct"/>
            <w:tcBorders>
              <w:top w:val="single" w:sz="4" w:space="0" w:color="FFFFFF"/>
              <w:left w:val="nil"/>
              <w:bottom w:val="single" w:sz="4" w:space="0" w:color="auto"/>
              <w:right w:val="nil"/>
            </w:tcBorders>
          </w:tcPr>
          <w:p w14:paraId="631B7A4B" w14:textId="77777777" w:rsidR="00F53939" w:rsidRPr="00320CA7"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(25.8)</w:t>
            </w:r>
          </w:p>
        </w:tc>
        <w:tc>
          <w:tcPr>
            <w:tcW w:w="614" w:type="pct"/>
            <w:tcBorders>
              <w:top w:val="single" w:sz="4" w:space="0" w:color="FFFFFF"/>
              <w:left w:val="nil"/>
              <w:bottom w:val="single" w:sz="4" w:space="0" w:color="auto"/>
              <w:right w:val="nil"/>
            </w:tcBorders>
          </w:tcPr>
          <w:p w14:paraId="302F8629"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w:t>
            </w:r>
          </w:p>
        </w:tc>
        <w:tc>
          <w:tcPr>
            <w:tcW w:w="610" w:type="pct"/>
            <w:tcBorders>
              <w:top w:val="single" w:sz="4" w:space="0" w:color="FFFFFF"/>
              <w:left w:val="nil"/>
              <w:bottom w:val="single" w:sz="4" w:space="0" w:color="auto"/>
              <w:right w:val="nil"/>
            </w:tcBorders>
          </w:tcPr>
          <w:p w14:paraId="2A3A907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w:t>
            </w:r>
          </w:p>
        </w:tc>
      </w:tr>
      <w:tr w:rsidR="00F53939" w:rsidRPr="00320CA7" w14:paraId="75DE743E" w14:textId="77777777" w:rsidTr="003B7755">
        <w:trPr>
          <w:trHeight w:val="240"/>
        </w:trPr>
        <w:tc>
          <w:tcPr>
            <w:tcW w:w="1922" w:type="pct"/>
            <w:tcBorders>
              <w:top w:val="single" w:sz="4" w:space="0" w:color="auto"/>
              <w:left w:val="nil"/>
              <w:bottom w:val="single" w:sz="4" w:space="0" w:color="FFFFFF"/>
              <w:right w:val="nil"/>
            </w:tcBorders>
            <w:vAlign w:val="center"/>
          </w:tcPr>
          <w:p w14:paraId="75FF07B3" w14:textId="77777777" w:rsidR="00F53939" w:rsidRPr="0013356E" w:rsidRDefault="00F53939" w:rsidP="00A50D03">
            <w:pPr>
              <w:ind w:right="115"/>
              <w:rPr>
                <w:rFonts w:asciiTheme="minorHAnsi" w:eastAsia="Poppins" w:hAnsiTheme="minorHAnsi" w:cstheme="minorHAnsi"/>
                <w:b/>
                <w:sz w:val="20"/>
                <w:szCs w:val="20"/>
              </w:rPr>
            </w:pPr>
            <w:r w:rsidRPr="0013356E">
              <w:rPr>
                <w:rFonts w:asciiTheme="minorHAnsi" w:eastAsia="Poppins" w:hAnsiTheme="minorHAnsi" w:cstheme="minorHAnsi"/>
                <w:b/>
                <w:sz w:val="20"/>
                <w:szCs w:val="20"/>
              </w:rPr>
              <w:t>Net interest income</w:t>
            </w:r>
          </w:p>
        </w:tc>
        <w:tc>
          <w:tcPr>
            <w:tcW w:w="613" w:type="pct"/>
            <w:tcBorders>
              <w:top w:val="single" w:sz="4" w:space="0" w:color="auto"/>
              <w:left w:val="nil"/>
              <w:bottom w:val="nil"/>
              <w:right w:val="nil"/>
            </w:tcBorders>
            <w:shd w:val="clear" w:color="auto" w:fill="F2F2F2" w:themeFill="background1" w:themeFillShade="F2"/>
          </w:tcPr>
          <w:p w14:paraId="53D75ED4"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(5.0)</w:t>
            </w:r>
          </w:p>
        </w:tc>
        <w:tc>
          <w:tcPr>
            <w:tcW w:w="613" w:type="pct"/>
            <w:tcBorders>
              <w:top w:val="single" w:sz="4" w:space="0" w:color="auto"/>
              <w:left w:val="nil"/>
              <w:bottom w:val="single" w:sz="4" w:space="0" w:color="FFFFFF"/>
              <w:right w:val="nil"/>
            </w:tcBorders>
          </w:tcPr>
          <w:p w14:paraId="085DCE26" w14:textId="77777777" w:rsidR="00F53939" w:rsidRPr="00F8240B"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(4.4)</w:t>
            </w:r>
          </w:p>
        </w:tc>
        <w:tc>
          <w:tcPr>
            <w:tcW w:w="628" w:type="pct"/>
            <w:tcBorders>
              <w:top w:val="single" w:sz="4" w:space="0" w:color="auto"/>
              <w:left w:val="nil"/>
              <w:bottom w:val="single" w:sz="4" w:space="0" w:color="FFFFFF"/>
              <w:right w:val="nil"/>
            </w:tcBorders>
          </w:tcPr>
          <w:p w14:paraId="11BA4732" w14:textId="77777777" w:rsidR="00F53939" w:rsidRPr="00320CA7"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(3.3)</w:t>
            </w:r>
          </w:p>
        </w:tc>
        <w:tc>
          <w:tcPr>
            <w:tcW w:w="614" w:type="pct"/>
            <w:tcBorders>
              <w:top w:val="single" w:sz="4" w:space="0" w:color="auto"/>
              <w:left w:val="nil"/>
              <w:bottom w:val="single" w:sz="4" w:space="0" w:color="FFFFFF"/>
              <w:right w:val="nil"/>
            </w:tcBorders>
          </w:tcPr>
          <w:p w14:paraId="324A1644"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14</w:t>
            </w:r>
          </w:p>
        </w:tc>
        <w:tc>
          <w:tcPr>
            <w:tcW w:w="610" w:type="pct"/>
            <w:tcBorders>
              <w:top w:val="single" w:sz="4" w:space="0" w:color="auto"/>
              <w:left w:val="nil"/>
              <w:bottom w:val="single" w:sz="4" w:space="0" w:color="FFFFFF"/>
              <w:right w:val="nil"/>
            </w:tcBorders>
          </w:tcPr>
          <w:p w14:paraId="5F450505"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52</w:t>
            </w:r>
          </w:p>
        </w:tc>
      </w:tr>
      <w:tr w:rsidR="00F53939" w:rsidRPr="00320CA7" w14:paraId="035F7867" w14:textId="77777777" w:rsidTr="003B7755">
        <w:trPr>
          <w:trHeight w:val="240"/>
        </w:trPr>
        <w:tc>
          <w:tcPr>
            <w:tcW w:w="1922" w:type="pct"/>
            <w:tcBorders>
              <w:top w:val="single" w:sz="4" w:space="0" w:color="FFFFFF"/>
              <w:left w:val="nil"/>
              <w:bottom w:val="single" w:sz="4" w:space="0" w:color="auto"/>
              <w:right w:val="nil"/>
            </w:tcBorders>
            <w:vAlign w:val="center"/>
          </w:tcPr>
          <w:p w14:paraId="721E7026" w14:textId="77777777" w:rsidR="00F53939" w:rsidRPr="0013356E" w:rsidRDefault="00F53939" w:rsidP="00A50D03">
            <w:pPr>
              <w:ind w:right="115"/>
              <w:rPr>
                <w:rFonts w:asciiTheme="minorHAnsi" w:eastAsia="Poppins" w:hAnsiTheme="minorHAnsi" w:cstheme="minorHAnsi"/>
                <w:sz w:val="20"/>
                <w:szCs w:val="20"/>
              </w:rPr>
            </w:pPr>
            <w:r w:rsidRPr="0013356E">
              <w:rPr>
                <w:rFonts w:asciiTheme="minorHAnsi" w:eastAsia="Poppins" w:hAnsiTheme="minorHAnsi" w:cstheme="minorHAnsi"/>
                <w:sz w:val="20"/>
                <w:szCs w:val="20"/>
              </w:rPr>
              <w:t>Non-interest income</w:t>
            </w:r>
          </w:p>
        </w:tc>
        <w:tc>
          <w:tcPr>
            <w:tcW w:w="613" w:type="pct"/>
            <w:tcBorders>
              <w:top w:val="nil"/>
              <w:left w:val="nil"/>
              <w:bottom w:val="single" w:sz="4" w:space="0" w:color="auto"/>
              <w:right w:val="nil"/>
            </w:tcBorders>
            <w:shd w:val="clear" w:color="auto" w:fill="F2F2F2" w:themeFill="background1" w:themeFillShade="F2"/>
          </w:tcPr>
          <w:p w14:paraId="14C144F0"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1.3</w:t>
            </w:r>
          </w:p>
        </w:tc>
        <w:tc>
          <w:tcPr>
            <w:tcW w:w="613" w:type="pct"/>
            <w:tcBorders>
              <w:top w:val="single" w:sz="4" w:space="0" w:color="FFFFFF"/>
              <w:left w:val="nil"/>
              <w:bottom w:val="single" w:sz="4" w:space="0" w:color="auto"/>
              <w:right w:val="nil"/>
            </w:tcBorders>
          </w:tcPr>
          <w:p w14:paraId="557E6AA7" w14:textId="77777777" w:rsidR="00F53939" w:rsidRPr="00F8240B"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2.6</w:t>
            </w:r>
          </w:p>
        </w:tc>
        <w:tc>
          <w:tcPr>
            <w:tcW w:w="628" w:type="pct"/>
            <w:tcBorders>
              <w:top w:val="nil"/>
              <w:left w:val="nil"/>
              <w:bottom w:val="single" w:sz="4" w:space="0" w:color="auto"/>
              <w:right w:val="nil"/>
            </w:tcBorders>
          </w:tcPr>
          <w:p w14:paraId="6DCE5CBC" w14:textId="77777777" w:rsidR="00F53939" w:rsidRPr="00320CA7"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0.9</w:t>
            </w:r>
          </w:p>
        </w:tc>
        <w:tc>
          <w:tcPr>
            <w:tcW w:w="614" w:type="pct"/>
            <w:tcBorders>
              <w:top w:val="nil"/>
              <w:left w:val="nil"/>
              <w:bottom w:val="single" w:sz="4" w:space="0" w:color="auto"/>
              <w:right w:val="nil"/>
            </w:tcBorders>
          </w:tcPr>
          <w:p w14:paraId="20C890DC"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(50)</w:t>
            </w:r>
          </w:p>
        </w:tc>
        <w:tc>
          <w:tcPr>
            <w:tcW w:w="610" w:type="pct"/>
            <w:tcBorders>
              <w:top w:val="nil"/>
              <w:left w:val="nil"/>
              <w:bottom w:val="single" w:sz="4" w:space="0" w:color="auto"/>
              <w:right w:val="nil"/>
            </w:tcBorders>
          </w:tcPr>
          <w:p w14:paraId="496A0570"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44</w:t>
            </w:r>
          </w:p>
        </w:tc>
      </w:tr>
      <w:tr w:rsidR="00F53939" w:rsidRPr="00320CA7" w14:paraId="7F822780" w14:textId="77777777" w:rsidTr="003B7755">
        <w:trPr>
          <w:trHeight w:val="240"/>
        </w:trPr>
        <w:tc>
          <w:tcPr>
            <w:tcW w:w="1922" w:type="pct"/>
            <w:tcBorders>
              <w:top w:val="single" w:sz="4" w:space="0" w:color="auto"/>
              <w:left w:val="nil"/>
              <w:bottom w:val="single" w:sz="4" w:space="0" w:color="FFFFFF"/>
              <w:right w:val="nil"/>
            </w:tcBorders>
            <w:vAlign w:val="center"/>
          </w:tcPr>
          <w:p w14:paraId="009AAB50" w14:textId="77777777" w:rsidR="00F53939" w:rsidRPr="0013356E" w:rsidRDefault="00F53939" w:rsidP="00A50D03">
            <w:pPr>
              <w:ind w:right="115"/>
              <w:rPr>
                <w:rFonts w:asciiTheme="minorHAnsi" w:eastAsia="Poppins" w:hAnsiTheme="minorHAnsi" w:cstheme="minorHAnsi"/>
                <w:b/>
                <w:sz w:val="20"/>
                <w:szCs w:val="20"/>
              </w:rPr>
            </w:pPr>
            <w:r w:rsidRPr="0013356E">
              <w:rPr>
                <w:rFonts w:asciiTheme="minorHAnsi" w:eastAsia="Poppins" w:hAnsiTheme="minorHAnsi" w:cstheme="minorHAnsi"/>
                <w:b/>
                <w:sz w:val="20"/>
                <w:szCs w:val="20"/>
              </w:rPr>
              <w:t>Total income</w:t>
            </w:r>
          </w:p>
        </w:tc>
        <w:tc>
          <w:tcPr>
            <w:tcW w:w="613" w:type="pct"/>
            <w:tcBorders>
              <w:top w:val="single" w:sz="4" w:space="0" w:color="auto"/>
              <w:left w:val="nil"/>
              <w:bottom w:val="nil"/>
              <w:right w:val="nil"/>
            </w:tcBorders>
            <w:shd w:val="clear" w:color="auto" w:fill="F2F2F2" w:themeFill="background1" w:themeFillShade="F2"/>
          </w:tcPr>
          <w:p w14:paraId="48AACFC3"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(3.7)</w:t>
            </w:r>
          </w:p>
        </w:tc>
        <w:tc>
          <w:tcPr>
            <w:tcW w:w="613" w:type="pct"/>
            <w:tcBorders>
              <w:top w:val="single" w:sz="4" w:space="0" w:color="auto"/>
              <w:left w:val="nil"/>
              <w:bottom w:val="single" w:sz="4" w:space="0" w:color="FFFFFF"/>
              <w:right w:val="nil"/>
            </w:tcBorders>
          </w:tcPr>
          <w:p w14:paraId="5BF1526B" w14:textId="77777777" w:rsidR="00F53939" w:rsidRPr="00F8240B"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(1.8)</w:t>
            </w:r>
          </w:p>
        </w:tc>
        <w:tc>
          <w:tcPr>
            <w:tcW w:w="628" w:type="pct"/>
            <w:tcBorders>
              <w:top w:val="single" w:sz="4" w:space="0" w:color="auto"/>
              <w:left w:val="nil"/>
              <w:bottom w:val="single" w:sz="4" w:space="0" w:color="FFFFFF"/>
              <w:right w:val="nil"/>
            </w:tcBorders>
          </w:tcPr>
          <w:p w14:paraId="53F3AB5C" w14:textId="77777777" w:rsidR="00F53939" w:rsidRPr="00320CA7"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(2.4)</w:t>
            </w:r>
          </w:p>
        </w:tc>
        <w:tc>
          <w:tcPr>
            <w:tcW w:w="614" w:type="pct"/>
            <w:tcBorders>
              <w:top w:val="single" w:sz="4" w:space="0" w:color="auto"/>
              <w:left w:val="nil"/>
              <w:bottom w:val="single" w:sz="4" w:space="0" w:color="FFFFFF"/>
              <w:right w:val="nil"/>
            </w:tcBorders>
          </w:tcPr>
          <w:p w14:paraId="4601D61E"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106</w:t>
            </w:r>
          </w:p>
        </w:tc>
        <w:tc>
          <w:tcPr>
            <w:tcW w:w="610" w:type="pct"/>
            <w:tcBorders>
              <w:top w:val="single" w:sz="4" w:space="0" w:color="auto"/>
              <w:left w:val="nil"/>
              <w:bottom w:val="single" w:sz="4" w:space="0" w:color="FFFFFF"/>
              <w:right w:val="nil"/>
            </w:tcBorders>
          </w:tcPr>
          <w:p w14:paraId="4F8013BD"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54</w:t>
            </w:r>
          </w:p>
        </w:tc>
      </w:tr>
      <w:tr w:rsidR="00F53939" w:rsidRPr="00320CA7" w14:paraId="33A64E2C" w14:textId="77777777" w:rsidTr="003B7755">
        <w:trPr>
          <w:trHeight w:val="240"/>
        </w:trPr>
        <w:tc>
          <w:tcPr>
            <w:tcW w:w="1922" w:type="pct"/>
            <w:tcBorders>
              <w:top w:val="single" w:sz="4" w:space="0" w:color="FFFFFF"/>
              <w:left w:val="nil"/>
              <w:bottom w:val="single" w:sz="4" w:space="0" w:color="auto"/>
              <w:right w:val="nil"/>
            </w:tcBorders>
            <w:vAlign w:val="center"/>
          </w:tcPr>
          <w:p w14:paraId="3F3264A4" w14:textId="77777777" w:rsidR="00F53939" w:rsidRPr="0013356E" w:rsidRDefault="00F53939" w:rsidP="00A50D03">
            <w:pPr>
              <w:ind w:right="115"/>
              <w:rPr>
                <w:rFonts w:asciiTheme="minorHAnsi" w:eastAsia="Poppins" w:hAnsiTheme="minorHAnsi" w:cstheme="minorHAnsi"/>
                <w:sz w:val="20"/>
                <w:szCs w:val="20"/>
              </w:rPr>
            </w:pPr>
            <w:r w:rsidRPr="0013356E">
              <w:rPr>
                <w:rFonts w:asciiTheme="minorHAnsi" w:eastAsia="Poppins" w:hAnsiTheme="minorHAnsi" w:cstheme="minorHAnsi"/>
                <w:sz w:val="20"/>
                <w:szCs w:val="20"/>
              </w:rPr>
              <w:t>Impairment charges</w:t>
            </w:r>
          </w:p>
        </w:tc>
        <w:tc>
          <w:tcPr>
            <w:tcW w:w="613" w:type="pct"/>
            <w:tcBorders>
              <w:top w:val="nil"/>
              <w:left w:val="nil"/>
              <w:bottom w:val="single" w:sz="4" w:space="0" w:color="auto"/>
              <w:right w:val="nil"/>
            </w:tcBorders>
            <w:shd w:val="clear" w:color="auto" w:fill="F2F2F2" w:themeFill="background1" w:themeFillShade="F2"/>
          </w:tcPr>
          <w:p w14:paraId="0B4BCD42"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0.8</w:t>
            </w:r>
          </w:p>
        </w:tc>
        <w:tc>
          <w:tcPr>
            <w:tcW w:w="613" w:type="pct"/>
            <w:tcBorders>
              <w:top w:val="single" w:sz="4" w:space="0" w:color="FFFFFF"/>
              <w:left w:val="nil"/>
              <w:bottom w:val="single" w:sz="4" w:space="0" w:color="auto"/>
              <w:right w:val="nil"/>
            </w:tcBorders>
          </w:tcPr>
          <w:p w14:paraId="760E231B" w14:textId="77777777" w:rsidR="00F53939" w:rsidRPr="00F8240B"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(0.8)</w:t>
            </w:r>
          </w:p>
        </w:tc>
        <w:tc>
          <w:tcPr>
            <w:tcW w:w="628" w:type="pct"/>
            <w:tcBorders>
              <w:top w:val="single" w:sz="4" w:space="0" w:color="FFFFFF"/>
              <w:left w:val="nil"/>
              <w:bottom w:val="single" w:sz="4" w:space="0" w:color="auto"/>
              <w:right w:val="nil"/>
            </w:tcBorders>
          </w:tcPr>
          <w:p w14:paraId="1765C39D" w14:textId="77777777" w:rsidR="00F53939" w:rsidRPr="00320CA7"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w:t>
            </w:r>
          </w:p>
        </w:tc>
        <w:tc>
          <w:tcPr>
            <w:tcW w:w="614" w:type="pct"/>
            <w:tcBorders>
              <w:top w:val="single" w:sz="4" w:space="0" w:color="FFFFFF"/>
              <w:left w:val="nil"/>
              <w:bottom w:val="single" w:sz="4" w:space="0" w:color="auto"/>
              <w:right w:val="nil"/>
            </w:tcBorders>
          </w:tcPr>
          <w:p w14:paraId="360E1ACE" w14:textId="71D9FAD1" w:rsidR="00F53939" w:rsidRPr="00320CA7" w:rsidRDefault="00F53939" w:rsidP="00A50D03">
            <w:pPr>
              <w:jc w:val="right"/>
              <w:rPr>
                <w:rFonts w:asciiTheme="minorHAnsi" w:hAnsiTheme="minorHAnsi" w:cstheme="minorHAnsi"/>
                <w:iCs/>
                <w:sz w:val="20"/>
                <w:szCs w:val="20"/>
              </w:rPr>
            </w:pPr>
          </w:p>
        </w:tc>
        <w:tc>
          <w:tcPr>
            <w:tcW w:w="610" w:type="pct"/>
            <w:tcBorders>
              <w:top w:val="single" w:sz="4" w:space="0" w:color="FFFFFF"/>
              <w:left w:val="nil"/>
              <w:bottom w:val="single" w:sz="4" w:space="0" w:color="auto"/>
              <w:right w:val="nil"/>
            </w:tcBorders>
          </w:tcPr>
          <w:p w14:paraId="56271039" w14:textId="1E5CC361" w:rsidR="00F53939" w:rsidRPr="00320CA7" w:rsidRDefault="00B529A1" w:rsidP="00A50D03">
            <w:pPr>
              <w:jc w:val="right"/>
              <w:rPr>
                <w:rFonts w:asciiTheme="minorHAnsi" w:hAnsiTheme="minorHAnsi" w:cstheme="minorHAnsi"/>
                <w:iCs/>
                <w:sz w:val="20"/>
                <w:szCs w:val="20"/>
              </w:rPr>
            </w:pPr>
            <w:r>
              <w:rPr>
                <w:rFonts w:asciiTheme="minorHAnsi" w:hAnsiTheme="minorHAnsi" w:cstheme="minorHAnsi"/>
                <w:iCs/>
                <w:sz w:val="20"/>
                <w:szCs w:val="20"/>
              </w:rPr>
              <w:t>100</w:t>
            </w:r>
          </w:p>
        </w:tc>
      </w:tr>
      <w:tr w:rsidR="00F53939" w:rsidRPr="00320CA7" w14:paraId="4803FE5A" w14:textId="77777777" w:rsidTr="003B7755">
        <w:trPr>
          <w:trHeight w:val="240"/>
        </w:trPr>
        <w:tc>
          <w:tcPr>
            <w:tcW w:w="1922" w:type="pct"/>
            <w:tcBorders>
              <w:top w:val="single" w:sz="4" w:space="0" w:color="auto"/>
              <w:left w:val="nil"/>
              <w:bottom w:val="single" w:sz="4" w:space="0" w:color="FFFFFF"/>
              <w:right w:val="nil"/>
            </w:tcBorders>
            <w:vAlign w:val="center"/>
          </w:tcPr>
          <w:p w14:paraId="0E11C44E" w14:textId="77777777" w:rsidR="00F53939" w:rsidRPr="0013356E" w:rsidRDefault="00F53939" w:rsidP="00A50D03">
            <w:pPr>
              <w:ind w:right="115"/>
              <w:rPr>
                <w:rFonts w:asciiTheme="minorHAnsi" w:eastAsia="Poppins" w:hAnsiTheme="minorHAnsi" w:cstheme="minorHAnsi"/>
                <w:b/>
                <w:sz w:val="20"/>
                <w:szCs w:val="20"/>
              </w:rPr>
            </w:pPr>
            <w:r w:rsidRPr="0013356E">
              <w:rPr>
                <w:rFonts w:asciiTheme="minorHAnsi" w:eastAsia="Poppins" w:hAnsiTheme="minorHAnsi" w:cstheme="minorHAnsi"/>
                <w:b/>
                <w:sz w:val="20"/>
                <w:szCs w:val="20"/>
              </w:rPr>
              <w:t>Risk adjusted income</w:t>
            </w:r>
          </w:p>
        </w:tc>
        <w:tc>
          <w:tcPr>
            <w:tcW w:w="613" w:type="pct"/>
            <w:tcBorders>
              <w:top w:val="single" w:sz="4" w:space="0" w:color="auto"/>
              <w:left w:val="nil"/>
              <w:bottom w:val="nil"/>
              <w:right w:val="nil"/>
            </w:tcBorders>
            <w:shd w:val="clear" w:color="auto" w:fill="F2F2F2" w:themeFill="background1" w:themeFillShade="F2"/>
          </w:tcPr>
          <w:p w14:paraId="5AA4A167"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(2.9)</w:t>
            </w:r>
          </w:p>
        </w:tc>
        <w:tc>
          <w:tcPr>
            <w:tcW w:w="613" w:type="pct"/>
            <w:tcBorders>
              <w:top w:val="single" w:sz="4" w:space="0" w:color="auto"/>
              <w:left w:val="nil"/>
              <w:bottom w:val="single" w:sz="4" w:space="0" w:color="FFFFFF"/>
              <w:right w:val="nil"/>
            </w:tcBorders>
          </w:tcPr>
          <w:p w14:paraId="78D0C7AD" w14:textId="77777777" w:rsidR="00F53939" w:rsidRPr="00F8240B"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(2.6)</w:t>
            </w:r>
          </w:p>
        </w:tc>
        <w:tc>
          <w:tcPr>
            <w:tcW w:w="628" w:type="pct"/>
            <w:tcBorders>
              <w:top w:val="single" w:sz="4" w:space="0" w:color="auto"/>
              <w:left w:val="nil"/>
              <w:bottom w:val="single" w:sz="4" w:space="0" w:color="FFFFFF"/>
              <w:right w:val="nil"/>
            </w:tcBorders>
          </w:tcPr>
          <w:p w14:paraId="7C894130" w14:textId="77777777" w:rsidR="00F53939" w:rsidRPr="00320CA7"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(2.4)</w:t>
            </w:r>
          </w:p>
        </w:tc>
        <w:tc>
          <w:tcPr>
            <w:tcW w:w="614" w:type="pct"/>
            <w:tcBorders>
              <w:top w:val="single" w:sz="4" w:space="0" w:color="auto"/>
              <w:left w:val="nil"/>
              <w:bottom w:val="single" w:sz="4" w:space="0" w:color="FFFFFF"/>
              <w:right w:val="nil"/>
            </w:tcBorders>
          </w:tcPr>
          <w:p w14:paraId="3896CCB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12</w:t>
            </w:r>
          </w:p>
        </w:tc>
        <w:tc>
          <w:tcPr>
            <w:tcW w:w="610" w:type="pct"/>
            <w:tcBorders>
              <w:top w:val="single" w:sz="4" w:space="0" w:color="auto"/>
              <w:left w:val="nil"/>
              <w:bottom w:val="single" w:sz="4" w:space="0" w:color="FFFFFF"/>
              <w:right w:val="nil"/>
            </w:tcBorders>
          </w:tcPr>
          <w:p w14:paraId="0C377EB1" w14:textId="7777777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21</w:t>
            </w:r>
          </w:p>
        </w:tc>
      </w:tr>
      <w:tr w:rsidR="00F53939" w:rsidRPr="00320CA7" w14:paraId="2E88BC58" w14:textId="77777777" w:rsidTr="003B7755">
        <w:trPr>
          <w:trHeight w:val="240"/>
        </w:trPr>
        <w:tc>
          <w:tcPr>
            <w:tcW w:w="1922" w:type="pct"/>
            <w:tcBorders>
              <w:top w:val="single" w:sz="4" w:space="0" w:color="FFFFFF"/>
              <w:left w:val="nil"/>
              <w:bottom w:val="single" w:sz="4" w:space="0" w:color="auto"/>
              <w:right w:val="nil"/>
            </w:tcBorders>
            <w:vAlign w:val="center"/>
          </w:tcPr>
          <w:p w14:paraId="5C41A96C" w14:textId="77777777" w:rsidR="00F53939" w:rsidRPr="0013356E" w:rsidRDefault="00F53939" w:rsidP="00A50D03">
            <w:pPr>
              <w:ind w:right="115"/>
              <w:rPr>
                <w:rFonts w:asciiTheme="minorHAnsi" w:eastAsia="Poppins" w:hAnsiTheme="minorHAnsi" w:cstheme="minorHAnsi"/>
                <w:sz w:val="20"/>
                <w:szCs w:val="20"/>
              </w:rPr>
            </w:pPr>
            <w:r w:rsidRPr="0013356E">
              <w:rPr>
                <w:rFonts w:asciiTheme="minorHAnsi" w:eastAsia="Poppins" w:hAnsiTheme="minorHAnsi" w:cstheme="minorHAnsi"/>
                <w:sz w:val="20"/>
                <w:szCs w:val="20"/>
              </w:rPr>
              <w:t>Operating costs</w:t>
            </w:r>
          </w:p>
        </w:tc>
        <w:tc>
          <w:tcPr>
            <w:tcW w:w="613" w:type="pct"/>
            <w:tcBorders>
              <w:top w:val="nil"/>
              <w:left w:val="nil"/>
              <w:bottom w:val="single" w:sz="4" w:space="0" w:color="auto"/>
              <w:right w:val="nil"/>
            </w:tcBorders>
            <w:shd w:val="clear" w:color="auto" w:fill="F2F2F2" w:themeFill="background1" w:themeFillShade="F2"/>
          </w:tcPr>
          <w:p w14:paraId="5E0D6F32"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(7.3)</w:t>
            </w:r>
          </w:p>
        </w:tc>
        <w:tc>
          <w:tcPr>
            <w:tcW w:w="613" w:type="pct"/>
            <w:tcBorders>
              <w:top w:val="single" w:sz="4" w:space="0" w:color="FFFFFF"/>
              <w:left w:val="nil"/>
              <w:bottom w:val="single" w:sz="4" w:space="0" w:color="auto"/>
              <w:right w:val="nil"/>
            </w:tcBorders>
          </w:tcPr>
          <w:p w14:paraId="446FBEA2" w14:textId="77777777" w:rsidR="00F53939" w:rsidRPr="00F8240B"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(88.5)</w:t>
            </w:r>
          </w:p>
        </w:tc>
        <w:tc>
          <w:tcPr>
            <w:tcW w:w="628" w:type="pct"/>
            <w:tcBorders>
              <w:top w:val="single" w:sz="4" w:space="0" w:color="FFFFFF"/>
              <w:left w:val="nil"/>
              <w:bottom w:val="single" w:sz="4" w:space="0" w:color="auto"/>
              <w:right w:val="nil"/>
            </w:tcBorders>
          </w:tcPr>
          <w:p w14:paraId="0DF13528" w14:textId="77777777" w:rsidR="00F53939" w:rsidRPr="00320CA7"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(36.4)</w:t>
            </w:r>
          </w:p>
        </w:tc>
        <w:tc>
          <w:tcPr>
            <w:tcW w:w="614" w:type="pct"/>
            <w:tcBorders>
              <w:top w:val="single" w:sz="4" w:space="0" w:color="FFFFFF"/>
              <w:left w:val="nil"/>
              <w:bottom w:val="single" w:sz="4" w:space="0" w:color="auto"/>
              <w:right w:val="nil"/>
            </w:tcBorders>
          </w:tcPr>
          <w:p w14:paraId="7990ED02" w14:textId="527825C7"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r w:rsidR="0061141D">
              <w:rPr>
                <w:rFonts w:asciiTheme="minorHAnsi" w:hAnsiTheme="minorHAnsi" w:cstheme="minorHAnsi"/>
                <w:iCs/>
                <w:sz w:val="20"/>
                <w:szCs w:val="20"/>
              </w:rPr>
              <w:t>92</w:t>
            </w:r>
            <w:r>
              <w:rPr>
                <w:rFonts w:asciiTheme="minorHAnsi" w:hAnsiTheme="minorHAnsi" w:cstheme="minorHAnsi"/>
                <w:iCs/>
                <w:sz w:val="20"/>
                <w:szCs w:val="20"/>
              </w:rPr>
              <w:t>)</w:t>
            </w:r>
          </w:p>
        </w:tc>
        <w:tc>
          <w:tcPr>
            <w:tcW w:w="610" w:type="pct"/>
            <w:tcBorders>
              <w:top w:val="single" w:sz="4" w:space="0" w:color="FFFFFF"/>
              <w:left w:val="nil"/>
              <w:bottom w:val="single" w:sz="4" w:space="0" w:color="auto"/>
              <w:right w:val="nil"/>
            </w:tcBorders>
          </w:tcPr>
          <w:p w14:paraId="47E16FBF" w14:textId="664E14E3"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r w:rsidR="00B06783">
              <w:rPr>
                <w:rFonts w:asciiTheme="minorHAnsi" w:hAnsiTheme="minorHAnsi" w:cstheme="minorHAnsi"/>
                <w:iCs/>
                <w:sz w:val="20"/>
                <w:szCs w:val="20"/>
              </w:rPr>
              <w:t>80</w:t>
            </w:r>
            <w:r>
              <w:rPr>
                <w:rFonts w:asciiTheme="minorHAnsi" w:hAnsiTheme="minorHAnsi" w:cstheme="minorHAnsi"/>
                <w:iCs/>
                <w:sz w:val="20"/>
                <w:szCs w:val="20"/>
              </w:rPr>
              <w:t>)</w:t>
            </w:r>
          </w:p>
        </w:tc>
      </w:tr>
      <w:tr w:rsidR="00F53939" w:rsidRPr="00320CA7" w14:paraId="0E7A0A82" w14:textId="77777777" w:rsidTr="003B7755">
        <w:trPr>
          <w:trHeight w:val="240"/>
        </w:trPr>
        <w:tc>
          <w:tcPr>
            <w:tcW w:w="1922" w:type="pct"/>
            <w:tcBorders>
              <w:top w:val="single" w:sz="4" w:space="0" w:color="auto"/>
              <w:left w:val="nil"/>
              <w:bottom w:val="single" w:sz="4" w:space="0" w:color="auto"/>
              <w:right w:val="nil"/>
            </w:tcBorders>
            <w:vAlign w:val="center"/>
          </w:tcPr>
          <w:p w14:paraId="4EAE3A29" w14:textId="77777777" w:rsidR="00F53939" w:rsidRPr="0013356E" w:rsidRDefault="00F53939" w:rsidP="00A50D03">
            <w:pPr>
              <w:ind w:right="115"/>
              <w:rPr>
                <w:rFonts w:asciiTheme="minorHAnsi" w:eastAsia="Poppins" w:hAnsiTheme="minorHAnsi" w:cstheme="minorHAnsi"/>
                <w:sz w:val="20"/>
                <w:szCs w:val="20"/>
              </w:rPr>
            </w:pPr>
            <w:r w:rsidRPr="0013356E">
              <w:rPr>
                <w:rFonts w:asciiTheme="minorHAnsi" w:eastAsia="Poppins" w:hAnsiTheme="minorHAnsi" w:cstheme="minorHAnsi"/>
                <w:b/>
                <w:sz w:val="20"/>
                <w:szCs w:val="20"/>
              </w:rPr>
              <w:t>Loss before tax contribution</w:t>
            </w:r>
          </w:p>
        </w:tc>
        <w:tc>
          <w:tcPr>
            <w:tcW w:w="613" w:type="pct"/>
            <w:tcBorders>
              <w:top w:val="single" w:sz="4" w:space="0" w:color="auto"/>
              <w:left w:val="nil"/>
              <w:bottom w:val="single" w:sz="4" w:space="0" w:color="auto"/>
              <w:right w:val="nil"/>
            </w:tcBorders>
            <w:shd w:val="clear" w:color="auto" w:fill="F2F2F2" w:themeFill="background1" w:themeFillShade="F2"/>
          </w:tcPr>
          <w:p w14:paraId="0CFA0799" w14:textId="77777777" w:rsidR="00F53939" w:rsidRPr="00320CA7"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(10.2)</w:t>
            </w:r>
          </w:p>
        </w:tc>
        <w:tc>
          <w:tcPr>
            <w:tcW w:w="613" w:type="pct"/>
            <w:tcBorders>
              <w:top w:val="single" w:sz="4" w:space="0" w:color="auto"/>
              <w:left w:val="nil"/>
              <w:bottom w:val="single" w:sz="4" w:space="0" w:color="auto"/>
              <w:right w:val="nil"/>
            </w:tcBorders>
          </w:tcPr>
          <w:p w14:paraId="6F021DBE" w14:textId="77777777" w:rsidR="00F53939" w:rsidRPr="00F8240B"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(91.1)</w:t>
            </w:r>
          </w:p>
        </w:tc>
        <w:tc>
          <w:tcPr>
            <w:tcW w:w="628" w:type="pct"/>
            <w:tcBorders>
              <w:top w:val="single" w:sz="4" w:space="0" w:color="auto"/>
              <w:left w:val="nil"/>
              <w:bottom w:val="single" w:sz="4" w:space="0" w:color="auto"/>
              <w:right w:val="nil"/>
            </w:tcBorders>
          </w:tcPr>
          <w:p w14:paraId="3F3C05D3" w14:textId="77777777" w:rsidR="00F53939" w:rsidRPr="00320CA7" w:rsidRDefault="00F53939" w:rsidP="00A50D03">
            <w:pPr>
              <w:jc w:val="right"/>
              <w:rPr>
                <w:rFonts w:asciiTheme="minorHAnsi" w:hAnsiTheme="minorHAnsi" w:cstheme="minorHAnsi"/>
                <w:iCs/>
                <w:sz w:val="20"/>
                <w:szCs w:val="20"/>
              </w:rPr>
            </w:pPr>
            <w:r w:rsidRPr="00F8240B">
              <w:rPr>
                <w:rFonts w:asciiTheme="minorHAnsi" w:hAnsiTheme="minorHAnsi" w:cstheme="minorHAnsi"/>
                <w:iCs/>
                <w:sz w:val="20"/>
                <w:szCs w:val="20"/>
              </w:rPr>
              <w:t>(38.8)</w:t>
            </w:r>
          </w:p>
        </w:tc>
        <w:tc>
          <w:tcPr>
            <w:tcW w:w="614" w:type="pct"/>
            <w:tcBorders>
              <w:top w:val="single" w:sz="4" w:space="0" w:color="auto"/>
              <w:left w:val="nil"/>
              <w:bottom w:val="single" w:sz="4" w:space="0" w:color="auto"/>
              <w:right w:val="nil"/>
            </w:tcBorders>
          </w:tcPr>
          <w:p w14:paraId="7CB8369B" w14:textId="5C84413F"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r w:rsidR="0061141D">
              <w:rPr>
                <w:rFonts w:asciiTheme="minorHAnsi" w:hAnsiTheme="minorHAnsi" w:cstheme="minorHAnsi"/>
                <w:iCs/>
                <w:sz w:val="20"/>
                <w:szCs w:val="20"/>
              </w:rPr>
              <w:t>89</w:t>
            </w:r>
            <w:r>
              <w:rPr>
                <w:rFonts w:asciiTheme="minorHAnsi" w:hAnsiTheme="minorHAnsi" w:cstheme="minorHAnsi"/>
                <w:iCs/>
                <w:sz w:val="20"/>
                <w:szCs w:val="20"/>
              </w:rPr>
              <w:t>)</w:t>
            </w:r>
          </w:p>
        </w:tc>
        <w:tc>
          <w:tcPr>
            <w:tcW w:w="610" w:type="pct"/>
            <w:tcBorders>
              <w:top w:val="single" w:sz="4" w:space="0" w:color="auto"/>
              <w:left w:val="nil"/>
              <w:bottom w:val="single" w:sz="4" w:space="0" w:color="auto"/>
              <w:right w:val="nil"/>
            </w:tcBorders>
          </w:tcPr>
          <w:p w14:paraId="4213D909" w14:textId="58C80698" w:rsidR="00F53939" w:rsidRPr="00320CA7" w:rsidRDefault="00F53939" w:rsidP="00A50D03">
            <w:pPr>
              <w:jc w:val="right"/>
              <w:rPr>
                <w:rFonts w:asciiTheme="minorHAnsi" w:hAnsiTheme="minorHAnsi" w:cstheme="minorHAnsi"/>
                <w:iCs/>
                <w:sz w:val="20"/>
                <w:szCs w:val="20"/>
              </w:rPr>
            </w:pPr>
            <w:r>
              <w:rPr>
                <w:rFonts w:asciiTheme="minorHAnsi" w:hAnsiTheme="minorHAnsi" w:cstheme="minorHAnsi"/>
                <w:iCs/>
                <w:sz w:val="20"/>
                <w:szCs w:val="20"/>
              </w:rPr>
              <w:t>(</w:t>
            </w:r>
            <w:r w:rsidR="00B06783">
              <w:rPr>
                <w:rFonts w:asciiTheme="minorHAnsi" w:hAnsiTheme="minorHAnsi" w:cstheme="minorHAnsi"/>
                <w:iCs/>
                <w:sz w:val="20"/>
                <w:szCs w:val="20"/>
              </w:rPr>
              <w:t>74</w:t>
            </w:r>
            <w:r>
              <w:rPr>
                <w:rFonts w:asciiTheme="minorHAnsi" w:hAnsiTheme="minorHAnsi" w:cstheme="minorHAnsi"/>
                <w:iCs/>
                <w:sz w:val="20"/>
                <w:szCs w:val="20"/>
              </w:rPr>
              <w:t>)</w:t>
            </w:r>
          </w:p>
        </w:tc>
      </w:tr>
    </w:tbl>
    <w:p w14:paraId="7AF1E7B4" w14:textId="77777777" w:rsidR="00F53939" w:rsidRPr="00A166EB" w:rsidRDefault="00F53939" w:rsidP="00F53939">
      <w:pPr>
        <w:pStyle w:val="subhead1"/>
        <w:rPr>
          <w:rFonts w:ascii="Calibri" w:eastAsia="Calibri" w:hAnsi="Calibri" w:cs="Calibri"/>
          <w:b w:val="0"/>
          <w:bCs w:val="0"/>
          <w:color w:val="auto"/>
          <w:sz w:val="20"/>
          <w:szCs w:val="20"/>
          <w:lang w:eastAsia="en-GB"/>
        </w:rPr>
      </w:pPr>
    </w:p>
    <w:p w14:paraId="2D52D35C" w14:textId="77777777" w:rsidR="00C224BF" w:rsidRPr="00386724" w:rsidRDefault="00C224BF" w:rsidP="00F53939">
      <w:pPr>
        <w:spacing w:line="259" w:lineRule="auto"/>
        <w:jc w:val="both"/>
        <w:rPr>
          <w:rStyle w:val="Strong"/>
          <w:rFonts w:asciiTheme="minorHAnsi" w:hAnsiTheme="minorHAnsi"/>
          <w:b w:val="0"/>
          <w:bCs w:val="0"/>
          <w:sz w:val="20"/>
          <w:szCs w:val="20"/>
        </w:rPr>
      </w:pPr>
      <w:r w:rsidRPr="00386724">
        <w:rPr>
          <w:rStyle w:val="Strong"/>
          <w:rFonts w:asciiTheme="minorHAnsi" w:hAnsiTheme="minorHAnsi"/>
          <w:b w:val="0"/>
          <w:bCs w:val="0"/>
          <w:sz w:val="20"/>
          <w:szCs w:val="20"/>
        </w:rPr>
        <w:t>Corporate Centre includes</w:t>
      </w:r>
      <w:r w:rsidR="00F53939" w:rsidRPr="00806CAF">
        <w:rPr>
          <w:rStyle w:val="Strong"/>
          <w:rFonts w:asciiTheme="minorHAnsi" w:hAnsiTheme="minorHAnsi"/>
          <w:b w:val="0"/>
          <w:bCs w:val="0"/>
          <w:sz w:val="20"/>
          <w:szCs w:val="20"/>
        </w:rPr>
        <w:t xml:space="preserve"> t</w:t>
      </w:r>
      <w:r w:rsidRPr="00386724">
        <w:rPr>
          <w:rStyle w:val="Strong"/>
          <w:rFonts w:asciiTheme="minorHAnsi" w:hAnsiTheme="minorHAnsi"/>
          <w:b w:val="0"/>
          <w:bCs w:val="0"/>
          <w:sz w:val="20"/>
          <w:szCs w:val="20"/>
        </w:rPr>
        <w:t xml:space="preserve">he </w:t>
      </w:r>
      <w:r w:rsidR="00F53939" w:rsidRPr="00806CAF">
        <w:rPr>
          <w:rStyle w:val="Strong"/>
          <w:rFonts w:asciiTheme="minorHAnsi" w:hAnsiTheme="minorHAnsi"/>
          <w:b w:val="0"/>
          <w:bCs w:val="0"/>
          <w:sz w:val="20"/>
          <w:szCs w:val="20"/>
        </w:rPr>
        <w:t>r</w:t>
      </w:r>
      <w:r w:rsidRPr="00386724">
        <w:rPr>
          <w:rStyle w:val="Strong"/>
          <w:rFonts w:asciiTheme="minorHAnsi" w:hAnsiTheme="minorHAnsi"/>
          <w:b w:val="0"/>
          <w:bCs w:val="0"/>
          <w:sz w:val="20"/>
          <w:szCs w:val="20"/>
        </w:rPr>
        <w:t xml:space="preserve">etail </w:t>
      </w:r>
      <w:r w:rsidR="00F53939" w:rsidRPr="00806CAF">
        <w:rPr>
          <w:rStyle w:val="Strong"/>
          <w:rFonts w:asciiTheme="minorHAnsi" w:hAnsiTheme="minorHAnsi"/>
          <w:b w:val="0"/>
          <w:bCs w:val="0"/>
          <w:sz w:val="20"/>
          <w:szCs w:val="20"/>
        </w:rPr>
        <w:t>s</w:t>
      </w:r>
      <w:r w:rsidRPr="00386724">
        <w:rPr>
          <w:rStyle w:val="Strong"/>
          <w:rFonts w:asciiTheme="minorHAnsi" w:hAnsiTheme="minorHAnsi"/>
          <w:b w:val="0"/>
          <w:bCs w:val="0"/>
          <w:sz w:val="20"/>
          <w:szCs w:val="20"/>
        </w:rPr>
        <w:t>avings business, including related costs</w:t>
      </w:r>
      <w:r w:rsidR="00F53939" w:rsidRPr="00806CAF">
        <w:rPr>
          <w:rStyle w:val="Strong"/>
          <w:rFonts w:asciiTheme="minorHAnsi" w:hAnsiTheme="minorHAnsi"/>
          <w:b w:val="0"/>
          <w:bCs w:val="0"/>
          <w:sz w:val="20"/>
          <w:szCs w:val="20"/>
        </w:rPr>
        <w:t>, u</w:t>
      </w:r>
      <w:r w:rsidRPr="00386724">
        <w:rPr>
          <w:rStyle w:val="Strong"/>
          <w:rFonts w:asciiTheme="minorHAnsi" w:hAnsiTheme="minorHAnsi"/>
          <w:b w:val="0"/>
          <w:bCs w:val="0"/>
          <w:sz w:val="20"/>
          <w:szCs w:val="20"/>
        </w:rPr>
        <w:t>nallocated Treasury result after product allocations</w:t>
      </w:r>
      <w:r w:rsidR="00F53939" w:rsidRPr="00806CAF">
        <w:rPr>
          <w:rStyle w:val="Strong"/>
          <w:rFonts w:asciiTheme="minorHAnsi" w:hAnsiTheme="minorHAnsi"/>
          <w:b w:val="0"/>
          <w:bCs w:val="0"/>
          <w:sz w:val="20"/>
          <w:szCs w:val="20"/>
        </w:rPr>
        <w:t xml:space="preserve">, </w:t>
      </w:r>
      <w:r w:rsidRPr="00386724">
        <w:rPr>
          <w:rStyle w:val="Strong"/>
          <w:rFonts w:asciiTheme="minorHAnsi" w:hAnsiTheme="minorHAnsi"/>
          <w:b w:val="0"/>
          <w:bCs w:val="0"/>
          <w:sz w:val="20"/>
          <w:szCs w:val="20"/>
        </w:rPr>
        <w:t>Snoop income and costs</w:t>
      </w:r>
      <w:r w:rsidR="00F53939" w:rsidRPr="00806CAF">
        <w:rPr>
          <w:rStyle w:val="Strong"/>
          <w:rFonts w:asciiTheme="minorHAnsi" w:hAnsiTheme="minorHAnsi"/>
          <w:b w:val="0"/>
          <w:bCs w:val="0"/>
          <w:sz w:val="20"/>
          <w:szCs w:val="20"/>
        </w:rPr>
        <w:t xml:space="preserve"> and o</w:t>
      </w:r>
      <w:r w:rsidRPr="00386724">
        <w:rPr>
          <w:rStyle w:val="Strong"/>
          <w:rFonts w:asciiTheme="minorHAnsi" w:hAnsiTheme="minorHAnsi"/>
          <w:b w:val="0"/>
          <w:bCs w:val="0"/>
          <w:sz w:val="20"/>
          <w:szCs w:val="20"/>
        </w:rPr>
        <w:t>ther immaterial or central items.</w:t>
      </w:r>
    </w:p>
    <w:p w14:paraId="5D834AB6" w14:textId="77777777" w:rsidR="00F53939" w:rsidRDefault="00F53939" w:rsidP="00F53939">
      <w:pPr>
        <w:spacing w:line="259" w:lineRule="auto"/>
        <w:jc w:val="both"/>
        <w:rPr>
          <w:rStyle w:val="Strong"/>
          <w:rFonts w:asciiTheme="minorHAnsi" w:hAnsiTheme="minorHAnsi"/>
          <w:b w:val="0"/>
          <w:bCs w:val="0"/>
          <w:sz w:val="20"/>
          <w:szCs w:val="20"/>
        </w:rPr>
      </w:pPr>
    </w:p>
    <w:p w14:paraId="10D5FD3D" w14:textId="77777777" w:rsidR="00F53939" w:rsidRDefault="00F53939" w:rsidP="00F53939">
      <w:pPr>
        <w:spacing w:line="259" w:lineRule="auto"/>
        <w:jc w:val="both"/>
        <w:rPr>
          <w:rFonts w:ascii="Calibri" w:eastAsia="Calibri" w:hAnsi="Calibri" w:cs="Calibri"/>
          <w:color w:val="FF0000"/>
          <w:sz w:val="20"/>
          <w:szCs w:val="20"/>
        </w:rPr>
      </w:pPr>
      <w:r w:rsidRPr="008C0E5B">
        <w:rPr>
          <w:rStyle w:val="Strong"/>
          <w:rFonts w:asciiTheme="minorHAnsi" w:hAnsiTheme="minorHAnsi"/>
          <w:b w:val="0"/>
          <w:bCs w:val="0"/>
          <w:sz w:val="20"/>
          <w:szCs w:val="20"/>
        </w:rPr>
        <w:t>All commentary relates to year-on-year performance unless otherwise stated.</w:t>
      </w:r>
    </w:p>
    <w:p w14:paraId="7C60CDD2" w14:textId="77777777" w:rsidR="00F53939" w:rsidRDefault="00F53939" w:rsidP="00F53939">
      <w:pPr>
        <w:jc w:val="both"/>
        <w:rPr>
          <w:rFonts w:ascii="Calibri" w:eastAsia="Calibri" w:hAnsi="Calibri" w:cs="Calibri"/>
          <w:color w:val="FF0000"/>
          <w:sz w:val="20"/>
          <w:szCs w:val="20"/>
        </w:rPr>
      </w:pPr>
    </w:p>
    <w:p w14:paraId="28C4E821" w14:textId="77777777" w:rsidR="00F53939" w:rsidRPr="0047117F" w:rsidRDefault="00F53939" w:rsidP="00F53939">
      <w:pPr>
        <w:jc w:val="both"/>
        <w:rPr>
          <w:rFonts w:ascii="Calibri" w:eastAsia="Calibri" w:hAnsi="Calibri" w:cs="Calibri"/>
          <w:sz w:val="20"/>
          <w:szCs w:val="20"/>
        </w:rPr>
      </w:pPr>
      <w:r w:rsidRPr="0047117F">
        <w:rPr>
          <w:rFonts w:ascii="Calibri" w:eastAsia="Calibri" w:hAnsi="Calibri" w:cs="Calibri"/>
          <w:sz w:val="20"/>
          <w:szCs w:val="20"/>
        </w:rPr>
        <w:t>Total income was a net expense of £(3.7)m (1H24: £(2.4)m), with net interest income being a net expense of £(5.0)m (1H24: £(3.3)m) and non-interest income increasing to £1.3m (1H24: £0.9m) driven by fees and commissions income from Snoop.</w:t>
      </w:r>
    </w:p>
    <w:p w14:paraId="2509F0C3" w14:textId="77777777" w:rsidR="00F53939" w:rsidRPr="0047117F" w:rsidRDefault="00F53939" w:rsidP="00F53939">
      <w:pPr>
        <w:jc w:val="both"/>
        <w:rPr>
          <w:rFonts w:ascii="Calibri" w:eastAsia="Calibri" w:hAnsi="Calibri" w:cs="Calibri"/>
          <w:sz w:val="20"/>
          <w:szCs w:val="20"/>
        </w:rPr>
      </w:pPr>
    </w:p>
    <w:p w14:paraId="09663A37" w14:textId="77777777" w:rsidR="00F53939" w:rsidRPr="0047117F" w:rsidRDefault="00F53939" w:rsidP="00F53939">
      <w:pPr>
        <w:jc w:val="both"/>
        <w:rPr>
          <w:rFonts w:ascii="Calibri" w:eastAsia="Calibri" w:hAnsi="Calibri" w:cs="Calibri"/>
          <w:sz w:val="20"/>
          <w:szCs w:val="20"/>
        </w:rPr>
      </w:pPr>
      <w:r w:rsidRPr="0047117F">
        <w:rPr>
          <w:rFonts w:ascii="Calibri" w:eastAsia="Calibri" w:hAnsi="Calibri" w:cs="Calibri"/>
          <w:sz w:val="20"/>
          <w:szCs w:val="20"/>
        </w:rPr>
        <w:t>Interest income of £22.0m (1H24: £22.5m) represented returns from the Liquid Asset Buffer (LAB), including UK gilts and interest on cash reserves in the BoE reserve account.</w:t>
      </w:r>
    </w:p>
    <w:p w14:paraId="31D40D7F" w14:textId="77777777" w:rsidR="00F53939" w:rsidRPr="0047117F" w:rsidRDefault="00F53939" w:rsidP="00F53939">
      <w:pPr>
        <w:jc w:val="both"/>
        <w:rPr>
          <w:rFonts w:ascii="Calibri" w:eastAsia="Calibri" w:hAnsi="Calibri" w:cs="Calibri"/>
          <w:sz w:val="20"/>
          <w:szCs w:val="20"/>
        </w:rPr>
      </w:pPr>
    </w:p>
    <w:p w14:paraId="2F169FD9" w14:textId="77777777" w:rsidR="00F53939" w:rsidRPr="0047117F" w:rsidRDefault="00F53939" w:rsidP="00F53939">
      <w:pPr>
        <w:jc w:val="both"/>
        <w:rPr>
          <w:rFonts w:ascii="Calibri" w:eastAsia="Calibri" w:hAnsi="Calibri" w:cs="Calibri"/>
          <w:sz w:val="20"/>
          <w:szCs w:val="20"/>
        </w:rPr>
      </w:pPr>
      <w:r w:rsidRPr="0047117F">
        <w:rPr>
          <w:rFonts w:ascii="Calibri" w:eastAsia="Calibri" w:hAnsi="Calibri" w:cs="Calibri"/>
          <w:sz w:val="20"/>
          <w:szCs w:val="20"/>
        </w:rPr>
        <w:t xml:space="preserve">Interest expense of £27.0m (1H24: £25.8m) represented residual funding costs not allocated to the respective businesses, including unallocated Tier 2 capital. </w:t>
      </w:r>
    </w:p>
    <w:p w14:paraId="11FF1217" w14:textId="77777777" w:rsidR="00F53939" w:rsidRPr="0047117F" w:rsidRDefault="00F53939" w:rsidP="00F53939">
      <w:pPr>
        <w:jc w:val="both"/>
        <w:rPr>
          <w:rFonts w:ascii="Calibri" w:eastAsia="Calibri" w:hAnsi="Calibri" w:cs="Calibri"/>
          <w:sz w:val="20"/>
          <w:szCs w:val="20"/>
        </w:rPr>
      </w:pPr>
    </w:p>
    <w:p w14:paraId="0165B00F" w14:textId="6C6F3C41" w:rsidR="00F53939" w:rsidRPr="0047117F" w:rsidRDefault="00F53939" w:rsidP="00F53939">
      <w:pPr>
        <w:jc w:val="both"/>
        <w:rPr>
          <w:rFonts w:ascii="Calibri" w:eastAsia="Calibri" w:hAnsi="Calibri" w:cs="Calibri"/>
          <w:sz w:val="20"/>
          <w:szCs w:val="20"/>
        </w:rPr>
      </w:pPr>
      <w:r w:rsidRPr="0047117F">
        <w:rPr>
          <w:rFonts w:ascii="Calibri" w:eastAsia="Calibri" w:hAnsi="Calibri" w:cs="Calibri"/>
          <w:sz w:val="20"/>
          <w:szCs w:val="20"/>
        </w:rPr>
        <w:t>Operating costs reduced to £7.3m (1H24: £36.4m), reflecting the non-repeat of £29.</w:t>
      </w:r>
      <w:r w:rsidR="007B1D1B">
        <w:rPr>
          <w:rFonts w:ascii="Calibri" w:eastAsia="Calibri" w:hAnsi="Calibri" w:cs="Calibri"/>
          <w:sz w:val="20"/>
          <w:szCs w:val="20"/>
        </w:rPr>
        <w:t>9</w:t>
      </w:r>
      <w:r w:rsidRPr="0047117F">
        <w:rPr>
          <w:rFonts w:ascii="Calibri" w:eastAsia="Calibri" w:hAnsi="Calibri" w:cs="Calibri"/>
          <w:sz w:val="20"/>
          <w:szCs w:val="20"/>
        </w:rPr>
        <w:t>m of prior year notable items.</w:t>
      </w:r>
    </w:p>
    <w:p w14:paraId="351FEFAA" w14:textId="77777777" w:rsidR="00F53939" w:rsidRPr="0047117F" w:rsidRDefault="00F53939" w:rsidP="00F53939">
      <w:pPr>
        <w:jc w:val="both"/>
        <w:rPr>
          <w:rFonts w:ascii="Calibri" w:eastAsia="Calibri" w:hAnsi="Calibri" w:cs="Calibri"/>
          <w:sz w:val="20"/>
          <w:szCs w:val="20"/>
        </w:rPr>
      </w:pPr>
    </w:p>
    <w:p w14:paraId="253A19CA" w14:textId="77777777" w:rsidR="00F53939" w:rsidRPr="0047117F" w:rsidRDefault="00F53939" w:rsidP="00F53939">
      <w:pPr>
        <w:jc w:val="both"/>
        <w:rPr>
          <w:rFonts w:ascii="Calibri" w:eastAsia="Calibri" w:hAnsi="Calibri" w:cs="Calibri"/>
          <w:sz w:val="20"/>
          <w:szCs w:val="20"/>
        </w:rPr>
      </w:pPr>
      <w:r w:rsidRPr="0047117F">
        <w:rPr>
          <w:rFonts w:ascii="Calibri" w:eastAsia="Calibri" w:hAnsi="Calibri" w:cs="Calibri"/>
          <w:sz w:val="20"/>
          <w:szCs w:val="20"/>
        </w:rPr>
        <w:t>Loss before tax contribution was £(10.2)m (1H24: £(38.8)m).</w:t>
      </w:r>
    </w:p>
    <w:p w14:paraId="20641CB1" w14:textId="77777777" w:rsidR="00F53939" w:rsidRDefault="00F53939" w:rsidP="00F53939">
      <w:pPr>
        <w:jc w:val="both"/>
        <w:rPr>
          <w:rFonts w:ascii="Calibri" w:eastAsia="Calibri" w:hAnsi="Calibri" w:cs="Calibri"/>
          <w:sz w:val="22"/>
          <w:szCs w:val="22"/>
        </w:rPr>
      </w:pPr>
    </w:p>
    <w:p w14:paraId="493BF491" w14:textId="7A80204D" w:rsidR="00F53939" w:rsidRDefault="00F53939" w:rsidP="00F53939">
      <w:pPr>
        <w:jc w:val="both"/>
        <w:rPr>
          <w:rFonts w:ascii="Calibri" w:eastAsia="Calibri" w:hAnsi="Calibri" w:cs="Arial"/>
          <w:b/>
          <w:bCs/>
          <w:color w:val="4747FF"/>
          <w:sz w:val="22"/>
          <w:szCs w:val="22"/>
        </w:rPr>
      </w:pPr>
      <w:r>
        <w:rPr>
          <w:rFonts w:ascii="Calibri" w:eastAsia="Calibri" w:hAnsi="Calibri" w:cs="Arial"/>
          <w:b/>
          <w:bCs/>
          <w:color w:val="4747FF"/>
          <w:sz w:val="22"/>
          <w:szCs w:val="22"/>
        </w:rPr>
        <w:t>Notable items</w:t>
      </w:r>
    </w:p>
    <w:p w14:paraId="436247A7" w14:textId="77777777" w:rsidR="00F53939" w:rsidRDefault="00F53939" w:rsidP="00F53939">
      <w:pPr>
        <w:jc w:val="both"/>
        <w:rPr>
          <w:rFonts w:ascii="Calibri" w:eastAsia="Calibri" w:hAnsi="Calibri" w:cs="Arial"/>
          <w:b/>
          <w:bCs/>
          <w:color w:val="4747FF"/>
          <w:sz w:val="22"/>
          <w:szCs w:val="22"/>
        </w:rPr>
      </w:pPr>
    </w:p>
    <w:tbl>
      <w:tblPr>
        <w:tblW w:w="5000" w:type="pct"/>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975"/>
        <w:gridCol w:w="1556"/>
        <w:gridCol w:w="1700"/>
        <w:gridCol w:w="832"/>
        <w:gridCol w:w="830"/>
        <w:gridCol w:w="830"/>
      </w:tblGrid>
      <w:tr w:rsidR="00F53939" w:rsidRPr="00A166EB" w14:paraId="4F6C2D3C" w14:textId="77777777" w:rsidTr="00A50D03">
        <w:trPr>
          <w:trHeight w:val="250"/>
        </w:trPr>
        <w:tc>
          <w:tcPr>
            <w:tcW w:w="2044" w:type="pct"/>
            <w:tcBorders>
              <w:top w:val="nil"/>
              <w:left w:val="nil"/>
              <w:bottom w:val="single" w:sz="4" w:space="0" w:color="auto"/>
              <w:right w:val="nil"/>
            </w:tcBorders>
            <w:tcMar>
              <w:top w:w="60" w:type="dxa"/>
              <w:bottom w:w="60" w:type="dxa"/>
            </w:tcMar>
            <w:vAlign w:val="bottom"/>
          </w:tcPr>
          <w:p w14:paraId="038749D9" w14:textId="77777777" w:rsidR="00F53939" w:rsidRPr="005130FC" w:rsidRDefault="00F53939" w:rsidP="00A50D03">
            <w:pPr>
              <w:rPr>
                <w:rFonts w:asciiTheme="minorHAnsi" w:hAnsiTheme="minorHAnsi" w:cstheme="minorHAnsi"/>
                <w:b/>
                <w:bCs/>
                <w:sz w:val="20"/>
                <w:szCs w:val="20"/>
              </w:rPr>
            </w:pPr>
            <w:r w:rsidRPr="00A166EB">
              <w:rPr>
                <w:rFonts w:asciiTheme="minorHAnsi" w:eastAsia="Poppins" w:hAnsiTheme="minorHAnsi" w:cstheme="minorHAnsi"/>
                <w:sz w:val="20"/>
                <w:szCs w:val="20"/>
              </w:rPr>
              <w:t>Six months ended (£m)</w:t>
            </w:r>
          </w:p>
        </w:tc>
        <w:tc>
          <w:tcPr>
            <w:tcW w:w="800" w:type="pct"/>
            <w:tcBorders>
              <w:top w:val="nil"/>
              <w:left w:val="nil"/>
              <w:bottom w:val="single" w:sz="4" w:space="0" w:color="auto"/>
              <w:right w:val="nil"/>
            </w:tcBorders>
          </w:tcPr>
          <w:p w14:paraId="7828B8CF" w14:textId="77777777" w:rsidR="00F53939" w:rsidRPr="003C2CB8" w:rsidRDefault="00F53939" w:rsidP="00A50D03">
            <w:pPr>
              <w:spacing w:line="259" w:lineRule="auto"/>
              <w:ind w:right="115"/>
              <w:jc w:val="center"/>
              <w:rPr>
                <w:rFonts w:asciiTheme="minorHAnsi" w:hAnsiTheme="minorHAnsi" w:cstheme="minorHAnsi"/>
                <w:sz w:val="20"/>
                <w:szCs w:val="20"/>
              </w:rPr>
            </w:pPr>
            <w:r w:rsidRPr="003C2CB8">
              <w:rPr>
                <w:rFonts w:asciiTheme="minorHAnsi" w:hAnsiTheme="minorHAnsi" w:cstheme="minorHAnsi"/>
                <w:sz w:val="20"/>
                <w:szCs w:val="20"/>
              </w:rPr>
              <w:t>Account line</w:t>
            </w:r>
          </w:p>
        </w:tc>
        <w:tc>
          <w:tcPr>
            <w:tcW w:w="874" w:type="pct"/>
            <w:tcBorders>
              <w:top w:val="nil"/>
              <w:left w:val="nil"/>
              <w:bottom w:val="single" w:sz="4" w:space="0" w:color="auto"/>
              <w:right w:val="nil"/>
            </w:tcBorders>
          </w:tcPr>
          <w:p w14:paraId="4D46D921" w14:textId="77777777" w:rsidR="00F53939" w:rsidRPr="003C2CB8" w:rsidRDefault="00F53939" w:rsidP="00A50D03">
            <w:pPr>
              <w:spacing w:line="259" w:lineRule="auto"/>
              <w:ind w:right="115"/>
              <w:jc w:val="center"/>
              <w:rPr>
                <w:rFonts w:asciiTheme="minorHAnsi" w:hAnsiTheme="minorHAnsi" w:cstheme="minorHAnsi"/>
                <w:sz w:val="20"/>
                <w:szCs w:val="20"/>
              </w:rPr>
            </w:pPr>
            <w:r w:rsidRPr="003C2CB8">
              <w:rPr>
                <w:rFonts w:asciiTheme="minorHAnsi" w:hAnsiTheme="minorHAnsi" w:cstheme="minorHAnsi"/>
                <w:sz w:val="20"/>
                <w:szCs w:val="20"/>
              </w:rPr>
              <w:t>Segment</w:t>
            </w:r>
          </w:p>
        </w:tc>
        <w:tc>
          <w:tcPr>
            <w:tcW w:w="428" w:type="pct"/>
            <w:tcBorders>
              <w:top w:val="nil"/>
              <w:left w:val="nil"/>
              <w:bottom w:val="single" w:sz="4" w:space="0" w:color="auto"/>
              <w:right w:val="nil"/>
            </w:tcBorders>
            <w:shd w:val="clear" w:color="auto" w:fill="F2F2F2" w:themeFill="background1" w:themeFillShade="F2"/>
            <w:vAlign w:val="center"/>
          </w:tcPr>
          <w:p w14:paraId="3204B19D" w14:textId="77777777" w:rsidR="00F53939" w:rsidRPr="005C0410" w:rsidRDefault="00F53939" w:rsidP="005C0410">
            <w:pPr>
              <w:jc w:val="right"/>
              <w:rPr>
                <w:rFonts w:asciiTheme="minorHAnsi" w:hAnsiTheme="minorHAnsi" w:cstheme="minorHAnsi"/>
                <w:b/>
                <w:bCs/>
                <w:sz w:val="20"/>
                <w:szCs w:val="20"/>
              </w:rPr>
            </w:pPr>
            <w:r w:rsidRPr="005C0410">
              <w:rPr>
                <w:rFonts w:asciiTheme="minorHAnsi" w:eastAsia="Inter Medium" w:hAnsiTheme="minorHAnsi" w:cstheme="minorHAnsi"/>
                <w:b/>
                <w:kern w:val="24"/>
                <w:sz w:val="20"/>
                <w:szCs w:val="20"/>
              </w:rPr>
              <w:t>Jun-25</w:t>
            </w:r>
          </w:p>
        </w:tc>
        <w:tc>
          <w:tcPr>
            <w:tcW w:w="427" w:type="pct"/>
            <w:tcBorders>
              <w:top w:val="nil"/>
              <w:left w:val="nil"/>
              <w:bottom w:val="single" w:sz="4" w:space="0" w:color="auto"/>
              <w:right w:val="nil"/>
            </w:tcBorders>
            <w:vAlign w:val="center"/>
          </w:tcPr>
          <w:p w14:paraId="791E99B7" w14:textId="77777777" w:rsidR="00F53939" w:rsidRDefault="00F53939" w:rsidP="00A50D03">
            <w:pPr>
              <w:jc w:val="right"/>
              <w:rPr>
                <w:rFonts w:asciiTheme="minorHAnsi" w:hAnsiTheme="minorHAnsi" w:cstheme="minorHAnsi"/>
                <w:kern w:val="24"/>
                <w:sz w:val="20"/>
                <w:szCs w:val="20"/>
              </w:rPr>
            </w:pPr>
            <w:r>
              <w:rPr>
                <w:rFonts w:asciiTheme="minorHAnsi" w:hAnsiTheme="minorHAnsi" w:cstheme="minorHAnsi"/>
                <w:kern w:val="24"/>
                <w:sz w:val="20"/>
                <w:szCs w:val="20"/>
              </w:rPr>
              <w:t>Dec-</w:t>
            </w:r>
            <w:r w:rsidRPr="00A166EB">
              <w:rPr>
                <w:rFonts w:asciiTheme="minorHAnsi" w:hAnsiTheme="minorHAnsi" w:cstheme="minorHAnsi"/>
                <w:kern w:val="24"/>
                <w:sz w:val="20"/>
                <w:szCs w:val="20"/>
              </w:rPr>
              <w:t>24</w:t>
            </w:r>
          </w:p>
        </w:tc>
        <w:tc>
          <w:tcPr>
            <w:tcW w:w="427" w:type="pct"/>
            <w:tcBorders>
              <w:top w:val="nil"/>
              <w:left w:val="nil"/>
              <w:bottom w:val="single" w:sz="4" w:space="0" w:color="auto"/>
              <w:right w:val="nil"/>
            </w:tcBorders>
            <w:vAlign w:val="center"/>
          </w:tcPr>
          <w:p w14:paraId="25FBFED6" w14:textId="77777777" w:rsidR="00F53939" w:rsidRPr="00A166EB" w:rsidRDefault="00F53939" w:rsidP="00A50D03">
            <w:pPr>
              <w:jc w:val="right"/>
              <w:rPr>
                <w:rFonts w:asciiTheme="minorHAnsi" w:eastAsia="Poppins" w:hAnsiTheme="minorHAnsi" w:cstheme="minorHAnsi"/>
                <w:sz w:val="20"/>
                <w:szCs w:val="20"/>
              </w:rPr>
            </w:pPr>
            <w:r>
              <w:rPr>
                <w:rFonts w:asciiTheme="minorHAnsi" w:hAnsiTheme="minorHAnsi" w:cstheme="minorHAnsi"/>
                <w:sz w:val="20"/>
                <w:szCs w:val="20"/>
              </w:rPr>
              <w:t>Jun-24</w:t>
            </w:r>
          </w:p>
        </w:tc>
      </w:tr>
      <w:tr w:rsidR="00F53939" w:rsidRPr="00224AA1" w14:paraId="6DAE6C4F" w14:textId="77777777" w:rsidTr="00A50D03">
        <w:trPr>
          <w:trHeight w:val="271"/>
        </w:trPr>
        <w:tc>
          <w:tcPr>
            <w:tcW w:w="2044" w:type="pct"/>
            <w:tcBorders>
              <w:top w:val="single" w:sz="4" w:space="0" w:color="auto"/>
              <w:left w:val="nil"/>
              <w:bottom w:val="nil"/>
              <w:right w:val="nil"/>
            </w:tcBorders>
          </w:tcPr>
          <w:p w14:paraId="04103A4E" w14:textId="77777777" w:rsidR="00F53939" w:rsidRPr="00A166EB" w:rsidRDefault="00F53939" w:rsidP="00A50D03">
            <w:pPr>
              <w:ind w:right="115"/>
              <w:rPr>
                <w:rFonts w:asciiTheme="minorHAnsi" w:eastAsia="Poppins" w:hAnsiTheme="minorHAnsi" w:cstheme="minorHAnsi"/>
                <w:sz w:val="20"/>
                <w:szCs w:val="20"/>
              </w:rPr>
            </w:pPr>
            <w:r w:rsidRPr="00A166EB">
              <w:rPr>
                <w:rFonts w:asciiTheme="minorHAnsi" w:hAnsiTheme="minorHAnsi" w:cstheme="minorHAnsi"/>
                <w:sz w:val="20"/>
                <w:szCs w:val="20"/>
              </w:rPr>
              <w:t>Goodwill write-off</w:t>
            </w:r>
          </w:p>
        </w:tc>
        <w:tc>
          <w:tcPr>
            <w:tcW w:w="800" w:type="pct"/>
            <w:tcBorders>
              <w:top w:val="single" w:sz="4" w:space="0" w:color="auto"/>
              <w:left w:val="nil"/>
              <w:bottom w:val="nil"/>
              <w:right w:val="nil"/>
            </w:tcBorders>
          </w:tcPr>
          <w:p w14:paraId="7D997E33" w14:textId="77777777" w:rsidR="00F53939" w:rsidRPr="003C2CB8" w:rsidRDefault="00F53939" w:rsidP="00A50D03">
            <w:pPr>
              <w:jc w:val="center"/>
              <w:rPr>
                <w:rFonts w:asciiTheme="minorHAnsi" w:hAnsiTheme="minorHAnsi" w:cstheme="minorHAnsi"/>
                <w:bCs/>
                <w:sz w:val="20"/>
                <w:szCs w:val="20"/>
              </w:rPr>
            </w:pPr>
            <w:r w:rsidRPr="003C2CB8">
              <w:rPr>
                <w:rFonts w:asciiTheme="minorHAnsi" w:hAnsiTheme="minorHAnsi" w:cstheme="minorHAnsi"/>
                <w:bCs/>
                <w:sz w:val="20"/>
                <w:szCs w:val="20"/>
              </w:rPr>
              <w:t>Operating costs</w:t>
            </w:r>
          </w:p>
        </w:tc>
        <w:tc>
          <w:tcPr>
            <w:tcW w:w="874" w:type="pct"/>
            <w:tcBorders>
              <w:top w:val="single" w:sz="4" w:space="0" w:color="auto"/>
              <w:left w:val="nil"/>
              <w:bottom w:val="nil"/>
              <w:right w:val="nil"/>
            </w:tcBorders>
          </w:tcPr>
          <w:p w14:paraId="048B6FC1" w14:textId="77777777" w:rsidR="00F53939" w:rsidRPr="003C2CB8" w:rsidRDefault="00F53939" w:rsidP="00A50D03">
            <w:pPr>
              <w:jc w:val="center"/>
              <w:rPr>
                <w:rFonts w:asciiTheme="minorHAnsi" w:hAnsiTheme="minorHAnsi" w:cstheme="minorHAnsi"/>
                <w:bCs/>
                <w:sz w:val="20"/>
                <w:szCs w:val="20"/>
              </w:rPr>
            </w:pPr>
            <w:r w:rsidRPr="003C2CB8">
              <w:rPr>
                <w:rFonts w:asciiTheme="minorHAnsi" w:hAnsiTheme="minorHAnsi" w:cstheme="minorHAnsi"/>
                <w:bCs/>
                <w:sz w:val="20"/>
                <w:szCs w:val="20"/>
              </w:rPr>
              <w:t>Corporate Centre</w:t>
            </w:r>
          </w:p>
        </w:tc>
        <w:tc>
          <w:tcPr>
            <w:tcW w:w="428" w:type="pct"/>
            <w:tcBorders>
              <w:top w:val="single" w:sz="4" w:space="0" w:color="auto"/>
              <w:left w:val="nil"/>
              <w:bottom w:val="nil"/>
              <w:right w:val="nil"/>
            </w:tcBorders>
            <w:shd w:val="clear" w:color="auto" w:fill="F2F2F2" w:themeFill="background1" w:themeFillShade="F2"/>
            <w:vAlign w:val="center"/>
          </w:tcPr>
          <w:p w14:paraId="744AF116" w14:textId="77777777" w:rsidR="00F53939" w:rsidRPr="00A166EB"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w:t>
            </w:r>
          </w:p>
        </w:tc>
        <w:tc>
          <w:tcPr>
            <w:tcW w:w="427" w:type="pct"/>
            <w:tcBorders>
              <w:top w:val="single" w:sz="4" w:space="0" w:color="auto"/>
              <w:left w:val="nil"/>
              <w:bottom w:val="nil"/>
              <w:right w:val="nil"/>
            </w:tcBorders>
            <w:vAlign w:val="center"/>
          </w:tcPr>
          <w:p w14:paraId="7A0FDF1C" w14:textId="77777777" w:rsidR="00F53939" w:rsidRPr="00224AA1" w:rsidRDefault="00F53939" w:rsidP="00A50D03">
            <w:pPr>
              <w:jc w:val="right"/>
              <w:rPr>
                <w:rFonts w:asciiTheme="minorHAnsi" w:hAnsiTheme="minorHAnsi" w:cstheme="minorHAnsi"/>
                <w:bCs/>
                <w:sz w:val="20"/>
                <w:szCs w:val="20"/>
              </w:rPr>
            </w:pPr>
            <w:r w:rsidRPr="00224AA1">
              <w:rPr>
                <w:rFonts w:asciiTheme="minorHAnsi" w:hAnsiTheme="minorHAnsi" w:cstheme="minorHAnsi"/>
                <w:bCs/>
                <w:sz w:val="20"/>
                <w:szCs w:val="20"/>
              </w:rPr>
              <w:t>(71.2)</w:t>
            </w:r>
          </w:p>
        </w:tc>
        <w:tc>
          <w:tcPr>
            <w:tcW w:w="427" w:type="pct"/>
            <w:tcBorders>
              <w:top w:val="single" w:sz="4" w:space="0" w:color="auto"/>
              <w:left w:val="nil"/>
              <w:bottom w:val="nil"/>
              <w:right w:val="nil"/>
            </w:tcBorders>
            <w:vAlign w:val="center"/>
          </w:tcPr>
          <w:p w14:paraId="4DEF3AC5" w14:textId="77777777" w:rsidR="00F53939" w:rsidRPr="00224AA1" w:rsidRDefault="00F53939" w:rsidP="00A50D03">
            <w:pPr>
              <w:jc w:val="right"/>
              <w:rPr>
                <w:rFonts w:asciiTheme="minorHAnsi" w:hAnsiTheme="minorHAnsi" w:cstheme="minorHAnsi"/>
                <w:bCs/>
                <w:sz w:val="20"/>
                <w:szCs w:val="20"/>
              </w:rPr>
            </w:pPr>
            <w:r w:rsidRPr="00A166EB">
              <w:rPr>
                <w:rFonts w:asciiTheme="minorHAnsi" w:hAnsiTheme="minorHAnsi" w:cstheme="minorHAnsi"/>
                <w:bCs/>
                <w:kern w:val="24"/>
                <w:sz w:val="20"/>
                <w:szCs w:val="20"/>
              </w:rPr>
              <w:t>-</w:t>
            </w:r>
          </w:p>
        </w:tc>
      </w:tr>
      <w:tr w:rsidR="00F53939" w:rsidRPr="00224AA1" w14:paraId="2AE129FB" w14:textId="77777777" w:rsidTr="00A50D03">
        <w:trPr>
          <w:trHeight w:val="271"/>
        </w:trPr>
        <w:tc>
          <w:tcPr>
            <w:tcW w:w="2044" w:type="pct"/>
            <w:tcBorders>
              <w:top w:val="nil"/>
              <w:left w:val="nil"/>
              <w:bottom w:val="nil"/>
              <w:right w:val="nil"/>
            </w:tcBorders>
          </w:tcPr>
          <w:p w14:paraId="577DFD3F" w14:textId="77777777" w:rsidR="00F53939" w:rsidRPr="00A166EB" w:rsidRDefault="00F53939" w:rsidP="00A50D03">
            <w:pPr>
              <w:ind w:right="115"/>
              <w:rPr>
                <w:rFonts w:asciiTheme="minorHAnsi" w:hAnsiTheme="minorHAnsi" w:cstheme="minorHAnsi"/>
                <w:sz w:val="20"/>
                <w:szCs w:val="20"/>
              </w:rPr>
            </w:pPr>
            <w:r>
              <w:rPr>
                <w:rFonts w:asciiTheme="minorHAnsi" w:hAnsiTheme="minorHAnsi" w:cstheme="minorHAnsi"/>
                <w:sz w:val="20"/>
                <w:szCs w:val="20"/>
              </w:rPr>
              <w:t>Transformation and other exceptional costs</w:t>
            </w:r>
          </w:p>
        </w:tc>
        <w:tc>
          <w:tcPr>
            <w:tcW w:w="800" w:type="pct"/>
            <w:tcBorders>
              <w:top w:val="nil"/>
              <w:left w:val="nil"/>
              <w:bottom w:val="nil"/>
              <w:right w:val="nil"/>
            </w:tcBorders>
          </w:tcPr>
          <w:p w14:paraId="17693F1E" w14:textId="77777777" w:rsidR="00F53939" w:rsidRDefault="00F53939" w:rsidP="00A50D03">
            <w:pPr>
              <w:jc w:val="center"/>
              <w:rPr>
                <w:rFonts w:asciiTheme="minorHAnsi" w:hAnsiTheme="minorHAnsi" w:cstheme="minorHAnsi"/>
                <w:b/>
                <w:sz w:val="20"/>
                <w:szCs w:val="20"/>
              </w:rPr>
            </w:pPr>
            <w:r w:rsidRPr="003C2CB8">
              <w:rPr>
                <w:rFonts w:asciiTheme="minorHAnsi" w:hAnsiTheme="minorHAnsi" w:cstheme="minorHAnsi"/>
                <w:bCs/>
                <w:sz w:val="20"/>
                <w:szCs w:val="20"/>
              </w:rPr>
              <w:t>Operating costs</w:t>
            </w:r>
          </w:p>
        </w:tc>
        <w:tc>
          <w:tcPr>
            <w:tcW w:w="874" w:type="pct"/>
            <w:tcBorders>
              <w:top w:val="nil"/>
              <w:left w:val="nil"/>
              <w:bottom w:val="nil"/>
              <w:right w:val="nil"/>
            </w:tcBorders>
          </w:tcPr>
          <w:p w14:paraId="3BA72496" w14:textId="77777777" w:rsidR="00F53939" w:rsidRDefault="00F53939" w:rsidP="00A50D03">
            <w:pPr>
              <w:jc w:val="center"/>
              <w:rPr>
                <w:rFonts w:asciiTheme="minorHAnsi" w:hAnsiTheme="minorHAnsi" w:cstheme="minorHAnsi"/>
                <w:b/>
                <w:sz w:val="20"/>
                <w:szCs w:val="20"/>
              </w:rPr>
            </w:pPr>
            <w:r w:rsidRPr="003C2CB8">
              <w:rPr>
                <w:rFonts w:asciiTheme="minorHAnsi" w:hAnsiTheme="minorHAnsi" w:cstheme="minorHAnsi"/>
                <w:bCs/>
                <w:sz w:val="20"/>
                <w:szCs w:val="20"/>
              </w:rPr>
              <w:t>Corporate Centre</w:t>
            </w:r>
          </w:p>
        </w:tc>
        <w:tc>
          <w:tcPr>
            <w:tcW w:w="428" w:type="pct"/>
            <w:tcBorders>
              <w:top w:val="nil"/>
              <w:left w:val="nil"/>
              <w:bottom w:val="nil"/>
              <w:right w:val="nil"/>
            </w:tcBorders>
            <w:shd w:val="clear" w:color="auto" w:fill="F2F2F2" w:themeFill="background1" w:themeFillShade="F2"/>
            <w:vAlign w:val="center"/>
          </w:tcPr>
          <w:p w14:paraId="16335B4C" w14:textId="77777777" w:rsidR="00F53939"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w:t>
            </w:r>
          </w:p>
        </w:tc>
        <w:tc>
          <w:tcPr>
            <w:tcW w:w="427" w:type="pct"/>
            <w:tcBorders>
              <w:top w:val="nil"/>
              <w:left w:val="nil"/>
              <w:bottom w:val="nil"/>
              <w:right w:val="nil"/>
            </w:tcBorders>
            <w:vAlign w:val="center"/>
          </w:tcPr>
          <w:p w14:paraId="4B422D0E" w14:textId="77777777" w:rsidR="00F53939" w:rsidRDefault="00F53939" w:rsidP="00A50D03">
            <w:pPr>
              <w:jc w:val="right"/>
              <w:rPr>
                <w:rFonts w:asciiTheme="minorHAnsi" w:hAnsiTheme="minorHAnsi" w:cstheme="minorHAnsi"/>
                <w:bCs/>
                <w:sz w:val="20"/>
                <w:szCs w:val="20"/>
              </w:rPr>
            </w:pPr>
            <w:r>
              <w:rPr>
                <w:rFonts w:asciiTheme="minorHAnsi" w:hAnsiTheme="minorHAnsi" w:cstheme="minorHAnsi"/>
                <w:bCs/>
                <w:sz w:val="20"/>
                <w:szCs w:val="20"/>
              </w:rPr>
              <w:t>(8.6)</w:t>
            </w:r>
          </w:p>
        </w:tc>
        <w:tc>
          <w:tcPr>
            <w:tcW w:w="427" w:type="pct"/>
            <w:tcBorders>
              <w:top w:val="nil"/>
              <w:left w:val="nil"/>
              <w:bottom w:val="nil"/>
              <w:right w:val="nil"/>
            </w:tcBorders>
            <w:vAlign w:val="center"/>
          </w:tcPr>
          <w:p w14:paraId="44C73FA3" w14:textId="77777777" w:rsidR="00F53939" w:rsidRPr="00224AA1" w:rsidRDefault="00F53939" w:rsidP="00A50D03">
            <w:pPr>
              <w:jc w:val="right"/>
              <w:rPr>
                <w:rFonts w:asciiTheme="minorHAnsi" w:hAnsiTheme="minorHAnsi" w:cstheme="minorHAnsi"/>
                <w:bCs/>
                <w:sz w:val="20"/>
                <w:szCs w:val="20"/>
              </w:rPr>
            </w:pPr>
            <w:r>
              <w:rPr>
                <w:rFonts w:asciiTheme="minorHAnsi" w:hAnsiTheme="minorHAnsi" w:cstheme="minorHAnsi"/>
                <w:bCs/>
                <w:kern w:val="24"/>
                <w:sz w:val="20"/>
                <w:szCs w:val="20"/>
              </w:rPr>
              <w:t>(15.5)</w:t>
            </w:r>
          </w:p>
        </w:tc>
      </w:tr>
      <w:tr w:rsidR="00F53939" w:rsidRPr="00224AA1" w14:paraId="579F95D5" w14:textId="77777777" w:rsidTr="00A50D03">
        <w:trPr>
          <w:trHeight w:val="271"/>
        </w:trPr>
        <w:tc>
          <w:tcPr>
            <w:tcW w:w="2044" w:type="pct"/>
            <w:tcBorders>
              <w:top w:val="nil"/>
              <w:left w:val="nil"/>
              <w:bottom w:val="nil"/>
              <w:right w:val="nil"/>
            </w:tcBorders>
          </w:tcPr>
          <w:p w14:paraId="1B144CE4" w14:textId="77777777" w:rsidR="00F53939" w:rsidRDefault="00F53939" w:rsidP="00A50D03">
            <w:pPr>
              <w:ind w:right="115"/>
              <w:rPr>
                <w:rFonts w:asciiTheme="minorHAnsi" w:hAnsiTheme="minorHAnsi" w:cstheme="minorHAnsi"/>
                <w:sz w:val="20"/>
                <w:szCs w:val="20"/>
              </w:rPr>
            </w:pPr>
            <w:r>
              <w:rPr>
                <w:rFonts w:asciiTheme="minorHAnsi" w:hAnsiTheme="minorHAnsi" w:cstheme="minorHAnsi"/>
                <w:sz w:val="20"/>
                <w:szCs w:val="20"/>
              </w:rPr>
              <w:t>Amortisation of acquisition intangibles</w:t>
            </w:r>
          </w:p>
        </w:tc>
        <w:tc>
          <w:tcPr>
            <w:tcW w:w="800" w:type="pct"/>
            <w:tcBorders>
              <w:top w:val="nil"/>
              <w:left w:val="nil"/>
              <w:bottom w:val="nil"/>
              <w:right w:val="nil"/>
            </w:tcBorders>
          </w:tcPr>
          <w:p w14:paraId="74D67DF9" w14:textId="77777777" w:rsidR="00F53939" w:rsidRPr="003C2CB8" w:rsidRDefault="00F53939" w:rsidP="00A50D03">
            <w:pPr>
              <w:jc w:val="center"/>
              <w:rPr>
                <w:rFonts w:asciiTheme="minorHAnsi" w:hAnsiTheme="minorHAnsi" w:cstheme="minorHAnsi"/>
                <w:bCs/>
                <w:sz w:val="20"/>
                <w:szCs w:val="20"/>
              </w:rPr>
            </w:pPr>
            <w:r w:rsidRPr="003C2CB8">
              <w:rPr>
                <w:rFonts w:asciiTheme="minorHAnsi" w:hAnsiTheme="minorHAnsi" w:cstheme="minorHAnsi"/>
                <w:bCs/>
                <w:sz w:val="20"/>
                <w:szCs w:val="20"/>
              </w:rPr>
              <w:t>Operating costs</w:t>
            </w:r>
          </w:p>
        </w:tc>
        <w:tc>
          <w:tcPr>
            <w:tcW w:w="874" w:type="pct"/>
            <w:tcBorders>
              <w:top w:val="nil"/>
              <w:left w:val="nil"/>
              <w:bottom w:val="nil"/>
              <w:right w:val="nil"/>
            </w:tcBorders>
          </w:tcPr>
          <w:p w14:paraId="63ABADAB" w14:textId="77777777" w:rsidR="00F53939" w:rsidRPr="003C2CB8" w:rsidRDefault="00F53939" w:rsidP="00A50D03">
            <w:pPr>
              <w:jc w:val="center"/>
              <w:rPr>
                <w:rFonts w:asciiTheme="minorHAnsi" w:hAnsiTheme="minorHAnsi" w:cstheme="minorHAnsi"/>
                <w:bCs/>
                <w:sz w:val="20"/>
                <w:szCs w:val="20"/>
              </w:rPr>
            </w:pPr>
            <w:r w:rsidRPr="003C2CB8">
              <w:rPr>
                <w:rFonts w:asciiTheme="minorHAnsi" w:hAnsiTheme="minorHAnsi" w:cstheme="minorHAnsi"/>
                <w:bCs/>
                <w:sz w:val="20"/>
                <w:szCs w:val="20"/>
              </w:rPr>
              <w:t>Corporate Centre</w:t>
            </w:r>
          </w:p>
        </w:tc>
        <w:tc>
          <w:tcPr>
            <w:tcW w:w="428" w:type="pct"/>
            <w:tcBorders>
              <w:top w:val="nil"/>
              <w:left w:val="nil"/>
              <w:bottom w:val="nil"/>
              <w:right w:val="nil"/>
            </w:tcBorders>
            <w:shd w:val="clear" w:color="auto" w:fill="F2F2F2" w:themeFill="background1" w:themeFillShade="F2"/>
            <w:vAlign w:val="center"/>
          </w:tcPr>
          <w:p w14:paraId="4C326ED5" w14:textId="77777777" w:rsidR="00F53939"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w:t>
            </w:r>
          </w:p>
        </w:tc>
        <w:tc>
          <w:tcPr>
            <w:tcW w:w="427" w:type="pct"/>
            <w:tcBorders>
              <w:top w:val="nil"/>
              <w:left w:val="nil"/>
              <w:bottom w:val="nil"/>
              <w:right w:val="nil"/>
            </w:tcBorders>
            <w:vAlign w:val="center"/>
          </w:tcPr>
          <w:p w14:paraId="45D2C8EE" w14:textId="77777777" w:rsidR="00F53939" w:rsidRDefault="00F53939" w:rsidP="00A50D03">
            <w:pPr>
              <w:jc w:val="right"/>
              <w:rPr>
                <w:rFonts w:asciiTheme="minorHAnsi" w:hAnsiTheme="minorHAnsi" w:cstheme="minorHAnsi"/>
                <w:bCs/>
                <w:sz w:val="20"/>
                <w:szCs w:val="20"/>
              </w:rPr>
            </w:pPr>
            <w:r>
              <w:rPr>
                <w:rFonts w:asciiTheme="minorHAnsi" w:hAnsiTheme="minorHAnsi" w:cstheme="minorHAnsi"/>
                <w:bCs/>
                <w:sz w:val="20"/>
                <w:szCs w:val="20"/>
              </w:rPr>
              <w:t>(2.0)</w:t>
            </w:r>
          </w:p>
        </w:tc>
        <w:tc>
          <w:tcPr>
            <w:tcW w:w="427" w:type="pct"/>
            <w:tcBorders>
              <w:top w:val="nil"/>
              <w:left w:val="nil"/>
              <w:bottom w:val="nil"/>
              <w:right w:val="nil"/>
            </w:tcBorders>
            <w:vAlign w:val="center"/>
          </w:tcPr>
          <w:p w14:paraId="42732D59" w14:textId="77777777" w:rsidR="00F53939" w:rsidRDefault="00F53939" w:rsidP="00A50D03">
            <w:pPr>
              <w:jc w:val="right"/>
              <w:rPr>
                <w:rFonts w:asciiTheme="minorHAnsi" w:hAnsiTheme="minorHAnsi" w:cstheme="minorHAnsi"/>
                <w:bCs/>
                <w:kern w:val="24"/>
                <w:sz w:val="20"/>
                <w:szCs w:val="20"/>
              </w:rPr>
            </w:pPr>
            <w:r>
              <w:rPr>
                <w:rFonts w:asciiTheme="minorHAnsi" w:hAnsiTheme="minorHAnsi" w:cstheme="minorHAnsi"/>
                <w:bCs/>
                <w:kern w:val="24"/>
                <w:sz w:val="20"/>
                <w:szCs w:val="20"/>
              </w:rPr>
              <w:t>(4.2)</w:t>
            </w:r>
          </w:p>
        </w:tc>
      </w:tr>
      <w:tr w:rsidR="00F53939" w:rsidRPr="009032C9" w14:paraId="74B42A04" w14:textId="77777777" w:rsidTr="00A50D03">
        <w:trPr>
          <w:trHeight w:val="271"/>
        </w:trPr>
        <w:tc>
          <w:tcPr>
            <w:tcW w:w="2044" w:type="pct"/>
            <w:tcBorders>
              <w:top w:val="nil"/>
              <w:left w:val="nil"/>
              <w:bottom w:val="nil"/>
              <w:right w:val="nil"/>
            </w:tcBorders>
          </w:tcPr>
          <w:p w14:paraId="2043F8CD" w14:textId="77777777" w:rsidR="00F53939" w:rsidRPr="00A166EB" w:rsidRDefault="00F53939" w:rsidP="00A50D03">
            <w:pPr>
              <w:ind w:right="115"/>
              <w:rPr>
                <w:rFonts w:asciiTheme="minorHAnsi" w:hAnsiTheme="minorHAnsi" w:cstheme="minorHAnsi"/>
                <w:sz w:val="20"/>
                <w:szCs w:val="20"/>
              </w:rPr>
            </w:pPr>
            <w:r>
              <w:rPr>
                <w:rFonts w:asciiTheme="minorHAnsi" w:hAnsiTheme="minorHAnsi" w:cstheme="minorHAnsi"/>
                <w:sz w:val="20"/>
                <w:szCs w:val="20"/>
              </w:rPr>
              <w:t xml:space="preserve">Vehicle Finance receivables review </w:t>
            </w:r>
          </w:p>
        </w:tc>
        <w:tc>
          <w:tcPr>
            <w:tcW w:w="800" w:type="pct"/>
            <w:tcBorders>
              <w:top w:val="nil"/>
              <w:left w:val="nil"/>
              <w:bottom w:val="nil"/>
              <w:right w:val="nil"/>
            </w:tcBorders>
          </w:tcPr>
          <w:p w14:paraId="6AACA3F1" w14:textId="77777777" w:rsidR="00F53939" w:rsidRDefault="00F53939" w:rsidP="00A50D03">
            <w:pPr>
              <w:jc w:val="center"/>
              <w:rPr>
                <w:rFonts w:asciiTheme="minorHAnsi" w:hAnsiTheme="minorHAnsi" w:cstheme="minorHAnsi"/>
                <w:b/>
                <w:sz w:val="20"/>
                <w:szCs w:val="20"/>
              </w:rPr>
            </w:pPr>
            <w:r>
              <w:rPr>
                <w:rFonts w:asciiTheme="minorHAnsi" w:hAnsiTheme="minorHAnsi" w:cstheme="minorHAnsi"/>
                <w:bCs/>
                <w:sz w:val="20"/>
                <w:szCs w:val="20"/>
              </w:rPr>
              <w:t>Income</w:t>
            </w:r>
          </w:p>
        </w:tc>
        <w:tc>
          <w:tcPr>
            <w:tcW w:w="874" w:type="pct"/>
            <w:tcBorders>
              <w:top w:val="nil"/>
              <w:left w:val="nil"/>
              <w:bottom w:val="nil"/>
              <w:right w:val="nil"/>
            </w:tcBorders>
          </w:tcPr>
          <w:p w14:paraId="7C1A3BB9" w14:textId="77777777" w:rsidR="00F53939" w:rsidRPr="003C2CB8" w:rsidRDefault="00F53939" w:rsidP="00A50D03">
            <w:pPr>
              <w:jc w:val="center"/>
              <w:rPr>
                <w:rFonts w:asciiTheme="minorHAnsi" w:hAnsiTheme="minorHAnsi" w:cstheme="minorHAnsi"/>
                <w:bCs/>
                <w:sz w:val="20"/>
                <w:szCs w:val="20"/>
              </w:rPr>
            </w:pPr>
            <w:r w:rsidRPr="003C2CB8">
              <w:rPr>
                <w:rFonts w:asciiTheme="minorHAnsi" w:hAnsiTheme="minorHAnsi" w:cstheme="minorHAnsi"/>
                <w:bCs/>
                <w:sz w:val="20"/>
                <w:szCs w:val="20"/>
              </w:rPr>
              <w:t>Vehicle Finance</w:t>
            </w:r>
          </w:p>
        </w:tc>
        <w:tc>
          <w:tcPr>
            <w:tcW w:w="428" w:type="pct"/>
            <w:tcBorders>
              <w:top w:val="nil"/>
              <w:left w:val="nil"/>
              <w:bottom w:val="nil"/>
              <w:right w:val="nil"/>
            </w:tcBorders>
            <w:shd w:val="clear" w:color="auto" w:fill="F2F2F2" w:themeFill="background1" w:themeFillShade="F2"/>
            <w:vAlign w:val="center"/>
          </w:tcPr>
          <w:p w14:paraId="15722CFC" w14:textId="77777777" w:rsidR="00F53939" w:rsidRPr="00A166EB"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w:t>
            </w:r>
          </w:p>
        </w:tc>
        <w:tc>
          <w:tcPr>
            <w:tcW w:w="427" w:type="pct"/>
            <w:tcBorders>
              <w:top w:val="nil"/>
              <w:left w:val="nil"/>
              <w:bottom w:val="nil"/>
              <w:right w:val="nil"/>
            </w:tcBorders>
            <w:vAlign w:val="center"/>
          </w:tcPr>
          <w:p w14:paraId="58346DED" w14:textId="77777777" w:rsidR="00F53939" w:rsidRDefault="00F53939" w:rsidP="00A50D03">
            <w:pPr>
              <w:jc w:val="right"/>
              <w:rPr>
                <w:rFonts w:asciiTheme="minorHAnsi" w:hAnsiTheme="minorHAnsi" w:cstheme="minorHAnsi"/>
                <w:bCs/>
                <w:sz w:val="20"/>
                <w:szCs w:val="20"/>
              </w:rPr>
            </w:pPr>
            <w:r>
              <w:rPr>
                <w:rFonts w:asciiTheme="minorHAnsi" w:hAnsiTheme="minorHAnsi" w:cstheme="minorHAnsi"/>
                <w:bCs/>
                <w:sz w:val="20"/>
                <w:szCs w:val="20"/>
              </w:rPr>
              <w:t>(1.4)</w:t>
            </w:r>
          </w:p>
        </w:tc>
        <w:tc>
          <w:tcPr>
            <w:tcW w:w="427" w:type="pct"/>
            <w:tcBorders>
              <w:top w:val="nil"/>
              <w:left w:val="nil"/>
              <w:bottom w:val="nil"/>
              <w:right w:val="nil"/>
            </w:tcBorders>
            <w:vAlign w:val="center"/>
          </w:tcPr>
          <w:p w14:paraId="6E6A07A5" w14:textId="77777777" w:rsidR="00F53939" w:rsidRPr="009032C9" w:rsidRDefault="00F53939" w:rsidP="00A50D03">
            <w:pPr>
              <w:jc w:val="right"/>
              <w:rPr>
                <w:rFonts w:asciiTheme="minorHAnsi" w:hAnsiTheme="minorHAnsi" w:cstheme="minorHAnsi"/>
                <w:bCs/>
                <w:sz w:val="20"/>
                <w:szCs w:val="20"/>
              </w:rPr>
            </w:pPr>
            <w:r>
              <w:rPr>
                <w:rFonts w:asciiTheme="minorHAnsi" w:hAnsiTheme="minorHAnsi" w:cstheme="minorHAnsi"/>
                <w:bCs/>
                <w:sz w:val="20"/>
                <w:szCs w:val="20"/>
              </w:rPr>
              <w:t>(3.1)</w:t>
            </w:r>
          </w:p>
        </w:tc>
      </w:tr>
      <w:tr w:rsidR="00F53939" w14:paraId="1B272B3B" w14:textId="77777777" w:rsidTr="00A50D03">
        <w:trPr>
          <w:trHeight w:val="271"/>
        </w:trPr>
        <w:tc>
          <w:tcPr>
            <w:tcW w:w="2044" w:type="pct"/>
            <w:tcBorders>
              <w:top w:val="nil"/>
              <w:left w:val="nil"/>
              <w:bottom w:val="nil"/>
              <w:right w:val="nil"/>
            </w:tcBorders>
          </w:tcPr>
          <w:p w14:paraId="3EBCDD01" w14:textId="77777777" w:rsidR="00F53939" w:rsidRDefault="00F53939" w:rsidP="00A50D03">
            <w:pPr>
              <w:ind w:right="115"/>
              <w:rPr>
                <w:rFonts w:asciiTheme="minorHAnsi" w:hAnsiTheme="minorHAnsi" w:cstheme="minorHAnsi"/>
                <w:sz w:val="20"/>
                <w:szCs w:val="20"/>
              </w:rPr>
            </w:pPr>
          </w:p>
        </w:tc>
        <w:tc>
          <w:tcPr>
            <w:tcW w:w="800" w:type="pct"/>
            <w:tcBorders>
              <w:top w:val="nil"/>
              <w:left w:val="nil"/>
              <w:bottom w:val="nil"/>
              <w:right w:val="nil"/>
            </w:tcBorders>
          </w:tcPr>
          <w:p w14:paraId="6E774B73" w14:textId="77777777" w:rsidR="00F53939" w:rsidRPr="003C2CB8" w:rsidRDefault="00F53939" w:rsidP="00A50D03">
            <w:pPr>
              <w:jc w:val="center"/>
              <w:rPr>
                <w:rFonts w:asciiTheme="minorHAnsi" w:hAnsiTheme="minorHAnsi" w:cstheme="minorHAnsi"/>
                <w:bCs/>
                <w:sz w:val="20"/>
                <w:szCs w:val="20"/>
              </w:rPr>
            </w:pPr>
            <w:r w:rsidRPr="003C2CB8">
              <w:rPr>
                <w:rFonts w:asciiTheme="minorHAnsi" w:hAnsiTheme="minorHAnsi" w:cstheme="minorHAnsi"/>
                <w:bCs/>
                <w:sz w:val="20"/>
                <w:szCs w:val="20"/>
              </w:rPr>
              <w:t>Impairment</w:t>
            </w:r>
          </w:p>
        </w:tc>
        <w:tc>
          <w:tcPr>
            <w:tcW w:w="874" w:type="pct"/>
            <w:tcBorders>
              <w:top w:val="nil"/>
              <w:left w:val="nil"/>
              <w:bottom w:val="nil"/>
              <w:right w:val="nil"/>
            </w:tcBorders>
          </w:tcPr>
          <w:p w14:paraId="71965DAE" w14:textId="77777777" w:rsidR="00F53939" w:rsidRPr="003C2CB8" w:rsidRDefault="00F53939" w:rsidP="00A50D03">
            <w:pPr>
              <w:jc w:val="center"/>
              <w:rPr>
                <w:rFonts w:asciiTheme="minorHAnsi" w:hAnsiTheme="minorHAnsi" w:cstheme="minorHAnsi"/>
                <w:bCs/>
                <w:sz w:val="20"/>
                <w:szCs w:val="20"/>
              </w:rPr>
            </w:pPr>
            <w:r w:rsidRPr="003C2CB8">
              <w:rPr>
                <w:rFonts w:asciiTheme="minorHAnsi" w:hAnsiTheme="minorHAnsi" w:cstheme="minorHAnsi"/>
                <w:bCs/>
                <w:sz w:val="20"/>
                <w:szCs w:val="20"/>
              </w:rPr>
              <w:t>Vehicle Finance</w:t>
            </w:r>
          </w:p>
        </w:tc>
        <w:tc>
          <w:tcPr>
            <w:tcW w:w="428" w:type="pct"/>
            <w:tcBorders>
              <w:top w:val="nil"/>
              <w:left w:val="nil"/>
              <w:bottom w:val="nil"/>
              <w:right w:val="nil"/>
            </w:tcBorders>
            <w:shd w:val="clear" w:color="auto" w:fill="F2F2F2" w:themeFill="background1" w:themeFillShade="F2"/>
            <w:vAlign w:val="center"/>
          </w:tcPr>
          <w:p w14:paraId="3094D36C" w14:textId="77777777" w:rsidR="00F53939"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w:t>
            </w:r>
          </w:p>
        </w:tc>
        <w:tc>
          <w:tcPr>
            <w:tcW w:w="427" w:type="pct"/>
            <w:tcBorders>
              <w:top w:val="nil"/>
              <w:left w:val="nil"/>
              <w:bottom w:val="nil"/>
              <w:right w:val="nil"/>
            </w:tcBorders>
            <w:vAlign w:val="center"/>
          </w:tcPr>
          <w:p w14:paraId="587FAFC6" w14:textId="77777777" w:rsidR="00F53939" w:rsidRPr="00FD26DD" w:rsidRDefault="00F53939" w:rsidP="00A50D03">
            <w:pPr>
              <w:jc w:val="right"/>
              <w:rPr>
                <w:rFonts w:asciiTheme="minorHAnsi" w:hAnsiTheme="minorHAnsi" w:cstheme="minorHAnsi"/>
                <w:bCs/>
                <w:sz w:val="20"/>
                <w:szCs w:val="20"/>
              </w:rPr>
            </w:pPr>
            <w:r>
              <w:rPr>
                <w:rFonts w:asciiTheme="minorHAnsi" w:hAnsiTheme="minorHAnsi" w:cstheme="minorHAnsi"/>
                <w:bCs/>
                <w:sz w:val="20"/>
                <w:szCs w:val="20"/>
              </w:rPr>
              <w:t>(5.4)</w:t>
            </w:r>
          </w:p>
        </w:tc>
        <w:tc>
          <w:tcPr>
            <w:tcW w:w="427" w:type="pct"/>
            <w:tcBorders>
              <w:top w:val="nil"/>
              <w:left w:val="nil"/>
              <w:bottom w:val="nil"/>
              <w:right w:val="nil"/>
            </w:tcBorders>
            <w:vAlign w:val="center"/>
          </w:tcPr>
          <w:p w14:paraId="35871B18" w14:textId="77777777" w:rsidR="00F53939" w:rsidRDefault="00F53939" w:rsidP="00A50D03">
            <w:pPr>
              <w:jc w:val="right"/>
              <w:rPr>
                <w:rFonts w:asciiTheme="minorHAnsi" w:hAnsiTheme="minorHAnsi" w:cstheme="minorHAnsi"/>
                <w:bCs/>
                <w:sz w:val="20"/>
                <w:szCs w:val="20"/>
              </w:rPr>
            </w:pPr>
            <w:r>
              <w:rPr>
                <w:rFonts w:asciiTheme="minorHAnsi" w:hAnsiTheme="minorHAnsi" w:cstheme="minorHAnsi"/>
                <w:bCs/>
                <w:sz w:val="20"/>
                <w:szCs w:val="20"/>
              </w:rPr>
              <w:t>(9.7)</w:t>
            </w:r>
          </w:p>
        </w:tc>
      </w:tr>
      <w:tr w:rsidR="00F53939" w:rsidRPr="00E40E39" w14:paraId="74836E7F" w14:textId="77777777" w:rsidTr="00A50D03">
        <w:trPr>
          <w:trHeight w:val="271"/>
        </w:trPr>
        <w:tc>
          <w:tcPr>
            <w:tcW w:w="2044" w:type="pct"/>
            <w:tcBorders>
              <w:top w:val="nil"/>
              <w:left w:val="nil"/>
              <w:bottom w:val="single" w:sz="4" w:space="0" w:color="auto"/>
              <w:right w:val="nil"/>
            </w:tcBorders>
          </w:tcPr>
          <w:p w14:paraId="48B24329" w14:textId="77777777" w:rsidR="00F53939" w:rsidRPr="00E40E39" w:rsidRDefault="00F53939" w:rsidP="00A50D03">
            <w:pPr>
              <w:ind w:right="115"/>
              <w:rPr>
                <w:rFonts w:asciiTheme="minorHAnsi" w:eastAsia="Poppins" w:hAnsiTheme="minorHAnsi" w:cstheme="minorHAnsi"/>
                <w:bCs/>
                <w:sz w:val="20"/>
                <w:szCs w:val="20"/>
              </w:rPr>
            </w:pPr>
            <w:r w:rsidRPr="00E40E39">
              <w:rPr>
                <w:rFonts w:asciiTheme="minorHAnsi" w:eastAsia="Poppins" w:hAnsiTheme="minorHAnsi" w:cstheme="minorHAnsi"/>
                <w:bCs/>
                <w:sz w:val="20"/>
                <w:szCs w:val="20"/>
              </w:rPr>
              <w:t xml:space="preserve">Other one-off </w:t>
            </w:r>
            <w:r>
              <w:rPr>
                <w:rFonts w:asciiTheme="minorHAnsi" w:eastAsia="Poppins" w:hAnsiTheme="minorHAnsi" w:cstheme="minorHAnsi"/>
                <w:bCs/>
                <w:sz w:val="20"/>
                <w:szCs w:val="20"/>
              </w:rPr>
              <w:t xml:space="preserve">cost </w:t>
            </w:r>
            <w:r w:rsidRPr="00E40E39">
              <w:rPr>
                <w:rFonts w:asciiTheme="minorHAnsi" w:eastAsia="Poppins" w:hAnsiTheme="minorHAnsi" w:cstheme="minorHAnsi"/>
                <w:bCs/>
                <w:sz w:val="20"/>
                <w:szCs w:val="20"/>
              </w:rPr>
              <w:t>items</w:t>
            </w:r>
          </w:p>
        </w:tc>
        <w:tc>
          <w:tcPr>
            <w:tcW w:w="800" w:type="pct"/>
            <w:tcBorders>
              <w:top w:val="nil"/>
              <w:left w:val="nil"/>
              <w:bottom w:val="single" w:sz="4" w:space="0" w:color="auto"/>
              <w:right w:val="nil"/>
            </w:tcBorders>
          </w:tcPr>
          <w:p w14:paraId="79C755BB" w14:textId="77777777" w:rsidR="00F53939" w:rsidRPr="00026E70" w:rsidRDefault="00F53939" w:rsidP="00A50D03">
            <w:pPr>
              <w:jc w:val="center"/>
              <w:rPr>
                <w:rFonts w:asciiTheme="minorHAnsi" w:hAnsiTheme="minorHAnsi" w:cstheme="minorHAnsi"/>
                <w:b/>
                <w:sz w:val="20"/>
                <w:szCs w:val="20"/>
              </w:rPr>
            </w:pPr>
            <w:r w:rsidRPr="003C2CB8">
              <w:rPr>
                <w:rFonts w:asciiTheme="minorHAnsi" w:hAnsiTheme="minorHAnsi" w:cstheme="minorHAnsi"/>
                <w:bCs/>
                <w:sz w:val="20"/>
                <w:szCs w:val="20"/>
              </w:rPr>
              <w:t>Operating costs</w:t>
            </w:r>
          </w:p>
        </w:tc>
        <w:tc>
          <w:tcPr>
            <w:tcW w:w="874" w:type="pct"/>
            <w:tcBorders>
              <w:top w:val="nil"/>
              <w:left w:val="nil"/>
              <w:bottom w:val="single" w:sz="4" w:space="0" w:color="auto"/>
              <w:right w:val="nil"/>
            </w:tcBorders>
          </w:tcPr>
          <w:p w14:paraId="6F30DEF7" w14:textId="77777777" w:rsidR="00F53939" w:rsidRPr="003C2CB8" w:rsidRDefault="00F53939" w:rsidP="00A50D03">
            <w:pPr>
              <w:jc w:val="center"/>
              <w:rPr>
                <w:rFonts w:asciiTheme="minorHAnsi" w:hAnsiTheme="minorHAnsi" w:cstheme="minorHAnsi"/>
                <w:bCs/>
                <w:sz w:val="20"/>
                <w:szCs w:val="20"/>
              </w:rPr>
            </w:pPr>
            <w:r w:rsidRPr="003C2CB8">
              <w:rPr>
                <w:rFonts w:asciiTheme="minorHAnsi" w:hAnsiTheme="minorHAnsi" w:cstheme="minorHAnsi"/>
                <w:bCs/>
                <w:sz w:val="20"/>
                <w:szCs w:val="20"/>
              </w:rPr>
              <w:t>Corporate Centre</w:t>
            </w:r>
          </w:p>
        </w:tc>
        <w:tc>
          <w:tcPr>
            <w:tcW w:w="428" w:type="pct"/>
            <w:tcBorders>
              <w:top w:val="nil"/>
              <w:left w:val="nil"/>
              <w:bottom w:val="single" w:sz="4" w:space="0" w:color="auto"/>
              <w:right w:val="nil"/>
            </w:tcBorders>
            <w:shd w:val="clear" w:color="auto" w:fill="F2F2F2" w:themeFill="background1" w:themeFillShade="F2"/>
            <w:vAlign w:val="center"/>
          </w:tcPr>
          <w:p w14:paraId="40E6A9A2" w14:textId="77777777" w:rsidR="00F53939" w:rsidRPr="00026E70"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w:t>
            </w:r>
          </w:p>
        </w:tc>
        <w:tc>
          <w:tcPr>
            <w:tcW w:w="427" w:type="pct"/>
            <w:tcBorders>
              <w:top w:val="nil"/>
              <w:left w:val="nil"/>
              <w:bottom w:val="single" w:sz="4" w:space="0" w:color="auto"/>
              <w:right w:val="nil"/>
            </w:tcBorders>
            <w:vAlign w:val="center"/>
          </w:tcPr>
          <w:p w14:paraId="6C068816" w14:textId="77777777" w:rsidR="00F53939" w:rsidRDefault="00F53939" w:rsidP="00A50D03">
            <w:pPr>
              <w:jc w:val="right"/>
              <w:rPr>
                <w:rFonts w:asciiTheme="minorHAnsi" w:hAnsiTheme="minorHAnsi" w:cstheme="minorHAnsi"/>
                <w:bCs/>
                <w:sz w:val="20"/>
                <w:szCs w:val="20"/>
              </w:rPr>
            </w:pPr>
            <w:r>
              <w:rPr>
                <w:rFonts w:asciiTheme="minorHAnsi" w:hAnsiTheme="minorHAnsi" w:cstheme="minorHAnsi"/>
                <w:bCs/>
                <w:sz w:val="20"/>
                <w:szCs w:val="20"/>
              </w:rPr>
              <w:t>-</w:t>
            </w:r>
          </w:p>
        </w:tc>
        <w:tc>
          <w:tcPr>
            <w:tcW w:w="427" w:type="pct"/>
            <w:tcBorders>
              <w:top w:val="nil"/>
              <w:left w:val="nil"/>
              <w:bottom w:val="single" w:sz="4" w:space="0" w:color="auto"/>
              <w:right w:val="nil"/>
            </w:tcBorders>
            <w:vAlign w:val="center"/>
          </w:tcPr>
          <w:p w14:paraId="519FA4D5" w14:textId="77777777" w:rsidR="00F53939" w:rsidRPr="00E40E39" w:rsidRDefault="00F53939" w:rsidP="00A50D03">
            <w:pPr>
              <w:jc w:val="right"/>
              <w:rPr>
                <w:rFonts w:asciiTheme="minorHAnsi" w:hAnsiTheme="minorHAnsi" w:cstheme="minorHAnsi"/>
                <w:bCs/>
                <w:sz w:val="20"/>
                <w:szCs w:val="20"/>
              </w:rPr>
            </w:pPr>
            <w:r>
              <w:rPr>
                <w:rFonts w:asciiTheme="minorHAnsi" w:hAnsiTheme="minorHAnsi" w:cstheme="minorHAnsi"/>
                <w:bCs/>
                <w:sz w:val="20"/>
                <w:szCs w:val="20"/>
              </w:rPr>
              <w:t>(10.2)</w:t>
            </w:r>
          </w:p>
        </w:tc>
      </w:tr>
      <w:tr w:rsidR="00F53939" w:rsidRPr="00BC4D90" w14:paraId="620FFA57" w14:textId="77777777" w:rsidTr="00A50D03">
        <w:trPr>
          <w:trHeight w:val="271"/>
        </w:trPr>
        <w:tc>
          <w:tcPr>
            <w:tcW w:w="2044" w:type="pct"/>
            <w:tcBorders>
              <w:top w:val="single" w:sz="4" w:space="0" w:color="auto"/>
              <w:left w:val="nil"/>
              <w:bottom w:val="single" w:sz="4" w:space="0" w:color="auto"/>
              <w:right w:val="nil"/>
            </w:tcBorders>
            <w:vAlign w:val="center"/>
          </w:tcPr>
          <w:p w14:paraId="7132E649" w14:textId="77777777" w:rsidR="00F53939" w:rsidRPr="00A166EB" w:rsidRDefault="00F53939" w:rsidP="00A50D03">
            <w:pPr>
              <w:ind w:right="115"/>
              <w:rPr>
                <w:rFonts w:asciiTheme="minorHAnsi" w:eastAsia="Poppins" w:hAnsiTheme="minorHAnsi" w:cstheme="minorHAnsi"/>
                <w:b/>
                <w:sz w:val="20"/>
                <w:szCs w:val="20"/>
              </w:rPr>
            </w:pPr>
            <w:r>
              <w:rPr>
                <w:rFonts w:asciiTheme="minorHAnsi" w:eastAsia="Poppins" w:hAnsiTheme="minorHAnsi" w:cstheme="minorHAnsi"/>
                <w:b/>
                <w:sz w:val="20"/>
                <w:szCs w:val="20"/>
              </w:rPr>
              <w:t>Total notable items</w:t>
            </w:r>
          </w:p>
        </w:tc>
        <w:tc>
          <w:tcPr>
            <w:tcW w:w="800" w:type="pct"/>
            <w:tcBorders>
              <w:top w:val="single" w:sz="4" w:space="0" w:color="auto"/>
              <w:left w:val="nil"/>
              <w:bottom w:val="single" w:sz="4" w:space="0" w:color="auto"/>
              <w:right w:val="nil"/>
            </w:tcBorders>
          </w:tcPr>
          <w:p w14:paraId="48B96AF1" w14:textId="77777777" w:rsidR="00F53939" w:rsidRDefault="00F53939" w:rsidP="00A50D03">
            <w:pPr>
              <w:jc w:val="center"/>
              <w:rPr>
                <w:rFonts w:asciiTheme="minorHAnsi" w:hAnsiTheme="minorHAnsi" w:cstheme="minorHAnsi"/>
                <w:b/>
                <w:sz w:val="20"/>
                <w:szCs w:val="20"/>
              </w:rPr>
            </w:pPr>
          </w:p>
        </w:tc>
        <w:tc>
          <w:tcPr>
            <w:tcW w:w="874" w:type="pct"/>
            <w:tcBorders>
              <w:top w:val="single" w:sz="4" w:space="0" w:color="auto"/>
              <w:left w:val="nil"/>
              <w:bottom w:val="single" w:sz="4" w:space="0" w:color="auto"/>
              <w:right w:val="nil"/>
            </w:tcBorders>
          </w:tcPr>
          <w:p w14:paraId="0C487319" w14:textId="77777777" w:rsidR="00F53939" w:rsidRDefault="00F53939" w:rsidP="00A50D03">
            <w:pPr>
              <w:jc w:val="center"/>
              <w:rPr>
                <w:rFonts w:asciiTheme="minorHAnsi" w:hAnsiTheme="minorHAnsi" w:cstheme="minorHAnsi"/>
                <w:b/>
                <w:sz w:val="20"/>
                <w:szCs w:val="20"/>
              </w:rPr>
            </w:pPr>
          </w:p>
        </w:tc>
        <w:tc>
          <w:tcPr>
            <w:tcW w:w="428" w:type="pct"/>
            <w:tcBorders>
              <w:top w:val="single" w:sz="4" w:space="0" w:color="auto"/>
              <w:left w:val="nil"/>
              <w:bottom w:val="single" w:sz="4" w:space="0" w:color="auto"/>
              <w:right w:val="nil"/>
            </w:tcBorders>
            <w:shd w:val="clear" w:color="auto" w:fill="F2F2F2" w:themeFill="background1" w:themeFillShade="F2"/>
          </w:tcPr>
          <w:p w14:paraId="52744DDD" w14:textId="77777777" w:rsidR="00F53939" w:rsidRPr="00BC4D90"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w:t>
            </w:r>
          </w:p>
        </w:tc>
        <w:tc>
          <w:tcPr>
            <w:tcW w:w="427" w:type="pct"/>
            <w:tcBorders>
              <w:top w:val="single" w:sz="4" w:space="0" w:color="auto"/>
              <w:left w:val="nil"/>
              <w:bottom w:val="single" w:sz="4" w:space="0" w:color="auto"/>
              <w:right w:val="nil"/>
            </w:tcBorders>
          </w:tcPr>
          <w:p w14:paraId="52DBF193" w14:textId="77777777" w:rsidR="00F53939" w:rsidRDefault="00F53939" w:rsidP="00A50D03">
            <w:pPr>
              <w:jc w:val="right"/>
              <w:rPr>
                <w:rFonts w:asciiTheme="minorHAnsi" w:hAnsiTheme="minorHAnsi" w:cstheme="minorHAnsi"/>
                <w:b/>
                <w:sz w:val="20"/>
                <w:szCs w:val="20"/>
              </w:rPr>
            </w:pPr>
            <w:r>
              <w:rPr>
                <w:rFonts w:asciiTheme="minorHAnsi" w:hAnsiTheme="minorHAnsi" w:cstheme="minorHAnsi"/>
                <w:b/>
                <w:sz w:val="20"/>
                <w:szCs w:val="20"/>
              </w:rPr>
              <w:t>(88.6)</w:t>
            </w:r>
          </w:p>
        </w:tc>
        <w:tc>
          <w:tcPr>
            <w:tcW w:w="427" w:type="pct"/>
            <w:tcBorders>
              <w:top w:val="single" w:sz="4" w:space="0" w:color="auto"/>
              <w:left w:val="nil"/>
              <w:bottom w:val="single" w:sz="4" w:space="0" w:color="auto"/>
              <w:right w:val="nil"/>
            </w:tcBorders>
          </w:tcPr>
          <w:p w14:paraId="5ACF6985" w14:textId="77777777" w:rsidR="00F53939" w:rsidRPr="00F25768" w:rsidRDefault="00F53939" w:rsidP="00A50D03">
            <w:pPr>
              <w:jc w:val="right"/>
              <w:rPr>
                <w:rFonts w:asciiTheme="minorHAnsi" w:hAnsiTheme="minorHAnsi" w:cstheme="minorHAnsi"/>
                <w:b/>
                <w:sz w:val="20"/>
                <w:szCs w:val="20"/>
              </w:rPr>
            </w:pPr>
            <w:r w:rsidRPr="00F25768">
              <w:rPr>
                <w:rFonts w:asciiTheme="minorHAnsi" w:hAnsiTheme="minorHAnsi" w:cstheme="minorHAnsi"/>
                <w:b/>
                <w:sz w:val="20"/>
                <w:szCs w:val="20"/>
              </w:rPr>
              <w:t>(</w:t>
            </w:r>
            <w:r>
              <w:rPr>
                <w:rFonts w:asciiTheme="minorHAnsi" w:hAnsiTheme="minorHAnsi" w:cstheme="minorHAnsi"/>
                <w:b/>
                <w:sz w:val="20"/>
                <w:szCs w:val="20"/>
              </w:rPr>
              <w:t>42.7</w:t>
            </w:r>
            <w:r w:rsidRPr="00F25768">
              <w:rPr>
                <w:rFonts w:asciiTheme="minorHAnsi" w:hAnsiTheme="minorHAnsi" w:cstheme="minorHAnsi"/>
                <w:b/>
                <w:sz w:val="20"/>
                <w:szCs w:val="20"/>
              </w:rPr>
              <w:t>)</w:t>
            </w:r>
          </w:p>
        </w:tc>
      </w:tr>
    </w:tbl>
    <w:p w14:paraId="60D7676F" w14:textId="77777777" w:rsidR="004112FE" w:rsidRDefault="004112FE" w:rsidP="0031123A">
      <w:pPr>
        <w:jc w:val="both"/>
        <w:rPr>
          <w:rFonts w:ascii="Calibri" w:eastAsia="Calibri" w:hAnsi="Calibri" w:cs="Arial"/>
          <w:b/>
          <w:bCs/>
          <w:color w:val="4747FF"/>
          <w:sz w:val="22"/>
          <w:szCs w:val="22"/>
        </w:rPr>
      </w:pPr>
    </w:p>
    <w:p w14:paraId="22386C19" w14:textId="77777777" w:rsidR="0031123A" w:rsidRPr="007F7783" w:rsidRDefault="0031123A" w:rsidP="0031123A">
      <w:pPr>
        <w:jc w:val="both"/>
        <w:rPr>
          <w:rFonts w:asciiTheme="minorHAnsi" w:eastAsia="Calibri" w:hAnsiTheme="minorHAnsi" w:cstheme="minorHAnsi"/>
          <w:b/>
          <w:color w:val="4747FF"/>
          <w:sz w:val="20"/>
          <w:szCs w:val="20"/>
          <w:u w:val="single"/>
        </w:rPr>
      </w:pPr>
      <w:r w:rsidRPr="007F7783">
        <w:rPr>
          <w:rFonts w:asciiTheme="minorHAnsi" w:eastAsia="Calibri" w:hAnsiTheme="minorHAnsi" w:cstheme="minorHAnsi"/>
          <w:b/>
          <w:color w:val="4747FF"/>
          <w:sz w:val="20"/>
          <w:szCs w:val="20"/>
          <w:u w:val="single"/>
        </w:rPr>
        <w:t>Principal Risks and Uncertainties</w:t>
      </w:r>
    </w:p>
    <w:p w14:paraId="6997AE1B" w14:textId="77777777" w:rsidR="0031123A" w:rsidRPr="007F7783" w:rsidRDefault="0031123A" w:rsidP="006677D7">
      <w:pPr>
        <w:jc w:val="both"/>
        <w:rPr>
          <w:rFonts w:asciiTheme="minorHAnsi" w:eastAsia="Calibri" w:hAnsiTheme="minorHAnsi" w:cstheme="minorHAnsi"/>
          <w:b/>
          <w:sz w:val="20"/>
          <w:szCs w:val="20"/>
        </w:rPr>
      </w:pPr>
    </w:p>
    <w:p w14:paraId="7AFF3665" w14:textId="77777777" w:rsidR="001A33E1" w:rsidRPr="007F7783" w:rsidRDefault="001A33E1" w:rsidP="006046AC">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 xml:space="preserve">The Group’s </w:t>
      </w:r>
      <w:r w:rsidR="000A0C15" w:rsidRPr="007F7783">
        <w:rPr>
          <w:rFonts w:asciiTheme="minorHAnsi" w:eastAsia="Calibri" w:hAnsiTheme="minorHAnsi" w:cstheme="minorHAnsi"/>
          <w:sz w:val="20"/>
          <w:szCs w:val="20"/>
        </w:rPr>
        <w:t>principal risks</w:t>
      </w:r>
      <w:r w:rsidRPr="007F7783">
        <w:rPr>
          <w:rFonts w:asciiTheme="minorHAnsi" w:eastAsia="Calibri" w:hAnsiTheme="minorHAnsi" w:cstheme="minorHAnsi"/>
          <w:sz w:val="20"/>
          <w:szCs w:val="20"/>
        </w:rPr>
        <w:t xml:space="preserve"> are those most critical to the alignment and delivery of its Strategy. Principal risk categories and associated risk appetite statements, metrics and thresholds are reviewed and approved by the Board on an annual basis, effectively defining the Group’s overall risk appetite.</w:t>
      </w:r>
    </w:p>
    <w:p w14:paraId="2BD6B2CF" w14:textId="77777777" w:rsidR="006046AC" w:rsidRPr="007F7783" w:rsidRDefault="006046AC" w:rsidP="006046AC">
      <w:pPr>
        <w:jc w:val="both"/>
        <w:rPr>
          <w:rFonts w:asciiTheme="minorHAnsi" w:eastAsia="Calibri" w:hAnsiTheme="minorHAnsi" w:cstheme="minorHAnsi"/>
          <w:sz w:val="20"/>
          <w:szCs w:val="20"/>
        </w:rPr>
      </w:pPr>
    </w:p>
    <w:p w14:paraId="66967B40" w14:textId="77777777" w:rsidR="001B0F41" w:rsidRPr="007F7783" w:rsidRDefault="001A33E1" w:rsidP="006046AC">
      <w:pPr>
        <w:jc w:val="both"/>
        <w:rPr>
          <w:rFonts w:asciiTheme="minorHAnsi" w:eastAsia="Calibri" w:hAnsiTheme="minorHAnsi" w:cstheme="minorHAnsi"/>
          <w:b/>
          <w:color w:val="4747FF"/>
          <w:sz w:val="20"/>
          <w:szCs w:val="20"/>
        </w:rPr>
      </w:pPr>
      <w:r w:rsidRPr="007F7783">
        <w:rPr>
          <w:rFonts w:asciiTheme="minorHAnsi" w:eastAsia="Calibri" w:hAnsiTheme="minorHAnsi" w:cstheme="minorHAnsi"/>
          <w:b/>
          <w:color w:val="4747FF"/>
          <w:sz w:val="20"/>
          <w:szCs w:val="20"/>
        </w:rPr>
        <w:t>Customer Risk</w:t>
      </w:r>
    </w:p>
    <w:p w14:paraId="36032E1A" w14:textId="77777777" w:rsidR="001A33E1" w:rsidRPr="007F7783" w:rsidRDefault="001A33E1" w:rsidP="006046AC">
      <w:pPr>
        <w:jc w:val="both"/>
        <w:rPr>
          <w:rFonts w:asciiTheme="minorHAnsi" w:eastAsia="Calibri" w:hAnsiTheme="minorHAnsi" w:cstheme="minorHAnsi"/>
          <w:sz w:val="20"/>
          <w:szCs w:val="20"/>
          <w:u w:val="single"/>
        </w:rPr>
      </w:pPr>
      <w:r w:rsidRPr="007F7783">
        <w:rPr>
          <w:rFonts w:asciiTheme="minorHAnsi" w:eastAsia="Calibri" w:hAnsiTheme="minorHAnsi" w:cstheme="minorHAnsi"/>
          <w:sz w:val="20"/>
          <w:szCs w:val="20"/>
          <w:u w:val="single"/>
        </w:rPr>
        <w:t xml:space="preserve"> </w:t>
      </w:r>
    </w:p>
    <w:p w14:paraId="330C6BD8" w14:textId="7F6B4CBD" w:rsidR="001A33E1" w:rsidRPr="007F7783" w:rsidRDefault="001A33E1" w:rsidP="006046AC">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This is defined as the risk that failing to understand or address customer needs could lead to dissatisfaction, poor customer outcomes, reduced loyalty and reputational damage, impacting revenue and long-term business sustainability. The Group closely monitors customer outcomes to ensure the fair treatment of customers, particularly for customers requiring early intervention strategies or those with vulnerable characteristics, and address customer detriment.</w:t>
      </w:r>
      <w:r w:rsidR="000A0C15" w:rsidRPr="007F7783">
        <w:rPr>
          <w:rFonts w:asciiTheme="minorHAnsi" w:eastAsia="Calibri" w:hAnsiTheme="minorHAnsi" w:cstheme="minorHAnsi"/>
          <w:sz w:val="20"/>
          <w:szCs w:val="20"/>
        </w:rPr>
        <w:t xml:space="preserve"> </w:t>
      </w:r>
      <w:r w:rsidR="00487DAC" w:rsidRPr="00487DAC">
        <w:rPr>
          <w:rFonts w:asciiTheme="minorHAnsi" w:eastAsia="Calibri" w:hAnsiTheme="minorHAnsi" w:cstheme="minorHAnsi"/>
          <w:sz w:val="20"/>
          <w:szCs w:val="20"/>
        </w:rPr>
        <w:t>Complaints related to responsible lending have declined since the implementation of the FOS fee-charging structure. However, following the recent Supreme Court ruling, the Group continues to await the outcome of the FCA’s consultation on a proposed compensation scheme for motor finance customers.</w:t>
      </w:r>
    </w:p>
    <w:p w14:paraId="7E92137C" w14:textId="77777777" w:rsidR="006046AC" w:rsidRPr="007F7783" w:rsidRDefault="006046AC" w:rsidP="006046AC">
      <w:pPr>
        <w:jc w:val="both"/>
        <w:rPr>
          <w:rFonts w:asciiTheme="minorHAnsi" w:eastAsia="Calibri" w:hAnsiTheme="minorHAnsi" w:cstheme="minorHAnsi"/>
          <w:sz w:val="20"/>
          <w:szCs w:val="20"/>
        </w:rPr>
      </w:pPr>
    </w:p>
    <w:p w14:paraId="450269F7" w14:textId="77777777" w:rsidR="001A33E1" w:rsidRPr="007F7783" w:rsidRDefault="001A33E1" w:rsidP="006046AC">
      <w:pPr>
        <w:jc w:val="both"/>
        <w:rPr>
          <w:rFonts w:asciiTheme="minorHAnsi" w:eastAsia="Calibri" w:hAnsiTheme="minorHAnsi" w:cstheme="minorHAnsi"/>
          <w:b/>
          <w:color w:val="4747FF"/>
          <w:sz w:val="20"/>
          <w:szCs w:val="20"/>
        </w:rPr>
      </w:pPr>
      <w:r w:rsidRPr="007F7783">
        <w:rPr>
          <w:rFonts w:asciiTheme="minorHAnsi" w:eastAsia="Calibri" w:hAnsiTheme="minorHAnsi" w:cstheme="minorHAnsi"/>
          <w:b/>
          <w:color w:val="4747FF"/>
          <w:sz w:val="20"/>
          <w:szCs w:val="20"/>
        </w:rPr>
        <w:t xml:space="preserve">Regulatory Risk </w:t>
      </w:r>
    </w:p>
    <w:p w14:paraId="08A8148E" w14:textId="77777777" w:rsidR="001B0F41" w:rsidRPr="007F7783" w:rsidRDefault="001B0F41" w:rsidP="006046AC">
      <w:pPr>
        <w:jc w:val="both"/>
        <w:rPr>
          <w:rFonts w:asciiTheme="minorHAnsi" w:eastAsia="Calibri" w:hAnsiTheme="minorHAnsi" w:cstheme="minorHAnsi"/>
          <w:b/>
          <w:color w:val="4747FF"/>
          <w:sz w:val="20"/>
          <w:szCs w:val="20"/>
        </w:rPr>
      </w:pPr>
    </w:p>
    <w:p w14:paraId="33294DAC" w14:textId="77777777" w:rsidR="001A33E1" w:rsidRPr="007F7783" w:rsidRDefault="001A33E1" w:rsidP="006046AC">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This is defined as the risk that non-compliance with all regulatory and legal requirements and expectations could lead to financial penalties, legal action, operational disruptions and long-term damage to reputation. The Group aims to avoid material regulatory breaches and, in the event that they do occur, they are promptly corrected and lessons learned from mistakes made.  Strong and proactive regulatory relationships are in place with the FCA and PRA, who remain up to date with the Group’s strategic initiatives, key risk management activities and responses to regulatory developments</w:t>
      </w:r>
      <w:r w:rsidR="00606D76" w:rsidRPr="007F7783">
        <w:rPr>
          <w:rFonts w:asciiTheme="minorHAnsi" w:eastAsia="Calibri" w:hAnsiTheme="minorHAnsi" w:cstheme="minorHAnsi"/>
          <w:sz w:val="20"/>
          <w:szCs w:val="20"/>
        </w:rPr>
        <w:t>.</w:t>
      </w:r>
    </w:p>
    <w:p w14:paraId="5295A144" w14:textId="77777777" w:rsidR="006046AC" w:rsidRPr="007F7783" w:rsidRDefault="006046AC" w:rsidP="006046AC">
      <w:pPr>
        <w:jc w:val="both"/>
        <w:rPr>
          <w:rFonts w:asciiTheme="minorHAnsi" w:eastAsia="Calibri" w:hAnsiTheme="minorHAnsi" w:cstheme="minorHAnsi"/>
          <w:sz w:val="20"/>
          <w:szCs w:val="20"/>
        </w:rPr>
      </w:pPr>
    </w:p>
    <w:p w14:paraId="5158891D" w14:textId="77777777" w:rsidR="001A33E1" w:rsidRPr="007F7783" w:rsidRDefault="001A33E1" w:rsidP="006046AC">
      <w:pPr>
        <w:jc w:val="both"/>
        <w:rPr>
          <w:rFonts w:asciiTheme="minorHAnsi" w:eastAsia="Calibri" w:hAnsiTheme="minorHAnsi" w:cstheme="minorHAnsi"/>
          <w:b/>
          <w:color w:val="4747FF"/>
          <w:sz w:val="20"/>
          <w:szCs w:val="20"/>
        </w:rPr>
      </w:pPr>
      <w:r w:rsidRPr="007F7783">
        <w:rPr>
          <w:rFonts w:asciiTheme="minorHAnsi" w:eastAsia="Calibri" w:hAnsiTheme="minorHAnsi" w:cstheme="minorHAnsi"/>
          <w:b/>
          <w:color w:val="4747FF"/>
          <w:sz w:val="20"/>
          <w:szCs w:val="20"/>
        </w:rPr>
        <w:t xml:space="preserve">Financial Crime Risk </w:t>
      </w:r>
    </w:p>
    <w:p w14:paraId="4C910E74" w14:textId="77777777" w:rsidR="001B0F41" w:rsidRPr="007F7783" w:rsidRDefault="001B0F41" w:rsidP="006046AC">
      <w:pPr>
        <w:jc w:val="both"/>
        <w:rPr>
          <w:rFonts w:asciiTheme="minorHAnsi" w:eastAsia="Calibri" w:hAnsiTheme="minorHAnsi" w:cstheme="minorHAnsi"/>
          <w:b/>
          <w:color w:val="4747FF"/>
          <w:sz w:val="20"/>
          <w:szCs w:val="20"/>
        </w:rPr>
      </w:pPr>
    </w:p>
    <w:p w14:paraId="73E447B6" w14:textId="49AB7B0B" w:rsidR="001A33E1" w:rsidRPr="007F7783" w:rsidRDefault="001A33E1" w:rsidP="006046AC">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 xml:space="preserve">This is defined as the risk that failure to detect and prevent financial crime and fraud could result in customer detriment, regulatory fines, reputational damage and financial loss. </w:t>
      </w:r>
      <w:r w:rsidR="000A0C15" w:rsidRPr="007F7783">
        <w:rPr>
          <w:rFonts w:asciiTheme="minorHAnsi" w:eastAsia="Calibri" w:hAnsiTheme="minorHAnsi" w:cstheme="minorHAnsi"/>
          <w:sz w:val="20"/>
          <w:szCs w:val="20"/>
        </w:rPr>
        <w:t xml:space="preserve">The Group has dedicated fraud and financial crime strategic and </w:t>
      </w:r>
      <w:r w:rsidR="000A0C15" w:rsidRPr="007F7783">
        <w:rPr>
          <w:rFonts w:asciiTheme="minorHAnsi" w:eastAsia="Calibri" w:hAnsiTheme="minorHAnsi" w:cstheme="minorHAnsi"/>
          <w:sz w:val="20"/>
          <w:szCs w:val="20"/>
        </w:rPr>
        <w:lastRenderedPageBreak/>
        <w:t>operational teams, which monitor, investigate and report suspicious activity to meet regulatory obligations, remain vigilant of evolving external emerging threats and protect the Group and our customers from financial crime and fraud. The Group continues to strengthen its financial and fraud control environment through Gateway development</w:t>
      </w:r>
      <w:r w:rsidRPr="007F7783">
        <w:rPr>
          <w:rFonts w:asciiTheme="minorHAnsi" w:eastAsia="Calibri" w:hAnsiTheme="minorHAnsi" w:cstheme="minorHAnsi"/>
          <w:sz w:val="20"/>
          <w:szCs w:val="20"/>
        </w:rPr>
        <w:t>.</w:t>
      </w:r>
    </w:p>
    <w:p w14:paraId="17A00D93" w14:textId="77777777" w:rsidR="006046AC" w:rsidRPr="007F7783" w:rsidRDefault="006046AC" w:rsidP="006046AC">
      <w:pPr>
        <w:jc w:val="both"/>
        <w:rPr>
          <w:rFonts w:asciiTheme="minorHAnsi" w:eastAsia="Calibri" w:hAnsiTheme="minorHAnsi" w:cstheme="minorHAnsi"/>
          <w:sz w:val="20"/>
          <w:szCs w:val="20"/>
        </w:rPr>
      </w:pPr>
    </w:p>
    <w:p w14:paraId="72358F00" w14:textId="77777777" w:rsidR="001A33E1" w:rsidRPr="007F7783" w:rsidRDefault="001A33E1" w:rsidP="006046AC">
      <w:pPr>
        <w:jc w:val="both"/>
        <w:rPr>
          <w:rFonts w:asciiTheme="minorHAnsi" w:eastAsia="Calibri" w:hAnsiTheme="minorHAnsi" w:cstheme="minorHAnsi"/>
          <w:b/>
          <w:color w:val="4747FF"/>
          <w:sz w:val="20"/>
          <w:szCs w:val="20"/>
        </w:rPr>
      </w:pPr>
      <w:bookmarkStart w:id="5" w:name="_Hlk202378233"/>
      <w:r w:rsidRPr="007F7783">
        <w:rPr>
          <w:rFonts w:asciiTheme="minorHAnsi" w:eastAsia="Calibri" w:hAnsiTheme="minorHAnsi" w:cstheme="minorHAnsi"/>
          <w:b/>
          <w:color w:val="4747FF"/>
          <w:sz w:val="20"/>
          <w:szCs w:val="20"/>
        </w:rPr>
        <w:t>Capital Risk</w:t>
      </w:r>
    </w:p>
    <w:p w14:paraId="0BBBE199" w14:textId="77777777" w:rsidR="001B0F41" w:rsidRPr="007F7783" w:rsidRDefault="001B0F41" w:rsidP="006046AC">
      <w:pPr>
        <w:jc w:val="both"/>
        <w:rPr>
          <w:rFonts w:asciiTheme="minorHAnsi" w:eastAsia="Calibri" w:hAnsiTheme="minorHAnsi" w:cstheme="minorHAnsi"/>
          <w:b/>
          <w:color w:val="4747FF"/>
          <w:sz w:val="20"/>
          <w:szCs w:val="20"/>
        </w:rPr>
      </w:pPr>
    </w:p>
    <w:p w14:paraId="41CA61F4" w14:textId="77777777" w:rsidR="001A33E1" w:rsidRPr="007F7783" w:rsidRDefault="001A33E1" w:rsidP="006046AC">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 xml:space="preserve">This is defined as the risk that inadequate capital resources or poor capital planning could result in an inability to meet financial obligations, regulatory breaches and financial instability, potentially threatening the long-term viability of the Group. The Group and Bank operate within a defined capital risk appetite, with performance and capital position reported to and closely monitored by the </w:t>
      </w:r>
      <w:r w:rsidR="000A0C15" w:rsidRPr="007F7783">
        <w:rPr>
          <w:rFonts w:asciiTheme="minorHAnsi" w:eastAsia="Calibri" w:hAnsiTheme="minorHAnsi" w:cstheme="minorHAnsi"/>
          <w:sz w:val="20"/>
          <w:szCs w:val="20"/>
        </w:rPr>
        <w:t>Risk Committee and Board.</w:t>
      </w:r>
      <w:r w:rsidRPr="007F7783">
        <w:rPr>
          <w:rFonts w:asciiTheme="minorHAnsi" w:eastAsia="Calibri" w:hAnsiTheme="minorHAnsi" w:cstheme="minorHAnsi"/>
          <w:sz w:val="20"/>
          <w:szCs w:val="20"/>
        </w:rPr>
        <w:t xml:space="preserve">  Sufficient capital resources, both in terms of amount and quality, are maintained to support the business strategy and meet the stressed scenarios identified in the Internal Capital Adequacy Assessment Process (ICAAP).  The Group and Bank have remained above regulatory buffer requirements throughout </w:t>
      </w:r>
      <w:r w:rsidR="000A0C15" w:rsidRPr="007F7783">
        <w:rPr>
          <w:rFonts w:asciiTheme="minorHAnsi" w:eastAsia="Calibri" w:hAnsiTheme="minorHAnsi" w:cstheme="minorHAnsi"/>
          <w:sz w:val="20"/>
          <w:szCs w:val="20"/>
        </w:rPr>
        <w:t>2025.</w:t>
      </w:r>
      <w:r w:rsidRPr="007F7783">
        <w:rPr>
          <w:rFonts w:asciiTheme="minorHAnsi" w:eastAsia="Calibri" w:hAnsiTheme="minorHAnsi" w:cstheme="minorHAnsi"/>
          <w:sz w:val="20"/>
          <w:szCs w:val="20"/>
        </w:rPr>
        <w:t xml:space="preserve"> </w:t>
      </w:r>
    </w:p>
    <w:p w14:paraId="0C1CB066" w14:textId="77777777" w:rsidR="006046AC" w:rsidRPr="007F7783" w:rsidRDefault="006046AC" w:rsidP="006046AC">
      <w:pPr>
        <w:jc w:val="both"/>
        <w:rPr>
          <w:rFonts w:asciiTheme="minorHAnsi" w:eastAsia="Calibri" w:hAnsiTheme="minorHAnsi" w:cstheme="minorHAnsi"/>
          <w:sz w:val="20"/>
          <w:szCs w:val="20"/>
        </w:rPr>
      </w:pPr>
    </w:p>
    <w:p w14:paraId="43A7FBF7" w14:textId="77777777" w:rsidR="001A33E1" w:rsidRPr="007F7783" w:rsidRDefault="001A33E1" w:rsidP="006046AC">
      <w:pPr>
        <w:jc w:val="both"/>
        <w:rPr>
          <w:rFonts w:asciiTheme="minorHAnsi" w:eastAsia="Calibri" w:hAnsiTheme="minorHAnsi" w:cstheme="minorHAnsi"/>
          <w:b/>
          <w:color w:val="4747FF"/>
          <w:sz w:val="20"/>
          <w:szCs w:val="20"/>
        </w:rPr>
      </w:pPr>
      <w:r w:rsidRPr="007F7783">
        <w:rPr>
          <w:rFonts w:asciiTheme="minorHAnsi" w:eastAsia="Calibri" w:hAnsiTheme="minorHAnsi" w:cstheme="minorHAnsi"/>
          <w:b/>
          <w:color w:val="4747FF"/>
          <w:sz w:val="20"/>
          <w:szCs w:val="20"/>
        </w:rPr>
        <w:t>Funding and Liquidity Risk</w:t>
      </w:r>
    </w:p>
    <w:p w14:paraId="1E7A1470" w14:textId="77777777" w:rsidR="001B0F41" w:rsidRPr="007F7783" w:rsidRDefault="001B0F41" w:rsidP="006046AC">
      <w:pPr>
        <w:jc w:val="both"/>
        <w:rPr>
          <w:rFonts w:asciiTheme="minorHAnsi" w:eastAsia="Calibri" w:hAnsiTheme="minorHAnsi" w:cstheme="minorHAnsi"/>
          <w:b/>
          <w:color w:val="4747FF"/>
          <w:sz w:val="20"/>
          <w:szCs w:val="20"/>
        </w:rPr>
      </w:pPr>
    </w:p>
    <w:p w14:paraId="4C6EE122" w14:textId="77777777" w:rsidR="001A33E1" w:rsidRPr="007F7783" w:rsidRDefault="001A33E1" w:rsidP="006046AC">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 xml:space="preserve">This is defined as the risk that the Group has insufficient financial resources to meet its obligations (cash or collateral requirements) as they fall due, resulting in the failure to meet regulatory liquidity requirements, or is only able to secure such resources at excessive cost.  Funding and liquidity metrics are monitored through daily liquidity reporting and reported to the </w:t>
      </w:r>
      <w:r w:rsidR="000A0C15" w:rsidRPr="007F7783">
        <w:rPr>
          <w:rFonts w:asciiTheme="minorHAnsi" w:eastAsia="Calibri" w:hAnsiTheme="minorHAnsi" w:cstheme="minorHAnsi"/>
          <w:sz w:val="20"/>
          <w:szCs w:val="20"/>
        </w:rPr>
        <w:t>Risk Committee and Board.  The Group’s current funding strategy seeks to maintain a secure and diverse funding structure by maintaining access to the liquid retail deposits market and committed facilities to meet the Group’s liquidity and funding requirements. Throughout 2025, the Group and Bank have maintained funding and liquidity ratios in excess of regulatory requirements.</w:t>
      </w:r>
    </w:p>
    <w:p w14:paraId="54BFA406" w14:textId="77777777" w:rsidR="000A0C15" w:rsidRPr="007F7783" w:rsidRDefault="000A0C15" w:rsidP="000A0C15">
      <w:pPr>
        <w:jc w:val="both"/>
        <w:rPr>
          <w:rFonts w:asciiTheme="minorHAnsi" w:eastAsia="Calibri" w:hAnsiTheme="minorHAnsi" w:cstheme="minorHAnsi"/>
          <w:sz w:val="20"/>
          <w:szCs w:val="20"/>
        </w:rPr>
      </w:pPr>
    </w:p>
    <w:p w14:paraId="57046FBE" w14:textId="77777777" w:rsidR="000A0C15" w:rsidRPr="007F7783" w:rsidRDefault="000A0C15" w:rsidP="000A0C15">
      <w:pPr>
        <w:jc w:val="both"/>
        <w:rPr>
          <w:rFonts w:asciiTheme="minorHAnsi" w:eastAsia="Calibri" w:hAnsiTheme="minorHAnsi" w:cstheme="minorHAnsi"/>
          <w:b/>
          <w:bCs/>
          <w:color w:val="4747FF"/>
          <w:sz w:val="20"/>
          <w:szCs w:val="20"/>
        </w:rPr>
      </w:pPr>
      <w:r w:rsidRPr="007F7783">
        <w:rPr>
          <w:rFonts w:asciiTheme="minorHAnsi" w:eastAsia="Calibri" w:hAnsiTheme="minorHAnsi" w:cstheme="minorHAnsi"/>
          <w:b/>
          <w:bCs/>
          <w:color w:val="4747FF"/>
          <w:sz w:val="20"/>
          <w:szCs w:val="20"/>
        </w:rPr>
        <w:t>Market Risk</w:t>
      </w:r>
    </w:p>
    <w:p w14:paraId="603FA5A3" w14:textId="77777777" w:rsidR="000A0C15" w:rsidRPr="007F7783" w:rsidRDefault="000A0C15" w:rsidP="000A0C15">
      <w:pPr>
        <w:jc w:val="both"/>
        <w:rPr>
          <w:rFonts w:asciiTheme="minorHAnsi" w:eastAsia="Calibri" w:hAnsiTheme="minorHAnsi" w:cstheme="minorHAnsi"/>
          <w:b/>
          <w:bCs/>
          <w:color w:val="4747FF"/>
          <w:sz w:val="20"/>
          <w:szCs w:val="20"/>
        </w:rPr>
      </w:pPr>
    </w:p>
    <w:p w14:paraId="04C24159" w14:textId="77777777" w:rsidR="000A0C15" w:rsidRPr="007F7783" w:rsidRDefault="000A0C15" w:rsidP="000A0C15">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This is defined as the risk that fluctuations in market prices, such as interest rates, could negatively impact the Group’s financial performance, resulting in losses or disruptions. The Group and Bank are primarily exposed to Interest Rate Risk in the Banking Book (IRRBB) and do not take significant unmatched positions or operate trading books. The Group and Bank have remained within risk appetite throughout 2025. Market risk appetite metrics include the risk under different interest rate risk scenarios, as prescribed by regulation, which are reported to the Risk Committee and Board.</w:t>
      </w:r>
    </w:p>
    <w:bookmarkEnd w:id="5"/>
    <w:p w14:paraId="2B51B2B9" w14:textId="77777777" w:rsidR="000A0C15" w:rsidRPr="007F7783" w:rsidRDefault="000A0C15" w:rsidP="000A0C15">
      <w:pPr>
        <w:jc w:val="both"/>
        <w:rPr>
          <w:rFonts w:asciiTheme="minorHAnsi" w:eastAsia="Calibri" w:hAnsiTheme="minorHAnsi" w:cstheme="minorHAnsi"/>
          <w:sz w:val="20"/>
          <w:szCs w:val="20"/>
        </w:rPr>
      </w:pPr>
    </w:p>
    <w:p w14:paraId="7842304E" w14:textId="77777777" w:rsidR="000A0C15" w:rsidRPr="007F7783" w:rsidRDefault="000A0C15" w:rsidP="000A0C15">
      <w:pPr>
        <w:jc w:val="both"/>
        <w:rPr>
          <w:rFonts w:asciiTheme="minorHAnsi" w:eastAsia="Calibri" w:hAnsiTheme="minorHAnsi" w:cstheme="minorHAnsi"/>
          <w:b/>
          <w:bCs/>
          <w:color w:val="4747FF"/>
          <w:sz w:val="20"/>
          <w:szCs w:val="20"/>
        </w:rPr>
      </w:pPr>
      <w:r w:rsidRPr="007F7783">
        <w:rPr>
          <w:rFonts w:asciiTheme="minorHAnsi" w:eastAsia="Calibri" w:hAnsiTheme="minorHAnsi" w:cstheme="minorHAnsi"/>
          <w:b/>
          <w:bCs/>
          <w:color w:val="4747FF"/>
          <w:sz w:val="20"/>
          <w:szCs w:val="20"/>
        </w:rPr>
        <w:t>Credit Risk</w:t>
      </w:r>
    </w:p>
    <w:p w14:paraId="1E441D05" w14:textId="77777777" w:rsidR="000A0C15" w:rsidRPr="007F7783" w:rsidRDefault="000A0C15" w:rsidP="000A0C15">
      <w:pPr>
        <w:jc w:val="both"/>
        <w:rPr>
          <w:rFonts w:asciiTheme="minorHAnsi" w:eastAsia="Calibri" w:hAnsiTheme="minorHAnsi" w:cstheme="minorHAnsi"/>
          <w:b/>
          <w:bCs/>
          <w:color w:val="4747FF"/>
          <w:sz w:val="20"/>
          <w:szCs w:val="20"/>
        </w:rPr>
      </w:pPr>
    </w:p>
    <w:p w14:paraId="361A05E2" w14:textId="77777777" w:rsidR="000A0C15" w:rsidRPr="007F7783" w:rsidRDefault="000A0C15" w:rsidP="000A0C15">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 xml:space="preserve">This is defined as the risk that customers may default on their obligations, leading to financial losses, impaired asset quality and reputational damage. The credit risk programme, initiated during 2024 to optimise the Group’s credit decisioning capability and enhance its credit and affordability strategies, is progressing to plan, ensuring credit risk is at the forefront of business decisioning and keeps pace with changing market and economic conditions.  The Credit Risk Committee meets monthly to oversee the programme and monitor portfolio performance against key credit risk metrics. </w:t>
      </w:r>
    </w:p>
    <w:p w14:paraId="1F608A5E" w14:textId="77777777" w:rsidR="000A0C15" w:rsidRPr="007F7783" w:rsidRDefault="000A0C15" w:rsidP="000A0C15">
      <w:pPr>
        <w:jc w:val="both"/>
        <w:rPr>
          <w:rFonts w:asciiTheme="minorHAnsi" w:eastAsia="Calibri" w:hAnsiTheme="minorHAnsi" w:cstheme="minorHAnsi"/>
          <w:sz w:val="20"/>
          <w:szCs w:val="20"/>
        </w:rPr>
      </w:pPr>
    </w:p>
    <w:p w14:paraId="55A8F4C4" w14:textId="77777777" w:rsidR="000A0C15" w:rsidRPr="007F7783" w:rsidRDefault="000A0C15" w:rsidP="000A0C15">
      <w:pPr>
        <w:jc w:val="both"/>
        <w:rPr>
          <w:rFonts w:asciiTheme="minorHAnsi" w:eastAsia="Calibri" w:hAnsiTheme="minorHAnsi" w:cstheme="minorHAnsi"/>
          <w:b/>
          <w:bCs/>
          <w:color w:val="4747FF"/>
          <w:sz w:val="20"/>
          <w:szCs w:val="20"/>
        </w:rPr>
      </w:pPr>
      <w:r w:rsidRPr="007F7783">
        <w:rPr>
          <w:rFonts w:asciiTheme="minorHAnsi" w:eastAsia="Calibri" w:hAnsiTheme="minorHAnsi" w:cstheme="minorHAnsi"/>
          <w:b/>
          <w:bCs/>
          <w:color w:val="4747FF"/>
          <w:sz w:val="20"/>
          <w:szCs w:val="20"/>
        </w:rPr>
        <w:t xml:space="preserve">People Risk </w:t>
      </w:r>
    </w:p>
    <w:p w14:paraId="4DC2DB05" w14:textId="77777777" w:rsidR="000A0C15" w:rsidRPr="007F7783" w:rsidRDefault="000A0C15" w:rsidP="000A0C15">
      <w:pPr>
        <w:jc w:val="both"/>
        <w:rPr>
          <w:rFonts w:asciiTheme="minorHAnsi" w:eastAsia="Calibri" w:hAnsiTheme="minorHAnsi" w:cstheme="minorHAnsi"/>
          <w:b/>
          <w:bCs/>
          <w:color w:val="4747FF"/>
          <w:sz w:val="20"/>
          <w:szCs w:val="20"/>
        </w:rPr>
      </w:pPr>
    </w:p>
    <w:p w14:paraId="47592429" w14:textId="1EBA1BE7" w:rsidR="000A0C15" w:rsidRPr="007F7783" w:rsidRDefault="000A0C15" w:rsidP="000A0C15">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This is defined as the risk that poor recruitment practices, insufficient employee training or low engagement levels caused by poor culture and compliance could lead to operational inefficiencies and reputational damage. To effectively manage people risk, adequate controls exist across the colleague lifecycle covering onboarding, development and management of our colleagues.  The Group’s operating model is reviewed to ensure it has sufficient operational capacity and colleagues with the right skills to meet the Group’s financial, customer and regulatory responsibilities.  The Pul</w:t>
      </w:r>
      <w:r>
        <w:rPr>
          <w:rFonts w:asciiTheme="minorHAnsi" w:eastAsia="Calibri" w:hAnsiTheme="minorHAnsi" w:cstheme="minorHAnsi"/>
          <w:sz w:val="20"/>
          <w:szCs w:val="20"/>
        </w:rPr>
        <w:t>s</w:t>
      </w:r>
      <w:r w:rsidRPr="007F7783">
        <w:rPr>
          <w:rFonts w:asciiTheme="minorHAnsi" w:eastAsia="Calibri" w:hAnsiTheme="minorHAnsi" w:cstheme="minorHAnsi"/>
          <w:sz w:val="20"/>
          <w:szCs w:val="20"/>
        </w:rPr>
        <w:t>e Survey completed in June saw the engagement score rise to 6</w:t>
      </w:r>
      <w:r w:rsidR="00F44EC5">
        <w:rPr>
          <w:rFonts w:asciiTheme="minorHAnsi" w:eastAsia="Calibri" w:hAnsiTheme="minorHAnsi" w:cstheme="minorHAnsi"/>
          <w:sz w:val="20"/>
          <w:szCs w:val="20"/>
        </w:rPr>
        <w:t>5</w:t>
      </w:r>
      <w:r w:rsidRPr="007F7783">
        <w:rPr>
          <w:rFonts w:asciiTheme="minorHAnsi" w:eastAsia="Calibri" w:hAnsiTheme="minorHAnsi" w:cstheme="minorHAnsi"/>
          <w:sz w:val="20"/>
          <w:szCs w:val="20"/>
        </w:rPr>
        <w:t>% since the Colleague Survey conducted in December 2024, providing further insight to advocate the Group as a great place to work.</w:t>
      </w:r>
    </w:p>
    <w:p w14:paraId="41CD0E76" w14:textId="77777777" w:rsidR="000A0C15" w:rsidRPr="007F7783" w:rsidRDefault="000A0C15" w:rsidP="000A0C15">
      <w:pPr>
        <w:jc w:val="both"/>
        <w:rPr>
          <w:rFonts w:asciiTheme="minorHAnsi" w:eastAsia="Calibri" w:hAnsiTheme="minorHAnsi" w:cstheme="minorHAnsi"/>
          <w:sz w:val="20"/>
          <w:szCs w:val="20"/>
        </w:rPr>
      </w:pPr>
    </w:p>
    <w:p w14:paraId="72B0AF56" w14:textId="77777777" w:rsidR="000A0C15" w:rsidRPr="007F7783" w:rsidRDefault="000A0C15" w:rsidP="000A0C15">
      <w:pPr>
        <w:jc w:val="both"/>
        <w:rPr>
          <w:rFonts w:asciiTheme="minorHAnsi" w:eastAsia="Calibri" w:hAnsiTheme="minorHAnsi" w:cstheme="minorHAnsi"/>
          <w:b/>
          <w:bCs/>
          <w:color w:val="4747FF"/>
          <w:sz w:val="20"/>
          <w:szCs w:val="20"/>
        </w:rPr>
      </w:pPr>
      <w:r w:rsidRPr="007F7783">
        <w:rPr>
          <w:rFonts w:asciiTheme="minorHAnsi" w:eastAsia="Calibri" w:hAnsiTheme="minorHAnsi" w:cstheme="minorHAnsi"/>
          <w:b/>
          <w:bCs/>
          <w:color w:val="4747FF"/>
          <w:sz w:val="20"/>
          <w:szCs w:val="20"/>
        </w:rPr>
        <w:t xml:space="preserve">Technology and Information Security Risk </w:t>
      </w:r>
    </w:p>
    <w:p w14:paraId="7F437AB6" w14:textId="77777777" w:rsidR="000A0C15" w:rsidRPr="007F7783" w:rsidRDefault="000A0C15" w:rsidP="000A0C15">
      <w:pPr>
        <w:jc w:val="both"/>
        <w:rPr>
          <w:rFonts w:asciiTheme="minorHAnsi" w:eastAsia="Calibri" w:hAnsiTheme="minorHAnsi" w:cstheme="minorHAnsi"/>
          <w:b/>
          <w:bCs/>
          <w:color w:val="4747FF"/>
          <w:sz w:val="20"/>
          <w:szCs w:val="20"/>
        </w:rPr>
      </w:pPr>
    </w:p>
    <w:p w14:paraId="5AC79DB7" w14:textId="77777777" w:rsidR="000A0C15" w:rsidRPr="007F7783" w:rsidRDefault="000A0C15" w:rsidP="000A0C15">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This is defined as the risk that inadequate technological, security and data infrastructure and failure to upgrade systems could lead to operational inefficiencies, data breaches, service disruptions, a lack of scalability and reputational damage. Additional focus has been placed on technological advancements, such as artificial intelligence and machine learning, of which supporting governance structures are maturing.  The Group’s technology and information security risk is being significantly strengthened through the delivery of the Gateway technology and Data &amp; Analytics transformation programmes, which are progressing to plan</w:t>
      </w:r>
    </w:p>
    <w:p w14:paraId="36FA4A3A" w14:textId="77777777" w:rsidR="000A0C15" w:rsidRPr="007F7783" w:rsidRDefault="000A0C15" w:rsidP="000A0C15">
      <w:pPr>
        <w:jc w:val="both"/>
        <w:rPr>
          <w:rFonts w:asciiTheme="minorHAnsi" w:eastAsia="Calibri" w:hAnsiTheme="minorHAnsi" w:cstheme="minorHAnsi"/>
          <w:sz w:val="20"/>
          <w:szCs w:val="20"/>
        </w:rPr>
      </w:pPr>
    </w:p>
    <w:p w14:paraId="3AFE5741" w14:textId="77777777" w:rsidR="000A0C15" w:rsidRPr="007F7783" w:rsidRDefault="000A0C15" w:rsidP="000A0C15">
      <w:pPr>
        <w:jc w:val="both"/>
        <w:rPr>
          <w:rFonts w:asciiTheme="minorHAnsi" w:eastAsia="Calibri" w:hAnsiTheme="minorHAnsi" w:cstheme="minorHAnsi"/>
          <w:b/>
          <w:bCs/>
          <w:color w:val="4747FF"/>
          <w:sz w:val="20"/>
          <w:szCs w:val="20"/>
        </w:rPr>
      </w:pPr>
      <w:r w:rsidRPr="007F7783">
        <w:rPr>
          <w:rFonts w:asciiTheme="minorHAnsi" w:eastAsia="Calibri" w:hAnsiTheme="minorHAnsi" w:cstheme="minorHAnsi"/>
          <w:b/>
          <w:bCs/>
          <w:color w:val="4747FF"/>
          <w:sz w:val="20"/>
          <w:szCs w:val="20"/>
        </w:rPr>
        <w:t>Operational Risk</w:t>
      </w:r>
    </w:p>
    <w:p w14:paraId="4A663DB1" w14:textId="77777777" w:rsidR="000A0C15" w:rsidRPr="007F7783" w:rsidRDefault="000A0C15" w:rsidP="000A0C15">
      <w:pPr>
        <w:jc w:val="both"/>
        <w:rPr>
          <w:rFonts w:asciiTheme="minorHAnsi" w:eastAsia="Calibri" w:hAnsiTheme="minorHAnsi" w:cstheme="minorHAnsi"/>
          <w:b/>
          <w:bCs/>
          <w:color w:val="4747FF"/>
          <w:sz w:val="20"/>
          <w:szCs w:val="20"/>
        </w:rPr>
      </w:pPr>
    </w:p>
    <w:p w14:paraId="4F598A6A" w14:textId="77777777" w:rsidR="000A0C15" w:rsidRPr="007F7783" w:rsidRDefault="000A0C15" w:rsidP="000A0C15">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This is defined as the risk that failures in processes, systems or human error could result in business disruptions, financial loss, regulatory action, poor customer outcomes and reputational damage.   Operational risk is inherent to our Group’s activities and heightened as we deliver our activities, utilising in-house capability and third-party and outsourced business support, and deliver transformation programmes.  The application of the integrated assurance framework, inclusive of the Group’s material controls, seeks to complement the assurance activities of each the three lines of defence.</w:t>
      </w:r>
    </w:p>
    <w:p w14:paraId="391FD98D" w14:textId="77777777" w:rsidR="000A0C15" w:rsidRPr="007F7783" w:rsidRDefault="000A0C15" w:rsidP="000A0C15">
      <w:pPr>
        <w:jc w:val="both"/>
        <w:rPr>
          <w:rFonts w:asciiTheme="minorHAnsi" w:eastAsia="Calibri" w:hAnsiTheme="minorHAnsi" w:cstheme="minorHAnsi"/>
          <w:sz w:val="20"/>
          <w:szCs w:val="20"/>
        </w:rPr>
      </w:pPr>
    </w:p>
    <w:p w14:paraId="15E9D649" w14:textId="77777777" w:rsidR="000A0C15" w:rsidRPr="007F7783" w:rsidRDefault="000A0C15" w:rsidP="000A0C15">
      <w:pPr>
        <w:jc w:val="both"/>
        <w:rPr>
          <w:rFonts w:asciiTheme="minorHAnsi" w:eastAsia="Calibri" w:hAnsiTheme="minorHAnsi" w:cstheme="minorHAnsi"/>
          <w:b/>
          <w:bCs/>
          <w:color w:val="4747FF"/>
          <w:sz w:val="20"/>
          <w:szCs w:val="20"/>
        </w:rPr>
      </w:pPr>
      <w:r w:rsidRPr="007F7783">
        <w:rPr>
          <w:rFonts w:asciiTheme="minorHAnsi" w:eastAsia="Calibri" w:hAnsiTheme="minorHAnsi" w:cstheme="minorHAnsi"/>
          <w:b/>
          <w:bCs/>
          <w:color w:val="4747FF"/>
          <w:sz w:val="20"/>
          <w:szCs w:val="20"/>
        </w:rPr>
        <w:t>Model Risk</w:t>
      </w:r>
    </w:p>
    <w:p w14:paraId="46CE5CC0" w14:textId="77777777" w:rsidR="000A0C15" w:rsidRPr="007F7783" w:rsidRDefault="000A0C15" w:rsidP="000A0C15">
      <w:pPr>
        <w:jc w:val="both"/>
        <w:rPr>
          <w:rFonts w:asciiTheme="minorHAnsi" w:eastAsia="Calibri" w:hAnsiTheme="minorHAnsi" w:cstheme="minorHAnsi"/>
          <w:b/>
          <w:bCs/>
          <w:color w:val="4747FF"/>
          <w:sz w:val="20"/>
          <w:szCs w:val="20"/>
        </w:rPr>
      </w:pPr>
    </w:p>
    <w:p w14:paraId="75C90E5C" w14:textId="77777777" w:rsidR="000A0C15" w:rsidRPr="007F7783" w:rsidRDefault="000A0C15" w:rsidP="000A0C15">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This is defined as the risk that incorrect assumptions, poor design or outdated data within models used for decision making could lead to unintended outcomes, financial loss or operational inefficiencies.  All models and covered tools are required to be added and managed through the model inventory, which is reviewed monthly for completeness and accuracy.  The model risk classification is in place reflecting the PRA’s Model Risk Management Principles with clear delineation of responsibilities across the three lines of defence and oversight from the Model Risk Committee and supported by formals sub-working groups.</w:t>
      </w:r>
    </w:p>
    <w:p w14:paraId="3D38CCBE" w14:textId="77777777" w:rsidR="006046AC" w:rsidRPr="007F7783" w:rsidRDefault="006046AC" w:rsidP="006046AC">
      <w:pPr>
        <w:jc w:val="both"/>
        <w:rPr>
          <w:rFonts w:asciiTheme="minorHAnsi" w:eastAsia="Calibri" w:hAnsiTheme="minorHAnsi" w:cstheme="minorHAnsi"/>
          <w:sz w:val="20"/>
          <w:szCs w:val="20"/>
        </w:rPr>
      </w:pPr>
    </w:p>
    <w:p w14:paraId="47136F76" w14:textId="77777777" w:rsidR="001A33E1" w:rsidRPr="007F7783" w:rsidRDefault="001A33E1" w:rsidP="006046AC">
      <w:pPr>
        <w:jc w:val="both"/>
        <w:rPr>
          <w:rFonts w:asciiTheme="minorHAnsi" w:eastAsia="Calibri" w:hAnsiTheme="minorHAnsi" w:cstheme="minorHAnsi"/>
          <w:b/>
          <w:color w:val="4747FF"/>
          <w:sz w:val="20"/>
          <w:szCs w:val="20"/>
        </w:rPr>
      </w:pPr>
      <w:r w:rsidRPr="007F7783">
        <w:rPr>
          <w:rFonts w:asciiTheme="minorHAnsi" w:eastAsia="Calibri" w:hAnsiTheme="minorHAnsi" w:cstheme="minorHAnsi"/>
          <w:b/>
          <w:color w:val="4747FF"/>
          <w:sz w:val="20"/>
          <w:szCs w:val="20"/>
        </w:rPr>
        <w:t xml:space="preserve">Business Performance Risk </w:t>
      </w:r>
    </w:p>
    <w:p w14:paraId="4FA7E4EC" w14:textId="77777777" w:rsidR="001B0F41" w:rsidRPr="007F7783" w:rsidRDefault="001B0F41" w:rsidP="006046AC">
      <w:pPr>
        <w:jc w:val="both"/>
        <w:rPr>
          <w:rFonts w:asciiTheme="minorHAnsi" w:eastAsia="Calibri" w:hAnsiTheme="minorHAnsi" w:cstheme="minorHAnsi"/>
          <w:b/>
          <w:color w:val="4747FF"/>
          <w:sz w:val="20"/>
          <w:szCs w:val="20"/>
        </w:rPr>
      </w:pPr>
    </w:p>
    <w:p w14:paraId="5C33EEB5" w14:textId="5602732E" w:rsidR="006D57F3" w:rsidRDefault="001A33E1" w:rsidP="001B0F41">
      <w:pPr>
        <w:jc w:val="both"/>
        <w:rPr>
          <w:rFonts w:asciiTheme="minorHAnsi" w:eastAsia="Calibri" w:hAnsiTheme="minorHAnsi" w:cstheme="minorHAnsi"/>
          <w:sz w:val="20"/>
          <w:szCs w:val="20"/>
        </w:rPr>
      </w:pPr>
      <w:r w:rsidRPr="007F7783">
        <w:rPr>
          <w:rFonts w:asciiTheme="minorHAnsi" w:eastAsia="Calibri" w:hAnsiTheme="minorHAnsi" w:cstheme="minorHAnsi"/>
          <w:sz w:val="20"/>
          <w:szCs w:val="20"/>
        </w:rPr>
        <w:t xml:space="preserve">This is defined as the risk that poor performance of key business processes, such as financial management, operations or customer service, could lead to financial losses, reduced market share, threat to the Group’s long-term viability and reputational damage.  </w:t>
      </w:r>
      <w:r w:rsidR="000A0C15" w:rsidRPr="007F7783">
        <w:rPr>
          <w:rFonts w:asciiTheme="minorHAnsi" w:eastAsia="Calibri" w:hAnsiTheme="minorHAnsi" w:cstheme="minorHAnsi"/>
          <w:sz w:val="20"/>
          <w:szCs w:val="20"/>
        </w:rPr>
        <w:t xml:space="preserve">The Group continues to deliver against its strategic priorities, grow the business and maintain its existing commitments in a safe and controlled way, adopting an effective risk management, strong risk culture and remaining aware of emerging external threats.   </w:t>
      </w:r>
    </w:p>
    <w:p w14:paraId="45A20DA2" w14:textId="77777777" w:rsidR="000A2B9C" w:rsidRDefault="000A2B9C" w:rsidP="001B0F41">
      <w:pPr>
        <w:jc w:val="both"/>
        <w:rPr>
          <w:rFonts w:ascii="Calibri" w:eastAsia="Calibri" w:hAnsi="Calibri" w:cs="Calibri"/>
          <w:sz w:val="22"/>
          <w:szCs w:val="22"/>
        </w:rPr>
      </w:pPr>
    </w:p>
    <w:p w14:paraId="2C3305BF" w14:textId="4BCA5C0A" w:rsidR="2998F8C0" w:rsidRPr="001B0F41" w:rsidRDefault="003024B3" w:rsidP="008E6F8A">
      <w:pPr>
        <w:pStyle w:val="NoSpacing"/>
        <w:ind w:right="-20"/>
        <w:jc w:val="both"/>
        <w:rPr>
          <w:b/>
          <w:bCs/>
          <w:color w:val="4646FF"/>
          <w:u w:val="single"/>
        </w:rPr>
      </w:pPr>
      <w:r w:rsidRPr="001B0F41">
        <w:rPr>
          <w:b/>
          <w:bCs/>
          <w:color w:val="4646FF"/>
          <w:u w:val="single"/>
        </w:rPr>
        <w:t>Consolidated financial statements</w:t>
      </w:r>
    </w:p>
    <w:p w14:paraId="0F8F5A50" w14:textId="011D2A1B" w:rsidR="00A1425C" w:rsidRDefault="00A1425C">
      <w:pPr>
        <w:rPr>
          <w:rFonts w:asciiTheme="minorHAnsi" w:hAnsiTheme="minorHAnsi" w:cs="Arial"/>
          <w:b/>
          <w:color w:val="4747FF"/>
          <w:sz w:val="22"/>
          <w:szCs w:val="22"/>
        </w:rPr>
      </w:pPr>
    </w:p>
    <w:p w14:paraId="003EB788" w14:textId="101BBAF6" w:rsidR="00E616C9" w:rsidRPr="00701439" w:rsidRDefault="00E616C9" w:rsidP="00E616C9">
      <w:pPr>
        <w:rPr>
          <w:rFonts w:asciiTheme="minorHAnsi" w:hAnsiTheme="minorHAnsi" w:cs="Arial"/>
          <w:b/>
          <w:color w:val="4747FF"/>
          <w:sz w:val="22"/>
          <w:szCs w:val="22"/>
        </w:rPr>
      </w:pPr>
      <w:r w:rsidRPr="00701439">
        <w:rPr>
          <w:rFonts w:asciiTheme="minorHAnsi" w:hAnsiTheme="minorHAnsi" w:cs="Arial"/>
          <w:b/>
          <w:color w:val="4747FF"/>
          <w:sz w:val="22"/>
          <w:szCs w:val="22"/>
        </w:rPr>
        <w:t xml:space="preserve">Consolidated income statement for the </w:t>
      </w:r>
      <w:r w:rsidR="00FA491A">
        <w:rPr>
          <w:rFonts w:asciiTheme="minorHAnsi" w:hAnsiTheme="minorHAnsi" w:cs="Arial"/>
          <w:b/>
          <w:color w:val="4747FF"/>
          <w:sz w:val="22"/>
          <w:szCs w:val="22"/>
        </w:rPr>
        <w:t>six months</w:t>
      </w:r>
      <w:r w:rsidRPr="00701439">
        <w:rPr>
          <w:rFonts w:asciiTheme="minorHAnsi" w:hAnsiTheme="minorHAnsi" w:cs="Arial"/>
          <w:b/>
          <w:color w:val="4747FF"/>
          <w:sz w:val="22"/>
          <w:szCs w:val="22"/>
        </w:rPr>
        <w:t xml:space="preserve"> ended </w:t>
      </w:r>
      <w:r w:rsidR="00FA491A">
        <w:rPr>
          <w:rFonts w:asciiTheme="minorHAnsi" w:hAnsiTheme="minorHAnsi" w:cs="Arial"/>
          <w:b/>
          <w:color w:val="4747FF"/>
          <w:sz w:val="22"/>
          <w:szCs w:val="22"/>
        </w:rPr>
        <w:t>30 June</w:t>
      </w:r>
    </w:p>
    <w:p w14:paraId="011387A5" w14:textId="77777777" w:rsidR="00E616C9" w:rsidRPr="00701439" w:rsidRDefault="00E616C9" w:rsidP="00E616C9">
      <w:pPr>
        <w:rPr>
          <w:rFonts w:asciiTheme="minorHAnsi" w:hAnsiTheme="minorHAnsi" w:cs="Arial"/>
          <w:b/>
          <w:sz w:val="20"/>
          <w:szCs w:val="20"/>
        </w:rPr>
      </w:pPr>
    </w:p>
    <w:tbl>
      <w:tblPr>
        <w:tblW w:w="9923" w:type="dxa"/>
        <w:tblLayout w:type="fixed"/>
        <w:tblLook w:val="0000" w:firstRow="0" w:lastRow="0" w:firstColumn="0" w:lastColumn="0" w:noHBand="0" w:noVBand="0"/>
      </w:tblPr>
      <w:tblGrid>
        <w:gridCol w:w="6938"/>
        <w:gridCol w:w="631"/>
        <w:gridCol w:w="1177"/>
        <w:gridCol w:w="1177"/>
      </w:tblGrid>
      <w:tr w:rsidR="00E616C9" w:rsidRPr="00701439" w14:paraId="24BF5C7B" w14:textId="77777777" w:rsidTr="22538258">
        <w:tc>
          <w:tcPr>
            <w:tcW w:w="6938" w:type="dxa"/>
          </w:tcPr>
          <w:p w14:paraId="65477100" w14:textId="77777777" w:rsidR="00E616C9" w:rsidRPr="00701439" w:rsidRDefault="00E616C9">
            <w:pPr>
              <w:rPr>
                <w:rFonts w:asciiTheme="minorHAnsi" w:hAnsiTheme="minorHAnsi" w:cs="Arial"/>
                <w:sz w:val="20"/>
                <w:szCs w:val="20"/>
              </w:rPr>
            </w:pPr>
          </w:p>
        </w:tc>
        <w:tc>
          <w:tcPr>
            <w:tcW w:w="631" w:type="dxa"/>
          </w:tcPr>
          <w:p w14:paraId="00C6EDB9" w14:textId="1D435C75" w:rsidR="00E616C9" w:rsidRPr="00701439" w:rsidRDefault="00E616C9">
            <w:pPr>
              <w:jc w:val="right"/>
              <w:rPr>
                <w:rFonts w:asciiTheme="minorHAnsi" w:hAnsiTheme="minorHAnsi" w:cs="Arial"/>
                <w:sz w:val="20"/>
                <w:szCs w:val="20"/>
              </w:rPr>
            </w:pPr>
            <w:r w:rsidRPr="00701439">
              <w:rPr>
                <w:rFonts w:asciiTheme="minorHAnsi" w:hAnsiTheme="minorHAnsi" w:cs="Arial"/>
                <w:sz w:val="20"/>
                <w:szCs w:val="20"/>
              </w:rPr>
              <w:t>Note</w:t>
            </w:r>
          </w:p>
        </w:tc>
        <w:tc>
          <w:tcPr>
            <w:tcW w:w="1177" w:type="dxa"/>
            <w:shd w:val="clear" w:color="auto" w:fill="F2F2F2" w:themeFill="background1" w:themeFillShade="F2"/>
          </w:tcPr>
          <w:p w14:paraId="3071F2A0" w14:textId="77777777" w:rsidR="00E616C9" w:rsidRDefault="00E616C9">
            <w:pPr>
              <w:jc w:val="right"/>
              <w:rPr>
                <w:rFonts w:asciiTheme="minorHAnsi" w:hAnsiTheme="minorHAnsi" w:cs="Arial"/>
                <w:b/>
                <w:sz w:val="20"/>
                <w:szCs w:val="20"/>
              </w:rPr>
            </w:pPr>
            <w:r w:rsidRPr="00502543">
              <w:rPr>
                <w:rFonts w:asciiTheme="minorHAnsi" w:hAnsiTheme="minorHAnsi" w:cs="Arial"/>
                <w:b/>
                <w:sz w:val="20"/>
                <w:szCs w:val="20"/>
              </w:rPr>
              <w:t>202</w:t>
            </w:r>
            <w:r w:rsidR="00FA491A">
              <w:rPr>
                <w:rFonts w:asciiTheme="minorHAnsi" w:hAnsiTheme="minorHAnsi" w:cs="Arial"/>
                <w:b/>
                <w:sz w:val="20"/>
                <w:szCs w:val="20"/>
              </w:rPr>
              <w:t>5</w:t>
            </w:r>
          </w:p>
          <w:p w14:paraId="6A9A8D66" w14:textId="6057CA52" w:rsidR="00E616C9" w:rsidRPr="00502543" w:rsidRDefault="002846A0">
            <w:pPr>
              <w:jc w:val="right"/>
              <w:rPr>
                <w:rFonts w:asciiTheme="minorHAnsi" w:hAnsiTheme="minorHAnsi" w:cs="Arial"/>
                <w:b/>
                <w:sz w:val="20"/>
                <w:szCs w:val="20"/>
              </w:rPr>
            </w:pPr>
            <w:r>
              <w:rPr>
                <w:rFonts w:asciiTheme="minorHAnsi" w:hAnsiTheme="minorHAnsi" w:cs="Arial"/>
                <w:b/>
                <w:sz w:val="20"/>
                <w:szCs w:val="20"/>
              </w:rPr>
              <w:t>unaudited</w:t>
            </w:r>
          </w:p>
        </w:tc>
        <w:tc>
          <w:tcPr>
            <w:tcW w:w="1177" w:type="dxa"/>
          </w:tcPr>
          <w:p w14:paraId="386C341C" w14:textId="48E042E1" w:rsidR="00B6699F" w:rsidRDefault="00E616C9">
            <w:pPr>
              <w:jc w:val="right"/>
              <w:rPr>
                <w:rFonts w:asciiTheme="minorHAnsi" w:hAnsiTheme="minorHAnsi" w:cs="Arial"/>
                <w:sz w:val="20"/>
                <w:szCs w:val="20"/>
              </w:rPr>
            </w:pPr>
            <w:r w:rsidRPr="00701439">
              <w:rPr>
                <w:rFonts w:asciiTheme="minorHAnsi" w:hAnsiTheme="minorHAnsi" w:cs="Arial"/>
                <w:sz w:val="20"/>
                <w:szCs w:val="20"/>
              </w:rPr>
              <w:t>202</w:t>
            </w:r>
            <w:r w:rsidR="00FA491A">
              <w:rPr>
                <w:rFonts w:asciiTheme="minorHAnsi" w:hAnsiTheme="minorHAnsi" w:cs="Arial"/>
                <w:sz w:val="20"/>
                <w:szCs w:val="20"/>
              </w:rPr>
              <w:t>4</w:t>
            </w:r>
            <w:r w:rsidR="00642155" w:rsidRPr="00642155">
              <w:rPr>
                <w:rFonts w:asciiTheme="minorHAnsi" w:hAnsiTheme="minorHAnsi" w:cs="Arial"/>
                <w:sz w:val="20"/>
                <w:szCs w:val="20"/>
                <w:vertAlign w:val="superscript"/>
              </w:rPr>
              <w:t>1</w:t>
            </w:r>
          </w:p>
          <w:p w14:paraId="462F6EED" w14:textId="1AC6D1BF" w:rsidR="00B6699F" w:rsidRPr="00701439" w:rsidRDefault="005B20BD">
            <w:pPr>
              <w:jc w:val="right"/>
              <w:rPr>
                <w:rFonts w:asciiTheme="minorHAnsi" w:hAnsiTheme="minorHAnsi" w:cs="Arial"/>
                <w:sz w:val="20"/>
                <w:szCs w:val="20"/>
              </w:rPr>
            </w:pPr>
            <w:r w:rsidRPr="007F7783">
              <w:rPr>
                <w:rFonts w:asciiTheme="minorHAnsi" w:hAnsiTheme="minorHAnsi" w:cs="Arial"/>
                <w:bCs/>
                <w:sz w:val="20"/>
                <w:szCs w:val="20"/>
              </w:rPr>
              <w:t>unaudited</w:t>
            </w:r>
          </w:p>
        </w:tc>
      </w:tr>
      <w:tr w:rsidR="00E616C9" w:rsidRPr="00701439" w14:paraId="1ECAB59B" w14:textId="77777777" w:rsidTr="22538258">
        <w:tc>
          <w:tcPr>
            <w:tcW w:w="6938" w:type="dxa"/>
          </w:tcPr>
          <w:p w14:paraId="5C4BA11D" w14:textId="30852BDD" w:rsidR="00E616C9" w:rsidRPr="00701439" w:rsidRDefault="00E616C9">
            <w:pPr>
              <w:rPr>
                <w:rFonts w:asciiTheme="minorHAnsi" w:hAnsiTheme="minorHAnsi" w:cs="Arial"/>
                <w:b/>
                <w:sz w:val="20"/>
                <w:szCs w:val="20"/>
              </w:rPr>
            </w:pPr>
          </w:p>
        </w:tc>
        <w:tc>
          <w:tcPr>
            <w:tcW w:w="631" w:type="dxa"/>
          </w:tcPr>
          <w:p w14:paraId="5C70CBD8" w14:textId="77777777" w:rsidR="00E616C9" w:rsidRPr="00701439" w:rsidRDefault="00E616C9">
            <w:pPr>
              <w:jc w:val="right"/>
              <w:rPr>
                <w:rFonts w:asciiTheme="minorHAnsi" w:hAnsiTheme="minorHAnsi" w:cs="Arial"/>
                <w:sz w:val="20"/>
                <w:szCs w:val="20"/>
              </w:rPr>
            </w:pPr>
          </w:p>
        </w:tc>
        <w:tc>
          <w:tcPr>
            <w:tcW w:w="1177" w:type="dxa"/>
            <w:tcBorders>
              <w:top w:val="nil"/>
              <w:left w:val="nil"/>
              <w:right w:val="nil"/>
            </w:tcBorders>
            <w:shd w:val="clear" w:color="auto" w:fill="F2F2F2" w:themeFill="background1" w:themeFillShade="F2"/>
          </w:tcPr>
          <w:p w14:paraId="6E491667" w14:textId="77777777" w:rsidR="00E616C9" w:rsidRPr="00502543" w:rsidRDefault="00E616C9">
            <w:pPr>
              <w:jc w:val="right"/>
              <w:rPr>
                <w:rFonts w:asciiTheme="minorHAnsi" w:hAnsiTheme="minorHAnsi" w:cs="Arial"/>
                <w:b/>
                <w:sz w:val="20"/>
                <w:szCs w:val="20"/>
              </w:rPr>
            </w:pPr>
            <w:r w:rsidRPr="00502543">
              <w:rPr>
                <w:rFonts w:asciiTheme="minorHAnsi" w:hAnsiTheme="minorHAnsi" w:cs="Arial"/>
                <w:b/>
                <w:sz w:val="20"/>
                <w:szCs w:val="20"/>
              </w:rPr>
              <w:t>£m </w:t>
            </w:r>
          </w:p>
        </w:tc>
        <w:tc>
          <w:tcPr>
            <w:tcW w:w="1177" w:type="dxa"/>
            <w:tcBorders>
              <w:top w:val="nil"/>
              <w:left w:val="nil"/>
              <w:right w:val="nil"/>
            </w:tcBorders>
          </w:tcPr>
          <w:p w14:paraId="04ED4DB4" w14:textId="77777777" w:rsidR="00E616C9" w:rsidRPr="00701439" w:rsidRDefault="00E616C9">
            <w:pPr>
              <w:jc w:val="right"/>
              <w:rPr>
                <w:rFonts w:asciiTheme="minorHAnsi" w:hAnsiTheme="minorHAnsi" w:cs="Arial"/>
                <w:sz w:val="20"/>
                <w:szCs w:val="20"/>
              </w:rPr>
            </w:pPr>
            <w:r w:rsidRPr="00701439">
              <w:rPr>
                <w:rFonts w:asciiTheme="minorHAnsi" w:hAnsiTheme="minorHAnsi" w:cs="Arial"/>
                <w:sz w:val="20"/>
                <w:szCs w:val="20"/>
              </w:rPr>
              <w:t>£m </w:t>
            </w:r>
          </w:p>
        </w:tc>
      </w:tr>
      <w:tr w:rsidR="00E616C9" w:rsidRPr="00701439" w14:paraId="2F8D6DE2" w14:textId="77777777" w:rsidTr="22538258">
        <w:tc>
          <w:tcPr>
            <w:tcW w:w="6938" w:type="dxa"/>
            <w:vAlign w:val="bottom"/>
          </w:tcPr>
          <w:p w14:paraId="61A5AC29"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t>Interest income</w:t>
            </w:r>
          </w:p>
        </w:tc>
        <w:tc>
          <w:tcPr>
            <w:tcW w:w="631" w:type="dxa"/>
            <w:vAlign w:val="bottom"/>
          </w:tcPr>
          <w:p w14:paraId="2BCA8B38" w14:textId="16979B62" w:rsidR="00E616C9" w:rsidRPr="00701439" w:rsidRDefault="4C45941F" w:rsidP="22538258">
            <w:pPr>
              <w:jc w:val="right"/>
              <w:rPr>
                <w:rFonts w:asciiTheme="minorHAnsi" w:hAnsiTheme="minorHAnsi" w:cs="Arial"/>
                <w:sz w:val="20"/>
                <w:szCs w:val="20"/>
              </w:rPr>
            </w:pPr>
            <w:r w:rsidRPr="22538258">
              <w:rPr>
                <w:rFonts w:asciiTheme="minorHAnsi" w:hAnsiTheme="minorHAnsi" w:cs="Arial"/>
                <w:sz w:val="20"/>
                <w:szCs w:val="20"/>
              </w:rPr>
              <w:t>3</w:t>
            </w:r>
          </w:p>
        </w:tc>
        <w:tc>
          <w:tcPr>
            <w:tcW w:w="1177" w:type="dxa"/>
            <w:tcBorders>
              <w:top w:val="nil"/>
              <w:left w:val="nil"/>
              <w:right w:val="nil"/>
            </w:tcBorders>
            <w:shd w:val="clear" w:color="auto" w:fill="F2F2F2" w:themeFill="background1" w:themeFillShade="F2"/>
            <w:vAlign w:val="bottom"/>
          </w:tcPr>
          <w:p w14:paraId="144BB385" w14:textId="65AC84A4" w:rsidR="00E616C9" w:rsidRPr="00E40E5F" w:rsidRDefault="00885D1A" w:rsidP="00E616C9">
            <w:pPr>
              <w:jc w:val="right"/>
              <w:rPr>
                <w:rFonts w:asciiTheme="minorHAnsi" w:hAnsiTheme="minorHAnsi" w:cs="Arial"/>
                <w:b/>
                <w:sz w:val="20"/>
                <w:szCs w:val="20"/>
              </w:rPr>
            </w:pPr>
            <w:r>
              <w:rPr>
                <w:rFonts w:asciiTheme="minorHAnsi" w:hAnsiTheme="minorHAnsi" w:cs="Arial"/>
                <w:b/>
                <w:sz w:val="20"/>
                <w:szCs w:val="20"/>
              </w:rPr>
              <w:t>274.9</w:t>
            </w:r>
          </w:p>
        </w:tc>
        <w:tc>
          <w:tcPr>
            <w:tcW w:w="1177" w:type="dxa"/>
            <w:tcBorders>
              <w:top w:val="nil"/>
              <w:left w:val="nil"/>
              <w:right w:val="nil"/>
            </w:tcBorders>
            <w:vAlign w:val="bottom"/>
          </w:tcPr>
          <w:p w14:paraId="3732B66E" w14:textId="558F1076"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276.0</w:t>
            </w:r>
          </w:p>
        </w:tc>
      </w:tr>
      <w:tr w:rsidR="00E616C9" w:rsidRPr="00701439" w14:paraId="2F24F00E" w14:textId="77777777" w:rsidTr="22538258">
        <w:tc>
          <w:tcPr>
            <w:tcW w:w="6938" w:type="dxa"/>
            <w:vAlign w:val="bottom"/>
          </w:tcPr>
          <w:p w14:paraId="5FBD3B5C"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t>Interest expense</w:t>
            </w:r>
          </w:p>
        </w:tc>
        <w:tc>
          <w:tcPr>
            <w:tcW w:w="631" w:type="dxa"/>
            <w:vAlign w:val="bottom"/>
          </w:tcPr>
          <w:p w14:paraId="799B2477" w14:textId="77777777" w:rsidR="00E616C9" w:rsidRPr="00701439" w:rsidRDefault="00E616C9" w:rsidP="00E616C9">
            <w:pPr>
              <w:jc w:val="right"/>
              <w:rPr>
                <w:rFonts w:asciiTheme="minorHAnsi" w:hAnsiTheme="minorHAnsi" w:cs="Arial"/>
                <w:sz w:val="20"/>
                <w:szCs w:val="20"/>
              </w:rPr>
            </w:pPr>
          </w:p>
        </w:tc>
        <w:tc>
          <w:tcPr>
            <w:tcW w:w="1177" w:type="dxa"/>
            <w:tcBorders>
              <w:top w:val="nil"/>
              <w:left w:val="nil"/>
              <w:bottom w:val="single" w:sz="4" w:space="0" w:color="auto"/>
              <w:right w:val="nil"/>
            </w:tcBorders>
            <w:shd w:val="clear" w:color="auto" w:fill="F2F2F2" w:themeFill="background1" w:themeFillShade="F2"/>
            <w:vAlign w:val="bottom"/>
          </w:tcPr>
          <w:p w14:paraId="4FD2E696" w14:textId="08D61E27" w:rsidR="00E616C9" w:rsidRPr="00E40E5F" w:rsidRDefault="00885D1A" w:rsidP="00E616C9">
            <w:pPr>
              <w:jc w:val="right"/>
              <w:rPr>
                <w:rFonts w:asciiTheme="minorHAnsi" w:hAnsiTheme="minorHAnsi" w:cs="Arial"/>
                <w:b/>
                <w:sz w:val="20"/>
                <w:szCs w:val="20"/>
              </w:rPr>
            </w:pPr>
            <w:r>
              <w:rPr>
                <w:rFonts w:asciiTheme="minorHAnsi" w:hAnsiTheme="minorHAnsi" w:cs="Arial"/>
                <w:b/>
                <w:sz w:val="20"/>
                <w:szCs w:val="20"/>
              </w:rPr>
              <w:t>(72.7)</w:t>
            </w:r>
          </w:p>
        </w:tc>
        <w:tc>
          <w:tcPr>
            <w:tcW w:w="1177" w:type="dxa"/>
            <w:tcBorders>
              <w:top w:val="nil"/>
              <w:left w:val="nil"/>
              <w:bottom w:val="single" w:sz="4" w:space="0" w:color="auto"/>
              <w:right w:val="nil"/>
            </w:tcBorders>
            <w:vAlign w:val="bottom"/>
          </w:tcPr>
          <w:p w14:paraId="68E4DDFC" w14:textId="0F3DBF51"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(68.7)</w:t>
            </w:r>
          </w:p>
        </w:tc>
      </w:tr>
      <w:tr w:rsidR="00E616C9" w:rsidRPr="00701439" w14:paraId="518A8975" w14:textId="77777777" w:rsidTr="22538258">
        <w:tc>
          <w:tcPr>
            <w:tcW w:w="6938" w:type="dxa"/>
            <w:vAlign w:val="bottom"/>
          </w:tcPr>
          <w:p w14:paraId="371A04F4" w14:textId="77777777" w:rsidR="00E616C9" w:rsidRPr="00701439" w:rsidRDefault="00E616C9" w:rsidP="00E616C9">
            <w:pPr>
              <w:rPr>
                <w:rFonts w:asciiTheme="minorHAnsi" w:hAnsiTheme="minorHAnsi" w:cs="Arial"/>
                <w:b/>
                <w:bCs/>
                <w:sz w:val="20"/>
                <w:szCs w:val="20"/>
              </w:rPr>
            </w:pPr>
            <w:r w:rsidRPr="00701439">
              <w:rPr>
                <w:rFonts w:asciiTheme="minorHAnsi" w:hAnsiTheme="minorHAnsi" w:cs="Arial"/>
                <w:b/>
                <w:bCs/>
                <w:sz w:val="20"/>
                <w:szCs w:val="20"/>
              </w:rPr>
              <w:t>Net interest income</w:t>
            </w:r>
          </w:p>
        </w:tc>
        <w:tc>
          <w:tcPr>
            <w:tcW w:w="631" w:type="dxa"/>
            <w:vAlign w:val="bottom"/>
          </w:tcPr>
          <w:p w14:paraId="7C3CE37F" w14:textId="77777777" w:rsidR="00E616C9" w:rsidRPr="00701439" w:rsidRDefault="00E616C9" w:rsidP="00E616C9">
            <w:pPr>
              <w:jc w:val="right"/>
              <w:rPr>
                <w:rFonts w:asciiTheme="minorHAnsi" w:hAnsiTheme="minorHAnsi" w:cs="Arial"/>
                <w:sz w:val="20"/>
                <w:szCs w:val="20"/>
              </w:rPr>
            </w:pPr>
          </w:p>
        </w:tc>
        <w:tc>
          <w:tcPr>
            <w:tcW w:w="1177" w:type="dxa"/>
            <w:tcBorders>
              <w:top w:val="single" w:sz="4" w:space="0" w:color="auto"/>
              <w:left w:val="nil"/>
              <w:bottom w:val="single" w:sz="4" w:space="0" w:color="auto"/>
              <w:right w:val="nil"/>
            </w:tcBorders>
            <w:shd w:val="clear" w:color="auto" w:fill="F2F2F2" w:themeFill="background1" w:themeFillShade="F2"/>
            <w:vAlign w:val="bottom"/>
          </w:tcPr>
          <w:p w14:paraId="46F07DB1" w14:textId="6B0CF6CB" w:rsidR="00E616C9" w:rsidRPr="00E40E5F" w:rsidRDefault="00885D1A" w:rsidP="00E616C9">
            <w:pPr>
              <w:jc w:val="right"/>
              <w:rPr>
                <w:rFonts w:asciiTheme="minorHAnsi" w:hAnsiTheme="minorHAnsi" w:cs="Arial"/>
                <w:b/>
                <w:sz w:val="20"/>
                <w:szCs w:val="20"/>
              </w:rPr>
            </w:pPr>
            <w:r>
              <w:rPr>
                <w:rFonts w:asciiTheme="minorHAnsi" w:hAnsiTheme="minorHAnsi" w:cs="Arial"/>
                <w:b/>
                <w:sz w:val="20"/>
                <w:szCs w:val="20"/>
              </w:rPr>
              <w:t>202.2</w:t>
            </w:r>
          </w:p>
        </w:tc>
        <w:tc>
          <w:tcPr>
            <w:tcW w:w="1177" w:type="dxa"/>
            <w:tcBorders>
              <w:top w:val="single" w:sz="4" w:space="0" w:color="auto"/>
              <w:left w:val="nil"/>
              <w:bottom w:val="single" w:sz="4" w:space="0" w:color="auto"/>
              <w:right w:val="nil"/>
            </w:tcBorders>
            <w:vAlign w:val="bottom"/>
          </w:tcPr>
          <w:p w14:paraId="1312C133" w14:textId="757FA26A"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207.3</w:t>
            </w:r>
          </w:p>
        </w:tc>
      </w:tr>
      <w:tr w:rsidR="00E616C9" w:rsidRPr="00701439" w14:paraId="05353C43" w14:textId="77777777" w:rsidTr="22538258">
        <w:tc>
          <w:tcPr>
            <w:tcW w:w="6938" w:type="dxa"/>
            <w:vAlign w:val="bottom"/>
          </w:tcPr>
          <w:p w14:paraId="4AC835BB"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t>Fee and commission income</w:t>
            </w:r>
          </w:p>
        </w:tc>
        <w:tc>
          <w:tcPr>
            <w:tcW w:w="631" w:type="dxa"/>
            <w:vAlign w:val="bottom"/>
          </w:tcPr>
          <w:p w14:paraId="7DC213CE" w14:textId="24615312" w:rsidR="00E616C9" w:rsidRPr="00701439" w:rsidRDefault="00E616C9" w:rsidP="00E616C9">
            <w:pPr>
              <w:jc w:val="right"/>
              <w:rPr>
                <w:rFonts w:asciiTheme="minorHAnsi" w:hAnsiTheme="minorHAnsi" w:cs="Arial"/>
                <w:sz w:val="20"/>
                <w:szCs w:val="20"/>
              </w:rPr>
            </w:pPr>
          </w:p>
        </w:tc>
        <w:tc>
          <w:tcPr>
            <w:tcW w:w="1177" w:type="dxa"/>
            <w:tcBorders>
              <w:top w:val="single" w:sz="4" w:space="0" w:color="auto"/>
              <w:left w:val="nil"/>
              <w:right w:val="nil"/>
            </w:tcBorders>
            <w:shd w:val="clear" w:color="auto" w:fill="F2F2F2" w:themeFill="background1" w:themeFillShade="F2"/>
            <w:vAlign w:val="bottom"/>
          </w:tcPr>
          <w:p w14:paraId="197ED3FA" w14:textId="1388D1C0" w:rsidR="00E616C9" w:rsidRPr="00E40E5F" w:rsidRDefault="00DC5E53" w:rsidP="00E616C9">
            <w:pPr>
              <w:jc w:val="right"/>
              <w:rPr>
                <w:rFonts w:asciiTheme="minorHAnsi" w:hAnsiTheme="minorHAnsi" w:cs="Arial"/>
                <w:b/>
                <w:sz w:val="20"/>
                <w:szCs w:val="20"/>
              </w:rPr>
            </w:pPr>
            <w:r>
              <w:rPr>
                <w:rFonts w:asciiTheme="minorHAnsi" w:hAnsiTheme="minorHAnsi" w:cs="Arial"/>
                <w:b/>
                <w:sz w:val="20"/>
                <w:szCs w:val="20"/>
              </w:rPr>
              <w:t>18.4</w:t>
            </w:r>
          </w:p>
        </w:tc>
        <w:tc>
          <w:tcPr>
            <w:tcW w:w="1177" w:type="dxa"/>
            <w:tcBorders>
              <w:top w:val="single" w:sz="4" w:space="0" w:color="auto"/>
              <w:left w:val="nil"/>
              <w:right w:val="nil"/>
            </w:tcBorders>
            <w:vAlign w:val="bottom"/>
          </w:tcPr>
          <w:p w14:paraId="3196E754" w14:textId="6772CB10"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20.1</w:t>
            </w:r>
          </w:p>
        </w:tc>
      </w:tr>
      <w:tr w:rsidR="00E616C9" w:rsidRPr="00701439" w14:paraId="33EEC5F3" w14:textId="77777777" w:rsidTr="22538258">
        <w:tc>
          <w:tcPr>
            <w:tcW w:w="6938" w:type="dxa"/>
            <w:vAlign w:val="bottom"/>
          </w:tcPr>
          <w:p w14:paraId="66559966"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t>Fee and commission expense</w:t>
            </w:r>
          </w:p>
        </w:tc>
        <w:tc>
          <w:tcPr>
            <w:tcW w:w="631" w:type="dxa"/>
            <w:vAlign w:val="bottom"/>
          </w:tcPr>
          <w:p w14:paraId="7CEACDB2" w14:textId="77777777" w:rsidR="00E616C9" w:rsidRPr="00701439" w:rsidRDefault="00E616C9" w:rsidP="00E616C9">
            <w:pPr>
              <w:jc w:val="right"/>
              <w:rPr>
                <w:rFonts w:asciiTheme="minorHAnsi" w:hAnsiTheme="minorHAnsi" w:cs="Arial"/>
                <w:sz w:val="20"/>
                <w:szCs w:val="20"/>
              </w:rPr>
            </w:pPr>
          </w:p>
        </w:tc>
        <w:tc>
          <w:tcPr>
            <w:tcW w:w="1177" w:type="dxa"/>
            <w:tcBorders>
              <w:left w:val="nil"/>
              <w:bottom w:val="single" w:sz="4" w:space="0" w:color="auto"/>
              <w:right w:val="nil"/>
            </w:tcBorders>
            <w:shd w:val="clear" w:color="auto" w:fill="F2F2F2" w:themeFill="background1" w:themeFillShade="F2"/>
            <w:vAlign w:val="bottom"/>
          </w:tcPr>
          <w:p w14:paraId="56E2183A" w14:textId="5767FF73" w:rsidR="00E616C9" w:rsidRPr="00E40E5F" w:rsidRDefault="00DC5E53" w:rsidP="00E616C9">
            <w:pPr>
              <w:jc w:val="right"/>
              <w:rPr>
                <w:rFonts w:asciiTheme="minorHAnsi" w:hAnsiTheme="minorHAnsi" w:cs="Arial"/>
                <w:b/>
                <w:sz w:val="20"/>
                <w:szCs w:val="20"/>
              </w:rPr>
            </w:pPr>
            <w:r>
              <w:rPr>
                <w:rFonts w:asciiTheme="minorHAnsi" w:hAnsiTheme="minorHAnsi" w:cs="Arial"/>
                <w:b/>
                <w:sz w:val="20"/>
                <w:szCs w:val="20"/>
              </w:rPr>
              <w:t>(1.5)</w:t>
            </w:r>
          </w:p>
        </w:tc>
        <w:tc>
          <w:tcPr>
            <w:tcW w:w="1177" w:type="dxa"/>
            <w:tcBorders>
              <w:left w:val="nil"/>
              <w:bottom w:val="single" w:sz="4" w:space="0" w:color="auto"/>
              <w:right w:val="nil"/>
            </w:tcBorders>
            <w:vAlign w:val="bottom"/>
          </w:tcPr>
          <w:p w14:paraId="3AC85EEF" w14:textId="57A43838"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(0.8)</w:t>
            </w:r>
          </w:p>
        </w:tc>
      </w:tr>
      <w:tr w:rsidR="00E616C9" w:rsidRPr="00701439" w14:paraId="5F1C9AC4" w14:textId="77777777" w:rsidTr="22538258">
        <w:trPr>
          <w:trHeight w:val="195"/>
        </w:trPr>
        <w:tc>
          <w:tcPr>
            <w:tcW w:w="6938" w:type="dxa"/>
            <w:vAlign w:val="bottom"/>
          </w:tcPr>
          <w:p w14:paraId="6A2CCDEC" w14:textId="77777777" w:rsidR="00E616C9" w:rsidRPr="00701439" w:rsidRDefault="00E616C9" w:rsidP="00E616C9">
            <w:pPr>
              <w:rPr>
                <w:rFonts w:asciiTheme="minorHAnsi" w:hAnsiTheme="minorHAnsi" w:cs="Arial"/>
                <w:b/>
                <w:bCs/>
                <w:sz w:val="20"/>
                <w:szCs w:val="20"/>
              </w:rPr>
            </w:pPr>
            <w:r w:rsidRPr="00701439">
              <w:rPr>
                <w:rFonts w:asciiTheme="minorHAnsi" w:hAnsiTheme="minorHAnsi" w:cs="Arial"/>
                <w:b/>
                <w:bCs/>
                <w:sz w:val="20"/>
                <w:szCs w:val="20"/>
              </w:rPr>
              <w:t>Net fee and commission income</w:t>
            </w:r>
          </w:p>
        </w:tc>
        <w:tc>
          <w:tcPr>
            <w:tcW w:w="631" w:type="dxa"/>
            <w:vAlign w:val="bottom"/>
          </w:tcPr>
          <w:p w14:paraId="53E4BDFC" w14:textId="77777777" w:rsidR="00E616C9" w:rsidRPr="00701439" w:rsidRDefault="00E616C9" w:rsidP="00E616C9">
            <w:pPr>
              <w:jc w:val="right"/>
              <w:rPr>
                <w:rFonts w:asciiTheme="minorHAnsi" w:hAnsiTheme="minorHAnsi" w:cs="Arial"/>
                <w:sz w:val="20"/>
                <w:szCs w:val="20"/>
              </w:rPr>
            </w:pPr>
          </w:p>
        </w:tc>
        <w:tc>
          <w:tcPr>
            <w:tcW w:w="1177" w:type="dxa"/>
            <w:tcBorders>
              <w:top w:val="single" w:sz="4" w:space="0" w:color="auto"/>
              <w:left w:val="nil"/>
              <w:bottom w:val="single" w:sz="4" w:space="0" w:color="auto"/>
              <w:right w:val="nil"/>
            </w:tcBorders>
            <w:shd w:val="clear" w:color="auto" w:fill="F2F2F2" w:themeFill="background1" w:themeFillShade="F2"/>
            <w:vAlign w:val="bottom"/>
          </w:tcPr>
          <w:p w14:paraId="095951EE" w14:textId="693F51FC" w:rsidR="00E616C9" w:rsidRPr="00E40E5F" w:rsidRDefault="00DC5E53" w:rsidP="00E616C9">
            <w:pPr>
              <w:jc w:val="right"/>
              <w:rPr>
                <w:rFonts w:asciiTheme="minorHAnsi" w:hAnsiTheme="minorHAnsi" w:cs="Arial"/>
                <w:b/>
                <w:sz w:val="20"/>
                <w:szCs w:val="20"/>
              </w:rPr>
            </w:pPr>
            <w:r>
              <w:rPr>
                <w:rFonts w:asciiTheme="minorHAnsi" w:hAnsiTheme="minorHAnsi" w:cs="Arial"/>
                <w:b/>
                <w:sz w:val="20"/>
                <w:szCs w:val="20"/>
              </w:rPr>
              <w:t>16.9</w:t>
            </w:r>
          </w:p>
        </w:tc>
        <w:tc>
          <w:tcPr>
            <w:tcW w:w="1177" w:type="dxa"/>
            <w:tcBorders>
              <w:top w:val="single" w:sz="4" w:space="0" w:color="auto"/>
              <w:left w:val="nil"/>
              <w:bottom w:val="single" w:sz="4" w:space="0" w:color="auto"/>
              <w:right w:val="nil"/>
            </w:tcBorders>
            <w:vAlign w:val="bottom"/>
          </w:tcPr>
          <w:p w14:paraId="42A8C1B8" w14:textId="51E5DBA0"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19.3</w:t>
            </w:r>
          </w:p>
        </w:tc>
      </w:tr>
      <w:tr w:rsidR="00E616C9" w:rsidRPr="00701439" w14:paraId="5EE986AF" w14:textId="77777777" w:rsidTr="22538258">
        <w:trPr>
          <w:trHeight w:val="195"/>
        </w:trPr>
        <w:tc>
          <w:tcPr>
            <w:tcW w:w="6938" w:type="dxa"/>
            <w:vAlign w:val="bottom"/>
          </w:tcPr>
          <w:p w14:paraId="676A32C2"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t>Other income and net fair value gains</w:t>
            </w:r>
          </w:p>
        </w:tc>
        <w:tc>
          <w:tcPr>
            <w:tcW w:w="631" w:type="dxa"/>
            <w:vAlign w:val="bottom"/>
          </w:tcPr>
          <w:p w14:paraId="702A2958" w14:textId="77777777" w:rsidR="00E616C9" w:rsidRPr="00701439" w:rsidRDefault="00E616C9" w:rsidP="00E616C9">
            <w:pPr>
              <w:jc w:val="right"/>
              <w:rPr>
                <w:rFonts w:asciiTheme="minorHAnsi" w:hAnsiTheme="minorHAnsi" w:cs="Arial"/>
                <w:sz w:val="20"/>
                <w:szCs w:val="20"/>
              </w:rPr>
            </w:pPr>
          </w:p>
        </w:tc>
        <w:tc>
          <w:tcPr>
            <w:tcW w:w="1177" w:type="dxa"/>
            <w:tcBorders>
              <w:top w:val="single" w:sz="4" w:space="0" w:color="auto"/>
              <w:left w:val="nil"/>
              <w:right w:val="nil"/>
            </w:tcBorders>
            <w:shd w:val="clear" w:color="auto" w:fill="F2F2F2" w:themeFill="background1" w:themeFillShade="F2"/>
            <w:vAlign w:val="bottom"/>
          </w:tcPr>
          <w:p w14:paraId="1C811240" w14:textId="0CB1E6F7" w:rsidR="00E616C9" w:rsidRPr="00E40E5F" w:rsidRDefault="00F82039" w:rsidP="00E616C9">
            <w:pPr>
              <w:jc w:val="right"/>
              <w:rPr>
                <w:rFonts w:asciiTheme="minorHAnsi" w:hAnsiTheme="minorHAnsi" w:cs="Arial"/>
                <w:b/>
                <w:sz w:val="20"/>
                <w:szCs w:val="20"/>
              </w:rPr>
            </w:pPr>
            <w:r>
              <w:rPr>
                <w:rFonts w:asciiTheme="minorHAnsi" w:hAnsiTheme="minorHAnsi" w:cs="Arial"/>
                <w:b/>
                <w:sz w:val="20"/>
                <w:szCs w:val="20"/>
              </w:rPr>
              <w:t>0.6</w:t>
            </w:r>
          </w:p>
        </w:tc>
        <w:tc>
          <w:tcPr>
            <w:tcW w:w="1177" w:type="dxa"/>
            <w:tcBorders>
              <w:top w:val="single" w:sz="4" w:space="0" w:color="auto"/>
              <w:left w:val="nil"/>
              <w:right w:val="nil"/>
            </w:tcBorders>
            <w:vAlign w:val="bottom"/>
          </w:tcPr>
          <w:p w14:paraId="1EA5EFB4" w14:textId="3006CF6E"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0.2</w:t>
            </w:r>
          </w:p>
        </w:tc>
      </w:tr>
      <w:tr w:rsidR="00E616C9" w:rsidRPr="00701439" w14:paraId="38AC2604" w14:textId="77777777" w:rsidTr="22538258">
        <w:trPr>
          <w:trHeight w:val="195"/>
        </w:trPr>
        <w:tc>
          <w:tcPr>
            <w:tcW w:w="6938" w:type="dxa"/>
            <w:vAlign w:val="bottom"/>
          </w:tcPr>
          <w:p w14:paraId="3FE0CD8D" w14:textId="77777777" w:rsidR="00E616C9" w:rsidRPr="00701439" w:rsidRDefault="00E616C9" w:rsidP="00E616C9">
            <w:pPr>
              <w:rPr>
                <w:rFonts w:asciiTheme="minorHAnsi" w:hAnsiTheme="minorHAnsi" w:cs="Arial"/>
                <w:b/>
                <w:bCs/>
                <w:sz w:val="20"/>
                <w:szCs w:val="20"/>
              </w:rPr>
            </w:pPr>
            <w:r w:rsidRPr="00701439">
              <w:rPr>
                <w:rFonts w:asciiTheme="minorHAnsi" w:hAnsiTheme="minorHAnsi" w:cs="Arial"/>
                <w:b/>
                <w:bCs/>
                <w:sz w:val="20"/>
                <w:szCs w:val="20"/>
              </w:rPr>
              <w:t>Total income</w:t>
            </w:r>
          </w:p>
        </w:tc>
        <w:tc>
          <w:tcPr>
            <w:tcW w:w="631" w:type="dxa"/>
            <w:vAlign w:val="bottom"/>
          </w:tcPr>
          <w:p w14:paraId="2E3A7C3B" w14:textId="77777777" w:rsidR="00E616C9" w:rsidRPr="00701439" w:rsidRDefault="00E616C9" w:rsidP="00E616C9">
            <w:pPr>
              <w:jc w:val="right"/>
              <w:rPr>
                <w:rFonts w:asciiTheme="minorHAnsi" w:hAnsiTheme="minorHAnsi" w:cs="Arial"/>
                <w:sz w:val="20"/>
                <w:szCs w:val="20"/>
              </w:rPr>
            </w:pPr>
          </w:p>
        </w:tc>
        <w:tc>
          <w:tcPr>
            <w:tcW w:w="1177" w:type="dxa"/>
            <w:tcBorders>
              <w:top w:val="single" w:sz="4" w:space="0" w:color="auto"/>
              <w:left w:val="nil"/>
              <w:right w:val="nil"/>
            </w:tcBorders>
            <w:shd w:val="clear" w:color="auto" w:fill="F2F2F2" w:themeFill="background1" w:themeFillShade="F2"/>
            <w:vAlign w:val="bottom"/>
          </w:tcPr>
          <w:p w14:paraId="14BCAD64" w14:textId="553823D6" w:rsidR="00E616C9" w:rsidRPr="00E40E5F" w:rsidRDefault="003D1606" w:rsidP="00E616C9">
            <w:pPr>
              <w:jc w:val="right"/>
              <w:rPr>
                <w:rFonts w:asciiTheme="minorHAnsi" w:hAnsiTheme="minorHAnsi" w:cs="Arial"/>
                <w:b/>
                <w:sz w:val="20"/>
                <w:szCs w:val="20"/>
              </w:rPr>
            </w:pPr>
            <w:r>
              <w:rPr>
                <w:rFonts w:asciiTheme="minorHAnsi" w:hAnsiTheme="minorHAnsi" w:cs="Arial"/>
                <w:b/>
                <w:sz w:val="20"/>
                <w:szCs w:val="20"/>
              </w:rPr>
              <w:t>219.7</w:t>
            </w:r>
          </w:p>
        </w:tc>
        <w:tc>
          <w:tcPr>
            <w:tcW w:w="1177" w:type="dxa"/>
            <w:tcBorders>
              <w:top w:val="single" w:sz="4" w:space="0" w:color="auto"/>
              <w:left w:val="nil"/>
              <w:right w:val="nil"/>
            </w:tcBorders>
            <w:vAlign w:val="bottom"/>
          </w:tcPr>
          <w:p w14:paraId="25549385" w14:textId="5DC3DFDF"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226.8</w:t>
            </w:r>
          </w:p>
        </w:tc>
      </w:tr>
      <w:tr w:rsidR="00E616C9" w:rsidRPr="00701439" w14:paraId="7BD91A72" w14:textId="77777777" w:rsidTr="22538258">
        <w:tc>
          <w:tcPr>
            <w:tcW w:w="6938" w:type="dxa"/>
            <w:vAlign w:val="bottom"/>
          </w:tcPr>
          <w:p w14:paraId="3F3B32FB"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t>Impairment charges</w:t>
            </w:r>
          </w:p>
        </w:tc>
        <w:tc>
          <w:tcPr>
            <w:tcW w:w="631" w:type="dxa"/>
            <w:vAlign w:val="bottom"/>
          </w:tcPr>
          <w:p w14:paraId="5D1FA49E" w14:textId="171E037B" w:rsidR="00E616C9" w:rsidRPr="00701439" w:rsidRDefault="00D0659E" w:rsidP="00E616C9">
            <w:pPr>
              <w:jc w:val="right"/>
              <w:rPr>
                <w:rFonts w:asciiTheme="minorHAnsi" w:hAnsiTheme="minorHAnsi" w:cs="Arial"/>
                <w:sz w:val="20"/>
                <w:szCs w:val="20"/>
              </w:rPr>
            </w:pPr>
            <w:r>
              <w:rPr>
                <w:rFonts w:asciiTheme="minorHAnsi" w:hAnsiTheme="minorHAnsi" w:cs="Arial"/>
                <w:sz w:val="20"/>
                <w:szCs w:val="20"/>
              </w:rPr>
              <w:t>9</w:t>
            </w:r>
          </w:p>
        </w:tc>
        <w:tc>
          <w:tcPr>
            <w:tcW w:w="1177" w:type="dxa"/>
            <w:tcBorders>
              <w:bottom w:val="single" w:sz="4" w:space="0" w:color="auto"/>
            </w:tcBorders>
            <w:shd w:val="clear" w:color="auto" w:fill="F2F2F2" w:themeFill="background1" w:themeFillShade="F2"/>
            <w:vAlign w:val="bottom"/>
          </w:tcPr>
          <w:p w14:paraId="21FB2EA5" w14:textId="472B12E3" w:rsidR="00E616C9" w:rsidRPr="00E40E5F" w:rsidRDefault="003D1606" w:rsidP="00E616C9">
            <w:pPr>
              <w:jc w:val="right"/>
              <w:rPr>
                <w:rFonts w:asciiTheme="minorHAnsi" w:hAnsiTheme="minorHAnsi" w:cs="Arial"/>
                <w:b/>
                <w:sz w:val="20"/>
                <w:szCs w:val="20"/>
              </w:rPr>
            </w:pPr>
            <w:r>
              <w:rPr>
                <w:rFonts w:asciiTheme="minorHAnsi" w:hAnsiTheme="minorHAnsi" w:cs="Arial"/>
                <w:b/>
                <w:sz w:val="20"/>
                <w:szCs w:val="20"/>
              </w:rPr>
              <w:t>(76.1)</w:t>
            </w:r>
          </w:p>
        </w:tc>
        <w:tc>
          <w:tcPr>
            <w:tcW w:w="1177" w:type="dxa"/>
            <w:tcBorders>
              <w:bottom w:val="single" w:sz="4" w:space="0" w:color="auto"/>
            </w:tcBorders>
            <w:vAlign w:val="bottom"/>
          </w:tcPr>
          <w:p w14:paraId="3C394356" w14:textId="445C6DA8"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(93.0)</w:t>
            </w:r>
          </w:p>
        </w:tc>
      </w:tr>
      <w:tr w:rsidR="00E616C9" w:rsidRPr="00701439" w14:paraId="78997FC5" w14:textId="77777777" w:rsidTr="22538258">
        <w:tc>
          <w:tcPr>
            <w:tcW w:w="6938" w:type="dxa"/>
            <w:vAlign w:val="bottom"/>
          </w:tcPr>
          <w:p w14:paraId="52D8904F" w14:textId="77777777" w:rsidR="00E616C9" w:rsidRPr="00701439" w:rsidRDefault="00E616C9" w:rsidP="00E616C9">
            <w:pPr>
              <w:rPr>
                <w:rFonts w:asciiTheme="minorHAnsi" w:hAnsiTheme="minorHAnsi" w:cs="Arial"/>
                <w:b/>
                <w:bCs/>
                <w:sz w:val="20"/>
                <w:szCs w:val="20"/>
              </w:rPr>
            </w:pPr>
            <w:r w:rsidRPr="00701439">
              <w:rPr>
                <w:rFonts w:asciiTheme="minorHAnsi" w:hAnsiTheme="minorHAnsi" w:cs="Arial"/>
                <w:b/>
                <w:bCs/>
                <w:sz w:val="20"/>
                <w:szCs w:val="20"/>
              </w:rPr>
              <w:t>Risk-adjusted income</w:t>
            </w:r>
          </w:p>
        </w:tc>
        <w:tc>
          <w:tcPr>
            <w:tcW w:w="631" w:type="dxa"/>
            <w:vAlign w:val="bottom"/>
          </w:tcPr>
          <w:p w14:paraId="5924FB24" w14:textId="77777777" w:rsidR="00E616C9" w:rsidRPr="00701439" w:rsidRDefault="00E616C9" w:rsidP="00E616C9">
            <w:pPr>
              <w:jc w:val="right"/>
              <w:rPr>
                <w:rFonts w:asciiTheme="minorHAnsi" w:hAnsiTheme="minorHAnsi" w:cs="Arial"/>
                <w:sz w:val="20"/>
                <w:szCs w:val="20"/>
              </w:rPr>
            </w:pPr>
          </w:p>
        </w:tc>
        <w:tc>
          <w:tcPr>
            <w:tcW w:w="1177" w:type="dxa"/>
            <w:tcBorders>
              <w:top w:val="single" w:sz="4" w:space="0" w:color="auto"/>
            </w:tcBorders>
            <w:shd w:val="clear" w:color="auto" w:fill="F2F2F2" w:themeFill="background1" w:themeFillShade="F2"/>
            <w:vAlign w:val="bottom"/>
          </w:tcPr>
          <w:p w14:paraId="7AC3891D" w14:textId="50F56DCD" w:rsidR="00E616C9" w:rsidRPr="00E40E5F" w:rsidRDefault="003D1606" w:rsidP="00E616C9">
            <w:pPr>
              <w:jc w:val="right"/>
              <w:rPr>
                <w:rFonts w:asciiTheme="minorHAnsi" w:hAnsiTheme="minorHAnsi" w:cs="Arial"/>
                <w:b/>
                <w:sz w:val="20"/>
                <w:szCs w:val="20"/>
              </w:rPr>
            </w:pPr>
            <w:r>
              <w:rPr>
                <w:rFonts w:asciiTheme="minorHAnsi" w:hAnsiTheme="minorHAnsi" w:cs="Arial"/>
                <w:b/>
                <w:sz w:val="20"/>
                <w:szCs w:val="20"/>
              </w:rPr>
              <w:t>143.6</w:t>
            </w:r>
          </w:p>
        </w:tc>
        <w:tc>
          <w:tcPr>
            <w:tcW w:w="1177" w:type="dxa"/>
            <w:tcBorders>
              <w:top w:val="single" w:sz="4" w:space="0" w:color="auto"/>
            </w:tcBorders>
            <w:vAlign w:val="bottom"/>
          </w:tcPr>
          <w:p w14:paraId="3A701319" w14:textId="66D64DEA"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133.8</w:t>
            </w:r>
          </w:p>
        </w:tc>
      </w:tr>
      <w:tr w:rsidR="00E616C9" w:rsidRPr="00701439" w14:paraId="0B042CAE" w14:textId="77777777" w:rsidTr="22538258">
        <w:tc>
          <w:tcPr>
            <w:tcW w:w="6938" w:type="dxa"/>
            <w:vAlign w:val="bottom"/>
          </w:tcPr>
          <w:p w14:paraId="33C792AA"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t>Operating costs</w:t>
            </w:r>
          </w:p>
        </w:tc>
        <w:tc>
          <w:tcPr>
            <w:tcW w:w="631" w:type="dxa"/>
            <w:vAlign w:val="bottom"/>
          </w:tcPr>
          <w:p w14:paraId="0A526565" w14:textId="77777777" w:rsidR="00E616C9" w:rsidRPr="00701439" w:rsidRDefault="00E616C9" w:rsidP="00E616C9">
            <w:pPr>
              <w:jc w:val="right"/>
              <w:rPr>
                <w:rFonts w:asciiTheme="minorHAnsi" w:hAnsiTheme="minorHAnsi" w:cs="Arial"/>
                <w:sz w:val="20"/>
                <w:szCs w:val="20"/>
              </w:rPr>
            </w:pPr>
          </w:p>
        </w:tc>
        <w:tc>
          <w:tcPr>
            <w:tcW w:w="1177" w:type="dxa"/>
            <w:tcBorders>
              <w:top w:val="nil"/>
              <w:left w:val="nil"/>
              <w:bottom w:val="single" w:sz="4" w:space="0" w:color="auto"/>
              <w:right w:val="nil"/>
            </w:tcBorders>
            <w:shd w:val="clear" w:color="auto" w:fill="F2F2F2" w:themeFill="background1" w:themeFillShade="F2"/>
            <w:vAlign w:val="bottom"/>
          </w:tcPr>
          <w:p w14:paraId="16087ACF" w14:textId="67177612" w:rsidR="00E616C9" w:rsidRPr="00E40E5F" w:rsidRDefault="003D1606" w:rsidP="00E616C9">
            <w:pPr>
              <w:jc w:val="right"/>
              <w:rPr>
                <w:rFonts w:asciiTheme="minorHAnsi" w:hAnsiTheme="minorHAnsi" w:cs="Arial"/>
                <w:b/>
                <w:sz w:val="20"/>
                <w:szCs w:val="20"/>
              </w:rPr>
            </w:pPr>
            <w:r>
              <w:rPr>
                <w:rFonts w:asciiTheme="minorHAnsi" w:hAnsiTheme="minorHAnsi" w:cs="Arial"/>
                <w:b/>
                <w:sz w:val="20"/>
                <w:szCs w:val="20"/>
              </w:rPr>
              <w:t>(137.4)</w:t>
            </w:r>
          </w:p>
        </w:tc>
        <w:tc>
          <w:tcPr>
            <w:tcW w:w="1177" w:type="dxa"/>
            <w:tcBorders>
              <w:top w:val="nil"/>
              <w:left w:val="nil"/>
              <w:bottom w:val="single" w:sz="4" w:space="0" w:color="auto"/>
              <w:right w:val="nil"/>
            </w:tcBorders>
            <w:vAlign w:val="bottom"/>
          </w:tcPr>
          <w:p w14:paraId="5E5C03A1" w14:textId="10E3EB14"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(179.9</w:t>
            </w:r>
            <w:r w:rsidR="00F82039">
              <w:rPr>
                <w:rFonts w:asciiTheme="minorHAnsi" w:hAnsiTheme="minorHAnsi" w:cs="Arial"/>
                <w:sz w:val="20"/>
                <w:szCs w:val="20"/>
              </w:rPr>
              <w:t>)</w:t>
            </w:r>
          </w:p>
        </w:tc>
      </w:tr>
      <w:tr w:rsidR="00E616C9" w:rsidRPr="00701439" w14:paraId="61BF149F" w14:textId="77777777" w:rsidTr="22538258">
        <w:tc>
          <w:tcPr>
            <w:tcW w:w="6938" w:type="dxa"/>
            <w:vAlign w:val="bottom"/>
          </w:tcPr>
          <w:p w14:paraId="3A32C5FC" w14:textId="36C0BD04" w:rsidR="00E616C9" w:rsidRPr="00701439" w:rsidRDefault="00CA493C" w:rsidP="00E616C9">
            <w:pPr>
              <w:rPr>
                <w:rFonts w:asciiTheme="minorHAnsi" w:hAnsiTheme="minorHAnsi" w:cs="Arial"/>
                <w:b/>
                <w:bCs/>
                <w:sz w:val="20"/>
                <w:szCs w:val="20"/>
              </w:rPr>
            </w:pPr>
            <w:r>
              <w:rPr>
                <w:rFonts w:asciiTheme="minorHAnsi" w:hAnsiTheme="minorHAnsi" w:cs="Arial"/>
                <w:b/>
                <w:bCs/>
                <w:sz w:val="20"/>
                <w:szCs w:val="20"/>
              </w:rPr>
              <w:t>Profit</w:t>
            </w:r>
            <w:r w:rsidR="00AB65A3">
              <w:rPr>
                <w:rFonts w:asciiTheme="minorHAnsi" w:hAnsiTheme="minorHAnsi" w:cs="Arial"/>
                <w:b/>
                <w:bCs/>
                <w:sz w:val="20"/>
                <w:szCs w:val="20"/>
              </w:rPr>
              <w:t>/(</w:t>
            </w:r>
            <w:r w:rsidR="00951013" w:rsidRPr="00951013">
              <w:rPr>
                <w:rFonts w:asciiTheme="minorHAnsi" w:hAnsiTheme="minorHAnsi" w:cs="Arial"/>
                <w:b/>
                <w:bCs/>
                <w:sz w:val="20"/>
                <w:szCs w:val="20"/>
              </w:rPr>
              <w:t>loss</w:t>
            </w:r>
            <w:r w:rsidR="00AB65A3">
              <w:rPr>
                <w:rFonts w:asciiTheme="minorHAnsi" w:hAnsiTheme="minorHAnsi" w:cs="Arial"/>
                <w:b/>
                <w:bCs/>
                <w:sz w:val="20"/>
                <w:szCs w:val="20"/>
              </w:rPr>
              <w:t>)</w:t>
            </w:r>
            <w:r w:rsidR="000D6B4B">
              <w:rPr>
                <w:rFonts w:asciiTheme="minorHAnsi" w:hAnsiTheme="minorHAnsi" w:cs="Arial"/>
                <w:b/>
                <w:bCs/>
                <w:sz w:val="20"/>
                <w:szCs w:val="20"/>
              </w:rPr>
              <w:t xml:space="preserve"> </w:t>
            </w:r>
            <w:r w:rsidR="00951013" w:rsidRPr="00951013">
              <w:rPr>
                <w:rFonts w:asciiTheme="minorHAnsi" w:hAnsiTheme="minorHAnsi" w:cs="Arial"/>
                <w:b/>
                <w:bCs/>
                <w:sz w:val="20"/>
                <w:szCs w:val="20"/>
              </w:rPr>
              <w:t>before taxation</w:t>
            </w:r>
            <w:r w:rsidR="00DC71AE">
              <w:rPr>
                <w:rFonts w:asciiTheme="minorHAnsi" w:hAnsiTheme="minorHAnsi" w:cs="Arial"/>
                <w:b/>
                <w:bCs/>
                <w:sz w:val="20"/>
                <w:szCs w:val="20"/>
              </w:rPr>
              <w:t xml:space="preserve"> from continuing operations</w:t>
            </w:r>
          </w:p>
        </w:tc>
        <w:tc>
          <w:tcPr>
            <w:tcW w:w="631" w:type="dxa"/>
            <w:vAlign w:val="bottom"/>
          </w:tcPr>
          <w:p w14:paraId="48E225EB" w14:textId="757853AE" w:rsidR="00E616C9" w:rsidRPr="00701439" w:rsidRDefault="002E22F1" w:rsidP="00E616C9">
            <w:pPr>
              <w:jc w:val="right"/>
              <w:rPr>
                <w:rFonts w:asciiTheme="minorHAnsi" w:hAnsiTheme="minorHAnsi" w:cs="Arial"/>
                <w:sz w:val="20"/>
                <w:szCs w:val="20"/>
              </w:rPr>
            </w:pPr>
            <w:r>
              <w:rPr>
                <w:rFonts w:asciiTheme="minorHAnsi" w:hAnsiTheme="minorHAnsi" w:cs="Arial"/>
                <w:sz w:val="20"/>
                <w:szCs w:val="20"/>
              </w:rPr>
              <w:t>4</w:t>
            </w:r>
          </w:p>
        </w:tc>
        <w:tc>
          <w:tcPr>
            <w:tcW w:w="1177" w:type="dxa"/>
            <w:tcBorders>
              <w:top w:val="single" w:sz="4" w:space="0" w:color="auto"/>
              <w:left w:val="nil"/>
              <w:right w:val="nil"/>
            </w:tcBorders>
            <w:shd w:val="clear" w:color="auto" w:fill="F2F2F2" w:themeFill="background1" w:themeFillShade="F2"/>
            <w:vAlign w:val="bottom"/>
          </w:tcPr>
          <w:p w14:paraId="26D58C41" w14:textId="51D8FFAA" w:rsidR="00E616C9" w:rsidRPr="00E40E5F" w:rsidRDefault="003D1606" w:rsidP="00E616C9">
            <w:pPr>
              <w:jc w:val="right"/>
              <w:rPr>
                <w:rFonts w:asciiTheme="minorHAnsi" w:hAnsiTheme="minorHAnsi" w:cs="Arial"/>
                <w:b/>
                <w:sz w:val="20"/>
                <w:szCs w:val="20"/>
              </w:rPr>
            </w:pPr>
            <w:r>
              <w:rPr>
                <w:rFonts w:asciiTheme="minorHAnsi" w:hAnsiTheme="minorHAnsi" w:cs="Arial"/>
                <w:b/>
                <w:sz w:val="20"/>
                <w:szCs w:val="20"/>
              </w:rPr>
              <w:t>6.2</w:t>
            </w:r>
          </w:p>
        </w:tc>
        <w:tc>
          <w:tcPr>
            <w:tcW w:w="1177" w:type="dxa"/>
            <w:tcBorders>
              <w:top w:val="single" w:sz="4" w:space="0" w:color="auto"/>
              <w:left w:val="nil"/>
              <w:right w:val="nil"/>
            </w:tcBorders>
            <w:vAlign w:val="bottom"/>
          </w:tcPr>
          <w:p w14:paraId="697251F5" w14:textId="164412C7" w:rsidR="00E616C9" w:rsidRPr="00E40E5F" w:rsidRDefault="00B43C54" w:rsidP="00E616C9">
            <w:pPr>
              <w:jc w:val="right"/>
              <w:rPr>
                <w:rFonts w:asciiTheme="minorHAnsi" w:hAnsiTheme="minorHAnsi" w:cs="Arial"/>
                <w:sz w:val="20"/>
                <w:szCs w:val="20"/>
              </w:rPr>
            </w:pPr>
            <w:r>
              <w:rPr>
                <w:rFonts w:asciiTheme="minorHAnsi" w:hAnsiTheme="minorHAnsi" w:cs="Arial"/>
                <w:sz w:val="20"/>
                <w:szCs w:val="20"/>
              </w:rPr>
              <w:t>(46.1)</w:t>
            </w:r>
          </w:p>
        </w:tc>
      </w:tr>
      <w:tr w:rsidR="00951013" w:rsidRPr="00701439" w14:paraId="3693EEFA" w14:textId="77777777" w:rsidTr="22538258">
        <w:tc>
          <w:tcPr>
            <w:tcW w:w="6938" w:type="dxa"/>
            <w:vAlign w:val="bottom"/>
          </w:tcPr>
          <w:p w14:paraId="11E288FA" w14:textId="0E77E4A1" w:rsidR="00951013" w:rsidRPr="00951013" w:rsidRDefault="00951013" w:rsidP="00E616C9">
            <w:pPr>
              <w:rPr>
                <w:rFonts w:asciiTheme="minorHAnsi" w:hAnsiTheme="minorHAnsi" w:cs="Arial"/>
                <w:b/>
                <w:bCs/>
                <w:sz w:val="20"/>
                <w:szCs w:val="20"/>
              </w:rPr>
            </w:pPr>
            <w:r w:rsidRPr="00701439">
              <w:rPr>
                <w:rFonts w:asciiTheme="minorHAnsi" w:hAnsiTheme="minorHAnsi" w:cs="Arial"/>
                <w:sz w:val="20"/>
                <w:szCs w:val="20"/>
              </w:rPr>
              <w:t xml:space="preserve">Tax </w:t>
            </w:r>
            <w:r w:rsidR="00E54A00">
              <w:rPr>
                <w:rFonts w:asciiTheme="minorHAnsi" w:hAnsiTheme="minorHAnsi" w:cs="Arial"/>
                <w:sz w:val="20"/>
                <w:szCs w:val="20"/>
              </w:rPr>
              <w:t>(charge)/</w:t>
            </w:r>
            <w:r w:rsidR="000D6B4B">
              <w:rPr>
                <w:rFonts w:asciiTheme="minorHAnsi" w:hAnsiTheme="minorHAnsi" w:cs="Arial"/>
                <w:sz w:val="20"/>
                <w:szCs w:val="20"/>
              </w:rPr>
              <w:t>credit</w:t>
            </w:r>
          </w:p>
        </w:tc>
        <w:tc>
          <w:tcPr>
            <w:tcW w:w="631" w:type="dxa"/>
            <w:vAlign w:val="bottom"/>
          </w:tcPr>
          <w:p w14:paraId="3AAD8F4D" w14:textId="1A5ED02A" w:rsidR="00951013" w:rsidRPr="00701439" w:rsidRDefault="00DA562F" w:rsidP="00E616C9">
            <w:pPr>
              <w:jc w:val="right"/>
              <w:rPr>
                <w:rFonts w:asciiTheme="minorHAnsi" w:hAnsiTheme="minorHAnsi" w:cs="Arial"/>
                <w:sz w:val="20"/>
                <w:szCs w:val="20"/>
              </w:rPr>
            </w:pPr>
            <w:r>
              <w:rPr>
                <w:rFonts w:asciiTheme="minorHAnsi" w:hAnsiTheme="minorHAnsi" w:cs="Arial"/>
                <w:sz w:val="20"/>
                <w:szCs w:val="20"/>
              </w:rPr>
              <w:t>6</w:t>
            </w:r>
          </w:p>
        </w:tc>
        <w:tc>
          <w:tcPr>
            <w:tcW w:w="1177" w:type="dxa"/>
            <w:tcBorders>
              <w:left w:val="nil"/>
              <w:bottom w:val="single" w:sz="4" w:space="0" w:color="auto"/>
              <w:right w:val="nil"/>
            </w:tcBorders>
            <w:shd w:val="clear" w:color="auto" w:fill="F2F2F2" w:themeFill="background1" w:themeFillShade="F2"/>
            <w:vAlign w:val="bottom"/>
          </w:tcPr>
          <w:p w14:paraId="2F5F4475" w14:textId="768086ED" w:rsidR="00951013" w:rsidRPr="007654F4" w:rsidRDefault="007654F4" w:rsidP="00E616C9">
            <w:pPr>
              <w:jc w:val="right"/>
              <w:rPr>
                <w:rFonts w:asciiTheme="minorHAnsi" w:hAnsiTheme="minorHAnsi" w:cs="Arial"/>
                <w:b/>
                <w:color w:val="000000" w:themeColor="text1"/>
                <w:sz w:val="20"/>
                <w:szCs w:val="20"/>
              </w:rPr>
            </w:pPr>
            <w:r w:rsidRPr="007654F4">
              <w:rPr>
                <w:rFonts w:asciiTheme="minorHAnsi" w:hAnsiTheme="minorHAnsi" w:cs="Arial"/>
                <w:b/>
                <w:color w:val="000000" w:themeColor="text1"/>
                <w:sz w:val="20"/>
                <w:szCs w:val="20"/>
              </w:rPr>
              <w:t>(</w:t>
            </w:r>
            <w:r w:rsidR="003D1606" w:rsidRPr="007654F4">
              <w:rPr>
                <w:rFonts w:asciiTheme="minorHAnsi" w:hAnsiTheme="minorHAnsi" w:cs="Arial"/>
                <w:b/>
                <w:color w:val="000000" w:themeColor="text1"/>
                <w:sz w:val="20"/>
                <w:szCs w:val="20"/>
              </w:rPr>
              <w:t>1.</w:t>
            </w:r>
            <w:r w:rsidRPr="007654F4">
              <w:rPr>
                <w:rFonts w:asciiTheme="minorHAnsi" w:hAnsiTheme="minorHAnsi" w:cs="Arial"/>
                <w:b/>
                <w:color w:val="000000" w:themeColor="text1"/>
                <w:sz w:val="20"/>
                <w:szCs w:val="20"/>
              </w:rPr>
              <w:t>3)</w:t>
            </w:r>
          </w:p>
        </w:tc>
        <w:tc>
          <w:tcPr>
            <w:tcW w:w="1177" w:type="dxa"/>
            <w:tcBorders>
              <w:left w:val="nil"/>
              <w:bottom w:val="single" w:sz="4" w:space="0" w:color="auto"/>
              <w:right w:val="nil"/>
            </w:tcBorders>
            <w:vAlign w:val="bottom"/>
          </w:tcPr>
          <w:p w14:paraId="74D1FAEB" w14:textId="7C1FD9C1" w:rsidR="00951013" w:rsidRPr="00E40E5F" w:rsidRDefault="00AF7710" w:rsidP="00E616C9">
            <w:pPr>
              <w:jc w:val="right"/>
              <w:rPr>
                <w:rFonts w:asciiTheme="minorHAnsi" w:hAnsiTheme="minorHAnsi" w:cs="Arial"/>
                <w:sz w:val="20"/>
                <w:szCs w:val="20"/>
              </w:rPr>
            </w:pPr>
            <w:r>
              <w:rPr>
                <w:rFonts w:asciiTheme="minorHAnsi" w:hAnsiTheme="minorHAnsi" w:cs="Arial"/>
                <w:sz w:val="20"/>
                <w:szCs w:val="20"/>
              </w:rPr>
              <w:t>10.6</w:t>
            </w:r>
          </w:p>
        </w:tc>
      </w:tr>
      <w:tr w:rsidR="00E616C9" w:rsidRPr="00701439" w14:paraId="76756752" w14:textId="77777777" w:rsidTr="22538258">
        <w:tc>
          <w:tcPr>
            <w:tcW w:w="6938" w:type="dxa"/>
            <w:vAlign w:val="bottom"/>
          </w:tcPr>
          <w:p w14:paraId="5ECCD111" w14:textId="1EA95523" w:rsidR="00E616C9" w:rsidRPr="00701439" w:rsidRDefault="00AB65A3" w:rsidP="00E616C9">
            <w:pPr>
              <w:rPr>
                <w:rFonts w:asciiTheme="minorHAnsi" w:hAnsiTheme="minorHAnsi" w:cs="Arial"/>
                <w:b/>
                <w:bCs/>
                <w:sz w:val="20"/>
                <w:szCs w:val="20"/>
                <w:lang w:val="en-US"/>
              </w:rPr>
            </w:pPr>
            <w:r>
              <w:rPr>
                <w:rFonts w:asciiTheme="minorHAnsi" w:hAnsiTheme="minorHAnsi" w:cs="Arial"/>
                <w:b/>
                <w:bCs/>
                <w:sz w:val="20"/>
                <w:szCs w:val="20"/>
              </w:rPr>
              <w:t>Profit/(</w:t>
            </w:r>
            <w:r w:rsidR="006E5493">
              <w:rPr>
                <w:rFonts w:asciiTheme="minorHAnsi" w:hAnsiTheme="minorHAnsi" w:cs="Arial"/>
                <w:b/>
                <w:sz w:val="20"/>
                <w:szCs w:val="20"/>
              </w:rPr>
              <w:t>l</w:t>
            </w:r>
            <w:r w:rsidR="006E5493" w:rsidRPr="00951013">
              <w:rPr>
                <w:rFonts w:asciiTheme="minorHAnsi" w:hAnsiTheme="minorHAnsi" w:cs="Arial"/>
                <w:b/>
                <w:sz w:val="20"/>
                <w:szCs w:val="20"/>
              </w:rPr>
              <w:t>oss</w:t>
            </w:r>
            <w:r>
              <w:rPr>
                <w:rFonts w:asciiTheme="minorHAnsi" w:hAnsiTheme="minorHAnsi" w:cs="Arial"/>
                <w:b/>
                <w:bCs/>
                <w:sz w:val="20"/>
                <w:szCs w:val="20"/>
              </w:rPr>
              <w:t>)</w:t>
            </w:r>
            <w:r w:rsidR="000D6B4B">
              <w:rPr>
                <w:rFonts w:asciiTheme="minorHAnsi" w:hAnsiTheme="minorHAnsi" w:cs="Arial"/>
                <w:b/>
                <w:bCs/>
                <w:sz w:val="20"/>
                <w:szCs w:val="20"/>
                <w:lang w:val="en-US"/>
              </w:rPr>
              <w:t xml:space="preserve"> </w:t>
            </w:r>
            <w:r w:rsidR="006E5493" w:rsidRPr="006E5493">
              <w:rPr>
                <w:rFonts w:asciiTheme="minorHAnsi" w:hAnsiTheme="minorHAnsi" w:cs="Arial"/>
                <w:b/>
                <w:bCs/>
                <w:sz w:val="20"/>
                <w:szCs w:val="20"/>
                <w:lang w:val="en-US"/>
              </w:rPr>
              <w:t xml:space="preserve">for the </w:t>
            </w:r>
            <w:r w:rsidR="00E34180">
              <w:rPr>
                <w:rFonts w:asciiTheme="minorHAnsi" w:hAnsiTheme="minorHAnsi" w:cs="Arial"/>
                <w:b/>
                <w:bCs/>
                <w:sz w:val="20"/>
                <w:szCs w:val="20"/>
                <w:lang w:val="en-US"/>
              </w:rPr>
              <w:t>peri</w:t>
            </w:r>
            <w:r w:rsidR="005917BB">
              <w:rPr>
                <w:rFonts w:asciiTheme="minorHAnsi" w:hAnsiTheme="minorHAnsi" w:cs="Arial"/>
                <w:b/>
                <w:bCs/>
                <w:sz w:val="20"/>
                <w:szCs w:val="20"/>
                <w:lang w:val="en-US"/>
              </w:rPr>
              <w:t>od</w:t>
            </w:r>
            <w:r w:rsidR="006E5493" w:rsidRPr="006E5493">
              <w:rPr>
                <w:rFonts w:asciiTheme="minorHAnsi" w:hAnsiTheme="minorHAnsi" w:cs="Arial"/>
                <w:b/>
                <w:bCs/>
                <w:sz w:val="20"/>
                <w:szCs w:val="20"/>
                <w:lang w:val="en-US"/>
              </w:rPr>
              <w:t xml:space="preserve"> </w:t>
            </w:r>
            <w:r w:rsidR="006757A2">
              <w:rPr>
                <w:rFonts w:asciiTheme="minorHAnsi" w:hAnsiTheme="minorHAnsi" w:cs="Arial"/>
                <w:b/>
                <w:bCs/>
                <w:sz w:val="20"/>
                <w:szCs w:val="20"/>
                <w:lang w:val="en-US"/>
              </w:rPr>
              <w:t>from continuing operations</w:t>
            </w:r>
          </w:p>
        </w:tc>
        <w:tc>
          <w:tcPr>
            <w:tcW w:w="631" w:type="dxa"/>
            <w:vAlign w:val="bottom"/>
          </w:tcPr>
          <w:p w14:paraId="727D6F56" w14:textId="77777777" w:rsidR="00E616C9" w:rsidRPr="00701439" w:rsidRDefault="00E616C9" w:rsidP="00E616C9">
            <w:pPr>
              <w:jc w:val="right"/>
              <w:rPr>
                <w:rFonts w:asciiTheme="minorHAnsi" w:hAnsiTheme="minorHAnsi" w:cs="Arial"/>
                <w:sz w:val="20"/>
                <w:szCs w:val="20"/>
                <w:lang w:val="en-US"/>
              </w:rPr>
            </w:pPr>
          </w:p>
        </w:tc>
        <w:tc>
          <w:tcPr>
            <w:tcW w:w="1177" w:type="dxa"/>
            <w:tcBorders>
              <w:top w:val="single" w:sz="4" w:space="0" w:color="auto"/>
              <w:left w:val="nil"/>
              <w:bottom w:val="single" w:sz="12" w:space="0" w:color="auto"/>
              <w:right w:val="nil"/>
            </w:tcBorders>
            <w:shd w:val="clear" w:color="auto" w:fill="F2F2F2" w:themeFill="background1" w:themeFillShade="F2"/>
            <w:vAlign w:val="bottom"/>
          </w:tcPr>
          <w:p w14:paraId="5125213D" w14:textId="18105B2C" w:rsidR="00E616C9" w:rsidRPr="007654F4" w:rsidRDefault="003D1606" w:rsidP="00E616C9">
            <w:pPr>
              <w:jc w:val="right"/>
              <w:rPr>
                <w:rFonts w:asciiTheme="minorHAnsi" w:hAnsiTheme="minorHAnsi" w:cs="Arial"/>
                <w:b/>
                <w:color w:val="000000" w:themeColor="text1"/>
                <w:sz w:val="20"/>
                <w:szCs w:val="20"/>
                <w:lang w:val="en-US"/>
              </w:rPr>
            </w:pPr>
            <w:r w:rsidRPr="007654F4">
              <w:rPr>
                <w:rFonts w:asciiTheme="minorHAnsi" w:hAnsiTheme="minorHAnsi" w:cs="Arial"/>
                <w:b/>
                <w:color w:val="000000" w:themeColor="text1"/>
                <w:sz w:val="20"/>
                <w:szCs w:val="20"/>
                <w:lang w:val="en-US"/>
              </w:rPr>
              <w:t>4.</w:t>
            </w:r>
            <w:r w:rsidR="007654F4" w:rsidRPr="007654F4">
              <w:rPr>
                <w:rFonts w:asciiTheme="minorHAnsi" w:hAnsiTheme="minorHAnsi" w:cs="Arial"/>
                <w:b/>
                <w:color w:val="000000" w:themeColor="text1"/>
                <w:sz w:val="20"/>
                <w:szCs w:val="20"/>
                <w:lang w:val="en-US"/>
              </w:rPr>
              <w:t>9</w:t>
            </w:r>
          </w:p>
        </w:tc>
        <w:tc>
          <w:tcPr>
            <w:tcW w:w="1177" w:type="dxa"/>
            <w:tcBorders>
              <w:top w:val="single" w:sz="4" w:space="0" w:color="auto"/>
              <w:left w:val="nil"/>
              <w:bottom w:val="single" w:sz="12" w:space="0" w:color="auto"/>
              <w:right w:val="nil"/>
            </w:tcBorders>
            <w:vAlign w:val="bottom"/>
          </w:tcPr>
          <w:p w14:paraId="187909B0" w14:textId="64351769" w:rsidR="00E616C9" w:rsidRPr="00E40E5F" w:rsidRDefault="00AF7710" w:rsidP="00E616C9">
            <w:pPr>
              <w:jc w:val="right"/>
              <w:rPr>
                <w:rFonts w:asciiTheme="minorHAnsi" w:hAnsiTheme="minorHAnsi" w:cs="Arial"/>
                <w:sz w:val="20"/>
                <w:szCs w:val="20"/>
                <w:lang w:val="en-US"/>
              </w:rPr>
            </w:pPr>
            <w:r>
              <w:rPr>
                <w:rFonts w:asciiTheme="minorHAnsi" w:hAnsiTheme="minorHAnsi" w:cs="Arial"/>
                <w:sz w:val="20"/>
                <w:szCs w:val="20"/>
                <w:lang w:val="en-US"/>
              </w:rPr>
              <w:t>(35.5)</w:t>
            </w:r>
          </w:p>
        </w:tc>
      </w:tr>
      <w:tr w:rsidR="006E5493" w:rsidRPr="00701439" w14:paraId="078713E8" w14:textId="77777777" w:rsidTr="007F7783">
        <w:tc>
          <w:tcPr>
            <w:tcW w:w="6938" w:type="dxa"/>
            <w:vAlign w:val="bottom"/>
          </w:tcPr>
          <w:p w14:paraId="030DE692" w14:textId="717862F7" w:rsidR="006E5493" w:rsidRPr="004C776D" w:rsidRDefault="00FA1E12" w:rsidP="00E616C9">
            <w:pPr>
              <w:rPr>
                <w:rFonts w:asciiTheme="minorHAnsi" w:hAnsiTheme="minorHAnsi" w:cs="Arial"/>
                <w:sz w:val="20"/>
                <w:szCs w:val="20"/>
                <w:lang w:val="en-US"/>
              </w:rPr>
            </w:pPr>
            <w:r>
              <w:rPr>
                <w:rFonts w:asciiTheme="minorHAnsi" w:hAnsiTheme="minorHAnsi" w:cs="Arial"/>
                <w:sz w:val="20"/>
                <w:szCs w:val="20"/>
                <w:lang w:val="en-US"/>
              </w:rPr>
              <w:t>Profit/(los</w:t>
            </w:r>
            <w:r w:rsidR="00E34180">
              <w:rPr>
                <w:rFonts w:asciiTheme="minorHAnsi" w:hAnsiTheme="minorHAnsi" w:cs="Arial"/>
                <w:sz w:val="20"/>
                <w:szCs w:val="20"/>
                <w:lang w:val="en-US"/>
              </w:rPr>
              <w:t>s</w:t>
            </w:r>
            <w:r w:rsidR="008C28EF">
              <w:rPr>
                <w:rFonts w:asciiTheme="minorHAnsi" w:hAnsiTheme="minorHAnsi" w:cs="Arial"/>
                <w:sz w:val="20"/>
                <w:szCs w:val="20"/>
                <w:lang w:val="en-US"/>
              </w:rPr>
              <w:t>)</w:t>
            </w:r>
            <w:r w:rsidR="00E34180">
              <w:rPr>
                <w:rFonts w:asciiTheme="minorHAnsi" w:hAnsiTheme="minorHAnsi" w:cs="Arial"/>
                <w:sz w:val="20"/>
                <w:szCs w:val="20"/>
                <w:lang w:val="en-US"/>
              </w:rPr>
              <w:t xml:space="preserve"> after tax</w:t>
            </w:r>
            <w:r>
              <w:rPr>
                <w:rFonts w:asciiTheme="minorHAnsi" w:hAnsiTheme="minorHAnsi" w:cs="Arial"/>
                <w:sz w:val="20"/>
                <w:szCs w:val="20"/>
                <w:lang w:val="en-US"/>
              </w:rPr>
              <w:t xml:space="preserve"> for the period </w:t>
            </w:r>
            <w:r w:rsidR="00576395">
              <w:rPr>
                <w:rFonts w:asciiTheme="minorHAnsi" w:hAnsiTheme="minorHAnsi" w:cs="Arial"/>
                <w:sz w:val="20"/>
                <w:szCs w:val="20"/>
                <w:lang w:val="en-US"/>
              </w:rPr>
              <w:t>from discontinued operations</w:t>
            </w:r>
          </w:p>
        </w:tc>
        <w:tc>
          <w:tcPr>
            <w:tcW w:w="631" w:type="dxa"/>
            <w:vAlign w:val="bottom"/>
          </w:tcPr>
          <w:p w14:paraId="47531DDE" w14:textId="44BCAC56" w:rsidR="006E5493" w:rsidRPr="00701439" w:rsidRDefault="00B63C40" w:rsidP="00E616C9">
            <w:pPr>
              <w:jc w:val="right"/>
              <w:rPr>
                <w:rFonts w:asciiTheme="minorHAnsi" w:hAnsiTheme="minorHAnsi" w:cs="Arial"/>
                <w:sz w:val="20"/>
                <w:szCs w:val="20"/>
                <w:lang w:val="en-US"/>
              </w:rPr>
            </w:pPr>
            <w:r>
              <w:rPr>
                <w:rFonts w:asciiTheme="minorHAnsi" w:hAnsiTheme="minorHAnsi" w:cs="Arial"/>
                <w:sz w:val="20"/>
                <w:szCs w:val="20"/>
                <w:lang w:val="en-US"/>
              </w:rPr>
              <w:t>5</w:t>
            </w:r>
          </w:p>
        </w:tc>
        <w:tc>
          <w:tcPr>
            <w:tcW w:w="1177" w:type="dxa"/>
            <w:tcBorders>
              <w:top w:val="single" w:sz="12" w:space="0" w:color="auto"/>
              <w:left w:val="nil"/>
              <w:right w:val="nil"/>
            </w:tcBorders>
            <w:shd w:val="clear" w:color="auto" w:fill="F2F2F2" w:themeFill="background1" w:themeFillShade="F2"/>
            <w:vAlign w:val="bottom"/>
          </w:tcPr>
          <w:p w14:paraId="5AADBBA5" w14:textId="2F1F65C7" w:rsidR="006E5493" w:rsidRPr="007654F4" w:rsidRDefault="00F173D9" w:rsidP="00E616C9">
            <w:pPr>
              <w:jc w:val="right"/>
              <w:rPr>
                <w:rFonts w:asciiTheme="minorHAnsi" w:hAnsiTheme="minorHAnsi" w:cs="Arial"/>
                <w:b/>
                <w:color w:val="000000" w:themeColor="text1"/>
                <w:sz w:val="20"/>
                <w:szCs w:val="20"/>
                <w:lang w:val="en-US"/>
              </w:rPr>
            </w:pPr>
            <w:r w:rsidRPr="007654F4">
              <w:rPr>
                <w:rFonts w:asciiTheme="minorHAnsi" w:hAnsiTheme="minorHAnsi" w:cs="Arial"/>
                <w:b/>
                <w:color w:val="000000" w:themeColor="text1"/>
                <w:sz w:val="20"/>
                <w:szCs w:val="20"/>
                <w:lang w:val="en-US"/>
              </w:rPr>
              <w:t>0.7</w:t>
            </w:r>
          </w:p>
        </w:tc>
        <w:tc>
          <w:tcPr>
            <w:tcW w:w="1177" w:type="dxa"/>
            <w:tcBorders>
              <w:top w:val="single" w:sz="12" w:space="0" w:color="auto"/>
              <w:left w:val="nil"/>
              <w:right w:val="nil"/>
            </w:tcBorders>
            <w:vAlign w:val="bottom"/>
          </w:tcPr>
          <w:p w14:paraId="56048C4C" w14:textId="06F4F67E" w:rsidR="006E5493" w:rsidRPr="00E40E5F" w:rsidRDefault="00AF7710" w:rsidP="00E616C9">
            <w:pPr>
              <w:jc w:val="right"/>
              <w:rPr>
                <w:rFonts w:asciiTheme="minorHAnsi" w:hAnsiTheme="minorHAnsi" w:cs="Arial"/>
                <w:sz w:val="20"/>
                <w:szCs w:val="20"/>
                <w:lang w:val="en-US"/>
              </w:rPr>
            </w:pPr>
            <w:r>
              <w:rPr>
                <w:rFonts w:asciiTheme="minorHAnsi" w:hAnsiTheme="minorHAnsi" w:cs="Arial"/>
                <w:sz w:val="20"/>
                <w:szCs w:val="20"/>
                <w:lang w:val="en-US"/>
              </w:rPr>
              <w:t>(0.3)</w:t>
            </w:r>
          </w:p>
        </w:tc>
      </w:tr>
      <w:tr w:rsidR="006E5493" w:rsidRPr="00701439" w14:paraId="284D9A84" w14:textId="77777777" w:rsidTr="22538258">
        <w:tc>
          <w:tcPr>
            <w:tcW w:w="6938" w:type="dxa"/>
            <w:vAlign w:val="bottom"/>
          </w:tcPr>
          <w:p w14:paraId="5BB34A26" w14:textId="57CD976A" w:rsidR="00B6699F" w:rsidRPr="006E5493" w:rsidRDefault="00837724" w:rsidP="00E616C9">
            <w:pPr>
              <w:rPr>
                <w:rFonts w:asciiTheme="minorHAnsi" w:hAnsiTheme="minorHAnsi" w:cs="Arial"/>
                <w:b/>
                <w:bCs/>
                <w:sz w:val="20"/>
                <w:szCs w:val="20"/>
                <w:lang w:val="en-US"/>
              </w:rPr>
            </w:pPr>
            <w:r w:rsidRPr="006E5493">
              <w:rPr>
                <w:rFonts w:asciiTheme="minorHAnsi" w:hAnsiTheme="minorHAnsi" w:cs="Arial"/>
                <w:b/>
                <w:bCs/>
                <w:sz w:val="20"/>
                <w:szCs w:val="20"/>
                <w:lang w:val="en-US"/>
              </w:rPr>
              <w:t xml:space="preserve">Statutory </w:t>
            </w:r>
            <w:r w:rsidR="00905C64">
              <w:rPr>
                <w:rFonts w:asciiTheme="minorHAnsi" w:hAnsiTheme="minorHAnsi" w:cs="Arial"/>
                <w:b/>
                <w:bCs/>
                <w:sz w:val="20"/>
                <w:szCs w:val="20"/>
                <w:lang w:val="en-US"/>
              </w:rPr>
              <w:t>profit/(</w:t>
            </w:r>
            <w:r w:rsidRPr="006E5493">
              <w:rPr>
                <w:rFonts w:asciiTheme="minorHAnsi" w:hAnsiTheme="minorHAnsi" w:cs="Arial"/>
                <w:b/>
                <w:bCs/>
                <w:sz w:val="20"/>
                <w:szCs w:val="20"/>
                <w:lang w:val="en-US"/>
              </w:rPr>
              <w:t>loss</w:t>
            </w:r>
            <w:r w:rsidR="00905C64">
              <w:rPr>
                <w:rFonts w:asciiTheme="minorHAnsi" w:hAnsiTheme="minorHAnsi" w:cs="Arial"/>
                <w:b/>
                <w:bCs/>
                <w:sz w:val="20"/>
                <w:szCs w:val="20"/>
                <w:lang w:val="en-US"/>
              </w:rPr>
              <w:t>)</w:t>
            </w:r>
            <w:r>
              <w:rPr>
                <w:rFonts w:asciiTheme="minorHAnsi" w:hAnsiTheme="minorHAnsi" w:cs="Arial"/>
                <w:b/>
                <w:bCs/>
                <w:sz w:val="20"/>
                <w:szCs w:val="20"/>
                <w:lang w:val="en-US"/>
              </w:rPr>
              <w:t xml:space="preserve"> </w:t>
            </w:r>
            <w:r w:rsidRPr="006E5493">
              <w:rPr>
                <w:rFonts w:asciiTheme="minorHAnsi" w:hAnsiTheme="minorHAnsi" w:cs="Arial"/>
                <w:b/>
                <w:bCs/>
                <w:sz w:val="20"/>
                <w:szCs w:val="20"/>
                <w:lang w:val="en-US"/>
              </w:rPr>
              <w:t xml:space="preserve">for the </w:t>
            </w:r>
            <w:r w:rsidR="00D52023">
              <w:rPr>
                <w:rFonts w:asciiTheme="minorHAnsi" w:hAnsiTheme="minorHAnsi" w:cs="Arial"/>
                <w:b/>
                <w:bCs/>
                <w:sz w:val="20"/>
                <w:szCs w:val="20"/>
                <w:lang w:val="en-US"/>
              </w:rPr>
              <w:t>period</w:t>
            </w:r>
            <w:r w:rsidRPr="006E5493">
              <w:rPr>
                <w:rFonts w:asciiTheme="minorHAnsi" w:hAnsiTheme="minorHAnsi" w:cs="Arial"/>
                <w:b/>
                <w:bCs/>
                <w:sz w:val="20"/>
                <w:szCs w:val="20"/>
                <w:lang w:val="en-US"/>
              </w:rPr>
              <w:t xml:space="preserve"> attributable to equity shareholders</w:t>
            </w:r>
          </w:p>
        </w:tc>
        <w:tc>
          <w:tcPr>
            <w:tcW w:w="631" w:type="dxa"/>
            <w:vAlign w:val="bottom"/>
          </w:tcPr>
          <w:p w14:paraId="08308061" w14:textId="77777777" w:rsidR="006E5493" w:rsidRPr="00701439" w:rsidRDefault="006E5493" w:rsidP="00E616C9">
            <w:pPr>
              <w:jc w:val="right"/>
              <w:rPr>
                <w:rFonts w:asciiTheme="minorHAnsi" w:hAnsiTheme="minorHAnsi" w:cs="Arial"/>
                <w:sz w:val="20"/>
                <w:szCs w:val="20"/>
                <w:lang w:val="en-US"/>
              </w:rPr>
            </w:pPr>
          </w:p>
        </w:tc>
        <w:tc>
          <w:tcPr>
            <w:tcW w:w="1177" w:type="dxa"/>
            <w:tcBorders>
              <w:top w:val="single" w:sz="4" w:space="0" w:color="auto"/>
              <w:left w:val="nil"/>
              <w:bottom w:val="single" w:sz="12" w:space="0" w:color="auto"/>
              <w:right w:val="nil"/>
            </w:tcBorders>
            <w:shd w:val="clear" w:color="auto" w:fill="F2F2F2" w:themeFill="background1" w:themeFillShade="F2"/>
            <w:vAlign w:val="bottom"/>
          </w:tcPr>
          <w:p w14:paraId="47B9C448" w14:textId="2CEFBF88" w:rsidR="006E5493" w:rsidRPr="00E40E5F" w:rsidRDefault="00F173D9" w:rsidP="00E616C9">
            <w:pPr>
              <w:jc w:val="right"/>
              <w:rPr>
                <w:rFonts w:asciiTheme="minorHAnsi" w:hAnsiTheme="minorHAnsi" w:cs="Arial"/>
                <w:b/>
                <w:sz w:val="20"/>
                <w:szCs w:val="20"/>
                <w:lang w:val="en-US"/>
              </w:rPr>
            </w:pPr>
            <w:r>
              <w:rPr>
                <w:rFonts w:asciiTheme="minorHAnsi" w:hAnsiTheme="minorHAnsi" w:cs="Arial"/>
                <w:b/>
                <w:sz w:val="20"/>
                <w:szCs w:val="20"/>
                <w:lang w:val="en-US"/>
              </w:rPr>
              <w:t>5.</w:t>
            </w:r>
            <w:r w:rsidR="007654F4">
              <w:rPr>
                <w:rFonts w:asciiTheme="minorHAnsi" w:hAnsiTheme="minorHAnsi" w:cs="Arial"/>
                <w:b/>
                <w:sz w:val="20"/>
                <w:szCs w:val="20"/>
                <w:lang w:val="en-US"/>
              </w:rPr>
              <w:t>6</w:t>
            </w:r>
          </w:p>
        </w:tc>
        <w:tc>
          <w:tcPr>
            <w:tcW w:w="1177" w:type="dxa"/>
            <w:tcBorders>
              <w:top w:val="single" w:sz="4" w:space="0" w:color="auto"/>
              <w:left w:val="nil"/>
              <w:bottom w:val="single" w:sz="12" w:space="0" w:color="auto"/>
              <w:right w:val="nil"/>
            </w:tcBorders>
            <w:vAlign w:val="bottom"/>
          </w:tcPr>
          <w:p w14:paraId="3CABDD17" w14:textId="21C63B7A" w:rsidR="006E5493" w:rsidRPr="00E40E5F" w:rsidRDefault="00101E05" w:rsidP="00E616C9">
            <w:pPr>
              <w:jc w:val="right"/>
              <w:rPr>
                <w:rFonts w:asciiTheme="minorHAnsi" w:hAnsiTheme="minorHAnsi" w:cs="Arial"/>
                <w:sz w:val="20"/>
                <w:szCs w:val="20"/>
                <w:lang w:val="en-US"/>
              </w:rPr>
            </w:pPr>
            <w:r>
              <w:rPr>
                <w:rFonts w:asciiTheme="minorHAnsi" w:hAnsiTheme="minorHAnsi" w:cs="Arial"/>
                <w:sz w:val="20"/>
                <w:szCs w:val="20"/>
                <w:lang w:val="en-US"/>
              </w:rPr>
              <w:t>(</w:t>
            </w:r>
            <w:r w:rsidR="00AF7710">
              <w:rPr>
                <w:rFonts w:asciiTheme="minorHAnsi" w:hAnsiTheme="minorHAnsi" w:cs="Arial"/>
                <w:sz w:val="20"/>
                <w:szCs w:val="20"/>
                <w:lang w:val="en-US"/>
              </w:rPr>
              <w:t>3</w:t>
            </w:r>
            <w:r w:rsidR="00933303">
              <w:rPr>
                <w:rFonts w:asciiTheme="minorHAnsi" w:hAnsiTheme="minorHAnsi" w:cs="Arial"/>
                <w:sz w:val="20"/>
                <w:szCs w:val="20"/>
                <w:lang w:val="en-US"/>
              </w:rPr>
              <w:t>5.8</w:t>
            </w:r>
            <w:r>
              <w:rPr>
                <w:rFonts w:asciiTheme="minorHAnsi" w:hAnsiTheme="minorHAnsi" w:cs="Arial"/>
                <w:sz w:val="20"/>
                <w:szCs w:val="20"/>
                <w:lang w:val="en-US"/>
              </w:rPr>
              <w:t>)</w:t>
            </w:r>
          </w:p>
        </w:tc>
      </w:tr>
    </w:tbl>
    <w:p w14:paraId="3C0F8A6B" w14:textId="77777777" w:rsidR="00E616C9" w:rsidRDefault="00E616C9" w:rsidP="00E616C9">
      <w:pPr>
        <w:rPr>
          <w:rFonts w:asciiTheme="minorHAnsi" w:hAnsiTheme="minorHAnsi" w:cs="Arial"/>
          <w:b/>
          <w:sz w:val="20"/>
          <w:szCs w:val="20"/>
        </w:rPr>
      </w:pPr>
    </w:p>
    <w:p w14:paraId="3B3DFDE4" w14:textId="66D2A346" w:rsidR="00E616C9" w:rsidRPr="00701439" w:rsidRDefault="00E616C9" w:rsidP="00E616C9">
      <w:pPr>
        <w:rPr>
          <w:rFonts w:asciiTheme="minorHAnsi" w:hAnsiTheme="minorHAnsi" w:cs="Arial"/>
          <w:b/>
          <w:color w:val="4747FF"/>
          <w:sz w:val="22"/>
          <w:szCs w:val="22"/>
        </w:rPr>
      </w:pPr>
      <w:r w:rsidRPr="00701439">
        <w:rPr>
          <w:rFonts w:asciiTheme="minorHAnsi" w:hAnsiTheme="minorHAnsi" w:cs="Arial"/>
          <w:b/>
          <w:color w:val="4747FF"/>
          <w:sz w:val="22"/>
          <w:szCs w:val="22"/>
        </w:rPr>
        <w:t xml:space="preserve">Consolidated statement of comprehensive income for the </w:t>
      </w:r>
      <w:r w:rsidR="006757A2">
        <w:rPr>
          <w:rFonts w:asciiTheme="minorHAnsi" w:hAnsiTheme="minorHAnsi" w:cs="Arial"/>
          <w:b/>
          <w:color w:val="4747FF"/>
          <w:sz w:val="22"/>
          <w:szCs w:val="22"/>
        </w:rPr>
        <w:t>six months</w:t>
      </w:r>
      <w:r w:rsidRPr="00701439">
        <w:rPr>
          <w:rFonts w:asciiTheme="minorHAnsi" w:hAnsiTheme="minorHAnsi" w:cs="Arial"/>
          <w:b/>
          <w:color w:val="4747FF"/>
          <w:sz w:val="22"/>
          <w:szCs w:val="22"/>
        </w:rPr>
        <w:t xml:space="preserve"> ended </w:t>
      </w:r>
      <w:r w:rsidR="006757A2">
        <w:rPr>
          <w:rFonts w:asciiTheme="minorHAnsi" w:hAnsiTheme="minorHAnsi" w:cs="Arial"/>
          <w:b/>
          <w:color w:val="4747FF"/>
          <w:sz w:val="22"/>
          <w:szCs w:val="22"/>
        </w:rPr>
        <w:t>30 June</w:t>
      </w:r>
    </w:p>
    <w:tbl>
      <w:tblPr>
        <w:tblW w:w="9923" w:type="dxa"/>
        <w:tblLayout w:type="fixed"/>
        <w:tblLook w:val="0000" w:firstRow="0" w:lastRow="0" w:firstColumn="0" w:lastColumn="0" w:noHBand="0" w:noVBand="0"/>
      </w:tblPr>
      <w:tblGrid>
        <w:gridCol w:w="6892"/>
        <w:gridCol w:w="621"/>
        <w:gridCol w:w="1205"/>
        <w:gridCol w:w="1205"/>
      </w:tblGrid>
      <w:tr w:rsidR="00E616C9" w:rsidRPr="00701439" w14:paraId="16558843" w14:textId="77777777" w:rsidTr="00502543">
        <w:tc>
          <w:tcPr>
            <w:tcW w:w="6892" w:type="dxa"/>
            <w:vAlign w:val="bottom"/>
          </w:tcPr>
          <w:p w14:paraId="5441F78F" w14:textId="77777777" w:rsidR="00E616C9" w:rsidRPr="00701439" w:rsidRDefault="00E616C9">
            <w:pPr>
              <w:rPr>
                <w:rFonts w:asciiTheme="minorHAnsi" w:hAnsiTheme="minorHAnsi" w:cs="Arial"/>
                <w:sz w:val="20"/>
                <w:szCs w:val="20"/>
              </w:rPr>
            </w:pPr>
          </w:p>
        </w:tc>
        <w:tc>
          <w:tcPr>
            <w:tcW w:w="621" w:type="dxa"/>
            <w:vAlign w:val="bottom"/>
          </w:tcPr>
          <w:p w14:paraId="2FF300B4" w14:textId="77777777" w:rsidR="00E616C9" w:rsidRPr="00701439" w:rsidRDefault="00E616C9" w:rsidP="006757A2">
            <w:pPr>
              <w:rPr>
                <w:rFonts w:asciiTheme="minorHAnsi" w:hAnsiTheme="minorHAnsi" w:cs="Arial"/>
                <w:sz w:val="20"/>
                <w:szCs w:val="20"/>
              </w:rPr>
            </w:pPr>
            <w:r w:rsidRPr="00701439">
              <w:rPr>
                <w:rFonts w:asciiTheme="minorHAnsi" w:hAnsiTheme="minorHAnsi" w:cs="Arial"/>
                <w:sz w:val="20"/>
                <w:szCs w:val="20"/>
              </w:rPr>
              <w:t>Note</w:t>
            </w:r>
          </w:p>
        </w:tc>
        <w:tc>
          <w:tcPr>
            <w:tcW w:w="1205" w:type="dxa"/>
            <w:shd w:val="clear" w:color="auto" w:fill="F2F2F2" w:themeFill="background1" w:themeFillShade="F2"/>
            <w:vAlign w:val="bottom"/>
          </w:tcPr>
          <w:p w14:paraId="021D2857" w14:textId="77777777" w:rsidR="00E616C9" w:rsidRDefault="00E616C9">
            <w:pPr>
              <w:jc w:val="right"/>
              <w:rPr>
                <w:rFonts w:asciiTheme="minorHAnsi" w:hAnsiTheme="minorHAnsi" w:cs="Arial"/>
                <w:b/>
                <w:sz w:val="20"/>
                <w:szCs w:val="20"/>
              </w:rPr>
            </w:pPr>
            <w:r w:rsidRPr="00502543">
              <w:rPr>
                <w:rFonts w:asciiTheme="minorHAnsi" w:hAnsiTheme="minorHAnsi" w:cs="Arial"/>
                <w:b/>
                <w:sz w:val="20"/>
                <w:szCs w:val="20"/>
              </w:rPr>
              <w:t>202</w:t>
            </w:r>
            <w:r w:rsidR="003C6DE0">
              <w:rPr>
                <w:rFonts w:asciiTheme="minorHAnsi" w:hAnsiTheme="minorHAnsi" w:cs="Arial"/>
                <w:b/>
                <w:sz w:val="20"/>
                <w:szCs w:val="20"/>
              </w:rPr>
              <w:t>5</w:t>
            </w:r>
          </w:p>
          <w:p w14:paraId="186ED2B6" w14:textId="0C7A1E5D" w:rsidR="00E616C9" w:rsidRPr="00502543" w:rsidRDefault="005B20BD">
            <w:pPr>
              <w:jc w:val="right"/>
              <w:rPr>
                <w:rFonts w:asciiTheme="minorHAnsi" w:hAnsiTheme="minorHAnsi" w:cs="Arial"/>
                <w:b/>
                <w:sz w:val="20"/>
                <w:szCs w:val="20"/>
              </w:rPr>
            </w:pPr>
            <w:r w:rsidRPr="007F7783">
              <w:rPr>
                <w:rFonts w:asciiTheme="minorHAnsi" w:hAnsiTheme="minorHAnsi" w:cs="Arial"/>
                <w:b/>
                <w:sz w:val="20"/>
                <w:szCs w:val="20"/>
              </w:rPr>
              <w:t>unaudited</w:t>
            </w:r>
          </w:p>
        </w:tc>
        <w:tc>
          <w:tcPr>
            <w:tcW w:w="1205" w:type="dxa"/>
            <w:vAlign w:val="bottom"/>
          </w:tcPr>
          <w:p w14:paraId="3A1048DB" w14:textId="77777777" w:rsidR="00B6699F" w:rsidRDefault="00E616C9">
            <w:pPr>
              <w:jc w:val="right"/>
              <w:rPr>
                <w:rFonts w:asciiTheme="minorHAnsi" w:hAnsiTheme="minorHAnsi" w:cs="Arial"/>
                <w:sz w:val="20"/>
                <w:szCs w:val="20"/>
              </w:rPr>
            </w:pPr>
            <w:r w:rsidRPr="00701439">
              <w:rPr>
                <w:rFonts w:asciiTheme="minorHAnsi" w:hAnsiTheme="minorHAnsi" w:cs="Arial"/>
                <w:sz w:val="20"/>
                <w:szCs w:val="20"/>
              </w:rPr>
              <w:t>202</w:t>
            </w:r>
            <w:r w:rsidR="003C6DE0">
              <w:rPr>
                <w:rFonts w:asciiTheme="minorHAnsi" w:hAnsiTheme="minorHAnsi" w:cs="Arial"/>
                <w:sz w:val="20"/>
                <w:szCs w:val="20"/>
              </w:rPr>
              <w:t>4</w:t>
            </w:r>
          </w:p>
          <w:p w14:paraId="6E964803" w14:textId="0967CD87" w:rsidR="00B6699F" w:rsidRPr="00701439" w:rsidRDefault="005B20BD">
            <w:pPr>
              <w:jc w:val="right"/>
              <w:rPr>
                <w:rFonts w:asciiTheme="minorHAnsi" w:hAnsiTheme="minorHAnsi" w:cs="Arial"/>
                <w:sz w:val="20"/>
                <w:szCs w:val="20"/>
              </w:rPr>
            </w:pPr>
            <w:r w:rsidRPr="00CA3EDF">
              <w:rPr>
                <w:rFonts w:asciiTheme="minorHAnsi" w:hAnsiTheme="minorHAnsi" w:cs="Arial"/>
                <w:bCs/>
                <w:sz w:val="20"/>
                <w:szCs w:val="20"/>
              </w:rPr>
              <w:t>unaudited</w:t>
            </w:r>
          </w:p>
        </w:tc>
      </w:tr>
      <w:tr w:rsidR="00E616C9" w:rsidRPr="00701439" w14:paraId="31CF2271" w14:textId="77777777" w:rsidTr="00502543">
        <w:tc>
          <w:tcPr>
            <w:tcW w:w="6892" w:type="dxa"/>
            <w:vAlign w:val="bottom"/>
          </w:tcPr>
          <w:p w14:paraId="6A593ED7" w14:textId="77777777" w:rsidR="00E616C9" w:rsidRPr="00701439" w:rsidRDefault="00E616C9">
            <w:pPr>
              <w:rPr>
                <w:rFonts w:asciiTheme="minorHAnsi" w:hAnsiTheme="minorHAnsi" w:cs="Arial"/>
                <w:sz w:val="20"/>
                <w:szCs w:val="20"/>
              </w:rPr>
            </w:pPr>
          </w:p>
        </w:tc>
        <w:tc>
          <w:tcPr>
            <w:tcW w:w="621" w:type="dxa"/>
            <w:vAlign w:val="bottom"/>
          </w:tcPr>
          <w:p w14:paraId="7CCCA966" w14:textId="77777777" w:rsidR="00E616C9" w:rsidRPr="00701439" w:rsidRDefault="00E616C9">
            <w:pPr>
              <w:jc w:val="right"/>
              <w:rPr>
                <w:rFonts w:asciiTheme="minorHAnsi" w:hAnsiTheme="minorHAnsi" w:cs="Arial"/>
                <w:sz w:val="20"/>
                <w:szCs w:val="20"/>
              </w:rPr>
            </w:pPr>
          </w:p>
        </w:tc>
        <w:tc>
          <w:tcPr>
            <w:tcW w:w="1205" w:type="dxa"/>
            <w:tcBorders>
              <w:top w:val="nil"/>
              <w:left w:val="nil"/>
              <w:bottom w:val="single" w:sz="4" w:space="0" w:color="auto"/>
              <w:right w:val="nil"/>
            </w:tcBorders>
            <w:shd w:val="clear" w:color="auto" w:fill="F2F2F2" w:themeFill="background1" w:themeFillShade="F2"/>
            <w:vAlign w:val="bottom"/>
          </w:tcPr>
          <w:p w14:paraId="528BB274" w14:textId="77777777" w:rsidR="00E616C9" w:rsidRPr="00502543" w:rsidRDefault="00E616C9">
            <w:pPr>
              <w:jc w:val="right"/>
              <w:rPr>
                <w:rFonts w:asciiTheme="minorHAnsi" w:hAnsiTheme="minorHAnsi" w:cs="Arial"/>
                <w:b/>
                <w:sz w:val="20"/>
                <w:szCs w:val="20"/>
              </w:rPr>
            </w:pPr>
            <w:r w:rsidRPr="00502543">
              <w:rPr>
                <w:rFonts w:asciiTheme="minorHAnsi" w:hAnsiTheme="minorHAnsi" w:cs="Arial"/>
                <w:b/>
                <w:sz w:val="20"/>
                <w:szCs w:val="20"/>
              </w:rPr>
              <w:t>£m </w:t>
            </w:r>
          </w:p>
        </w:tc>
        <w:tc>
          <w:tcPr>
            <w:tcW w:w="1205" w:type="dxa"/>
            <w:tcBorders>
              <w:top w:val="nil"/>
              <w:left w:val="nil"/>
              <w:bottom w:val="single" w:sz="4" w:space="0" w:color="auto"/>
              <w:right w:val="nil"/>
            </w:tcBorders>
            <w:vAlign w:val="bottom"/>
          </w:tcPr>
          <w:p w14:paraId="5449E47B" w14:textId="77777777" w:rsidR="00E616C9" w:rsidRPr="00701439" w:rsidRDefault="00E616C9">
            <w:pPr>
              <w:jc w:val="right"/>
              <w:rPr>
                <w:rFonts w:asciiTheme="minorHAnsi" w:hAnsiTheme="minorHAnsi" w:cs="Arial"/>
                <w:sz w:val="20"/>
                <w:szCs w:val="20"/>
              </w:rPr>
            </w:pPr>
            <w:r w:rsidRPr="00701439">
              <w:rPr>
                <w:rFonts w:asciiTheme="minorHAnsi" w:hAnsiTheme="minorHAnsi" w:cs="Arial"/>
                <w:sz w:val="20"/>
                <w:szCs w:val="20"/>
              </w:rPr>
              <w:t>£m </w:t>
            </w:r>
          </w:p>
        </w:tc>
      </w:tr>
      <w:tr w:rsidR="00E616C9" w:rsidRPr="00701439" w14:paraId="53AE6AD1" w14:textId="77777777" w:rsidTr="00502543">
        <w:tc>
          <w:tcPr>
            <w:tcW w:w="6892" w:type="dxa"/>
            <w:vAlign w:val="bottom"/>
          </w:tcPr>
          <w:p w14:paraId="72692822" w14:textId="1FF63ADE" w:rsidR="00E616C9" w:rsidRPr="00701439" w:rsidRDefault="00F82039" w:rsidP="00E616C9">
            <w:pPr>
              <w:rPr>
                <w:rFonts w:asciiTheme="minorHAnsi" w:hAnsiTheme="minorHAnsi" w:cs="Arial"/>
                <w:b/>
                <w:bCs/>
                <w:sz w:val="20"/>
                <w:szCs w:val="20"/>
              </w:rPr>
            </w:pPr>
            <w:r>
              <w:rPr>
                <w:rFonts w:asciiTheme="minorHAnsi" w:hAnsiTheme="minorHAnsi" w:cs="Arial"/>
                <w:b/>
                <w:bCs/>
                <w:sz w:val="20"/>
                <w:szCs w:val="20"/>
              </w:rPr>
              <w:t>Statutory p</w:t>
            </w:r>
            <w:r w:rsidR="004A7E63">
              <w:rPr>
                <w:rFonts w:asciiTheme="minorHAnsi" w:hAnsiTheme="minorHAnsi" w:cs="Arial"/>
                <w:b/>
                <w:bCs/>
                <w:sz w:val="20"/>
                <w:szCs w:val="20"/>
              </w:rPr>
              <w:t>rofit/(l</w:t>
            </w:r>
            <w:r w:rsidR="00E616C9" w:rsidRPr="00701439">
              <w:rPr>
                <w:rFonts w:asciiTheme="minorHAnsi" w:hAnsiTheme="minorHAnsi" w:cs="Arial"/>
                <w:b/>
                <w:bCs/>
                <w:sz w:val="20"/>
                <w:szCs w:val="20"/>
              </w:rPr>
              <w:t>oss</w:t>
            </w:r>
            <w:r w:rsidR="004A7E63">
              <w:rPr>
                <w:rFonts w:asciiTheme="minorHAnsi" w:hAnsiTheme="minorHAnsi" w:cs="Arial"/>
                <w:b/>
                <w:bCs/>
                <w:sz w:val="20"/>
                <w:szCs w:val="20"/>
              </w:rPr>
              <w:t>)</w:t>
            </w:r>
            <w:r w:rsidR="00E616C9" w:rsidRPr="00701439">
              <w:rPr>
                <w:rFonts w:asciiTheme="minorHAnsi" w:hAnsiTheme="minorHAnsi" w:cs="Arial"/>
                <w:b/>
                <w:bCs/>
                <w:sz w:val="20"/>
                <w:szCs w:val="20"/>
              </w:rPr>
              <w:t xml:space="preserve"> for the </w:t>
            </w:r>
            <w:r w:rsidR="006757A2">
              <w:rPr>
                <w:rFonts w:asciiTheme="minorHAnsi" w:hAnsiTheme="minorHAnsi" w:cs="Arial"/>
                <w:b/>
                <w:bCs/>
                <w:sz w:val="20"/>
                <w:szCs w:val="20"/>
              </w:rPr>
              <w:t>period</w:t>
            </w:r>
            <w:r w:rsidR="00E616C9" w:rsidRPr="00701439">
              <w:rPr>
                <w:rFonts w:asciiTheme="minorHAnsi" w:hAnsiTheme="minorHAnsi" w:cs="Arial"/>
                <w:b/>
                <w:bCs/>
                <w:sz w:val="20"/>
                <w:szCs w:val="20"/>
              </w:rPr>
              <w:t xml:space="preserve"> attributable to equity shareholders</w:t>
            </w:r>
          </w:p>
        </w:tc>
        <w:tc>
          <w:tcPr>
            <w:tcW w:w="621" w:type="dxa"/>
            <w:vAlign w:val="bottom"/>
          </w:tcPr>
          <w:p w14:paraId="47358D72" w14:textId="77777777" w:rsidR="00E616C9" w:rsidRPr="00701439" w:rsidRDefault="00E616C9" w:rsidP="00E616C9">
            <w:pPr>
              <w:jc w:val="right"/>
              <w:rPr>
                <w:rFonts w:asciiTheme="minorHAnsi" w:hAnsiTheme="minorHAnsi" w:cs="Arial"/>
                <w:sz w:val="20"/>
                <w:szCs w:val="20"/>
              </w:rPr>
            </w:pPr>
          </w:p>
        </w:tc>
        <w:tc>
          <w:tcPr>
            <w:tcW w:w="1205" w:type="dxa"/>
            <w:tcBorders>
              <w:top w:val="single" w:sz="4" w:space="0" w:color="auto"/>
              <w:left w:val="nil"/>
              <w:bottom w:val="single" w:sz="4" w:space="0" w:color="auto"/>
              <w:right w:val="nil"/>
            </w:tcBorders>
            <w:shd w:val="clear" w:color="auto" w:fill="F2F2F2" w:themeFill="background1" w:themeFillShade="F2"/>
            <w:vAlign w:val="bottom"/>
          </w:tcPr>
          <w:p w14:paraId="6C803A3C" w14:textId="5472C661" w:rsidR="00E616C9" w:rsidRPr="00E40E5F" w:rsidRDefault="00B43C54" w:rsidP="00E616C9">
            <w:pPr>
              <w:jc w:val="right"/>
              <w:rPr>
                <w:rFonts w:asciiTheme="minorHAnsi" w:hAnsiTheme="minorHAnsi" w:cs="Arial"/>
                <w:b/>
                <w:sz w:val="20"/>
                <w:szCs w:val="20"/>
              </w:rPr>
            </w:pPr>
            <w:r>
              <w:rPr>
                <w:rFonts w:asciiTheme="minorHAnsi" w:hAnsiTheme="minorHAnsi" w:cs="Arial"/>
                <w:b/>
                <w:sz w:val="20"/>
                <w:szCs w:val="20"/>
              </w:rPr>
              <w:t>5.</w:t>
            </w:r>
            <w:r w:rsidR="007654F4">
              <w:rPr>
                <w:rFonts w:asciiTheme="minorHAnsi" w:hAnsiTheme="minorHAnsi" w:cs="Arial"/>
                <w:b/>
                <w:sz w:val="20"/>
                <w:szCs w:val="20"/>
              </w:rPr>
              <w:t>6</w:t>
            </w:r>
          </w:p>
        </w:tc>
        <w:tc>
          <w:tcPr>
            <w:tcW w:w="1205" w:type="dxa"/>
            <w:tcBorders>
              <w:top w:val="single" w:sz="4" w:space="0" w:color="auto"/>
              <w:left w:val="nil"/>
              <w:bottom w:val="single" w:sz="4" w:space="0" w:color="auto"/>
              <w:right w:val="nil"/>
            </w:tcBorders>
            <w:vAlign w:val="bottom"/>
          </w:tcPr>
          <w:p w14:paraId="0E46F840" w14:textId="21426CDE" w:rsidR="00E616C9" w:rsidRPr="00E40E5F" w:rsidRDefault="00B305A3" w:rsidP="00E616C9">
            <w:pPr>
              <w:jc w:val="right"/>
              <w:rPr>
                <w:rFonts w:asciiTheme="minorHAnsi" w:hAnsiTheme="minorHAnsi" w:cs="Arial"/>
                <w:sz w:val="20"/>
                <w:szCs w:val="20"/>
              </w:rPr>
            </w:pPr>
            <w:r w:rsidRPr="00B87FBB">
              <w:rPr>
                <w:rFonts w:asciiTheme="minorHAnsi" w:hAnsiTheme="minorHAnsi" w:cs="Arial"/>
                <w:sz w:val="20"/>
                <w:szCs w:val="20"/>
              </w:rPr>
              <w:t>(</w:t>
            </w:r>
            <w:r w:rsidR="00933303">
              <w:rPr>
                <w:rFonts w:asciiTheme="minorHAnsi" w:hAnsiTheme="minorHAnsi" w:cs="Arial"/>
                <w:sz w:val="20"/>
                <w:szCs w:val="20"/>
              </w:rPr>
              <w:t>35.8</w:t>
            </w:r>
            <w:r w:rsidRPr="00B87FBB">
              <w:rPr>
                <w:rFonts w:asciiTheme="minorHAnsi" w:hAnsiTheme="minorHAnsi" w:cs="Arial"/>
                <w:sz w:val="20"/>
                <w:szCs w:val="20"/>
              </w:rPr>
              <w:t>)</w:t>
            </w:r>
          </w:p>
        </w:tc>
      </w:tr>
      <w:tr w:rsidR="00E616C9" w:rsidRPr="00701439" w14:paraId="45DE2D18" w14:textId="77777777" w:rsidTr="00502543">
        <w:tc>
          <w:tcPr>
            <w:tcW w:w="6892" w:type="dxa"/>
            <w:vAlign w:val="bottom"/>
          </w:tcPr>
          <w:p w14:paraId="6544BD46"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t>Items that will not be reclassified subsequently to the income statement:</w:t>
            </w:r>
          </w:p>
        </w:tc>
        <w:tc>
          <w:tcPr>
            <w:tcW w:w="621" w:type="dxa"/>
            <w:vAlign w:val="bottom"/>
          </w:tcPr>
          <w:p w14:paraId="191E0F1B" w14:textId="77777777" w:rsidR="00E616C9" w:rsidRPr="00701439" w:rsidRDefault="00E616C9" w:rsidP="00E616C9">
            <w:pPr>
              <w:jc w:val="right"/>
              <w:rPr>
                <w:rFonts w:asciiTheme="minorHAnsi" w:hAnsiTheme="minorHAnsi" w:cs="Arial"/>
                <w:sz w:val="20"/>
                <w:szCs w:val="20"/>
              </w:rPr>
            </w:pPr>
          </w:p>
        </w:tc>
        <w:tc>
          <w:tcPr>
            <w:tcW w:w="1205" w:type="dxa"/>
            <w:shd w:val="clear" w:color="auto" w:fill="F2F2F2" w:themeFill="background1" w:themeFillShade="F2"/>
            <w:vAlign w:val="bottom"/>
          </w:tcPr>
          <w:p w14:paraId="31364F22" w14:textId="77777777" w:rsidR="00E616C9" w:rsidRPr="00E40E5F" w:rsidRDefault="00E616C9" w:rsidP="00E616C9">
            <w:pPr>
              <w:jc w:val="right"/>
              <w:rPr>
                <w:rFonts w:asciiTheme="minorHAnsi" w:hAnsiTheme="minorHAnsi" w:cs="Arial"/>
                <w:b/>
                <w:sz w:val="20"/>
                <w:szCs w:val="20"/>
              </w:rPr>
            </w:pPr>
          </w:p>
        </w:tc>
        <w:tc>
          <w:tcPr>
            <w:tcW w:w="1205" w:type="dxa"/>
            <w:vAlign w:val="bottom"/>
          </w:tcPr>
          <w:p w14:paraId="0B869A68" w14:textId="77777777" w:rsidR="00E616C9" w:rsidRPr="00E40E5F" w:rsidRDefault="00E616C9" w:rsidP="00E616C9">
            <w:pPr>
              <w:jc w:val="right"/>
              <w:rPr>
                <w:rFonts w:asciiTheme="minorHAnsi" w:hAnsiTheme="minorHAnsi" w:cs="Arial"/>
                <w:sz w:val="20"/>
                <w:szCs w:val="20"/>
              </w:rPr>
            </w:pPr>
          </w:p>
        </w:tc>
      </w:tr>
      <w:tr w:rsidR="00E616C9" w:rsidRPr="00701439" w14:paraId="54F9E3CA" w14:textId="77777777" w:rsidTr="00502543">
        <w:tc>
          <w:tcPr>
            <w:tcW w:w="6892" w:type="dxa"/>
            <w:vAlign w:val="bottom"/>
          </w:tcPr>
          <w:p w14:paraId="7774DD17"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t>– actuarial movements on retirement benefit asset</w:t>
            </w:r>
          </w:p>
        </w:tc>
        <w:tc>
          <w:tcPr>
            <w:tcW w:w="621" w:type="dxa"/>
            <w:vAlign w:val="bottom"/>
          </w:tcPr>
          <w:p w14:paraId="5952A05C" w14:textId="136E99ED" w:rsidR="00E616C9" w:rsidRPr="00701439" w:rsidRDefault="002E22F1" w:rsidP="00E616C9">
            <w:pPr>
              <w:jc w:val="right"/>
              <w:rPr>
                <w:rFonts w:asciiTheme="minorHAnsi" w:hAnsiTheme="minorHAnsi" w:cs="Arial"/>
                <w:sz w:val="20"/>
                <w:szCs w:val="20"/>
              </w:rPr>
            </w:pPr>
            <w:r w:rsidRPr="00701439">
              <w:rPr>
                <w:rFonts w:asciiTheme="minorHAnsi" w:hAnsiTheme="minorHAnsi" w:cs="Arial"/>
                <w:sz w:val="20"/>
                <w:szCs w:val="20"/>
              </w:rPr>
              <w:t>1</w:t>
            </w:r>
            <w:r w:rsidR="00CF62F1">
              <w:rPr>
                <w:rFonts w:asciiTheme="minorHAnsi" w:hAnsiTheme="minorHAnsi" w:cs="Arial"/>
                <w:sz w:val="20"/>
                <w:szCs w:val="20"/>
              </w:rPr>
              <w:t>2</w:t>
            </w:r>
          </w:p>
        </w:tc>
        <w:tc>
          <w:tcPr>
            <w:tcW w:w="1205" w:type="dxa"/>
            <w:shd w:val="clear" w:color="auto" w:fill="F2F2F2" w:themeFill="background1" w:themeFillShade="F2"/>
            <w:vAlign w:val="bottom"/>
          </w:tcPr>
          <w:p w14:paraId="51DEBD91" w14:textId="6E4856A4" w:rsidR="00E616C9" w:rsidRPr="00E40E5F" w:rsidRDefault="00AA0007" w:rsidP="00E616C9">
            <w:pPr>
              <w:jc w:val="right"/>
              <w:rPr>
                <w:rFonts w:asciiTheme="minorHAnsi" w:hAnsiTheme="minorHAnsi" w:cs="Arial"/>
                <w:b/>
                <w:sz w:val="20"/>
                <w:szCs w:val="20"/>
              </w:rPr>
            </w:pPr>
            <w:r>
              <w:rPr>
                <w:rFonts w:asciiTheme="minorHAnsi" w:hAnsiTheme="minorHAnsi" w:cs="Arial"/>
                <w:b/>
                <w:sz w:val="20"/>
                <w:szCs w:val="20"/>
              </w:rPr>
              <w:t>(15.4)</w:t>
            </w:r>
          </w:p>
        </w:tc>
        <w:tc>
          <w:tcPr>
            <w:tcW w:w="1205" w:type="dxa"/>
            <w:vAlign w:val="bottom"/>
          </w:tcPr>
          <w:p w14:paraId="691B3CD7" w14:textId="7C8E021F" w:rsidR="00E616C9" w:rsidRPr="00E40E5F" w:rsidRDefault="006757A2" w:rsidP="00E616C9">
            <w:pPr>
              <w:jc w:val="right"/>
              <w:rPr>
                <w:rFonts w:asciiTheme="minorHAnsi" w:hAnsiTheme="minorHAnsi" w:cs="Arial"/>
                <w:sz w:val="20"/>
                <w:szCs w:val="20"/>
              </w:rPr>
            </w:pPr>
            <w:r w:rsidRPr="00B87FBB">
              <w:rPr>
                <w:rFonts w:asciiTheme="minorHAnsi" w:hAnsiTheme="minorHAnsi" w:cs="Arial"/>
                <w:sz w:val="20"/>
                <w:szCs w:val="20"/>
              </w:rPr>
              <w:t>(</w:t>
            </w:r>
            <w:r w:rsidR="00933303">
              <w:rPr>
                <w:rFonts w:asciiTheme="minorHAnsi" w:hAnsiTheme="minorHAnsi" w:cs="Arial"/>
                <w:sz w:val="20"/>
                <w:szCs w:val="20"/>
              </w:rPr>
              <w:t>4.5</w:t>
            </w:r>
            <w:r w:rsidRPr="00B87FBB">
              <w:rPr>
                <w:rFonts w:asciiTheme="minorHAnsi" w:hAnsiTheme="minorHAnsi" w:cs="Arial"/>
                <w:sz w:val="20"/>
                <w:szCs w:val="20"/>
              </w:rPr>
              <w:t>)</w:t>
            </w:r>
          </w:p>
        </w:tc>
      </w:tr>
      <w:tr w:rsidR="00E616C9" w:rsidRPr="00701439" w14:paraId="637C8932" w14:textId="77777777" w:rsidTr="00502543">
        <w:tc>
          <w:tcPr>
            <w:tcW w:w="6892" w:type="dxa"/>
            <w:vAlign w:val="bottom"/>
          </w:tcPr>
          <w:p w14:paraId="002A94A8" w14:textId="77777777" w:rsidR="00E616C9" w:rsidRPr="00701439" w:rsidRDefault="00E616C9" w:rsidP="00E616C9">
            <w:pPr>
              <w:rPr>
                <w:rFonts w:asciiTheme="minorHAnsi" w:hAnsiTheme="minorHAnsi" w:cs="Arial"/>
                <w:sz w:val="20"/>
                <w:szCs w:val="20"/>
              </w:rPr>
            </w:pPr>
            <w:r w:rsidRPr="00701439">
              <w:rPr>
                <w:rFonts w:asciiTheme="minorHAnsi" w:hAnsiTheme="minorHAnsi" w:cs="Arial"/>
                <w:sz w:val="20"/>
                <w:szCs w:val="20"/>
              </w:rPr>
              <w:lastRenderedPageBreak/>
              <w:t>– tax on items taken directly to other comprehensive income</w:t>
            </w:r>
          </w:p>
        </w:tc>
        <w:tc>
          <w:tcPr>
            <w:tcW w:w="621" w:type="dxa"/>
            <w:vAlign w:val="bottom"/>
          </w:tcPr>
          <w:p w14:paraId="7C95AA6C" w14:textId="2014FFE9" w:rsidR="00E616C9" w:rsidRPr="00701439" w:rsidRDefault="00E616C9" w:rsidP="00E616C9">
            <w:pPr>
              <w:jc w:val="right"/>
              <w:rPr>
                <w:rFonts w:asciiTheme="minorHAnsi" w:hAnsiTheme="minorHAnsi" w:cs="Arial"/>
                <w:sz w:val="20"/>
                <w:szCs w:val="20"/>
              </w:rPr>
            </w:pPr>
          </w:p>
        </w:tc>
        <w:tc>
          <w:tcPr>
            <w:tcW w:w="1205" w:type="dxa"/>
            <w:shd w:val="clear" w:color="auto" w:fill="F2F2F2" w:themeFill="background1" w:themeFillShade="F2"/>
            <w:vAlign w:val="bottom"/>
          </w:tcPr>
          <w:p w14:paraId="14B7F6B0" w14:textId="22208EBD" w:rsidR="00E616C9" w:rsidRPr="00E40E5F" w:rsidRDefault="00AA0007" w:rsidP="00E616C9">
            <w:pPr>
              <w:jc w:val="right"/>
              <w:rPr>
                <w:rFonts w:asciiTheme="minorHAnsi" w:hAnsiTheme="minorHAnsi" w:cs="Arial"/>
                <w:b/>
                <w:sz w:val="20"/>
                <w:szCs w:val="20"/>
              </w:rPr>
            </w:pPr>
            <w:r>
              <w:rPr>
                <w:rFonts w:asciiTheme="minorHAnsi" w:hAnsiTheme="minorHAnsi" w:cs="Arial"/>
                <w:b/>
                <w:sz w:val="20"/>
                <w:szCs w:val="20"/>
              </w:rPr>
              <w:t>3.9</w:t>
            </w:r>
          </w:p>
        </w:tc>
        <w:tc>
          <w:tcPr>
            <w:tcW w:w="1205" w:type="dxa"/>
            <w:vAlign w:val="bottom"/>
          </w:tcPr>
          <w:p w14:paraId="707F6CC4" w14:textId="4B9FFF64" w:rsidR="00E616C9" w:rsidRPr="00E40E5F" w:rsidRDefault="00933303" w:rsidP="00E616C9">
            <w:pPr>
              <w:jc w:val="right"/>
              <w:rPr>
                <w:rFonts w:asciiTheme="minorHAnsi" w:hAnsiTheme="minorHAnsi" w:cs="Arial"/>
                <w:sz w:val="20"/>
                <w:szCs w:val="20"/>
              </w:rPr>
            </w:pPr>
            <w:r>
              <w:rPr>
                <w:rFonts w:asciiTheme="minorHAnsi" w:hAnsiTheme="minorHAnsi" w:cs="Arial"/>
                <w:sz w:val="20"/>
                <w:szCs w:val="20"/>
              </w:rPr>
              <w:t>1.1</w:t>
            </w:r>
          </w:p>
        </w:tc>
      </w:tr>
      <w:tr w:rsidR="00E616C9" w:rsidRPr="00701439" w14:paraId="5A454400" w14:textId="77777777" w:rsidTr="00502543">
        <w:tc>
          <w:tcPr>
            <w:tcW w:w="6892" w:type="dxa"/>
            <w:vAlign w:val="bottom"/>
          </w:tcPr>
          <w:p w14:paraId="69984FDE" w14:textId="05C890F7" w:rsidR="00E616C9" w:rsidRPr="00701439" w:rsidRDefault="00E616C9" w:rsidP="00E616C9">
            <w:pPr>
              <w:rPr>
                <w:rFonts w:asciiTheme="minorHAnsi" w:hAnsiTheme="minorHAnsi" w:cs="Arial"/>
                <w:bCs/>
                <w:sz w:val="20"/>
                <w:szCs w:val="20"/>
              </w:rPr>
            </w:pPr>
            <w:r w:rsidRPr="00701439">
              <w:rPr>
                <w:rFonts w:asciiTheme="minorHAnsi" w:hAnsiTheme="minorHAnsi" w:cs="Arial"/>
                <w:sz w:val="20"/>
                <w:szCs w:val="20"/>
              </w:rPr>
              <w:t xml:space="preserve">Other comprehensive </w:t>
            </w:r>
            <w:r w:rsidRPr="007F7783">
              <w:rPr>
                <w:rFonts w:asciiTheme="minorHAnsi" w:hAnsiTheme="minorHAnsi" w:cs="Arial"/>
                <w:sz w:val="20"/>
                <w:szCs w:val="20"/>
              </w:rPr>
              <w:t>expense</w:t>
            </w:r>
            <w:r w:rsidRPr="00701439">
              <w:rPr>
                <w:rFonts w:asciiTheme="minorHAnsi" w:hAnsiTheme="minorHAnsi" w:cs="Arial"/>
                <w:sz w:val="20"/>
                <w:szCs w:val="20"/>
              </w:rPr>
              <w:t xml:space="preserve"> for the </w:t>
            </w:r>
            <w:r w:rsidR="006757A2">
              <w:rPr>
                <w:rFonts w:asciiTheme="minorHAnsi" w:hAnsiTheme="minorHAnsi" w:cs="Arial"/>
                <w:sz w:val="20"/>
                <w:szCs w:val="20"/>
              </w:rPr>
              <w:t>period</w:t>
            </w:r>
          </w:p>
        </w:tc>
        <w:tc>
          <w:tcPr>
            <w:tcW w:w="621" w:type="dxa"/>
            <w:vAlign w:val="bottom"/>
          </w:tcPr>
          <w:p w14:paraId="133CE0A0" w14:textId="77777777" w:rsidR="00E616C9" w:rsidRPr="00701439" w:rsidRDefault="00E616C9" w:rsidP="00E616C9">
            <w:pPr>
              <w:jc w:val="right"/>
              <w:rPr>
                <w:rFonts w:asciiTheme="minorHAnsi" w:hAnsiTheme="minorHAnsi" w:cs="Arial"/>
                <w:sz w:val="20"/>
                <w:szCs w:val="20"/>
              </w:rPr>
            </w:pPr>
          </w:p>
        </w:tc>
        <w:tc>
          <w:tcPr>
            <w:tcW w:w="1205" w:type="dxa"/>
            <w:tcBorders>
              <w:top w:val="single" w:sz="4" w:space="0" w:color="auto"/>
              <w:left w:val="nil"/>
              <w:bottom w:val="nil"/>
              <w:right w:val="nil"/>
            </w:tcBorders>
            <w:shd w:val="clear" w:color="auto" w:fill="F2F2F2" w:themeFill="background1" w:themeFillShade="F2"/>
            <w:vAlign w:val="bottom"/>
          </w:tcPr>
          <w:p w14:paraId="21821FF6" w14:textId="443D25C6" w:rsidR="00E616C9" w:rsidRPr="00E40E5F" w:rsidRDefault="0068531B" w:rsidP="00E616C9">
            <w:pPr>
              <w:jc w:val="right"/>
              <w:rPr>
                <w:rFonts w:asciiTheme="minorHAnsi" w:hAnsiTheme="minorHAnsi" w:cs="Arial"/>
                <w:b/>
                <w:sz w:val="20"/>
                <w:szCs w:val="20"/>
              </w:rPr>
            </w:pPr>
            <w:r>
              <w:rPr>
                <w:rFonts w:asciiTheme="minorHAnsi" w:hAnsiTheme="minorHAnsi" w:cs="Arial"/>
                <w:b/>
                <w:sz w:val="20"/>
                <w:szCs w:val="20"/>
              </w:rPr>
              <w:t>(11.</w:t>
            </w:r>
            <w:r w:rsidR="00F82039">
              <w:rPr>
                <w:rFonts w:asciiTheme="minorHAnsi" w:hAnsiTheme="minorHAnsi" w:cs="Arial"/>
                <w:b/>
                <w:sz w:val="20"/>
                <w:szCs w:val="20"/>
              </w:rPr>
              <w:t>5</w:t>
            </w:r>
            <w:r>
              <w:rPr>
                <w:rFonts w:asciiTheme="minorHAnsi" w:hAnsiTheme="minorHAnsi" w:cs="Arial"/>
                <w:b/>
                <w:sz w:val="20"/>
                <w:szCs w:val="20"/>
              </w:rPr>
              <w:t>)</w:t>
            </w:r>
          </w:p>
        </w:tc>
        <w:tc>
          <w:tcPr>
            <w:tcW w:w="1205" w:type="dxa"/>
            <w:tcBorders>
              <w:top w:val="single" w:sz="4" w:space="0" w:color="auto"/>
              <w:left w:val="nil"/>
              <w:bottom w:val="nil"/>
              <w:right w:val="nil"/>
            </w:tcBorders>
            <w:vAlign w:val="bottom"/>
          </w:tcPr>
          <w:p w14:paraId="1810DEEF" w14:textId="4DF6F568" w:rsidR="00E616C9" w:rsidRPr="00E40E5F" w:rsidRDefault="006757A2" w:rsidP="00E616C9">
            <w:pPr>
              <w:jc w:val="right"/>
              <w:rPr>
                <w:rFonts w:asciiTheme="minorHAnsi" w:hAnsiTheme="minorHAnsi" w:cs="Arial"/>
                <w:sz w:val="20"/>
                <w:szCs w:val="20"/>
              </w:rPr>
            </w:pPr>
            <w:r w:rsidRPr="00B87FBB">
              <w:rPr>
                <w:rFonts w:asciiTheme="minorHAnsi" w:hAnsiTheme="minorHAnsi" w:cs="Arial"/>
                <w:sz w:val="20"/>
                <w:szCs w:val="20"/>
              </w:rPr>
              <w:t>(</w:t>
            </w:r>
            <w:r w:rsidR="00933303">
              <w:rPr>
                <w:rFonts w:asciiTheme="minorHAnsi" w:hAnsiTheme="minorHAnsi" w:cs="Arial"/>
                <w:sz w:val="20"/>
                <w:szCs w:val="20"/>
              </w:rPr>
              <w:t>3.4</w:t>
            </w:r>
            <w:r w:rsidRPr="00B87FBB">
              <w:rPr>
                <w:rFonts w:asciiTheme="minorHAnsi" w:hAnsiTheme="minorHAnsi" w:cs="Arial"/>
                <w:sz w:val="20"/>
                <w:szCs w:val="20"/>
              </w:rPr>
              <w:t>)</w:t>
            </w:r>
          </w:p>
        </w:tc>
      </w:tr>
      <w:tr w:rsidR="00E616C9" w:rsidRPr="00701439" w14:paraId="08CE4F34" w14:textId="77777777" w:rsidTr="00502543">
        <w:tc>
          <w:tcPr>
            <w:tcW w:w="6892" w:type="dxa"/>
            <w:vAlign w:val="bottom"/>
          </w:tcPr>
          <w:p w14:paraId="2E4E914A" w14:textId="151FC24E" w:rsidR="00E616C9" w:rsidRPr="00701439" w:rsidRDefault="00E616C9" w:rsidP="00E616C9">
            <w:pPr>
              <w:rPr>
                <w:rFonts w:asciiTheme="minorHAnsi" w:hAnsiTheme="minorHAnsi" w:cs="Arial"/>
                <w:b/>
                <w:bCs/>
                <w:sz w:val="20"/>
                <w:szCs w:val="20"/>
              </w:rPr>
            </w:pPr>
            <w:r w:rsidRPr="00701439">
              <w:rPr>
                <w:rFonts w:asciiTheme="minorHAnsi" w:hAnsiTheme="minorHAnsi" w:cs="Arial"/>
                <w:b/>
                <w:bCs/>
                <w:sz w:val="20"/>
                <w:szCs w:val="20"/>
              </w:rPr>
              <w:t xml:space="preserve">Total comprehensive </w:t>
            </w:r>
            <w:r w:rsidRPr="007F7783">
              <w:rPr>
                <w:rFonts w:asciiTheme="minorHAnsi" w:hAnsiTheme="minorHAnsi" w:cs="Arial"/>
                <w:b/>
                <w:sz w:val="20"/>
                <w:szCs w:val="20"/>
              </w:rPr>
              <w:t>expense</w:t>
            </w:r>
            <w:r w:rsidRPr="00701439">
              <w:rPr>
                <w:rFonts w:asciiTheme="minorHAnsi" w:hAnsiTheme="minorHAnsi" w:cs="Arial"/>
                <w:b/>
                <w:bCs/>
                <w:sz w:val="20"/>
                <w:szCs w:val="20"/>
              </w:rPr>
              <w:t xml:space="preserve"> for the </w:t>
            </w:r>
            <w:r w:rsidR="006757A2">
              <w:rPr>
                <w:rFonts w:asciiTheme="minorHAnsi" w:hAnsiTheme="minorHAnsi" w:cs="Arial"/>
                <w:b/>
                <w:bCs/>
                <w:sz w:val="20"/>
                <w:szCs w:val="20"/>
              </w:rPr>
              <w:t>period</w:t>
            </w:r>
            <w:r w:rsidR="00C76C0B">
              <w:rPr>
                <w:rFonts w:asciiTheme="minorHAnsi" w:hAnsiTheme="minorHAnsi" w:cs="Arial"/>
                <w:b/>
                <w:bCs/>
                <w:sz w:val="20"/>
                <w:szCs w:val="20"/>
              </w:rPr>
              <w:t xml:space="preserve"> </w:t>
            </w:r>
            <w:r w:rsidR="00C76C0B" w:rsidRPr="006E5493">
              <w:rPr>
                <w:rFonts w:asciiTheme="minorHAnsi" w:hAnsiTheme="minorHAnsi" w:cs="Arial"/>
                <w:b/>
                <w:bCs/>
                <w:sz w:val="20"/>
                <w:szCs w:val="20"/>
                <w:lang w:val="en-US"/>
              </w:rPr>
              <w:t>attributable to equity shareholders</w:t>
            </w:r>
          </w:p>
        </w:tc>
        <w:tc>
          <w:tcPr>
            <w:tcW w:w="621" w:type="dxa"/>
            <w:vAlign w:val="bottom"/>
          </w:tcPr>
          <w:p w14:paraId="17287CD5" w14:textId="77777777" w:rsidR="00E616C9" w:rsidRPr="00701439" w:rsidRDefault="00E616C9" w:rsidP="00E616C9">
            <w:pPr>
              <w:jc w:val="right"/>
              <w:rPr>
                <w:rFonts w:asciiTheme="minorHAnsi" w:hAnsiTheme="minorHAnsi" w:cs="Arial"/>
                <w:sz w:val="20"/>
                <w:szCs w:val="20"/>
                <w:lang w:val="en-US"/>
              </w:rPr>
            </w:pPr>
          </w:p>
        </w:tc>
        <w:tc>
          <w:tcPr>
            <w:tcW w:w="1205" w:type="dxa"/>
            <w:tcBorders>
              <w:top w:val="single" w:sz="4" w:space="0" w:color="auto"/>
              <w:left w:val="nil"/>
              <w:bottom w:val="single" w:sz="12" w:space="0" w:color="auto"/>
              <w:right w:val="nil"/>
            </w:tcBorders>
            <w:shd w:val="clear" w:color="auto" w:fill="F2F2F2" w:themeFill="background1" w:themeFillShade="F2"/>
            <w:vAlign w:val="bottom"/>
          </w:tcPr>
          <w:p w14:paraId="0749ACA8" w14:textId="51F3343F" w:rsidR="00E616C9" w:rsidRPr="00E40E5F" w:rsidRDefault="00B249E9" w:rsidP="00E616C9">
            <w:pPr>
              <w:jc w:val="right"/>
              <w:rPr>
                <w:rFonts w:asciiTheme="minorHAnsi" w:hAnsiTheme="minorHAnsi" w:cs="Arial"/>
                <w:b/>
                <w:sz w:val="20"/>
                <w:szCs w:val="20"/>
                <w:lang w:val="en-US"/>
              </w:rPr>
            </w:pPr>
            <w:r>
              <w:rPr>
                <w:rFonts w:asciiTheme="minorHAnsi" w:hAnsiTheme="minorHAnsi" w:cs="Arial"/>
                <w:b/>
                <w:sz w:val="20"/>
                <w:szCs w:val="20"/>
                <w:lang w:val="en-US"/>
              </w:rPr>
              <w:t>(</w:t>
            </w:r>
            <w:r w:rsidR="00EF5697">
              <w:rPr>
                <w:rFonts w:asciiTheme="minorHAnsi" w:hAnsiTheme="minorHAnsi" w:cs="Arial"/>
                <w:b/>
                <w:sz w:val="20"/>
                <w:szCs w:val="20"/>
                <w:lang w:val="en-US"/>
              </w:rPr>
              <w:t>5.9</w:t>
            </w:r>
            <w:r>
              <w:rPr>
                <w:rFonts w:asciiTheme="minorHAnsi" w:hAnsiTheme="minorHAnsi" w:cs="Arial"/>
                <w:b/>
                <w:sz w:val="20"/>
                <w:szCs w:val="20"/>
                <w:lang w:val="en-US"/>
              </w:rPr>
              <w:t>)</w:t>
            </w:r>
          </w:p>
        </w:tc>
        <w:tc>
          <w:tcPr>
            <w:tcW w:w="1205" w:type="dxa"/>
            <w:tcBorders>
              <w:top w:val="single" w:sz="4" w:space="0" w:color="auto"/>
              <w:left w:val="nil"/>
              <w:bottom w:val="single" w:sz="12" w:space="0" w:color="auto"/>
              <w:right w:val="nil"/>
            </w:tcBorders>
            <w:vAlign w:val="bottom"/>
          </w:tcPr>
          <w:p w14:paraId="30716221" w14:textId="43C95C4E" w:rsidR="00E616C9" w:rsidRPr="00E40E5F" w:rsidRDefault="00B305A3" w:rsidP="00E616C9">
            <w:pPr>
              <w:jc w:val="right"/>
              <w:rPr>
                <w:rFonts w:asciiTheme="minorHAnsi" w:hAnsiTheme="minorHAnsi" w:cs="Arial"/>
                <w:sz w:val="20"/>
                <w:szCs w:val="20"/>
                <w:lang w:val="en-US"/>
              </w:rPr>
            </w:pPr>
            <w:r w:rsidRPr="00B87FBB">
              <w:rPr>
                <w:rFonts w:asciiTheme="minorHAnsi" w:hAnsiTheme="minorHAnsi" w:cs="Arial"/>
                <w:sz w:val="20"/>
                <w:szCs w:val="20"/>
                <w:lang w:val="en-US"/>
              </w:rPr>
              <w:t>(</w:t>
            </w:r>
            <w:r w:rsidR="00933303">
              <w:rPr>
                <w:rFonts w:asciiTheme="minorHAnsi" w:hAnsiTheme="minorHAnsi" w:cs="Arial"/>
                <w:sz w:val="20"/>
                <w:szCs w:val="20"/>
                <w:lang w:val="en-US"/>
              </w:rPr>
              <w:t>39.2</w:t>
            </w:r>
            <w:r w:rsidRPr="00B87FBB">
              <w:rPr>
                <w:rFonts w:asciiTheme="minorHAnsi" w:hAnsiTheme="minorHAnsi" w:cs="Arial"/>
                <w:sz w:val="20"/>
                <w:szCs w:val="20"/>
                <w:lang w:val="en-US"/>
              </w:rPr>
              <w:t>)</w:t>
            </w:r>
          </w:p>
        </w:tc>
      </w:tr>
    </w:tbl>
    <w:p w14:paraId="6DC12EBE" w14:textId="77777777" w:rsidR="00E616C9" w:rsidRPr="00701439" w:rsidRDefault="00E616C9" w:rsidP="00E616C9">
      <w:pPr>
        <w:rPr>
          <w:rFonts w:asciiTheme="minorHAnsi" w:hAnsiTheme="minorHAnsi" w:cs="Arial"/>
          <w:b/>
          <w:sz w:val="20"/>
          <w:szCs w:val="20"/>
        </w:rPr>
      </w:pPr>
    </w:p>
    <w:p w14:paraId="272B1959" w14:textId="7A6DFA9D" w:rsidR="00E616C9" w:rsidRPr="00701439" w:rsidRDefault="00F41541" w:rsidP="00E616C9">
      <w:pPr>
        <w:rPr>
          <w:rFonts w:asciiTheme="minorHAnsi" w:hAnsiTheme="minorHAnsi" w:cs="Arial"/>
          <w:b/>
          <w:color w:val="4747FF"/>
          <w:sz w:val="22"/>
          <w:szCs w:val="22"/>
        </w:rPr>
      </w:pPr>
      <w:r>
        <w:rPr>
          <w:rFonts w:asciiTheme="minorHAnsi" w:hAnsiTheme="minorHAnsi" w:cs="Arial"/>
          <w:b/>
          <w:color w:val="4747FF"/>
          <w:sz w:val="22"/>
          <w:szCs w:val="22"/>
        </w:rPr>
        <w:t>Earnings/(l</w:t>
      </w:r>
      <w:r w:rsidR="00B2155D">
        <w:rPr>
          <w:rFonts w:asciiTheme="minorHAnsi" w:hAnsiTheme="minorHAnsi" w:cs="Arial"/>
          <w:b/>
          <w:color w:val="4747FF"/>
          <w:sz w:val="22"/>
          <w:szCs w:val="22"/>
        </w:rPr>
        <w:t>oss</w:t>
      </w:r>
      <w:r>
        <w:rPr>
          <w:rFonts w:asciiTheme="minorHAnsi" w:hAnsiTheme="minorHAnsi" w:cs="Arial"/>
          <w:b/>
          <w:color w:val="4747FF"/>
          <w:sz w:val="22"/>
          <w:szCs w:val="22"/>
        </w:rPr>
        <w:t>)</w:t>
      </w:r>
      <w:r w:rsidR="00E616C9" w:rsidRPr="00701439">
        <w:rPr>
          <w:rFonts w:asciiTheme="minorHAnsi" w:hAnsiTheme="minorHAnsi" w:cs="Arial"/>
          <w:b/>
          <w:color w:val="4747FF"/>
          <w:sz w:val="22"/>
          <w:szCs w:val="22"/>
        </w:rPr>
        <w:t xml:space="preserve"> per share</w:t>
      </w:r>
    </w:p>
    <w:tbl>
      <w:tblPr>
        <w:tblW w:w="9923" w:type="dxa"/>
        <w:tblLook w:val="0000" w:firstRow="0" w:lastRow="0" w:firstColumn="0" w:lastColumn="0" w:noHBand="0" w:noVBand="0"/>
      </w:tblPr>
      <w:tblGrid>
        <w:gridCol w:w="6494"/>
        <w:gridCol w:w="1085"/>
        <w:gridCol w:w="1172"/>
        <w:gridCol w:w="1172"/>
      </w:tblGrid>
      <w:tr w:rsidR="00E616C9" w:rsidRPr="00701439" w14:paraId="1C6DCC64" w14:textId="77777777" w:rsidTr="003B7755">
        <w:tc>
          <w:tcPr>
            <w:tcW w:w="6494" w:type="dxa"/>
          </w:tcPr>
          <w:p w14:paraId="3B783B95" w14:textId="77777777" w:rsidR="00E616C9" w:rsidRPr="00701439" w:rsidRDefault="00E616C9">
            <w:pPr>
              <w:rPr>
                <w:rFonts w:asciiTheme="minorHAnsi" w:hAnsiTheme="minorHAnsi" w:cs="Arial"/>
                <w:b/>
                <w:sz w:val="20"/>
                <w:szCs w:val="20"/>
              </w:rPr>
            </w:pPr>
          </w:p>
        </w:tc>
        <w:tc>
          <w:tcPr>
            <w:tcW w:w="1085" w:type="dxa"/>
          </w:tcPr>
          <w:p w14:paraId="0E928B37" w14:textId="77777777" w:rsidR="00E616C9" w:rsidRPr="00701439" w:rsidRDefault="00E616C9">
            <w:pPr>
              <w:jc w:val="right"/>
              <w:rPr>
                <w:rFonts w:asciiTheme="minorHAnsi" w:hAnsiTheme="minorHAnsi" w:cs="Arial"/>
                <w:sz w:val="20"/>
                <w:szCs w:val="20"/>
              </w:rPr>
            </w:pPr>
            <w:r w:rsidRPr="00701439">
              <w:rPr>
                <w:rFonts w:asciiTheme="minorHAnsi" w:hAnsiTheme="minorHAnsi" w:cs="Arial"/>
                <w:sz w:val="20"/>
                <w:szCs w:val="20"/>
              </w:rPr>
              <w:t>Note</w:t>
            </w:r>
          </w:p>
        </w:tc>
        <w:tc>
          <w:tcPr>
            <w:tcW w:w="1172" w:type="dxa"/>
            <w:shd w:val="clear" w:color="auto" w:fill="F2F2F2" w:themeFill="background1" w:themeFillShade="F2"/>
          </w:tcPr>
          <w:p w14:paraId="495B117F" w14:textId="77777777" w:rsidR="00E616C9" w:rsidRDefault="00E616C9">
            <w:pPr>
              <w:jc w:val="right"/>
              <w:rPr>
                <w:rFonts w:asciiTheme="minorHAnsi" w:hAnsiTheme="minorHAnsi" w:cs="Arial"/>
                <w:b/>
                <w:sz w:val="20"/>
                <w:szCs w:val="20"/>
              </w:rPr>
            </w:pPr>
            <w:r w:rsidRPr="00502543">
              <w:rPr>
                <w:rFonts w:asciiTheme="minorHAnsi" w:hAnsiTheme="minorHAnsi" w:cs="Arial"/>
                <w:b/>
                <w:sz w:val="20"/>
                <w:szCs w:val="20"/>
              </w:rPr>
              <w:t>202</w:t>
            </w:r>
            <w:r w:rsidR="003C6DE0">
              <w:rPr>
                <w:rFonts w:asciiTheme="minorHAnsi" w:hAnsiTheme="minorHAnsi" w:cs="Arial"/>
                <w:b/>
                <w:sz w:val="20"/>
                <w:szCs w:val="20"/>
              </w:rPr>
              <w:t>5</w:t>
            </w:r>
          </w:p>
          <w:p w14:paraId="26F3666B" w14:textId="2EC0B1A1" w:rsidR="00E616C9" w:rsidRPr="00502543" w:rsidRDefault="005B20BD">
            <w:pPr>
              <w:jc w:val="right"/>
              <w:rPr>
                <w:rFonts w:asciiTheme="minorHAnsi" w:hAnsiTheme="minorHAnsi" w:cs="Arial"/>
                <w:b/>
                <w:sz w:val="20"/>
                <w:szCs w:val="20"/>
              </w:rPr>
            </w:pPr>
            <w:r w:rsidRPr="007F7783">
              <w:rPr>
                <w:rFonts w:asciiTheme="minorHAnsi" w:hAnsiTheme="minorHAnsi" w:cs="Arial"/>
                <w:b/>
                <w:sz w:val="20"/>
                <w:szCs w:val="20"/>
              </w:rPr>
              <w:t>unaudited</w:t>
            </w:r>
          </w:p>
        </w:tc>
        <w:tc>
          <w:tcPr>
            <w:tcW w:w="1172" w:type="dxa"/>
          </w:tcPr>
          <w:p w14:paraId="0DFE5481" w14:textId="77777777" w:rsidR="00E616C9" w:rsidRDefault="00E616C9" w:rsidP="003C6DE0">
            <w:pPr>
              <w:jc w:val="right"/>
              <w:rPr>
                <w:rFonts w:asciiTheme="minorHAnsi" w:hAnsiTheme="minorHAnsi" w:cs="Arial"/>
                <w:sz w:val="20"/>
                <w:szCs w:val="20"/>
              </w:rPr>
            </w:pPr>
            <w:r w:rsidRPr="00701439">
              <w:rPr>
                <w:rFonts w:asciiTheme="minorHAnsi" w:hAnsiTheme="minorHAnsi" w:cs="Arial"/>
                <w:sz w:val="20"/>
                <w:szCs w:val="20"/>
              </w:rPr>
              <w:t>202</w:t>
            </w:r>
            <w:r w:rsidR="003C6DE0">
              <w:rPr>
                <w:rFonts w:asciiTheme="minorHAnsi" w:hAnsiTheme="minorHAnsi" w:cs="Arial"/>
                <w:sz w:val="20"/>
                <w:szCs w:val="20"/>
              </w:rPr>
              <w:t>4</w:t>
            </w:r>
          </w:p>
          <w:p w14:paraId="62ACDB81" w14:textId="5FD255C4" w:rsidR="00E616C9" w:rsidRPr="00701439" w:rsidRDefault="005B20BD" w:rsidP="003C6DE0">
            <w:pPr>
              <w:jc w:val="right"/>
              <w:rPr>
                <w:rFonts w:asciiTheme="minorHAnsi" w:hAnsiTheme="minorHAnsi" w:cs="Arial"/>
                <w:sz w:val="20"/>
                <w:szCs w:val="20"/>
              </w:rPr>
            </w:pPr>
            <w:r w:rsidRPr="00CA3EDF">
              <w:rPr>
                <w:rFonts w:asciiTheme="minorHAnsi" w:hAnsiTheme="minorHAnsi" w:cs="Arial"/>
                <w:bCs/>
                <w:sz w:val="20"/>
                <w:szCs w:val="20"/>
              </w:rPr>
              <w:t>unaudited</w:t>
            </w:r>
          </w:p>
        </w:tc>
      </w:tr>
      <w:tr w:rsidR="00E616C9" w:rsidRPr="00701439" w14:paraId="58E7FE62" w14:textId="77777777" w:rsidTr="003B7755">
        <w:tc>
          <w:tcPr>
            <w:tcW w:w="6494" w:type="dxa"/>
          </w:tcPr>
          <w:p w14:paraId="3B46DAB7" w14:textId="77777777" w:rsidR="00E616C9" w:rsidRPr="00701439" w:rsidRDefault="00E616C9">
            <w:pPr>
              <w:rPr>
                <w:rFonts w:asciiTheme="minorHAnsi" w:hAnsiTheme="minorHAnsi" w:cs="Arial"/>
                <w:b/>
                <w:sz w:val="20"/>
                <w:szCs w:val="20"/>
              </w:rPr>
            </w:pPr>
          </w:p>
        </w:tc>
        <w:tc>
          <w:tcPr>
            <w:tcW w:w="1085" w:type="dxa"/>
          </w:tcPr>
          <w:p w14:paraId="284175C6" w14:textId="77777777" w:rsidR="00E616C9" w:rsidRPr="00701439" w:rsidRDefault="00E616C9">
            <w:pPr>
              <w:jc w:val="right"/>
              <w:rPr>
                <w:rFonts w:asciiTheme="minorHAnsi" w:hAnsiTheme="minorHAnsi" w:cs="Arial"/>
                <w:sz w:val="20"/>
                <w:szCs w:val="20"/>
              </w:rPr>
            </w:pPr>
          </w:p>
        </w:tc>
        <w:tc>
          <w:tcPr>
            <w:tcW w:w="1172" w:type="dxa"/>
            <w:tcBorders>
              <w:top w:val="nil"/>
              <w:left w:val="nil"/>
              <w:bottom w:val="single" w:sz="4" w:space="0" w:color="auto"/>
              <w:right w:val="nil"/>
            </w:tcBorders>
            <w:shd w:val="clear" w:color="auto" w:fill="F2F2F2" w:themeFill="background1" w:themeFillShade="F2"/>
          </w:tcPr>
          <w:p w14:paraId="724FF7DB" w14:textId="77777777" w:rsidR="00E616C9" w:rsidRPr="00502543" w:rsidRDefault="00E616C9">
            <w:pPr>
              <w:jc w:val="right"/>
              <w:rPr>
                <w:rFonts w:asciiTheme="minorHAnsi" w:hAnsiTheme="minorHAnsi" w:cs="Arial"/>
                <w:b/>
                <w:sz w:val="20"/>
                <w:szCs w:val="20"/>
              </w:rPr>
            </w:pPr>
            <w:r w:rsidRPr="00502543">
              <w:rPr>
                <w:rFonts w:asciiTheme="minorHAnsi" w:hAnsiTheme="minorHAnsi" w:cs="Arial"/>
                <w:b/>
                <w:sz w:val="20"/>
                <w:szCs w:val="20"/>
              </w:rPr>
              <w:t>pence </w:t>
            </w:r>
          </w:p>
        </w:tc>
        <w:tc>
          <w:tcPr>
            <w:tcW w:w="1172" w:type="dxa"/>
            <w:tcBorders>
              <w:top w:val="nil"/>
              <w:left w:val="nil"/>
              <w:bottom w:val="single" w:sz="4" w:space="0" w:color="auto"/>
              <w:right w:val="nil"/>
            </w:tcBorders>
          </w:tcPr>
          <w:p w14:paraId="00E47EFA" w14:textId="77777777" w:rsidR="00E616C9" w:rsidRPr="00701439" w:rsidRDefault="00E616C9">
            <w:pPr>
              <w:jc w:val="right"/>
              <w:rPr>
                <w:rFonts w:asciiTheme="minorHAnsi" w:hAnsiTheme="minorHAnsi" w:cs="Arial"/>
                <w:sz w:val="20"/>
                <w:szCs w:val="20"/>
              </w:rPr>
            </w:pPr>
            <w:r w:rsidRPr="00701439">
              <w:rPr>
                <w:rFonts w:asciiTheme="minorHAnsi" w:hAnsiTheme="minorHAnsi" w:cs="Arial"/>
                <w:sz w:val="20"/>
                <w:szCs w:val="20"/>
              </w:rPr>
              <w:t>pence </w:t>
            </w:r>
          </w:p>
        </w:tc>
      </w:tr>
      <w:tr w:rsidR="00E616C9" w:rsidRPr="00E40E5F" w14:paraId="43EA4CCC" w14:textId="77777777" w:rsidTr="003B7755">
        <w:tc>
          <w:tcPr>
            <w:tcW w:w="6494" w:type="dxa"/>
            <w:vAlign w:val="bottom"/>
          </w:tcPr>
          <w:p w14:paraId="5716CCF8" w14:textId="69335E59" w:rsidR="00E616C9" w:rsidRPr="00E40E5F" w:rsidRDefault="00E616C9" w:rsidP="00E616C9">
            <w:pPr>
              <w:rPr>
                <w:rFonts w:asciiTheme="minorHAnsi" w:hAnsiTheme="minorHAnsi" w:cs="Arial"/>
                <w:sz w:val="20"/>
                <w:szCs w:val="20"/>
              </w:rPr>
            </w:pPr>
            <w:r w:rsidRPr="00E40E5F">
              <w:rPr>
                <w:rFonts w:asciiTheme="minorHAnsi" w:hAnsiTheme="minorHAnsi" w:cs="Arial"/>
                <w:sz w:val="20"/>
                <w:szCs w:val="20"/>
              </w:rPr>
              <w:t>Basic</w:t>
            </w:r>
            <w:r w:rsidR="00790899">
              <w:rPr>
                <w:rFonts w:asciiTheme="minorHAnsi" w:hAnsiTheme="minorHAnsi" w:cs="Arial"/>
                <w:sz w:val="20"/>
                <w:szCs w:val="20"/>
              </w:rPr>
              <w:t xml:space="preserve"> </w:t>
            </w:r>
            <w:r w:rsidR="00394B40">
              <w:rPr>
                <w:rFonts w:asciiTheme="minorHAnsi" w:hAnsiTheme="minorHAnsi" w:cs="Arial"/>
                <w:sz w:val="20"/>
                <w:szCs w:val="20"/>
              </w:rPr>
              <w:t>–</w:t>
            </w:r>
            <w:r w:rsidR="00790899">
              <w:rPr>
                <w:rFonts w:asciiTheme="minorHAnsi" w:hAnsiTheme="minorHAnsi" w:cs="Arial"/>
                <w:sz w:val="20"/>
                <w:szCs w:val="20"/>
              </w:rPr>
              <w:t xml:space="preserve"> </w:t>
            </w:r>
            <w:r w:rsidR="003D7B03">
              <w:rPr>
                <w:rFonts w:asciiTheme="minorHAnsi" w:hAnsiTheme="minorHAnsi" w:cs="Arial"/>
                <w:sz w:val="20"/>
                <w:szCs w:val="20"/>
              </w:rPr>
              <w:t>c</w:t>
            </w:r>
            <w:r w:rsidR="00790899">
              <w:rPr>
                <w:rFonts w:asciiTheme="minorHAnsi" w:hAnsiTheme="minorHAnsi" w:cs="Arial"/>
                <w:sz w:val="20"/>
                <w:szCs w:val="20"/>
              </w:rPr>
              <w:t>ontinuing</w:t>
            </w:r>
            <w:r w:rsidR="007D03F7">
              <w:rPr>
                <w:rFonts w:asciiTheme="minorHAnsi" w:hAnsiTheme="minorHAnsi" w:cs="Arial"/>
                <w:sz w:val="20"/>
                <w:szCs w:val="20"/>
              </w:rPr>
              <w:t xml:space="preserve"> operations</w:t>
            </w:r>
          </w:p>
        </w:tc>
        <w:tc>
          <w:tcPr>
            <w:tcW w:w="1085" w:type="dxa"/>
            <w:vAlign w:val="bottom"/>
          </w:tcPr>
          <w:p w14:paraId="20C22375" w14:textId="41B5B904" w:rsidR="00E616C9" w:rsidRPr="00E40E5F" w:rsidRDefault="002E22F1" w:rsidP="00E616C9">
            <w:pPr>
              <w:jc w:val="right"/>
              <w:rPr>
                <w:rFonts w:asciiTheme="minorHAnsi" w:hAnsiTheme="minorHAnsi" w:cs="Arial"/>
                <w:sz w:val="20"/>
                <w:szCs w:val="20"/>
              </w:rPr>
            </w:pPr>
            <w:r w:rsidRPr="00E40E5F">
              <w:rPr>
                <w:rFonts w:asciiTheme="minorHAnsi" w:hAnsiTheme="minorHAnsi" w:cs="Arial"/>
                <w:sz w:val="20"/>
                <w:szCs w:val="20"/>
              </w:rPr>
              <w:t>7</w:t>
            </w:r>
          </w:p>
        </w:tc>
        <w:tc>
          <w:tcPr>
            <w:tcW w:w="1172" w:type="dxa"/>
            <w:tcBorders>
              <w:top w:val="single" w:sz="4" w:space="0" w:color="auto"/>
              <w:left w:val="nil"/>
              <w:right w:val="nil"/>
            </w:tcBorders>
            <w:shd w:val="clear" w:color="auto" w:fill="F2F2F2" w:themeFill="background1" w:themeFillShade="F2"/>
            <w:vAlign w:val="bottom"/>
          </w:tcPr>
          <w:p w14:paraId="52D6FF6B" w14:textId="7E9EEF09" w:rsidR="00E616C9" w:rsidRPr="00E40E5F" w:rsidRDefault="00540E14" w:rsidP="00E616C9">
            <w:pPr>
              <w:jc w:val="right"/>
              <w:rPr>
                <w:rFonts w:asciiTheme="minorHAnsi" w:hAnsiTheme="minorHAnsi" w:cs="Arial"/>
                <w:b/>
                <w:sz w:val="20"/>
                <w:szCs w:val="20"/>
              </w:rPr>
            </w:pPr>
            <w:r>
              <w:rPr>
                <w:rFonts w:asciiTheme="minorHAnsi" w:hAnsiTheme="minorHAnsi" w:cs="Arial"/>
                <w:b/>
                <w:sz w:val="20"/>
                <w:szCs w:val="20"/>
              </w:rPr>
              <w:t>1.9</w:t>
            </w:r>
          </w:p>
        </w:tc>
        <w:tc>
          <w:tcPr>
            <w:tcW w:w="1172" w:type="dxa"/>
            <w:tcBorders>
              <w:top w:val="single" w:sz="4" w:space="0" w:color="auto"/>
              <w:left w:val="nil"/>
              <w:right w:val="nil"/>
            </w:tcBorders>
            <w:vAlign w:val="bottom"/>
          </w:tcPr>
          <w:p w14:paraId="1D118364" w14:textId="5855C7B9" w:rsidR="00E616C9" w:rsidRPr="00E40E5F" w:rsidRDefault="00EF7A46" w:rsidP="00E616C9">
            <w:pPr>
              <w:jc w:val="right"/>
              <w:rPr>
                <w:rFonts w:asciiTheme="minorHAnsi" w:hAnsiTheme="minorHAnsi" w:cs="Arial"/>
                <w:sz w:val="20"/>
                <w:szCs w:val="20"/>
              </w:rPr>
            </w:pPr>
            <w:r w:rsidRPr="00B87FBB">
              <w:rPr>
                <w:rFonts w:asciiTheme="minorHAnsi" w:hAnsiTheme="minorHAnsi" w:cs="Arial"/>
                <w:sz w:val="20"/>
                <w:szCs w:val="20"/>
              </w:rPr>
              <w:t>(</w:t>
            </w:r>
            <w:r w:rsidR="00CD7200">
              <w:rPr>
                <w:rFonts w:asciiTheme="minorHAnsi" w:hAnsiTheme="minorHAnsi" w:cs="Arial"/>
                <w:sz w:val="20"/>
                <w:szCs w:val="20"/>
              </w:rPr>
              <w:t>13.9</w:t>
            </w:r>
            <w:r w:rsidRPr="00B87FBB">
              <w:rPr>
                <w:rFonts w:asciiTheme="minorHAnsi" w:hAnsiTheme="minorHAnsi" w:cs="Arial"/>
                <w:sz w:val="20"/>
                <w:szCs w:val="20"/>
              </w:rPr>
              <w:t>)</w:t>
            </w:r>
          </w:p>
        </w:tc>
      </w:tr>
      <w:tr w:rsidR="00E616C9" w:rsidRPr="00E40E5F" w14:paraId="5737B23B" w14:textId="77777777" w:rsidTr="003B7755">
        <w:tc>
          <w:tcPr>
            <w:tcW w:w="6494" w:type="dxa"/>
            <w:vAlign w:val="bottom"/>
          </w:tcPr>
          <w:p w14:paraId="0E91142A" w14:textId="0222826F" w:rsidR="00E616C9" w:rsidRPr="00E40E5F" w:rsidRDefault="00E616C9" w:rsidP="00E616C9">
            <w:pPr>
              <w:rPr>
                <w:rFonts w:asciiTheme="minorHAnsi" w:hAnsiTheme="minorHAnsi" w:cs="Arial"/>
                <w:sz w:val="20"/>
                <w:szCs w:val="20"/>
              </w:rPr>
            </w:pPr>
            <w:r w:rsidRPr="00E40E5F">
              <w:rPr>
                <w:rFonts w:asciiTheme="minorHAnsi" w:hAnsiTheme="minorHAnsi" w:cs="Arial"/>
                <w:sz w:val="20"/>
                <w:szCs w:val="20"/>
              </w:rPr>
              <w:t xml:space="preserve">Diluted </w:t>
            </w:r>
            <w:r w:rsidR="00790899">
              <w:rPr>
                <w:rFonts w:asciiTheme="minorHAnsi" w:hAnsiTheme="minorHAnsi" w:cs="Arial"/>
                <w:sz w:val="20"/>
                <w:szCs w:val="20"/>
              </w:rPr>
              <w:t xml:space="preserve">- </w:t>
            </w:r>
            <w:r w:rsidR="003D7B03">
              <w:rPr>
                <w:rFonts w:asciiTheme="minorHAnsi" w:hAnsiTheme="minorHAnsi" w:cs="Arial"/>
                <w:sz w:val="20"/>
                <w:szCs w:val="20"/>
              </w:rPr>
              <w:t>c</w:t>
            </w:r>
            <w:r w:rsidR="00790899">
              <w:rPr>
                <w:rFonts w:asciiTheme="minorHAnsi" w:hAnsiTheme="minorHAnsi" w:cs="Arial"/>
                <w:sz w:val="20"/>
                <w:szCs w:val="20"/>
              </w:rPr>
              <w:t>ontinuing</w:t>
            </w:r>
            <w:r w:rsidR="007D03F7">
              <w:rPr>
                <w:rFonts w:asciiTheme="minorHAnsi" w:hAnsiTheme="minorHAnsi" w:cs="Arial"/>
                <w:sz w:val="20"/>
                <w:szCs w:val="20"/>
              </w:rPr>
              <w:t xml:space="preserve"> operations</w:t>
            </w:r>
            <w:r w:rsidRPr="00E40E5F">
              <w:rPr>
                <w:rFonts w:asciiTheme="minorHAnsi" w:hAnsiTheme="minorHAnsi" w:cs="Arial"/>
                <w:sz w:val="20"/>
                <w:szCs w:val="20"/>
              </w:rPr>
              <w:t xml:space="preserve">                                                      </w:t>
            </w:r>
          </w:p>
        </w:tc>
        <w:tc>
          <w:tcPr>
            <w:tcW w:w="1085" w:type="dxa"/>
            <w:vAlign w:val="bottom"/>
          </w:tcPr>
          <w:p w14:paraId="6EBF51DE" w14:textId="3F3E8A5F" w:rsidR="00E616C9" w:rsidRPr="00E40E5F" w:rsidRDefault="002E22F1" w:rsidP="00E616C9">
            <w:pPr>
              <w:jc w:val="right"/>
              <w:rPr>
                <w:rFonts w:asciiTheme="minorHAnsi" w:hAnsiTheme="minorHAnsi" w:cs="Arial"/>
                <w:sz w:val="20"/>
                <w:szCs w:val="20"/>
              </w:rPr>
            </w:pPr>
            <w:r w:rsidRPr="00E40E5F">
              <w:rPr>
                <w:rFonts w:asciiTheme="minorHAnsi" w:hAnsiTheme="minorHAnsi" w:cs="Arial"/>
                <w:sz w:val="20"/>
                <w:szCs w:val="20"/>
              </w:rPr>
              <w:t>7</w:t>
            </w:r>
          </w:p>
        </w:tc>
        <w:tc>
          <w:tcPr>
            <w:tcW w:w="1172" w:type="dxa"/>
            <w:tcBorders>
              <w:left w:val="nil"/>
              <w:bottom w:val="single" w:sz="4" w:space="0" w:color="auto"/>
              <w:right w:val="nil"/>
            </w:tcBorders>
            <w:shd w:val="clear" w:color="auto" w:fill="F2F2F2" w:themeFill="background1" w:themeFillShade="F2"/>
            <w:vAlign w:val="bottom"/>
          </w:tcPr>
          <w:p w14:paraId="3CB49DD8" w14:textId="488417D3" w:rsidR="00E616C9" w:rsidRPr="00E40E5F" w:rsidRDefault="0085356C" w:rsidP="00E616C9">
            <w:pPr>
              <w:jc w:val="right"/>
              <w:rPr>
                <w:rFonts w:asciiTheme="minorHAnsi" w:hAnsiTheme="minorHAnsi" w:cs="Arial"/>
                <w:b/>
                <w:sz w:val="20"/>
                <w:szCs w:val="20"/>
              </w:rPr>
            </w:pPr>
            <w:r>
              <w:rPr>
                <w:rFonts w:asciiTheme="minorHAnsi" w:hAnsiTheme="minorHAnsi" w:cs="Arial"/>
                <w:b/>
                <w:sz w:val="20"/>
                <w:szCs w:val="20"/>
              </w:rPr>
              <w:t>1.9</w:t>
            </w:r>
          </w:p>
        </w:tc>
        <w:tc>
          <w:tcPr>
            <w:tcW w:w="1172" w:type="dxa"/>
            <w:tcBorders>
              <w:left w:val="nil"/>
              <w:bottom w:val="single" w:sz="4" w:space="0" w:color="auto"/>
              <w:right w:val="nil"/>
            </w:tcBorders>
            <w:vAlign w:val="bottom"/>
          </w:tcPr>
          <w:p w14:paraId="78184C65" w14:textId="0D2DD08A" w:rsidR="00E616C9" w:rsidRPr="00E40E5F" w:rsidRDefault="00EF7A46" w:rsidP="00E616C9">
            <w:pPr>
              <w:jc w:val="right"/>
              <w:rPr>
                <w:rFonts w:asciiTheme="minorHAnsi" w:hAnsiTheme="minorHAnsi" w:cs="Arial"/>
                <w:sz w:val="20"/>
                <w:szCs w:val="20"/>
              </w:rPr>
            </w:pPr>
            <w:r w:rsidRPr="00B87FBB">
              <w:rPr>
                <w:rFonts w:asciiTheme="minorHAnsi" w:hAnsiTheme="minorHAnsi" w:cs="Arial"/>
                <w:sz w:val="20"/>
                <w:szCs w:val="20"/>
              </w:rPr>
              <w:t>(</w:t>
            </w:r>
            <w:r w:rsidR="00CD7200">
              <w:rPr>
                <w:rFonts w:asciiTheme="minorHAnsi" w:hAnsiTheme="minorHAnsi" w:cs="Arial"/>
                <w:sz w:val="20"/>
                <w:szCs w:val="20"/>
              </w:rPr>
              <w:t>13.9</w:t>
            </w:r>
            <w:r w:rsidRPr="00B87FBB">
              <w:rPr>
                <w:rFonts w:asciiTheme="minorHAnsi" w:hAnsiTheme="minorHAnsi" w:cs="Arial"/>
                <w:sz w:val="20"/>
                <w:szCs w:val="20"/>
              </w:rPr>
              <w:t>)</w:t>
            </w:r>
          </w:p>
        </w:tc>
      </w:tr>
      <w:tr w:rsidR="00747AEB" w:rsidRPr="00E40E5F" w14:paraId="5EDDA69C" w14:textId="77777777" w:rsidTr="003B7755">
        <w:tc>
          <w:tcPr>
            <w:tcW w:w="6494" w:type="dxa"/>
            <w:vAlign w:val="bottom"/>
          </w:tcPr>
          <w:p w14:paraId="467FB9E1" w14:textId="4D8C7C24" w:rsidR="00747AEB" w:rsidRPr="00E40E5F" w:rsidRDefault="00747AEB" w:rsidP="00747AEB">
            <w:pPr>
              <w:rPr>
                <w:rFonts w:asciiTheme="minorHAnsi" w:hAnsiTheme="minorHAnsi" w:cs="Arial"/>
                <w:sz w:val="20"/>
                <w:szCs w:val="20"/>
              </w:rPr>
            </w:pPr>
            <w:r w:rsidRPr="00E40E5F">
              <w:rPr>
                <w:rFonts w:asciiTheme="minorHAnsi" w:hAnsiTheme="minorHAnsi" w:cs="Arial"/>
                <w:sz w:val="20"/>
                <w:szCs w:val="20"/>
              </w:rPr>
              <w:t>Basic</w:t>
            </w:r>
            <w:r>
              <w:rPr>
                <w:rFonts w:asciiTheme="minorHAnsi" w:hAnsiTheme="minorHAnsi" w:cs="Arial"/>
                <w:sz w:val="20"/>
                <w:szCs w:val="20"/>
              </w:rPr>
              <w:t xml:space="preserve"> </w:t>
            </w:r>
            <w:r w:rsidR="00394B40">
              <w:rPr>
                <w:rFonts w:asciiTheme="minorHAnsi" w:hAnsiTheme="minorHAnsi" w:cs="Arial"/>
                <w:sz w:val="20"/>
                <w:szCs w:val="20"/>
              </w:rPr>
              <w:t>–</w:t>
            </w:r>
            <w:r>
              <w:rPr>
                <w:rFonts w:asciiTheme="minorHAnsi" w:hAnsiTheme="minorHAnsi" w:cs="Arial"/>
                <w:sz w:val="20"/>
                <w:szCs w:val="20"/>
              </w:rPr>
              <w:t xml:space="preserve"> Group</w:t>
            </w:r>
          </w:p>
        </w:tc>
        <w:tc>
          <w:tcPr>
            <w:tcW w:w="1085" w:type="dxa"/>
            <w:vAlign w:val="bottom"/>
          </w:tcPr>
          <w:p w14:paraId="2D0AC468" w14:textId="152C2E12" w:rsidR="00747AEB" w:rsidRPr="00E40E5F" w:rsidRDefault="00B63C40" w:rsidP="00747AEB">
            <w:pPr>
              <w:jc w:val="right"/>
              <w:rPr>
                <w:rFonts w:asciiTheme="minorHAnsi" w:hAnsiTheme="minorHAnsi" w:cs="Arial"/>
                <w:sz w:val="20"/>
                <w:szCs w:val="20"/>
              </w:rPr>
            </w:pPr>
            <w:r>
              <w:rPr>
                <w:rFonts w:asciiTheme="minorHAnsi" w:hAnsiTheme="minorHAnsi" w:cs="Arial"/>
                <w:sz w:val="20"/>
                <w:szCs w:val="20"/>
              </w:rPr>
              <w:t>7</w:t>
            </w:r>
          </w:p>
        </w:tc>
        <w:tc>
          <w:tcPr>
            <w:tcW w:w="1172" w:type="dxa"/>
            <w:tcBorders>
              <w:top w:val="single" w:sz="4" w:space="0" w:color="auto"/>
              <w:left w:val="nil"/>
              <w:right w:val="nil"/>
            </w:tcBorders>
            <w:shd w:val="clear" w:color="auto" w:fill="F2F2F2" w:themeFill="background1" w:themeFillShade="F2"/>
            <w:vAlign w:val="bottom"/>
          </w:tcPr>
          <w:p w14:paraId="111D9131" w14:textId="782D26A9" w:rsidR="00747AEB" w:rsidRPr="00E40E5F" w:rsidRDefault="00B71F2C" w:rsidP="00747AEB">
            <w:pPr>
              <w:jc w:val="right"/>
              <w:rPr>
                <w:rFonts w:asciiTheme="minorHAnsi" w:hAnsiTheme="minorHAnsi" w:cs="Arial"/>
                <w:b/>
                <w:sz w:val="20"/>
                <w:szCs w:val="20"/>
              </w:rPr>
            </w:pPr>
            <w:r>
              <w:rPr>
                <w:rFonts w:asciiTheme="minorHAnsi" w:hAnsiTheme="minorHAnsi" w:cs="Arial"/>
                <w:b/>
                <w:sz w:val="20"/>
                <w:szCs w:val="20"/>
              </w:rPr>
              <w:t>2.2</w:t>
            </w:r>
          </w:p>
        </w:tc>
        <w:tc>
          <w:tcPr>
            <w:tcW w:w="1172" w:type="dxa"/>
            <w:tcBorders>
              <w:top w:val="single" w:sz="4" w:space="0" w:color="auto"/>
              <w:left w:val="nil"/>
              <w:right w:val="nil"/>
            </w:tcBorders>
            <w:vAlign w:val="bottom"/>
          </w:tcPr>
          <w:p w14:paraId="3657BC40" w14:textId="1A6D7A9B" w:rsidR="00747AEB" w:rsidRPr="00B87FBB" w:rsidRDefault="00747AEB" w:rsidP="00747AEB">
            <w:pPr>
              <w:jc w:val="right"/>
              <w:rPr>
                <w:rFonts w:asciiTheme="minorHAnsi" w:hAnsiTheme="minorHAnsi" w:cs="Arial"/>
                <w:sz w:val="20"/>
                <w:szCs w:val="20"/>
              </w:rPr>
            </w:pPr>
            <w:r w:rsidRPr="00B87FBB">
              <w:rPr>
                <w:rFonts w:asciiTheme="minorHAnsi" w:hAnsiTheme="minorHAnsi" w:cs="Arial"/>
                <w:sz w:val="20"/>
                <w:szCs w:val="20"/>
              </w:rPr>
              <w:t>(</w:t>
            </w:r>
            <w:r>
              <w:rPr>
                <w:rFonts w:asciiTheme="minorHAnsi" w:hAnsiTheme="minorHAnsi" w:cs="Arial"/>
                <w:sz w:val="20"/>
                <w:szCs w:val="20"/>
              </w:rPr>
              <w:t>14.1</w:t>
            </w:r>
            <w:r w:rsidRPr="00B87FBB">
              <w:rPr>
                <w:rFonts w:asciiTheme="minorHAnsi" w:hAnsiTheme="minorHAnsi" w:cs="Arial"/>
                <w:sz w:val="20"/>
                <w:szCs w:val="20"/>
              </w:rPr>
              <w:t>)</w:t>
            </w:r>
          </w:p>
        </w:tc>
      </w:tr>
      <w:tr w:rsidR="00747AEB" w:rsidRPr="00E40E5F" w14:paraId="74AA2F0A" w14:textId="77777777" w:rsidTr="003B7755">
        <w:tc>
          <w:tcPr>
            <w:tcW w:w="6494" w:type="dxa"/>
            <w:vAlign w:val="bottom"/>
          </w:tcPr>
          <w:p w14:paraId="764B759C" w14:textId="370332C0" w:rsidR="00747AEB" w:rsidRPr="00E40E5F" w:rsidRDefault="00747AEB" w:rsidP="00747AEB">
            <w:pPr>
              <w:rPr>
                <w:rFonts w:asciiTheme="minorHAnsi" w:hAnsiTheme="minorHAnsi" w:cs="Arial"/>
                <w:sz w:val="20"/>
                <w:szCs w:val="20"/>
              </w:rPr>
            </w:pPr>
            <w:r w:rsidRPr="00E40E5F">
              <w:rPr>
                <w:rFonts w:asciiTheme="minorHAnsi" w:hAnsiTheme="minorHAnsi" w:cs="Arial"/>
                <w:sz w:val="20"/>
                <w:szCs w:val="20"/>
              </w:rPr>
              <w:t>Diluted</w:t>
            </w:r>
            <w:r>
              <w:rPr>
                <w:rFonts w:asciiTheme="minorHAnsi" w:hAnsiTheme="minorHAnsi" w:cs="Arial"/>
                <w:sz w:val="20"/>
                <w:szCs w:val="20"/>
              </w:rPr>
              <w:t xml:space="preserve"> - Group </w:t>
            </w:r>
            <w:r w:rsidRPr="00E40E5F">
              <w:rPr>
                <w:rFonts w:asciiTheme="minorHAnsi" w:hAnsiTheme="minorHAnsi" w:cs="Arial"/>
                <w:sz w:val="20"/>
                <w:szCs w:val="20"/>
              </w:rPr>
              <w:t xml:space="preserve">                                                       </w:t>
            </w:r>
          </w:p>
        </w:tc>
        <w:tc>
          <w:tcPr>
            <w:tcW w:w="1085" w:type="dxa"/>
            <w:vAlign w:val="bottom"/>
          </w:tcPr>
          <w:p w14:paraId="47EBE432" w14:textId="5AF01F4F" w:rsidR="00747AEB" w:rsidRPr="00E40E5F" w:rsidRDefault="00B63C40" w:rsidP="00747AEB">
            <w:pPr>
              <w:jc w:val="right"/>
              <w:rPr>
                <w:rFonts w:asciiTheme="minorHAnsi" w:hAnsiTheme="minorHAnsi" w:cs="Arial"/>
                <w:sz w:val="20"/>
                <w:szCs w:val="20"/>
              </w:rPr>
            </w:pPr>
            <w:r>
              <w:rPr>
                <w:rFonts w:asciiTheme="minorHAnsi" w:hAnsiTheme="minorHAnsi" w:cs="Arial"/>
                <w:sz w:val="20"/>
                <w:szCs w:val="20"/>
              </w:rPr>
              <w:t>7</w:t>
            </w:r>
          </w:p>
        </w:tc>
        <w:tc>
          <w:tcPr>
            <w:tcW w:w="1172" w:type="dxa"/>
            <w:tcBorders>
              <w:left w:val="nil"/>
              <w:bottom w:val="single" w:sz="12" w:space="0" w:color="auto"/>
              <w:right w:val="nil"/>
            </w:tcBorders>
            <w:shd w:val="clear" w:color="auto" w:fill="F2F2F2" w:themeFill="background1" w:themeFillShade="F2"/>
            <w:vAlign w:val="bottom"/>
          </w:tcPr>
          <w:p w14:paraId="3F9E3C30" w14:textId="0ABB6C13" w:rsidR="00747AEB" w:rsidRPr="00E40E5F" w:rsidRDefault="0085356C" w:rsidP="00747AEB">
            <w:pPr>
              <w:jc w:val="right"/>
              <w:rPr>
                <w:rFonts w:asciiTheme="minorHAnsi" w:hAnsiTheme="minorHAnsi" w:cs="Arial"/>
                <w:b/>
                <w:sz w:val="20"/>
                <w:szCs w:val="20"/>
              </w:rPr>
            </w:pPr>
            <w:r>
              <w:rPr>
                <w:rFonts w:asciiTheme="minorHAnsi" w:hAnsiTheme="minorHAnsi" w:cs="Arial"/>
                <w:b/>
                <w:sz w:val="20"/>
                <w:szCs w:val="20"/>
              </w:rPr>
              <w:t>2.1</w:t>
            </w:r>
          </w:p>
        </w:tc>
        <w:tc>
          <w:tcPr>
            <w:tcW w:w="1172" w:type="dxa"/>
            <w:tcBorders>
              <w:left w:val="nil"/>
              <w:bottom w:val="single" w:sz="12" w:space="0" w:color="auto"/>
              <w:right w:val="nil"/>
            </w:tcBorders>
            <w:vAlign w:val="bottom"/>
          </w:tcPr>
          <w:p w14:paraId="3477D81A" w14:textId="750556EF" w:rsidR="00747AEB" w:rsidRPr="00B87FBB" w:rsidRDefault="00747AEB" w:rsidP="00747AEB">
            <w:pPr>
              <w:jc w:val="right"/>
              <w:rPr>
                <w:rFonts w:asciiTheme="minorHAnsi" w:hAnsiTheme="minorHAnsi" w:cs="Arial"/>
                <w:sz w:val="20"/>
                <w:szCs w:val="20"/>
              </w:rPr>
            </w:pPr>
            <w:r w:rsidRPr="00B87FBB">
              <w:rPr>
                <w:rFonts w:asciiTheme="minorHAnsi" w:hAnsiTheme="minorHAnsi" w:cs="Arial"/>
                <w:sz w:val="20"/>
                <w:szCs w:val="20"/>
              </w:rPr>
              <w:t>(</w:t>
            </w:r>
            <w:r>
              <w:rPr>
                <w:rFonts w:asciiTheme="minorHAnsi" w:hAnsiTheme="minorHAnsi" w:cs="Arial"/>
                <w:sz w:val="20"/>
                <w:szCs w:val="20"/>
              </w:rPr>
              <w:t>14.1</w:t>
            </w:r>
            <w:r w:rsidRPr="00B87FBB">
              <w:rPr>
                <w:rFonts w:asciiTheme="minorHAnsi" w:hAnsiTheme="minorHAnsi" w:cs="Arial"/>
                <w:sz w:val="20"/>
                <w:szCs w:val="20"/>
              </w:rPr>
              <w:t>)</w:t>
            </w:r>
          </w:p>
        </w:tc>
      </w:tr>
    </w:tbl>
    <w:p w14:paraId="0EBD5EDF" w14:textId="77777777" w:rsidR="00E616C9" w:rsidRPr="00E40E5F" w:rsidRDefault="00E616C9" w:rsidP="00E616C9">
      <w:pPr>
        <w:rPr>
          <w:rFonts w:asciiTheme="minorHAnsi" w:hAnsiTheme="minorHAnsi" w:cs="Poppins-Light"/>
          <w:sz w:val="20"/>
          <w:szCs w:val="20"/>
        </w:rPr>
      </w:pPr>
    </w:p>
    <w:p w14:paraId="302FBDB4" w14:textId="77777777" w:rsidR="00E616C9" w:rsidRPr="00E40E5F" w:rsidRDefault="00E616C9" w:rsidP="00E616C9">
      <w:pPr>
        <w:rPr>
          <w:rFonts w:asciiTheme="minorHAnsi" w:hAnsiTheme="minorHAnsi" w:cs="Arial"/>
          <w:b/>
          <w:bCs/>
          <w:color w:val="4747FF"/>
          <w:sz w:val="22"/>
          <w:szCs w:val="22"/>
          <w:lang w:val="en-US"/>
        </w:rPr>
      </w:pPr>
      <w:r w:rsidRPr="00E40E5F">
        <w:rPr>
          <w:rFonts w:asciiTheme="minorHAnsi" w:hAnsiTheme="minorHAnsi" w:cs="Arial"/>
          <w:b/>
          <w:bCs/>
          <w:color w:val="4747FF"/>
          <w:sz w:val="22"/>
          <w:szCs w:val="22"/>
          <w:lang w:val="en-US"/>
        </w:rPr>
        <w:t>Dividends per share</w:t>
      </w:r>
    </w:p>
    <w:tbl>
      <w:tblPr>
        <w:tblW w:w="9923" w:type="dxa"/>
        <w:tblLook w:val="0000" w:firstRow="0" w:lastRow="0" w:firstColumn="0" w:lastColumn="0" w:noHBand="0" w:noVBand="0"/>
      </w:tblPr>
      <w:tblGrid>
        <w:gridCol w:w="6494"/>
        <w:gridCol w:w="1085"/>
        <w:gridCol w:w="1172"/>
        <w:gridCol w:w="1172"/>
      </w:tblGrid>
      <w:tr w:rsidR="00E616C9" w:rsidRPr="00E40E5F" w14:paraId="3EE8319D" w14:textId="77777777" w:rsidTr="003B7755">
        <w:tc>
          <w:tcPr>
            <w:tcW w:w="6494" w:type="dxa"/>
            <w:vAlign w:val="bottom"/>
          </w:tcPr>
          <w:p w14:paraId="328D5E8F" w14:textId="77777777" w:rsidR="00E616C9" w:rsidRPr="00E40E5F" w:rsidRDefault="00E616C9">
            <w:pPr>
              <w:rPr>
                <w:rFonts w:asciiTheme="minorHAnsi" w:hAnsiTheme="minorHAnsi" w:cs="Arial"/>
                <w:b/>
                <w:sz w:val="20"/>
                <w:szCs w:val="20"/>
              </w:rPr>
            </w:pPr>
          </w:p>
        </w:tc>
        <w:tc>
          <w:tcPr>
            <w:tcW w:w="1085" w:type="dxa"/>
            <w:vAlign w:val="bottom"/>
          </w:tcPr>
          <w:p w14:paraId="74716851" w14:textId="77777777" w:rsidR="00E616C9" w:rsidRPr="00E40E5F" w:rsidRDefault="00E616C9">
            <w:pPr>
              <w:jc w:val="right"/>
              <w:rPr>
                <w:rFonts w:asciiTheme="minorHAnsi" w:hAnsiTheme="minorHAnsi" w:cs="Arial"/>
                <w:sz w:val="20"/>
                <w:szCs w:val="20"/>
              </w:rPr>
            </w:pPr>
            <w:r w:rsidRPr="00E40E5F">
              <w:rPr>
                <w:rFonts w:asciiTheme="minorHAnsi" w:hAnsiTheme="minorHAnsi" w:cs="Arial"/>
                <w:sz w:val="20"/>
                <w:szCs w:val="20"/>
              </w:rPr>
              <w:t>Note</w:t>
            </w:r>
          </w:p>
        </w:tc>
        <w:tc>
          <w:tcPr>
            <w:tcW w:w="1172" w:type="dxa"/>
            <w:shd w:val="clear" w:color="auto" w:fill="F2F2F2" w:themeFill="background1" w:themeFillShade="F2"/>
          </w:tcPr>
          <w:p w14:paraId="6D5E1334" w14:textId="77777777" w:rsidR="005B20BD" w:rsidRDefault="00E616C9">
            <w:pPr>
              <w:jc w:val="right"/>
              <w:rPr>
                <w:rFonts w:asciiTheme="minorHAnsi" w:hAnsiTheme="minorHAnsi" w:cs="Arial"/>
                <w:b/>
                <w:bCs/>
                <w:sz w:val="20"/>
                <w:szCs w:val="20"/>
              </w:rPr>
            </w:pPr>
            <w:r w:rsidRPr="00E40E5F">
              <w:rPr>
                <w:rFonts w:asciiTheme="minorHAnsi" w:hAnsiTheme="minorHAnsi" w:cs="Arial"/>
                <w:b/>
                <w:bCs/>
                <w:sz w:val="20"/>
                <w:szCs w:val="20"/>
              </w:rPr>
              <w:t>202</w:t>
            </w:r>
            <w:r w:rsidR="00BD2D56">
              <w:rPr>
                <w:rFonts w:asciiTheme="minorHAnsi" w:hAnsiTheme="minorHAnsi" w:cs="Arial"/>
                <w:b/>
                <w:bCs/>
                <w:sz w:val="20"/>
                <w:szCs w:val="20"/>
              </w:rPr>
              <w:t>5</w:t>
            </w:r>
          </w:p>
          <w:p w14:paraId="3DBBD97F" w14:textId="30BA26FD" w:rsidR="00E616C9" w:rsidRPr="00E40E5F" w:rsidRDefault="005B20BD">
            <w:pPr>
              <w:jc w:val="right"/>
              <w:rPr>
                <w:rFonts w:asciiTheme="minorHAnsi" w:hAnsiTheme="minorHAnsi" w:cs="Arial"/>
                <w:b/>
                <w:sz w:val="20"/>
                <w:szCs w:val="20"/>
              </w:rPr>
            </w:pPr>
            <w:r w:rsidRPr="007F7783">
              <w:rPr>
                <w:rFonts w:asciiTheme="minorHAnsi" w:hAnsiTheme="minorHAnsi" w:cs="Arial"/>
                <w:b/>
                <w:sz w:val="20"/>
                <w:szCs w:val="20"/>
              </w:rPr>
              <w:t>unaudited</w:t>
            </w:r>
            <w:r w:rsidR="00E616C9" w:rsidRPr="00E40E5F">
              <w:rPr>
                <w:rFonts w:asciiTheme="minorHAnsi" w:hAnsiTheme="minorHAnsi" w:cs="Arial"/>
                <w:b/>
                <w:bCs/>
                <w:sz w:val="20"/>
                <w:szCs w:val="20"/>
              </w:rPr>
              <w:t> </w:t>
            </w:r>
          </w:p>
        </w:tc>
        <w:tc>
          <w:tcPr>
            <w:tcW w:w="1172" w:type="dxa"/>
          </w:tcPr>
          <w:p w14:paraId="3FCBB464" w14:textId="77777777" w:rsidR="00E616C9" w:rsidRDefault="00E616C9">
            <w:pPr>
              <w:jc w:val="right"/>
              <w:rPr>
                <w:rFonts w:asciiTheme="minorHAnsi" w:hAnsiTheme="minorHAnsi" w:cs="Arial"/>
                <w:sz w:val="20"/>
                <w:szCs w:val="20"/>
              </w:rPr>
            </w:pPr>
            <w:r w:rsidRPr="00E40E5F">
              <w:rPr>
                <w:rFonts w:asciiTheme="minorHAnsi" w:hAnsiTheme="minorHAnsi" w:cs="Arial"/>
                <w:sz w:val="20"/>
                <w:szCs w:val="20"/>
              </w:rPr>
              <w:t>202</w:t>
            </w:r>
            <w:r w:rsidR="00BD2D56">
              <w:rPr>
                <w:rFonts w:asciiTheme="minorHAnsi" w:hAnsiTheme="minorHAnsi" w:cs="Arial"/>
                <w:sz w:val="20"/>
                <w:szCs w:val="20"/>
              </w:rPr>
              <w:t>4</w:t>
            </w:r>
          </w:p>
          <w:p w14:paraId="6A93B088" w14:textId="5998762A" w:rsidR="00E616C9" w:rsidRPr="00E40E5F" w:rsidRDefault="005B20BD">
            <w:pPr>
              <w:jc w:val="right"/>
              <w:rPr>
                <w:rFonts w:asciiTheme="minorHAnsi" w:hAnsiTheme="minorHAnsi" w:cs="Arial"/>
                <w:sz w:val="20"/>
                <w:szCs w:val="20"/>
              </w:rPr>
            </w:pPr>
            <w:r w:rsidRPr="00CA3EDF">
              <w:rPr>
                <w:rFonts w:asciiTheme="minorHAnsi" w:hAnsiTheme="minorHAnsi" w:cs="Arial"/>
                <w:bCs/>
                <w:sz w:val="20"/>
                <w:szCs w:val="20"/>
              </w:rPr>
              <w:t>unaudited</w:t>
            </w:r>
          </w:p>
        </w:tc>
      </w:tr>
      <w:tr w:rsidR="00E616C9" w:rsidRPr="00E40E5F" w14:paraId="64614D28" w14:textId="77777777" w:rsidTr="003B7755">
        <w:tc>
          <w:tcPr>
            <w:tcW w:w="6494" w:type="dxa"/>
            <w:vAlign w:val="bottom"/>
          </w:tcPr>
          <w:p w14:paraId="6CC43690" w14:textId="77777777" w:rsidR="00E616C9" w:rsidRPr="00E40E5F" w:rsidRDefault="00E616C9">
            <w:pPr>
              <w:rPr>
                <w:rFonts w:asciiTheme="minorHAnsi" w:hAnsiTheme="minorHAnsi" w:cs="Arial"/>
                <w:b/>
                <w:sz w:val="20"/>
                <w:szCs w:val="20"/>
              </w:rPr>
            </w:pPr>
          </w:p>
        </w:tc>
        <w:tc>
          <w:tcPr>
            <w:tcW w:w="1085" w:type="dxa"/>
            <w:vAlign w:val="bottom"/>
          </w:tcPr>
          <w:p w14:paraId="3E6E2D0C" w14:textId="77777777" w:rsidR="00E616C9" w:rsidRPr="00E40E5F" w:rsidRDefault="00E616C9">
            <w:pPr>
              <w:jc w:val="right"/>
              <w:rPr>
                <w:rFonts w:asciiTheme="minorHAnsi" w:hAnsiTheme="minorHAnsi" w:cs="Arial"/>
                <w:sz w:val="20"/>
                <w:szCs w:val="20"/>
              </w:rPr>
            </w:pPr>
          </w:p>
        </w:tc>
        <w:tc>
          <w:tcPr>
            <w:tcW w:w="1172" w:type="dxa"/>
            <w:tcBorders>
              <w:bottom w:val="single" w:sz="4" w:space="0" w:color="auto"/>
            </w:tcBorders>
            <w:shd w:val="clear" w:color="auto" w:fill="F2F2F2" w:themeFill="background1" w:themeFillShade="F2"/>
          </w:tcPr>
          <w:p w14:paraId="23C2ED38" w14:textId="77777777" w:rsidR="00E616C9" w:rsidRPr="00E40E5F" w:rsidRDefault="00E616C9">
            <w:pPr>
              <w:jc w:val="right"/>
              <w:rPr>
                <w:rFonts w:asciiTheme="minorHAnsi" w:hAnsiTheme="minorHAnsi" w:cs="Arial"/>
                <w:b/>
                <w:sz w:val="20"/>
                <w:szCs w:val="20"/>
              </w:rPr>
            </w:pPr>
            <w:r w:rsidRPr="00E40E5F">
              <w:rPr>
                <w:rFonts w:asciiTheme="minorHAnsi" w:hAnsiTheme="minorHAnsi" w:cs="Arial"/>
                <w:b/>
                <w:sz w:val="20"/>
                <w:szCs w:val="20"/>
              </w:rPr>
              <w:t>pence </w:t>
            </w:r>
          </w:p>
        </w:tc>
        <w:tc>
          <w:tcPr>
            <w:tcW w:w="1172" w:type="dxa"/>
            <w:tcBorders>
              <w:bottom w:val="single" w:sz="4" w:space="0" w:color="auto"/>
            </w:tcBorders>
          </w:tcPr>
          <w:p w14:paraId="0813383E" w14:textId="77777777" w:rsidR="00E616C9" w:rsidRPr="00E40E5F" w:rsidRDefault="00E616C9">
            <w:pPr>
              <w:jc w:val="right"/>
              <w:rPr>
                <w:rFonts w:asciiTheme="minorHAnsi" w:hAnsiTheme="minorHAnsi" w:cs="Arial"/>
                <w:sz w:val="20"/>
                <w:szCs w:val="20"/>
              </w:rPr>
            </w:pPr>
            <w:r w:rsidRPr="00E40E5F">
              <w:rPr>
                <w:rFonts w:asciiTheme="minorHAnsi" w:hAnsiTheme="minorHAnsi" w:cs="Arial"/>
                <w:sz w:val="20"/>
                <w:szCs w:val="20"/>
              </w:rPr>
              <w:t>pence </w:t>
            </w:r>
          </w:p>
        </w:tc>
      </w:tr>
      <w:tr w:rsidR="00E616C9" w:rsidRPr="00E40E5F" w14:paraId="5B7DBC0B" w14:textId="77777777" w:rsidTr="00EC4EE4">
        <w:tc>
          <w:tcPr>
            <w:tcW w:w="6494" w:type="dxa"/>
            <w:vAlign w:val="bottom"/>
          </w:tcPr>
          <w:p w14:paraId="03D9DEF0" w14:textId="77777777" w:rsidR="00E616C9" w:rsidRPr="00E40E5F" w:rsidRDefault="00E616C9" w:rsidP="00E616C9">
            <w:pPr>
              <w:rPr>
                <w:rFonts w:asciiTheme="minorHAnsi" w:hAnsiTheme="minorHAnsi" w:cs="Arial"/>
                <w:sz w:val="20"/>
                <w:szCs w:val="20"/>
              </w:rPr>
            </w:pPr>
            <w:r w:rsidRPr="00E40E5F">
              <w:rPr>
                <w:rFonts w:asciiTheme="minorHAnsi" w:hAnsiTheme="minorHAnsi" w:cs="Arial"/>
                <w:sz w:val="20"/>
                <w:szCs w:val="20"/>
              </w:rPr>
              <w:t xml:space="preserve">Interim dividend                                    </w:t>
            </w:r>
          </w:p>
        </w:tc>
        <w:tc>
          <w:tcPr>
            <w:tcW w:w="1085" w:type="dxa"/>
            <w:vAlign w:val="bottom"/>
          </w:tcPr>
          <w:p w14:paraId="584A43C6" w14:textId="4FFE2C6E" w:rsidR="00E616C9" w:rsidRPr="00E40E5F" w:rsidRDefault="002E22F1" w:rsidP="00E616C9">
            <w:pPr>
              <w:jc w:val="right"/>
              <w:rPr>
                <w:rFonts w:asciiTheme="minorHAnsi" w:hAnsiTheme="minorHAnsi" w:cs="Arial"/>
                <w:sz w:val="20"/>
                <w:szCs w:val="20"/>
              </w:rPr>
            </w:pPr>
            <w:r w:rsidRPr="00E40E5F">
              <w:rPr>
                <w:rFonts w:asciiTheme="minorHAnsi" w:hAnsiTheme="minorHAnsi" w:cs="Arial"/>
                <w:sz w:val="20"/>
                <w:szCs w:val="20"/>
              </w:rPr>
              <w:t>8</w:t>
            </w:r>
          </w:p>
        </w:tc>
        <w:tc>
          <w:tcPr>
            <w:tcW w:w="1172" w:type="dxa"/>
            <w:tcBorders>
              <w:top w:val="single" w:sz="4" w:space="0" w:color="auto"/>
              <w:left w:val="nil"/>
              <w:bottom w:val="single" w:sz="12" w:space="0" w:color="auto"/>
              <w:right w:val="nil"/>
            </w:tcBorders>
            <w:shd w:val="clear" w:color="auto" w:fill="F2F2F2" w:themeFill="background1" w:themeFillShade="F2"/>
            <w:vAlign w:val="bottom"/>
          </w:tcPr>
          <w:p w14:paraId="3416F1AD" w14:textId="516BF68A" w:rsidR="00E616C9" w:rsidRPr="00E40E5F" w:rsidRDefault="000D6B4B" w:rsidP="00E616C9">
            <w:pPr>
              <w:jc w:val="right"/>
              <w:rPr>
                <w:rFonts w:asciiTheme="minorHAnsi" w:hAnsiTheme="minorHAnsi" w:cs="Arial"/>
                <w:b/>
                <w:sz w:val="20"/>
                <w:szCs w:val="20"/>
              </w:rPr>
            </w:pPr>
            <w:r w:rsidRPr="00E40E5F">
              <w:rPr>
                <w:rFonts w:asciiTheme="minorHAnsi" w:hAnsiTheme="minorHAnsi" w:cs="Arial"/>
                <w:b/>
                <w:sz w:val="20"/>
                <w:szCs w:val="20"/>
              </w:rPr>
              <w:t>-</w:t>
            </w:r>
          </w:p>
        </w:tc>
        <w:tc>
          <w:tcPr>
            <w:tcW w:w="1172" w:type="dxa"/>
            <w:tcBorders>
              <w:top w:val="single" w:sz="4" w:space="0" w:color="auto"/>
              <w:left w:val="nil"/>
              <w:bottom w:val="single" w:sz="12" w:space="0" w:color="auto"/>
              <w:right w:val="nil"/>
            </w:tcBorders>
            <w:vAlign w:val="bottom"/>
          </w:tcPr>
          <w:p w14:paraId="6F423F27" w14:textId="2B32FF31" w:rsidR="00E616C9" w:rsidRPr="00C30050" w:rsidRDefault="003C6DE0" w:rsidP="00E616C9">
            <w:pPr>
              <w:jc w:val="right"/>
              <w:rPr>
                <w:rFonts w:asciiTheme="minorHAnsi" w:hAnsiTheme="minorHAnsi" w:cs="Arial"/>
                <w:bCs/>
                <w:sz w:val="20"/>
                <w:szCs w:val="20"/>
              </w:rPr>
            </w:pPr>
            <w:r w:rsidRPr="00C30050">
              <w:rPr>
                <w:rFonts w:asciiTheme="minorHAnsi" w:hAnsiTheme="minorHAnsi" w:cs="Arial"/>
                <w:bCs/>
                <w:sz w:val="20"/>
                <w:szCs w:val="20"/>
              </w:rPr>
              <w:t>-</w:t>
            </w:r>
          </w:p>
        </w:tc>
      </w:tr>
      <w:tr w:rsidR="00E616C9" w:rsidRPr="00701439" w14:paraId="6D3F984A" w14:textId="77777777" w:rsidTr="00EC4EE4">
        <w:tc>
          <w:tcPr>
            <w:tcW w:w="6494" w:type="dxa"/>
            <w:vAlign w:val="bottom"/>
          </w:tcPr>
          <w:p w14:paraId="01A3DC06" w14:textId="323C9DCB" w:rsidR="00E616C9" w:rsidRPr="00E40E5F" w:rsidRDefault="00DC5686" w:rsidP="00E616C9">
            <w:pPr>
              <w:rPr>
                <w:rFonts w:asciiTheme="minorHAnsi" w:hAnsiTheme="minorHAnsi" w:cs="Arial"/>
                <w:sz w:val="20"/>
                <w:szCs w:val="20"/>
              </w:rPr>
            </w:pPr>
            <w:r>
              <w:rPr>
                <w:rFonts w:asciiTheme="minorHAnsi" w:hAnsiTheme="minorHAnsi" w:cs="Arial"/>
                <w:sz w:val="20"/>
                <w:szCs w:val="20"/>
              </w:rPr>
              <w:t>Paid in the period</w:t>
            </w:r>
            <w:r w:rsidR="00B63C40">
              <w:rPr>
                <w:rFonts w:asciiTheme="minorHAnsi" w:hAnsiTheme="minorHAnsi" w:cs="Arial"/>
                <w:sz w:val="20"/>
                <w:szCs w:val="20"/>
              </w:rPr>
              <w:t xml:space="preserve"> – 2023 final</w:t>
            </w:r>
          </w:p>
        </w:tc>
        <w:tc>
          <w:tcPr>
            <w:tcW w:w="1085" w:type="dxa"/>
            <w:vAlign w:val="bottom"/>
          </w:tcPr>
          <w:p w14:paraId="063C867C" w14:textId="24B8DA75" w:rsidR="00E616C9" w:rsidRPr="00E40E5F" w:rsidRDefault="002E22F1" w:rsidP="00E616C9">
            <w:pPr>
              <w:jc w:val="right"/>
              <w:rPr>
                <w:rFonts w:asciiTheme="minorHAnsi" w:hAnsiTheme="minorHAnsi" w:cs="Arial"/>
                <w:sz w:val="20"/>
                <w:szCs w:val="20"/>
              </w:rPr>
            </w:pPr>
            <w:r w:rsidRPr="00E40E5F">
              <w:rPr>
                <w:rFonts w:asciiTheme="minorHAnsi" w:hAnsiTheme="minorHAnsi" w:cs="Arial"/>
                <w:sz w:val="20"/>
                <w:szCs w:val="20"/>
              </w:rPr>
              <w:t>8</w:t>
            </w:r>
          </w:p>
        </w:tc>
        <w:tc>
          <w:tcPr>
            <w:tcW w:w="1172" w:type="dxa"/>
            <w:tcBorders>
              <w:top w:val="single" w:sz="12" w:space="0" w:color="auto"/>
              <w:left w:val="nil"/>
              <w:bottom w:val="single" w:sz="12" w:space="0" w:color="auto"/>
              <w:right w:val="nil"/>
            </w:tcBorders>
            <w:shd w:val="clear" w:color="auto" w:fill="F2F2F2" w:themeFill="background1" w:themeFillShade="F2"/>
            <w:vAlign w:val="bottom"/>
          </w:tcPr>
          <w:p w14:paraId="5AFFEE48" w14:textId="1F085965" w:rsidR="00E616C9" w:rsidRPr="0091034A" w:rsidRDefault="000D6B4B" w:rsidP="00E616C9">
            <w:pPr>
              <w:jc w:val="right"/>
              <w:rPr>
                <w:rFonts w:asciiTheme="minorHAnsi" w:hAnsiTheme="minorHAnsi" w:cs="Arial"/>
                <w:b/>
                <w:sz w:val="20"/>
                <w:szCs w:val="20"/>
                <w:lang w:val="en-US"/>
              </w:rPr>
            </w:pPr>
            <w:r w:rsidRPr="0091034A">
              <w:rPr>
                <w:rFonts w:asciiTheme="minorHAnsi" w:hAnsiTheme="minorHAnsi" w:cs="Arial"/>
                <w:b/>
                <w:sz w:val="20"/>
                <w:szCs w:val="20"/>
                <w:lang w:val="en-US"/>
              </w:rPr>
              <w:t>-</w:t>
            </w:r>
          </w:p>
        </w:tc>
        <w:tc>
          <w:tcPr>
            <w:tcW w:w="1172" w:type="dxa"/>
            <w:tcBorders>
              <w:top w:val="single" w:sz="12" w:space="0" w:color="auto"/>
              <w:left w:val="nil"/>
              <w:bottom w:val="single" w:sz="12" w:space="0" w:color="auto"/>
              <w:right w:val="nil"/>
            </w:tcBorders>
            <w:vAlign w:val="bottom"/>
          </w:tcPr>
          <w:p w14:paraId="27651E13" w14:textId="1CBF5545" w:rsidR="00E616C9" w:rsidRPr="0091034A" w:rsidRDefault="00A72F5B" w:rsidP="00E616C9">
            <w:pPr>
              <w:jc w:val="right"/>
              <w:rPr>
                <w:rFonts w:asciiTheme="minorHAnsi" w:hAnsiTheme="minorHAnsi" w:cs="Arial"/>
                <w:b/>
                <w:sz w:val="20"/>
                <w:szCs w:val="20"/>
                <w:lang w:val="en-US"/>
              </w:rPr>
            </w:pPr>
            <w:r w:rsidRPr="0091034A">
              <w:rPr>
                <w:rFonts w:asciiTheme="minorHAnsi" w:hAnsiTheme="minorHAnsi" w:cs="Arial"/>
                <w:b/>
                <w:sz w:val="20"/>
                <w:szCs w:val="20"/>
                <w:lang w:val="en-US"/>
              </w:rPr>
              <w:t>1.0</w:t>
            </w:r>
          </w:p>
        </w:tc>
      </w:tr>
    </w:tbl>
    <w:p w14:paraId="3BC24379" w14:textId="77777777" w:rsidR="00E616C9" w:rsidRPr="00701439" w:rsidRDefault="00E616C9" w:rsidP="00E616C9">
      <w:pPr>
        <w:rPr>
          <w:rFonts w:asciiTheme="minorHAnsi" w:hAnsiTheme="minorHAnsi" w:cs="Arial"/>
          <w:bCs/>
          <w:sz w:val="20"/>
          <w:szCs w:val="20"/>
          <w:lang w:val="en-US"/>
        </w:rPr>
      </w:pPr>
    </w:p>
    <w:p w14:paraId="26A344B6" w14:textId="5110BCA7" w:rsidR="00E616C9" w:rsidRPr="00701439" w:rsidRDefault="00E616C9" w:rsidP="00E616C9">
      <w:pPr>
        <w:rPr>
          <w:rFonts w:asciiTheme="minorHAnsi" w:hAnsiTheme="minorHAnsi" w:cs="Arial"/>
          <w:bCs/>
          <w:sz w:val="20"/>
          <w:szCs w:val="20"/>
          <w:lang w:val="en-US"/>
        </w:rPr>
      </w:pPr>
      <w:r w:rsidRPr="00701439">
        <w:rPr>
          <w:rFonts w:asciiTheme="minorHAnsi" w:hAnsiTheme="minorHAnsi" w:cs="Arial"/>
          <w:bCs/>
          <w:sz w:val="20"/>
          <w:szCs w:val="20"/>
          <w:lang w:val="en-US"/>
        </w:rPr>
        <w:t xml:space="preserve">The total </w:t>
      </w:r>
      <w:r w:rsidR="00D250DC">
        <w:rPr>
          <w:rFonts w:asciiTheme="minorHAnsi" w:hAnsiTheme="minorHAnsi" w:cs="Arial"/>
          <w:bCs/>
          <w:sz w:val="20"/>
          <w:szCs w:val="20"/>
          <w:lang w:val="en-US"/>
        </w:rPr>
        <w:t>amount</w:t>
      </w:r>
      <w:r w:rsidRPr="00701439">
        <w:rPr>
          <w:rFonts w:asciiTheme="minorHAnsi" w:hAnsiTheme="minorHAnsi" w:cs="Arial"/>
          <w:bCs/>
          <w:sz w:val="20"/>
          <w:szCs w:val="20"/>
          <w:lang w:val="en-US"/>
        </w:rPr>
        <w:t xml:space="preserve"> of dividends paid in the </w:t>
      </w:r>
      <w:r w:rsidR="003C6DE0">
        <w:rPr>
          <w:rFonts w:asciiTheme="minorHAnsi" w:hAnsiTheme="minorHAnsi" w:cs="Arial"/>
          <w:bCs/>
          <w:sz w:val="20"/>
          <w:szCs w:val="20"/>
          <w:lang w:val="en-US"/>
        </w:rPr>
        <w:t>period</w:t>
      </w:r>
      <w:r w:rsidRPr="00701439">
        <w:rPr>
          <w:rFonts w:asciiTheme="minorHAnsi" w:hAnsiTheme="minorHAnsi" w:cs="Arial"/>
          <w:bCs/>
          <w:sz w:val="20"/>
          <w:szCs w:val="20"/>
          <w:lang w:val="en-US"/>
        </w:rPr>
        <w:t xml:space="preserve"> </w:t>
      </w:r>
      <w:r w:rsidRPr="0047566B">
        <w:rPr>
          <w:rFonts w:asciiTheme="minorHAnsi" w:hAnsiTheme="minorHAnsi" w:cs="Arial"/>
          <w:bCs/>
          <w:sz w:val="20"/>
          <w:szCs w:val="20"/>
          <w:lang w:val="en-US"/>
        </w:rPr>
        <w:t xml:space="preserve">was </w:t>
      </w:r>
      <w:r w:rsidRPr="0047566B">
        <w:rPr>
          <w:rFonts w:asciiTheme="minorHAnsi" w:hAnsiTheme="minorHAnsi" w:cs="Arial"/>
          <w:sz w:val="20"/>
          <w:szCs w:val="20"/>
          <w:lang w:val="en-US"/>
        </w:rPr>
        <w:t>£</w:t>
      </w:r>
      <w:r w:rsidR="003C6DE0">
        <w:rPr>
          <w:rFonts w:asciiTheme="minorHAnsi" w:hAnsiTheme="minorHAnsi" w:cs="Arial"/>
          <w:sz w:val="20"/>
          <w:szCs w:val="20"/>
          <w:lang w:val="en-US"/>
        </w:rPr>
        <w:t>nil</w:t>
      </w:r>
      <w:r w:rsidRPr="0047566B">
        <w:rPr>
          <w:rFonts w:asciiTheme="minorHAnsi" w:hAnsiTheme="minorHAnsi" w:cs="Arial"/>
          <w:bCs/>
          <w:sz w:val="20"/>
          <w:szCs w:val="20"/>
          <w:lang w:val="en-US"/>
        </w:rPr>
        <w:t xml:space="preserve"> (</w:t>
      </w:r>
      <w:r w:rsidR="00877125" w:rsidRPr="00877125">
        <w:rPr>
          <w:rFonts w:asciiTheme="minorHAnsi" w:hAnsiTheme="minorHAnsi" w:cs="Arial"/>
          <w:bCs/>
          <w:sz w:val="20"/>
          <w:szCs w:val="20"/>
          <w:lang w:val="en-US"/>
        </w:rPr>
        <w:t>1H24</w:t>
      </w:r>
      <w:r w:rsidRPr="00877125">
        <w:rPr>
          <w:rFonts w:asciiTheme="minorHAnsi" w:hAnsiTheme="minorHAnsi" w:cs="Arial"/>
          <w:sz w:val="20"/>
          <w:szCs w:val="20"/>
          <w:lang w:val="en-US"/>
        </w:rPr>
        <w:t>: £</w:t>
      </w:r>
      <w:r w:rsidR="000D6B4B" w:rsidRPr="00877125">
        <w:rPr>
          <w:rFonts w:asciiTheme="minorHAnsi" w:hAnsiTheme="minorHAnsi" w:cs="Arial"/>
          <w:sz w:val="20"/>
          <w:szCs w:val="20"/>
          <w:lang w:val="en-US"/>
        </w:rPr>
        <w:t>2.5</w:t>
      </w:r>
      <w:r w:rsidR="005C52F7" w:rsidRPr="00877125">
        <w:rPr>
          <w:rFonts w:asciiTheme="minorHAnsi" w:hAnsiTheme="minorHAnsi" w:cs="Arial"/>
          <w:sz w:val="20"/>
          <w:szCs w:val="20"/>
          <w:lang w:val="en-US"/>
        </w:rPr>
        <w:t>m</w:t>
      </w:r>
      <w:r w:rsidRPr="00701439">
        <w:rPr>
          <w:rFonts w:asciiTheme="minorHAnsi" w:hAnsiTheme="minorHAnsi" w:cs="Arial"/>
          <w:bCs/>
          <w:sz w:val="20"/>
          <w:szCs w:val="20"/>
          <w:lang w:val="en-US"/>
        </w:rPr>
        <w:t>).</w:t>
      </w:r>
    </w:p>
    <w:p w14:paraId="160ED82E" w14:textId="77777777" w:rsidR="000D6B4B" w:rsidRDefault="000D6B4B" w:rsidP="00A1425C">
      <w:pPr>
        <w:rPr>
          <w:rFonts w:asciiTheme="minorHAnsi" w:hAnsiTheme="minorHAnsi" w:cs="Arial"/>
          <w:b/>
          <w:color w:val="4747FF"/>
          <w:sz w:val="22"/>
          <w:szCs w:val="22"/>
        </w:rPr>
      </w:pPr>
    </w:p>
    <w:p w14:paraId="14425884" w14:textId="4B1C33F3" w:rsidR="00BD2D56" w:rsidRDefault="00642155">
      <w:pPr>
        <w:rPr>
          <w:rFonts w:asciiTheme="minorHAnsi" w:hAnsiTheme="minorHAnsi" w:cs="Arial"/>
          <w:bCs/>
          <w:sz w:val="20"/>
          <w:szCs w:val="20"/>
          <w:lang w:val="en-US"/>
        </w:rPr>
      </w:pPr>
      <w:r w:rsidRPr="00642155">
        <w:rPr>
          <w:rFonts w:asciiTheme="minorHAnsi" w:hAnsiTheme="minorHAnsi" w:cs="Arial"/>
          <w:bCs/>
          <w:sz w:val="20"/>
          <w:szCs w:val="20"/>
          <w:vertAlign w:val="superscript"/>
          <w:lang w:val="en-US"/>
        </w:rPr>
        <w:t>1</w:t>
      </w:r>
      <w:r>
        <w:rPr>
          <w:rFonts w:asciiTheme="minorHAnsi" w:hAnsiTheme="minorHAnsi" w:cs="Arial"/>
          <w:bCs/>
          <w:sz w:val="20"/>
          <w:szCs w:val="20"/>
          <w:lang w:val="en-US"/>
        </w:rPr>
        <w:t xml:space="preserve"> Refer to accounting policies for details of representation</w:t>
      </w:r>
    </w:p>
    <w:p w14:paraId="6DBFF013" w14:textId="77777777" w:rsidR="000A2B9C" w:rsidRDefault="000A2B9C">
      <w:pPr>
        <w:rPr>
          <w:rFonts w:asciiTheme="minorHAnsi" w:hAnsiTheme="minorHAnsi" w:cs="Arial"/>
          <w:b/>
          <w:color w:val="4747FF"/>
          <w:sz w:val="22"/>
          <w:szCs w:val="22"/>
        </w:rPr>
      </w:pPr>
    </w:p>
    <w:p w14:paraId="5F015835" w14:textId="52882731" w:rsidR="00A1425C" w:rsidRPr="00701439" w:rsidRDefault="00A1425C" w:rsidP="00A1425C">
      <w:pPr>
        <w:rPr>
          <w:rFonts w:asciiTheme="minorHAnsi" w:hAnsiTheme="minorHAnsi" w:cs="Arial"/>
          <w:b/>
          <w:color w:val="4747FF"/>
          <w:sz w:val="22"/>
          <w:szCs w:val="22"/>
        </w:rPr>
      </w:pPr>
      <w:r w:rsidRPr="00701439">
        <w:rPr>
          <w:rFonts w:asciiTheme="minorHAnsi" w:hAnsiTheme="minorHAnsi" w:cs="Arial"/>
          <w:b/>
          <w:color w:val="4747FF"/>
          <w:sz w:val="22"/>
          <w:szCs w:val="22"/>
        </w:rPr>
        <w:t>Consolidated balance sheets</w:t>
      </w:r>
    </w:p>
    <w:p w14:paraId="51A1C198" w14:textId="77777777" w:rsidR="00A1425C" w:rsidRPr="00701439" w:rsidRDefault="00A1425C" w:rsidP="00A1425C">
      <w:pPr>
        <w:rPr>
          <w:rFonts w:asciiTheme="minorHAnsi" w:hAnsiTheme="minorHAnsi" w:cs="Arial"/>
          <w:b/>
          <w:sz w:val="20"/>
          <w:szCs w:val="20"/>
        </w:rPr>
      </w:pPr>
    </w:p>
    <w:tbl>
      <w:tblPr>
        <w:tblW w:w="10146" w:type="dxa"/>
        <w:tblLook w:val="0000" w:firstRow="0" w:lastRow="0" w:firstColumn="0" w:lastColumn="0" w:noHBand="0" w:noVBand="0"/>
      </w:tblPr>
      <w:tblGrid>
        <w:gridCol w:w="4678"/>
        <w:gridCol w:w="1217"/>
        <w:gridCol w:w="1417"/>
        <w:gridCol w:w="1477"/>
        <w:gridCol w:w="1357"/>
      </w:tblGrid>
      <w:tr w:rsidR="00A1425C" w:rsidRPr="00085AA2" w14:paraId="6C767DCD" w14:textId="77777777" w:rsidTr="003B7755">
        <w:trPr>
          <w:trHeight w:val="142"/>
        </w:trPr>
        <w:tc>
          <w:tcPr>
            <w:tcW w:w="4678" w:type="dxa"/>
          </w:tcPr>
          <w:p w14:paraId="458CC3FA" w14:textId="77777777" w:rsidR="00A1425C" w:rsidRPr="00085AA2" w:rsidRDefault="00A1425C">
            <w:pPr>
              <w:rPr>
                <w:rFonts w:asciiTheme="minorHAnsi" w:hAnsiTheme="minorHAnsi" w:cs="Arial"/>
                <w:sz w:val="20"/>
                <w:szCs w:val="20"/>
              </w:rPr>
            </w:pPr>
          </w:p>
        </w:tc>
        <w:tc>
          <w:tcPr>
            <w:tcW w:w="1217" w:type="dxa"/>
          </w:tcPr>
          <w:p w14:paraId="44472CE8" w14:textId="77777777" w:rsidR="00A1425C" w:rsidRPr="00085AA2" w:rsidRDefault="00A1425C">
            <w:pPr>
              <w:jc w:val="right"/>
              <w:rPr>
                <w:rFonts w:asciiTheme="minorHAnsi" w:hAnsiTheme="minorHAnsi" w:cs="Arial"/>
                <w:sz w:val="20"/>
                <w:szCs w:val="20"/>
              </w:rPr>
            </w:pPr>
            <w:r w:rsidRPr="00085AA2">
              <w:rPr>
                <w:rFonts w:asciiTheme="minorHAnsi" w:hAnsiTheme="minorHAnsi" w:cs="Arial"/>
                <w:sz w:val="20"/>
                <w:szCs w:val="20"/>
              </w:rPr>
              <w:t>Note</w:t>
            </w:r>
          </w:p>
        </w:tc>
        <w:tc>
          <w:tcPr>
            <w:tcW w:w="1417" w:type="dxa"/>
            <w:shd w:val="clear" w:color="auto" w:fill="F2F2F2" w:themeFill="background1" w:themeFillShade="F2"/>
          </w:tcPr>
          <w:p w14:paraId="79928703" w14:textId="7B5CF559" w:rsidR="00A1425C" w:rsidRPr="00736FA8" w:rsidRDefault="00A1425C">
            <w:pPr>
              <w:jc w:val="right"/>
              <w:rPr>
                <w:rFonts w:asciiTheme="minorHAnsi" w:hAnsiTheme="minorHAnsi" w:cs="Arial"/>
                <w:b/>
                <w:sz w:val="20"/>
                <w:szCs w:val="20"/>
                <w:lang w:val="fr-FR"/>
              </w:rPr>
            </w:pPr>
            <w:r w:rsidRPr="00736FA8">
              <w:rPr>
                <w:rFonts w:asciiTheme="minorHAnsi" w:hAnsiTheme="minorHAnsi" w:cs="Arial"/>
                <w:b/>
                <w:sz w:val="20"/>
                <w:szCs w:val="20"/>
                <w:lang w:val="fr-FR"/>
              </w:rPr>
              <w:t>3</w:t>
            </w:r>
            <w:r w:rsidR="00BD2D56">
              <w:rPr>
                <w:rFonts w:asciiTheme="minorHAnsi" w:hAnsiTheme="minorHAnsi" w:cs="Arial"/>
                <w:b/>
                <w:sz w:val="20"/>
                <w:szCs w:val="20"/>
                <w:lang w:val="fr-FR"/>
              </w:rPr>
              <w:t>0 June</w:t>
            </w:r>
          </w:p>
          <w:p w14:paraId="0BD561E9" w14:textId="77777777" w:rsidR="00A1425C" w:rsidRDefault="00A1425C">
            <w:pPr>
              <w:jc w:val="right"/>
              <w:rPr>
                <w:rFonts w:asciiTheme="minorHAnsi" w:hAnsiTheme="minorHAnsi" w:cs="Arial"/>
                <w:b/>
                <w:sz w:val="20"/>
                <w:szCs w:val="20"/>
                <w:lang w:val="fr-FR"/>
              </w:rPr>
            </w:pPr>
            <w:r w:rsidRPr="00736FA8">
              <w:rPr>
                <w:rFonts w:asciiTheme="minorHAnsi" w:hAnsiTheme="minorHAnsi" w:cs="Arial"/>
                <w:b/>
                <w:sz w:val="20"/>
                <w:szCs w:val="20"/>
                <w:lang w:val="fr-FR"/>
              </w:rPr>
              <w:t>202</w:t>
            </w:r>
            <w:r w:rsidR="00BD2D56">
              <w:rPr>
                <w:rFonts w:asciiTheme="minorHAnsi" w:hAnsiTheme="minorHAnsi" w:cs="Arial"/>
                <w:b/>
                <w:sz w:val="20"/>
                <w:szCs w:val="20"/>
                <w:lang w:val="fr-FR"/>
              </w:rPr>
              <w:t>5</w:t>
            </w:r>
          </w:p>
          <w:p w14:paraId="055269EA" w14:textId="74CDF7C0" w:rsidR="00A1425C" w:rsidRPr="00736FA8" w:rsidRDefault="00D546DD">
            <w:pPr>
              <w:jc w:val="right"/>
              <w:rPr>
                <w:rFonts w:asciiTheme="minorHAnsi" w:hAnsiTheme="minorHAnsi" w:cs="Arial"/>
                <w:b/>
                <w:sz w:val="20"/>
                <w:szCs w:val="20"/>
                <w:lang w:val="fr-FR"/>
              </w:rPr>
            </w:pPr>
            <w:r w:rsidRPr="007F7783">
              <w:rPr>
                <w:rFonts w:asciiTheme="minorHAnsi" w:hAnsiTheme="minorHAnsi" w:cs="Arial"/>
                <w:b/>
                <w:sz w:val="20"/>
                <w:szCs w:val="20"/>
              </w:rPr>
              <w:t>unaudited</w:t>
            </w:r>
          </w:p>
        </w:tc>
        <w:tc>
          <w:tcPr>
            <w:tcW w:w="1477" w:type="dxa"/>
          </w:tcPr>
          <w:p w14:paraId="6A5689F2" w14:textId="77777777" w:rsidR="00A1425C" w:rsidRDefault="00A1425C">
            <w:pPr>
              <w:jc w:val="right"/>
              <w:rPr>
                <w:rFonts w:asciiTheme="minorHAnsi" w:hAnsiTheme="minorHAnsi" w:cs="Arial"/>
                <w:sz w:val="20"/>
                <w:szCs w:val="20"/>
                <w:lang w:val="fr-FR"/>
              </w:rPr>
            </w:pPr>
            <w:r w:rsidRPr="00085AA2">
              <w:rPr>
                <w:rFonts w:asciiTheme="minorHAnsi" w:hAnsiTheme="minorHAnsi" w:cs="Arial"/>
                <w:sz w:val="20"/>
                <w:szCs w:val="20"/>
                <w:lang w:val="fr-FR"/>
              </w:rPr>
              <w:t xml:space="preserve">31 </w:t>
            </w:r>
            <w:proofErr w:type="spellStart"/>
            <w:r w:rsidRPr="00085AA2">
              <w:rPr>
                <w:rFonts w:asciiTheme="minorHAnsi" w:hAnsiTheme="minorHAnsi" w:cs="Arial"/>
                <w:sz w:val="20"/>
                <w:szCs w:val="20"/>
                <w:lang w:val="fr-FR"/>
              </w:rPr>
              <w:t>December</w:t>
            </w:r>
            <w:proofErr w:type="spellEnd"/>
            <w:r w:rsidRPr="00085AA2">
              <w:rPr>
                <w:rFonts w:asciiTheme="minorHAnsi" w:hAnsiTheme="minorHAnsi" w:cs="Arial"/>
                <w:sz w:val="20"/>
                <w:szCs w:val="20"/>
                <w:lang w:val="fr-FR"/>
              </w:rPr>
              <w:t xml:space="preserve"> 202</w:t>
            </w:r>
            <w:r w:rsidR="00BD2D56">
              <w:rPr>
                <w:rFonts w:asciiTheme="minorHAnsi" w:hAnsiTheme="minorHAnsi" w:cs="Arial"/>
                <w:sz w:val="20"/>
                <w:szCs w:val="20"/>
                <w:lang w:val="fr-FR"/>
              </w:rPr>
              <w:t>4</w:t>
            </w:r>
            <w:r w:rsidRPr="00085AA2">
              <w:rPr>
                <w:rFonts w:asciiTheme="minorHAnsi" w:hAnsiTheme="minorHAnsi" w:cs="Arial"/>
                <w:sz w:val="20"/>
                <w:szCs w:val="20"/>
                <w:lang w:val="fr-FR"/>
              </w:rPr>
              <w:t xml:space="preserve"> </w:t>
            </w:r>
          </w:p>
          <w:p w14:paraId="45B5F82B" w14:textId="26FF99DF" w:rsidR="00A1425C" w:rsidRPr="00085AA2" w:rsidRDefault="00D546DD">
            <w:pPr>
              <w:jc w:val="right"/>
              <w:rPr>
                <w:rFonts w:asciiTheme="minorHAnsi" w:hAnsiTheme="minorHAnsi" w:cs="Arial"/>
                <w:sz w:val="20"/>
                <w:szCs w:val="20"/>
                <w:lang w:val="fr-FR"/>
              </w:rPr>
            </w:pPr>
            <w:proofErr w:type="spellStart"/>
            <w:r>
              <w:rPr>
                <w:rFonts w:asciiTheme="minorHAnsi" w:hAnsiTheme="minorHAnsi" w:cs="Arial"/>
                <w:sz w:val="20"/>
                <w:szCs w:val="20"/>
                <w:lang w:val="fr-FR"/>
              </w:rPr>
              <w:t>audited</w:t>
            </w:r>
            <w:proofErr w:type="spellEnd"/>
          </w:p>
        </w:tc>
        <w:tc>
          <w:tcPr>
            <w:tcW w:w="1357" w:type="dxa"/>
          </w:tcPr>
          <w:p w14:paraId="3ABD26C1" w14:textId="77777777" w:rsidR="00BD2D56" w:rsidRDefault="00BD2D56">
            <w:pPr>
              <w:jc w:val="right"/>
              <w:rPr>
                <w:rFonts w:asciiTheme="minorHAnsi" w:hAnsiTheme="minorHAnsi" w:cs="Arial"/>
                <w:sz w:val="20"/>
                <w:szCs w:val="20"/>
                <w:lang w:val="fr-FR"/>
              </w:rPr>
            </w:pPr>
            <w:r>
              <w:rPr>
                <w:rFonts w:asciiTheme="minorHAnsi" w:hAnsiTheme="minorHAnsi" w:cs="Arial"/>
                <w:sz w:val="20"/>
                <w:szCs w:val="20"/>
                <w:lang w:val="fr-FR"/>
              </w:rPr>
              <w:t>30 June</w:t>
            </w:r>
          </w:p>
          <w:p w14:paraId="1BC7984A" w14:textId="77777777" w:rsidR="00D546DD" w:rsidRDefault="00BD2D56">
            <w:pPr>
              <w:jc w:val="right"/>
              <w:rPr>
                <w:rFonts w:asciiTheme="minorHAnsi" w:hAnsiTheme="minorHAnsi" w:cs="Arial"/>
                <w:sz w:val="20"/>
                <w:szCs w:val="20"/>
                <w:lang w:val="fr-FR"/>
              </w:rPr>
            </w:pPr>
            <w:r>
              <w:rPr>
                <w:rFonts w:asciiTheme="minorHAnsi" w:hAnsiTheme="minorHAnsi" w:cs="Arial"/>
                <w:sz w:val="20"/>
                <w:szCs w:val="20"/>
                <w:lang w:val="fr-FR"/>
              </w:rPr>
              <w:t>2024</w:t>
            </w:r>
          </w:p>
          <w:p w14:paraId="70FE725E" w14:textId="7D3DC8E2" w:rsidR="00A1425C" w:rsidRPr="00F95473" w:rsidRDefault="00D546DD">
            <w:pPr>
              <w:jc w:val="right"/>
              <w:rPr>
                <w:rFonts w:asciiTheme="minorHAnsi" w:hAnsiTheme="minorHAnsi" w:cs="Arial"/>
                <w:sz w:val="20"/>
                <w:szCs w:val="20"/>
                <w:lang w:val="fr-FR"/>
              </w:rPr>
            </w:pPr>
            <w:r w:rsidRPr="00CA3EDF">
              <w:rPr>
                <w:rFonts w:asciiTheme="minorHAnsi" w:hAnsiTheme="minorHAnsi" w:cs="Arial"/>
                <w:bCs/>
                <w:sz w:val="20"/>
                <w:szCs w:val="20"/>
              </w:rPr>
              <w:t>unaudited</w:t>
            </w:r>
            <w:r w:rsidR="00A1425C" w:rsidRPr="00F95473">
              <w:rPr>
                <w:rFonts w:asciiTheme="minorHAnsi" w:hAnsiTheme="minorHAnsi" w:cs="Arial"/>
                <w:sz w:val="20"/>
                <w:szCs w:val="20"/>
                <w:lang w:val="fr-FR"/>
              </w:rPr>
              <w:t xml:space="preserve"> </w:t>
            </w:r>
          </w:p>
        </w:tc>
      </w:tr>
      <w:tr w:rsidR="00A1425C" w:rsidRPr="00085AA2" w14:paraId="68B6460E" w14:textId="77777777" w:rsidTr="003B7755">
        <w:trPr>
          <w:trHeight w:val="142"/>
        </w:trPr>
        <w:tc>
          <w:tcPr>
            <w:tcW w:w="4678" w:type="dxa"/>
          </w:tcPr>
          <w:p w14:paraId="18C512D8" w14:textId="77777777" w:rsidR="00A1425C" w:rsidRPr="00085AA2" w:rsidRDefault="00A1425C">
            <w:pPr>
              <w:rPr>
                <w:rFonts w:asciiTheme="minorHAnsi" w:hAnsiTheme="minorHAnsi" w:cs="Arial"/>
                <w:sz w:val="20"/>
                <w:szCs w:val="20"/>
                <w:lang w:val="fr-FR"/>
              </w:rPr>
            </w:pPr>
          </w:p>
        </w:tc>
        <w:tc>
          <w:tcPr>
            <w:tcW w:w="1217" w:type="dxa"/>
          </w:tcPr>
          <w:p w14:paraId="5B709533" w14:textId="77777777" w:rsidR="00A1425C" w:rsidRPr="00085AA2" w:rsidRDefault="00A1425C">
            <w:pPr>
              <w:jc w:val="right"/>
              <w:rPr>
                <w:rFonts w:asciiTheme="minorHAnsi" w:hAnsiTheme="minorHAnsi" w:cs="Arial"/>
                <w:sz w:val="20"/>
                <w:szCs w:val="20"/>
                <w:lang w:val="fr-FR"/>
              </w:rPr>
            </w:pPr>
          </w:p>
        </w:tc>
        <w:tc>
          <w:tcPr>
            <w:tcW w:w="1417" w:type="dxa"/>
            <w:tcBorders>
              <w:top w:val="nil"/>
              <w:left w:val="nil"/>
              <w:bottom w:val="single" w:sz="4" w:space="0" w:color="auto"/>
              <w:right w:val="nil"/>
            </w:tcBorders>
            <w:shd w:val="clear" w:color="auto" w:fill="F2F2F2" w:themeFill="background1" w:themeFillShade="F2"/>
          </w:tcPr>
          <w:p w14:paraId="0918B03B" w14:textId="77777777" w:rsidR="00A1425C" w:rsidRPr="00736FA8" w:rsidRDefault="00A1425C">
            <w:pPr>
              <w:jc w:val="right"/>
              <w:rPr>
                <w:rFonts w:asciiTheme="minorHAnsi" w:hAnsiTheme="minorHAnsi" w:cs="Arial"/>
                <w:b/>
                <w:sz w:val="20"/>
                <w:szCs w:val="20"/>
                <w:lang w:val="fr-FR"/>
              </w:rPr>
            </w:pPr>
            <w:r w:rsidRPr="00736FA8">
              <w:rPr>
                <w:rFonts w:asciiTheme="minorHAnsi" w:hAnsiTheme="minorHAnsi" w:cs="Arial"/>
                <w:b/>
                <w:sz w:val="20"/>
                <w:szCs w:val="20"/>
                <w:lang w:val="fr-FR"/>
              </w:rPr>
              <w:t>£m </w:t>
            </w:r>
          </w:p>
        </w:tc>
        <w:tc>
          <w:tcPr>
            <w:tcW w:w="1477" w:type="dxa"/>
            <w:tcBorders>
              <w:top w:val="nil"/>
              <w:left w:val="nil"/>
              <w:bottom w:val="single" w:sz="4" w:space="0" w:color="auto"/>
              <w:right w:val="nil"/>
            </w:tcBorders>
          </w:tcPr>
          <w:p w14:paraId="132D6DBA" w14:textId="77777777" w:rsidR="00A1425C" w:rsidRPr="00085AA2" w:rsidRDefault="00A1425C">
            <w:pPr>
              <w:jc w:val="right"/>
              <w:rPr>
                <w:rFonts w:asciiTheme="minorHAnsi" w:hAnsiTheme="minorHAnsi" w:cs="Arial"/>
                <w:sz w:val="20"/>
                <w:szCs w:val="20"/>
                <w:lang w:val="fr-FR"/>
              </w:rPr>
            </w:pPr>
            <w:r w:rsidRPr="00085AA2">
              <w:rPr>
                <w:rFonts w:asciiTheme="minorHAnsi" w:hAnsiTheme="minorHAnsi" w:cs="Arial"/>
                <w:sz w:val="20"/>
                <w:szCs w:val="20"/>
                <w:lang w:val="fr-FR"/>
              </w:rPr>
              <w:t>£m </w:t>
            </w:r>
          </w:p>
        </w:tc>
        <w:tc>
          <w:tcPr>
            <w:tcW w:w="1357" w:type="dxa"/>
            <w:tcBorders>
              <w:top w:val="nil"/>
              <w:left w:val="nil"/>
              <w:bottom w:val="single" w:sz="4" w:space="0" w:color="auto"/>
              <w:right w:val="nil"/>
            </w:tcBorders>
          </w:tcPr>
          <w:p w14:paraId="50D72514" w14:textId="77777777" w:rsidR="00A1425C" w:rsidRPr="00F95473" w:rsidRDefault="00A1425C">
            <w:pPr>
              <w:jc w:val="right"/>
              <w:rPr>
                <w:rFonts w:asciiTheme="minorHAnsi" w:hAnsiTheme="minorHAnsi" w:cs="Arial"/>
                <w:sz w:val="20"/>
                <w:szCs w:val="20"/>
                <w:lang w:val="fr-FR"/>
              </w:rPr>
            </w:pPr>
            <w:r w:rsidRPr="00F95473">
              <w:rPr>
                <w:rFonts w:asciiTheme="minorHAnsi" w:hAnsiTheme="minorHAnsi" w:cs="Arial"/>
                <w:sz w:val="20"/>
                <w:szCs w:val="20"/>
                <w:lang w:val="fr-FR"/>
              </w:rPr>
              <w:t>£m</w:t>
            </w:r>
          </w:p>
        </w:tc>
      </w:tr>
      <w:tr w:rsidR="00A1425C" w:rsidRPr="00085AA2" w14:paraId="0F7F8C6A" w14:textId="77777777" w:rsidTr="003B7755">
        <w:trPr>
          <w:trHeight w:val="142"/>
        </w:trPr>
        <w:tc>
          <w:tcPr>
            <w:tcW w:w="4678" w:type="dxa"/>
            <w:vAlign w:val="bottom"/>
          </w:tcPr>
          <w:p w14:paraId="33AA8677" w14:textId="77777777" w:rsidR="00A1425C" w:rsidRPr="00085AA2" w:rsidRDefault="00A1425C">
            <w:pPr>
              <w:rPr>
                <w:rFonts w:asciiTheme="minorHAnsi" w:hAnsiTheme="minorHAnsi" w:cs="Arial"/>
                <w:b/>
                <w:sz w:val="20"/>
                <w:szCs w:val="20"/>
                <w:lang w:val="fr-FR"/>
              </w:rPr>
            </w:pPr>
            <w:r w:rsidRPr="00085AA2">
              <w:rPr>
                <w:rFonts w:asciiTheme="minorHAnsi" w:hAnsiTheme="minorHAnsi" w:cs="Arial"/>
                <w:b/>
                <w:sz w:val="20"/>
                <w:szCs w:val="20"/>
              </w:rPr>
              <w:t>ASSETS</w:t>
            </w:r>
          </w:p>
        </w:tc>
        <w:tc>
          <w:tcPr>
            <w:tcW w:w="1217" w:type="dxa"/>
          </w:tcPr>
          <w:p w14:paraId="2FF554FB" w14:textId="77777777" w:rsidR="00A1425C" w:rsidRPr="00085AA2" w:rsidRDefault="00A1425C">
            <w:pPr>
              <w:jc w:val="right"/>
              <w:rPr>
                <w:rFonts w:asciiTheme="minorHAnsi" w:hAnsiTheme="minorHAnsi" w:cs="Arial"/>
                <w:sz w:val="20"/>
                <w:szCs w:val="20"/>
                <w:lang w:val="fr-FR"/>
              </w:rPr>
            </w:pPr>
          </w:p>
        </w:tc>
        <w:tc>
          <w:tcPr>
            <w:tcW w:w="1417" w:type="dxa"/>
            <w:tcBorders>
              <w:top w:val="single" w:sz="4" w:space="0" w:color="auto"/>
              <w:left w:val="nil"/>
              <w:bottom w:val="nil"/>
              <w:right w:val="nil"/>
            </w:tcBorders>
            <w:shd w:val="clear" w:color="auto" w:fill="F2F2F2" w:themeFill="background1" w:themeFillShade="F2"/>
          </w:tcPr>
          <w:p w14:paraId="71C9DB2D" w14:textId="77777777" w:rsidR="00A1425C" w:rsidRPr="00736FA8" w:rsidRDefault="00A1425C">
            <w:pPr>
              <w:jc w:val="right"/>
              <w:rPr>
                <w:rFonts w:asciiTheme="minorHAnsi" w:hAnsiTheme="minorHAnsi" w:cs="Arial"/>
                <w:b/>
                <w:sz w:val="20"/>
                <w:szCs w:val="20"/>
                <w:lang w:val="fr-FR"/>
              </w:rPr>
            </w:pPr>
          </w:p>
        </w:tc>
        <w:tc>
          <w:tcPr>
            <w:tcW w:w="1477" w:type="dxa"/>
            <w:tcBorders>
              <w:top w:val="single" w:sz="4" w:space="0" w:color="auto"/>
              <w:left w:val="nil"/>
              <w:bottom w:val="nil"/>
              <w:right w:val="nil"/>
            </w:tcBorders>
          </w:tcPr>
          <w:p w14:paraId="67EA3DD0" w14:textId="77777777" w:rsidR="00A1425C" w:rsidRPr="00085AA2" w:rsidRDefault="00A1425C">
            <w:pPr>
              <w:jc w:val="right"/>
              <w:rPr>
                <w:rFonts w:asciiTheme="minorHAnsi" w:hAnsiTheme="minorHAnsi" w:cs="Arial"/>
                <w:sz w:val="20"/>
                <w:szCs w:val="20"/>
                <w:lang w:val="fr-FR"/>
              </w:rPr>
            </w:pPr>
          </w:p>
        </w:tc>
        <w:tc>
          <w:tcPr>
            <w:tcW w:w="1357" w:type="dxa"/>
            <w:tcBorders>
              <w:top w:val="single" w:sz="4" w:space="0" w:color="auto"/>
              <w:left w:val="nil"/>
              <w:bottom w:val="nil"/>
              <w:right w:val="nil"/>
            </w:tcBorders>
          </w:tcPr>
          <w:p w14:paraId="20524721" w14:textId="77777777" w:rsidR="00A1425C" w:rsidRPr="00F116E9" w:rsidRDefault="00A1425C">
            <w:pPr>
              <w:jc w:val="right"/>
              <w:rPr>
                <w:rFonts w:asciiTheme="minorHAnsi" w:hAnsiTheme="minorHAnsi" w:cs="Arial"/>
                <w:sz w:val="20"/>
                <w:szCs w:val="20"/>
                <w:highlight w:val="yellow"/>
                <w:lang w:val="fr-FR"/>
              </w:rPr>
            </w:pPr>
          </w:p>
        </w:tc>
      </w:tr>
      <w:tr w:rsidR="00A1425C" w:rsidRPr="00230F40" w14:paraId="3FFB175F" w14:textId="77777777" w:rsidTr="003B7755">
        <w:trPr>
          <w:trHeight w:val="142"/>
        </w:trPr>
        <w:tc>
          <w:tcPr>
            <w:tcW w:w="4678" w:type="dxa"/>
            <w:vAlign w:val="bottom"/>
          </w:tcPr>
          <w:p w14:paraId="2B3A86AA" w14:textId="77777777" w:rsidR="00A1425C" w:rsidRPr="00230F40" w:rsidRDefault="00A1425C">
            <w:pPr>
              <w:rPr>
                <w:rFonts w:asciiTheme="minorHAnsi" w:hAnsiTheme="minorHAnsi" w:cs="Arial"/>
                <w:b/>
                <w:sz w:val="20"/>
                <w:szCs w:val="20"/>
                <w:lang w:val="fr-FR"/>
              </w:rPr>
            </w:pPr>
            <w:r w:rsidRPr="00230F40">
              <w:rPr>
                <w:rFonts w:asciiTheme="minorHAnsi" w:hAnsiTheme="minorHAnsi" w:cs="Arial"/>
                <w:sz w:val="20"/>
                <w:szCs w:val="20"/>
              </w:rPr>
              <w:t>Cash and cash equivalents</w:t>
            </w:r>
          </w:p>
        </w:tc>
        <w:tc>
          <w:tcPr>
            <w:tcW w:w="1217" w:type="dxa"/>
            <w:vAlign w:val="bottom"/>
          </w:tcPr>
          <w:p w14:paraId="7F4CFE85" w14:textId="77777777" w:rsidR="00A1425C" w:rsidRPr="00230F40" w:rsidRDefault="00A1425C">
            <w:pPr>
              <w:jc w:val="right"/>
              <w:rPr>
                <w:rFonts w:asciiTheme="minorHAnsi" w:hAnsiTheme="minorHAnsi" w:cs="Arial"/>
                <w:sz w:val="20"/>
                <w:szCs w:val="20"/>
                <w:lang w:val="fr-FR"/>
              </w:rPr>
            </w:pPr>
          </w:p>
        </w:tc>
        <w:tc>
          <w:tcPr>
            <w:tcW w:w="1417" w:type="dxa"/>
            <w:shd w:val="clear" w:color="auto" w:fill="F2F2F2" w:themeFill="background1" w:themeFillShade="F2"/>
            <w:vAlign w:val="bottom"/>
          </w:tcPr>
          <w:p w14:paraId="47CD418E" w14:textId="78DEEF93" w:rsidR="00A1425C" w:rsidRPr="00230F40" w:rsidRDefault="00984A0C">
            <w:pPr>
              <w:jc w:val="right"/>
              <w:rPr>
                <w:rFonts w:asciiTheme="minorHAnsi" w:hAnsiTheme="minorHAnsi" w:cs="Arial"/>
                <w:b/>
                <w:sz w:val="20"/>
                <w:szCs w:val="20"/>
                <w:lang w:val="fr-FR"/>
              </w:rPr>
            </w:pPr>
            <w:r>
              <w:rPr>
                <w:rFonts w:asciiTheme="minorHAnsi" w:hAnsiTheme="minorHAnsi" w:cs="Arial"/>
                <w:b/>
                <w:sz w:val="20"/>
                <w:szCs w:val="20"/>
                <w:lang w:val="fr-FR"/>
              </w:rPr>
              <w:t>8</w:t>
            </w:r>
            <w:r w:rsidR="009F6EA1">
              <w:rPr>
                <w:rFonts w:asciiTheme="minorHAnsi" w:hAnsiTheme="minorHAnsi" w:cs="Arial"/>
                <w:b/>
                <w:sz w:val="20"/>
                <w:szCs w:val="20"/>
                <w:lang w:val="fr-FR"/>
              </w:rPr>
              <w:t>05</w:t>
            </w:r>
            <w:r>
              <w:rPr>
                <w:rFonts w:asciiTheme="minorHAnsi" w:hAnsiTheme="minorHAnsi" w:cs="Arial"/>
                <w:b/>
                <w:sz w:val="20"/>
                <w:szCs w:val="20"/>
                <w:lang w:val="fr-FR"/>
              </w:rPr>
              <w:t>.3</w:t>
            </w:r>
          </w:p>
        </w:tc>
        <w:tc>
          <w:tcPr>
            <w:tcW w:w="1477" w:type="dxa"/>
            <w:vAlign w:val="bottom"/>
          </w:tcPr>
          <w:p w14:paraId="2858CD90" w14:textId="64E33D18" w:rsidR="00A1425C" w:rsidRPr="00230F40" w:rsidRDefault="00F860A4">
            <w:pPr>
              <w:jc w:val="right"/>
              <w:rPr>
                <w:rFonts w:asciiTheme="minorHAnsi" w:hAnsiTheme="minorHAnsi" w:cs="Arial"/>
                <w:sz w:val="20"/>
                <w:szCs w:val="20"/>
                <w:lang w:val="fr-FR"/>
              </w:rPr>
            </w:pPr>
            <w:r w:rsidRPr="008E5803">
              <w:rPr>
                <w:rFonts w:asciiTheme="minorHAnsi" w:hAnsiTheme="minorHAnsi" w:cs="Arial"/>
                <w:bCs/>
                <w:sz w:val="20"/>
                <w:szCs w:val="20"/>
                <w:lang w:val="fr-FR"/>
              </w:rPr>
              <w:t>1,003.9</w:t>
            </w:r>
          </w:p>
        </w:tc>
        <w:tc>
          <w:tcPr>
            <w:tcW w:w="1357" w:type="dxa"/>
            <w:vAlign w:val="bottom"/>
          </w:tcPr>
          <w:p w14:paraId="71D2D325" w14:textId="27D6D97D"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772.8</w:t>
            </w:r>
          </w:p>
        </w:tc>
      </w:tr>
      <w:tr w:rsidR="005549B4" w:rsidRPr="00230F40" w14:paraId="5809029B" w14:textId="77777777">
        <w:trPr>
          <w:trHeight w:val="142"/>
        </w:trPr>
        <w:tc>
          <w:tcPr>
            <w:tcW w:w="4678" w:type="dxa"/>
            <w:vAlign w:val="bottom"/>
          </w:tcPr>
          <w:p w14:paraId="12B7B51A" w14:textId="005F8FBC" w:rsidR="005549B4" w:rsidRPr="00230F40" w:rsidRDefault="00C7568F">
            <w:pPr>
              <w:rPr>
                <w:rFonts w:asciiTheme="minorHAnsi" w:hAnsiTheme="minorHAnsi" w:cs="Arial"/>
                <w:sz w:val="20"/>
                <w:szCs w:val="20"/>
              </w:rPr>
            </w:pPr>
            <w:r>
              <w:rPr>
                <w:rFonts w:asciiTheme="minorHAnsi" w:hAnsiTheme="minorHAnsi" w:cs="Arial"/>
                <w:sz w:val="20"/>
                <w:szCs w:val="20"/>
              </w:rPr>
              <w:t>Investments held at amortised cost</w:t>
            </w:r>
          </w:p>
        </w:tc>
        <w:tc>
          <w:tcPr>
            <w:tcW w:w="1217" w:type="dxa"/>
            <w:vAlign w:val="bottom"/>
          </w:tcPr>
          <w:p w14:paraId="2CAB6B3B" w14:textId="77777777" w:rsidR="005549B4" w:rsidRPr="00230F40" w:rsidRDefault="005549B4">
            <w:pPr>
              <w:jc w:val="right"/>
              <w:rPr>
                <w:rFonts w:asciiTheme="minorHAnsi" w:hAnsiTheme="minorHAnsi" w:cs="Arial"/>
                <w:sz w:val="20"/>
                <w:szCs w:val="20"/>
                <w:lang w:val="fr-FR"/>
              </w:rPr>
            </w:pPr>
          </w:p>
        </w:tc>
        <w:tc>
          <w:tcPr>
            <w:tcW w:w="1417" w:type="dxa"/>
            <w:shd w:val="clear" w:color="auto" w:fill="F2F2F2" w:themeFill="background1" w:themeFillShade="F2"/>
            <w:vAlign w:val="bottom"/>
          </w:tcPr>
          <w:p w14:paraId="473D8688" w14:textId="7AE2183F" w:rsidR="005549B4" w:rsidRDefault="003539D2">
            <w:pPr>
              <w:jc w:val="right"/>
              <w:rPr>
                <w:rFonts w:asciiTheme="minorHAnsi" w:hAnsiTheme="minorHAnsi" w:cs="Arial"/>
                <w:b/>
                <w:sz w:val="20"/>
                <w:szCs w:val="20"/>
                <w:lang w:val="fr-FR"/>
              </w:rPr>
            </w:pPr>
            <w:r>
              <w:rPr>
                <w:rFonts w:asciiTheme="minorHAnsi" w:hAnsiTheme="minorHAnsi" w:cs="Arial"/>
                <w:b/>
                <w:sz w:val="20"/>
                <w:szCs w:val="20"/>
                <w:lang w:val="fr-FR"/>
              </w:rPr>
              <w:t>116.5</w:t>
            </w:r>
          </w:p>
        </w:tc>
        <w:tc>
          <w:tcPr>
            <w:tcW w:w="1477" w:type="dxa"/>
            <w:vAlign w:val="bottom"/>
          </w:tcPr>
          <w:p w14:paraId="1E5EEFEB" w14:textId="6D19DDC9" w:rsidR="005549B4" w:rsidRPr="008E5803" w:rsidRDefault="00C7568F">
            <w:pPr>
              <w:jc w:val="right"/>
              <w:rPr>
                <w:rFonts w:asciiTheme="minorHAnsi" w:hAnsiTheme="minorHAnsi" w:cs="Arial"/>
                <w:bCs/>
                <w:sz w:val="20"/>
                <w:szCs w:val="20"/>
                <w:lang w:val="fr-FR"/>
              </w:rPr>
            </w:pPr>
            <w:r>
              <w:rPr>
                <w:rFonts w:asciiTheme="minorHAnsi" w:hAnsiTheme="minorHAnsi" w:cs="Arial"/>
                <w:bCs/>
                <w:sz w:val="20"/>
                <w:szCs w:val="20"/>
                <w:lang w:val="fr-FR"/>
              </w:rPr>
              <w:t>-</w:t>
            </w:r>
          </w:p>
        </w:tc>
        <w:tc>
          <w:tcPr>
            <w:tcW w:w="1357" w:type="dxa"/>
            <w:vAlign w:val="bottom"/>
          </w:tcPr>
          <w:p w14:paraId="3B26BC0D" w14:textId="145E5498" w:rsidR="005549B4" w:rsidRPr="00F860A4" w:rsidRDefault="00C7568F">
            <w:pPr>
              <w:jc w:val="right"/>
              <w:rPr>
                <w:rFonts w:asciiTheme="minorHAnsi" w:hAnsiTheme="minorHAnsi" w:cs="Arial"/>
                <w:bCs/>
                <w:sz w:val="20"/>
                <w:szCs w:val="20"/>
                <w:lang w:val="fr-FR"/>
              </w:rPr>
            </w:pPr>
            <w:r>
              <w:rPr>
                <w:rFonts w:asciiTheme="minorHAnsi" w:hAnsiTheme="minorHAnsi" w:cs="Arial"/>
                <w:bCs/>
                <w:sz w:val="20"/>
                <w:szCs w:val="20"/>
                <w:lang w:val="fr-FR"/>
              </w:rPr>
              <w:t>-</w:t>
            </w:r>
          </w:p>
        </w:tc>
      </w:tr>
      <w:tr w:rsidR="00A1425C" w:rsidRPr="00230F40" w14:paraId="171F150C" w14:textId="77777777" w:rsidTr="003B7755">
        <w:trPr>
          <w:trHeight w:val="142"/>
        </w:trPr>
        <w:tc>
          <w:tcPr>
            <w:tcW w:w="4678" w:type="dxa"/>
            <w:vAlign w:val="bottom"/>
          </w:tcPr>
          <w:p w14:paraId="1EBC64C4" w14:textId="77777777" w:rsidR="00A1425C" w:rsidRPr="00230F40" w:rsidRDefault="00A1425C">
            <w:pPr>
              <w:rPr>
                <w:rFonts w:asciiTheme="minorHAnsi" w:hAnsiTheme="minorHAnsi" w:cs="Arial"/>
                <w:b/>
                <w:sz w:val="20"/>
                <w:szCs w:val="20"/>
                <w:lang w:val="fr-FR"/>
              </w:rPr>
            </w:pPr>
            <w:r w:rsidRPr="00230F40">
              <w:rPr>
                <w:rFonts w:asciiTheme="minorHAnsi" w:hAnsiTheme="minorHAnsi" w:cs="Arial"/>
                <w:sz w:val="20"/>
                <w:szCs w:val="20"/>
              </w:rPr>
              <w:t>Amounts receivable from customers</w:t>
            </w:r>
          </w:p>
        </w:tc>
        <w:tc>
          <w:tcPr>
            <w:tcW w:w="1217" w:type="dxa"/>
            <w:vAlign w:val="bottom"/>
          </w:tcPr>
          <w:p w14:paraId="3C727118" w14:textId="27A7615E" w:rsidR="00A1425C" w:rsidRPr="00230F40" w:rsidRDefault="002E22F1">
            <w:pPr>
              <w:jc w:val="right"/>
              <w:rPr>
                <w:rFonts w:asciiTheme="minorHAnsi" w:hAnsiTheme="minorHAnsi" w:cs="Arial"/>
                <w:sz w:val="20"/>
                <w:szCs w:val="20"/>
                <w:lang w:val="fr-FR"/>
              </w:rPr>
            </w:pPr>
            <w:r w:rsidRPr="00230F40">
              <w:rPr>
                <w:rFonts w:asciiTheme="minorHAnsi" w:hAnsiTheme="minorHAnsi" w:cs="Arial"/>
                <w:sz w:val="20"/>
                <w:szCs w:val="20"/>
                <w:lang w:val="fr-FR"/>
              </w:rPr>
              <w:t>9</w:t>
            </w:r>
          </w:p>
        </w:tc>
        <w:tc>
          <w:tcPr>
            <w:tcW w:w="1417" w:type="dxa"/>
            <w:shd w:val="clear" w:color="auto" w:fill="F2F2F2" w:themeFill="background1" w:themeFillShade="F2"/>
          </w:tcPr>
          <w:p w14:paraId="0D6980E9" w14:textId="77C145A0" w:rsidR="00A1425C" w:rsidRPr="00230F40" w:rsidRDefault="009E32E8">
            <w:pPr>
              <w:jc w:val="right"/>
              <w:rPr>
                <w:rFonts w:asciiTheme="minorHAnsi" w:hAnsiTheme="minorHAnsi" w:cs="Arial"/>
                <w:b/>
                <w:sz w:val="20"/>
                <w:szCs w:val="20"/>
                <w:lang w:val="fr-FR"/>
              </w:rPr>
            </w:pPr>
            <w:r>
              <w:rPr>
                <w:rFonts w:asciiTheme="minorHAnsi" w:hAnsiTheme="minorHAnsi" w:cs="Arial"/>
                <w:b/>
                <w:sz w:val="20"/>
                <w:szCs w:val="20"/>
                <w:lang w:val="fr-FR"/>
              </w:rPr>
              <w:t>2,325.</w:t>
            </w:r>
            <w:r w:rsidR="00772389">
              <w:rPr>
                <w:rFonts w:asciiTheme="minorHAnsi" w:hAnsiTheme="minorHAnsi" w:cs="Arial"/>
                <w:b/>
                <w:sz w:val="20"/>
                <w:szCs w:val="20"/>
                <w:lang w:val="fr-FR"/>
              </w:rPr>
              <w:t>1</w:t>
            </w:r>
          </w:p>
        </w:tc>
        <w:tc>
          <w:tcPr>
            <w:tcW w:w="1477" w:type="dxa"/>
          </w:tcPr>
          <w:p w14:paraId="2383204C" w14:textId="7CABBD1F" w:rsidR="00A1425C" w:rsidRPr="00230F40" w:rsidRDefault="0058318C">
            <w:pPr>
              <w:jc w:val="right"/>
              <w:rPr>
                <w:rFonts w:asciiTheme="minorHAnsi" w:hAnsiTheme="minorHAnsi" w:cs="Arial"/>
                <w:sz w:val="20"/>
                <w:szCs w:val="20"/>
                <w:lang w:val="fr-FR"/>
              </w:rPr>
            </w:pPr>
            <w:r w:rsidRPr="00230F40">
              <w:rPr>
                <w:rFonts w:asciiTheme="minorHAnsi" w:hAnsiTheme="minorHAnsi" w:cs="Arial"/>
                <w:sz w:val="20"/>
                <w:szCs w:val="20"/>
                <w:lang w:val="fr-FR"/>
              </w:rPr>
              <w:t>2,</w:t>
            </w:r>
            <w:r w:rsidR="00F860A4" w:rsidRPr="008E5803">
              <w:rPr>
                <w:rFonts w:asciiTheme="minorHAnsi" w:hAnsiTheme="minorHAnsi" w:cs="Arial"/>
                <w:bCs/>
                <w:sz w:val="20"/>
                <w:szCs w:val="20"/>
                <w:lang w:val="fr-FR"/>
              </w:rPr>
              <w:t>153.7</w:t>
            </w:r>
          </w:p>
        </w:tc>
        <w:tc>
          <w:tcPr>
            <w:tcW w:w="1357" w:type="dxa"/>
            <w:vAlign w:val="bottom"/>
          </w:tcPr>
          <w:p w14:paraId="787AB92E" w14:textId="786259C3"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2,008.5</w:t>
            </w:r>
          </w:p>
        </w:tc>
      </w:tr>
      <w:tr w:rsidR="00A1425C" w:rsidRPr="00230F40" w14:paraId="72046BF1" w14:textId="77777777" w:rsidTr="003B7755">
        <w:trPr>
          <w:trHeight w:val="142"/>
        </w:trPr>
        <w:tc>
          <w:tcPr>
            <w:tcW w:w="4678" w:type="dxa"/>
            <w:vAlign w:val="bottom"/>
          </w:tcPr>
          <w:p w14:paraId="1E77203D" w14:textId="77777777" w:rsidR="00A1425C" w:rsidRPr="00230F40" w:rsidRDefault="00A1425C">
            <w:pPr>
              <w:rPr>
                <w:rFonts w:asciiTheme="minorHAnsi" w:hAnsiTheme="minorHAnsi" w:cs="Arial"/>
                <w:b/>
                <w:sz w:val="20"/>
                <w:szCs w:val="20"/>
                <w:lang w:val="fr-FR"/>
              </w:rPr>
            </w:pPr>
            <w:r w:rsidRPr="00230F40">
              <w:rPr>
                <w:rFonts w:asciiTheme="minorHAnsi" w:hAnsiTheme="minorHAnsi" w:cs="Arial"/>
                <w:sz w:val="20"/>
                <w:szCs w:val="20"/>
              </w:rPr>
              <w:t>Trade and other receivables</w:t>
            </w:r>
          </w:p>
        </w:tc>
        <w:tc>
          <w:tcPr>
            <w:tcW w:w="1217" w:type="dxa"/>
            <w:vAlign w:val="bottom"/>
          </w:tcPr>
          <w:p w14:paraId="5B1C8473" w14:textId="77777777" w:rsidR="00A1425C" w:rsidRPr="00230F40" w:rsidRDefault="00A1425C">
            <w:pPr>
              <w:jc w:val="right"/>
              <w:rPr>
                <w:rFonts w:asciiTheme="minorHAnsi" w:hAnsiTheme="minorHAnsi" w:cs="Arial"/>
                <w:sz w:val="20"/>
                <w:szCs w:val="20"/>
                <w:lang w:val="fr-FR"/>
              </w:rPr>
            </w:pPr>
          </w:p>
        </w:tc>
        <w:tc>
          <w:tcPr>
            <w:tcW w:w="1417" w:type="dxa"/>
            <w:shd w:val="clear" w:color="auto" w:fill="F2F2F2" w:themeFill="background1" w:themeFillShade="F2"/>
          </w:tcPr>
          <w:p w14:paraId="701203C5" w14:textId="1B99C1A8" w:rsidR="00A1425C" w:rsidRPr="00230F40" w:rsidRDefault="000E196A">
            <w:pPr>
              <w:jc w:val="right"/>
              <w:rPr>
                <w:rFonts w:asciiTheme="minorHAnsi" w:hAnsiTheme="minorHAnsi" w:cs="Arial"/>
                <w:b/>
                <w:sz w:val="20"/>
                <w:szCs w:val="20"/>
                <w:lang w:val="fr-FR"/>
              </w:rPr>
            </w:pPr>
            <w:r>
              <w:rPr>
                <w:rFonts w:asciiTheme="minorHAnsi" w:hAnsiTheme="minorHAnsi" w:cs="Arial"/>
                <w:b/>
                <w:sz w:val="20"/>
                <w:szCs w:val="20"/>
                <w:lang w:val="fr-FR"/>
              </w:rPr>
              <w:t>67</w:t>
            </w:r>
            <w:r w:rsidR="009E32E8">
              <w:rPr>
                <w:rFonts w:asciiTheme="minorHAnsi" w:hAnsiTheme="minorHAnsi" w:cs="Arial"/>
                <w:b/>
                <w:sz w:val="20"/>
                <w:szCs w:val="20"/>
                <w:lang w:val="fr-FR"/>
              </w:rPr>
              <w:t>.0</w:t>
            </w:r>
          </w:p>
        </w:tc>
        <w:tc>
          <w:tcPr>
            <w:tcW w:w="1477" w:type="dxa"/>
          </w:tcPr>
          <w:p w14:paraId="7E278E27" w14:textId="638354AE" w:rsidR="00A1425C" w:rsidRPr="00230F40" w:rsidRDefault="00F860A4">
            <w:pPr>
              <w:jc w:val="right"/>
              <w:rPr>
                <w:rFonts w:asciiTheme="minorHAnsi" w:hAnsiTheme="minorHAnsi" w:cs="Arial"/>
                <w:sz w:val="20"/>
                <w:szCs w:val="20"/>
                <w:lang w:val="fr-FR"/>
              </w:rPr>
            </w:pPr>
            <w:r w:rsidRPr="008E5803">
              <w:rPr>
                <w:rFonts w:asciiTheme="minorHAnsi" w:hAnsiTheme="minorHAnsi" w:cs="Arial"/>
                <w:bCs/>
                <w:sz w:val="20"/>
                <w:szCs w:val="20"/>
                <w:lang w:val="fr-FR"/>
              </w:rPr>
              <w:t>72.5</w:t>
            </w:r>
          </w:p>
        </w:tc>
        <w:tc>
          <w:tcPr>
            <w:tcW w:w="1357" w:type="dxa"/>
            <w:vAlign w:val="bottom"/>
          </w:tcPr>
          <w:p w14:paraId="4E857C75" w14:textId="701A875F"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82.7</w:t>
            </w:r>
          </w:p>
        </w:tc>
      </w:tr>
      <w:tr w:rsidR="00A1425C" w:rsidRPr="00230F40" w14:paraId="064AF8A3" w14:textId="77777777" w:rsidTr="003B7755">
        <w:trPr>
          <w:trHeight w:val="142"/>
        </w:trPr>
        <w:tc>
          <w:tcPr>
            <w:tcW w:w="4678" w:type="dxa"/>
            <w:vAlign w:val="bottom"/>
          </w:tcPr>
          <w:p w14:paraId="2EADFBC8" w14:textId="77777777" w:rsidR="00A1425C" w:rsidRPr="00230F40" w:rsidRDefault="00A1425C">
            <w:pPr>
              <w:rPr>
                <w:rFonts w:asciiTheme="minorHAnsi" w:hAnsiTheme="minorHAnsi" w:cs="Arial"/>
                <w:b/>
                <w:sz w:val="20"/>
                <w:szCs w:val="20"/>
                <w:lang w:val="en-US"/>
              </w:rPr>
            </w:pPr>
            <w:r w:rsidRPr="00230F40">
              <w:rPr>
                <w:rFonts w:asciiTheme="minorHAnsi" w:hAnsiTheme="minorHAnsi" w:cs="Arial"/>
                <w:color w:val="000000" w:themeColor="text1"/>
                <w:sz w:val="20"/>
                <w:szCs w:val="20"/>
              </w:rPr>
              <w:t>Investments held at fair value through profit and loss</w:t>
            </w:r>
          </w:p>
        </w:tc>
        <w:tc>
          <w:tcPr>
            <w:tcW w:w="1217" w:type="dxa"/>
            <w:vAlign w:val="bottom"/>
          </w:tcPr>
          <w:p w14:paraId="63A0EB9D" w14:textId="1513CF33" w:rsidR="00A1425C" w:rsidRPr="00230F40" w:rsidRDefault="00A1425C">
            <w:pPr>
              <w:jc w:val="right"/>
              <w:rPr>
                <w:rFonts w:asciiTheme="minorHAnsi" w:hAnsiTheme="minorHAnsi" w:cs="Arial"/>
                <w:sz w:val="20"/>
                <w:szCs w:val="20"/>
                <w:lang w:val="fr-FR"/>
              </w:rPr>
            </w:pPr>
          </w:p>
        </w:tc>
        <w:tc>
          <w:tcPr>
            <w:tcW w:w="1417" w:type="dxa"/>
            <w:shd w:val="clear" w:color="auto" w:fill="F2F2F2" w:themeFill="background1" w:themeFillShade="F2"/>
          </w:tcPr>
          <w:p w14:paraId="2F7BDC93" w14:textId="43DC7915" w:rsidR="00A1425C" w:rsidRPr="00230F40" w:rsidRDefault="009E32E8">
            <w:pPr>
              <w:jc w:val="right"/>
              <w:rPr>
                <w:rFonts w:asciiTheme="minorHAnsi" w:hAnsiTheme="minorHAnsi" w:cs="Arial"/>
                <w:b/>
                <w:sz w:val="20"/>
                <w:szCs w:val="20"/>
                <w:lang w:val="fr-FR"/>
              </w:rPr>
            </w:pPr>
            <w:r>
              <w:rPr>
                <w:rFonts w:asciiTheme="minorHAnsi" w:hAnsiTheme="minorHAnsi" w:cs="Arial"/>
                <w:b/>
                <w:sz w:val="20"/>
                <w:szCs w:val="20"/>
                <w:lang w:val="fr-FR"/>
              </w:rPr>
              <w:t>2.3</w:t>
            </w:r>
          </w:p>
        </w:tc>
        <w:tc>
          <w:tcPr>
            <w:tcW w:w="1477" w:type="dxa"/>
          </w:tcPr>
          <w:p w14:paraId="3DC9B484" w14:textId="40549252" w:rsidR="00A1425C" w:rsidRPr="00230F40" w:rsidRDefault="00F860A4">
            <w:pPr>
              <w:jc w:val="right"/>
              <w:rPr>
                <w:rFonts w:asciiTheme="minorHAnsi" w:hAnsiTheme="minorHAnsi" w:cs="Arial"/>
                <w:sz w:val="20"/>
                <w:szCs w:val="20"/>
                <w:lang w:val="fr-FR"/>
              </w:rPr>
            </w:pPr>
            <w:r w:rsidRPr="008E5803">
              <w:rPr>
                <w:rFonts w:asciiTheme="minorHAnsi" w:hAnsiTheme="minorHAnsi" w:cs="Arial"/>
                <w:bCs/>
                <w:sz w:val="20"/>
                <w:szCs w:val="20"/>
                <w:lang w:val="fr-FR"/>
              </w:rPr>
              <w:t>2.3</w:t>
            </w:r>
          </w:p>
        </w:tc>
        <w:tc>
          <w:tcPr>
            <w:tcW w:w="1357" w:type="dxa"/>
            <w:vAlign w:val="bottom"/>
          </w:tcPr>
          <w:p w14:paraId="7E1EFFDF" w14:textId="44C83954"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5.1</w:t>
            </w:r>
          </w:p>
        </w:tc>
      </w:tr>
      <w:tr w:rsidR="00A1425C" w:rsidRPr="00230F40" w14:paraId="4C55320A" w14:textId="77777777" w:rsidTr="003B7755">
        <w:trPr>
          <w:trHeight w:val="142"/>
        </w:trPr>
        <w:tc>
          <w:tcPr>
            <w:tcW w:w="4678" w:type="dxa"/>
            <w:vAlign w:val="bottom"/>
          </w:tcPr>
          <w:p w14:paraId="05314AFA"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t>Current tax asset</w:t>
            </w:r>
          </w:p>
        </w:tc>
        <w:tc>
          <w:tcPr>
            <w:tcW w:w="1217" w:type="dxa"/>
            <w:vAlign w:val="bottom"/>
          </w:tcPr>
          <w:p w14:paraId="4F16106B" w14:textId="77777777" w:rsidR="00A1425C" w:rsidRPr="00230F40" w:rsidRDefault="00A1425C">
            <w:pPr>
              <w:jc w:val="right"/>
              <w:rPr>
                <w:rFonts w:asciiTheme="minorHAnsi" w:hAnsiTheme="minorHAnsi" w:cs="Arial"/>
                <w:sz w:val="20"/>
                <w:szCs w:val="20"/>
                <w:lang w:val="fr-FR"/>
              </w:rPr>
            </w:pPr>
          </w:p>
        </w:tc>
        <w:tc>
          <w:tcPr>
            <w:tcW w:w="1417" w:type="dxa"/>
            <w:shd w:val="clear" w:color="auto" w:fill="F2F2F2" w:themeFill="background1" w:themeFillShade="F2"/>
          </w:tcPr>
          <w:p w14:paraId="1C80AA2C" w14:textId="592D8240" w:rsidR="00A1425C" w:rsidRPr="00230F40" w:rsidRDefault="009E32E8">
            <w:pPr>
              <w:jc w:val="right"/>
              <w:rPr>
                <w:rFonts w:asciiTheme="minorHAnsi" w:hAnsiTheme="minorHAnsi" w:cs="Arial"/>
                <w:b/>
                <w:sz w:val="20"/>
                <w:szCs w:val="20"/>
                <w:lang w:val="fr-FR"/>
              </w:rPr>
            </w:pPr>
            <w:r>
              <w:rPr>
                <w:rFonts w:asciiTheme="minorHAnsi" w:hAnsiTheme="minorHAnsi" w:cs="Arial"/>
                <w:b/>
                <w:sz w:val="20"/>
                <w:szCs w:val="20"/>
                <w:lang w:val="fr-FR"/>
              </w:rPr>
              <w:t>3.7</w:t>
            </w:r>
          </w:p>
        </w:tc>
        <w:tc>
          <w:tcPr>
            <w:tcW w:w="1477" w:type="dxa"/>
          </w:tcPr>
          <w:p w14:paraId="0F0D1089" w14:textId="077E17FA" w:rsidR="00A1425C" w:rsidRPr="00230F40" w:rsidRDefault="00BD7312">
            <w:pPr>
              <w:jc w:val="right"/>
              <w:rPr>
                <w:rFonts w:asciiTheme="minorHAnsi" w:hAnsiTheme="minorHAnsi" w:cs="Arial"/>
                <w:sz w:val="20"/>
                <w:szCs w:val="20"/>
                <w:lang w:val="fr-FR"/>
              </w:rPr>
            </w:pPr>
            <w:r w:rsidRPr="00230F40">
              <w:rPr>
                <w:rFonts w:asciiTheme="minorHAnsi" w:hAnsiTheme="minorHAnsi" w:cs="Arial"/>
                <w:sz w:val="20"/>
                <w:szCs w:val="20"/>
                <w:lang w:val="fr-FR"/>
              </w:rPr>
              <w:t>3</w:t>
            </w:r>
            <w:r w:rsidR="00F860A4" w:rsidRPr="008E5803">
              <w:rPr>
                <w:rFonts w:asciiTheme="minorHAnsi" w:hAnsiTheme="minorHAnsi" w:cs="Arial"/>
                <w:bCs/>
                <w:sz w:val="20"/>
                <w:szCs w:val="20"/>
                <w:lang w:val="fr-FR"/>
              </w:rPr>
              <w:t>.9</w:t>
            </w:r>
          </w:p>
        </w:tc>
        <w:tc>
          <w:tcPr>
            <w:tcW w:w="1357" w:type="dxa"/>
            <w:vAlign w:val="bottom"/>
          </w:tcPr>
          <w:p w14:paraId="0340143E" w14:textId="504C220F"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w:t>
            </w:r>
          </w:p>
        </w:tc>
      </w:tr>
      <w:tr w:rsidR="00A1425C" w:rsidRPr="00230F40" w14:paraId="3DB12FD5" w14:textId="77777777" w:rsidTr="003B7755">
        <w:trPr>
          <w:trHeight w:val="142"/>
        </w:trPr>
        <w:tc>
          <w:tcPr>
            <w:tcW w:w="4678" w:type="dxa"/>
            <w:vAlign w:val="bottom"/>
          </w:tcPr>
          <w:p w14:paraId="7B6D8738"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t>Property, plant and equipment</w:t>
            </w:r>
          </w:p>
        </w:tc>
        <w:tc>
          <w:tcPr>
            <w:tcW w:w="1217" w:type="dxa"/>
            <w:vAlign w:val="bottom"/>
          </w:tcPr>
          <w:p w14:paraId="33E95B2B" w14:textId="77777777" w:rsidR="00A1425C" w:rsidRPr="00230F40" w:rsidRDefault="00A1425C">
            <w:pPr>
              <w:jc w:val="right"/>
              <w:rPr>
                <w:rFonts w:asciiTheme="minorHAnsi" w:hAnsiTheme="minorHAnsi" w:cs="Arial"/>
                <w:sz w:val="20"/>
                <w:szCs w:val="20"/>
                <w:lang w:val="fr-FR"/>
              </w:rPr>
            </w:pPr>
          </w:p>
        </w:tc>
        <w:tc>
          <w:tcPr>
            <w:tcW w:w="1417" w:type="dxa"/>
            <w:shd w:val="clear" w:color="auto" w:fill="F2F2F2" w:themeFill="background1" w:themeFillShade="F2"/>
          </w:tcPr>
          <w:p w14:paraId="1A5B42C9" w14:textId="331FD0E1" w:rsidR="00A1425C" w:rsidRPr="00230F40" w:rsidRDefault="00313CBC">
            <w:pPr>
              <w:jc w:val="right"/>
              <w:rPr>
                <w:rFonts w:asciiTheme="minorHAnsi" w:hAnsiTheme="minorHAnsi" w:cs="Arial"/>
                <w:b/>
                <w:sz w:val="20"/>
                <w:szCs w:val="20"/>
                <w:lang w:val="fr-FR"/>
              </w:rPr>
            </w:pPr>
            <w:r>
              <w:rPr>
                <w:rFonts w:asciiTheme="minorHAnsi" w:hAnsiTheme="minorHAnsi" w:cs="Arial"/>
                <w:b/>
                <w:sz w:val="20"/>
                <w:szCs w:val="20"/>
                <w:lang w:val="fr-FR"/>
              </w:rPr>
              <w:t>6.7</w:t>
            </w:r>
          </w:p>
        </w:tc>
        <w:tc>
          <w:tcPr>
            <w:tcW w:w="1477" w:type="dxa"/>
          </w:tcPr>
          <w:p w14:paraId="3A1DDB68" w14:textId="0B6A908A" w:rsidR="00A1425C" w:rsidRPr="00230F40" w:rsidRDefault="00F860A4">
            <w:pPr>
              <w:jc w:val="right"/>
              <w:rPr>
                <w:rFonts w:asciiTheme="minorHAnsi" w:hAnsiTheme="minorHAnsi" w:cs="Arial"/>
                <w:sz w:val="20"/>
                <w:szCs w:val="20"/>
              </w:rPr>
            </w:pPr>
            <w:r w:rsidRPr="008E5803">
              <w:rPr>
                <w:rFonts w:asciiTheme="minorHAnsi" w:hAnsiTheme="minorHAnsi" w:cs="Arial"/>
                <w:bCs/>
                <w:sz w:val="20"/>
                <w:szCs w:val="20"/>
                <w:lang w:val="fr-FR"/>
              </w:rPr>
              <w:t>7</w:t>
            </w:r>
            <w:r w:rsidR="0058318C" w:rsidRPr="00230F40">
              <w:rPr>
                <w:rFonts w:asciiTheme="minorHAnsi" w:hAnsiTheme="minorHAnsi" w:cs="Arial"/>
                <w:sz w:val="20"/>
                <w:szCs w:val="20"/>
                <w:lang w:val="fr-FR"/>
              </w:rPr>
              <w:t>.1</w:t>
            </w:r>
          </w:p>
        </w:tc>
        <w:tc>
          <w:tcPr>
            <w:tcW w:w="1357" w:type="dxa"/>
            <w:vAlign w:val="bottom"/>
          </w:tcPr>
          <w:p w14:paraId="2676FC13" w14:textId="13C36B6C"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7.4</w:t>
            </w:r>
          </w:p>
        </w:tc>
      </w:tr>
      <w:tr w:rsidR="00A1425C" w:rsidRPr="00230F40" w14:paraId="76F793F3" w14:textId="77777777" w:rsidTr="003B7755">
        <w:trPr>
          <w:trHeight w:val="142"/>
        </w:trPr>
        <w:tc>
          <w:tcPr>
            <w:tcW w:w="4678" w:type="dxa"/>
            <w:vAlign w:val="bottom"/>
          </w:tcPr>
          <w:p w14:paraId="5184CA6E" w14:textId="77777777" w:rsidR="00A1425C" w:rsidRPr="00230F40" w:rsidRDefault="00A1425C">
            <w:pPr>
              <w:rPr>
                <w:rFonts w:asciiTheme="minorHAnsi" w:hAnsiTheme="minorHAnsi" w:cs="Arial"/>
                <w:b/>
                <w:sz w:val="20"/>
                <w:szCs w:val="20"/>
                <w:lang w:val="fr-FR"/>
              </w:rPr>
            </w:pPr>
            <w:r w:rsidRPr="00230F40">
              <w:rPr>
                <w:rFonts w:asciiTheme="minorHAnsi" w:hAnsiTheme="minorHAnsi" w:cs="Arial"/>
                <w:sz w:val="20"/>
                <w:szCs w:val="20"/>
              </w:rPr>
              <w:t>Right of use assets</w:t>
            </w:r>
          </w:p>
        </w:tc>
        <w:tc>
          <w:tcPr>
            <w:tcW w:w="1217" w:type="dxa"/>
            <w:vAlign w:val="bottom"/>
          </w:tcPr>
          <w:p w14:paraId="6E56C5CF" w14:textId="77777777" w:rsidR="00A1425C" w:rsidRPr="00230F40" w:rsidRDefault="00A1425C">
            <w:pPr>
              <w:jc w:val="right"/>
              <w:rPr>
                <w:rFonts w:asciiTheme="minorHAnsi" w:hAnsiTheme="minorHAnsi" w:cs="Arial"/>
                <w:sz w:val="20"/>
                <w:szCs w:val="20"/>
                <w:lang w:val="fr-FR"/>
              </w:rPr>
            </w:pPr>
          </w:p>
        </w:tc>
        <w:tc>
          <w:tcPr>
            <w:tcW w:w="1417" w:type="dxa"/>
            <w:shd w:val="clear" w:color="auto" w:fill="F2F2F2" w:themeFill="background1" w:themeFillShade="F2"/>
          </w:tcPr>
          <w:p w14:paraId="11EF8CF7" w14:textId="59A531E1" w:rsidR="00A1425C" w:rsidRPr="00230F40" w:rsidRDefault="00B52B95">
            <w:pPr>
              <w:jc w:val="right"/>
              <w:rPr>
                <w:rFonts w:asciiTheme="minorHAnsi" w:hAnsiTheme="minorHAnsi" w:cs="Arial"/>
                <w:b/>
                <w:sz w:val="20"/>
                <w:szCs w:val="20"/>
                <w:lang w:val="fr-FR"/>
              </w:rPr>
            </w:pPr>
            <w:r>
              <w:rPr>
                <w:rFonts w:asciiTheme="minorHAnsi" w:hAnsiTheme="minorHAnsi" w:cs="Arial"/>
                <w:b/>
                <w:sz w:val="20"/>
                <w:szCs w:val="20"/>
                <w:lang w:val="fr-FR"/>
              </w:rPr>
              <w:t>14.2</w:t>
            </w:r>
          </w:p>
        </w:tc>
        <w:tc>
          <w:tcPr>
            <w:tcW w:w="1477" w:type="dxa"/>
          </w:tcPr>
          <w:p w14:paraId="2DFF8F76" w14:textId="1237B2E3" w:rsidR="00A1425C" w:rsidRPr="00230F40" w:rsidRDefault="00F860A4">
            <w:pPr>
              <w:jc w:val="right"/>
              <w:rPr>
                <w:rFonts w:asciiTheme="minorHAnsi" w:hAnsiTheme="minorHAnsi" w:cs="Arial"/>
                <w:sz w:val="20"/>
                <w:szCs w:val="20"/>
                <w:lang w:val="fr-FR"/>
              </w:rPr>
            </w:pPr>
            <w:r w:rsidRPr="008E5803">
              <w:rPr>
                <w:rFonts w:asciiTheme="minorHAnsi" w:hAnsiTheme="minorHAnsi" w:cs="Arial"/>
                <w:bCs/>
                <w:sz w:val="20"/>
                <w:szCs w:val="20"/>
                <w:lang w:val="fr-FR"/>
              </w:rPr>
              <w:t>16.4</w:t>
            </w:r>
          </w:p>
        </w:tc>
        <w:tc>
          <w:tcPr>
            <w:tcW w:w="1357" w:type="dxa"/>
            <w:vAlign w:val="bottom"/>
          </w:tcPr>
          <w:p w14:paraId="402F7064" w14:textId="4AFCDD22"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18.9</w:t>
            </w:r>
          </w:p>
        </w:tc>
      </w:tr>
      <w:tr w:rsidR="00A1425C" w:rsidRPr="00230F40" w14:paraId="6384F49B" w14:textId="77777777" w:rsidTr="003B7755">
        <w:trPr>
          <w:trHeight w:val="142"/>
        </w:trPr>
        <w:tc>
          <w:tcPr>
            <w:tcW w:w="4678" w:type="dxa"/>
            <w:vAlign w:val="bottom"/>
          </w:tcPr>
          <w:p w14:paraId="12F3D980" w14:textId="77777777" w:rsidR="00A1425C" w:rsidRPr="00230F40" w:rsidRDefault="00A1425C">
            <w:pPr>
              <w:rPr>
                <w:rFonts w:asciiTheme="minorHAnsi" w:hAnsiTheme="minorHAnsi" w:cs="Arial"/>
                <w:b/>
                <w:sz w:val="20"/>
                <w:szCs w:val="20"/>
                <w:lang w:val="fr-FR"/>
              </w:rPr>
            </w:pPr>
            <w:r w:rsidRPr="00230F40">
              <w:rPr>
                <w:rFonts w:asciiTheme="minorHAnsi" w:hAnsiTheme="minorHAnsi" w:cs="Arial"/>
                <w:sz w:val="20"/>
                <w:szCs w:val="20"/>
              </w:rPr>
              <w:t>Goodwill</w:t>
            </w:r>
          </w:p>
        </w:tc>
        <w:tc>
          <w:tcPr>
            <w:tcW w:w="1217" w:type="dxa"/>
            <w:vAlign w:val="bottom"/>
          </w:tcPr>
          <w:p w14:paraId="2FEBBFAB" w14:textId="052AB25B" w:rsidR="00A1425C" w:rsidRPr="00230F40" w:rsidRDefault="002E22F1">
            <w:pPr>
              <w:jc w:val="right"/>
              <w:rPr>
                <w:rFonts w:asciiTheme="minorHAnsi" w:hAnsiTheme="minorHAnsi" w:cs="Arial"/>
                <w:sz w:val="20"/>
                <w:szCs w:val="20"/>
                <w:lang w:val="fr-FR"/>
              </w:rPr>
            </w:pPr>
            <w:r w:rsidRPr="00230F40">
              <w:rPr>
                <w:rFonts w:asciiTheme="minorHAnsi" w:hAnsiTheme="minorHAnsi" w:cs="Arial"/>
                <w:sz w:val="20"/>
                <w:szCs w:val="20"/>
                <w:lang w:val="fr-FR"/>
              </w:rPr>
              <w:t>10</w:t>
            </w:r>
          </w:p>
        </w:tc>
        <w:tc>
          <w:tcPr>
            <w:tcW w:w="1417" w:type="dxa"/>
            <w:shd w:val="clear" w:color="auto" w:fill="F2F2F2" w:themeFill="background1" w:themeFillShade="F2"/>
          </w:tcPr>
          <w:p w14:paraId="0224D77F" w14:textId="687275E3" w:rsidR="00A1425C" w:rsidRPr="00230F40" w:rsidRDefault="00B52B95">
            <w:pPr>
              <w:jc w:val="right"/>
              <w:rPr>
                <w:rFonts w:asciiTheme="minorHAnsi" w:hAnsiTheme="minorHAnsi" w:cs="Arial"/>
                <w:b/>
                <w:sz w:val="20"/>
                <w:szCs w:val="20"/>
                <w:lang w:val="fr-FR"/>
              </w:rPr>
            </w:pPr>
            <w:r>
              <w:rPr>
                <w:rFonts w:asciiTheme="minorHAnsi" w:hAnsiTheme="minorHAnsi" w:cs="Arial"/>
                <w:b/>
                <w:sz w:val="20"/>
                <w:szCs w:val="20"/>
                <w:lang w:val="fr-FR"/>
              </w:rPr>
              <w:t>1.2</w:t>
            </w:r>
          </w:p>
        </w:tc>
        <w:tc>
          <w:tcPr>
            <w:tcW w:w="1477" w:type="dxa"/>
          </w:tcPr>
          <w:p w14:paraId="5A6BC47B" w14:textId="7DD65D24" w:rsidR="00A1425C" w:rsidRPr="00230F40" w:rsidRDefault="00F860A4">
            <w:pPr>
              <w:jc w:val="right"/>
              <w:rPr>
                <w:rFonts w:asciiTheme="minorHAnsi" w:hAnsiTheme="minorHAnsi" w:cs="Arial"/>
                <w:sz w:val="20"/>
                <w:szCs w:val="20"/>
                <w:lang w:val="fr-FR"/>
              </w:rPr>
            </w:pPr>
            <w:r w:rsidRPr="008E5803">
              <w:rPr>
                <w:rFonts w:asciiTheme="minorHAnsi" w:hAnsiTheme="minorHAnsi" w:cs="Arial"/>
                <w:bCs/>
                <w:sz w:val="20"/>
                <w:szCs w:val="20"/>
                <w:lang w:val="fr-FR"/>
              </w:rPr>
              <w:t>1.2</w:t>
            </w:r>
          </w:p>
        </w:tc>
        <w:tc>
          <w:tcPr>
            <w:tcW w:w="1357" w:type="dxa"/>
            <w:vAlign w:val="bottom"/>
          </w:tcPr>
          <w:p w14:paraId="735D7601" w14:textId="61BC4574"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72.4</w:t>
            </w:r>
          </w:p>
        </w:tc>
      </w:tr>
      <w:tr w:rsidR="00A1425C" w:rsidRPr="00230F40" w14:paraId="11FC8FBA" w14:textId="77777777" w:rsidTr="003B7755">
        <w:trPr>
          <w:trHeight w:val="142"/>
        </w:trPr>
        <w:tc>
          <w:tcPr>
            <w:tcW w:w="4678" w:type="dxa"/>
            <w:vAlign w:val="bottom"/>
          </w:tcPr>
          <w:p w14:paraId="7EA8BC0A" w14:textId="77777777" w:rsidR="00A1425C" w:rsidRPr="00230F40" w:rsidRDefault="00A1425C">
            <w:pPr>
              <w:rPr>
                <w:rFonts w:asciiTheme="minorHAnsi" w:hAnsiTheme="minorHAnsi" w:cs="Arial"/>
                <w:b/>
                <w:sz w:val="20"/>
                <w:szCs w:val="20"/>
                <w:lang w:val="fr-FR"/>
              </w:rPr>
            </w:pPr>
            <w:r w:rsidRPr="00230F40">
              <w:rPr>
                <w:rFonts w:asciiTheme="minorHAnsi" w:hAnsiTheme="minorHAnsi" w:cs="Arial"/>
                <w:sz w:val="20"/>
                <w:szCs w:val="20"/>
              </w:rPr>
              <w:t>Other intangible assets</w:t>
            </w:r>
          </w:p>
        </w:tc>
        <w:tc>
          <w:tcPr>
            <w:tcW w:w="1217" w:type="dxa"/>
            <w:vAlign w:val="bottom"/>
          </w:tcPr>
          <w:p w14:paraId="2A42D4C1" w14:textId="166F699E" w:rsidR="00A1425C" w:rsidRPr="00230F40" w:rsidRDefault="002E22F1">
            <w:pPr>
              <w:jc w:val="right"/>
              <w:rPr>
                <w:rFonts w:asciiTheme="minorHAnsi" w:hAnsiTheme="minorHAnsi" w:cs="Arial"/>
                <w:sz w:val="20"/>
                <w:szCs w:val="20"/>
                <w:lang w:val="fr-FR"/>
              </w:rPr>
            </w:pPr>
            <w:r w:rsidRPr="00230F40">
              <w:rPr>
                <w:rFonts w:asciiTheme="minorHAnsi" w:hAnsiTheme="minorHAnsi" w:cs="Arial"/>
                <w:sz w:val="20"/>
                <w:szCs w:val="20"/>
                <w:lang w:val="fr-FR"/>
              </w:rPr>
              <w:t>1</w:t>
            </w:r>
            <w:r w:rsidR="00CF62F1">
              <w:rPr>
                <w:rFonts w:asciiTheme="minorHAnsi" w:hAnsiTheme="minorHAnsi" w:cs="Arial"/>
                <w:sz w:val="20"/>
                <w:szCs w:val="20"/>
                <w:lang w:val="fr-FR"/>
              </w:rPr>
              <w:t>1</w:t>
            </w:r>
          </w:p>
        </w:tc>
        <w:tc>
          <w:tcPr>
            <w:tcW w:w="1417" w:type="dxa"/>
            <w:shd w:val="clear" w:color="auto" w:fill="F2F2F2" w:themeFill="background1" w:themeFillShade="F2"/>
          </w:tcPr>
          <w:p w14:paraId="60E8B32C" w14:textId="793C01B5" w:rsidR="00A1425C" w:rsidRPr="00230F40" w:rsidRDefault="00B52B95">
            <w:pPr>
              <w:jc w:val="right"/>
              <w:rPr>
                <w:rFonts w:asciiTheme="minorHAnsi" w:hAnsiTheme="minorHAnsi" w:cs="Arial"/>
                <w:b/>
                <w:sz w:val="20"/>
                <w:szCs w:val="20"/>
                <w:lang w:val="fr-FR"/>
              </w:rPr>
            </w:pPr>
            <w:r>
              <w:rPr>
                <w:rFonts w:asciiTheme="minorHAnsi" w:hAnsiTheme="minorHAnsi" w:cs="Arial"/>
                <w:b/>
                <w:sz w:val="20"/>
                <w:szCs w:val="20"/>
                <w:lang w:val="fr-FR"/>
              </w:rPr>
              <w:t>62.5</w:t>
            </w:r>
          </w:p>
        </w:tc>
        <w:tc>
          <w:tcPr>
            <w:tcW w:w="1477" w:type="dxa"/>
          </w:tcPr>
          <w:p w14:paraId="5A2E8EA0" w14:textId="23C03480" w:rsidR="00A1425C" w:rsidRPr="00230F40" w:rsidRDefault="00F860A4">
            <w:pPr>
              <w:jc w:val="right"/>
              <w:rPr>
                <w:rFonts w:asciiTheme="minorHAnsi" w:hAnsiTheme="minorHAnsi" w:cs="Arial"/>
                <w:sz w:val="20"/>
                <w:szCs w:val="20"/>
                <w:lang w:val="fr-FR"/>
              </w:rPr>
            </w:pPr>
            <w:r w:rsidRPr="008E5803">
              <w:rPr>
                <w:rFonts w:asciiTheme="minorHAnsi" w:hAnsiTheme="minorHAnsi" w:cs="Arial"/>
                <w:bCs/>
                <w:sz w:val="20"/>
                <w:szCs w:val="20"/>
                <w:lang w:val="fr-FR"/>
              </w:rPr>
              <w:t>61.5</w:t>
            </w:r>
          </w:p>
        </w:tc>
        <w:tc>
          <w:tcPr>
            <w:tcW w:w="1357" w:type="dxa"/>
            <w:vAlign w:val="bottom"/>
          </w:tcPr>
          <w:p w14:paraId="472282B1" w14:textId="0EC166C2"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60.2</w:t>
            </w:r>
          </w:p>
        </w:tc>
      </w:tr>
      <w:tr w:rsidR="00A1425C" w:rsidRPr="00230F40" w14:paraId="1B2B004B" w14:textId="77777777" w:rsidTr="003B7755">
        <w:trPr>
          <w:trHeight w:val="142"/>
        </w:trPr>
        <w:tc>
          <w:tcPr>
            <w:tcW w:w="4678" w:type="dxa"/>
            <w:vAlign w:val="bottom"/>
          </w:tcPr>
          <w:p w14:paraId="21229ABA"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t>Retirement benefit asset</w:t>
            </w:r>
          </w:p>
        </w:tc>
        <w:tc>
          <w:tcPr>
            <w:tcW w:w="1217" w:type="dxa"/>
            <w:vAlign w:val="bottom"/>
          </w:tcPr>
          <w:p w14:paraId="4796A856" w14:textId="12ED00C1" w:rsidR="00A1425C" w:rsidRPr="00230F40" w:rsidRDefault="002E22F1">
            <w:pPr>
              <w:jc w:val="right"/>
              <w:rPr>
                <w:rFonts w:asciiTheme="minorHAnsi" w:hAnsiTheme="minorHAnsi" w:cs="Arial"/>
                <w:sz w:val="20"/>
                <w:szCs w:val="20"/>
                <w:lang w:val="fr-FR"/>
              </w:rPr>
            </w:pPr>
            <w:r w:rsidRPr="00230F40">
              <w:rPr>
                <w:rFonts w:asciiTheme="minorHAnsi" w:hAnsiTheme="minorHAnsi" w:cs="Arial"/>
                <w:sz w:val="20"/>
                <w:szCs w:val="20"/>
                <w:lang w:val="fr-FR"/>
              </w:rPr>
              <w:t>1</w:t>
            </w:r>
            <w:r w:rsidR="00CF62F1">
              <w:rPr>
                <w:rFonts w:asciiTheme="minorHAnsi" w:hAnsiTheme="minorHAnsi" w:cs="Arial"/>
                <w:sz w:val="20"/>
                <w:szCs w:val="20"/>
                <w:lang w:val="fr-FR"/>
              </w:rPr>
              <w:t>2</w:t>
            </w:r>
          </w:p>
        </w:tc>
        <w:tc>
          <w:tcPr>
            <w:tcW w:w="1417" w:type="dxa"/>
            <w:shd w:val="clear" w:color="auto" w:fill="F2F2F2" w:themeFill="background1" w:themeFillShade="F2"/>
          </w:tcPr>
          <w:p w14:paraId="79C4D21E" w14:textId="67A52D63" w:rsidR="00A1425C" w:rsidRPr="00230F40" w:rsidRDefault="00772389">
            <w:pPr>
              <w:jc w:val="right"/>
              <w:rPr>
                <w:rFonts w:asciiTheme="minorHAnsi" w:hAnsiTheme="minorHAnsi" w:cs="Arial"/>
                <w:b/>
                <w:sz w:val="20"/>
                <w:szCs w:val="20"/>
                <w:lang w:val="fr-FR"/>
              </w:rPr>
            </w:pPr>
            <w:r>
              <w:rPr>
                <w:rFonts w:asciiTheme="minorHAnsi" w:hAnsiTheme="minorHAnsi" w:cs="Arial"/>
                <w:b/>
                <w:sz w:val="20"/>
                <w:szCs w:val="20"/>
                <w:lang w:val="fr-FR"/>
              </w:rPr>
              <w:t>12.7</w:t>
            </w:r>
          </w:p>
        </w:tc>
        <w:tc>
          <w:tcPr>
            <w:tcW w:w="1477" w:type="dxa"/>
          </w:tcPr>
          <w:p w14:paraId="0EBDB1CD" w14:textId="1FAAE73F" w:rsidR="00A1425C" w:rsidRPr="00230F40" w:rsidRDefault="00F860A4">
            <w:pPr>
              <w:jc w:val="right"/>
              <w:rPr>
                <w:rFonts w:asciiTheme="minorHAnsi" w:hAnsiTheme="minorHAnsi" w:cs="Arial"/>
                <w:sz w:val="20"/>
                <w:szCs w:val="20"/>
                <w:lang w:val="fr-FR"/>
              </w:rPr>
            </w:pPr>
            <w:r w:rsidRPr="008E5803">
              <w:rPr>
                <w:rFonts w:asciiTheme="minorHAnsi" w:hAnsiTheme="minorHAnsi" w:cs="Arial"/>
                <w:bCs/>
                <w:sz w:val="20"/>
                <w:szCs w:val="20"/>
                <w:lang w:val="fr-FR"/>
              </w:rPr>
              <w:t>27.8</w:t>
            </w:r>
          </w:p>
        </w:tc>
        <w:tc>
          <w:tcPr>
            <w:tcW w:w="1357" w:type="dxa"/>
            <w:vAlign w:val="bottom"/>
          </w:tcPr>
          <w:p w14:paraId="1E5AC457" w14:textId="2C8FDE5E"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34.4</w:t>
            </w:r>
          </w:p>
        </w:tc>
      </w:tr>
      <w:tr w:rsidR="00A1425C" w:rsidRPr="00230F40" w14:paraId="4C4302BA" w14:textId="77777777" w:rsidTr="003B7755">
        <w:trPr>
          <w:trHeight w:val="142"/>
        </w:trPr>
        <w:tc>
          <w:tcPr>
            <w:tcW w:w="4678" w:type="dxa"/>
            <w:vAlign w:val="bottom"/>
          </w:tcPr>
          <w:p w14:paraId="5BB70A0C" w14:textId="77777777" w:rsidR="00A1425C" w:rsidRPr="00230F40" w:rsidRDefault="00A1425C">
            <w:pPr>
              <w:rPr>
                <w:rFonts w:asciiTheme="minorHAnsi" w:hAnsiTheme="minorHAnsi" w:cs="Arial"/>
                <w:sz w:val="20"/>
                <w:szCs w:val="20"/>
                <w:lang w:val="fr-FR"/>
              </w:rPr>
            </w:pPr>
            <w:proofErr w:type="spellStart"/>
            <w:r w:rsidRPr="00230F40">
              <w:rPr>
                <w:rFonts w:asciiTheme="minorHAnsi" w:hAnsiTheme="minorHAnsi" w:cs="Arial"/>
                <w:sz w:val="20"/>
                <w:szCs w:val="20"/>
                <w:lang w:val="fr-FR"/>
              </w:rPr>
              <w:t>Derivative</w:t>
            </w:r>
            <w:proofErr w:type="spellEnd"/>
            <w:r w:rsidRPr="00230F40">
              <w:rPr>
                <w:rFonts w:asciiTheme="minorHAnsi" w:hAnsiTheme="minorHAnsi" w:cs="Arial"/>
                <w:sz w:val="20"/>
                <w:szCs w:val="20"/>
                <w:lang w:val="fr-FR"/>
              </w:rPr>
              <w:t xml:space="preserve"> </w:t>
            </w:r>
            <w:proofErr w:type="spellStart"/>
            <w:r w:rsidRPr="00230F40">
              <w:rPr>
                <w:rFonts w:asciiTheme="minorHAnsi" w:hAnsiTheme="minorHAnsi" w:cs="Arial"/>
                <w:sz w:val="20"/>
                <w:szCs w:val="20"/>
                <w:lang w:val="fr-FR"/>
              </w:rPr>
              <w:t>financial</w:t>
            </w:r>
            <w:proofErr w:type="spellEnd"/>
            <w:r w:rsidRPr="00230F40">
              <w:rPr>
                <w:rFonts w:asciiTheme="minorHAnsi" w:hAnsiTheme="minorHAnsi" w:cs="Arial"/>
                <w:sz w:val="20"/>
                <w:szCs w:val="20"/>
                <w:lang w:val="fr-FR"/>
              </w:rPr>
              <w:t xml:space="preserve"> instruments</w:t>
            </w:r>
          </w:p>
        </w:tc>
        <w:tc>
          <w:tcPr>
            <w:tcW w:w="1217" w:type="dxa"/>
            <w:vAlign w:val="bottom"/>
          </w:tcPr>
          <w:p w14:paraId="18094F2B" w14:textId="77777777" w:rsidR="00A1425C" w:rsidRPr="00230F40" w:rsidRDefault="00A1425C">
            <w:pPr>
              <w:jc w:val="right"/>
              <w:rPr>
                <w:rFonts w:asciiTheme="minorHAnsi" w:hAnsiTheme="minorHAnsi" w:cs="Arial"/>
                <w:sz w:val="20"/>
                <w:szCs w:val="20"/>
                <w:lang w:val="fr-FR"/>
              </w:rPr>
            </w:pPr>
          </w:p>
        </w:tc>
        <w:tc>
          <w:tcPr>
            <w:tcW w:w="1417" w:type="dxa"/>
            <w:shd w:val="clear" w:color="auto" w:fill="F2F2F2" w:themeFill="background1" w:themeFillShade="F2"/>
          </w:tcPr>
          <w:p w14:paraId="382EF22C" w14:textId="7A693EFE" w:rsidR="00A1425C" w:rsidRPr="00230F40" w:rsidRDefault="00764595">
            <w:pPr>
              <w:jc w:val="right"/>
              <w:rPr>
                <w:rFonts w:asciiTheme="minorHAnsi" w:hAnsiTheme="minorHAnsi" w:cs="Arial"/>
                <w:b/>
                <w:sz w:val="20"/>
                <w:szCs w:val="20"/>
                <w:lang w:val="fr-FR"/>
              </w:rPr>
            </w:pPr>
            <w:r>
              <w:rPr>
                <w:rFonts w:asciiTheme="minorHAnsi" w:hAnsiTheme="minorHAnsi" w:cs="Arial"/>
                <w:b/>
                <w:sz w:val="20"/>
                <w:szCs w:val="20"/>
                <w:lang w:val="fr-FR"/>
              </w:rPr>
              <w:t>2.0</w:t>
            </w:r>
          </w:p>
        </w:tc>
        <w:tc>
          <w:tcPr>
            <w:tcW w:w="1477" w:type="dxa"/>
          </w:tcPr>
          <w:p w14:paraId="7C0D5BBF" w14:textId="7A762011" w:rsidR="00A1425C" w:rsidRPr="00230F40" w:rsidRDefault="00F860A4">
            <w:pPr>
              <w:jc w:val="right"/>
              <w:rPr>
                <w:rFonts w:asciiTheme="minorHAnsi" w:hAnsiTheme="minorHAnsi" w:cs="Arial"/>
                <w:sz w:val="20"/>
                <w:szCs w:val="20"/>
                <w:lang w:val="fr-FR"/>
              </w:rPr>
            </w:pPr>
            <w:r w:rsidRPr="008E5803">
              <w:rPr>
                <w:rFonts w:asciiTheme="minorHAnsi" w:hAnsiTheme="minorHAnsi" w:cs="Arial"/>
                <w:bCs/>
                <w:sz w:val="20"/>
                <w:szCs w:val="20"/>
                <w:lang w:val="fr-FR"/>
              </w:rPr>
              <w:t>-</w:t>
            </w:r>
          </w:p>
        </w:tc>
        <w:tc>
          <w:tcPr>
            <w:tcW w:w="1357" w:type="dxa"/>
            <w:vAlign w:val="bottom"/>
          </w:tcPr>
          <w:p w14:paraId="27859F75" w14:textId="26529757"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1.1</w:t>
            </w:r>
          </w:p>
        </w:tc>
      </w:tr>
      <w:tr w:rsidR="00A1425C" w:rsidRPr="00230F40" w14:paraId="13FE667C" w14:textId="77777777" w:rsidTr="003B7755">
        <w:trPr>
          <w:trHeight w:val="142"/>
        </w:trPr>
        <w:tc>
          <w:tcPr>
            <w:tcW w:w="4678" w:type="dxa"/>
            <w:vAlign w:val="bottom"/>
          </w:tcPr>
          <w:p w14:paraId="41CC6E64" w14:textId="77777777" w:rsidR="00A1425C" w:rsidRPr="00230F40" w:rsidRDefault="00A1425C">
            <w:pPr>
              <w:rPr>
                <w:rFonts w:asciiTheme="minorHAnsi" w:hAnsiTheme="minorHAnsi" w:cs="Arial"/>
                <w:b/>
                <w:sz w:val="20"/>
                <w:szCs w:val="20"/>
                <w:lang w:val="fr-FR"/>
              </w:rPr>
            </w:pPr>
            <w:r w:rsidRPr="00230F40">
              <w:rPr>
                <w:rFonts w:asciiTheme="minorHAnsi" w:hAnsiTheme="minorHAnsi" w:cs="Arial"/>
                <w:sz w:val="20"/>
                <w:szCs w:val="20"/>
              </w:rPr>
              <w:t>Deferred tax assets</w:t>
            </w:r>
          </w:p>
        </w:tc>
        <w:tc>
          <w:tcPr>
            <w:tcW w:w="1217" w:type="dxa"/>
            <w:vAlign w:val="bottom"/>
          </w:tcPr>
          <w:p w14:paraId="5AB3BD7B" w14:textId="1B5150E2" w:rsidR="00A1425C" w:rsidRPr="00230F40" w:rsidRDefault="00A1425C">
            <w:pPr>
              <w:jc w:val="right"/>
              <w:rPr>
                <w:rFonts w:asciiTheme="minorHAnsi" w:hAnsiTheme="minorHAnsi" w:cs="Arial"/>
                <w:sz w:val="20"/>
                <w:szCs w:val="20"/>
                <w:lang w:val="fr-FR"/>
              </w:rPr>
            </w:pPr>
          </w:p>
        </w:tc>
        <w:tc>
          <w:tcPr>
            <w:tcW w:w="1417" w:type="dxa"/>
            <w:shd w:val="clear" w:color="auto" w:fill="F2F2F2" w:themeFill="background1" w:themeFillShade="F2"/>
          </w:tcPr>
          <w:p w14:paraId="3C78F8A4" w14:textId="39CA544F" w:rsidR="00A1425C" w:rsidRPr="00230F40" w:rsidRDefault="00764595">
            <w:pPr>
              <w:jc w:val="right"/>
              <w:rPr>
                <w:rFonts w:asciiTheme="minorHAnsi" w:hAnsiTheme="minorHAnsi" w:cs="Arial"/>
                <w:b/>
                <w:sz w:val="20"/>
                <w:szCs w:val="20"/>
                <w:lang w:val="fr-FR"/>
              </w:rPr>
            </w:pPr>
            <w:r>
              <w:rPr>
                <w:rFonts w:asciiTheme="minorHAnsi" w:hAnsiTheme="minorHAnsi" w:cs="Arial"/>
                <w:b/>
                <w:sz w:val="20"/>
                <w:szCs w:val="20"/>
                <w:lang w:val="fr-FR"/>
              </w:rPr>
              <w:t>27.</w:t>
            </w:r>
            <w:r w:rsidR="00FD4C59">
              <w:rPr>
                <w:rFonts w:asciiTheme="minorHAnsi" w:hAnsiTheme="minorHAnsi" w:cs="Arial"/>
                <w:b/>
                <w:sz w:val="20"/>
                <w:szCs w:val="20"/>
                <w:lang w:val="fr-FR"/>
              </w:rPr>
              <w:t>5</w:t>
            </w:r>
          </w:p>
        </w:tc>
        <w:tc>
          <w:tcPr>
            <w:tcW w:w="1477" w:type="dxa"/>
          </w:tcPr>
          <w:p w14:paraId="07E78712" w14:textId="20B9379F" w:rsidR="00A1425C" w:rsidRPr="00230F40" w:rsidRDefault="00F860A4">
            <w:pPr>
              <w:jc w:val="right"/>
              <w:rPr>
                <w:rFonts w:asciiTheme="minorHAnsi" w:hAnsiTheme="minorHAnsi" w:cs="Arial"/>
                <w:sz w:val="20"/>
                <w:szCs w:val="20"/>
                <w:lang w:val="fr-FR"/>
              </w:rPr>
            </w:pPr>
            <w:r w:rsidRPr="008E5803">
              <w:rPr>
                <w:rFonts w:asciiTheme="minorHAnsi" w:hAnsiTheme="minorHAnsi" w:cs="Arial"/>
                <w:bCs/>
                <w:sz w:val="20"/>
                <w:szCs w:val="20"/>
                <w:lang w:val="fr-FR"/>
              </w:rPr>
              <w:t>25.0</w:t>
            </w:r>
          </w:p>
        </w:tc>
        <w:tc>
          <w:tcPr>
            <w:tcW w:w="1357" w:type="dxa"/>
            <w:vAlign w:val="bottom"/>
          </w:tcPr>
          <w:p w14:paraId="583568B2" w14:textId="49849A41"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lang w:val="fr-FR"/>
              </w:rPr>
              <w:t>21.6</w:t>
            </w:r>
          </w:p>
        </w:tc>
      </w:tr>
      <w:tr w:rsidR="00A1425C" w:rsidRPr="00230F40" w14:paraId="2E66B445" w14:textId="77777777" w:rsidTr="003B7755">
        <w:trPr>
          <w:trHeight w:val="142"/>
        </w:trPr>
        <w:tc>
          <w:tcPr>
            <w:tcW w:w="4678" w:type="dxa"/>
            <w:vAlign w:val="bottom"/>
          </w:tcPr>
          <w:p w14:paraId="21AE5327" w14:textId="77777777" w:rsidR="00A1425C" w:rsidRPr="00230F40" w:rsidRDefault="00A1425C">
            <w:pPr>
              <w:rPr>
                <w:rFonts w:asciiTheme="minorHAnsi" w:hAnsiTheme="minorHAnsi" w:cs="Arial"/>
                <w:b/>
                <w:sz w:val="20"/>
                <w:szCs w:val="20"/>
                <w:lang w:val="fr-FR"/>
              </w:rPr>
            </w:pPr>
            <w:r w:rsidRPr="00230F40">
              <w:rPr>
                <w:rFonts w:asciiTheme="minorHAnsi" w:hAnsiTheme="minorHAnsi" w:cs="Arial"/>
                <w:b/>
                <w:sz w:val="20"/>
                <w:szCs w:val="20"/>
                <w:lang w:val="fr-FR"/>
              </w:rPr>
              <w:t>TOTAL ASSETS</w:t>
            </w:r>
          </w:p>
        </w:tc>
        <w:tc>
          <w:tcPr>
            <w:tcW w:w="1217" w:type="dxa"/>
            <w:vAlign w:val="bottom"/>
          </w:tcPr>
          <w:p w14:paraId="37B8CA2C" w14:textId="48B3C89F" w:rsidR="00A1425C" w:rsidRPr="00230F40" w:rsidRDefault="00041286">
            <w:pPr>
              <w:jc w:val="right"/>
              <w:rPr>
                <w:rFonts w:asciiTheme="minorHAnsi" w:hAnsiTheme="minorHAnsi" w:cs="Arial"/>
                <w:sz w:val="20"/>
                <w:szCs w:val="20"/>
                <w:lang w:val="fr-FR"/>
              </w:rPr>
            </w:pPr>
            <w:r w:rsidRPr="00230F40">
              <w:rPr>
                <w:rFonts w:asciiTheme="minorHAnsi" w:hAnsiTheme="minorHAnsi" w:cs="Arial"/>
                <w:sz w:val="20"/>
                <w:szCs w:val="20"/>
                <w:lang w:val="fr-FR"/>
              </w:rPr>
              <w:t>4</w:t>
            </w:r>
          </w:p>
        </w:tc>
        <w:tc>
          <w:tcPr>
            <w:tcW w:w="1417" w:type="dxa"/>
            <w:tcBorders>
              <w:top w:val="single" w:sz="4" w:space="0" w:color="auto"/>
              <w:left w:val="nil"/>
              <w:bottom w:val="single" w:sz="4" w:space="0" w:color="auto"/>
              <w:right w:val="nil"/>
            </w:tcBorders>
            <w:shd w:val="clear" w:color="auto" w:fill="F2F2F2" w:themeFill="background1" w:themeFillShade="F2"/>
          </w:tcPr>
          <w:p w14:paraId="4730CD01" w14:textId="0A21D7E9" w:rsidR="00A1425C" w:rsidRPr="00230F40" w:rsidRDefault="0056652B">
            <w:pPr>
              <w:jc w:val="right"/>
              <w:rPr>
                <w:rFonts w:asciiTheme="minorHAnsi" w:hAnsiTheme="minorHAnsi" w:cs="Arial"/>
                <w:b/>
                <w:sz w:val="20"/>
                <w:szCs w:val="20"/>
                <w:lang w:val="fr-FR"/>
              </w:rPr>
            </w:pPr>
            <w:r>
              <w:rPr>
                <w:rFonts w:asciiTheme="minorHAnsi" w:hAnsiTheme="minorHAnsi" w:cs="Arial"/>
                <w:b/>
                <w:sz w:val="20"/>
                <w:szCs w:val="20"/>
                <w:lang w:val="fr-FR"/>
              </w:rPr>
              <w:t>3,446.</w:t>
            </w:r>
            <w:r w:rsidR="00FD4C59">
              <w:rPr>
                <w:rFonts w:asciiTheme="minorHAnsi" w:hAnsiTheme="minorHAnsi" w:cs="Arial"/>
                <w:b/>
                <w:sz w:val="20"/>
                <w:szCs w:val="20"/>
                <w:lang w:val="fr-FR"/>
              </w:rPr>
              <w:t>7</w:t>
            </w:r>
          </w:p>
        </w:tc>
        <w:tc>
          <w:tcPr>
            <w:tcW w:w="1477" w:type="dxa"/>
            <w:tcBorders>
              <w:top w:val="single" w:sz="4" w:space="0" w:color="auto"/>
              <w:left w:val="nil"/>
              <w:bottom w:val="single" w:sz="4" w:space="0" w:color="auto"/>
              <w:right w:val="nil"/>
            </w:tcBorders>
          </w:tcPr>
          <w:p w14:paraId="36358318" w14:textId="7C978395" w:rsidR="00A1425C" w:rsidRPr="00230F40" w:rsidRDefault="0058318C">
            <w:pPr>
              <w:jc w:val="right"/>
              <w:rPr>
                <w:rFonts w:asciiTheme="minorHAnsi" w:hAnsiTheme="minorHAnsi" w:cs="Arial"/>
                <w:sz w:val="20"/>
                <w:szCs w:val="20"/>
              </w:rPr>
            </w:pPr>
            <w:r w:rsidRPr="008E5803">
              <w:rPr>
                <w:rFonts w:asciiTheme="minorHAnsi" w:hAnsiTheme="minorHAnsi" w:cs="Arial"/>
                <w:sz w:val="20"/>
                <w:szCs w:val="20"/>
                <w:lang w:val="fr-FR"/>
              </w:rPr>
              <w:t>3,</w:t>
            </w:r>
            <w:r w:rsidR="00F860A4" w:rsidRPr="008E5803">
              <w:rPr>
                <w:rFonts w:asciiTheme="minorHAnsi" w:hAnsiTheme="minorHAnsi" w:cs="Arial"/>
                <w:bCs/>
                <w:sz w:val="20"/>
                <w:szCs w:val="20"/>
                <w:lang w:val="fr-FR"/>
              </w:rPr>
              <w:t>375.3</w:t>
            </w:r>
          </w:p>
        </w:tc>
        <w:tc>
          <w:tcPr>
            <w:tcW w:w="1357" w:type="dxa"/>
            <w:tcBorders>
              <w:top w:val="single" w:sz="4" w:space="0" w:color="auto"/>
              <w:left w:val="nil"/>
              <w:bottom w:val="single" w:sz="4" w:space="0" w:color="auto"/>
              <w:right w:val="nil"/>
            </w:tcBorders>
            <w:vAlign w:val="bottom"/>
          </w:tcPr>
          <w:p w14:paraId="3DF3007E" w14:textId="7F1E8B8C"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rPr>
              <w:t>3,085.1</w:t>
            </w:r>
          </w:p>
        </w:tc>
      </w:tr>
      <w:tr w:rsidR="00A1425C" w:rsidRPr="00230F40" w14:paraId="7F772F38" w14:textId="77777777" w:rsidTr="003B7755">
        <w:trPr>
          <w:trHeight w:val="142"/>
        </w:trPr>
        <w:tc>
          <w:tcPr>
            <w:tcW w:w="4678" w:type="dxa"/>
            <w:vAlign w:val="bottom"/>
          </w:tcPr>
          <w:p w14:paraId="351E9462" w14:textId="77777777" w:rsidR="00A1425C" w:rsidRPr="00230F40" w:rsidRDefault="00A1425C">
            <w:pPr>
              <w:rPr>
                <w:rFonts w:asciiTheme="minorHAnsi" w:hAnsiTheme="minorHAnsi" w:cs="Arial"/>
                <w:b/>
                <w:sz w:val="20"/>
                <w:szCs w:val="20"/>
              </w:rPr>
            </w:pPr>
            <w:r w:rsidRPr="00230F40">
              <w:rPr>
                <w:rFonts w:asciiTheme="minorHAnsi" w:hAnsiTheme="minorHAnsi" w:cs="Arial"/>
                <w:b/>
                <w:sz w:val="20"/>
                <w:szCs w:val="20"/>
              </w:rPr>
              <w:t>LIABILITIES AND EQUITY</w:t>
            </w:r>
          </w:p>
        </w:tc>
        <w:tc>
          <w:tcPr>
            <w:tcW w:w="1217" w:type="dxa"/>
            <w:vAlign w:val="bottom"/>
          </w:tcPr>
          <w:p w14:paraId="712F3ADB"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vAlign w:val="bottom"/>
          </w:tcPr>
          <w:p w14:paraId="3BF1D9CC" w14:textId="77777777" w:rsidR="00A1425C" w:rsidRPr="00230F40" w:rsidRDefault="00A1425C">
            <w:pPr>
              <w:jc w:val="right"/>
              <w:rPr>
                <w:rFonts w:asciiTheme="minorHAnsi" w:hAnsiTheme="minorHAnsi" w:cs="Arial"/>
                <w:b/>
                <w:sz w:val="20"/>
                <w:szCs w:val="20"/>
              </w:rPr>
            </w:pPr>
          </w:p>
        </w:tc>
        <w:tc>
          <w:tcPr>
            <w:tcW w:w="1477" w:type="dxa"/>
            <w:vAlign w:val="bottom"/>
          </w:tcPr>
          <w:p w14:paraId="483D32DD" w14:textId="77777777" w:rsidR="00A1425C" w:rsidRPr="00230F40" w:rsidRDefault="00A1425C">
            <w:pPr>
              <w:jc w:val="right"/>
              <w:rPr>
                <w:rFonts w:asciiTheme="minorHAnsi" w:hAnsiTheme="minorHAnsi" w:cs="Arial"/>
                <w:sz w:val="20"/>
                <w:szCs w:val="20"/>
              </w:rPr>
            </w:pPr>
          </w:p>
        </w:tc>
        <w:tc>
          <w:tcPr>
            <w:tcW w:w="1357" w:type="dxa"/>
            <w:vAlign w:val="bottom"/>
          </w:tcPr>
          <w:p w14:paraId="6ED51443" w14:textId="77777777" w:rsidR="00A1425C" w:rsidRPr="00230F40" w:rsidRDefault="00A1425C">
            <w:pPr>
              <w:jc w:val="right"/>
              <w:rPr>
                <w:rFonts w:asciiTheme="minorHAnsi" w:hAnsiTheme="minorHAnsi" w:cs="Arial"/>
                <w:sz w:val="20"/>
                <w:szCs w:val="20"/>
                <w:lang w:val="fr-FR"/>
              </w:rPr>
            </w:pPr>
          </w:p>
        </w:tc>
      </w:tr>
      <w:tr w:rsidR="00A1425C" w:rsidRPr="00230F40" w14:paraId="77A6FDAE" w14:textId="77777777" w:rsidTr="003B7755">
        <w:trPr>
          <w:trHeight w:val="142"/>
        </w:trPr>
        <w:tc>
          <w:tcPr>
            <w:tcW w:w="4678" w:type="dxa"/>
            <w:vAlign w:val="bottom"/>
          </w:tcPr>
          <w:p w14:paraId="1A5B724E" w14:textId="77777777" w:rsidR="00A1425C" w:rsidRPr="00230F40" w:rsidRDefault="00A1425C">
            <w:pPr>
              <w:rPr>
                <w:rFonts w:asciiTheme="minorHAnsi" w:hAnsiTheme="minorHAnsi" w:cs="Arial"/>
                <w:b/>
                <w:sz w:val="20"/>
                <w:szCs w:val="20"/>
              </w:rPr>
            </w:pPr>
            <w:r w:rsidRPr="00230F40">
              <w:rPr>
                <w:rFonts w:asciiTheme="minorHAnsi" w:hAnsiTheme="minorHAnsi" w:cs="Arial"/>
                <w:b/>
                <w:sz w:val="20"/>
                <w:szCs w:val="20"/>
              </w:rPr>
              <w:t>Liabilities</w:t>
            </w:r>
          </w:p>
        </w:tc>
        <w:tc>
          <w:tcPr>
            <w:tcW w:w="1217" w:type="dxa"/>
            <w:vAlign w:val="bottom"/>
          </w:tcPr>
          <w:p w14:paraId="413CD0A9"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vAlign w:val="bottom"/>
          </w:tcPr>
          <w:p w14:paraId="551DB152" w14:textId="77777777" w:rsidR="00A1425C" w:rsidRPr="00230F40" w:rsidRDefault="00A1425C">
            <w:pPr>
              <w:jc w:val="right"/>
              <w:rPr>
                <w:rFonts w:asciiTheme="minorHAnsi" w:hAnsiTheme="minorHAnsi" w:cs="Arial"/>
                <w:b/>
                <w:sz w:val="20"/>
                <w:szCs w:val="20"/>
              </w:rPr>
            </w:pPr>
          </w:p>
        </w:tc>
        <w:tc>
          <w:tcPr>
            <w:tcW w:w="1477" w:type="dxa"/>
            <w:vAlign w:val="bottom"/>
          </w:tcPr>
          <w:p w14:paraId="6F286D07" w14:textId="77777777" w:rsidR="00A1425C" w:rsidRPr="00230F40" w:rsidRDefault="00A1425C">
            <w:pPr>
              <w:jc w:val="right"/>
              <w:rPr>
                <w:rFonts w:asciiTheme="minorHAnsi" w:hAnsiTheme="minorHAnsi" w:cs="Arial"/>
                <w:sz w:val="20"/>
                <w:szCs w:val="20"/>
              </w:rPr>
            </w:pPr>
          </w:p>
        </w:tc>
        <w:tc>
          <w:tcPr>
            <w:tcW w:w="1357" w:type="dxa"/>
            <w:vAlign w:val="bottom"/>
          </w:tcPr>
          <w:p w14:paraId="7CEBA85D" w14:textId="77777777" w:rsidR="00A1425C" w:rsidRPr="00230F40" w:rsidRDefault="00A1425C">
            <w:pPr>
              <w:jc w:val="right"/>
              <w:rPr>
                <w:rFonts w:asciiTheme="minorHAnsi" w:hAnsiTheme="minorHAnsi" w:cs="Arial"/>
                <w:sz w:val="20"/>
                <w:szCs w:val="20"/>
                <w:lang w:val="fr-FR"/>
              </w:rPr>
            </w:pPr>
          </w:p>
        </w:tc>
      </w:tr>
      <w:tr w:rsidR="00A1425C" w:rsidRPr="00230F40" w14:paraId="503FF5F7" w14:textId="77777777" w:rsidTr="003B7755">
        <w:trPr>
          <w:trHeight w:val="142"/>
        </w:trPr>
        <w:tc>
          <w:tcPr>
            <w:tcW w:w="4678" w:type="dxa"/>
            <w:vAlign w:val="bottom"/>
          </w:tcPr>
          <w:p w14:paraId="5C5EECD4" w14:textId="77777777" w:rsidR="00A1425C" w:rsidRPr="00230F40" w:rsidRDefault="00A1425C">
            <w:pPr>
              <w:rPr>
                <w:rFonts w:asciiTheme="minorHAnsi" w:hAnsiTheme="minorHAnsi" w:cs="Arial"/>
                <w:b/>
                <w:sz w:val="20"/>
                <w:szCs w:val="20"/>
              </w:rPr>
            </w:pPr>
            <w:r w:rsidRPr="00230F40">
              <w:rPr>
                <w:rFonts w:asciiTheme="minorHAnsi" w:hAnsiTheme="minorHAnsi" w:cs="Arial"/>
                <w:sz w:val="20"/>
                <w:szCs w:val="20"/>
                <w:lang w:val="en-US"/>
              </w:rPr>
              <w:t>Trade and other payables</w:t>
            </w:r>
          </w:p>
        </w:tc>
        <w:tc>
          <w:tcPr>
            <w:tcW w:w="1217" w:type="dxa"/>
            <w:vAlign w:val="bottom"/>
          </w:tcPr>
          <w:p w14:paraId="40B05B28"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vAlign w:val="bottom"/>
          </w:tcPr>
          <w:p w14:paraId="48A5D4B7" w14:textId="4718A1B9" w:rsidR="00A1425C" w:rsidRPr="00230F40" w:rsidRDefault="00E15F9C">
            <w:pPr>
              <w:jc w:val="right"/>
              <w:rPr>
                <w:rFonts w:asciiTheme="minorHAnsi" w:hAnsiTheme="minorHAnsi" w:cs="Arial"/>
                <w:b/>
                <w:sz w:val="20"/>
                <w:szCs w:val="20"/>
              </w:rPr>
            </w:pPr>
            <w:r>
              <w:rPr>
                <w:rFonts w:asciiTheme="minorHAnsi" w:hAnsiTheme="minorHAnsi" w:cs="Arial"/>
                <w:b/>
                <w:sz w:val="20"/>
                <w:szCs w:val="20"/>
              </w:rPr>
              <w:t>5</w:t>
            </w:r>
            <w:r w:rsidR="004B5D98">
              <w:rPr>
                <w:rFonts w:asciiTheme="minorHAnsi" w:hAnsiTheme="minorHAnsi" w:cs="Arial"/>
                <w:b/>
                <w:sz w:val="20"/>
                <w:szCs w:val="20"/>
              </w:rPr>
              <w:t>6.0</w:t>
            </w:r>
          </w:p>
        </w:tc>
        <w:tc>
          <w:tcPr>
            <w:tcW w:w="1477" w:type="dxa"/>
            <w:vAlign w:val="bottom"/>
          </w:tcPr>
          <w:p w14:paraId="1CDE3963" w14:textId="5B9FED81" w:rsidR="00A1425C" w:rsidRPr="00230F40" w:rsidRDefault="00F860A4">
            <w:pPr>
              <w:jc w:val="right"/>
              <w:rPr>
                <w:rFonts w:asciiTheme="minorHAnsi" w:hAnsiTheme="minorHAnsi" w:cs="Arial"/>
                <w:sz w:val="20"/>
                <w:szCs w:val="20"/>
              </w:rPr>
            </w:pPr>
            <w:r w:rsidRPr="008E5803">
              <w:rPr>
                <w:rFonts w:asciiTheme="minorHAnsi" w:hAnsiTheme="minorHAnsi" w:cs="Arial"/>
                <w:bCs/>
                <w:sz w:val="20"/>
                <w:szCs w:val="20"/>
              </w:rPr>
              <w:t>46</w:t>
            </w:r>
            <w:r w:rsidR="0058318C" w:rsidRPr="00230F40">
              <w:rPr>
                <w:rFonts w:asciiTheme="minorHAnsi" w:hAnsiTheme="minorHAnsi" w:cs="Arial"/>
                <w:sz w:val="20"/>
                <w:szCs w:val="20"/>
              </w:rPr>
              <w:t>.1</w:t>
            </w:r>
          </w:p>
        </w:tc>
        <w:tc>
          <w:tcPr>
            <w:tcW w:w="1357" w:type="dxa"/>
            <w:vAlign w:val="bottom"/>
          </w:tcPr>
          <w:p w14:paraId="144C5AB1" w14:textId="51DC7531"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rPr>
              <w:t>49.6</w:t>
            </w:r>
          </w:p>
        </w:tc>
      </w:tr>
      <w:tr w:rsidR="00A1425C" w:rsidRPr="00230F40" w14:paraId="3B4F2F16" w14:textId="77777777" w:rsidTr="003B7755">
        <w:trPr>
          <w:trHeight w:val="142"/>
        </w:trPr>
        <w:tc>
          <w:tcPr>
            <w:tcW w:w="4678" w:type="dxa"/>
            <w:vAlign w:val="bottom"/>
          </w:tcPr>
          <w:p w14:paraId="4BC4CB46" w14:textId="77777777" w:rsidR="00A1425C" w:rsidRPr="00230F40" w:rsidRDefault="00A1425C">
            <w:pPr>
              <w:rPr>
                <w:rFonts w:asciiTheme="minorHAnsi" w:hAnsiTheme="minorHAnsi" w:cs="Arial"/>
                <w:sz w:val="20"/>
                <w:szCs w:val="20"/>
                <w:lang w:val="fr-FR"/>
              </w:rPr>
            </w:pPr>
            <w:r w:rsidRPr="00230F40">
              <w:rPr>
                <w:rFonts w:asciiTheme="minorHAnsi" w:hAnsiTheme="minorHAnsi" w:cs="Arial"/>
                <w:sz w:val="20"/>
                <w:szCs w:val="20"/>
                <w:lang w:val="fr-FR"/>
              </w:rPr>
              <w:t>Provisions</w:t>
            </w:r>
          </w:p>
        </w:tc>
        <w:tc>
          <w:tcPr>
            <w:tcW w:w="1217" w:type="dxa"/>
            <w:vAlign w:val="bottom"/>
          </w:tcPr>
          <w:p w14:paraId="57B70915" w14:textId="6F81F74C" w:rsidR="00A1425C" w:rsidRPr="00230F40" w:rsidRDefault="00041286">
            <w:pPr>
              <w:jc w:val="right"/>
              <w:rPr>
                <w:rFonts w:asciiTheme="minorHAnsi" w:hAnsiTheme="minorHAnsi" w:cs="Arial"/>
                <w:sz w:val="20"/>
                <w:szCs w:val="20"/>
              </w:rPr>
            </w:pPr>
            <w:r w:rsidRPr="00230F40">
              <w:rPr>
                <w:rFonts w:asciiTheme="minorHAnsi" w:hAnsiTheme="minorHAnsi" w:cs="Arial"/>
                <w:sz w:val="20"/>
                <w:szCs w:val="20"/>
              </w:rPr>
              <w:t>14</w:t>
            </w:r>
          </w:p>
        </w:tc>
        <w:tc>
          <w:tcPr>
            <w:tcW w:w="1417" w:type="dxa"/>
            <w:shd w:val="clear" w:color="auto" w:fill="F2F2F2" w:themeFill="background1" w:themeFillShade="F2"/>
          </w:tcPr>
          <w:p w14:paraId="23E43D80" w14:textId="7553B23E" w:rsidR="00A1425C" w:rsidRPr="00230F40" w:rsidRDefault="00C65CE3">
            <w:pPr>
              <w:jc w:val="right"/>
              <w:rPr>
                <w:rFonts w:asciiTheme="minorHAnsi" w:hAnsiTheme="minorHAnsi" w:cs="Arial"/>
                <w:b/>
                <w:sz w:val="20"/>
                <w:szCs w:val="20"/>
              </w:rPr>
            </w:pPr>
            <w:r>
              <w:rPr>
                <w:rFonts w:asciiTheme="minorHAnsi" w:hAnsiTheme="minorHAnsi" w:cs="Arial"/>
                <w:b/>
                <w:sz w:val="20"/>
                <w:szCs w:val="20"/>
              </w:rPr>
              <w:t>9.2</w:t>
            </w:r>
          </w:p>
        </w:tc>
        <w:tc>
          <w:tcPr>
            <w:tcW w:w="1477" w:type="dxa"/>
          </w:tcPr>
          <w:p w14:paraId="06182D4C" w14:textId="216749CD" w:rsidR="00A1425C" w:rsidRPr="00230F40" w:rsidRDefault="00F860A4">
            <w:pPr>
              <w:jc w:val="right"/>
              <w:rPr>
                <w:rFonts w:asciiTheme="minorHAnsi" w:hAnsiTheme="minorHAnsi" w:cs="Arial"/>
                <w:sz w:val="20"/>
                <w:szCs w:val="20"/>
              </w:rPr>
            </w:pPr>
            <w:r w:rsidRPr="008E5803">
              <w:rPr>
                <w:rFonts w:asciiTheme="minorHAnsi" w:hAnsiTheme="minorHAnsi" w:cs="Arial"/>
                <w:bCs/>
                <w:sz w:val="20"/>
                <w:szCs w:val="20"/>
              </w:rPr>
              <w:t>15.</w:t>
            </w:r>
            <w:r w:rsidR="0058318C" w:rsidRPr="00230F40">
              <w:rPr>
                <w:rFonts w:asciiTheme="minorHAnsi" w:hAnsiTheme="minorHAnsi" w:cs="Arial"/>
                <w:sz w:val="20"/>
                <w:szCs w:val="20"/>
              </w:rPr>
              <w:t>5</w:t>
            </w:r>
          </w:p>
        </w:tc>
        <w:tc>
          <w:tcPr>
            <w:tcW w:w="1357" w:type="dxa"/>
            <w:vAlign w:val="bottom"/>
          </w:tcPr>
          <w:p w14:paraId="688E6F42" w14:textId="1188B20B"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rPr>
              <w:t>16.3</w:t>
            </w:r>
          </w:p>
        </w:tc>
      </w:tr>
      <w:tr w:rsidR="00A1425C" w:rsidRPr="00230F40" w14:paraId="3989BB35" w14:textId="77777777" w:rsidTr="003B7755">
        <w:trPr>
          <w:trHeight w:val="142"/>
        </w:trPr>
        <w:tc>
          <w:tcPr>
            <w:tcW w:w="4678" w:type="dxa"/>
            <w:vAlign w:val="bottom"/>
          </w:tcPr>
          <w:p w14:paraId="67CE3F59" w14:textId="77777777" w:rsidR="00A1425C" w:rsidRPr="00230F40" w:rsidRDefault="00A1425C">
            <w:pPr>
              <w:rPr>
                <w:rFonts w:asciiTheme="minorHAnsi" w:hAnsiTheme="minorHAnsi" w:cs="Arial"/>
                <w:sz w:val="20"/>
                <w:szCs w:val="20"/>
                <w:lang w:val="fr-FR"/>
              </w:rPr>
            </w:pPr>
            <w:r w:rsidRPr="00230F40">
              <w:rPr>
                <w:rFonts w:asciiTheme="minorHAnsi" w:hAnsiTheme="minorHAnsi" w:cs="Arial"/>
                <w:sz w:val="20"/>
                <w:szCs w:val="20"/>
                <w:lang w:val="en-US"/>
              </w:rPr>
              <w:t>Lease liabilities</w:t>
            </w:r>
          </w:p>
        </w:tc>
        <w:tc>
          <w:tcPr>
            <w:tcW w:w="1217" w:type="dxa"/>
            <w:vAlign w:val="bottom"/>
          </w:tcPr>
          <w:p w14:paraId="6E6129CC"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tcPr>
          <w:p w14:paraId="208D699A" w14:textId="4E9525D8" w:rsidR="00A1425C" w:rsidRPr="00230F40" w:rsidRDefault="002B5BC1">
            <w:pPr>
              <w:jc w:val="right"/>
              <w:rPr>
                <w:rFonts w:asciiTheme="minorHAnsi" w:hAnsiTheme="minorHAnsi" w:cs="Arial"/>
                <w:b/>
                <w:sz w:val="20"/>
                <w:szCs w:val="20"/>
              </w:rPr>
            </w:pPr>
            <w:r>
              <w:rPr>
                <w:rFonts w:asciiTheme="minorHAnsi" w:hAnsiTheme="minorHAnsi" w:cs="Arial"/>
                <w:b/>
                <w:sz w:val="20"/>
                <w:szCs w:val="20"/>
              </w:rPr>
              <w:t>28.3</w:t>
            </w:r>
          </w:p>
        </w:tc>
        <w:tc>
          <w:tcPr>
            <w:tcW w:w="1477" w:type="dxa"/>
          </w:tcPr>
          <w:p w14:paraId="6C190166" w14:textId="12871272" w:rsidR="00A1425C" w:rsidRPr="00230F40" w:rsidRDefault="00F860A4">
            <w:pPr>
              <w:jc w:val="right"/>
              <w:rPr>
                <w:rFonts w:asciiTheme="minorHAnsi" w:hAnsiTheme="minorHAnsi" w:cs="Arial"/>
                <w:sz w:val="20"/>
                <w:szCs w:val="20"/>
              </w:rPr>
            </w:pPr>
            <w:r w:rsidRPr="008E5803">
              <w:rPr>
                <w:rFonts w:asciiTheme="minorHAnsi" w:hAnsiTheme="minorHAnsi" w:cs="Arial"/>
                <w:bCs/>
                <w:sz w:val="20"/>
                <w:szCs w:val="20"/>
              </w:rPr>
              <w:t>32.5</w:t>
            </w:r>
          </w:p>
        </w:tc>
        <w:tc>
          <w:tcPr>
            <w:tcW w:w="1357" w:type="dxa"/>
            <w:vAlign w:val="bottom"/>
          </w:tcPr>
          <w:p w14:paraId="165798B3" w14:textId="44231049" w:rsidR="00A1425C" w:rsidRPr="00230F40" w:rsidRDefault="00F860A4">
            <w:pPr>
              <w:jc w:val="right"/>
              <w:rPr>
                <w:rFonts w:asciiTheme="minorHAnsi" w:hAnsiTheme="minorHAnsi" w:cs="Arial"/>
                <w:sz w:val="20"/>
                <w:szCs w:val="20"/>
                <w:lang w:val="fr-FR"/>
              </w:rPr>
            </w:pPr>
            <w:r w:rsidRPr="00F860A4">
              <w:rPr>
                <w:rFonts w:asciiTheme="minorHAnsi" w:hAnsiTheme="minorHAnsi" w:cs="Arial"/>
                <w:bCs/>
                <w:sz w:val="20"/>
                <w:szCs w:val="20"/>
              </w:rPr>
              <w:t>37.1</w:t>
            </w:r>
          </w:p>
        </w:tc>
      </w:tr>
      <w:tr w:rsidR="0056229A" w:rsidRPr="00230F40" w14:paraId="397B1AB6" w14:textId="77777777" w:rsidTr="003B7755">
        <w:trPr>
          <w:trHeight w:val="142"/>
        </w:trPr>
        <w:tc>
          <w:tcPr>
            <w:tcW w:w="4678" w:type="dxa"/>
            <w:vAlign w:val="bottom"/>
          </w:tcPr>
          <w:p w14:paraId="302ADE7C" w14:textId="714EF151" w:rsidR="0056229A" w:rsidRPr="00230F40" w:rsidRDefault="0056229A" w:rsidP="0056229A">
            <w:pPr>
              <w:rPr>
                <w:rFonts w:asciiTheme="minorHAnsi" w:hAnsiTheme="minorHAnsi" w:cs="Arial"/>
                <w:sz w:val="20"/>
                <w:szCs w:val="20"/>
                <w:lang w:val="en-US"/>
              </w:rPr>
            </w:pPr>
            <w:r>
              <w:rPr>
                <w:rFonts w:asciiTheme="minorHAnsi" w:hAnsiTheme="minorHAnsi" w:cs="Arial"/>
                <w:sz w:val="20"/>
                <w:szCs w:val="20"/>
                <w:lang w:val="en-US"/>
              </w:rPr>
              <w:t xml:space="preserve">Current tax </w:t>
            </w:r>
            <w:r w:rsidR="00F504BF">
              <w:rPr>
                <w:rFonts w:asciiTheme="minorHAnsi" w:hAnsiTheme="minorHAnsi" w:cs="Arial"/>
                <w:sz w:val="20"/>
                <w:szCs w:val="20"/>
                <w:lang w:val="en-US"/>
              </w:rPr>
              <w:t>liability</w:t>
            </w:r>
          </w:p>
        </w:tc>
        <w:tc>
          <w:tcPr>
            <w:tcW w:w="1217" w:type="dxa"/>
            <w:vAlign w:val="bottom"/>
          </w:tcPr>
          <w:p w14:paraId="77A615A2" w14:textId="77777777" w:rsidR="0056229A" w:rsidRPr="00230F40" w:rsidRDefault="0056229A" w:rsidP="0056229A">
            <w:pPr>
              <w:jc w:val="right"/>
              <w:rPr>
                <w:rFonts w:asciiTheme="minorHAnsi" w:hAnsiTheme="minorHAnsi" w:cs="Arial"/>
                <w:sz w:val="20"/>
                <w:szCs w:val="20"/>
              </w:rPr>
            </w:pPr>
          </w:p>
        </w:tc>
        <w:tc>
          <w:tcPr>
            <w:tcW w:w="1417" w:type="dxa"/>
            <w:shd w:val="clear" w:color="auto" w:fill="F2F2F2" w:themeFill="background1" w:themeFillShade="F2"/>
          </w:tcPr>
          <w:p w14:paraId="3998D8D8" w14:textId="5F21D240" w:rsidR="0056229A" w:rsidRPr="00230F40" w:rsidRDefault="00000EFE" w:rsidP="0056229A">
            <w:pPr>
              <w:jc w:val="right"/>
              <w:rPr>
                <w:rFonts w:asciiTheme="minorHAnsi" w:hAnsiTheme="minorHAnsi" w:cs="Arial"/>
                <w:b/>
                <w:sz w:val="20"/>
                <w:szCs w:val="20"/>
              </w:rPr>
            </w:pPr>
            <w:r>
              <w:rPr>
                <w:rFonts w:asciiTheme="minorHAnsi" w:hAnsiTheme="minorHAnsi" w:cs="Arial"/>
                <w:b/>
                <w:sz w:val="20"/>
                <w:szCs w:val="20"/>
              </w:rPr>
              <w:t>-</w:t>
            </w:r>
          </w:p>
        </w:tc>
        <w:tc>
          <w:tcPr>
            <w:tcW w:w="1477" w:type="dxa"/>
          </w:tcPr>
          <w:p w14:paraId="37C3AD03" w14:textId="170AFB44" w:rsidR="0056229A" w:rsidRPr="008E5803" w:rsidRDefault="003F07DC" w:rsidP="0056229A">
            <w:pPr>
              <w:jc w:val="right"/>
              <w:rPr>
                <w:rFonts w:asciiTheme="minorHAnsi" w:hAnsiTheme="minorHAnsi" w:cs="Arial"/>
                <w:bCs/>
                <w:sz w:val="20"/>
                <w:szCs w:val="20"/>
              </w:rPr>
            </w:pPr>
            <w:r>
              <w:rPr>
                <w:rFonts w:asciiTheme="minorHAnsi" w:hAnsiTheme="minorHAnsi" w:cs="Arial"/>
                <w:bCs/>
                <w:sz w:val="20"/>
                <w:szCs w:val="20"/>
              </w:rPr>
              <w:t>-</w:t>
            </w:r>
          </w:p>
        </w:tc>
        <w:tc>
          <w:tcPr>
            <w:tcW w:w="1357" w:type="dxa"/>
            <w:vAlign w:val="bottom"/>
          </w:tcPr>
          <w:p w14:paraId="68D11E0F" w14:textId="2BEE8B8E" w:rsidR="0056229A" w:rsidRPr="0056229A" w:rsidRDefault="0056229A" w:rsidP="0056229A">
            <w:pPr>
              <w:jc w:val="right"/>
              <w:rPr>
                <w:rFonts w:asciiTheme="minorHAnsi" w:hAnsiTheme="minorHAnsi" w:cs="Arial"/>
                <w:bCs/>
                <w:sz w:val="20"/>
                <w:szCs w:val="20"/>
              </w:rPr>
            </w:pPr>
            <w:r w:rsidRPr="0056229A">
              <w:rPr>
                <w:rFonts w:asciiTheme="minorHAnsi" w:hAnsiTheme="minorHAnsi" w:cs="Arial"/>
                <w:bCs/>
                <w:sz w:val="20"/>
                <w:szCs w:val="20"/>
              </w:rPr>
              <w:t>1.2</w:t>
            </w:r>
          </w:p>
        </w:tc>
      </w:tr>
      <w:tr w:rsidR="00A1425C" w:rsidRPr="00230F40" w14:paraId="55CFBC40" w14:textId="77777777" w:rsidTr="003B7755">
        <w:trPr>
          <w:trHeight w:val="142"/>
        </w:trPr>
        <w:tc>
          <w:tcPr>
            <w:tcW w:w="4678" w:type="dxa"/>
            <w:vAlign w:val="bottom"/>
          </w:tcPr>
          <w:p w14:paraId="73DFB239"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t>Retail deposits</w:t>
            </w:r>
          </w:p>
        </w:tc>
        <w:tc>
          <w:tcPr>
            <w:tcW w:w="1217" w:type="dxa"/>
            <w:vAlign w:val="bottom"/>
          </w:tcPr>
          <w:p w14:paraId="67C529F8"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tcPr>
          <w:p w14:paraId="11E7F347" w14:textId="5D020A7B" w:rsidR="00A1425C" w:rsidRPr="00230F40" w:rsidRDefault="00552552">
            <w:pPr>
              <w:jc w:val="right"/>
              <w:rPr>
                <w:rFonts w:asciiTheme="minorHAnsi" w:hAnsiTheme="minorHAnsi" w:cs="Arial"/>
                <w:b/>
                <w:sz w:val="20"/>
                <w:szCs w:val="20"/>
              </w:rPr>
            </w:pPr>
            <w:r>
              <w:rPr>
                <w:rFonts w:asciiTheme="minorHAnsi" w:hAnsiTheme="minorHAnsi" w:cs="Arial"/>
                <w:b/>
                <w:sz w:val="20"/>
                <w:szCs w:val="20"/>
              </w:rPr>
              <w:t>2,463.8</w:t>
            </w:r>
          </w:p>
        </w:tc>
        <w:tc>
          <w:tcPr>
            <w:tcW w:w="1477" w:type="dxa"/>
          </w:tcPr>
          <w:p w14:paraId="0A6C98A7" w14:textId="62DB5224" w:rsidR="00A1425C" w:rsidRPr="00230F40" w:rsidRDefault="0056229A">
            <w:pPr>
              <w:jc w:val="right"/>
              <w:rPr>
                <w:rFonts w:asciiTheme="minorHAnsi" w:hAnsiTheme="minorHAnsi" w:cs="Arial"/>
                <w:sz w:val="20"/>
                <w:szCs w:val="20"/>
              </w:rPr>
            </w:pPr>
            <w:r w:rsidRPr="008E5803">
              <w:rPr>
                <w:rFonts w:asciiTheme="minorHAnsi" w:hAnsiTheme="minorHAnsi" w:cs="Arial"/>
                <w:bCs/>
                <w:sz w:val="20"/>
                <w:szCs w:val="20"/>
              </w:rPr>
              <w:t>2,428.2</w:t>
            </w:r>
          </w:p>
        </w:tc>
        <w:tc>
          <w:tcPr>
            <w:tcW w:w="1357" w:type="dxa"/>
            <w:vAlign w:val="bottom"/>
          </w:tcPr>
          <w:p w14:paraId="0328F871" w14:textId="55E077F4" w:rsidR="00A1425C" w:rsidRPr="00230F40" w:rsidRDefault="00A1425C">
            <w:pPr>
              <w:jc w:val="right"/>
              <w:rPr>
                <w:rFonts w:asciiTheme="minorHAnsi" w:hAnsiTheme="minorHAnsi" w:cs="Arial"/>
                <w:sz w:val="20"/>
                <w:szCs w:val="20"/>
                <w:lang w:val="fr-FR"/>
              </w:rPr>
            </w:pPr>
            <w:r w:rsidRPr="0056229A">
              <w:rPr>
                <w:rFonts w:asciiTheme="minorHAnsi" w:hAnsiTheme="minorHAnsi" w:cs="Arial"/>
                <w:sz w:val="20"/>
                <w:szCs w:val="20"/>
              </w:rPr>
              <w:t>1,</w:t>
            </w:r>
            <w:r w:rsidR="0056229A" w:rsidRPr="0056229A">
              <w:rPr>
                <w:rFonts w:asciiTheme="minorHAnsi" w:hAnsiTheme="minorHAnsi" w:cs="Arial"/>
                <w:bCs/>
                <w:sz w:val="20"/>
                <w:szCs w:val="20"/>
              </w:rPr>
              <w:t>937.5</w:t>
            </w:r>
          </w:p>
        </w:tc>
      </w:tr>
      <w:tr w:rsidR="00A1425C" w:rsidRPr="00230F40" w14:paraId="528C7943" w14:textId="77777777" w:rsidTr="003B7755">
        <w:trPr>
          <w:trHeight w:val="142"/>
        </w:trPr>
        <w:tc>
          <w:tcPr>
            <w:tcW w:w="4678" w:type="dxa"/>
            <w:vAlign w:val="bottom"/>
          </w:tcPr>
          <w:p w14:paraId="1D75BBBF"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t>Bank and other borrowings</w:t>
            </w:r>
          </w:p>
        </w:tc>
        <w:tc>
          <w:tcPr>
            <w:tcW w:w="1217" w:type="dxa"/>
            <w:vAlign w:val="bottom"/>
          </w:tcPr>
          <w:p w14:paraId="48B0465C"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tcPr>
          <w:p w14:paraId="2D880533" w14:textId="731684F4" w:rsidR="00A1425C" w:rsidRPr="00230F40" w:rsidRDefault="00552552">
            <w:pPr>
              <w:jc w:val="right"/>
              <w:rPr>
                <w:rFonts w:asciiTheme="minorHAnsi" w:hAnsiTheme="minorHAnsi" w:cs="Arial"/>
                <w:b/>
                <w:sz w:val="20"/>
                <w:szCs w:val="20"/>
              </w:rPr>
            </w:pPr>
            <w:r>
              <w:rPr>
                <w:rFonts w:asciiTheme="minorHAnsi" w:hAnsiTheme="minorHAnsi" w:cs="Arial"/>
                <w:b/>
                <w:sz w:val="20"/>
                <w:szCs w:val="20"/>
              </w:rPr>
              <w:t>447.7</w:t>
            </w:r>
          </w:p>
        </w:tc>
        <w:tc>
          <w:tcPr>
            <w:tcW w:w="1477" w:type="dxa"/>
          </w:tcPr>
          <w:p w14:paraId="563C3DD5" w14:textId="12EB07CC" w:rsidR="00A1425C" w:rsidRPr="00230F40" w:rsidRDefault="0056229A">
            <w:pPr>
              <w:jc w:val="right"/>
              <w:rPr>
                <w:rFonts w:asciiTheme="minorHAnsi" w:hAnsiTheme="minorHAnsi" w:cs="Arial"/>
                <w:sz w:val="20"/>
                <w:szCs w:val="20"/>
              </w:rPr>
            </w:pPr>
            <w:r w:rsidRPr="008E5803">
              <w:rPr>
                <w:rFonts w:asciiTheme="minorHAnsi" w:hAnsiTheme="minorHAnsi" w:cs="Arial"/>
                <w:bCs/>
                <w:sz w:val="20"/>
                <w:szCs w:val="20"/>
              </w:rPr>
              <w:t>410.0</w:t>
            </w:r>
          </w:p>
        </w:tc>
        <w:tc>
          <w:tcPr>
            <w:tcW w:w="1357" w:type="dxa"/>
            <w:vAlign w:val="bottom"/>
          </w:tcPr>
          <w:p w14:paraId="601CF915" w14:textId="3F06FB71" w:rsidR="00A1425C" w:rsidRPr="00230F40" w:rsidRDefault="0056229A">
            <w:pPr>
              <w:jc w:val="right"/>
              <w:rPr>
                <w:rFonts w:asciiTheme="minorHAnsi" w:hAnsiTheme="minorHAnsi" w:cs="Arial"/>
                <w:sz w:val="20"/>
                <w:szCs w:val="20"/>
                <w:lang w:val="fr-FR"/>
              </w:rPr>
            </w:pPr>
            <w:r w:rsidRPr="0056229A">
              <w:rPr>
                <w:rFonts w:asciiTheme="minorHAnsi" w:hAnsiTheme="minorHAnsi" w:cs="Arial"/>
                <w:bCs/>
                <w:sz w:val="20"/>
                <w:szCs w:val="20"/>
              </w:rPr>
              <w:t>504.1</w:t>
            </w:r>
          </w:p>
        </w:tc>
      </w:tr>
      <w:tr w:rsidR="00A1425C" w:rsidRPr="00230F40" w14:paraId="4500420D" w14:textId="77777777" w:rsidTr="003B7755">
        <w:trPr>
          <w:trHeight w:val="142"/>
        </w:trPr>
        <w:tc>
          <w:tcPr>
            <w:tcW w:w="4678" w:type="dxa"/>
            <w:vAlign w:val="bottom"/>
          </w:tcPr>
          <w:p w14:paraId="7214E8FC" w14:textId="77777777" w:rsidR="00A1425C" w:rsidRPr="00230F40" w:rsidRDefault="00A1425C">
            <w:pPr>
              <w:rPr>
                <w:rFonts w:asciiTheme="minorHAnsi" w:hAnsiTheme="minorHAnsi" w:cs="Arial"/>
                <w:sz w:val="20"/>
                <w:szCs w:val="20"/>
                <w:lang w:val="en-US"/>
              </w:rPr>
            </w:pPr>
            <w:r w:rsidRPr="00230F40">
              <w:rPr>
                <w:rFonts w:asciiTheme="minorHAnsi" w:hAnsiTheme="minorHAnsi" w:cs="Arial"/>
                <w:sz w:val="20"/>
                <w:szCs w:val="20"/>
                <w:lang w:val="en-US"/>
              </w:rPr>
              <w:t>Derivative financial instruments</w:t>
            </w:r>
          </w:p>
        </w:tc>
        <w:tc>
          <w:tcPr>
            <w:tcW w:w="1217" w:type="dxa"/>
            <w:vAlign w:val="bottom"/>
          </w:tcPr>
          <w:p w14:paraId="273B1019"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tcPr>
          <w:p w14:paraId="1FE54F00" w14:textId="44869693" w:rsidR="00A1425C" w:rsidRPr="00230F40" w:rsidRDefault="00911F5C">
            <w:pPr>
              <w:jc w:val="right"/>
              <w:rPr>
                <w:rFonts w:asciiTheme="minorHAnsi" w:hAnsiTheme="minorHAnsi" w:cs="Arial"/>
                <w:b/>
                <w:sz w:val="20"/>
                <w:szCs w:val="20"/>
              </w:rPr>
            </w:pPr>
            <w:r>
              <w:rPr>
                <w:rFonts w:asciiTheme="minorHAnsi" w:hAnsiTheme="minorHAnsi" w:cs="Arial"/>
                <w:b/>
                <w:sz w:val="20"/>
                <w:szCs w:val="20"/>
              </w:rPr>
              <w:t>7.0</w:t>
            </w:r>
          </w:p>
        </w:tc>
        <w:tc>
          <w:tcPr>
            <w:tcW w:w="1477" w:type="dxa"/>
          </w:tcPr>
          <w:p w14:paraId="3B146427" w14:textId="5D96D2FB" w:rsidR="00A1425C" w:rsidRPr="00230F40" w:rsidRDefault="0058318C">
            <w:pPr>
              <w:jc w:val="right"/>
              <w:rPr>
                <w:rFonts w:asciiTheme="minorHAnsi" w:hAnsiTheme="minorHAnsi" w:cs="Arial"/>
                <w:sz w:val="20"/>
                <w:szCs w:val="20"/>
              </w:rPr>
            </w:pPr>
            <w:r w:rsidRPr="00230F40">
              <w:rPr>
                <w:rFonts w:asciiTheme="minorHAnsi" w:hAnsiTheme="minorHAnsi" w:cs="Arial"/>
                <w:sz w:val="20"/>
                <w:szCs w:val="20"/>
              </w:rPr>
              <w:t>1.8</w:t>
            </w:r>
          </w:p>
        </w:tc>
        <w:tc>
          <w:tcPr>
            <w:tcW w:w="1357" w:type="dxa"/>
            <w:vAlign w:val="bottom"/>
          </w:tcPr>
          <w:p w14:paraId="18530C01" w14:textId="4B971F30" w:rsidR="00A1425C" w:rsidRPr="00230F40" w:rsidRDefault="0056229A">
            <w:pPr>
              <w:jc w:val="right"/>
              <w:rPr>
                <w:rFonts w:asciiTheme="minorHAnsi" w:hAnsiTheme="minorHAnsi" w:cs="Arial"/>
                <w:sz w:val="20"/>
                <w:szCs w:val="20"/>
                <w:lang w:val="fr-FR"/>
              </w:rPr>
            </w:pPr>
            <w:r w:rsidRPr="0056229A">
              <w:rPr>
                <w:rFonts w:asciiTheme="minorHAnsi" w:hAnsiTheme="minorHAnsi" w:cs="Arial"/>
                <w:bCs/>
                <w:sz w:val="20"/>
                <w:szCs w:val="20"/>
              </w:rPr>
              <w:t>9.6</w:t>
            </w:r>
          </w:p>
        </w:tc>
      </w:tr>
      <w:tr w:rsidR="00A1425C" w:rsidRPr="00230F40" w14:paraId="3F80536B" w14:textId="77777777" w:rsidTr="003B7755">
        <w:trPr>
          <w:trHeight w:val="142"/>
        </w:trPr>
        <w:tc>
          <w:tcPr>
            <w:tcW w:w="4678" w:type="dxa"/>
            <w:vAlign w:val="bottom"/>
          </w:tcPr>
          <w:p w14:paraId="35F2D5B3" w14:textId="77777777" w:rsidR="00A1425C" w:rsidRPr="00230F40" w:rsidRDefault="00A1425C">
            <w:pPr>
              <w:rPr>
                <w:rFonts w:asciiTheme="minorHAnsi" w:hAnsiTheme="minorHAnsi" w:cs="Arial"/>
                <w:b/>
                <w:sz w:val="20"/>
                <w:szCs w:val="20"/>
              </w:rPr>
            </w:pPr>
            <w:r w:rsidRPr="00230F40">
              <w:rPr>
                <w:rFonts w:asciiTheme="minorHAnsi" w:hAnsiTheme="minorHAnsi" w:cs="Arial"/>
                <w:b/>
                <w:sz w:val="20"/>
                <w:szCs w:val="20"/>
              </w:rPr>
              <w:t>Total liabilities</w:t>
            </w:r>
          </w:p>
        </w:tc>
        <w:tc>
          <w:tcPr>
            <w:tcW w:w="1217" w:type="dxa"/>
            <w:vAlign w:val="bottom"/>
          </w:tcPr>
          <w:p w14:paraId="3FFCF9DC" w14:textId="77777777" w:rsidR="00A1425C" w:rsidRPr="00230F40" w:rsidRDefault="00A1425C">
            <w:pPr>
              <w:jc w:val="right"/>
              <w:rPr>
                <w:rFonts w:asciiTheme="minorHAnsi" w:hAnsiTheme="minorHAnsi" w:cs="Arial"/>
                <w:sz w:val="20"/>
                <w:szCs w:val="20"/>
              </w:rPr>
            </w:pPr>
          </w:p>
        </w:tc>
        <w:tc>
          <w:tcPr>
            <w:tcW w:w="1417" w:type="dxa"/>
            <w:tcBorders>
              <w:top w:val="single" w:sz="4" w:space="0" w:color="auto"/>
              <w:left w:val="nil"/>
              <w:bottom w:val="single" w:sz="4" w:space="0" w:color="auto"/>
              <w:right w:val="nil"/>
            </w:tcBorders>
            <w:shd w:val="clear" w:color="auto" w:fill="F2F2F2" w:themeFill="background1" w:themeFillShade="F2"/>
          </w:tcPr>
          <w:p w14:paraId="670A51D9" w14:textId="5E142B32" w:rsidR="00A1425C" w:rsidRPr="00230F40" w:rsidRDefault="00911F5C">
            <w:pPr>
              <w:jc w:val="right"/>
              <w:rPr>
                <w:rFonts w:asciiTheme="minorHAnsi" w:hAnsiTheme="minorHAnsi" w:cs="Arial"/>
                <w:b/>
                <w:sz w:val="20"/>
                <w:szCs w:val="20"/>
              </w:rPr>
            </w:pPr>
            <w:r>
              <w:rPr>
                <w:rFonts w:asciiTheme="minorHAnsi" w:hAnsiTheme="minorHAnsi" w:cs="Arial"/>
                <w:b/>
                <w:sz w:val="20"/>
                <w:szCs w:val="20"/>
              </w:rPr>
              <w:t>3,012.0</w:t>
            </w:r>
          </w:p>
        </w:tc>
        <w:tc>
          <w:tcPr>
            <w:tcW w:w="1477" w:type="dxa"/>
            <w:tcBorders>
              <w:top w:val="single" w:sz="4" w:space="0" w:color="auto"/>
              <w:left w:val="nil"/>
              <w:bottom w:val="single" w:sz="4" w:space="0" w:color="auto"/>
              <w:right w:val="nil"/>
            </w:tcBorders>
          </w:tcPr>
          <w:p w14:paraId="11F2E560" w14:textId="7E28D806" w:rsidR="00A1425C" w:rsidRPr="00230F40" w:rsidRDefault="0058318C">
            <w:pPr>
              <w:jc w:val="right"/>
              <w:rPr>
                <w:rFonts w:asciiTheme="minorHAnsi" w:hAnsiTheme="minorHAnsi" w:cs="Arial"/>
                <w:sz w:val="20"/>
                <w:szCs w:val="20"/>
              </w:rPr>
            </w:pPr>
            <w:r w:rsidRPr="00230F40">
              <w:rPr>
                <w:rFonts w:asciiTheme="minorHAnsi" w:hAnsiTheme="minorHAnsi" w:cs="Arial"/>
                <w:sz w:val="20"/>
                <w:szCs w:val="20"/>
              </w:rPr>
              <w:t>2,</w:t>
            </w:r>
            <w:r w:rsidR="0056229A" w:rsidRPr="008E5803">
              <w:rPr>
                <w:rFonts w:asciiTheme="minorHAnsi" w:hAnsiTheme="minorHAnsi" w:cs="Arial"/>
                <w:bCs/>
                <w:sz w:val="20"/>
                <w:szCs w:val="20"/>
              </w:rPr>
              <w:t>934.1</w:t>
            </w:r>
          </w:p>
        </w:tc>
        <w:tc>
          <w:tcPr>
            <w:tcW w:w="1357" w:type="dxa"/>
            <w:tcBorders>
              <w:top w:val="single" w:sz="4" w:space="0" w:color="auto"/>
              <w:left w:val="nil"/>
              <w:bottom w:val="single" w:sz="4" w:space="0" w:color="auto"/>
              <w:right w:val="nil"/>
            </w:tcBorders>
            <w:vAlign w:val="bottom"/>
          </w:tcPr>
          <w:p w14:paraId="2E564ACD" w14:textId="765B192C" w:rsidR="00A1425C" w:rsidRPr="00230F40" w:rsidRDefault="00A1425C">
            <w:pPr>
              <w:jc w:val="right"/>
              <w:rPr>
                <w:rFonts w:asciiTheme="minorHAnsi" w:hAnsiTheme="minorHAnsi" w:cs="Arial"/>
                <w:sz w:val="20"/>
                <w:szCs w:val="20"/>
                <w:lang w:val="fr-FR"/>
              </w:rPr>
            </w:pPr>
            <w:r w:rsidRPr="0056229A">
              <w:rPr>
                <w:rFonts w:asciiTheme="minorHAnsi" w:hAnsiTheme="minorHAnsi" w:cs="Arial"/>
                <w:sz w:val="20"/>
                <w:szCs w:val="20"/>
              </w:rPr>
              <w:t>2,</w:t>
            </w:r>
            <w:r w:rsidR="0056229A" w:rsidRPr="0056229A">
              <w:rPr>
                <w:rFonts w:asciiTheme="minorHAnsi" w:hAnsiTheme="minorHAnsi" w:cs="Arial"/>
                <w:bCs/>
                <w:sz w:val="20"/>
                <w:szCs w:val="20"/>
              </w:rPr>
              <w:t>555.4</w:t>
            </w:r>
          </w:p>
        </w:tc>
      </w:tr>
      <w:tr w:rsidR="00A1425C" w:rsidRPr="00230F40" w14:paraId="5AD9E053" w14:textId="77777777" w:rsidTr="003B7755">
        <w:trPr>
          <w:trHeight w:val="142"/>
        </w:trPr>
        <w:tc>
          <w:tcPr>
            <w:tcW w:w="4678" w:type="dxa"/>
            <w:vAlign w:val="bottom"/>
          </w:tcPr>
          <w:p w14:paraId="390D0B82" w14:textId="77777777" w:rsidR="00A1425C" w:rsidRPr="00230F40" w:rsidRDefault="00A1425C">
            <w:pPr>
              <w:rPr>
                <w:rFonts w:asciiTheme="minorHAnsi" w:hAnsiTheme="minorHAnsi" w:cs="Arial"/>
                <w:b/>
                <w:sz w:val="20"/>
                <w:szCs w:val="20"/>
              </w:rPr>
            </w:pPr>
            <w:r w:rsidRPr="00230F40">
              <w:rPr>
                <w:rFonts w:asciiTheme="minorHAnsi" w:hAnsiTheme="minorHAnsi" w:cs="Arial"/>
                <w:b/>
                <w:sz w:val="20"/>
                <w:szCs w:val="20"/>
              </w:rPr>
              <w:t>Equity attributable to owners of the parent</w:t>
            </w:r>
          </w:p>
        </w:tc>
        <w:tc>
          <w:tcPr>
            <w:tcW w:w="1217" w:type="dxa"/>
            <w:vAlign w:val="bottom"/>
          </w:tcPr>
          <w:p w14:paraId="447F59AF"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vAlign w:val="bottom"/>
          </w:tcPr>
          <w:p w14:paraId="64A07825" w14:textId="77777777" w:rsidR="00A1425C" w:rsidRPr="00230F40" w:rsidRDefault="00A1425C">
            <w:pPr>
              <w:jc w:val="right"/>
              <w:rPr>
                <w:rFonts w:asciiTheme="minorHAnsi" w:hAnsiTheme="minorHAnsi" w:cs="Arial"/>
                <w:b/>
                <w:sz w:val="20"/>
                <w:szCs w:val="20"/>
              </w:rPr>
            </w:pPr>
          </w:p>
        </w:tc>
        <w:tc>
          <w:tcPr>
            <w:tcW w:w="1477" w:type="dxa"/>
            <w:vAlign w:val="bottom"/>
          </w:tcPr>
          <w:p w14:paraId="7B2E2105" w14:textId="77777777" w:rsidR="00A1425C" w:rsidRPr="00230F40" w:rsidRDefault="00A1425C">
            <w:pPr>
              <w:jc w:val="right"/>
              <w:rPr>
                <w:rFonts w:asciiTheme="minorHAnsi" w:hAnsiTheme="minorHAnsi" w:cs="Arial"/>
                <w:sz w:val="20"/>
                <w:szCs w:val="20"/>
              </w:rPr>
            </w:pPr>
          </w:p>
        </w:tc>
        <w:tc>
          <w:tcPr>
            <w:tcW w:w="1357" w:type="dxa"/>
            <w:vAlign w:val="bottom"/>
          </w:tcPr>
          <w:p w14:paraId="33B5A724" w14:textId="1FE19536" w:rsidR="00A1425C" w:rsidRPr="00230F40" w:rsidRDefault="00A1425C">
            <w:pPr>
              <w:jc w:val="right"/>
              <w:rPr>
                <w:rFonts w:asciiTheme="minorHAnsi" w:hAnsiTheme="minorHAnsi" w:cs="Arial"/>
                <w:sz w:val="20"/>
                <w:szCs w:val="20"/>
                <w:lang w:val="fr-FR"/>
              </w:rPr>
            </w:pPr>
          </w:p>
        </w:tc>
      </w:tr>
      <w:tr w:rsidR="00A1425C" w:rsidRPr="00230F40" w14:paraId="5D2D0CA0" w14:textId="77777777" w:rsidTr="003B7755">
        <w:trPr>
          <w:trHeight w:val="142"/>
        </w:trPr>
        <w:tc>
          <w:tcPr>
            <w:tcW w:w="4678" w:type="dxa"/>
            <w:vAlign w:val="bottom"/>
          </w:tcPr>
          <w:p w14:paraId="737FBE98"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t>Share capital</w:t>
            </w:r>
          </w:p>
        </w:tc>
        <w:tc>
          <w:tcPr>
            <w:tcW w:w="1217" w:type="dxa"/>
            <w:vAlign w:val="bottom"/>
          </w:tcPr>
          <w:p w14:paraId="06BFC362"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vAlign w:val="bottom"/>
          </w:tcPr>
          <w:p w14:paraId="05B74B51" w14:textId="2EB8588E" w:rsidR="00A1425C" w:rsidRPr="00230F40" w:rsidRDefault="00957753">
            <w:pPr>
              <w:jc w:val="right"/>
              <w:rPr>
                <w:rFonts w:asciiTheme="minorHAnsi" w:hAnsiTheme="minorHAnsi" w:cs="Arial"/>
                <w:b/>
                <w:sz w:val="20"/>
                <w:szCs w:val="20"/>
              </w:rPr>
            </w:pPr>
            <w:r>
              <w:rPr>
                <w:rFonts w:asciiTheme="minorHAnsi" w:hAnsiTheme="minorHAnsi" w:cs="Arial"/>
                <w:b/>
                <w:sz w:val="20"/>
                <w:szCs w:val="20"/>
              </w:rPr>
              <w:t>53.2</w:t>
            </w:r>
          </w:p>
        </w:tc>
        <w:tc>
          <w:tcPr>
            <w:tcW w:w="1477" w:type="dxa"/>
            <w:vAlign w:val="bottom"/>
          </w:tcPr>
          <w:p w14:paraId="63D10531" w14:textId="7FF44D25" w:rsidR="00A1425C" w:rsidRPr="00230F40" w:rsidRDefault="0058318C">
            <w:pPr>
              <w:jc w:val="right"/>
              <w:rPr>
                <w:rFonts w:asciiTheme="minorHAnsi" w:hAnsiTheme="minorHAnsi" w:cs="Arial"/>
                <w:sz w:val="20"/>
                <w:szCs w:val="20"/>
              </w:rPr>
            </w:pPr>
            <w:r w:rsidRPr="00230F40">
              <w:rPr>
                <w:rFonts w:asciiTheme="minorHAnsi" w:hAnsiTheme="minorHAnsi" w:cs="Arial"/>
                <w:sz w:val="20"/>
                <w:szCs w:val="20"/>
              </w:rPr>
              <w:t>53.2</w:t>
            </w:r>
          </w:p>
        </w:tc>
        <w:tc>
          <w:tcPr>
            <w:tcW w:w="1357" w:type="dxa"/>
            <w:vAlign w:val="bottom"/>
          </w:tcPr>
          <w:p w14:paraId="64C10D6D" w14:textId="2C260592" w:rsidR="00A1425C" w:rsidRPr="00230F40" w:rsidRDefault="0056229A">
            <w:pPr>
              <w:jc w:val="right"/>
              <w:rPr>
                <w:rFonts w:asciiTheme="minorHAnsi" w:hAnsiTheme="minorHAnsi" w:cs="Arial"/>
                <w:sz w:val="20"/>
                <w:szCs w:val="20"/>
                <w:lang w:val="fr-FR"/>
              </w:rPr>
            </w:pPr>
            <w:r w:rsidRPr="0056229A">
              <w:rPr>
                <w:rFonts w:asciiTheme="minorHAnsi" w:hAnsiTheme="minorHAnsi" w:cs="Arial"/>
                <w:bCs/>
                <w:sz w:val="20"/>
                <w:szCs w:val="20"/>
              </w:rPr>
              <w:t>53.2</w:t>
            </w:r>
          </w:p>
        </w:tc>
      </w:tr>
      <w:tr w:rsidR="00A1425C" w:rsidRPr="00230F40" w14:paraId="7C6745C8" w14:textId="77777777" w:rsidTr="003B7755">
        <w:trPr>
          <w:trHeight w:val="142"/>
        </w:trPr>
        <w:tc>
          <w:tcPr>
            <w:tcW w:w="4678" w:type="dxa"/>
            <w:vAlign w:val="bottom"/>
          </w:tcPr>
          <w:p w14:paraId="244A43E6"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lastRenderedPageBreak/>
              <w:t>Share premium</w:t>
            </w:r>
          </w:p>
        </w:tc>
        <w:tc>
          <w:tcPr>
            <w:tcW w:w="1217" w:type="dxa"/>
            <w:vAlign w:val="bottom"/>
          </w:tcPr>
          <w:p w14:paraId="501B8600"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tcPr>
          <w:p w14:paraId="4AF097B9" w14:textId="79583EA9" w:rsidR="00A1425C" w:rsidRPr="00230F40" w:rsidRDefault="00957753">
            <w:pPr>
              <w:jc w:val="right"/>
              <w:rPr>
                <w:rFonts w:asciiTheme="minorHAnsi" w:hAnsiTheme="minorHAnsi" w:cs="Arial"/>
                <w:b/>
                <w:sz w:val="20"/>
                <w:szCs w:val="20"/>
              </w:rPr>
            </w:pPr>
            <w:r>
              <w:rPr>
                <w:rFonts w:asciiTheme="minorHAnsi" w:hAnsiTheme="minorHAnsi" w:cs="Arial"/>
                <w:b/>
                <w:sz w:val="20"/>
                <w:szCs w:val="20"/>
              </w:rPr>
              <w:t>276.3</w:t>
            </w:r>
          </w:p>
        </w:tc>
        <w:tc>
          <w:tcPr>
            <w:tcW w:w="1477" w:type="dxa"/>
          </w:tcPr>
          <w:p w14:paraId="0AF9795D" w14:textId="5A408518" w:rsidR="00A1425C" w:rsidRPr="00230F40" w:rsidRDefault="0058318C">
            <w:pPr>
              <w:jc w:val="right"/>
              <w:rPr>
                <w:rFonts w:asciiTheme="minorHAnsi" w:hAnsiTheme="minorHAnsi" w:cs="Arial"/>
                <w:sz w:val="20"/>
                <w:szCs w:val="20"/>
              </w:rPr>
            </w:pPr>
            <w:r w:rsidRPr="00230F40">
              <w:rPr>
                <w:rFonts w:asciiTheme="minorHAnsi" w:hAnsiTheme="minorHAnsi" w:cs="Arial"/>
                <w:sz w:val="20"/>
                <w:szCs w:val="20"/>
              </w:rPr>
              <w:t>276.3</w:t>
            </w:r>
          </w:p>
        </w:tc>
        <w:tc>
          <w:tcPr>
            <w:tcW w:w="1357" w:type="dxa"/>
            <w:vAlign w:val="bottom"/>
          </w:tcPr>
          <w:p w14:paraId="1FB1A081" w14:textId="1255468C" w:rsidR="00A1425C" w:rsidRPr="00230F40" w:rsidRDefault="0056229A">
            <w:pPr>
              <w:jc w:val="right"/>
              <w:rPr>
                <w:rFonts w:asciiTheme="minorHAnsi" w:hAnsiTheme="minorHAnsi" w:cs="Arial"/>
                <w:sz w:val="20"/>
                <w:szCs w:val="20"/>
                <w:lang w:val="fr-FR"/>
              </w:rPr>
            </w:pPr>
            <w:r w:rsidRPr="0056229A">
              <w:rPr>
                <w:rFonts w:asciiTheme="minorHAnsi" w:hAnsiTheme="minorHAnsi" w:cs="Arial"/>
                <w:bCs/>
                <w:sz w:val="20"/>
                <w:szCs w:val="20"/>
              </w:rPr>
              <w:t>276.3</w:t>
            </w:r>
          </w:p>
        </w:tc>
      </w:tr>
      <w:tr w:rsidR="00A1425C" w:rsidRPr="00230F40" w14:paraId="655B7CCF" w14:textId="77777777" w:rsidTr="003B7755">
        <w:trPr>
          <w:trHeight w:val="209"/>
        </w:trPr>
        <w:tc>
          <w:tcPr>
            <w:tcW w:w="4678" w:type="dxa"/>
            <w:vAlign w:val="bottom"/>
          </w:tcPr>
          <w:p w14:paraId="20ED1074"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t>Merger reserve</w:t>
            </w:r>
          </w:p>
        </w:tc>
        <w:tc>
          <w:tcPr>
            <w:tcW w:w="1217" w:type="dxa"/>
            <w:vAlign w:val="bottom"/>
          </w:tcPr>
          <w:p w14:paraId="419D034A"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tcPr>
          <w:p w14:paraId="3F93FCDC" w14:textId="277DABBA" w:rsidR="00A1425C" w:rsidRPr="00230F40" w:rsidRDefault="00957753">
            <w:pPr>
              <w:jc w:val="right"/>
              <w:rPr>
                <w:rFonts w:asciiTheme="minorHAnsi" w:hAnsiTheme="minorHAnsi" w:cs="Arial"/>
                <w:b/>
                <w:sz w:val="20"/>
                <w:szCs w:val="20"/>
              </w:rPr>
            </w:pPr>
            <w:r>
              <w:rPr>
                <w:rFonts w:asciiTheme="minorHAnsi" w:hAnsiTheme="minorHAnsi" w:cs="Arial"/>
                <w:b/>
                <w:sz w:val="20"/>
                <w:szCs w:val="20"/>
              </w:rPr>
              <w:t>278.2</w:t>
            </w:r>
          </w:p>
        </w:tc>
        <w:tc>
          <w:tcPr>
            <w:tcW w:w="1477" w:type="dxa"/>
          </w:tcPr>
          <w:p w14:paraId="2B5848A2" w14:textId="783EBEE9" w:rsidR="00A1425C" w:rsidRPr="00230F40" w:rsidRDefault="0056229A" w:rsidP="0056229A">
            <w:pPr>
              <w:jc w:val="right"/>
              <w:rPr>
                <w:rFonts w:asciiTheme="minorHAnsi" w:hAnsiTheme="minorHAnsi" w:cs="Arial"/>
                <w:sz w:val="20"/>
                <w:szCs w:val="20"/>
              </w:rPr>
            </w:pPr>
            <w:r w:rsidRPr="008E5803">
              <w:rPr>
                <w:rFonts w:asciiTheme="minorHAnsi" w:hAnsiTheme="minorHAnsi" w:cs="Arial"/>
                <w:bCs/>
                <w:sz w:val="20"/>
                <w:szCs w:val="20"/>
              </w:rPr>
              <w:t>278.2</w:t>
            </w:r>
          </w:p>
        </w:tc>
        <w:tc>
          <w:tcPr>
            <w:tcW w:w="1357" w:type="dxa"/>
            <w:vAlign w:val="bottom"/>
          </w:tcPr>
          <w:p w14:paraId="74E737FB" w14:textId="09E5BFC1" w:rsidR="00A1425C" w:rsidRPr="00230F40" w:rsidRDefault="00A1425C">
            <w:pPr>
              <w:jc w:val="right"/>
              <w:rPr>
                <w:rFonts w:asciiTheme="minorHAnsi" w:hAnsiTheme="minorHAnsi" w:cs="Arial"/>
                <w:sz w:val="20"/>
                <w:szCs w:val="20"/>
                <w:lang w:val="fr-FR"/>
              </w:rPr>
            </w:pPr>
            <w:r w:rsidRPr="0056229A">
              <w:rPr>
                <w:rFonts w:asciiTheme="minorHAnsi" w:hAnsiTheme="minorHAnsi" w:cs="Arial"/>
                <w:sz w:val="20"/>
                <w:szCs w:val="20"/>
              </w:rPr>
              <w:t>278.2</w:t>
            </w:r>
          </w:p>
        </w:tc>
      </w:tr>
      <w:tr w:rsidR="00A1425C" w:rsidRPr="00230F40" w14:paraId="2607606A" w14:textId="77777777" w:rsidTr="003B7755">
        <w:trPr>
          <w:trHeight w:val="142"/>
        </w:trPr>
        <w:tc>
          <w:tcPr>
            <w:tcW w:w="4678" w:type="dxa"/>
            <w:vAlign w:val="bottom"/>
          </w:tcPr>
          <w:p w14:paraId="01D00F4F"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t>Other reserves</w:t>
            </w:r>
          </w:p>
        </w:tc>
        <w:tc>
          <w:tcPr>
            <w:tcW w:w="1217" w:type="dxa"/>
            <w:vAlign w:val="bottom"/>
          </w:tcPr>
          <w:p w14:paraId="25E7F1B6" w14:textId="77777777" w:rsidR="00A1425C" w:rsidRPr="00230F40" w:rsidRDefault="00A1425C">
            <w:pPr>
              <w:jc w:val="right"/>
              <w:rPr>
                <w:rFonts w:asciiTheme="minorHAnsi" w:hAnsiTheme="minorHAnsi" w:cs="Arial"/>
                <w:sz w:val="20"/>
                <w:szCs w:val="20"/>
              </w:rPr>
            </w:pPr>
          </w:p>
        </w:tc>
        <w:tc>
          <w:tcPr>
            <w:tcW w:w="1417" w:type="dxa"/>
            <w:shd w:val="clear" w:color="auto" w:fill="F2F2F2" w:themeFill="background1" w:themeFillShade="F2"/>
          </w:tcPr>
          <w:p w14:paraId="4E30ACCF" w14:textId="5BA64EEA" w:rsidR="00A1425C" w:rsidRPr="00230F40" w:rsidRDefault="0013250C">
            <w:pPr>
              <w:jc w:val="right"/>
              <w:rPr>
                <w:rFonts w:asciiTheme="minorHAnsi" w:hAnsiTheme="minorHAnsi" w:cs="Arial"/>
                <w:b/>
                <w:sz w:val="20"/>
                <w:szCs w:val="20"/>
              </w:rPr>
            </w:pPr>
            <w:r>
              <w:rPr>
                <w:rFonts w:asciiTheme="minorHAnsi" w:hAnsiTheme="minorHAnsi" w:cs="Arial"/>
                <w:b/>
                <w:sz w:val="20"/>
                <w:szCs w:val="20"/>
              </w:rPr>
              <w:t>8.6</w:t>
            </w:r>
          </w:p>
        </w:tc>
        <w:tc>
          <w:tcPr>
            <w:tcW w:w="1477" w:type="dxa"/>
          </w:tcPr>
          <w:p w14:paraId="3C625BF0" w14:textId="1A2EDEA4" w:rsidR="00A1425C" w:rsidRPr="00230F40" w:rsidRDefault="0056229A">
            <w:pPr>
              <w:jc w:val="right"/>
              <w:rPr>
                <w:rFonts w:asciiTheme="minorHAnsi" w:hAnsiTheme="minorHAnsi" w:cs="Arial"/>
                <w:sz w:val="20"/>
                <w:szCs w:val="20"/>
              </w:rPr>
            </w:pPr>
            <w:r w:rsidRPr="008E5803">
              <w:rPr>
                <w:rFonts w:asciiTheme="minorHAnsi" w:hAnsiTheme="minorHAnsi" w:cs="Arial"/>
                <w:bCs/>
                <w:sz w:val="20"/>
                <w:szCs w:val="20"/>
              </w:rPr>
              <w:t>10.8</w:t>
            </w:r>
          </w:p>
        </w:tc>
        <w:tc>
          <w:tcPr>
            <w:tcW w:w="1357" w:type="dxa"/>
            <w:vAlign w:val="bottom"/>
          </w:tcPr>
          <w:p w14:paraId="246DDEC1" w14:textId="0B64AAFB" w:rsidR="00A1425C" w:rsidRPr="00230F40" w:rsidRDefault="0056229A">
            <w:pPr>
              <w:jc w:val="right"/>
              <w:rPr>
                <w:rFonts w:asciiTheme="minorHAnsi" w:hAnsiTheme="minorHAnsi" w:cs="Arial"/>
                <w:sz w:val="20"/>
                <w:szCs w:val="20"/>
                <w:lang w:val="fr-FR"/>
              </w:rPr>
            </w:pPr>
            <w:r w:rsidRPr="0056229A">
              <w:rPr>
                <w:rFonts w:asciiTheme="minorHAnsi" w:hAnsiTheme="minorHAnsi" w:cs="Arial"/>
                <w:bCs/>
                <w:sz w:val="20"/>
                <w:szCs w:val="20"/>
              </w:rPr>
              <w:t>14.5</w:t>
            </w:r>
          </w:p>
        </w:tc>
      </w:tr>
      <w:tr w:rsidR="00A1425C" w:rsidRPr="00230F40" w14:paraId="658B3B49" w14:textId="77777777" w:rsidTr="003B7755">
        <w:trPr>
          <w:trHeight w:val="142"/>
        </w:trPr>
        <w:tc>
          <w:tcPr>
            <w:tcW w:w="4678" w:type="dxa"/>
            <w:vAlign w:val="bottom"/>
          </w:tcPr>
          <w:p w14:paraId="040A953C" w14:textId="77777777" w:rsidR="00A1425C" w:rsidRPr="00230F40" w:rsidRDefault="00A1425C">
            <w:pPr>
              <w:rPr>
                <w:rFonts w:asciiTheme="minorHAnsi" w:hAnsiTheme="minorHAnsi" w:cs="Arial"/>
                <w:sz w:val="20"/>
                <w:szCs w:val="20"/>
              </w:rPr>
            </w:pPr>
            <w:r w:rsidRPr="00230F40">
              <w:rPr>
                <w:rFonts w:asciiTheme="minorHAnsi" w:hAnsiTheme="minorHAnsi" w:cs="Arial"/>
                <w:sz w:val="20"/>
                <w:szCs w:val="20"/>
              </w:rPr>
              <w:t>Retained earnings</w:t>
            </w:r>
          </w:p>
        </w:tc>
        <w:tc>
          <w:tcPr>
            <w:tcW w:w="1217" w:type="dxa"/>
            <w:vAlign w:val="bottom"/>
          </w:tcPr>
          <w:p w14:paraId="250BC04B" w14:textId="77777777" w:rsidR="00A1425C" w:rsidRPr="00230F40" w:rsidRDefault="00A1425C">
            <w:pPr>
              <w:jc w:val="right"/>
              <w:rPr>
                <w:rFonts w:asciiTheme="minorHAnsi" w:hAnsiTheme="minorHAnsi" w:cs="Arial"/>
                <w:sz w:val="20"/>
                <w:szCs w:val="20"/>
              </w:rPr>
            </w:pPr>
          </w:p>
        </w:tc>
        <w:tc>
          <w:tcPr>
            <w:tcW w:w="1417" w:type="dxa"/>
            <w:tcBorders>
              <w:top w:val="nil"/>
              <w:left w:val="nil"/>
              <w:bottom w:val="single" w:sz="4" w:space="0" w:color="auto"/>
              <w:right w:val="nil"/>
            </w:tcBorders>
            <w:shd w:val="clear" w:color="auto" w:fill="F2F2F2" w:themeFill="background1" w:themeFillShade="F2"/>
          </w:tcPr>
          <w:p w14:paraId="4EDCB824" w14:textId="00E459E9" w:rsidR="00A1425C" w:rsidRPr="00230F40" w:rsidRDefault="00957753">
            <w:pPr>
              <w:jc w:val="right"/>
              <w:rPr>
                <w:rFonts w:asciiTheme="minorHAnsi" w:hAnsiTheme="minorHAnsi" w:cs="Arial"/>
                <w:b/>
                <w:sz w:val="20"/>
                <w:szCs w:val="20"/>
              </w:rPr>
            </w:pPr>
            <w:r>
              <w:rPr>
                <w:rFonts w:asciiTheme="minorHAnsi" w:hAnsiTheme="minorHAnsi" w:cs="Arial"/>
                <w:b/>
                <w:sz w:val="20"/>
                <w:szCs w:val="20"/>
              </w:rPr>
              <w:t>(181.6)</w:t>
            </w:r>
          </w:p>
        </w:tc>
        <w:tc>
          <w:tcPr>
            <w:tcW w:w="1477" w:type="dxa"/>
            <w:tcBorders>
              <w:top w:val="nil"/>
              <w:left w:val="nil"/>
              <w:bottom w:val="single" w:sz="4" w:space="0" w:color="auto"/>
              <w:right w:val="nil"/>
            </w:tcBorders>
          </w:tcPr>
          <w:p w14:paraId="04910E14" w14:textId="132005EF" w:rsidR="00A1425C" w:rsidRPr="00230F40" w:rsidRDefault="00A1425C">
            <w:pPr>
              <w:jc w:val="right"/>
              <w:rPr>
                <w:rFonts w:asciiTheme="minorHAnsi" w:hAnsiTheme="minorHAnsi" w:cs="Arial"/>
                <w:sz w:val="20"/>
                <w:szCs w:val="20"/>
              </w:rPr>
            </w:pPr>
            <w:r w:rsidRPr="00230F40">
              <w:rPr>
                <w:rFonts w:asciiTheme="minorHAnsi" w:hAnsiTheme="minorHAnsi" w:cs="Arial"/>
                <w:sz w:val="20"/>
                <w:szCs w:val="20"/>
              </w:rPr>
              <w:t>(</w:t>
            </w:r>
            <w:r w:rsidR="0056229A" w:rsidRPr="008E5803">
              <w:rPr>
                <w:rFonts w:asciiTheme="minorHAnsi" w:hAnsiTheme="minorHAnsi" w:cs="Arial"/>
                <w:bCs/>
                <w:sz w:val="20"/>
                <w:szCs w:val="20"/>
              </w:rPr>
              <w:t>177.3</w:t>
            </w:r>
            <w:r w:rsidRPr="00230F40">
              <w:rPr>
                <w:rFonts w:asciiTheme="minorHAnsi" w:hAnsiTheme="minorHAnsi" w:cs="Arial"/>
                <w:sz w:val="20"/>
                <w:szCs w:val="20"/>
              </w:rPr>
              <w:t>)</w:t>
            </w:r>
          </w:p>
        </w:tc>
        <w:tc>
          <w:tcPr>
            <w:tcW w:w="1357" w:type="dxa"/>
            <w:tcBorders>
              <w:top w:val="nil"/>
              <w:left w:val="nil"/>
              <w:bottom w:val="single" w:sz="4" w:space="0" w:color="auto"/>
              <w:right w:val="nil"/>
            </w:tcBorders>
            <w:vAlign w:val="bottom"/>
          </w:tcPr>
          <w:p w14:paraId="4BD5D64E" w14:textId="0C1E02FC" w:rsidR="00A1425C" w:rsidRPr="00230F40" w:rsidRDefault="0043444D">
            <w:pPr>
              <w:jc w:val="right"/>
              <w:rPr>
                <w:rFonts w:asciiTheme="minorHAnsi" w:hAnsiTheme="minorHAnsi" w:cs="Arial"/>
                <w:sz w:val="20"/>
                <w:szCs w:val="20"/>
                <w:lang w:val="fr-FR"/>
              </w:rPr>
            </w:pPr>
            <w:r w:rsidRPr="0056229A">
              <w:rPr>
                <w:rFonts w:asciiTheme="minorHAnsi" w:hAnsiTheme="minorHAnsi" w:cs="Arial"/>
                <w:sz w:val="20"/>
                <w:szCs w:val="20"/>
              </w:rPr>
              <w:t>(</w:t>
            </w:r>
            <w:r w:rsidR="0056229A" w:rsidRPr="0056229A">
              <w:rPr>
                <w:rFonts w:asciiTheme="minorHAnsi" w:hAnsiTheme="minorHAnsi" w:cs="Arial"/>
                <w:bCs/>
                <w:sz w:val="20"/>
                <w:szCs w:val="20"/>
              </w:rPr>
              <w:t>92.5</w:t>
            </w:r>
            <w:r w:rsidRPr="0056229A">
              <w:rPr>
                <w:rFonts w:asciiTheme="minorHAnsi" w:hAnsiTheme="minorHAnsi" w:cs="Arial"/>
                <w:sz w:val="20"/>
                <w:szCs w:val="20"/>
              </w:rPr>
              <w:t>)</w:t>
            </w:r>
          </w:p>
        </w:tc>
      </w:tr>
      <w:tr w:rsidR="00A1425C" w:rsidRPr="00230F40" w14:paraId="6A818A39" w14:textId="77777777" w:rsidTr="003B7755">
        <w:trPr>
          <w:trHeight w:val="142"/>
        </w:trPr>
        <w:tc>
          <w:tcPr>
            <w:tcW w:w="4678" w:type="dxa"/>
            <w:vAlign w:val="bottom"/>
          </w:tcPr>
          <w:p w14:paraId="296E4E44" w14:textId="77777777" w:rsidR="00A1425C" w:rsidRPr="00230F40" w:rsidRDefault="00A1425C">
            <w:pPr>
              <w:rPr>
                <w:rFonts w:asciiTheme="minorHAnsi" w:hAnsiTheme="minorHAnsi" w:cs="Arial"/>
                <w:b/>
                <w:sz w:val="20"/>
                <w:szCs w:val="20"/>
              </w:rPr>
            </w:pPr>
            <w:r w:rsidRPr="00230F40">
              <w:rPr>
                <w:rFonts w:asciiTheme="minorHAnsi" w:hAnsiTheme="minorHAnsi" w:cs="Arial"/>
                <w:b/>
                <w:sz w:val="20"/>
                <w:szCs w:val="20"/>
              </w:rPr>
              <w:t>Total equity</w:t>
            </w:r>
          </w:p>
        </w:tc>
        <w:tc>
          <w:tcPr>
            <w:tcW w:w="1217" w:type="dxa"/>
            <w:vAlign w:val="bottom"/>
          </w:tcPr>
          <w:p w14:paraId="07BD4C04" w14:textId="09C81768" w:rsidR="00A1425C" w:rsidRPr="00230F40" w:rsidRDefault="00041286">
            <w:pPr>
              <w:jc w:val="right"/>
              <w:rPr>
                <w:rFonts w:asciiTheme="minorHAnsi" w:hAnsiTheme="minorHAnsi" w:cs="Arial"/>
                <w:sz w:val="20"/>
                <w:szCs w:val="20"/>
              </w:rPr>
            </w:pPr>
            <w:r w:rsidRPr="00230F40">
              <w:rPr>
                <w:rFonts w:asciiTheme="minorHAnsi" w:hAnsiTheme="minorHAnsi" w:cs="Arial"/>
                <w:sz w:val="20"/>
                <w:szCs w:val="20"/>
              </w:rPr>
              <w:t>4</w:t>
            </w:r>
          </w:p>
        </w:tc>
        <w:tc>
          <w:tcPr>
            <w:tcW w:w="1417" w:type="dxa"/>
            <w:tcBorders>
              <w:left w:val="nil"/>
              <w:bottom w:val="single" w:sz="4" w:space="0" w:color="auto"/>
              <w:right w:val="nil"/>
            </w:tcBorders>
            <w:shd w:val="clear" w:color="auto" w:fill="F2F2F2" w:themeFill="background1" w:themeFillShade="F2"/>
          </w:tcPr>
          <w:p w14:paraId="0419E99B" w14:textId="6A40A4B7" w:rsidR="00A1425C" w:rsidRPr="00230F40" w:rsidRDefault="00957753">
            <w:pPr>
              <w:jc w:val="right"/>
              <w:rPr>
                <w:rFonts w:asciiTheme="minorHAnsi" w:hAnsiTheme="minorHAnsi" w:cs="Arial"/>
                <w:b/>
                <w:sz w:val="20"/>
                <w:szCs w:val="20"/>
              </w:rPr>
            </w:pPr>
            <w:r>
              <w:rPr>
                <w:rFonts w:asciiTheme="minorHAnsi" w:hAnsiTheme="minorHAnsi" w:cs="Arial"/>
                <w:b/>
                <w:sz w:val="20"/>
                <w:szCs w:val="20"/>
              </w:rPr>
              <w:t>434.7</w:t>
            </w:r>
          </w:p>
        </w:tc>
        <w:tc>
          <w:tcPr>
            <w:tcW w:w="1477" w:type="dxa"/>
            <w:tcBorders>
              <w:left w:val="nil"/>
              <w:bottom w:val="single" w:sz="4" w:space="0" w:color="auto"/>
              <w:right w:val="nil"/>
            </w:tcBorders>
          </w:tcPr>
          <w:p w14:paraId="7123A2F7" w14:textId="4E9058D2" w:rsidR="00A1425C" w:rsidRPr="00230F40" w:rsidRDefault="0056229A">
            <w:pPr>
              <w:jc w:val="right"/>
              <w:rPr>
                <w:rFonts w:asciiTheme="minorHAnsi" w:hAnsiTheme="minorHAnsi" w:cs="Arial"/>
                <w:sz w:val="20"/>
                <w:szCs w:val="20"/>
              </w:rPr>
            </w:pPr>
            <w:r w:rsidRPr="008E5803">
              <w:rPr>
                <w:rFonts w:asciiTheme="minorHAnsi" w:hAnsiTheme="minorHAnsi" w:cs="Arial"/>
                <w:bCs/>
                <w:sz w:val="20"/>
                <w:szCs w:val="20"/>
              </w:rPr>
              <w:t>441.2</w:t>
            </w:r>
          </w:p>
        </w:tc>
        <w:tc>
          <w:tcPr>
            <w:tcW w:w="1357" w:type="dxa"/>
            <w:tcBorders>
              <w:left w:val="nil"/>
              <w:bottom w:val="single" w:sz="4" w:space="0" w:color="auto"/>
              <w:right w:val="nil"/>
            </w:tcBorders>
            <w:vAlign w:val="bottom"/>
          </w:tcPr>
          <w:p w14:paraId="7F2FDEC1" w14:textId="262461AD" w:rsidR="00A1425C" w:rsidRPr="00230F40" w:rsidRDefault="0056229A">
            <w:pPr>
              <w:jc w:val="right"/>
              <w:rPr>
                <w:rFonts w:asciiTheme="minorHAnsi" w:hAnsiTheme="minorHAnsi" w:cs="Arial"/>
                <w:sz w:val="20"/>
                <w:szCs w:val="20"/>
                <w:lang w:val="fr-FR"/>
              </w:rPr>
            </w:pPr>
            <w:r w:rsidRPr="0056229A">
              <w:rPr>
                <w:rFonts w:asciiTheme="minorHAnsi" w:hAnsiTheme="minorHAnsi" w:cs="Arial"/>
                <w:bCs/>
                <w:sz w:val="20"/>
                <w:szCs w:val="20"/>
              </w:rPr>
              <w:t>529.7</w:t>
            </w:r>
          </w:p>
        </w:tc>
      </w:tr>
      <w:tr w:rsidR="00A1425C" w:rsidRPr="00085AA2" w14:paraId="45165475" w14:textId="77777777" w:rsidTr="003B7755">
        <w:trPr>
          <w:trHeight w:val="70"/>
        </w:trPr>
        <w:tc>
          <w:tcPr>
            <w:tcW w:w="4678" w:type="dxa"/>
            <w:vAlign w:val="bottom"/>
          </w:tcPr>
          <w:p w14:paraId="06A08D25" w14:textId="77777777" w:rsidR="00A1425C" w:rsidRPr="00230F40" w:rsidRDefault="00A1425C">
            <w:pPr>
              <w:rPr>
                <w:rFonts w:asciiTheme="minorHAnsi" w:hAnsiTheme="minorHAnsi" w:cs="Arial"/>
                <w:b/>
                <w:sz w:val="20"/>
                <w:szCs w:val="20"/>
              </w:rPr>
            </w:pPr>
            <w:r w:rsidRPr="00230F40">
              <w:rPr>
                <w:rFonts w:asciiTheme="minorHAnsi" w:hAnsiTheme="minorHAnsi" w:cs="Arial"/>
                <w:b/>
                <w:sz w:val="20"/>
                <w:szCs w:val="20"/>
              </w:rPr>
              <w:t>TOTAL LIABILITIES AND EQUITY</w:t>
            </w:r>
          </w:p>
        </w:tc>
        <w:tc>
          <w:tcPr>
            <w:tcW w:w="1217" w:type="dxa"/>
            <w:vAlign w:val="bottom"/>
          </w:tcPr>
          <w:p w14:paraId="58536F26" w14:textId="77777777" w:rsidR="00A1425C" w:rsidRPr="00230F40" w:rsidRDefault="00A1425C">
            <w:pPr>
              <w:jc w:val="right"/>
              <w:rPr>
                <w:rFonts w:asciiTheme="minorHAnsi" w:hAnsiTheme="minorHAnsi" w:cs="Arial"/>
                <w:sz w:val="20"/>
                <w:szCs w:val="20"/>
              </w:rPr>
            </w:pPr>
          </w:p>
        </w:tc>
        <w:tc>
          <w:tcPr>
            <w:tcW w:w="1417" w:type="dxa"/>
            <w:tcBorders>
              <w:top w:val="single" w:sz="4" w:space="0" w:color="auto"/>
              <w:left w:val="nil"/>
              <w:bottom w:val="single" w:sz="18" w:space="0" w:color="auto"/>
              <w:right w:val="nil"/>
            </w:tcBorders>
            <w:shd w:val="clear" w:color="auto" w:fill="F2F2F2" w:themeFill="background1" w:themeFillShade="F2"/>
          </w:tcPr>
          <w:p w14:paraId="13DBF32D" w14:textId="51732204" w:rsidR="00A1425C" w:rsidRPr="00230F40" w:rsidRDefault="00B4292A">
            <w:pPr>
              <w:jc w:val="right"/>
              <w:rPr>
                <w:rFonts w:asciiTheme="minorHAnsi" w:hAnsiTheme="minorHAnsi" w:cs="Arial"/>
                <w:b/>
                <w:sz w:val="20"/>
                <w:szCs w:val="20"/>
              </w:rPr>
            </w:pPr>
            <w:r>
              <w:rPr>
                <w:rFonts w:asciiTheme="minorHAnsi" w:hAnsiTheme="minorHAnsi" w:cs="Arial"/>
                <w:b/>
                <w:sz w:val="20"/>
                <w:szCs w:val="20"/>
              </w:rPr>
              <w:t>3</w:t>
            </w:r>
            <w:r w:rsidR="00C2362A">
              <w:rPr>
                <w:rFonts w:asciiTheme="minorHAnsi" w:hAnsiTheme="minorHAnsi" w:cs="Arial"/>
                <w:b/>
                <w:sz w:val="20"/>
                <w:szCs w:val="20"/>
              </w:rPr>
              <w:t>,</w:t>
            </w:r>
            <w:r>
              <w:rPr>
                <w:rFonts w:asciiTheme="minorHAnsi" w:hAnsiTheme="minorHAnsi" w:cs="Arial"/>
                <w:b/>
                <w:sz w:val="20"/>
                <w:szCs w:val="20"/>
              </w:rPr>
              <w:t>446.7</w:t>
            </w:r>
          </w:p>
        </w:tc>
        <w:tc>
          <w:tcPr>
            <w:tcW w:w="1477" w:type="dxa"/>
            <w:tcBorders>
              <w:top w:val="single" w:sz="4" w:space="0" w:color="auto"/>
              <w:left w:val="nil"/>
              <w:bottom w:val="single" w:sz="18" w:space="0" w:color="auto"/>
              <w:right w:val="nil"/>
            </w:tcBorders>
          </w:tcPr>
          <w:p w14:paraId="780CCE2D" w14:textId="12AC5692" w:rsidR="00A1425C" w:rsidRPr="00230F40" w:rsidRDefault="0058318C">
            <w:pPr>
              <w:jc w:val="right"/>
              <w:rPr>
                <w:rFonts w:asciiTheme="minorHAnsi" w:hAnsiTheme="minorHAnsi" w:cs="Arial"/>
                <w:sz w:val="20"/>
                <w:szCs w:val="20"/>
              </w:rPr>
            </w:pPr>
            <w:r w:rsidRPr="00230F40">
              <w:rPr>
                <w:rFonts w:asciiTheme="minorHAnsi" w:hAnsiTheme="minorHAnsi" w:cs="Arial"/>
                <w:sz w:val="20"/>
                <w:szCs w:val="20"/>
              </w:rPr>
              <w:t>3</w:t>
            </w:r>
            <w:r w:rsidR="00EA6D4B" w:rsidRPr="00230F40">
              <w:rPr>
                <w:rFonts w:asciiTheme="minorHAnsi" w:hAnsiTheme="minorHAnsi" w:cs="Arial"/>
                <w:sz w:val="20"/>
                <w:szCs w:val="20"/>
              </w:rPr>
              <w:t>,</w:t>
            </w:r>
            <w:r w:rsidR="0056229A" w:rsidRPr="008E5803">
              <w:rPr>
                <w:rFonts w:asciiTheme="minorHAnsi" w:hAnsiTheme="minorHAnsi" w:cs="Arial"/>
                <w:bCs/>
                <w:sz w:val="20"/>
                <w:szCs w:val="20"/>
              </w:rPr>
              <w:t>375.3</w:t>
            </w:r>
          </w:p>
        </w:tc>
        <w:tc>
          <w:tcPr>
            <w:tcW w:w="1357" w:type="dxa"/>
            <w:tcBorders>
              <w:top w:val="single" w:sz="4" w:space="0" w:color="auto"/>
              <w:left w:val="nil"/>
              <w:bottom w:val="single" w:sz="18" w:space="0" w:color="auto"/>
              <w:right w:val="nil"/>
            </w:tcBorders>
            <w:vAlign w:val="bottom"/>
          </w:tcPr>
          <w:p w14:paraId="1E4E8378" w14:textId="6580D79C" w:rsidR="00A1425C" w:rsidRPr="00230F40" w:rsidRDefault="0056229A">
            <w:pPr>
              <w:jc w:val="right"/>
              <w:rPr>
                <w:rFonts w:asciiTheme="minorHAnsi" w:hAnsiTheme="minorHAnsi" w:cs="Arial"/>
                <w:sz w:val="20"/>
                <w:szCs w:val="20"/>
                <w:lang w:val="fr-FR"/>
              </w:rPr>
            </w:pPr>
            <w:r w:rsidRPr="0056229A">
              <w:rPr>
                <w:rFonts w:asciiTheme="minorHAnsi" w:hAnsiTheme="minorHAnsi" w:cs="Arial"/>
                <w:bCs/>
                <w:sz w:val="20"/>
                <w:szCs w:val="20"/>
              </w:rPr>
              <w:t>3,085.1</w:t>
            </w:r>
          </w:p>
        </w:tc>
      </w:tr>
    </w:tbl>
    <w:p w14:paraId="04B2D962" w14:textId="77777777" w:rsidR="00A1425C" w:rsidRDefault="00A1425C" w:rsidP="00A1425C">
      <w:pPr>
        <w:jc w:val="both"/>
        <w:rPr>
          <w:rFonts w:asciiTheme="minorHAnsi" w:hAnsiTheme="minorHAnsi" w:cs="Arial"/>
          <w:b/>
          <w:sz w:val="20"/>
          <w:szCs w:val="20"/>
        </w:rPr>
      </w:pPr>
    </w:p>
    <w:p w14:paraId="7BB36B0A" w14:textId="77777777" w:rsidR="00B5640B" w:rsidRDefault="00B5640B" w:rsidP="00A1425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p>
    <w:p w14:paraId="286CD0E2" w14:textId="3E81269F" w:rsidR="00A1425C" w:rsidRPr="00701439" w:rsidRDefault="00A1425C" w:rsidP="00A1425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r w:rsidRPr="00701439">
        <w:rPr>
          <w:rFonts w:asciiTheme="minorHAnsi" w:hAnsiTheme="minorHAnsi" w:cs="Arial"/>
          <w:b/>
          <w:color w:val="4747FF"/>
          <w:sz w:val="22"/>
          <w:szCs w:val="22"/>
        </w:rPr>
        <w:t>Consolidated statement of changes in shareholders’ equity</w:t>
      </w:r>
    </w:p>
    <w:p w14:paraId="7C72B68E" w14:textId="77777777" w:rsidR="00F57D05" w:rsidRDefault="00F57D05" w:rsidP="00A1425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p>
    <w:tbl>
      <w:tblPr>
        <w:tblW w:w="9793" w:type="dxa"/>
        <w:tblLayout w:type="fixed"/>
        <w:tblLook w:val="0000" w:firstRow="0" w:lastRow="0" w:firstColumn="0" w:lastColumn="0" w:noHBand="0" w:noVBand="0"/>
      </w:tblPr>
      <w:tblGrid>
        <w:gridCol w:w="4071"/>
        <w:gridCol w:w="903"/>
        <w:gridCol w:w="1054"/>
        <w:gridCol w:w="904"/>
        <w:gridCol w:w="1054"/>
        <w:gridCol w:w="1054"/>
        <w:gridCol w:w="753"/>
      </w:tblGrid>
      <w:tr w:rsidR="00F57D05" w:rsidRPr="00701439" w14:paraId="1B11CFA4" w14:textId="77777777" w:rsidTr="00685561">
        <w:trPr>
          <w:trHeight w:val="1004"/>
        </w:trPr>
        <w:tc>
          <w:tcPr>
            <w:tcW w:w="4071" w:type="dxa"/>
          </w:tcPr>
          <w:p w14:paraId="49CBD2C8" w14:textId="77777777" w:rsidR="00F57D05" w:rsidRPr="00701439" w:rsidRDefault="00F57D05">
            <w:pPr>
              <w:rPr>
                <w:rFonts w:asciiTheme="minorHAnsi" w:hAnsiTheme="minorHAnsi" w:cs="Arial"/>
                <w:sz w:val="20"/>
                <w:szCs w:val="20"/>
              </w:rPr>
            </w:pPr>
          </w:p>
        </w:tc>
        <w:tc>
          <w:tcPr>
            <w:tcW w:w="903" w:type="dxa"/>
            <w:tcBorders>
              <w:top w:val="nil"/>
              <w:left w:val="nil"/>
              <w:bottom w:val="single" w:sz="4" w:space="0" w:color="auto"/>
              <w:right w:val="nil"/>
            </w:tcBorders>
          </w:tcPr>
          <w:p w14:paraId="2B6231A0"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Share</w:t>
            </w:r>
          </w:p>
          <w:p w14:paraId="7116A156"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capital</w:t>
            </w:r>
          </w:p>
          <w:p w14:paraId="0C3854C2"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£m</w:t>
            </w:r>
          </w:p>
        </w:tc>
        <w:tc>
          <w:tcPr>
            <w:tcW w:w="1054" w:type="dxa"/>
            <w:tcBorders>
              <w:top w:val="nil"/>
              <w:left w:val="nil"/>
              <w:bottom w:val="single" w:sz="4" w:space="0" w:color="auto"/>
              <w:right w:val="nil"/>
            </w:tcBorders>
          </w:tcPr>
          <w:p w14:paraId="68185B55"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Share</w:t>
            </w:r>
          </w:p>
          <w:p w14:paraId="0974C950"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premium £m</w:t>
            </w:r>
          </w:p>
        </w:tc>
        <w:tc>
          <w:tcPr>
            <w:tcW w:w="904" w:type="dxa"/>
            <w:tcBorders>
              <w:top w:val="nil"/>
              <w:left w:val="nil"/>
              <w:bottom w:val="single" w:sz="4" w:space="0" w:color="auto"/>
              <w:right w:val="nil"/>
            </w:tcBorders>
          </w:tcPr>
          <w:p w14:paraId="605BB816"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Merger reserve</w:t>
            </w:r>
          </w:p>
          <w:p w14:paraId="39B1FC69"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£m</w:t>
            </w:r>
          </w:p>
        </w:tc>
        <w:tc>
          <w:tcPr>
            <w:tcW w:w="1054" w:type="dxa"/>
            <w:tcBorders>
              <w:top w:val="nil"/>
              <w:left w:val="nil"/>
              <w:bottom w:val="single" w:sz="4" w:space="0" w:color="auto"/>
              <w:right w:val="nil"/>
            </w:tcBorders>
          </w:tcPr>
          <w:p w14:paraId="7C2D0881"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Other</w:t>
            </w:r>
          </w:p>
          <w:p w14:paraId="66AC3E30"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reserves</w:t>
            </w:r>
          </w:p>
          <w:p w14:paraId="78DAA50E"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£m</w:t>
            </w:r>
          </w:p>
        </w:tc>
        <w:tc>
          <w:tcPr>
            <w:tcW w:w="1054" w:type="dxa"/>
            <w:tcBorders>
              <w:top w:val="nil"/>
              <w:left w:val="nil"/>
              <w:bottom w:val="single" w:sz="4" w:space="0" w:color="auto"/>
              <w:right w:val="nil"/>
            </w:tcBorders>
          </w:tcPr>
          <w:p w14:paraId="76FB0052" w14:textId="77777777" w:rsidR="00F57D05" w:rsidRPr="00A00C8A" w:rsidRDefault="00F57D05">
            <w:pPr>
              <w:jc w:val="right"/>
              <w:rPr>
                <w:rFonts w:asciiTheme="minorHAnsi" w:hAnsiTheme="minorHAnsi" w:cs="Arial"/>
                <w:sz w:val="18"/>
                <w:szCs w:val="18"/>
              </w:rPr>
            </w:pPr>
            <w:r w:rsidRPr="00A00C8A">
              <w:rPr>
                <w:rFonts w:asciiTheme="minorHAnsi" w:hAnsiTheme="minorHAnsi" w:cs="Arial"/>
                <w:sz w:val="18"/>
                <w:szCs w:val="18"/>
              </w:rPr>
              <w:t>Retained</w:t>
            </w:r>
          </w:p>
          <w:p w14:paraId="16483BE8" w14:textId="77777777" w:rsidR="00F57D05" w:rsidRPr="00701439" w:rsidRDefault="00F57D05">
            <w:pPr>
              <w:jc w:val="right"/>
              <w:rPr>
                <w:rFonts w:asciiTheme="minorHAnsi" w:hAnsiTheme="minorHAnsi" w:cs="Arial"/>
                <w:sz w:val="20"/>
                <w:szCs w:val="20"/>
              </w:rPr>
            </w:pPr>
            <w:r w:rsidRPr="00A00C8A">
              <w:rPr>
                <w:rFonts w:asciiTheme="minorHAnsi" w:hAnsiTheme="minorHAnsi" w:cs="Arial"/>
                <w:sz w:val="18"/>
                <w:szCs w:val="18"/>
              </w:rPr>
              <w:t>Earnings</w:t>
            </w:r>
          </w:p>
          <w:p w14:paraId="6C2EFF55" w14:textId="77777777" w:rsidR="00F57D05" w:rsidRPr="00701439" w:rsidRDefault="00F57D05">
            <w:pPr>
              <w:rPr>
                <w:rFonts w:asciiTheme="minorHAnsi" w:hAnsiTheme="minorHAnsi" w:cs="Arial"/>
                <w:sz w:val="20"/>
                <w:szCs w:val="20"/>
              </w:rPr>
            </w:pPr>
            <w:r>
              <w:rPr>
                <w:rFonts w:asciiTheme="minorHAnsi" w:hAnsiTheme="minorHAnsi" w:cs="Arial"/>
                <w:sz w:val="20"/>
                <w:szCs w:val="20"/>
              </w:rPr>
              <w:t xml:space="preserve">           </w:t>
            </w:r>
            <w:r w:rsidRPr="00701439">
              <w:rPr>
                <w:rFonts w:asciiTheme="minorHAnsi" w:hAnsiTheme="minorHAnsi" w:cs="Arial"/>
                <w:sz w:val="20"/>
                <w:szCs w:val="20"/>
              </w:rPr>
              <w:t>£m</w:t>
            </w:r>
          </w:p>
        </w:tc>
        <w:tc>
          <w:tcPr>
            <w:tcW w:w="753" w:type="dxa"/>
            <w:tcBorders>
              <w:top w:val="nil"/>
              <w:left w:val="nil"/>
              <w:bottom w:val="single" w:sz="4" w:space="0" w:color="auto"/>
              <w:right w:val="nil"/>
            </w:tcBorders>
          </w:tcPr>
          <w:p w14:paraId="620647BA" w14:textId="77777777" w:rsidR="00F57D05" w:rsidRPr="00701439" w:rsidRDefault="00F57D05">
            <w:pPr>
              <w:jc w:val="right"/>
              <w:rPr>
                <w:rFonts w:asciiTheme="minorHAnsi" w:hAnsiTheme="minorHAnsi" w:cs="Arial"/>
                <w:sz w:val="20"/>
                <w:szCs w:val="20"/>
              </w:rPr>
            </w:pPr>
          </w:p>
          <w:p w14:paraId="25FAA17C" w14:textId="77777777" w:rsidR="00F57D05" w:rsidRPr="00701439" w:rsidRDefault="00F57D05">
            <w:pPr>
              <w:jc w:val="right"/>
              <w:rPr>
                <w:rFonts w:asciiTheme="minorHAnsi" w:hAnsiTheme="minorHAnsi" w:cs="Arial"/>
                <w:sz w:val="20"/>
                <w:szCs w:val="20"/>
              </w:rPr>
            </w:pPr>
            <w:r w:rsidRPr="00701439">
              <w:rPr>
                <w:rFonts w:asciiTheme="minorHAnsi" w:hAnsiTheme="minorHAnsi" w:cs="Arial"/>
                <w:sz w:val="20"/>
                <w:szCs w:val="20"/>
              </w:rPr>
              <w:t>Total £m</w:t>
            </w:r>
          </w:p>
        </w:tc>
      </w:tr>
      <w:tr w:rsidR="00F57D05" w:rsidRPr="00565803" w14:paraId="03DCCBC7" w14:textId="77777777" w:rsidTr="00685561">
        <w:trPr>
          <w:trHeight w:val="247"/>
        </w:trPr>
        <w:tc>
          <w:tcPr>
            <w:tcW w:w="4071" w:type="dxa"/>
            <w:vAlign w:val="bottom"/>
          </w:tcPr>
          <w:p w14:paraId="06A7BB7F" w14:textId="20F4760A" w:rsidR="00F57D05" w:rsidRPr="00565803" w:rsidRDefault="00F57D05">
            <w:pPr>
              <w:rPr>
                <w:rFonts w:asciiTheme="minorHAnsi" w:hAnsiTheme="minorHAnsi" w:cs="Arial"/>
                <w:b/>
                <w:sz w:val="20"/>
                <w:szCs w:val="20"/>
              </w:rPr>
            </w:pPr>
            <w:r w:rsidRPr="00565803">
              <w:rPr>
                <w:rFonts w:asciiTheme="minorHAnsi" w:hAnsiTheme="minorHAnsi" w:cs="Arial"/>
                <w:b/>
                <w:sz w:val="20"/>
                <w:szCs w:val="20"/>
              </w:rPr>
              <w:t>At 1 January 202</w:t>
            </w:r>
            <w:r>
              <w:rPr>
                <w:rFonts w:asciiTheme="minorHAnsi" w:hAnsiTheme="minorHAnsi" w:cs="Arial"/>
                <w:b/>
                <w:sz w:val="20"/>
                <w:szCs w:val="20"/>
              </w:rPr>
              <w:t>4</w:t>
            </w:r>
            <w:r w:rsidR="000459BC">
              <w:rPr>
                <w:rFonts w:asciiTheme="minorHAnsi" w:hAnsiTheme="minorHAnsi" w:cs="Arial"/>
                <w:b/>
                <w:sz w:val="20"/>
                <w:szCs w:val="20"/>
              </w:rPr>
              <w:t xml:space="preserve"> (audited)</w:t>
            </w:r>
          </w:p>
        </w:tc>
        <w:tc>
          <w:tcPr>
            <w:tcW w:w="903" w:type="dxa"/>
            <w:tcBorders>
              <w:top w:val="single" w:sz="4" w:space="0" w:color="auto"/>
              <w:left w:val="nil"/>
              <w:bottom w:val="single" w:sz="4" w:space="0" w:color="auto"/>
              <w:right w:val="nil"/>
            </w:tcBorders>
            <w:vAlign w:val="bottom"/>
          </w:tcPr>
          <w:p w14:paraId="6BD0B9AC" w14:textId="632779FD"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53.2</w:t>
            </w:r>
          </w:p>
        </w:tc>
        <w:tc>
          <w:tcPr>
            <w:tcW w:w="1054" w:type="dxa"/>
            <w:tcBorders>
              <w:top w:val="single" w:sz="4" w:space="0" w:color="auto"/>
              <w:left w:val="nil"/>
              <w:bottom w:val="single" w:sz="4" w:space="0" w:color="auto"/>
              <w:right w:val="nil"/>
            </w:tcBorders>
            <w:vAlign w:val="bottom"/>
          </w:tcPr>
          <w:p w14:paraId="416FE0B6" w14:textId="7C7FB779"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276.3</w:t>
            </w:r>
          </w:p>
        </w:tc>
        <w:tc>
          <w:tcPr>
            <w:tcW w:w="904" w:type="dxa"/>
            <w:tcBorders>
              <w:top w:val="single" w:sz="4" w:space="0" w:color="auto"/>
              <w:left w:val="nil"/>
              <w:bottom w:val="single" w:sz="4" w:space="0" w:color="auto"/>
              <w:right w:val="nil"/>
            </w:tcBorders>
          </w:tcPr>
          <w:p w14:paraId="7C0C8F3D" w14:textId="4AAE919F"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278.2</w:t>
            </w:r>
          </w:p>
        </w:tc>
        <w:tc>
          <w:tcPr>
            <w:tcW w:w="1054" w:type="dxa"/>
            <w:tcBorders>
              <w:top w:val="single" w:sz="4" w:space="0" w:color="auto"/>
              <w:left w:val="nil"/>
              <w:bottom w:val="single" w:sz="4" w:space="0" w:color="auto"/>
              <w:right w:val="nil"/>
            </w:tcBorders>
            <w:vAlign w:val="bottom"/>
          </w:tcPr>
          <w:p w14:paraId="08E0114C" w14:textId="2615538F"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12.1</w:t>
            </w:r>
          </w:p>
        </w:tc>
        <w:tc>
          <w:tcPr>
            <w:tcW w:w="1054" w:type="dxa"/>
            <w:tcBorders>
              <w:top w:val="single" w:sz="4" w:space="0" w:color="auto"/>
              <w:left w:val="nil"/>
              <w:bottom w:val="single" w:sz="4" w:space="0" w:color="auto"/>
              <w:right w:val="nil"/>
            </w:tcBorders>
            <w:vAlign w:val="bottom"/>
          </w:tcPr>
          <w:p w14:paraId="17044716" w14:textId="1B3363C7"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(50.7)</w:t>
            </w:r>
          </w:p>
        </w:tc>
        <w:tc>
          <w:tcPr>
            <w:tcW w:w="753" w:type="dxa"/>
            <w:tcBorders>
              <w:top w:val="single" w:sz="4" w:space="0" w:color="auto"/>
              <w:left w:val="nil"/>
              <w:bottom w:val="single" w:sz="4" w:space="0" w:color="auto"/>
              <w:right w:val="nil"/>
            </w:tcBorders>
            <w:vAlign w:val="bottom"/>
          </w:tcPr>
          <w:p w14:paraId="1A27CC7E" w14:textId="1D878011"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569.1</w:t>
            </w:r>
          </w:p>
        </w:tc>
      </w:tr>
      <w:tr w:rsidR="00F57D05" w:rsidRPr="00565803" w14:paraId="2466524F" w14:textId="77777777" w:rsidTr="00685561">
        <w:trPr>
          <w:trHeight w:val="247"/>
        </w:trPr>
        <w:tc>
          <w:tcPr>
            <w:tcW w:w="4071" w:type="dxa"/>
            <w:vAlign w:val="bottom"/>
          </w:tcPr>
          <w:p w14:paraId="48824824" w14:textId="7A69018A" w:rsidR="00F57D05" w:rsidRPr="00565803" w:rsidRDefault="00F57D05">
            <w:pPr>
              <w:rPr>
                <w:rFonts w:asciiTheme="minorHAnsi" w:hAnsiTheme="minorHAnsi" w:cs="Arial"/>
                <w:b/>
                <w:sz w:val="20"/>
                <w:szCs w:val="20"/>
              </w:rPr>
            </w:pPr>
            <w:r>
              <w:rPr>
                <w:rFonts w:asciiTheme="minorHAnsi" w:hAnsiTheme="minorHAnsi" w:cs="Arial"/>
                <w:sz w:val="20"/>
                <w:szCs w:val="20"/>
              </w:rPr>
              <w:t>Loss</w:t>
            </w:r>
            <w:r w:rsidRPr="00565803">
              <w:rPr>
                <w:rFonts w:asciiTheme="minorHAnsi" w:hAnsiTheme="minorHAnsi" w:cs="Arial"/>
                <w:sz w:val="20"/>
                <w:szCs w:val="20"/>
              </w:rPr>
              <w:t xml:space="preserve"> for the period</w:t>
            </w:r>
            <w:r>
              <w:rPr>
                <w:rFonts w:asciiTheme="minorHAnsi" w:hAnsiTheme="minorHAnsi" w:cs="Arial"/>
                <w:sz w:val="20"/>
                <w:szCs w:val="20"/>
              </w:rPr>
              <w:t xml:space="preserve"> </w:t>
            </w:r>
          </w:p>
        </w:tc>
        <w:tc>
          <w:tcPr>
            <w:tcW w:w="903" w:type="dxa"/>
            <w:tcBorders>
              <w:top w:val="single" w:sz="4" w:space="0" w:color="auto"/>
              <w:left w:val="nil"/>
              <w:bottom w:val="single" w:sz="4" w:space="0" w:color="auto"/>
              <w:right w:val="nil"/>
            </w:tcBorders>
            <w:vAlign w:val="bottom"/>
          </w:tcPr>
          <w:p w14:paraId="4916656B" w14:textId="7248DD8C"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7B3D99A0" w14:textId="706827BC"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top w:val="single" w:sz="4" w:space="0" w:color="auto"/>
              <w:left w:val="nil"/>
              <w:bottom w:val="single" w:sz="4" w:space="0" w:color="auto"/>
              <w:right w:val="nil"/>
            </w:tcBorders>
          </w:tcPr>
          <w:p w14:paraId="053B9494" w14:textId="66C95C71"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59BF9235" w14:textId="55EC52B6"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2558EE0C" w14:textId="662DED07"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(35.8)</w:t>
            </w:r>
          </w:p>
        </w:tc>
        <w:tc>
          <w:tcPr>
            <w:tcW w:w="753" w:type="dxa"/>
            <w:tcBorders>
              <w:top w:val="single" w:sz="4" w:space="0" w:color="auto"/>
              <w:left w:val="nil"/>
              <w:bottom w:val="single" w:sz="4" w:space="0" w:color="auto"/>
              <w:right w:val="nil"/>
            </w:tcBorders>
            <w:vAlign w:val="bottom"/>
          </w:tcPr>
          <w:p w14:paraId="5FB10053" w14:textId="0AEB0860"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(35.8)</w:t>
            </w:r>
          </w:p>
        </w:tc>
      </w:tr>
      <w:tr w:rsidR="00F57D05" w:rsidRPr="00565803" w14:paraId="1AA9AA9E" w14:textId="77777777" w:rsidTr="00685561">
        <w:trPr>
          <w:trHeight w:val="247"/>
        </w:trPr>
        <w:tc>
          <w:tcPr>
            <w:tcW w:w="4071" w:type="dxa"/>
            <w:vAlign w:val="bottom"/>
          </w:tcPr>
          <w:p w14:paraId="04707898" w14:textId="3987FA83" w:rsidR="00F57D05" w:rsidRPr="00565803" w:rsidRDefault="00F57D05">
            <w:pPr>
              <w:rPr>
                <w:rFonts w:asciiTheme="minorHAnsi" w:hAnsiTheme="minorHAnsi" w:cs="Arial"/>
                <w:sz w:val="20"/>
                <w:szCs w:val="20"/>
              </w:rPr>
            </w:pPr>
            <w:r w:rsidRPr="00565803">
              <w:rPr>
                <w:rFonts w:asciiTheme="minorHAnsi" w:hAnsiTheme="minorHAnsi" w:cs="Arial"/>
                <w:sz w:val="20"/>
                <w:szCs w:val="20"/>
              </w:rPr>
              <w:t>Other comprehensive (expense)</w:t>
            </w:r>
            <w:r w:rsidR="00BF0E73">
              <w:rPr>
                <w:rFonts w:asciiTheme="minorHAnsi" w:hAnsiTheme="minorHAnsi" w:cs="Arial"/>
                <w:sz w:val="20"/>
                <w:szCs w:val="20"/>
              </w:rPr>
              <w:t>/income</w:t>
            </w:r>
            <w:r w:rsidRPr="00565803">
              <w:rPr>
                <w:rFonts w:asciiTheme="minorHAnsi" w:hAnsiTheme="minorHAnsi" w:cs="Arial"/>
                <w:sz w:val="20"/>
                <w:szCs w:val="20"/>
              </w:rPr>
              <w:t>:</w:t>
            </w:r>
          </w:p>
        </w:tc>
        <w:tc>
          <w:tcPr>
            <w:tcW w:w="903" w:type="dxa"/>
            <w:tcBorders>
              <w:top w:val="single" w:sz="4" w:space="0" w:color="auto"/>
              <w:left w:val="nil"/>
              <w:right w:val="nil"/>
            </w:tcBorders>
            <w:vAlign w:val="bottom"/>
          </w:tcPr>
          <w:p w14:paraId="69CF152A" w14:textId="77777777" w:rsidR="00F57D05" w:rsidRPr="006D4208" w:rsidRDefault="00F57D05">
            <w:pPr>
              <w:jc w:val="right"/>
              <w:rPr>
                <w:rFonts w:asciiTheme="minorHAnsi" w:hAnsiTheme="minorHAnsi" w:cs="Arial"/>
                <w:sz w:val="20"/>
                <w:szCs w:val="20"/>
              </w:rPr>
            </w:pPr>
          </w:p>
        </w:tc>
        <w:tc>
          <w:tcPr>
            <w:tcW w:w="1054" w:type="dxa"/>
            <w:tcBorders>
              <w:top w:val="single" w:sz="4" w:space="0" w:color="auto"/>
              <w:left w:val="nil"/>
              <w:right w:val="nil"/>
            </w:tcBorders>
            <w:vAlign w:val="bottom"/>
          </w:tcPr>
          <w:p w14:paraId="486BE411" w14:textId="77777777" w:rsidR="00F57D05" w:rsidRPr="006D4208" w:rsidRDefault="00F57D05">
            <w:pPr>
              <w:jc w:val="right"/>
              <w:rPr>
                <w:rFonts w:asciiTheme="minorHAnsi" w:hAnsiTheme="minorHAnsi" w:cs="Arial"/>
                <w:sz w:val="20"/>
                <w:szCs w:val="20"/>
              </w:rPr>
            </w:pPr>
          </w:p>
        </w:tc>
        <w:tc>
          <w:tcPr>
            <w:tcW w:w="904" w:type="dxa"/>
            <w:tcBorders>
              <w:top w:val="single" w:sz="4" w:space="0" w:color="auto"/>
              <w:left w:val="nil"/>
              <w:right w:val="nil"/>
            </w:tcBorders>
          </w:tcPr>
          <w:p w14:paraId="6E194B05" w14:textId="77777777" w:rsidR="00F57D05" w:rsidRPr="006D4208" w:rsidRDefault="00F57D05">
            <w:pPr>
              <w:jc w:val="right"/>
              <w:rPr>
                <w:rFonts w:asciiTheme="minorHAnsi" w:hAnsiTheme="minorHAnsi" w:cs="Arial"/>
                <w:sz w:val="20"/>
                <w:szCs w:val="20"/>
              </w:rPr>
            </w:pPr>
          </w:p>
        </w:tc>
        <w:tc>
          <w:tcPr>
            <w:tcW w:w="1054" w:type="dxa"/>
            <w:tcBorders>
              <w:top w:val="single" w:sz="4" w:space="0" w:color="auto"/>
              <w:left w:val="nil"/>
              <w:right w:val="nil"/>
            </w:tcBorders>
            <w:vAlign w:val="bottom"/>
          </w:tcPr>
          <w:p w14:paraId="5B5FFFC4" w14:textId="77777777" w:rsidR="00F57D05" w:rsidRPr="006D4208" w:rsidRDefault="00F57D05">
            <w:pPr>
              <w:jc w:val="right"/>
              <w:rPr>
                <w:rFonts w:asciiTheme="minorHAnsi" w:hAnsiTheme="minorHAnsi" w:cs="Arial"/>
                <w:sz w:val="20"/>
                <w:szCs w:val="20"/>
              </w:rPr>
            </w:pPr>
          </w:p>
        </w:tc>
        <w:tc>
          <w:tcPr>
            <w:tcW w:w="1054" w:type="dxa"/>
            <w:tcBorders>
              <w:top w:val="single" w:sz="4" w:space="0" w:color="auto"/>
              <w:left w:val="nil"/>
              <w:right w:val="nil"/>
            </w:tcBorders>
            <w:vAlign w:val="bottom"/>
          </w:tcPr>
          <w:p w14:paraId="0CE3F346" w14:textId="77777777" w:rsidR="00F57D05" w:rsidRPr="006D4208" w:rsidRDefault="00F57D05">
            <w:pPr>
              <w:jc w:val="right"/>
              <w:rPr>
                <w:rFonts w:asciiTheme="minorHAnsi" w:hAnsiTheme="minorHAnsi" w:cs="Arial"/>
                <w:sz w:val="20"/>
                <w:szCs w:val="20"/>
              </w:rPr>
            </w:pPr>
          </w:p>
        </w:tc>
        <w:tc>
          <w:tcPr>
            <w:tcW w:w="753" w:type="dxa"/>
            <w:tcBorders>
              <w:top w:val="single" w:sz="4" w:space="0" w:color="auto"/>
              <w:left w:val="nil"/>
              <w:right w:val="nil"/>
            </w:tcBorders>
            <w:vAlign w:val="bottom"/>
          </w:tcPr>
          <w:p w14:paraId="1FF87B94" w14:textId="77777777" w:rsidR="00F57D05" w:rsidRPr="006D4208" w:rsidRDefault="00F57D05">
            <w:pPr>
              <w:jc w:val="right"/>
              <w:rPr>
                <w:rFonts w:asciiTheme="minorHAnsi" w:hAnsiTheme="minorHAnsi" w:cs="Arial"/>
                <w:sz w:val="20"/>
                <w:szCs w:val="20"/>
              </w:rPr>
            </w:pPr>
          </w:p>
        </w:tc>
      </w:tr>
      <w:tr w:rsidR="00F57D05" w:rsidRPr="00565803" w14:paraId="59067A72" w14:textId="77777777" w:rsidTr="00685561">
        <w:trPr>
          <w:trHeight w:val="247"/>
        </w:trPr>
        <w:tc>
          <w:tcPr>
            <w:tcW w:w="4071" w:type="dxa"/>
            <w:vAlign w:val="bottom"/>
          </w:tcPr>
          <w:p w14:paraId="7A033EAB" w14:textId="5DA979B8" w:rsidR="00F57D05" w:rsidRPr="00565803" w:rsidRDefault="00F57D05">
            <w:pPr>
              <w:rPr>
                <w:rFonts w:asciiTheme="minorHAnsi" w:hAnsiTheme="minorHAnsi" w:cs="Arial"/>
                <w:sz w:val="20"/>
                <w:szCs w:val="20"/>
              </w:rPr>
            </w:pPr>
            <w:r w:rsidRPr="00565803">
              <w:rPr>
                <w:rFonts w:asciiTheme="minorHAnsi" w:hAnsiTheme="minorHAnsi" w:cs="Arial"/>
                <w:sz w:val="20"/>
                <w:szCs w:val="20"/>
              </w:rPr>
              <w:t>– actuarial movements on retirement benefit asset (note 1</w:t>
            </w:r>
            <w:r w:rsidR="0074224C">
              <w:rPr>
                <w:rFonts w:asciiTheme="minorHAnsi" w:hAnsiTheme="minorHAnsi" w:cs="Arial"/>
                <w:sz w:val="20"/>
                <w:szCs w:val="20"/>
              </w:rPr>
              <w:t>2</w:t>
            </w:r>
            <w:r w:rsidRPr="00565803">
              <w:rPr>
                <w:rFonts w:asciiTheme="minorHAnsi" w:hAnsiTheme="minorHAnsi" w:cs="Arial"/>
                <w:sz w:val="20"/>
                <w:szCs w:val="20"/>
              </w:rPr>
              <w:t>)</w:t>
            </w:r>
          </w:p>
        </w:tc>
        <w:tc>
          <w:tcPr>
            <w:tcW w:w="903" w:type="dxa"/>
            <w:tcBorders>
              <w:left w:val="nil"/>
              <w:right w:val="nil"/>
            </w:tcBorders>
            <w:vAlign w:val="bottom"/>
          </w:tcPr>
          <w:p w14:paraId="69882D11" w14:textId="75AD14C0"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2835C443" w14:textId="0C020DB4"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left w:val="nil"/>
              <w:right w:val="nil"/>
            </w:tcBorders>
          </w:tcPr>
          <w:p w14:paraId="45D460EC" w14:textId="77777777" w:rsidR="00373C26" w:rsidRPr="00373C26" w:rsidRDefault="00373C26" w:rsidP="00373C26">
            <w:pPr>
              <w:jc w:val="right"/>
              <w:rPr>
                <w:rFonts w:asciiTheme="minorHAnsi" w:hAnsiTheme="minorHAnsi" w:cs="Arial"/>
                <w:sz w:val="20"/>
                <w:szCs w:val="20"/>
              </w:rPr>
            </w:pPr>
          </w:p>
          <w:p w14:paraId="554A6F5C" w14:textId="7F970FDA"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239F04E0" w14:textId="61482165"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268AC0CC" w14:textId="2735FBA1"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(4.5)</w:t>
            </w:r>
          </w:p>
        </w:tc>
        <w:tc>
          <w:tcPr>
            <w:tcW w:w="753" w:type="dxa"/>
            <w:tcBorders>
              <w:left w:val="nil"/>
              <w:right w:val="nil"/>
            </w:tcBorders>
            <w:vAlign w:val="bottom"/>
          </w:tcPr>
          <w:p w14:paraId="34130729" w14:textId="5D032475"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(4.5)</w:t>
            </w:r>
          </w:p>
        </w:tc>
      </w:tr>
      <w:tr w:rsidR="00F57D05" w:rsidRPr="00565803" w14:paraId="03C44FB2" w14:textId="77777777" w:rsidTr="00685561">
        <w:trPr>
          <w:trHeight w:val="247"/>
        </w:trPr>
        <w:tc>
          <w:tcPr>
            <w:tcW w:w="4071" w:type="dxa"/>
            <w:vAlign w:val="bottom"/>
          </w:tcPr>
          <w:p w14:paraId="1ECE1BCA" w14:textId="15540D13" w:rsidR="00F57D05" w:rsidRPr="00565803" w:rsidRDefault="00F57D05" w:rsidP="006A08AB">
            <w:pPr>
              <w:autoSpaceDE w:val="0"/>
              <w:autoSpaceDN w:val="0"/>
              <w:adjustRightInd w:val="0"/>
              <w:rPr>
                <w:rFonts w:asciiTheme="minorHAnsi" w:hAnsiTheme="minorHAnsi" w:cs="Arial"/>
                <w:sz w:val="20"/>
                <w:szCs w:val="20"/>
              </w:rPr>
            </w:pPr>
            <w:r w:rsidRPr="00565803">
              <w:rPr>
                <w:rFonts w:ascii="Calibri" w:hAnsi="Calibri" w:cs="Arial"/>
                <w:sz w:val="20"/>
                <w:szCs w:val="20"/>
              </w:rPr>
              <w:t xml:space="preserve">–  </w:t>
            </w:r>
            <w:r w:rsidRPr="00565803">
              <w:rPr>
                <w:rFonts w:ascii="Calibri" w:hAnsi="Calibri" w:cs="Poppins-Light"/>
                <w:sz w:val="20"/>
                <w:szCs w:val="20"/>
              </w:rPr>
              <w:t xml:space="preserve">tax on items taken directly to </w:t>
            </w:r>
            <w:r w:rsidR="006A08AB">
              <w:rPr>
                <w:rFonts w:ascii="Calibri" w:hAnsi="Calibri" w:cs="Poppins-Light"/>
                <w:sz w:val="20"/>
                <w:szCs w:val="20"/>
              </w:rPr>
              <w:t>OCI</w:t>
            </w:r>
          </w:p>
        </w:tc>
        <w:tc>
          <w:tcPr>
            <w:tcW w:w="903" w:type="dxa"/>
            <w:tcBorders>
              <w:left w:val="nil"/>
              <w:right w:val="nil"/>
            </w:tcBorders>
            <w:vAlign w:val="bottom"/>
          </w:tcPr>
          <w:p w14:paraId="640CE2E8" w14:textId="5C9A7598"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5D69C5E8" w14:textId="2C9E20EF"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left w:val="nil"/>
              <w:right w:val="nil"/>
            </w:tcBorders>
          </w:tcPr>
          <w:p w14:paraId="77821C18" w14:textId="49624D10"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557CB183" w14:textId="5B33294A"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2BB2E4E7" w14:textId="54C3EADA"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1.1</w:t>
            </w:r>
          </w:p>
        </w:tc>
        <w:tc>
          <w:tcPr>
            <w:tcW w:w="753" w:type="dxa"/>
            <w:tcBorders>
              <w:left w:val="nil"/>
              <w:right w:val="nil"/>
            </w:tcBorders>
            <w:vAlign w:val="bottom"/>
          </w:tcPr>
          <w:p w14:paraId="0904447E" w14:textId="7B158768"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1.1</w:t>
            </w:r>
          </w:p>
        </w:tc>
      </w:tr>
      <w:tr w:rsidR="00F57D05" w:rsidRPr="00565803" w14:paraId="3512D5F5" w14:textId="77777777" w:rsidTr="00685561">
        <w:trPr>
          <w:trHeight w:val="247"/>
        </w:trPr>
        <w:tc>
          <w:tcPr>
            <w:tcW w:w="4071" w:type="dxa"/>
            <w:vAlign w:val="bottom"/>
          </w:tcPr>
          <w:p w14:paraId="7210898D" w14:textId="658091D0" w:rsidR="00F57D05" w:rsidRPr="00565803" w:rsidRDefault="00F57D05">
            <w:pPr>
              <w:autoSpaceDE w:val="0"/>
              <w:autoSpaceDN w:val="0"/>
              <w:adjustRightInd w:val="0"/>
              <w:rPr>
                <w:rFonts w:ascii="Calibri" w:hAnsi="Calibri" w:cs="Arial"/>
                <w:sz w:val="20"/>
                <w:szCs w:val="20"/>
              </w:rPr>
            </w:pPr>
            <w:r w:rsidRPr="00565803">
              <w:rPr>
                <w:rFonts w:asciiTheme="minorHAnsi" w:hAnsiTheme="minorHAnsi" w:cs="Arial"/>
                <w:sz w:val="20"/>
                <w:szCs w:val="20"/>
              </w:rPr>
              <w:t xml:space="preserve">Other comprehensive </w:t>
            </w:r>
            <w:r w:rsidR="00416C28">
              <w:rPr>
                <w:rFonts w:asciiTheme="minorHAnsi" w:hAnsiTheme="minorHAnsi" w:cs="Arial"/>
                <w:sz w:val="20"/>
                <w:szCs w:val="20"/>
              </w:rPr>
              <w:t>expense</w:t>
            </w:r>
            <w:r w:rsidRPr="00565803">
              <w:rPr>
                <w:rFonts w:asciiTheme="minorHAnsi" w:hAnsiTheme="minorHAnsi" w:cs="Arial"/>
                <w:sz w:val="20"/>
                <w:szCs w:val="20"/>
              </w:rPr>
              <w:t xml:space="preserve"> for the period</w:t>
            </w:r>
          </w:p>
        </w:tc>
        <w:tc>
          <w:tcPr>
            <w:tcW w:w="903" w:type="dxa"/>
            <w:tcBorders>
              <w:top w:val="single" w:sz="4" w:space="0" w:color="auto"/>
              <w:left w:val="nil"/>
              <w:bottom w:val="single" w:sz="4" w:space="0" w:color="auto"/>
              <w:right w:val="nil"/>
            </w:tcBorders>
            <w:vAlign w:val="bottom"/>
          </w:tcPr>
          <w:p w14:paraId="7F79D064" w14:textId="532D4C12"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7F3C9B5D" w14:textId="0BCC34F8"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top w:val="single" w:sz="4" w:space="0" w:color="auto"/>
              <w:left w:val="nil"/>
              <w:bottom w:val="single" w:sz="4" w:space="0" w:color="auto"/>
              <w:right w:val="nil"/>
            </w:tcBorders>
          </w:tcPr>
          <w:p w14:paraId="5321358C" w14:textId="3418CD2F"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 xml:space="preserve">-    </w:t>
            </w:r>
          </w:p>
        </w:tc>
        <w:tc>
          <w:tcPr>
            <w:tcW w:w="1054" w:type="dxa"/>
            <w:tcBorders>
              <w:top w:val="single" w:sz="4" w:space="0" w:color="auto"/>
              <w:left w:val="nil"/>
              <w:bottom w:val="single" w:sz="4" w:space="0" w:color="auto"/>
              <w:right w:val="nil"/>
            </w:tcBorders>
            <w:vAlign w:val="bottom"/>
          </w:tcPr>
          <w:p w14:paraId="3C1011F4" w14:textId="36845BAB"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4F8D8C2A" w14:textId="41E91A58" w:rsidR="00F57D05" w:rsidRPr="006D4208" w:rsidRDefault="006A08AB">
            <w:pPr>
              <w:jc w:val="right"/>
              <w:rPr>
                <w:rFonts w:asciiTheme="minorHAnsi" w:hAnsiTheme="minorHAnsi" w:cs="Arial"/>
                <w:sz w:val="20"/>
                <w:szCs w:val="20"/>
              </w:rPr>
            </w:pPr>
            <w:r>
              <w:rPr>
                <w:rFonts w:asciiTheme="minorHAnsi" w:hAnsiTheme="minorHAnsi" w:cs="Arial"/>
                <w:sz w:val="20"/>
                <w:szCs w:val="20"/>
              </w:rPr>
              <w:t>(3.4)</w:t>
            </w:r>
          </w:p>
        </w:tc>
        <w:tc>
          <w:tcPr>
            <w:tcW w:w="753" w:type="dxa"/>
            <w:tcBorders>
              <w:top w:val="single" w:sz="4" w:space="0" w:color="auto"/>
              <w:left w:val="nil"/>
              <w:bottom w:val="single" w:sz="4" w:space="0" w:color="auto"/>
              <w:right w:val="nil"/>
            </w:tcBorders>
            <w:vAlign w:val="bottom"/>
          </w:tcPr>
          <w:p w14:paraId="04470EE3" w14:textId="2CC1FC08" w:rsidR="00F57D05" w:rsidRPr="006D4208" w:rsidRDefault="00A764BF">
            <w:pPr>
              <w:jc w:val="right"/>
              <w:rPr>
                <w:rFonts w:asciiTheme="minorHAnsi" w:hAnsiTheme="minorHAnsi" w:cs="Arial"/>
                <w:sz w:val="20"/>
                <w:szCs w:val="20"/>
              </w:rPr>
            </w:pPr>
            <w:r>
              <w:rPr>
                <w:rFonts w:asciiTheme="minorHAnsi" w:hAnsiTheme="minorHAnsi" w:cs="Arial"/>
                <w:sz w:val="20"/>
                <w:szCs w:val="20"/>
              </w:rPr>
              <w:t>(3.4)</w:t>
            </w:r>
          </w:p>
        </w:tc>
      </w:tr>
      <w:tr w:rsidR="00F57D05" w:rsidRPr="00565803" w14:paraId="29D74DC4" w14:textId="77777777" w:rsidTr="00685561">
        <w:trPr>
          <w:trHeight w:val="247"/>
        </w:trPr>
        <w:tc>
          <w:tcPr>
            <w:tcW w:w="4071" w:type="dxa"/>
            <w:vAlign w:val="bottom"/>
          </w:tcPr>
          <w:p w14:paraId="2EA6FA63" w14:textId="77777777" w:rsidR="00F57D05" w:rsidRPr="00565803" w:rsidRDefault="00F57D05">
            <w:pPr>
              <w:autoSpaceDE w:val="0"/>
              <w:autoSpaceDN w:val="0"/>
              <w:adjustRightInd w:val="0"/>
              <w:rPr>
                <w:rFonts w:asciiTheme="minorHAnsi" w:hAnsiTheme="minorHAnsi" w:cs="Arial"/>
                <w:sz w:val="20"/>
                <w:szCs w:val="20"/>
              </w:rPr>
            </w:pPr>
            <w:r w:rsidRPr="00565803">
              <w:rPr>
                <w:rFonts w:asciiTheme="minorHAnsi" w:hAnsiTheme="minorHAnsi" w:cs="Arial"/>
                <w:sz w:val="20"/>
                <w:szCs w:val="20"/>
              </w:rPr>
              <w:t>Total comprehensive expense for the period</w:t>
            </w:r>
          </w:p>
        </w:tc>
        <w:tc>
          <w:tcPr>
            <w:tcW w:w="903" w:type="dxa"/>
            <w:tcBorders>
              <w:top w:val="single" w:sz="4" w:space="0" w:color="auto"/>
              <w:left w:val="nil"/>
              <w:bottom w:val="single" w:sz="4" w:space="0" w:color="auto"/>
              <w:right w:val="nil"/>
            </w:tcBorders>
            <w:vAlign w:val="bottom"/>
          </w:tcPr>
          <w:p w14:paraId="56E06E65" w14:textId="4D0E7B16"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7AF80F00" w14:textId="3F94E3AB"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top w:val="single" w:sz="4" w:space="0" w:color="auto"/>
              <w:left w:val="nil"/>
              <w:bottom w:val="single" w:sz="4" w:space="0" w:color="auto"/>
              <w:right w:val="nil"/>
            </w:tcBorders>
          </w:tcPr>
          <w:p w14:paraId="19646BF0" w14:textId="4DEEE772"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3C8D9042" w14:textId="5A9D82AB" w:rsidR="00F57D05" w:rsidRPr="006D4208" w:rsidRDefault="00C61745">
            <w:pPr>
              <w:jc w:val="right"/>
              <w:rPr>
                <w:rFonts w:asciiTheme="minorHAnsi" w:hAnsiTheme="minorHAnsi" w:cs="Arial"/>
                <w:sz w:val="20"/>
                <w:szCs w:val="20"/>
              </w:rPr>
            </w:pPr>
            <w:r>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1DE4050D" w14:textId="06ABB4D4" w:rsidR="00F57D05" w:rsidRPr="006D4208" w:rsidRDefault="006A08AB">
            <w:pPr>
              <w:jc w:val="right"/>
              <w:rPr>
                <w:rFonts w:asciiTheme="minorHAnsi" w:hAnsiTheme="minorHAnsi" w:cs="Arial"/>
                <w:sz w:val="20"/>
                <w:szCs w:val="20"/>
              </w:rPr>
            </w:pPr>
            <w:r>
              <w:rPr>
                <w:rFonts w:asciiTheme="minorHAnsi" w:hAnsiTheme="minorHAnsi" w:cs="Arial"/>
                <w:sz w:val="20"/>
                <w:szCs w:val="20"/>
              </w:rPr>
              <w:t>(39.2)</w:t>
            </w:r>
          </w:p>
        </w:tc>
        <w:tc>
          <w:tcPr>
            <w:tcW w:w="753" w:type="dxa"/>
            <w:tcBorders>
              <w:top w:val="single" w:sz="4" w:space="0" w:color="auto"/>
              <w:left w:val="nil"/>
              <w:bottom w:val="single" w:sz="4" w:space="0" w:color="auto"/>
              <w:right w:val="nil"/>
            </w:tcBorders>
            <w:vAlign w:val="bottom"/>
          </w:tcPr>
          <w:p w14:paraId="4FA28BBA" w14:textId="6A2EE56F" w:rsidR="00F57D05" w:rsidRPr="006D4208" w:rsidRDefault="00A764BF">
            <w:pPr>
              <w:jc w:val="right"/>
              <w:rPr>
                <w:rFonts w:asciiTheme="minorHAnsi" w:hAnsiTheme="minorHAnsi" w:cs="Arial"/>
                <w:sz w:val="20"/>
                <w:szCs w:val="20"/>
              </w:rPr>
            </w:pPr>
            <w:r>
              <w:rPr>
                <w:rFonts w:asciiTheme="minorHAnsi" w:hAnsiTheme="minorHAnsi" w:cs="Arial"/>
                <w:sz w:val="20"/>
                <w:szCs w:val="20"/>
              </w:rPr>
              <w:t>(39.2)</w:t>
            </w:r>
          </w:p>
        </w:tc>
      </w:tr>
      <w:tr w:rsidR="00F57D05" w:rsidRPr="00565803" w14:paraId="2CA53212" w14:textId="77777777" w:rsidTr="00685561">
        <w:trPr>
          <w:trHeight w:val="247"/>
        </w:trPr>
        <w:tc>
          <w:tcPr>
            <w:tcW w:w="4071" w:type="dxa"/>
            <w:vAlign w:val="bottom"/>
          </w:tcPr>
          <w:p w14:paraId="360F1E58" w14:textId="77777777" w:rsidR="00F57D05" w:rsidRPr="00565803" w:rsidRDefault="00F57D05">
            <w:pPr>
              <w:autoSpaceDE w:val="0"/>
              <w:autoSpaceDN w:val="0"/>
              <w:adjustRightInd w:val="0"/>
              <w:rPr>
                <w:rFonts w:asciiTheme="minorHAnsi" w:hAnsiTheme="minorHAnsi" w:cs="Poppins-Light"/>
                <w:sz w:val="20"/>
                <w:szCs w:val="20"/>
              </w:rPr>
            </w:pPr>
            <w:r w:rsidRPr="00565803">
              <w:rPr>
                <w:rFonts w:asciiTheme="minorHAnsi" w:hAnsiTheme="minorHAnsi" w:cs="Arial"/>
                <w:sz w:val="20"/>
                <w:szCs w:val="20"/>
              </w:rPr>
              <w:t>Share-based payment charge</w:t>
            </w:r>
          </w:p>
        </w:tc>
        <w:tc>
          <w:tcPr>
            <w:tcW w:w="903" w:type="dxa"/>
            <w:tcBorders>
              <w:left w:val="nil"/>
              <w:right w:val="nil"/>
            </w:tcBorders>
            <w:vAlign w:val="bottom"/>
          </w:tcPr>
          <w:p w14:paraId="7D0BEFCE" w14:textId="1BF479F5"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4DFBA9DF" w14:textId="0CF7719E"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left w:val="nil"/>
              <w:right w:val="nil"/>
            </w:tcBorders>
          </w:tcPr>
          <w:p w14:paraId="4AB0A98D" w14:textId="0BCE6410" w:rsidR="00F57D05" w:rsidRPr="006D4208" w:rsidRDefault="00373C26">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76656262" w14:textId="276660CF" w:rsidR="00F57D05" w:rsidRPr="006D4208" w:rsidRDefault="00C61745">
            <w:pPr>
              <w:jc w:val="right"/>
              <w:rPr>
                <w:rFonts w:asciiTheme="minorHAnsi" w:hAnsiTheme="minorHAnsi" w:cs="Arial"/>
                <w:sz w:val="20"/>
                <w:szCs w:val="20"/>
              </w:rPr>
            </w:pPr>
            <w:r>
              <w:rPr>
                <w:rFonts w:asciiTheme="minorHAnsi" w:hAnsiTheme="minorHAnsi" w:cs="Arial"/>
                <w:sz w:val="20"/>
                <w:szCs w:val="20"/>
              </w:rPr>
              <w:t>2.4</w:t>
            </w:r>
          </w:p>
        </w:tc>
        <w:tc>
          <w:tcPr>
            <w:tcW w:w="1054" w:type="dxa"/>
            <w:tcBorders>
              <w:left w:val="nil"/>
              <w:right w:val="nil"/>
            </w:tcBorders>
            <w:vAlign w:val="bottom"/>
          </w:tcPr>
          <w:p w14:paraId="2A7C337A" w14:textId="23297924" w:rsidR="00F57D05" w:rsidRPr="006D4208" w:rsidRDefault="00A0609C">
            <w:pPr>
              <w:jc w:val="right"/>
              <w:rPr>
                <w:rFonts w:asciiTheme="minorHAnsi" w:hAnsiTheme="minorHAnsi" w:cs="Arial"/>
                <w:sz w:val="20"/>
                <w:szCs w:val="20"/>
              </w:rPr>
            </w:pPr>
            <w:r>
              <w:rPr>
                <w:rFonts w:asciiTheme="minorHAnsi" w:hAnsiTheme="minorHAnsi" w:cs="Arial"/>
                <w:sz w:val="20"/>
                <w:szCs w:val="20"/>
              </w:rPr>
              <w:t>-</w:t>
            </w:r>
          </w:p>
        </w:tc>
        <w:tc>
          <w:tcPr>
            <w:tcW w:w="753" w:type="dxa"/>
            <w:tcBorders>
              <w:left w:val="nil"/>
              <w:right w:val="nil"/>
            </w:tcBorders>
            <w:vAlign w:val="bottom"/>
          </w:tcPr>
          <w:p w14:paraId="79CF9C1E" w14:textId="540A1DE3" w:rsidR="00F57D05" w:rsidRPr="006D4208" w:rsidRDefault="00A0609C">
            <w:pPr>
              <w:jc w:val="right"/>
              <w:rPr>
                <w:rFonts w:asciiTheme="minorHAnsi" w:hAnsiTheme="minorHAnsi" w:cs="Arial"/>
                <w:sz w:val="20"/>
                <w:szCs w:val="20"/>
              </w:rPr>
            </w:pPr>
            <w:r>
              <w:rPr>
                <w:rFonts w:asciiTheme="minorHAnsi" w:hAnsiTheme="minorHAnsi" w:cs="Arial"/>
                <w:sz w:val="20"/>
                <w:szCs w:val="20"/>
              </w:rPr>
              <w:t>2.4</w:t>
            </w:r>
          </w:p>
        </w:tc>
      </w:tr>
      <w:tr w:rsidR="00A0609C" w:rsidRPr="00565803" w14:paraId="3706AE48" w14:textId="77777777">
        <w:trPr>
          <w:trHeight w:val="247"/>
        </w:trPr>
        <w:tc>
          <w:tcPr>
            <w:tcW w:w="4071" w:type="dxa"/>
            <w:vAlign w:val="bottom"/>
          </w:tcPr>
          <w:p w14:paraId="4DC40B08" w14:textId="5DC36C4A" w:rsidR="00A0609C" w:rsidRPr="00565803" w:rsidRDefault="00A0609C" w:rsidP="00A0609C">
            <w:pPr>
              <w:autoSpaceDE w:val="0"/>
              <w:autoSpaceDN w:val="0"/>
              <w:adjustRightInd w:val="0"/>
              <w:rPr>
                <w:rFonts w:asciiTheme="minorHAnsi" w:hAnsiTheme="minorHAnsi" w:cs="Arial"/>
                <w:sz w:val="20"/>
                <w:szCs w:val="20"/>
              </w:rPr>
            </w:pPr>
            <w:r>
              <w:rPr>
                <w:rFonts w:asciiTheme="minorHAnsi" w:hAnsiTheme="minorHAnsi" w:cs="Arial"/>
                <w:bCs/>
                <w:sz w:val="20"/>
                <w:szCs w:val="20"/>
              </w:rPr>
              <w:t>Purchase of shares for share awards</w:t>
            </w:r>
          </w:p>
        </w:tc>
        <w:tc>
          <w:tcPr>
            <w:tcW w:w="903" w:type="dxa"/>
            <w:tcBorders>
              <w:left w:val="nil"/>
              <w:right w:val="nil"/>
            </w:tcBorders>
          </w:tcPr>
          <w:p w14:paraId="74E80A18" w14:textId="77777777" w:rsidR="00A0609C" w:rsidRPr="00E062EE" w:rsidRDefault="00A0609C" w:rsidP="00A0609C">
            <w:pPr>
              <w:jc w:val="right"/>
              <w:rPr>
                <w:rFonts w:asciiTheme="minorHAnsi" w:hAnsiTheme="minorHAnsi" w:cs="Arial"/>
                <w:sz w:val="20"/>
                <w:szCs w:val="20"/>
              </w:rPr>
            </w:pPr>
          </w:p>
        </w:tc>
        <w:tc>
          <w:tcPr>
            <w:tcW w:w="1054" w:type="dxa"/>
            <w:tcBorders>
              <w:left w:val="nil"/>
              <w:right w:val="nil"/>
            </w:tcBorders>
          </w:tcPr>
          <w:p w14:paraId="04D832E8" w14:textId="77777777" w:rsidR="00A0609C" w:rsidRPr="008459E8" w:rsidRDefault="00A0609C" w:rsidP="00A0609C">
            <w:pPr>
              <w:jc w:val="right"/>
              <w:rPr>
                <w:rFonts w:asciiTheme="minorHAnsi" w:hAnsiTheme="minorHAnsi" w:cs="Arial"/>
                <w:sz w:val="20"/>
                <w:szCs w:val="20"/>
              </w:rPr>
            </w:pPr>
          </w:p>
        </w:tc>
        <w:tc>
          <w:tcPr>
            <w:tcW w:w="904" w:type="dxa"/>
            <w:tcBorders>
              <w:left w:val="nil"/>
              <w:right w:val="nil"/>
            </w:tcBorders>
          </w:tcPr>
          <w:p w14:paraId="7525AF3E" w14:textId="77777777" w:rsidR="00A0609C" w:rsidRPr="00F22DA4" w:rsidRDefault="00A0609C" w:rsidP="00A0609C">
            <w:pPr>
              <w:jc w:val="right"/>
              <w:rPr>
                <w:rFonts w:asciiTheme="minorHAnsi" w:hAnsiTheme="minorHAnsi" w:cs="Arial"/>
                <w:sz w:val="20"/>
                <w:szCs w:val="20"/>
              </w:rPr>
            </w:pPr>
          </w:p>
        </w:tc>
        <w:tc>
          <w:tcPr>
            <w:tcW w:w="1054" w:type="dxa"/>
            <w:tcBorders>
              <w:left w:val="nil"/>
              <w:right w:val="nil"/>
            </w:tcBorders>
            <w:vAlign w:val="bottom"/>
          </w:tcPr>
          <w:p w14:paraId="41C0C9DF" w14:textId="01AC42D1" w:rsidR="00A0609C" w:rsidRPr="00373C26" w:rsidRDefault="00A0609C" w:rsidP="00A0609C">
            <w:pPr>
              <w:jc w:val="right"/>
              <w:rPr>
                <w:rFonts w:asciiTheme="minorHAnsi" w:hAnsiTheme="minorHAnsi" w:cs="Arial"/>
                <w:sz w:val="20"/>
                <w:szCs w:val="20"/>
              </w:rPr>
            </w:pPr>
            <w:r>
              <w:rPr>
                <w:rFonts w:asciiTheme="minorHAnsi" w:hAnsiTheme="minorHAnsi" w:cs="Arial"/>
                <w:sz w:val="20"/>
                <w:szCs w:val="20"/>
              </w:rPr>
              <w:t>-</w:t>
            </w:r>
          </w:p>
        </w:tc>
        <w:tc>
          <w:tcPr>
            <w:tcW w:w="1054" w:type="dxa"/>
            <w:tcBorders>
              <w:left w:val="nil"/>
              <w:right w:val="nil"/>
            </w:tcBorders>
            <w:vAlign w:val="bottom"/>
          </w:tcPr>
          <w:p w14:paraId="1C0D3CAA" w14:textId="6F0D4E28" w:rsidR="00A0609C" w:rsidRPr="006D4208" w:rsidRDefault="00A0609C" w:rsidP="00A0609C">
            <w:pPr>
              <w:jc w:val="right"/>
              <w:rPr>
                <w:rFonts w:asciiTheme="minorHAnsi" w:hAnsiTheme="minorHAnsi" w:cs="Arial"/>
                <w:sz w:val="20"/>
                <w:szCs w:val="20"/>
              </w:rPr>
            </w:pPr>
            <w:r>
              <w:rPr>
                <w:rFonts w:asciiTheme="minorHAnsi" w:hAnsiTheme="minorHAnsi" w:cs="Arial"/>
                <w:sz w:val="20"/>
                <w:szCs w:val="20"/>
              </w:rPr>
              <w:t>(0.1)</w:t>
            </w:r>
          </w:p>
        </w:tc>
        <w:tc>
          <w:tcPr>
            <w:tcW w:w="753" w:type="dxa"/>
            <w:tcBorders>
              <w:left w:val="nil"/>
              <w:right w:val="nil"/>
            </w:tcBorders>
            <w:vAlign w:val="bottom"/>
          </w:tcPr>
          <w:p w14:paraId="42DD18A1" w14:textId="0CDDC918" w:rsidR="00A0609C" w:rsidRPr="006D4208" w:rsidRDefault="00A0609C" w:rsidP="00A0609C">
            <w:pPr>
              <w:jc w:val="right"/>
              <w:rPr>
                <w:rFonts w:asciiTheme="minorHAnsi" w:hAnsiTheme="minorHAnsi" w:cs="Arial"/>
                <w:sz w:val="20"/>
                <w:szCs w:val="20"/>
              </w:rPr>
            </w:pPr>
            <w:r>
              <w:rPr>
                <w:rFonts w:asciiTheme="minorHAnsi" w:hAnsiTheme="minorHAnsi" w:cs="Arial"/>
                <w:sz w:val="20"/>
                <w:szCs w:val="20"/>
              </w:rPr>
              <w:t>(0.1)</w:t>
            </w:r>
          </w:p>
        </w:tc>
      </w:tr>
      <w:tr w:rsidR="00A0609C" w:rsidRPr="00565803" w14:paraId="41A1AAD9" w14:textId="77777777">
        <w:trPr>
          <w:trHeight w:val="247"/>
        </w:trPr>
        <w:tc>
          <w:tcPr>
            <w:tcW w:w="4071" w:type="dxa"/>
            <w:vAlign w:val="bottom"/>
          </w:tcPr>
          <w:p w14:paraId="5F62FC12" w14:textId="77777777" w:rsidR="00A0609C" w:rsidRPr="00565803" w:rsidRDefault="00A0609C" w:rsidP="00A0609C">
            <w:pPr>
              <w:autoSpaceDE w:val="0"/>
              <w:autoSpaceDN w:val="0"/>
              <w:adjustRightInd w:val="0"/>
              <w:rPr>
                <w:rFonts w:asciiTheme="minorHAnsi" w:hAnsiTheme="minorHAnsi" w:cs="Poppins-Light"/>
                <w:sz w:val="20"/>
                <w:szCs w:val="20"/>
              </w:rPr>
            </w:pPr>
            <w:r w:rsidRPr="00565803">
              <w:rPr>
                <w:rFonts w:asciiTheme="minorHAnsi" w:hAnsiTheme="minorHAnsi" w:cs="Arial"/>
                <w:sz w:val="20"/>
                <w:szCs w:val="20"/>
              </w:rPr>
              <w:t>Dividends</w:t>
            </w:r>
          </w:p>
        </w:tc>
        <w:tc>
          <w:tcPr>
            <w:tcW w:w="903" w:type="dxa"/>
            <w:tcBorders>
              <w:left w:val="nil"/>
              <w:right w:val="nil"/>
            </w:tcBorders>
          </w:tcPr>
          <w:p w14:paraId="736D269D" w14:textId="01ED5F00" w:rsidR="00A0609C" w:rsidRPr="006D4208" w:rsidRDefault="00A0609C" w:rsidP="00A0609C">
            <w:pPr>
              <w:jc w:val="right"/>
              <w:rPr>
                <w:rFonts w:asciiTheme="minorHAnsi" w:hAnsiTheme="minorHAnsi" w:cs="Arial"/>
                <w:sz w:val="20"/>
                <w:szCs w:val="20"/>
              </w:rPr>
            </w:pPr>
            <w:r w:rsidRPr="00E062EE">
              <w:rPr>
                <w:rFonts w:asciiTheme="minorHAnsi" w:hAnsiTheme="minorHAnsi" w:cs="Arial"/>
                <w:sz w:val="20"/>
                <w:szCs w:val="20"/>
              </w:rPr>
              <w:t>-</w:t>
            </w:r>
          </w:p>
        </w:tc>
        <w:tc>
          <w:tcPr>
            <w:tcW w:w="1054" w:type="dxa"/>
            <w:tcBorders>
              <w:left w:val="nil"/>
              <w:right w:val="nil"/>
            </w:tcBorders>
          </w:tcPr>
          <w:p w14:paraId="3D6F3A57" w14:textId="0D04565A" w:rsidR="00A0609C" w:rsidRPr="006D4208" w:rsidRDefault="00A0609C" w:rsidP="00A0609C">
            <w:pPr>
              <w:jc w:val="right"/>
              <w:rPr>
                <w:rFonts w:asciiTheme="minorHAnsi" w:hAnsiTheme="minorHAnsi" w:cs="Arial"/>
                <w:sz w:val="20"/>
                <w:szCs w:val="20"/>
              </w:rPr>
            </w:pPr>
            <w:r w:rsidRPr="008459E8">
              <w:rPr>
                <w:rFonts w:asciiTheme="minorHAnsi" w:hAnsiTheme="minorHAnsi" w:cs="Arial"/>
                <w:sz w:val="20"/>
                <w:szCs w:val="20"/>
              </w:rPr>
              <w:t>-</w:t>
            </w:r>
          </w:p>
        </w:tc>
        <w:tc>
          <w:tcPr>
            <w:tcW w:w="904" w:type="dxa"/>
            <w:tcBorders>
              <w:left w:val="nil"/>
              <w:right w:val="nil"/>
            </w:tcBorders>
          </w:tcPr>
          <w:p w14:paraId="6F1DE542" w14:textId="3E298205" w:rsidR="00A0609C" w:rsidRPr="006D4208" w:rsidRDefault="00A0609C" w:rsidP="00A0609C">
            <w:pPr>
              <w:jc w:val="right"/>
              <w:rPr>
                <w:rFonts w:asciiTheme="minorHAnsi" w:hAnsiTheme="minorHAnsi" w:cs="Arial"/>
                <w:sz w:val="20"/>
                <w:szCs w:val="20"/>
              </w:rPr>
            </w:pPr>
            <w:r w:rsidRPr="00F22DA4">
              <w:rPr>
                <w:rFonts w:asciiTheme="minorHAnsi" w:hAnsiTheme="minorHAnsi" w:cs="Arial"/>
                <w:sz w:val="20"/>
                <w:szCs w:val="20"/>
              </w:rPr>
              <w:t>-</w:t>
            </w:r>
          </w:p>
        </w:tc>
        <w:tc>
          <w:tcPr>
            <w:tcW w:w="1054" w:type="dxa"/>
            <w:tcBorders>
              <w:left w:val="nil"/>
              <w:right w:val="nil"/>
            </w:tcBorders>
            <w:vAlign w:val="bottom"/>
          </w:tcPr>
          <w:p w14:paraId="68F10405" w14:textId="30185672" w:rsidR="00A0609C" w:rsidRPr="006D4208" w:rsidRDefault="00A0609C" w:rsidP="00A0609C">
            <w:pPr>
              <w:jc w:val="right"/>
              <w:rPr>
                <w:rFonts w:asciiTheme="minorHAnsi" w:hAnsiTheme="minorHAnsi" w:cs="Arial"/>
                <w:sz w:val="20"/>
                <w:szCs w:val="20"/>
              </w:rPr>
            </w:pPr>
            <w:r>
              <w:rPr>
                <w:rFonts w:asciiTheme="minorHAnsi" w:hAnsiTheme="minorHAnsi" w:cs="Arial"/>
                <w:sz w:val="20"/>
                <w:szCs w:val="20"/>
              </w:rPr>
              <w:t>-</w:t>
            </w:r>
          </w:p>
        </w:tc>
        <w:tc>
          <w:tcPr>
            <w:tcW w:w="1054" w:type="dxa"/>
            <w:tcBorders>
              <w:left w:val="nil"/>
              <w:right w:val="nil"/>
            </w:tcBorders>
            <w:vAlign w:val="bottom"/>
          </w:tcPr>
          <w:p w14:paraId="01341527" w14:textId="4C2E52E4" w:rsidR="00A0609C" w:rsidRPr="006D4208" w:rsidRDefault="00A0609C" w:rsidP="00A0609C">
            <w:pPr>
              <w:jc w:val="right"/>
              <w:rPr>
                <w:rFonts w:asciiTheme="minorHAnsi" w:hAnsiTheme="minorHAnsi" w:cs="Arial"/>
                <w:sz w:val="20"/>
                <w:szCs w:val="20"/>
              </w:rPr>
            </w:pPr>
            <w:r>
              <w:rPr>
                <w:rFonts w:asciiTheme="minorHAnsi" w:hAnsiTheme="minorHAnsi" w:cs="Arial"/>
                <w:sz w:val="20"/>
                <w:szCs w:val="20"/>
              </w:rPr>
              <w:t>(2.5)</w:t>
            </w:r>
          </w:p>
        </w:tc>
        <w:tc>
          <w:tcPr>
            <w:tcW w:w="753" w:type="dxa"/>
            <w:tcBorders>
              <w:left w:val="nil"/>
              <w:right w:val="nil"/>
            </w:tcBorders>
            <w:vAlign w:val="bottom"/>
          </w:tcPr>
          <w:p w14:paraId="461C2AC5" w14:textId="33784E33" w:rsidR="00A0609C" w:rsidRPr="006D4208" w:rsidRDefault="00A0609C" w:rsidP="00A0609C">
            <w:pPr>
              <w:jc w:val="right"/>
              <w:rPr>
                <w:rFonts w:asciiTheme="minorHAnsi" w:hAnsiTheme="minorHAnsi" w:cs="Arial"/>
                <w:sz w:val="20"/>
                <w:szCs w:val="20"/>
              </w:rPr>
            </w:pPr>
            <w:r>
              <w:rPr>
                <w:rFonts w:asciiTheme="minorHAnsi" w:hAnsiTheme="minorHAnsi" w:cs="Arial"/>
                <w:sz w:val="20"/>
                <w:szCs w:val="20"/>
              </w:rPr>
              <w:t>(2.5)</w:t>
            </w:r>
          </w:p>
        </w:tc>
      </w:tr>
      <w:tr w:rsidR="00A0609C" w:rsidRPr="00565803" w14:paraId="2AC151F6" w14:textId="77777777" w:rsidTr="00685561">
        <w:trPr>
          <w:trHeight w:val="247"/>
        </w:trPr>
        <w:tc>
          <w:tcPr>
            <w:tcW w:w="4071" w:type="dxa"/>
            <w:vAlign w:val="bottom"/>
          </w:tcPr>
          <w:p w14:paraId="72241F9F" w14:textId="38761574" w:rsidR="00A0609C" w:rsidRPr="00565803" w:rsidRDefault="00A0609C" w:rsidP="00A0609C">
            <w:pPr>
              <w:autoSpaceDE w:val="0"/>
              <w:autoSpaceDN w:val="0"/>
              <w:adjustRightInd w:val="0"/>
              <w:rPr>
                <w:rFonts w:asciiTheme="minorHAnsi" w:hAnsiTheme="minorHAnsi" w:cs="Poppins-Light"/>
                <w:sz w:val="20"/>
                <w:szCs w:val="20"/>
              </w:rPr>
            </w:pPr>
            <w:r w:rsidRPr="00565803">
              <w:rPr>
                <w:rFonts w:asciiTheme="minorHAnsi" w:hAnsiTheme="minorHAnsi" w:cs="Arial"/>
                <w:b/>
                <w:sz w:val="20"/>
                <w:szCs w:val="20"/>
              </w:rPr>
              <w:t>At 30 June 202</w:t>
            </w:r>
            <w:r>
              <w:rPr>
                <w:rFonts w:asciiTheme="minorHAnsi" w:hAnsiTheme="minorHAnsi" w:cs="Arial"/>
                <w:b/>
                <w:sz w:val="20"/>
                <w:szCs w:val="20"/>
              </w:rPr>
              <w:t>4</w:t>
            </w:r>
            <w:r w:rsidRPr="00565803">
              <w:rPr>
                <w:rFonts w:asciiTheme="minorHAnsi" w:hAnsiTheme="minorHAnsi" w:cs="Arial"/>
                <w:b/>
                <w:sz w:val="20"/>
                <w:szCs w:val="20"/>
              </w:rPr>
              <w:t xml:space="preserve"> and 1 July 202</w:t>
            </w:r>
            <w:r>
              <w:rPr>
                <w:rFonts w:asciiTheme="minorHAnsi" w:hAnsiTheme="minorHAnsi" w:cs="Arial"/>
                <w:b/>
                <w:sz w:val="20"/>
                <w:szCs w:val="20"/>
              </w:rPr>
              <w:t>4</w:t>
            </w:r>
            <w:r w:rsidR="00F54C10">
              <w:rPr>
                <w:rFonts w:asciiTheme="minorHAnsi" w:hAnsiTheme="minorHAnsi" w:cs="Arial"/>
                <w:b/>
                <w:sz w:val="20"/>
                <w:szCs w:val="20"/>
              </w:rPr>
              <w:t xml:space="preserve"> (unaudited)</w:t>
            </w:r>
          </w:p>
        </w:tc>
        <w:tc>
          <w:tcPr>
            <w:tcW w:w="903" w:type="dxa"/>
            <w:tcBorders>
              <w:top w:val="single" w:sz="4" w:space="0" w:color="auto"/>
              <w:left w:val="nil"/>
              <w:bottom w:val="single" w:sz="4" w:space="0" w:color="auto"/>
              <w:right w:val="nil"/>
            </w:tcBorders>
            <w:vAlign w:val="bottom"/>
          </w:tcPr>
          <w:p w14:paraId="6EDDF9F7" w14:textId="3491314C" w:rsidR="00A0609C" w:rsidRPr="006D4208" w:rsidRDefault="00A0609C" w:rsidP="00A0609C">
            <w:pPr>
              <w:jc w:val="right"/>
              <w:rPr>
                <w:rFonts w:asciiTheme="minorHAnsi" w:hAnsiTheme="minorHAnsi" w:cs="Arial"/>
                <w:sz w:val="20"/>
                <w:szCs w:val="20"/>
              </w:rPr>
            </w:pPr>
            <w:r w:rsidRPr="00373C26">
              <w:rPr>
                <w:rFonts w:asciiTheme="minorHAnsi" w:hAnsiTheme="minorHAnsi" w:cs="Arial"/>
                <w:sz w:val="20"/>
                <w:szCs w:val="20"/>
              </w:rPr>
              <w:t>53.2</w:t>
            </w:r>
          </w:p>
        </w:tc>
        <w:tc>
          <w:tcPr>
            <w:tcW w:w="1054" w:type="dxa"/>
            <w:tcBorders>
              <w:top w:val="single" w:sz="4" w:space="0" w:color="auto"/>
              <w:left w:val="nil"/>
              <w:bottom w:val="single" w:sz="4" w:space="0" w:color="auto"/>
              <w:right w:val="nil"/>
            </w:tcBorders>
            <w:vAlign w:val="bottom"/>
          </w:tcPr>
          <w:p w14:paraId="54CB6573" w14:textId="411D09D9" w:rsidR="00A0609C" w:rsidRPr="006D4208" w:rsidRDefault="00A0609C" w:rsidP="00A0609C">
            <w:pPr>
              <w:jc w:val="right"/>
              <w:rPr>
                <w:rFonts w:asciiTheme="minorHAnsi" w:hAnsiTheme="minorHAnsi" w:cs="Arial"/>
                <w:sz w:val="20"/>
                <w:szCs w:val="20"/>
              </w:rPr>
            </w:pPr>
            <w:r w:rsidRPr="00373C26">
              <w:rPr>
                <w:rFonts w:asciiTheme="minorHAnsi" w:hAnsiTheme="minorHAnsi" w:cs="Arial"/>
                <w:sz w:val="20"/>
                <w:szCs w:val="20"/>
              </w:rPr>
              <w:t>276.3</w:t>
            </w:r>
          </w:p>
        </w:tc>
        <w:tc>
          <w:tcPr>
            <w:tcW w:w="904" w:type="dxa"/>
            <w:tcBorders>
              <w:top w:val="single" w:sz="4" w:space="0" w:color="auto"/>
              <w:left w:val="nil"/>
              <w:bottom w:val="single" w:sz="4" w:space="0" w:color="auto"/>
              <w:right w:val="nil"/>
            </w:tcBorders>
          </w:tcPr>
          <w:p w14:paraId="19FFDC33" w14:textId="120FB07D" w:rsidR="00A0609C" w:rsidRPr="006D4208" w:rsidRDefault="00A0609C" w:rsidP="00A0609C">
            <w:pPr>
              <w:jc w:val="right"/>
              <w:rPr>
                <w:rFonts w:asciiTheme="minorHAnsi" w:hAnsiTheme="minorHAnsi" w:cs="Arial"/>
                <w:sz w:val="20"/>
                <w:szCs w:val="20"/>
              </w:rPr>
            </w:pPr>
            <w:r w:rsidRPr="00373C26">
              <w:rPr>
                <w:rFonts w:asciiTheme="minorHAnsi" w:hAnsiTheme="minorHAnsi" w:cs="Arial"/>
                <w:sz w:val="20"/>
                <w:szCs w:val="20"/>
              </w:rPr>
              <w:t>278.2</w:t>
            </w:r>
          </w:p>
        </w:tc>
        <w:tc>
          <w:tcPr>
            <w:tcW w:w="1054" w:type="dxa"/>
            <w:tcBorders>
              <w:top w:val="single" w:sz="4" w:space="0" w:color="auto"/>
              <w:left w:val="nil"/>
              <w:bottom w:val="single" w:sz="4" w:space="0" w:color="auto"/>
              <w:right w:val="nil"/>
            </w:tcBorders>
            <w:vAlign w:val="bottom"/>
          </w:tcPr>
          <w:p w14:paraId="07AF47D4" w14:textId="77CC1154" w:rsidR="00A0609C" w:rsidRPr="006D4208" w:rsidRDefault="00A764BF" w:rsidP="00A0609C">
            <w:pPr>
              <w:jc w:val="right"/>
              <w:rPr>
                <w:rFonts w:asciiTheme="minorHAnsi" w:hAnsiTheme="minorHAnsi" w:cs="Arial"/>
                <w:sz w:val="20"/>
                <w:szCs w:val="20"/>
              </w:rPr>
            </w:pPr>
            <w:r>
              <w:rPr>
                <w:rFonts w:asciiTheme="minorHAnsi" w:hAnsiTheme="minorHAnsi" w:cs="Arial"/>
                <w:sz w:val="20"/>
                <w:szCs w:val="20"/>
              </w:rPr>
              <w:t>14.5</w:t>
            </w:r>
          </w:p>
        </w:tc>
        <w:tc>
          <w:tcPr>
            <w:tcW w:w="1054" w:type="dxa"/>
            <w:tcBorders>
              <w:top w:val="single" w:sz="4" w:space="0" w:color="auto"/>
              <w:left w:val="nil"/>
              <w:bottom w:val="single" w:sz="4" w:space="0" w:color="auto"/>
              <w:right w:val="nil"/>
            </w:tcBorders>
            <w:vAlign w:val="bottom"/>
          </w:tcPr>
          <w:p w14:paraId="6A634570" w14:textId="10D4122C" w:rsidR="00A0609C" w:rsidRPr="006D4208" w:rsidRDefault="00A764BF" w:rsidP="00A0609C">
            <w:pPr>
              <w:jc w:val="right"/>
              <w:rPr>
                <w:rFonts w:asciiTheme="minorHAnsi" w:hAnsiTheme="minorHAnsi" w:cs="Arial"/>
                <w:sz w:val="20"/>
                <w:szCs w:val="20"/>
              </w:rPr>
            </w:pPr>
            <w:r>
              <w:rPr>
                <w:rFonts w:asciiTheme="minorHAnsi" w:hAnsiTheme="minorHAnsi" w:cs="Arial"/>
                <w:sz w:val="20"/>
                <w:szCs w:val="20"/>
              </w:rPr>
              <w:t>(92.5)</w:t>
            </w:r>
          </w:p>
        </w:tc>
        <w:tc>
          <w:tcPr>
            <w:tcW w:w="753" w:type="dxa"/>
            <w:tcBorders>
              <w:top w:val="single" w:sz="4" w:space="0" w:color="auto"/>
              <w:left w:val="nil"/>
              <w:bottom w:val="single" w:sz="4" w:space="0" w:color="auto"/>
              <w:right w:val="nil"/>
            </w:tcBorders>
            <w:vAlign w:val="bottom"/>
          </w:tcPr>
          <w:p w14:paraId="7D6BC714" w14:textId="2EEA0423" w:rsidR="00A0609C" w:rsidRPr="006D4208" w:rsidRDefault="00A764BF" w:rsidP="00A0609C">
            <w:pPr>
              <w:jc w:val="right"/>
              <w:rPr>
                <w:rFonts w:asciiTheme="minorHAnsi" w:hAnsiTheme="minorHAnsi" w:cs="Arial"/>
                <w:sz w:val="20"/>
                <w:szCs w:val="20"/>
              </w:rPr>
            </w:pPr>
            <w:r>
              <w:rPr>
                <w:rFonts w:asciiTheme="minorHAnsi" w:hAnsiTheme="minorHAnsi" w:cs="Arial"/>
                <w:sz w:val="20"/>
                <w:szCs w:val="20"/>
              </w:rPr>
              <w:t>529.7</w:t>
            </w:r>
          </w:p>
        </w:tc>
      </w:tr>
      <w:tr w:rsidR="00D416B5" w:rsidRPr="00565803" w14:paraId="23814A9A" w14:textId="77777777" w:rsidTr="00685561">
        <w:trPr>
          <w:trHeight w:val="247"/>
        </w:trPr>
        <w:tc>
          <w:tcPr>
            <w:tcW w:w="4071" w:type="dxa"/>
            <w:vAlign w:val="bottom"/>
          </w:tcPr>
          <w:p w14:paraId="55722268" w14:textId="4322A9B7" w:rsidR="00D416B5" w:rsidRPr="00565803" w:rsidRDefault="00FB60AB" w:rsidP="00D416B5">
            <w:pPr>
              <w:autoSpaceDE w:val="0"/>
              <w:autoSpaceDN w:val="0"/>
              <w:adjustRightInd w:val="0"/>
              <w:rPr>
                <w:rFonts w:asciiTheme="minorHAnsi" w:hAnsiTheme="minorHAnsi" w:cs="Arial"/>
                <w:bCs/>
                <w:sz w:val="20"/>
                <w:szCs w:val="20"/>
              </w:rPr>
            </w:pPr>
            <w:r>
              <w:rPr>
                <w:rFonts w:asciiTheme="minorHAnsi" w:hAnsiTheme="minorHAnsi" w:cs="Arial"/>
                <w:bCs/>
                <w:sz w:val="20"/>
                <w:szCs w:val="20"/>
              </w:rPr>
              <w:t>Loss</w:t>
            </w:r>
            <w:r w:rsidR="00D416B5" w:rsidRPr="00565803">
              <w:rPr>
                <w:rFonts w:asciiTheme="minorHAnsi" w:hAnsiTheme="minorHAnsi" w:cs="Arial"/>
                <w:bCs/>
                <w:sz w:val="20"/>
                <w:szCs w:val="20"/>
              </w:rPr>
              <w:t xml:space="preserve"> for the period</w:t>
            </w:r>
          </w:p>
        </w:tc>
        <w:tc>
          <w:tcPr>
            <w:tcW w:w="903" w:type="dxa"/>
            <w:tcBorders>
              <w:top w:val="single" w:sz="4" w:space="0" w:color="auto"/>
              <w:left w:val="nil"/>
              <w:bottom w:val="single" w:sz="4" w:space="0" w:color="auto"/>
              <w:right w:val="nil"/>
            </w:tcBorders>
            <w:vAlign w:val="bottom"/>
          </w:tcPr>
          <w:p w14:paraId="169EDA08" w14:textId="17B76E94" w:rsidR="00D416B5" w:rsidRPr="006D4208" w:rsidRDefault="00D416B5" w:rsidP="00D416B5">
            <w:pPr>
              <w:jc w:val="right"/>
              <w:rPr>
                <w:rFonts w:asciiTheme="minorHAnsi" w:hAnsiTheme="minorHAnsi" w:cs="Arial"/>
                <w:sz w:val="20"/>
                <w:szCs w:val="20"/>
              </w:rPr>
            </w:pPr>
          </w:p>
        </w:tc>
        <w:tc>
          <w:tcPr>
            <w:tcW w:w="1054" w:type="dxa"/>
            <w:tcBorders>
              <w:top w:val="single" w:sz="4" w:space="0" w:color="auto"/>
              <w:left w:val="nil"/>
              <w:bottom w:val="single" w:sz="4" w:space="0" w:color="auto"/>
              <w:right w:val="nil"/>
            </w:tcBorders>
            <w:vAlign w:val="bottom"/>
          </w:tcPr>
          <w:p w14:paraId="671F2E1C" w14:textId="76D6563E" w:rsidR="00D416B5" w:rsidRPr="006D4208" w:rsidRDefault="00D416B5" w:rsidP="00D416B5">
            <w:pPr>
              <w:jc w:val="right"/>
              <w:rPr>
                <w:rFonts w:asciiTheme="minorHAnsi" w:hAnsiTheme="minorHAnsi" w:cs="Arial"/>
                <w:sz w:val="20"/>
                <w:szCs w:val="20"/>
              </w:rPr>
            </w:pPr>
          </w:p>
        </w:tc>
        <w:tc>
          <w:tcPr>
            <w:tcW w:w="904" w:type="dxa"/>
            <w:tcBorders>
              <w:top w:val="single" w:sz="4" w:space="0" w:color="auto"/>
              <w:left w:val="nil"/>
              <w:bottom w:val="single" w:sz="4" w:space="0" w:color="auto"/>
              <w:right w:val="nil"/>
            </w:tcBorders>
          </w:tcPr>
          <w:p w14:paraId="3238D3C5" w14:textId="604FF77D" w:rsidR="00D416B5" w:rsidRPr="006D4208" w:rsidRDefault="00D416B5" w:rsidP="00D416B5">
            <w:pPr>
              <w:jc w:val="right"/>
              <w:rPr>
                <w:rFonts w:asciiTheme="minorHAnsi" w:hAnsiTheme="minorHAnsi" w:cs="Arial"/>
                <w:sz w:val="20"/>
                <w:szCs w:val="20"/>
              </w:rPr>
            </w:pPr>
          </w:p>
        </w:tc>
        <w:tc>
          <w:tcPr>
            <w:tcW w:w="1054" w:type="dxa"/>
            <w:tcBorders>
              <w:top w:val="single" w:sz="4" w:space="0" w:color="auto"/>
              <w:left w:val="nil"/>
              <w:bottom w:val="single" w:sz="4" w:space="0" w:color="auto"/>
              <w:right w:val="nil"/>
            </w:tcBorders>
            <w:vAlign w:val="bottom"/>
          </w:tcPr>
          <w:p w14:paraId="4921001C" w14:textId="6D869D5D" w:rsidR="00D416B5" w:rsidRPr="006D4208" w:rsidRDefault="00D416B5" w:rsidP="00D416B5">
            <w:pPr>
              <w:jc w:val="right"/>
              <w:rPr>
                <w:rFonts w:asciiTheme="minorHAnsi" w:hAnsiTheme="minorHAnsi" w:cs="Arial"/>
                <w:sz w:val="20"/>
                <w:szCs w:val="20"/>
              </w:rPr>
            </w:pPr>
          </w:p>
        </w:tc>
        <w:tc>
          <w:tcPr>
            <w:tcW w:w="1054" w:type="dxa"/>
            <w:tcBorders>
              <w:top w:val="single" w:sz="4" w:space="0" w:color="auto"/>
              <w:left w:val="nil"/>
              <w:bottom w:val="single" w:sz="4" w:space="0" w:color="auto"/>
              <w:right w:val="nil"/>
            </w:tcBorders>
            <w:vAlign w:val="bottom"/>
          </w:tcPr>
          <w:p w14:paraId="120E2052" w14:textId="2A49EC59"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(83.5)</w:t>
            </w:r>
          </w:p>
        </w:tc>
        <w:tc>
          <w:tcPr>
            <w:tcW w:w="753" w:type="dxa"/>
            <w:tcBorders>
              <w:top w:val="single" w:sz="4" w:space="0" w:color="auto"/>
              <w:left w:val="nil"/>
              <w:bottom w:val="single" w:sz="4" w:space="0" w:color="auto"/>
              <w:right w:val="nil"/>
            </w:tcBorders>
            <w:vAlign w:val="bottom"/>
          </w:tcPr>
          <w:p w14:paraId="42FA9DB7" w14:textId="70FCCBF3"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(83.5)</w:t>
            </w:r>
          </w:p>
        </w:tc>
      </w:tr>
      <w:tr w:rsidR="00D416B5" w:rsidRPr="00565803" w14:paraId="5FF049CE" w14:textId="77777777" w:rsidTr="00685561">
        <w:trPr>
          <w:trHeight w:val="247"/>
        </w:trPr>
        <w:tc>
          <w:tcPr>
            <w:tcW w:w="4071" w:type="dxa"/>
            <w:vAlign w:val="bottom"/>
          </w:tcPr>
          <w:p w14:paraId="3217B69C" w14:textId="5E63D20E" w:rsidR="00D416B5" w:rsidRPr="00565803" w:rsidRDefault="00D416B5" w:rsidP="00D416B5">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xml:space="preserve">Other comprehensive </w:t>
            </w:r>
            <w:r>
              <w:rPr>
                <w:rFonts w:asciiTheme="minorHAnsi" w:hAnsiTheme="minorHAnsi" w:cs="Arial"/>
                <w:bCs/>
                <w:sz w:val="20"/>
                <w:szCs w:val="20"/>
              </w:rPr>
              <w:t>(</w:t>
            </w:r>
            <w:r w:rsidRPr="00565803">
              <w:rPr>
                <w:rFonts w:asciiTheme="minorHAnsi" w:hAnsiTheme="minorHAnsi" w:cs="Arial"/>
                <w:bCs/>
                <w:sz w:val="20"/>
                <w:szCs w:val="20"/>
              </w:rPr>
              <w:t>expense</w:t>
            </w:r>
            <w:r>
              <w:rPr>
                <w:rFonts w:asciiTheme="minorHAnsi" w:hAnsiTheme="minorHAnsi" w:cs="Arial"/>
                <w:bCs/>
                <w:sz w:val="20"/>
                <w:szCs w:val="20"/>
              </w:rPr>
              <w:t>)</w:t>
            </w:r>
            <w:r w:rsidR="00BF0E73">
              <w:rPr>
                <w:rFonts w:asciiTheme="minorHAnsi" w:hAnsiTheme="minorHAnsi" w:cs="Arial"/>
                <w:bCs/>
                <w:sz w:val="20"/>
                <w:szCs w:val="20"/>
              </w:rPr>
              <w:t>/income</w:t>
            </w:r>
            <w:r w:rsidRPr="00565803">
              <w:rPr>
                <w:rFonts w:asciiTheme="minorHAnsi" w:hAnsiTheme="minorHAnsi" w:cs="Arial"/>
                <w:bCs/>
                <w:sz w:val="20"/>
                <w:szCs w:val="20"/>
              </w:rPr>
              <w:t>:</w:t>
            </w:r>
          </w:p>
        </w:tc>
        <w:tc>
          <w:tcPr>
            <w:tcW w:w="903" w:type="dxa"/>
            <w:tcBorders>
              <w:top w:val="single" w:sz="4" w:space="0" w:color="auto"/>
              <w:left w:val="nil"/>
              <w:right w:val="nil"/>
            </w:tcBorders>
            <w:vAlign w:val="bottom"/>
          </w:tcPr>
          <w:p w14:paraId="52C54F25" w14:textId="77777777" w:rsidR="00D416B5" w:rsidRPr="006D4208" w:rsidRDefault="00D416B5" w:rsidP="00D416B5">
            <w:pPr>
              <w:jc w:val="right"/>
              <w:rPr>
                <w:rFonts w:asciiTheme="minorHAnsi" w:hAnsiTheme="minorHAnsi" w:cs="Arial"/>
                <w:sz w:val="20"/>
                <w:szCs w:val="20"/>
              </w:rPr>
            </w:pPr>
          </w:p>
        </w:tc>
        <w:tc>
          <w:tcPr>
            <w:tcW w:w="1054" w:type="dxa"/>
            <w:tcBorders>
              <w:top w:val="single" w:sz="4" w:space="0" w:color="auto"/>
              <w:left w:val="nil"/>
              <w:right w:val="nil"/>
            </w:tcBorders>
            <w:vAlign w:val="bottom"/>
          </w:tcPr>
          <w:p w14:paraId="767A1B6D" w14:textId="77777777" w:rsidR="00D416B5" w:rsidRPr="006D4208" w:rsidRDefault="00D416B5" w:rsidP="00D416B5">
            <w:pPr>
              <w:jc w:val="right"/>
              <w:rPr>
                <w:rFonts w:asciiTheme="minorHAnsi" w:hAnsiTheme="minorHAnsi" w:cs="Arial"/>
                <w:sz w:val="20"/>
                <w:szCs w:val="20"/>
              </w:rPr>
            </w:pPr>
          </w:p>
        </w:tc>
        <w:tc>
          <w:tcPr>
            <w:tcW w:w="904" w:type="dxa"/>
            <w:tcBorders>
              <w:top w:val="single" w:sz="4" w:space="0" w:color="auto"/>
              <w:left w:val="nil"/>
              <w:right w:val="nil"/>
            </w:tcBorders>
            <w:vAlign w:val="bottom"/>
          </w:tcPr>
          <w:p w14:paraId="457B0E65" w14:textId="77777777" w:rsidR="00D416B5" w:rsidRPr="006D4208" w:rsidRDefault="00D416B5" w:rsidP="00D416B5">
            <w:pPr>
              <w:jc w:val="right"/>
              <w:rPr>
                <w:rFonts w:asciiTheme="minorHAnsi" w:hAnsiTheme="minorHAnsi" w:cs="Arial"/>
                <w:sz w:val="20"/>
                <w:szCs w:val="20"/>
              </w:rPr>
            </w:pPr>
          </w:p>
        </w:tc>
        <w:tc>
          <w:tcPr>
            <w:tcW w:w="1054" w:type="dxa"/>
            <w:tcBorders>
              <w:top w:val="single" w:sz="4" w:space="0" w:color="auto"/>
              <w:left w:val="nil"/>
              <w:right w:val="nil"/>
            </w:tcBorders>
            <w:vAlign w:val="bottom"/>
          </w:tcPr>
          <w:p w14:paraId="1CE424D1" w14:textId="77777777" w:rsidR="00D416B5" w:rsidRPr="006D4208" w:rsidRDefault="00D416B5" w:rsidP="00D416B5">
            <w:pPr>
              <w:jc w:val="right"/>
              <w:rPr>
                <w:rFonts w:asciiTheme="minorHAnsi" w:hAnsiTheme="minorHAnsi" w:cs="Arial"/>
                <w:sz w:val="20"/>
                <w:szCs w:val="20"/>
              </w:rPr>
            </w:pPr>
          </w:p>
        </w:tc>
        <w:tc>
          <w:tcPr>
            <w:tcW w:w="1054" w:type="dxa"/>
            <w:tcBorders>
              <w:top w:val="single" w:sz="4" w:space="0" w:color="auto"/>
              <w:left w:val="nil"/>
              <w:right w:val="nil"/>
            </w:tcBorders>
            <w:vAlign w:val="bottom"/>
          </w:tcPr>
          <w:p w14:paraId="77651D85" w14:textId="77777777" w:rsidR="00D416B5" w:rsidRPr="006D4208" w:rsidRDefault="00D416B5" w:rsidP="00D416B5">
            <w:pPr>
              <w:jc w:val="right"/>
              <w:rPr>
                <w:rFonts w:asciiTheme="minorHAnsi" w:hAnsiTheme="minorHAnsi" w:cs="Arial"/>
                <w:sz w:val="20"/>
                <w:szCs w:val="20"/>
              </w:rPr>
            </w:pPr>
          </w:p>
        </w:tc>
        <w:tc>
          <w:tcPr>
            <w:tcW w:w="753" w:type="dxa"/>
            <w:tcBorders>
              <w:top w:val="single" w:sz="4" w:space="0" w:color="auto"/>
              <w:left w:val="nil"/>
              <w:right w:val="nil"/>
            </w:tcBorders>
            <w:vAlign w:val="bottom"/>
          </w:tcPr>
          <w:p w14:paraId="7D2A6EF9" w14:textId="77777777" w:rsidR="00D416B5" w:rsidRPr="006D4208" w:rsidRDefault="00D416B5" w:rsidP="00D416B5">
            <w:pPr>
              <w:jc w:val="right"/>
              <w:rPr>
                <w:rFonts w:asciiTheme="minorHAnsi" w:hAnsiTheme="minorHAnsi" w:cs="Arial"/>
                <w:sz w:val="20"/>
                <w:szCs w:val="20"/>
              </w:rPr>
            </w:pPr>
          </w:p>
        </w:tc>
      </w:tr>
      <w:tr w:rsidR="00D416B5" w:rsidRPr="00565803" w14:paraId="51D42D24" w14:textId="77777777" w:rsidTr="00913C6A">
        <w:trPr>
          <w:trHeight w:val="247"/>
        </w:trPr>
        <w:tc>
          <w:tcPr>
            <w:tcW w:w="4071" w:type="dxa"/>
            <w:vAlign w:val="bottom"/>
          </w:tcPr>
          <w:p w14:paraId="204C4DB6" w14:textId="6BC9DFA3" w:rsidR="00D416B5" w:rsidRPr="00565803" w:rsidRDefault="00D416B5" w:rsidP="00D416B5">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xml:space="preserve">– actuarial movements on retirement benefit asset </w:t>
            </w:r>
            <w:r w:rsidRPr="00565803">
              <w:rPr>
                <w:rFonts w:asciiTheme="minorHAnsi" w:hAnsiTheme="minorHAnsi" w:cs="Arial"/>
                <w:sz w:val="20"/>
                <w:szCs w:val="20"/>
              </w:rPr>
              <w:t>(note 1</w:t>
            </w:r>
            <w:r>
              <w:rPr>
                <w:rFonts w:asciiTheme="minorHAnsi" w:hAnsiTheme="minorHAnsi" w:cs="Arial"/>
                <w:sz w:val="20"/>
                <w:szCs w:val="20"/>
              </w:rPr>
              <w:t>2</w:t>
            </w:r>
            <w:r w:rsidRPr="00565803">
              <w:rPr>
                <w:rFonts w:asciiTheme="minorHAnsi" w:hAnsiTheme="minorHAnsi" w:cs="Arial"/>
                <w:sz w:val="20"/>
                <w:szCs w:val="20"/>
              </w:rPr>
              <w:t>)</w:t>
            </w:r>
          </w:p>
        </w:tc>
        <w:tc>
          <w:tcPr>
            <w:tcW w:w="903" w:type="dxa"/>
            <w:tcBorders>
              <w:left w:val="nil"/>
              <w:right w:val="nil"/>
            </w:tcBorders>
            <w:vAlign w:val="bottom"/>
          </w:tcPr>
          <w:p w14:paraId="2A4E0BD8" w14:textId="2249DAA4"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0F293750" w14:textId="0A30F240"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left w:val="nil"/>
              <w:right w:val="nil"/>
            </w:tcBorders>
            <w:vAlign w:val="bottom"/>
          </w:tcPr>
          <w:p w14:paraId="3B3BA35F" w14:textId="3606864A"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79F74CE6" w14:textId="7408151D"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1F4E0825" w14:textId="4893D35F" w:rsidR="00D416B5" w:rsidRPr="006D4208" w:rsidRDefault="00804098" w:rsidP="00D416B5">
            <w:pPr>
              <w:jc w:val="right"/>
              <w:rPr>
                <w:rFonts w:asciiTheme="minorHAnsi" w:hAnsiTheme="minorHAnsi" w:cs="Arial"/>
                <w:sz w:val="20"/>
                <w:szCs w:val="20"/>
              </w:rPr>
            </w:pPr>
            <w:r>
              <w:rPr>
                <w:rFonts w:asciiTheme="minorHAnsi" w:hAnsiTheme="minorHAnsi" w:cs="Arial"/>
                <w:sz w:val="20"/>
                <w:szCs w:val="20"/>
              </w:rPr>
              <w:t>(7.1)</w:t>
            </w:r>
          </w:p>
        </w:tc>
        <w:tc>
          <w:tcPr>
            <w:tcW w:w="753" w:type="dxa"/>
            <w:tcBorders>
              <w:left w:val="nil"/>
              <w:right w:val="nil"/>
            </w:tcBorders>
            <w:vAlign w:val="bottom"/>
          </w:tcPr>
          <w:p w14:paraId="0F9B3F32" w14:textId="1F6B891A" w:rsidR="00D416B5" w:rsidRPr="006D4208" w:rsidRDefault="00804098" w:rsidP="00D416B5">
            <w:pPr>
              <w:jc w:val="right"/>
              <w:rPr>
                <w:rFonts w:asciiTheme="minorHAnsi" w:hAnsiTheme="minorHAnsi" w:cs="Arial"/>
                <w:sz w:val="20"/>
                <w:szCs w:val="20"/>
              </w:rPr>
            </w:pPr>
            <w:r>
              <w:rPr>
                <w:rFonts w:asciiTheme="minorHAnsi" w:hAnsiTheme="minorHAnsi" w:cs="Arial"/>
                <w:sz w:val="20"/>
                <w:szCs w:val="20"/>
              </w:rPr>
              <w:t>(7.1)</w:t>
            </w:r>
          </w:p>
        </w:tc>
      </w:tr>
      <w:tr w:rsidR="00D416B5" w:rsidRPr="00565803" w14:paraId="570F85DF" w14:textId="77777777" w:rsidTr="00913C6A">
        <w:trPr>
          <w:trHeight w:val="247"/>
        </w:trPr>
        <w:tc>
          <w:tcPr>
            <w:tcW w:w="4071" w:type="dxa"/>
            <w:vAlign w:val="bottom"/>
          </w:tcPr>
          <w:p w14:paraId="1EE317E3" w14:textId="3ABABA27" w:rsidR="00D416B5" w:rsidRPr="00565803" w:rsidRDefault="00D416B5" w:rsidP="00D416B5">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xml:space="preserve">–  tax on items taken directly to </w:t>
            </w:r>
            <w:r>
              <w:rPr>
                <w:rFonts w:asciiTheme="minorHAnsi" w:hAnsiTheme="minorHAnsi" w:cs="Arial"/>
                <w:bCs/>
                <w:sz w:val="20"/>
                <w:szCs w:val="20"/>
              </w:rPr>
              <w:t>OCI</w:t>
            </w:r>
          </w:p>
        </w:tc>
        <w:tc>
          <w:tcPr>
            <w:tcW w:w="903" w:type="dxa"/>
            <w:tcBorders>
              <w:left w:val="nil"/>
              <w:right w:val="nil"/>
            </w:tcBorders>
            <w:vAlign w:val="bottom"/>
          </w:tcPr>
          <w:p w14:paraId="0918351D" w14:textId="06558040"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00BA3E41" w14:textId="12CA376D"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left w:val="nil"/>
              <w:right w:val="nil"/>
            </w:tcBorders>
            <w:vAlign w:val="bottom"/>
          </w:tcPr>
          <w:p w14:paraId="03F2F73E" w14:textId="335AA864"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1B03BEC6" w14:textId="751EF457"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79BA6835" w14:textId="48786BFD" w:rsidR="00D416B5" w:rsidRPr="006D4208" w:rsidRDefault="00804098" w:rsidP="00D416B5">
            <w:pPr>
              <w:jc w:val="right"/>
              <w:rPr>
                <w:rFonts w:asciiTheme="minorHAnsi" w:hAnsiTheme="minorHAnsi" w:cs="Arial"/>
                <w:sz w:val="20"/>
                <w:szCs w:val="20"/>
              </w:rPr>
            </w:pPr>
            <w:r>
              <w:rPr>
                <w:rFonts w:asciiTheme="minorHAnsi" w:hAnsiTheme="minorHAnsi" w:cs="Arial"/>
                <w:sz w:val="20"/>
                <w:szCs w:val="20"/>
              </w:rPr>
              <w:t>1.8</w:t>
            </w:r>
          </w:p>
        </w:tc>
        <w:tc>
          <w:tcPr>
            <w:tcW w:w="753" w:type="dxa"/>
            <w:tcBorders>
              <w:left w:val="nil"/>
              <w:right w:val="nil"/>
            </w:tcBorders>
            <w:vAlign w:val="bottom"/>
          </w:tcPr>
          <w:p w14:paraId="7F3CB598" w14:textId="03A35F88" w:rsidR="00D416B5" w:rsidRPr="006D4208" w:rsidRDefault="00804098" w:rsidP="00D416B5">
            <w:pPr>
              <w:jc w:val="right"/>
              <w:rPr>
                <w:rFonts w:asciiTheme="minorHAnsi" w:hAnsiTheme="minorHAnsi" w:cs="Arial"/>
                <w:sz w:val="20"/>
                <w:szCs w:val="20"/>
              </w:rPr>
            </w:pPr>
            <w:r>
              <w:rPr>
                <w:rFonts w:asciiTheme="minorHAnsi" w:hAnsiTheme="minorHAnsi" w:cs="Arial"/>
                <w:sz w:val="20"/>
                <w:szCs w:val="20"/>
              </w:rPr>
              <w:t>1.8</w:t>
            </w:r>
          </w:p>
        </w:tc>
      </w:tr>
      <w:tr w:rsidR="00D416B5" w:rsidRPr="00565803" w14:paraId="361B11A5" w14:textId="77777777" w:rsidTr="00913C6A">
        <w:trPr>
          <w:trHeight w:val="247"/>
        </w:trPr>
        <w:tc>
          <w:tcPr>
            <w:tcW w:w="4071" w:type="dxa"/>
            <w:vAlign w:val="bottom"/>
          </w:tcPr>
          <w:p w14:paraId="6A168923" w14:textId="61F8DE1B" w:rsidR="00D416B5" w:rsidRPr="00565803" w:rsidRDefault="00D416B5" w:rsidP="00D416B5">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xml:space="preserve">Other comprehensive </w:t>
            </w:r>
            <w:r w:rsidR="00416C28">
              <w:rPr>
                <w:rFonts w:asciiTheme="minorHAnsi" w:hAnsiTheme="minorHAnsi" w:cs="Arial"/>
                <w:bCs/>
                <w:sz w:val="20"/>
                <w:szCs w:val="20"/>
              </w:rPr>
              <w:t>expense</w:t>
            </w:r>
            <w:r w:rsidRPr="00565803">
              <w:rPr>
                <w:rFonts w:asciiTheme="minorHAnsi" w:hAnsiTheme="minorHAnsi" w:cs="Arial"/>
                <w:bCs/>
                <w:sz w:val="20"/>
                <w:szCs w:val="20"/>
              </w:rPr>
              <w:t xml:space="preserve"> for the period</w:t>
            </w:r>
          </w:p>
        </w:tc>
        <w:tc>
          <w:tcPr>
            <w:tcW w:w="903" w:type="dxa"/>
            <w:tcBorders>
              <w:top w:val="single" w:sz="4" w:space="0" w:color="auto"/>
              <w:left w:val="nil"/>
              <w:bottom w:val="single" w:sz="4" w:space="0" w:color="auto"/>
              <w:right w:val="nil"/>
            </w:tcBorders>
            <w:vAlign w:val="bottom"/>
          </w:tcPr>
          <w:p w14:paraId="7D97E4F8" w14:textId="5B29A45E"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4737F574" w14:textId="5A3228FA"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top w:val="single" w:sz="4" w:space="0" w:color="auto"/>
              <w:left w:val="nil"/>
              <w:bottom w:val="single" w:sz="4" w:space="0" w:color="auto"/>
              <w:right w:val="nil"/>
            </w:tcBorders>
            <w:vAlign w:val="bottom"/>
          </w:tcPr>
          <w:p w14:paraId="48D04A9E" w14:textId="29AC1D06"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79CB6351" w14:textId="2ABF4316"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0AAE050D" w14:textId="1C412C58" w:rsidR="00D416B5" w:rsidRPr="006D4208" w:rsidRDefault="0070059B" w:rsidP="00D416B5">
            <w:pPr>
              <w:jc w:val="right"/>
              <w:rPr>
                <w:rFonts w:asciiTheme="minorHAnsi" w:hAnsiTheme="minorHAnsi" w:cs="Arial"/>
                <w:sz w:val="20"/>
                <w:szCs w:val="20"/>
              </w:rPr>
            </w:pPr>
            <w:r>
              <w:rPr>
                <w:rFonts w:asciiTheme="minorHAnsi" w:hAnsiTheme="minorHAnsi" w:cs="Arial"/>
                <w:sz w:val="20"/>
                <w:szCs w:val="20"/>
              </w:rPr>
              <w:t>(5.3)</w:t>
            </w:r>
          </w:p>
        </w:tc>
        <w:tc>
          <w:tcPr>
            <w:tcW w:w="753" w:type="dxa"/>
            <w:tcBorders>
              <w:top w:val="single" w:sz="4" w:space="0" w:color="auto"/>
              <w:left w:val="nil"/>
              <w:bottom w:val="single" w:sz="4" w:space="0" w:color="auto"/>
              <w:right w:val="nil"/>
            </w:tcBorders>
            <w:vAlign w:val="bottom"/>
          </w:tcPr>
          <w:p w14:paraId="5104897B" w14:textId="70F55C7F" w:rsidR="00D416B5" w:rsidRPr="006D4208" w:rsidRDefault="0070059B" w:rsidP="00D416B5">
            <w:pPr>
              <w:jc w:val="right"/>
              <w:rPr>
                <w:rFonts w:asciiTheme="minorHAnsi" w:hAnsiTheme="minorHAnsi" w:cs="Arial"/>
                <w:sz w:val="20"/>
                <w:szCs w:val="20"/>
              </w:rPr>
            </w:pPr>
            <w:r>
              <w:rPr>
                <w:rFonts w:asciiTheme="minorHAnsi" w:hAnsiTheme="minorHAnsi" w:cs="Arial"/>
                <w:sz w:val="20"/>
                <w:szCs w:val="20"/>
              </w:rPr>
              <w:t>(5.3)</w:t>
            </w:r>
          </w:p>
        </w:tc>
      </w:tr>
      <w:tr w:rsidR="00D416B5" w:rsidRPr="00565803" w14:paraId="7202B493" w14:textId="77777777" w:rsidTr="00913C6A">
        <w:trPr>
          <w:trHeight w:val="247"/>
        </w:trPr>
        <w:tc>
          <w:tcPr>
            <w:tcW w:w="4071" w:type="dxa"/>
            <w:vAlign w:val="bottom"/>
          </w:tcPr>
          <w:p w14:paraId="4780B83D" w14:textId="0B76C97D" w:rsidR="00D416B5" w:rsidRPr="00565803" w:rsidRDefault="00D416B5" w:rsidP="00D416B5">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xml:space="preserve">Total comprehensive </w:t>
            </w:r>
            <w:r w:rsidR="00855431">
              <w:rPr>
                <w:rFonts w:asciiTheme="minorHAnsi" w:hAnsiTheme="minorHAnsi" w:cs="Arial"/>
                <w:bCs/>
                <w:sz w:val="20"/>
                <w:szCs w:val="20"/>
              </w:rPr>
              <w:t>expense</w:t>
            </w:r>
            <w:r w:rsidRPr="00565803">
              <w:rPr>
                <w:rFonts w:asciiTheme="minorHAnsi" w:hAnsiTheme="minorHAnsi" w:cs="Arial"/>
                <w:bCs/>
                <w:sz w:val="20"/>
                <w:szCs w:val="20"/>
              </w:rPr>
              <w:t xml:space="preserve"> for the period</w:t>
            </w:r>
          </w:p>
        </w:tc>
        <w:tc>
          <w:tcPr>
            <w:tcW w:w="903" w:type="dxa"/>
            <w:tcBorders>
              <w:top w:val="single" w:sz="4" w:space="0" w:color="auto"/>
              <w:left w:val="nil"/>
              <w:bottom w:val="single" w:sz="4" w:space="0" w:color="auto"/>
              <w:right w:val="nil"/>
            </w:tcBorders>
            <w:vAlign w:val="bottom"/>
          </w:tcPr>
          <w:p w14:paraId="3028D913" w14:textId="67939C56"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2A1C6A5F" w14:textId="515ADA9B"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top w:val="single" w:sz="4" w:space="0" w:color="auto"/>
              <w:left w:val="nil"/>
              <w:bottom w:val="single" w:sz="4" w:space="0" w:color="auto"/>
              <w:right w:val="nil"/>
            </w:tcBorders>
            <w:vAlign w:val="bottom"/>
          </w:tcPr>
          <w:p w14:paraId="1F298865" w14:textId="4AE2475F"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176241EB" w14:textId="067D7F75"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top w:val="single" w:sz="4" w:space="0" w:color="auto"/>
              <w:left w:val="nil"/>
              <w:bottom w:val="single" w:sz="4" w:space="0" w:color="auto"/>
              <w:right w:val="nil"/>
            </w:tcBorders>
            <w:vAlign w:val="bottom"/>
          </w:tcPr>
          <w:p w14:paraId="2F8782D4" w14:textId="480B6119" w:rsidR="00D416B5" w:rsidRPr="006D4208" w:rsidRDefault="0070059B" w:rsidP="00D416B5">
            <w:pPr>
              <w:jc w:val="right"/>
              <w:rPr>
                <w:rFonts w:asciiTheme="minorHAnsi" w:hAnsiTheme="minorHAnsi" w:cs="Arial"/>
                <w:sz w:val="20"/>
                <w:szCs w:val="20"/>
              </w:rPr>
            </w:pPr>
            <w:r>
              <w:rPr>
                <w:rFonts w:asciiTheme="minorHAnsi" w:hAnsiTheme="minorHAnsi" w:cs="Arial"/>
                <w:sz w:val="20"/>
                <w:szCs w:val="20"/>
              </w:rPr>
              <w:t>(88.8)</w:t>
            </w:r>
          </w:p>
        </w:tc>
        <w:tc>
          <w:tcPr>
            <w:tcW w:w="753" w:type="dxa"/>
            <w:tcBorders>
              <w:top w:val="single" w:sz="4" w:space="0" w:color="auto"/>
              <w:left w:val="nil"/>
              <w:bottom w:val="single" w:sz="4" w:space="0" w:color="auto"/>
              <w:right w:val="nil"/>
            </w:tcBorders>
            <w:vAlign w:val="bottom"/>
          </w:tcPr>
          <w:p w14:paraId="7CB2CA2A" w14:textId="4C862260" w:rsidR="00D416B5" w:rsidRPr="006D4208" w:rsidRDefault="0070059B" w:rsidP="00D416B5">
            <w:pPr>
              <w:jc w:val="right"/>
              <w:rPr>
                <w:rFonts w:asciiTheme="minorHAnsi" w:hAnsiTheme="minorHAnsi" w:cs="Arial"/>
                <w:sz w:val="20"/>
                <w:szCs w:val="20"/>
              </w:rPr>
            </w:pPr>
            <w:r>
              <w:rPr>
                <w:rFonts w:asciiTheme="minorHAnsi" w:hAnsiTheme="minorHAnsi" w:cs="Arial"/>
                <w:sz w:val="20"/>
                <w:szCs w:val="20"/>
              </w:rPr>
              <w:t>(88.8)</w:t>
            </w:r>
          </w:p>
        </w:tc>
      </w:tr>
      <w:tr w:rsidR="00D416B5" w:rsidRPr="00565803" w14:paraId="2401F373" w14:textId="77777777" w:rsidTr="00913C6A">
        <w:trPr>
          <w:trHeight w:val="247"/>
        </w:trPr>
        <w:tc>
          <w:tcPr>
            <w:tcW w:w="4071" w:type="dxa"/>
            <w:vAlign w:val="bottom"/>
          </w:tcPr>
          <w:p w14:paraId="209CD928" w14:textId="77777777" w:rsidR="00D416B5" w:rsidRPr="00565803" w:rsidRDefault="00D416B5" w:rsidP="00D416B5">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Share-based payment charge</w:t>
            </w:r>
          </w:p>
        </w:tc>
        <w:tc>
          <w:tcPr>
            <w:tcW w:w="903" w:type="dxa"/>
            <w:tcBorders>
              <w:left w:val="nil"/>
              <w:right w:val="nil"/>
            </w:tcBorders>
            <w:vAlign w:val="bottom"/>
          </w:tcPr>
          <w:p w14:paraId="3C4394B8" w14:textId="70954970"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07AD31BC" w14:textId="3B42A42C"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left w:val="nil"/>
              <w:right w:val="nil"/>
            </w:tcBorders>
            <w:vAlign w:val="bottom"/>
          </w:tcPr>
          <w:p w14:paraId="1A59B970" w14:textId="3834AC3D"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right w:val="nil"/>
            </w:tcBorders>
            <w:vAlign w:val="bottom"/>
          </w:tcPr>
          <w:p w14:paraId="7F2BC3BE" w14:textId="0940835B"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0.3</w:t>
            </w:r>
          </w:p>
        </w:tc>
        <w:tc>
          <w:tcPr>
            <w:tcW w:w="1054" w:type="dxa"/>
            <w:tcBorders>
              <w:left w:val="nil"/>
              <w:right w:val="nil"/>
            </w:tcBorders>
            <w:vAlign w:val="bottom"/>
          </w:tcPr>
          <w:p w14:paraId="4D0149DB" w14:textId="28834D52" w:rsidR="00D416B5" w:rsidRPr="006D4208" w:rsidRDefault="0070059B" w:rsidP="00D416B5">
            <w:pPr>
              <w:jc w:val="right"/>
              <w:rPr>
                <w:rFonts w:asciiTheme="minorHAnsi" w:hAnsiTheme="minorHAnsi" w:cs="Arial"/>
                <w:sz w:val="20"/>
                <w:szCs w:val="20"/>
              </w:rPr>
            </w:pPr>
            <w:r>
              <w:rPr>
                <w:rFonts w:asciiTheme="minorHAnsi" w:hAnsiTheme="minorHAnsi" w:cs="Arial"/>
                <w:sz w:val="20"/>
                <w:szCs w:val="20"/>
              </w:rPr>
              <w:t>-</w:t>
            </w:r>
          </w:p>
        </w:tc>
        <w:tc>
          <w:tcPr>
            <w:tcW w:w="753" w:type="dxa"/>
            <w:tcBorders>
              <w:left w:val="nil"/>
              <w:right w:val="nil"/>
            </w:tcBorders>
            <w:vAlign w:val="bottom"/>
          </w:tcPr>
          <w:p w14:paraId="457B3DE2" w14:textId="47DAEB4F" w:rsidR="00D416B5" w:rsidRPr="006D4208" w:rsidRDefault="0070059B" w:rsidP="00D416B5">
            <w:pPr>
              <w:jc w:val="right"/>
              <w:rPr>
                <w:rFonts w:asciiTheme="minorHAnsi" w:hAnsiTheme="minorHAnsi" w:cs="Arial"/>
                <w:sz w:val="20"/>
                <w:szCs w:val="20"/>
              </w:rPr>
            </w:pPr>
            <w:r>
              <w:rPr>
                <w:rFonts w:asciiTheme="minorHAnsi" w:hAnsiTheme="minorHAnsi" w:cs="Arial"/>
                <w:sz w:val="20"/>
                <w:szCs w:val="20"/>
              </w:rPr>
              <w:t>0.3</w:t>
            </w:r>
          </w:p>
        </w:tc>
      </w:tr>
      <w:tr w:rsidR="00D416B5" w:rsidRPr="00565803" w14:paraId="1410236D" w14:textId="77777777" w:rsidTr="00913C6A">
        <w:trPr>
          <w:trHeight w:val="247"/>
        </w:trPr>
        <w:tc>
          <w:tcPr>
            <w:tcW w:w="4071" w:type="dxa"/>
            <w:vAlign w:val="bottom"/>
          </w:tcPr>
          <w:p w14:paraId="79E54F47" w14:textId="77777777" w:rsidR="00D416B5" w:rsidRPr="00565803" w:rsidRDefault="00D416B5" w:rsidP="00D416B5">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Transfer of share-based payment reserve on vesting of share awards</w:t>
            </w:r>
          </w:p>
        </w:tc>
        <w:tc>
          <w:tcPr>
            <w:tcW w:w="903" w:type="dxa"/>
            <w:tcBorders>
              <w:left w:val="nil"/>
              <w:bottom w:val="single" w:sz="4" w:space="0" w:color="auto"/>
              <w:right w:val="nil"/>
            </w:tcBorders>
            <w:vAlign w:val="bottom"/>
          </w:tcPr>
          <w:p w14:paraId="6D1F4216" w14:textId="2A2F4640"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bottom w:val="single" w:sz="4" w:space="0" w:color="auto"/>
              <w:right w:val="nil"/>
            </w:tcBorders>
            <w:vAlign w:val="bottom"/>
          </w:tcPr>
          <w:p w14:paraId="63374A63" w14:textId="06A10F6B"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904" w:type="dxa"/>
            <w:tcBorders>
              <w:left w:val="nil"/>
              <w:bottom w:val="single" w:sz="4" w:space="0" w:color="auto"/>
              <w:right w:val="nil"/>
            </w:tcBorders>
            <w:vAlign w:val="bottom"/>
          </w:tcPr>
          <w:p w14:paraId="5B2DB6AB" w14:textId="57C06CA9" w:rsidR="00D416B5" w:rsidRPr="006D4208" w:rsidRDefault="00D416B5" w:rsidP="00D416B5">
            <w:pPr>
              <w:jc w:val="right"/>
              <w:rPr>
                <w:rFonts w:asciiTheme="minorHAnsi" w:hAnsiTheme="minorHAnsi" w:cs="Arial"/>
                <w:sz w:val="20"/>
                <w:szCs w:val="20"/>
              </w:rPr>
            </w:pPr>
            <w:r w:rsidRPr="00373C26">
              <w:rPr>
                <w:rFonts w:asciiTheme="minorHAnsi" w:hAnsiTheme="minorHAnsi" w:cs="Arial"/>
                <w:sz w:val="20"/>
                <w:szCs w:val="20"/>
              </w:rPr>
              <w:t>-</w:t>
            </w:r>
          </w:p>
        </w:tc>
        <w:tc>
          <w:tcPr>
            <w:tcW w:w="1054" w:type="dxa"/>
            <w:tcBorders>
              <w:left w:val="nil"/>
              <w:bottom w:val="single" w:sz="4" w:space="0" w:color="auto"/>
              <w:right w:val="nil"/>
            </w:tcBorders>
            <w:vAlign w:val="bottom"/>
          </w:tcPr>
          <w:p w14:paraId="03C59DE2" w14:textId="4ACE58A5"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(4.0)</w:t>
            </w:r>
          </w:p>
        </w:tc>
        <w:tc>
          <w:tcPr>
            <w:tcW w:w="1054" w:type="dxa"/>
            <w:tcBorders>
              <w:left w:val="nil"/>
              <w:bottom w:val="single" w:sz="4" w:space="0" w:color="auto"/>
              <w:right w:val="nil"/>
            </w:tcBorders>
            <w:vAlign w:val="bottom"/>
          </w:tcPr>
          <w:p w14:paraId="4F469FD2" w14:textId="2D53064E"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4.0</w:t>
            </w:r>
          </w:p>
        </w:tc>
        <w:tc>
          <w:tcPr>
            <w:tcW w:w="753" w:type="dxa"/>
            <w:tcBorders>
              <w:left w:val="nil"/>
              <w:bottom w:val="single" w:sz="4" w:space="0" w:color="auto"/>
              <w:right w:val="nil"/>
            </w:tcBorders>
            <w:vAlign w:val="bottom"/>
          </w:tcPr>
          <w:p w14:paraId="636E2862" w14:textId="34820F77" w:rsidR="00D416B5" w:rsidRPr="006D4208" w:rsidRDefault="0070059B" w:rsidP="00D416B5">
            <w:pPr>
              <w:jc w:val="right"/>
              <w:rPr>
                <w:rFonts w:asciiTheme="minorHAnsi" w:hAnsiTheme="minorHAnsi" w:cs="Arial"/>
                <w:sz w:val="20"/>
                <w:szCs w:val="20"/>
              </w:rPr>
            </w:pPr>
            <w:r>
              <w:rPr>
                <w:rFonts w:asciiTheme="minorHAnsi" w:hAnsiTheme="minorHAnsi" w:cs="Arial"/>
                <w:sz w:val="20"/>
                <w:szCs w:val="20"/>
              </w:rPr>
              <w:t>-</w:t>
            </w:r>
          </w:p>
        </w:tc>
      </w:tr>
      <w:tr w:rsidR="00D416B5" w:rsidRPr="00565803" w14:paraId="313D83F9" w14:textId="77777777" w:rsidTr="00685561">
        <w:trPr>
          <w:trHeight w:val="247"/>
        </w:trPr>
        <w:tc>
          <w:tcPr>
            <w:tcW w:w="4071" w:type="dxa"/>
            <w:vAlign w:val="bottom"/>
          </w:tcPr>
          <w:p w14:paraId="4A2BCEAF" w14:textId="04A109A5" w:rsidR="00D416B5" w:rsidRPr="00565803" w:rsidRDefault="00D416B5" w:rsidP="00D416B5">
            <w:pPr>
              <w:autoSpaceDE w:val="0"/>
              <w:autoSpaceDN w:val="0"/>
              <w:adjustRightInd w:val="0"/>
              <w:rPr>
                <w:rFonts w:asciiTheme="minorHAnsi" w:hAnsiTheme="minorHAnsi" w:cs="Arial"/>
                <w:bCs/>
                <w:sz w:val="20"/>
                <w:szCs w:val="20"/>
              </w:rPr>
            </w:pPr>
            <w:r w:rsidRPr="00565803">
              <w:rPr>
                <w:rFonts w:asciiTheme="minorHAnsi" w:hAnsiTheme="minorHAnsi" w:cs="Arial"/>
                <w:b/>
                <w:sz w:val="20"/>
                <w:szCs w:val="20"/>
              </w:rPr>
              <w:t>At 31 December 202</w:t>
            </w:r>
            <w:r>
              <w:rPr>
                <w:rFonts w:asciiTheme="minorHAnsi" w:hAnsiTheme="minorHAnsi" w:cs="Arial"/>
                <w:b/>
                <w:sz w:val="20"/>
                <w:szCs w:val="20"/>
              </w:rPr>
              <w:t>4</w:t>
            </w:r>
            <w:r w:rsidR="00F54C10">
              <w:rPr>
                <w:rFonts w:asciiTheme="minorHAnsi" w:hAnsiTheme="minorHAnsi" w:cs="Arial"/>
                <w:b/>
                <w:sz w:val="20"/>
                <w:szCs w:val="20"/>
              </w:rPr>
              <w:t xml:space="preserve"> (audited)</w:t>
            </w:r>
          </w:p>
        </w:tc>
        <w:tc>
          <w:tcPr>
            <w:tcW w:w="903" w:type="dxa"/>
            <w:tcBorders>
              <w:top w:val="single" w:sz="4" w:space="0" w:color="auto"/>
              <w:left w:val="nil"/>
              <w:bottom w:val="single" w:sz="4" w:space="0" w:color="auto"/>
              <w:right w:val="nil"/>
            </w:tcBorders>
            <w:vAlign w:val="bottom"/>
          </w:tcPr>
          <w:p w14:paraId="0DA4F15C" w14:textId="4FC0990F"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53.2</w:t>
            </w:r>
          </w:p>
        </w:tc>
        <w:tc>
          <w:tcPr>
            <w:tcW w:w="1054" w:type="dxa"/>
            <w:tcBorders>
              <w:top w:val="single" w:sz="4" w:space="0" w:color="auto"/>
              <w:left w:val="nil"/>
              <w:bottom w:val="single" w:sz="4" w:space="0" w:color="auto"/>
              <w:right w:val="nil"/>
            </w:tcBorders>
            <w:vAlign w:val="bottom"/>
          </w:tcPr>
          <w:p w14:paraId="0BCC0B7A" w14:textId="4EF2581F"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276.3</w:t>
            </w:r>
          </w:p>
        </w:tc>
        <w:tc>
          <w:tcPr>
            <w:tcW w:w="904" w:type="dxa"/>
            <w:tcBorders>
              <w:top w:val="single" w:sz="4" w:space="0" w:color="auto"/>
              <w:left w:val="nil"/>
              <w:bottom w:val="single" w:sz="4" w:space="0" w:color="auto"/>
              <w:right w:val="nil"/>
            </w:tcBorders>
          </w:tcPr>
          <w:p w14:paraId="2DE0EB83" w14:textId="6807D80B"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278.2</w:t>
            </w:r>
          </w:p>
        </w:tc>
        <w:tc>
          <w:tcPr>
            <w:tcW w:w="1054" w:type="dxa"/>
            <w:tcBorders>
              <w:top w:val="single" w:sz="4" w:space="0" w:color="auto"/>
              <w:left w:val="nil"/>
              <w:bottom w:val="single" w:sz="4" w:space="0" w:color="auto"/>
              <w:right w:val="nil"/>
            </w:tcBorders>
            <w:vAlign w:val="bottom"/>
          </w:tcPr>
          <w:p w14:paraId="28B7D02A" w14:textId="5F68F44F"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10.8</w:t>
            </w:r>
          </w:p>
        </w:tc>
        <w:tc>
          <w:tcPr>
            <w:tcW w:w="1054" w:type="dxa"/>
            <w:tcBorders>
              <w:top w:val="single" w:sz="4" w:space="0" w:color="auto"/>
              <w:left w:val="nil"/>
              <w:bottom w:val="single" w:sz="4" w:space="0" w:color="auto"/>
              <w:right w:val="nil"/>
            </w:tcBorders>
            <w:vAlign w:val="bottom"/>
          </w:tcPr>
          <w:p w14:paraId="2EB9B15A" w14:textId="5FFF1060"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(177.3)</w:t>
            </w:r>
          </w:p>
        </w:tc>
        <w:tc>
          <w:tcPr>
            <w:tcW w:w="753" w:type="dxa"/>
            <w:tcBorders>
              <w:top w:val="single" w:sz="4" w:space="0" w:color="auto"/>
              <w:left w:val="nil"/>
              <w:bottom w:val="single" w:sz="4" w:space="0" w:color="auto"/>
              <w:right w:val="nil"/>
            </w:tcBorders>
            <w:vAlign w:val="bottom"/>
          </w:tcPr>
          <w:p w14:paraId="24D59839" w14:textId="3FD9BC07" w:rsidR="00D416B5" w:rsidRPr="006D4208" w:rsidRDefault="00D416B5" w:rsidP="00D416B5">
            <w:pPr>
              <w:jc w:val="right"/>
              <w:rPr>
                <w:rFonts w:asciiTheme="minorHAnsi" w:hAnsiTheme="minorHAnsi" w:cs="Arial"/>
                <w:sz w:val="20"/>
                <w:szCs w:val="20"/>
              </w:rPr>
            </w:pPr>
            <w:r>
              <w:rPr>
                <w:rFonts w:asciiTheme="minorHAnsi" w:hAnsiTheme="minorHAnsi" w:cs="Arial"/>
                <w:sz w:val="20"/>
                <w:szCs w:val="20"/>
              </w:rPr>
              <w:t>441.2</w:t>
            </w:r>
          </w:p>
        </w:tc>
      </w:tr>
      <w:tr w:rsidR="00D416B5" w:rsidRPr="00565803" w14:paraId="0B85EAC9" w14:textId="77777777" w:rsidTr="00685561">
        <w:trPr>
          <w:trHeight w:val="247"/>
        </w:trPr>
        <w:tc>
          <w:tcPr>
            <w:tcW w:w="4071" w:type="dxa"/>
            <w:vAlign w:val="bottom"/>
          </w:tcPr>
          <w:p w14:paraId="1FFCA2F4" w14:textId="7F409087" w:rsidR="00D416B5" w:rsidRPr="00565803" w:rsidRDefault="00D416B5" w:rsidP="00D416B5">
            <w:pPr>
              <w:autoSpaceDE w:val="0"/>
              <w:autoSpaceDN w:val="0"/>
              <w:adjustRightInd w:val="0"/>
              <w:rPr>
                <w:rFonts w:asciiTheme="minorHAnsi" w:hAnsiTheme="minorHAnsi" w:cs="Arial"/>
                <w:b/>
                <w:sz w:val="20"/>
                <w:szCs w:val="20"/>
              </w:rPr>
            </w:pPr>
            <w:r w:rsidRPr="00565803">
              <w:rPr>
                <w:rFonts w:asciiTheme="minorHAnsi" w:hAnsiTheme="minorHAnsi" w:cs="Arial"/>
                <w:b/>
                <w:sz w:val="20"/>
                <w:szCs w:val="20"/>
              </w:rPr>
              <w:t>At 1 January 202</w:t>
            </w:r>
            <w:r>
              <w:rPr>
                <w:rFonts w:asciiTheme="minorHAnsi" w:hAnsiTheme="minorHAnsi" w:cs="Arial"/>
                <w:b/>
                <w:sz w:val="20"/>
                <w:szCs w:val="20"/>
              </w:rPr>
              <w:t>5</w:t>
            </w:r>
            <w:r w:rsidR="000459BC">
              <w:rPr>
                <w:rFonts w:asciiTheme="minorHAnsi" w:hAnsiTheme="minorHAnsi" w:cs="Arial"/>
                <w:b/>
                <w:sz w:val="20"/>
                <w:szCs w:val="20"/>
              </w:rPr>
              <w:t xml:space="preserve"> (audited)</w:t>
            </w:r>
          </w:p>
        </w:tc>
        <w:tc>
          <w:tcPr>
            <w:tcW w:w="903" w:type="dxa"/>
            <w:tcBorders>
              <w:top w:val="single" w:sz="4" w:space="0" w:color="auto"/>
              <w:left w:val="nil"/>
              <w:bottom w:val="single" w:sz="4" w:space="0" w:color="auto"/>
              <w:right w:val="nil"/>
            </w:tcBorders>
            <w:shd w:val="clear" w:color="auto" w:fill="F2F2F2" w:themeFill="background1" w:themeFillShade="F2"/>
            <w:vAlign w:val="bottom"/>
          </w:tcPr>
          <w:p w14:paraId="3A0426A9" w14:textId="1E12C804" w:rsidR="00D416B5" w:rsidRPr="00AE2A5D" w:rsidRDefault="00D416B5" w:rsidP="00D416B5">
            <w:pPr>
              <w:jc w:val="right"/>
              <w:rPr>
                <w:rFonts w:asciiTheme="minorHAnsi" w:hAnsiTheme="minorHAnsi" w:cs="Arial"/>
                <w:b/>
                <w:sz w:val="20"/>
                <w:szCs w:val="20"/>
              </w:rPr>
            </w:pPr>
            <w:r w:rsidRPr="0093443B">
              <w:rPr>
                <w:rFonts w:asciiTheme="minorHAnsi" w:hAnsiTheme="minorHAnsi" w:cs="Arial"/>
                <w:b/>
                <w:bCs/>
                <w:sz w:val="20"/>
                <w:szCs w:val="20"/>
              </w:rPr>
              <w:t>53.2</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4C4BE7D4" w14:textId="519003C4" w:rsidR="00D416B5" w:rsidRPr="00AE2A5D" w:rsidRDefault="00D416B5" w:rsidP="00D416B5">
            <w:pPr>
              <w:jc w:val="right"/>
              <w:rPr>
                <w:rFonts w:asciiTheme="minorHAnsi" w:hAnsiTheme="minorHAnsi" w:cs="Arial"/>
                <w:b/>
                <w:sz w:val="20"/>
                <w:szCs w:val="20"/>
              </w:rPr>
            </w:pPr>
            <w:r w:rsidRPr="0093443B">
              <w:rPr>
                <w:rFonts w:asciiTheme="minorHAnsi" w:hAnsiTheme="minorHAnsi" w:cs="Arial"/>
                <w:b/>
                <w:bCs/>
                <w:sz w:val="20"/>
                <w:szCs w:val="20"/>
              </w:rPr>
              <w:t>276.3</w:t>
            </w:r>
          </w:p>
        </w:tc>
        <w:tc>
          <w:tcPr>
            <w:tcW w:w="904" w:type="dxa"/>
            <w:tcBorders>
              <w:top w:val="single" w:sz="4" w:space="0" w:color="auto"/>
              <w:left w:val="nil"/>
              <w:bottom w:val="single" w:sz="4" w:space="0" w:color="auto"/>
              <w:right w:val="nil"/>
            </w:tcBorders>
            <w:shd w:val="clear" w:color="auto" w:fill="F2F2F2" w:themeFill="background1" w:themeFillShade="F2"/>
          </w:tcPr>
          <w:p w14:paraId="17097FF8" w14:textId="1CED4687" w:rsidR="00D416B5" w:rsidRPr="00AE2A5D" w:rsidRDefault="00D416B5" w:rsidP="00D416B5">
            <w:pPr>
              <w:jc w:val="right"/>
              <w:rPr>
                <w:rFonts w:asciiTheme="minorHAnsi" w:hAnsiTheme="minorHAnsi" w:cs="Arial"/>
                <w:b/>
                <w:sz w:val="20"/>
                <w:szCs w:val="20"/>
              </w:rPr>
            </w:pPr>
            <w:r w:rsidRPr="0093443B">
              <w:rPr>
                <w:rFonts w:asciiTheme="minorHAnsi" w:hAnsiTheme="minorHAnsi" w:cs="Arial"/>
                <w:b/>
                <w:bCs/>
                <w:sz w:val="20"/>
                <w:szCs w:val="20"/>
              </w:rPr>
              <w:t>278.2</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627EF94D" w14:textId="55B77817" w:rsidR="00D416B5" w:rsidRPr="00AE2A5D" w:rsidRDefault="00D416B5" w:rsidP="00D416B5">
            <w:pPr>
              <w:jc w:val="right"/>
              <w:rPr>
                <w:rFonts w:asciiTheme="minorHAnsi" w:hAnsiTheme="minorHAnsi" w:cs="Arial"/>
                <w:b/>
                <w:sz w:val="20"/>
                <w:szCs w:val="20"/>
              </w:rPr>
            </w:pPr>
            <w:r w:rsidRPr="0093443B">
              <w:rPr>
                <w:rFonts w:asciiTheme="minorHAnsi" w:hAnsiTheme="minorHAnsi" w:cs="Arial"/>
                <w:b/>
                <w:bCs/>
                <w:sz w:val="20"/>
                <w:szCs w:val="20"/>
              </w:rPr>
              <w:t>10.8</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3C2EDF42" w14:textId="1F2501D7" w:rsidR="00D416B5" w:rsidRPr="00AE2A5D" w:rsidRDefault="00D416B5" w:rsidP="00D416B5">
            <w:pPr>
              <w:jc w:val="right"/>
              <w:rPr>
                <w:rFonts w:asciiTheme="minorHAnsi" w:hAnsiTheme="minorHAnsi" w:cs="Arial"/>
                <w:b/>
                <w:sz w:val="20"/>
                <w:szCs w:val="20"/>
              </w:rPr>
            </w:pPr>
            <w:r w:rsidRPr="0093443B">
              <w:rPr>
                <w:rFonts w:asciiTheme="minorHAnsi" w:hAnsiTheme="minorHAnsi" w:cs="Arial"/>
                <w:b/>
                <w:bCs/>
                <w:sz w:val="20"/>
                <w:szCs w:val="20"/>
              </w:rPr>
              <w:t>(177.3</w:t>
            </w:r>
            <w:r>
              <w:rPr>
                <w:rFonts w:asciiTheme="minorHAnsi" w:hAnsiTheme="minorHAnsi" w:cs="Arial"/>
                <w:b/>
                <w:bCs/>
                <w:sz w:val="20"/>
                <w:szCs w:val="20"/>
              </w:rPr>
              <w:t>)</w:t>
            </w:r>
          </w:p>
        </w:tc>
        <w:tc>
          <w:tcPr>
            <w:tcW w:w="753" w:type="dxa"/>
            <w:tcBorders>
              <w:top w:val="single" w:sz="4" w:space="0" w:color="auto"/>
              <w:left w:val="nil"/>
              <w:bottom w:val="single" w:sz="4" w:space="0" w:color="auto"/>
              <w:right w:val="nil"/>
            </w:tcBorders>
            <w:shd w:val="clear" w:color="auto" w:fill="F2F2F2" w:themeFill="background1" w:themeFillShade="F2"/>
            <w:vAlign w:val="bottom"/>
          </w:tcPr>
          <w:p w14:paraId="6D37AA1C" w14:textId="278D9A11" w:rsidR="00D416B5" w:rsidRPr="00AE2A5D" w:rsidRDefault="00D416B5" w:rsidP="00D416B5">
            <w:pPr>
              <w:jc w:val="right"/>
              <w:rPr>
                <w:rFonts w:asciiTheme="minorHAnsi" w:hAnsiTheme="minorHAnsi" w:cs="Arial"/>
                <w:b/>
                <w:sz w:val="20"/>
                <w:szCs w:val="20"/>
              </w:rPr>
            </w:pPr>
            <w:r w:rsidRPr="0093443B">
              <w:rPr>
                <w:rFonts w:asciiTheme="minorHAnsi" w:hAnsiTheme="minorHAnsi" w:cs="Arial"/>
                <w:b/>
                <w:bCs/>
                <w:sz w:val="20"/>
                <w:szCs w:val="20"/>
              </w:rPr>
              <w:t>441.2</w:t>
            </w:r>
          </w:p>
        </w:tc>
      </w:tr>
      <w:tr w:rsidR="00A84669" w:rsidRPr="00565803" w14:paraId="65773B99" w14:textId="77777777">
        <w:trPr>
          <w:trHeight w:val="247"/>
        </w:trPr>
        <w:tc>
          <w:tcPr>
            <w:tcW w:w="4071" w:type="dxa"/>
            <w:vAlign w:val="bottom"/>
          </w:tcPr>
          <w:p w14:paraId="2B8CE92D" w14:textId="070F87FC" w:rsidR="00A84669" w:rsidRPr="00565803" w:rsidRDefault="00A84669" w:rsidP="00A84669">
            <w:pPr>
              <w:autoSpaceDE w:val="0"/>
              <w:autoSpaceDN w:val="0"/>
              <w:adjustRightInd w:val="0"/>
              <w:rPr>
                <w:rFonts w:asciiTheme="minorHAnsi" w:hAnsiTheme="minorHAnsi" w:cs="Arial"/>
                <w:bCs/>
                <w:sz w:val="20"/>
                <w:szCs w:val="20"/>
              </w:rPr>
            </w:pPr>
            <w:r>
              <w:rPr>
                <w:rFonts w:asciiTheme="minorHAnsi" w:hAnsiTheme="minorHAnsi" w:cs="Arial"/>
                <w:bCs/>
                <w:sz w:val="20"/>
                <w:szCs w:val="20"/>
              </w:rPr>
              <w:t>Profit</w:t>
            </w:r>
            <w:r w:rsidRPr="00565803">
              <w:rPr>
                <w:rFonts w:asciiTheme="minorHAnsi" w:hAnsiTheme="minorHAnsi" w:cs="Arial"/>
                <w:bCs/>
                <w:sz w:val="20"/>
                <w:szCs w:val="20"/>
              </w:rPr>
              <w:t xml:space="preserve"> for the period</w:t>
            </w:r>
          </w:p>
        </w:tc>
        <w:tc>
          <w:tcPr>
            <w:tcW w:w="903" w:type="dxa"/>
            <w:tcBorders>
              <w:top w:val="single" w:sz="4" w:space="0" w:color="auto"/>
              <w:left w:val="nil"/>
              <w:bottom w:val="single" w:sz="4" w:space="0" w:color="auto"/>
              <w:right w:val="nil"/>
            </w:tcBorders>
            <w:shd w:val="clear" w:color="auto" w:fill="F2F2F2" w:themeFill="background1" w:themeFillShade="F2"/>
            <w:vAlign w:val="bottom"/>
          </w:tcPr>
          <w:p w14:paraId="57DA3A1D" w14:textId="55E0AF10"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69F45169" w14:textId="208CAEA0"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904" w:type="dxa"/>
            <w:tcBorders>
              <w:top w:val="single" w:sz="4" w:space="0" w:color="auto"/>
              <w:left w:val="nil"/>
              <w:bottom w:val="single" w:sz="4" w:space="0" w:color="auto"/>
              <w:right w:val="nil"/>
            </w:tcBorders>
            <w:shd w:val="clear" w:color="auto" w:fill="F2F2F2" w:themeFill="background1" w:themeFillShade="F2"/>
            <w:vAlign w:val="bottom"/>
          </w:tcPr>
          <w:p w14:paraId="5CE4120B" w14:textId="5F425C97"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3495153A" w14:textId="5FD7BA51" w:rsidR="00A84669" w:rsidRPr="00AE2A5D" w:rsidRDefault="00905C64"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565C14C1" w14:textId="21E43C99" w:rsidR="00A84669" w:rsidRPr="00AE2A5D" w:rsidRDefault="00CA41FA" w:rsidP="00A84669">
            <w:pPr>
              <w:jc w:val="right"/>
              <w:rPr>
                <w:rFonts w:asciiTheme="minorHAnsi" w:hAnsiTheme="minorHAnsi" w:cs="Arial"/>
                <w:b/>
                <w:sz w:val="20"/>
                <w:szCs w:val="20"/>
              </w:rPr>
            </w:pPr>
            <w:r>
              <w:rPr>
                <w:rFonts w:asciiTheme="minorHAnsi" w:hAnsiTheme="minorHAnsi" w:cs="Arial"/>
                <w:b/>
                <w:sz w:val="20"/>
                <w:szCs w:val="20"/>
              </w:rPr>
              <w:t>5.</w:t>
            </w:r>
            <w:r w:rsidR="00E71AA5">
              <w:rPr>
                <w:rFonts w:asciiTheme="minorHAnsi" w:hAnsiTheme="minorHAnsi" w:cs="Arial"/>
                <w:b/>
                <w:sz w:val="20"/>
                <w:szCs w:val="20"/>
              </w:rPr>
              <w:t>6</w:t>
            </w:r>
          </w:p>
        </w:tc>
        <w:tc>
          <w:tcPr>
            <w:tcW w:w="753" w:type="dxa"/>
            <w:tcBorders>
              <w:top w:val="single" w:sz="4" w:space="0" w:color="auto"/>
              <w:left w:val="nil"/>
              <w:bottom w:val="single" w:sz="4" w:space="0" w:color="auto"/>
              <w:right w:val="nil"/>
            </w:tcBorders>
            <w:shd w:val="clear" w:color="auto" w:fill="F2F2F2" w:themeFill="background1" w:themeFillShade="F2"/>
            <w:vAlign w:val="bottom"/>
          </w:tcPr>
          <w:p w14:paraId="25952348" w14:textId="218548B3" w:rsidR="00A84669" w:rsidRPr="00AE2A5D" w:rsidRDefault="00CA41FA" w:rsidP="00A84669">
            <w:pPr>
              <w:jc w:val="right"/>
              <w:rPr>
                <w:rFonts w:asciiTheme="minorHAnsi" w:hAnsiTheme="minorHAnsi" w:cs="Arial"/>
                <w:b/>
                <w:sz w:val="20"/>
                <w:szCs w:val="20"/>
              </w:rPr>
            </w:pPr>
            <w:r>
              <w:rPr>
                <w:rFonts w:asciiTheme="minorHAnsi" w:hAnsiTheme="minorHAnsi" w:cs="Arial"/>
                <w:b/>
                <w:sz w:val="20"/>
                <w:szCs w:val="20"/>
              </w:rPr>
              <w:t>5.</w:t>
            </w:r>
            <w:r w:rsidR="00E71AA5">
              <w:rPr>
                <w:rFonts w:asciiTheme="minorHAnsi" w:hAnsiTheme="minorHAnsi" w:cs="Arial"/>
                <w:b/>
                <w:sz w:val="20"/>
                <w:szCs w:val="20"/>
              </w:rPr>
              <w:t>6</w:t>
            </w:r>
          </w:p>
        </w:tc>
      </w:tr>
      <w:tr w:rsidR="00A84669" w:rsidRPr="00565803" w14:paraId="07E25594" w14:textId="77777777">
        <w:trPr>
          <w:trHeight w:val="247"/>
        </w:trPr>
        <w:tc>
          <w:tcPr>
            <w:tcW w:w="4071" w:type="dxa"/>
            <w:vAlign w:val="bottom"/>
          </w:tcPr>
          <w:p w14:paraId="2A36507F" w14:textId="77777777" w:rsidR="00A84669" w:rsidRPr="00565803" w:rsidRDefault="00A84669" w:rsidP="00A84669">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xml:space="preserve">Other comprehensive </w:t>
            </w:r>
            <w:r w:rsidRPr="007F7783">
              <w:rPr>
                <w:rFonts w:asciiTheme="minorHAnsi" w:hAnsiTheme="minorHAnsi" w:cs="Arial"/>
                <w:sz w:val="20"/>
                <w:szCs w:val="20"/>
              </w:rPr>
              <w:t>(expense)/income</w:t>
            </w:r>
            <w:r w:rsidRPr="00565803">
              <w:rPr>
                <w:rFonts w:asciiTheme="minorHAnsi" w:hAnsiTheme="minorHAnsi" w:cs="Arial"/>
                <w:bCs/>
                <w:sz w:val="20"/>
                <w:szCs w:val="20"/>
              </w:rPr>
              <w:t>:</w:t>
            </w:r>
          </w:p>
        </w:tc>
        <w:tc>
          <w:tcPr>
            <w:tcW w:w="903" w:type="dxa"/>
            <w:tcBorders>
              <w:top w:val="single" w:sz="4" w:space="0" w:color="auto"/>
              <w:left w:val="nil"/>
              <w:right w:val="nil"/>
            </w:tcBorders>
            <w:shd w:val="clear" w:color="auto" w:fill="F2F2F2" w:themeFill="background1" w:themeFillShade="F2"/>
            <w:vAlign w:val="bottom"/>
          </w:tcPr>
          <w:p w14:paraId="00BAF1E8" w14:textId="77777777" w:rsidR="00A84669" w:rsidRPr="00AE2A5D" w:rsidRDefault="00A84669" w:rsidP="00A84669">
            <w:pPr>
              <w:jc w:val="right"/>
              <w:rPr>
                <w:rFonts w:asciiTheme="minorHAnsi" w:hAnsiTheme="minorHAnsi" w:cs="Arial"/>
                <w:b/>
                <w:sz w:val="20"/>
                <w:szCs w:val="20"/>
              </w:rPr>
            </w:pPr>
          </w:p>
        </w:tc>
        <w:tc>
          <w:tcPr>
            <w:tcW w:w="1054" w:type="dxa"/>
            <w:tcBorders>
              <w:top w:val="single" w:sz="4" w:space="0" w:color="auto"/>
              <w:left w:val="nil"/>
              <w:right w:val="nil"/>
            </w:tcBorders>
            <w:shd w:val="clear" w:color="auto" w:fill="F2F2F2" w:themeFill="background1" w:themeFillShade="F2"/>
            <w:vAlign w:val="bottom"/>
          </w:tcPr>
          <w:p w14:paraId="1EDEF5A0" w14:textId="77777777" w:rsidR="00A84669" w:rsidRPr="00AE2A5D" w:rsidRDefault="00A84669" w:rsidP="00A84669">
            <w:pPr>
              <w:jc w:val="right"/>
              <w:rPr>
                <w:rFonts w:asciiTheme="minorHAnsi" w:hAnsiTheme="minorHAnsi" w:cs="Arial"/>
                <w:b/>
                <w:sz w:val="20"/>
                <w:szCs w:val="20"/>
              </w:rPr>
            </w:pPr>
          </w:p>
        </w:tc>
        <w:tc>
          <w:tcPr>
            <w:tcW w:w="904" w:type="dxa"/>
            <w:tcBorders>
              <w:top w:val="single" w:sz="4" w:space="0" w:color="auto"/>
              <w:left w:val="nil"/>
              <w:right w:val="nil"/>
            </w:tcBorders>
            <w:shd w:val="clear" w:color="auto" w:fill="F2F2F2" w:themeFill="background1" w:themeFillShade="F2"/>
            <w:vAlign w:val="bottom"/>
          </w:tcPr>
          <w:p w14:paraId="6A81B245" w14:textId="77777777" w:rsidR="00A84669" w:rsidRPr="00AE2A5D" w:rsidRDefault="00A84669" w:rsidP="00A84669">
            <w:pPr>
              <w:jc w:val="right"/>
              <w:rPr>
                <w:rFonts w:asciiTheme="minorHAnsi" w:hAnsiTheme="minorHAnsi" w:cs="Arial"/>
                <w:b/>
                <w:sz w:val="20"/>
                <w:szCs w:val="20"/>
              </w:rPr>
            </w:pPr>
          </w:p>
        </w:tc>
        <w:tc>
          <w:tcPr>
            <w:tcW w:w="1054" w:type="dxa"/>
            <w:tcBorders>
              <w:top w:val="single" w:sz="4" w:space="0" w:color="auto"/>
              <w:left w:val="nil"/>
              <w:right w:val="nil"/>
            </w:tcBorders>
            <w:shd w:val="clear" w:color="auto" w:fill="F2F2F2" w:themeFill="background1" w:themeFillShade="F2"/>
            <w:vAlign w:val="bottom"/>
          </w:tcPr>
          <w:p w14:paraId="0CA100C9" w14:textId="77777777" w:rsidR="00A84669" w:rsidRPr="00AE2A5D" w:rsidRDefault="00A84669" w:rsidP="00A84669">
            <w:pPr>
              <w:jc w:val="right"/>
              <w:rPr>
                <w:rFonts w:asciiTheme="minorHAnsi" w:hAnsiTheme="minorHAnsi" w:cs="Arial"/>
                <w:b/>
                <w:sz w:val="20"/>
                <w:szCs w:val="20"/>
              </w:rPr>
            </w:pPr>
          </w:p>
        </w:tc>
        <w:tc>
          <w:tcPr>
            <w:tcW w:w="1054" w:type="dxa"/>
            <w:tcBorders>
              <w:top w:val="single" w:sz="4" w:space="0" w:color="auto"/>
              <w:left w:val="nil"/>
              <w:right w:val="nil"/>
            </w:tcBorders>
            <w:shd w:val="clear" w:color="auto" w:fill="F2F2F2" w:themeFill="background1" w:themeFillShade="F2"/>
            <w:vAlign w:val="bottom"/>
          </w:tcPr>
          <w:p w14:paraId="17A7D69E" w14:textId="018CD686" w:rsidR="00A84669" w:rsidRPr="00AE2A5D" w:rsidRDefault="00A84669" w:rsidP="00A84669">
            <w:pPr>
              <w:jc w:val="right"/>
              <w:rPr>
                <w:rFonts w:asciiTheme="minorHAnsi" w:hAnsiTheme="minorHAnsi" w:cs="Arial"/>
                <w:b/>
                <w:sz w:val="20"/>
                <w:szCs w:val="20"/>
              </w:rPr>
            </w:pPr>
          </w:p>
        </w:tc>
        <w:tc>
          <w:tcPr>
            <w:tcW w:w="753" w:type="dxa"/>
            <w:tcBorders>
              <w:top w:val="single" w:sz="4" w:space="0" w:color="auto"/>
              <w:left w:val="nil"/>
              <w:right w:val="nil"/>
            </w:tcBorders>
            <w:shd w:val="clear" w:color="auto" w:fill="F2F2F2" w:themeFill="background1" w:themeFillShade="F2"/>
            <w:vAlign w:val="bottom"/>
          </w:tcPr>
          <w:p w14:paraId="1CE13CB3" w14:textId="68CC52AE" w:rsidR="00A84669" w:rsidRPr="00AE2A5D" w:rsidRDefault="00A84669" w:rsidP="00A84669">
            <w:pPr>
              <w:jc w:val="right"/>
              <w:rPr>
                <w:rFonts w:asciiTheme="minorHAnsi" w:hAnsiTheme="minorHAnsi" w:cs="Arial"/>
                <w:b/>
                <w:sz w:val="20"/>
                <w:szCs w:val="20"/>
              </w:rPr>
            </w:pPr>
          </w:p>
        </w:tc>
      </w:tr>
      <w:tr w:rsidR="00A84669" w:rsidRPr="00565803" w14:paraId="4C1BF528" w14:textId="77777777">
        <w:trPr>
          <w:trHeight w:val="247"/>
        </w:trPr>
        <w:tc>
          <w:tcPr>
            <w:tcW w:w="4071" w:type="dxa"/>
            <w:vAlign w:val="bottom"/>
          </w:tcPr>
          <w:p w14:paraId="10F9CB3C" w14:textId="52BC1FD6" w:rsidR="00A84669" w:rsidRPr="00565803" w:rsidRDefault="00A84669" w:rsidP="00A84669">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actuarial movements on retirement benefit asset (note 1</w:t>
            </w:r>
            <w:r>
              <w:rPr>
                <w:rFonts w:asciiTheme="minorHAnsi" w:hAnsiTheme="minorHAnsi" w:cs="Arial"/>
                <w:bCs/>
                <w:sz w:val="20"/>
                <w:szCs w:val="20"/>
              </w:rPr>
              <w:t>2</w:t>
            </w:r>
            <w:r w:rsidRPr="00565803">
              <w:rPr>
                <w:rFonts w:asciiTheme="minorHAnsi" w:hAnsiTheme="minorHAnsi" w:cs="Arial"/>
                <w:bCs/>
                <w:sz w:val="20"/>
                <w:szCs w:val="20"/>
              </w:rPr>
              <w:t>)</w:t>
            </w:r>
          </w:p>
        </w:tc>
        <w:tc>
          <w:tcPr>
            <w:tcW w:w="903" w:type="dxa"/>
            <w:tcBorders>
              <w:left w:val="nil"/>
              <w:right w:val="nil"/>
            </w:tcBorders>
            <w:shd w:val="clear" w:color="auto" w:fill="F2F2F2" w:themeFill="background1" w:themeFillShade="F2"/>
            <w:vAlign w:val="bottom"/>
          </w:tcPr>
          <w:p w14:paraId="59F686AD" w14:textId="6D1F0AAE"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6199786E" w14:textId="5013FFD9"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904" w:type="dxa"/>
            <w:tcBorders>
              <w:left w:val="nil"/>
              <w:right w:val="nil"/>
            </w:tcBorders>
            <w:shd w:val="clear" w:color="auto" w:fill="F2F2F2" w:themeFill="background1" w:themeFillShade="F2"/>
            <w:vAlign w:val="bottom"/>
          </w:tcPr>
          <w:p w14:paraId="4B87C998" w14:textId="0FE6E6EC"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334DAD2D" w14:textId="446A58AE"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45F972D6" w14:textId="14D9AF21"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(15.4)</w:t>
            </w:r>
          </w:p>
        </w:tc>
        <w:tc>
          <w:tcPr>
            <w:tcW w:w="753" w:type="dxa"/>
            <w:tcBorders>
              <w:left w:val="nil"/>
              <w:right w:val="nil"/>
            </w:tcBorders>
            <w:shd w:val="clear" w:color="auto" w:fill="F2F2F2" w:themeFill="background1" w:themeFillShade="F2"/>
            <w:vAlign w:val="bottom"/>
          </w:tcPr>
          <w:p w14:paraId="0DB74D44" w14:textId="7E203C22"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(15.4)</w:t>
            </w:r>
          </w:p>
        </w:tc>
      </w:tr>
      <w:tr w:rsidR="00A84669" w:rsidRPr="00565803" w14:paraId="394CEDA9" w14:textId="77777777">
        <w:trPr>
          <w:trHeight w:val="247"/>
        </w:trPr>
        <w:tc>
          <w:tcPr>
            <w:tcW w:w="4071" w:type="dxa"/>
            <w:vAlign w:val="bottom"/>
          </w:tcPr>
          <w:p w14:paraId="6798D5FF" w14:textId="77777777" w:rsidR="00A84669" w:rsidRPr="00565803" w:rsidRDefault="00A84669" w:rsidP="00A84669">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tax on items taken directly to OCI</w:t>
            </w:r>
          </w:p>
        </w:tc>
        <w:tc>
          <w:tcPr>
            <w:tcW w:w="903" w:type="dxa"/>
            <w:tcBorders>
              <w:left w:val="nil"/>
              <w:right w:val="nil"/>
            </w:tcBorders>
            <w:shd w:val="clear" w:color="auto" w:fill="F2F2F2" w:themeFill="background1" w:themeFillShade="F2"/>
            <w:vAlign w:val="bottom"/>
          </w:tcPr>
          <w:p w14:paraId="6D568900" w14:textId="5AE9A48E"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2BD2BE63" w14:textId="2A4B0BDD"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904" w:type="dxa"/>
            <w:tcBorders>
              <w:left w:val="nil"/>
              <w:right w:val="nil"/>
            </w:tcBorders>
            <w:shd w:val="clear" w:color="auto" w:fill="F2F2F2" w:themeFill="background1" w:themeFillShade="F2"/>
            <w:vAlign w:val="bottom"/>
          </w:tcPr>
          <w:p w14:paraId="4EDE9955" w14:textId="2835ABF3"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4CAD22A7" w14:textId="3ED8F1F0"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2917332A" w14:textId="413CDF49"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3.9</w:t>
            </w:r>
          </w:p>
        </w:tc>
        <w:tc>
          <w:tcPr>
            <w:tcW w:w="753" w:type="dxa"/>
            <w:tcBorders>
              <w:left w:val="nil"/>
              <w:right w:val="nil"/>
            </w:tcBorders>
            <w:shd w:val="clear" w:color="auto" w:fill="F2F2F2" w:themeFill="background1" w:themeFillShade="F2"/>
            <w:vAlign w:val="bottom"/>
          </w:tcPr>
          <w:p w14:paraId="7A12AB92" w14:textId="000F865C"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3.9</w:t>
            </w:r>
          </w:p>
        </w:tc>
      </w:tr>
      <w:tr w:rsidR="00A84669" w:rsidRPr="00565803" w14:paraId="2691B45F" w14:textId="77777777">
        <w:trPr>
          <w:trHeight w:val="247"/>
        </w:trPr>
        <w:tc>
          <w:tcPr>
            <w:tcW w:w="4071" w:type="dxa"/>
            <w:vAlign w:val="bottom"/>
          </w:tcPr>
          <w:p w14:paraId="57463C58" w14:textId="77777777" w:rsidR="00A84669" w:rsidRPr="00565803" w:rsidRDefault="00A84669" w:rsidP="00A84669">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xml:space="preserve">Other </w:t>
            </w:r>
            <w:r w:rsidRPr="004E72DC">
              <w:rPr>
                <w:rFonts w:asciiTheme="minorHAnsi" w:hAnsiTheme="minorHAnsi" w:cs="Arial"/>
                <w:sz w:val="20"/>
                <w:szCs w:val="20"/>
              </w:rPr>
              <w:t>comprehensive e</w:t>
            </w:r>
            <w:r w:rsidRPr="007F7783">
              <w:rPr>
                <w:rFonts w:asciiTheme="minorHAnsi" w:hAnsiTheme="minorHAnsi" w:cs="Arial"/>
                <w:sz w:val="20"/>
                <w:szCs w:val="20"/>
              </w:rPr>
              <w:t>xpense</w:t>
            </w:r>
            <w:r w:rsidRPr="004E72DC">
              <w:rPr>
                <w:rFonts w:asciiTheme="minorHAnsi" w:hAnsiTheme="minorHAnsi" w:cs="Arial"/>
                <w:sz w:val="20"/>
                <w:szCs w:val="20"/>
              </w:rPr>
              <w:t xml:space="preserve"> </w:t>
            </w:r>
            <w:r w:rsidRPr="00565803">
              <w:rPr>
                <w:rFonts w:asciiTheme="minorHAnsi" w:hAnsiTheme="minorHAnsi" w:cs="Arial"/>
                <w:bCs/>
                <w:sz w:val="20"/>
                <w:szCs w:val="20"/>
              </w:rPr>
              <w:t>for the period</w:t>
            </w:r>
          </w:p>
        </w:tc>
        <w:tc>
          <w:tcPr>
            <w:tcW w:w="903" w:type="dxa"/>
            <w:tcBorders>
              <w:top w:val="single" w:sz="4" w:space="0" w:color="auto"/>
              <w:left w:val="nil"/>
              <w:bottom w:val="single" w:sz="4" w:space="0" w:color="auto"/>
              <w:right w:val="nil"/>
            </w:tcBorders>
            <w:shd w:val="clear" w:color="auto" w:fill="F2F2F2" w:themeFill="background1" w:themeFillShade="F2"/>
            <w:vAlign w:val="bottom"/>
          </w:tcPr>
          <w:p w14:paraId="3C85CE8A" w14:textId="505AB26D"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7451646A" w14:textId="1C12E392"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904" w:type="dxa"/>
            <w:tcBorders>
              <w:top w:val="single" w:sz="4" w:space="0" w:color="auto"/>
              <w:left w:val="nil"/>
              <w:bottom w:val="single" w:sz="4" w:space="0" w:color="auto"/>
              <w:right w:val="nil"/>
            </w:tcBorders>
            <w:shd w:val="clear" w:color="auto" w:fill="F2F2F2" w:themeFill="background1" w:themeFillShade="F2"/>
            <w:vAlign w:val="bottom"/>
          </w:tcPr>
          <w:p w14:paraId="71862001" w14:textId="2E12564E"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4186BCFA" w14:textId="23C65F27"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690C8AF9" w14:textId="1701190A"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(11.</w:t>
            </w:r>
            <w:r w:rsidR="00F82039">
              <w:rPr>
                <w:rFonts w:asciiTheme="minorHAnsi" w:hAnsiTheme="minorHAnsi" w:cs="Arial"/>
                <w:b/>
                <w:sz w:val="20"/>
                <w:szCs w:val="20"/>
              </w:rPr>
              <w:t>5</w:t>
            </w:r>
            <w:r w:rsidR="000434E9" w:rsidRPr="005E4C05">
              <w:rPr>
                <w:rFonts w:asciiTheme="minorHAnsi" w:hAnsiTheme="minorHAnsi" w:cs="Arial"/>
                <w:b/>
                <w:sz w:val="20"/>
                <w:szCs w:val="20"/>
              </w:rPr>
              <w:t>)</w:t>
            </w:r>
          </w:p>
        </w:tc>
        <w:tc>
          <w:tcPr>
            <w:tcW w:w="753" w:type="dxa"/>
            <w:tcBorders>
              <w:top w:val="single" w:sz="4" w:space="0" w:color="auto"/>
              <w:left w:val="nil"/>
              <w:bottom w:val="single" w:sz="4" w:space="0" w:color="auto"/>
              <w:right w:val="nil"/>
            </w:tcBorders>
            <w:shd w:val="clear" w:color="auto" w:fill="F2F2F2" w:themeFill="background1" w:themeFillShade="F2"/>
            <w:vAlign w:val="bottom"/>
          </w:tcPr>
          <w:p w14:paraId="213C6F97" w14:textId="202A5E84"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(11.</w:t>
            </w:r>
            <w:r w:rsidR="00F82039">
              <w:rPr>
                <w:rFonts w:asciiTheme="minorHAnsi" w:hAnsiTheme="minorHAnsi" w:cs="Arial"/>
                <w:b/>
                <w:sz w:val="20"/>
                <w:szCs w:val="20"/>
              </w:rPr>
              <w:t>5</w:t>
            </w:r>
            <w:r w:rsidR="008667E9" w:rsidRPr="005E4C05">
              <w:rPr>
                <w:rFonts w:asciiTheme="minorHAnsi" w:hAnsiTheme="minorHAnsi" w:cs="Arial"/>
                <w:b/>
                <w:sz w:val="20"/>
                <w:szCs w:val="20"/>
              </w:rPr>
              <w:t>)</w:t>
            </w:r>
          </w:p>
        </w:tc>
      </w:tr>
      <w:tr w:rsidR="00A84669" w:rsidRPr="00565803" w14:paraId="1B85E9B5" w14:textId="77777777">
        <w:trPr>
          <w:trHeight w:val="203"/>
        </w:trPr>
        <w:tc>
          <w:tcPr>
            <w:tcW w:w="4071" w:type="dxa"/>
            <w:vAlign w:val="bottom"/>
          </w:tcPr>
          <w:p w14:paraId="3EC1630C" w14:textId="77777777" w:rsidR="00A84669" w:rsidRPr="00565803" w:rsidRDefault="00A84669" w:rsidP="00A84669">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 xml:space="preserve">Total </w:t>
            </w:r>
            <w:r w:rsidRPr="004E72DC">
              <w:rPr>
                <w:rFonts w:asciiTheme="minorHAnsi" w:hAnsiTheme="minorHAnsi" w:cs="Arial"/>
                <w:sz w:val="20"/>
                <w:szCs w:val="20"/>
              </w:rPr>
              <w:t xml:space="preserve">comprehensive </w:t>
            </w:r>
            <w:r w:rsidRPr="007F7783">
              <w:rPr>
                <w:rFonts w:asciiTheme="minorHAnsi" w:hAnsiTheme="minorHAnsi" w:cs="Arial"/>
                <w:sz w:val="20"/>
                <w:szCs w:val="20"/>
              </w:rPr>
              <w:t>expense</w:t>
            </w:r>
            <w:r w:rsidRPr="004E72DC">
              <w:rPr>
                <w:rFonts w:asciiTheme="minorHAnsi" w:hAnsiTheme="minorHAnsi" w:cs="Arial"/>
                <w:sz w:val="20"/>
                <w:szCs w:val="20"/>
              </w:rPr>
              <w:t xml:space="preserve"> </w:t>
            </w:r>
            <w:r w:rsidRPr="00565803">
              <w:rPr>
                <w:rFonts w:asciiTheme="minorHAnsi" w:hAnsiTheme="minorHAnsi" w:cs="Arial"/>
                <w:bCs/>
                <w:sz w:val="20"/>
                <w:szCs w:val="20"/>
              </w:rPr>
              <w:t>for the period</w:t>
            </w:r>
          </w:p>
        </w:tc>
        <w:tc>
          <w:tcPr>
            <w:tcW w:w="903" w:type="dxa"/>
            <w:tcBorders>
              <w:top w:val="single" w:sz="4" w:space="0" w:color="auto"/>
              <w:left w:val="nil"/>
              <w:bottom w:val="single" w:sz="4" w:space="0" w:color="auto"/>
              <w:right w:val="nil"/>
            </w:tcBorders>
            <w:shd w:val="clear" w:color="auto" w:fill="F2F2F2" w:themeFill="background1" w:themeFillShade="F2"/>
            <w:vAlign w:val="bottom"/>
          </w:tcPr>
          <w:p w14:paraId="1C01A897" w14:textId="427BED71"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06AD6B8C" w14:textId="1BB11A0E"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904" w:type="dxa"/>
            <w:tcBorders>
              <w:top w:val="single" w:sz="4" w:space="0" w:color="auto"/>
              <w:left w:val="nil"/>
              <w:bottom w:val="single" w:sz="4" w:space="0" w:color="auto"/>
              <w:right w:val="nil"/>
            </w:tcBorders>
            <w:shd w:val="clear" w:color="auto" w:fill="F2F2F2" w:themeFill="background1" w:themeFillShade="F2"/>
            <w:vAlign w:val="bottom"/>
          </w:tcPr>
          <w:p w14:paraId="4603804C" w14:textId="1085BDB0"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0F5DC46C" w14:textId="0C3D2247" w:rsidR="00A84669" w:rsidRPr="00AE2A5D" w:rsidRDefault="00A808E8" w:rsidP="00A84669">
            <w:pPr>
              <w:jc w:val="right"/>
              <w:rPr>
                <w:rFonts w:asciiTheme="minorHAnsi" w:hAnsiTheme="minorHAnsi" w:cs="Arial"/>
                <w:b/>
                <w:sz w:val="20"/>
                <w:szCs w:val="20"/>
              </w:rPr>
            </w:pPr>
            <w:r w:rsidRPr="005E4C05">
              <w:rPr>
                <w:rFonts w:asciiTheme="minorHAnsi" w:hAnsiTheme="minorHAnsi" w:cs="Arial"/>
                <w:b/>
                <w:sz w:val="20"/>
                <w:szCs w:val="20"/>
              </w:rPr>
              <w:t>-</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1B450A6D" w14:textId="764D8FD6" w:rsidR="00A84669" w:rsidRPr="00AE2A5D" w:rsidRDefault="00A87D53" w:rsidP="00A84669">
            <w:pPr>
              <w:jc w:val="right"/>
              <w:rPr>
                <w:rFonts w:asciiTheme="minorHAnsi" w:hAnsiTheme="minorHAnsi" w:cs="Arial"/>
                <w:b/>
                <w:sz w:val="20"/>
                <w:szCs w:val="20"/>
              </w:rPr>
            </w:pPr>
            <w:r w:rsidRPr="005E4C05">
              <w:rPr>
                <w:rFonts w:asciiTheme="minorHAnsi" w:hAnsiTheme="minorHAnsi" w:cs="Arial"/>
                <w:b/>
                <w:sz w:val="20"/>
                <w:szCs w:val="20"/>
              </w:rPr>
              <w:t>(</w:t>
            </w:r>
            <w:r w:rsidR="00600C5D">
              <w:rPr>
                <w:rFonts w:asciiTheme="minorHAnsi" w:hAnsiTheme="minorHAnsi" w:cs="Arial"/>
                <w:b/>
                <w:sz w:val="20"/>
                <w:szCs w:val="20"/>
              </w:rPr>
              <w:t>5.9</w:t>
            </w:r>
            <w:r w:rsidRPr="005E4C05">
              <w:rPr>
                <w:rFonts w:asciiTheme="minorHAnsi" w:hAnsiTheme="minorHAnsi" w:cs="Arial"/>
                <w:b/>
                <w:sz w:val="20"/>
                <w:szCs w:val="20"/>
              </w:rPr>
              <w:t>)</w:t>
            </w:r>
          </w:p>
        </w:tc>
        <w:tc>
          <w:tcPr>
            <w:tcW w:w="753" w:type="dxa"/>
            <w:tcBorders>
              <w:top w:val="single" w:sz="4" w:space="0" w:color="auto"/>
              <w:left w:val="nil"/>
              <w:bottom w:val="single" w:sz="4" w:space="0" w:color="auto"/>
              <w:right w:val="nil"/>
            </w:tcBorders>
            <w:shd w:val="clear" w:color="auto" w:fill="F2F2F2" w:themeFill="background1" w:themeFillShade="F2"/>
            <w:vAlign w:val="bottom"/>
          </w:tcPr>
          <w:p w14:paraId="42ADAB00" w14:textId="405449E1" w:rsidR="00A84669" w:rsidRPr="00AE2A5D" w:rsidRDefault="00A87D53" w:rsidP="00A84669">
            <w:pPr>
              <w:jc w:val="right"/>
              <w:rPr>
                <w:rFonts w:asciiTheme="minorHAnsi" w:hAnsiTheme="minorHAnsi" w:cs="Arial"/>
                <w:b/>
                <w:sz w:val="20"/>
                <w:szCs w:val="20"/>
              </w:rPr>
            </w:pPr>
            <w:r w:rsidRPr="005E4C05">
              <w:rPr>
                <w:rFonts w:asciiTheme="minorHAnsi" w:hAnsiTheme="minorHAnsi" w:cs="Arial"/>
                <w:b/>
                <w:sz w:val="20"/>
                <w:szCs w:val="20"/>
              </w:rPr>
              <w:t>(</w:t>
            </w:r>
            <w:r w:rsidR="00600C5D">
              <w:rPr>
                <w:rFonts w:asciiTheme="minorHAnsi" w:hAnsiTheme="minorHAnsi" w:cs="Arial"/>
                <w:b/>
                <w:sz w:val="20"/>
                <w:szCs w:val="20"/>
              </w:rPr>
              <w:t>5.9</w:t>
            </w:r>
            <w:r w:rsidRPr="005E4C05">
              <w:rPr>
                <w:rFonts w:asciiTheme="minorHAnsi" w:hAnsiTheme="minorHAnsi" w:cs="Arial"/>
                <w:b/>
                <w:sz w:val="20"/>
                <w:szCs w:val="20"/>
              </w:rPr>
              <w:t>)</w:t>
            </w:r>
          </w:p>
        </w:tc>
      </w:tr>
      <w:tr w:rsidR="00A84669" w:rsidRPr="00565803" w14:paraId="50600546" w14:textId="77777777">
        <w:trPr>
          <w:trHeight w:val="247"/>
        </w:trPr>
        <w:tc>
          <w:tcPr>
            <w:tcW w:w="4071" w:type="dxa"/>
            <w:vAlign w:val="bottom"/>
          </w:tcPr>
          <w:p w14:paraId="7B637BE6" w14:textId="77777777" w:rsidR="00A84669" w:rsidRPr="00565803" w:rsidRDefault="00A84669" w:rsidP="00A84669">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Share-based payment charge</w:t>
            </w:r>
          </w:p>
        </w:tc>
        <w:tc>
          <w:tcPr>
            <w:tcW w:w="903" w:type="dxa"/>
            <w:tcBorders>
              <w:left w:val="nil"/>
              <w:right w:val="nil"/>
            </w:tcBorders>
            <w:shd w:val="clear" w:color="auto" w:fill="F2F2F2" w:themeFill="background1" w:themeFillShade="F2"/>
            <w:vAlign w:val="bottom"/>
          </w:tcPr>
          <w:p w14:paraId="32951AC5" w14:textId="2750ECD5"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1D30C6EB" w14:textId="74413F88"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904" w:type="dxa"/>
            <w:tcBorders>
              <w:left w:val="nil"/>
              <w:right w:val="nil"/>
            </w:tcBorders>
            <w:shd w:val="clear" w:color="auto" w:fill="F2F2F2" w:themeFill="background1" w:themeFillShade="F2"/>
            <w:vAlign w:val="bottom"/>
          </w:tcPr>
          <w:p w14:paraId="734BE68E" w14:textId="75CACA1F"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41D8D6D6" w14:textId="537ED783" w:rsidR="00A84669" w:rsidRPr="00AE2A5D" w:rsidRDefault="003517D8" w:rsidP="00A84669">
            <w:pPr>
              <w:jc w:val="right"/>
              <w:rPr>
                <w:rFonts w:asciiTheme="minorHAnsi" w:hAnsiTheme="minorHAnsi" w:cs="Arial"/>
                <w:b/>
                <w:sz w:val="20"/>
                <w:szCs w:val="20"/>
              </w:rPr>
            </w:pPr>
            <w:r w:rsidRPr="005E4C05">
              <w:rPr>
                <w:rFonts w:asciiTheme="minorHAnsi" w:hAnsiTheme="minorHAnsi" w:cs="Arial"/>
                <w:b/>
                <w:sz w:val="20"/>
                <w:szCs w:val="20"/>
              </w:rPr>
              <w:t>0.7</w:t>
            </w:r>
          </w:p>
        </w:tc>
        <w:tc>
          <w:tcPr>
            <w:tcW w:w="1054" w:type="dxa"/>
            <w:tcBorders>
              <w:left w:val="nil"/>
              <w:right w:val="nil"/>
            </w:tcBorders>
            <w:shd w:val="clear" w:color="auto" w:fill="F2F2F2" w:themeFill="background1" w:themeFillShade="F2"/>
            <w:vAlign w:val="bottom"/>
          </w:tcPr>
          <w:p w14:paraId="36B6B652" w14:textId="250CBC78" w:rsidR="00A84669" w:rsidRPr="00AE2A5D" w:rsidRDefault="003517D8" w:rsidP="00A84669">
            <w:pPr>
              <w:jc w:val="right"/>
              <w:rPr>
                <w:rFonts w:asciiTheme="minorHAnsi" w:hAnsiTheme="minorHAnsi" w:cs="Arial"/>
                <w:b/>
                <w:sz w:val="20"/>
                <w:szCs w:val="20"/>
              </w:rPr>
            </w:pPr>
            <w:r w:rsidRPr="005E4C05">
              <w:rPr>
                <w:rFonts w:asciiTheme="minorHAnsi" w:hAnsiTheme="minorHAnsi" w:cs="Arial"/>
                <w:b/>
                <w:sz w:val="20"/>
                <w:szCs w:val="20"/>
              </w:rPr>
              <w:t>-</w:t>
            </w:r>
          </w:p>
        </w:tc>
        <w:tc>
          <w:tcPr>
            <w:tcW w:w="753" w:type="dxa"/>
            <w:tcBorders>
              <w:left w:val="nil"/>
              <w:right w:val="nil"/>
            </w:tcBorders>
            <w:shd w:val="clear" w:color="auto" w:fill="F2F2F2" w:themeFill="background1" w:themeFillShade="F2"/>
            <w:vAlign w:val="bottom"/>
          </w:tcPr>
          <w:p w14:paraId="1A7D34D1" w14:textId="0F3BFBEC" w:rsidR="00A84669" w:rsidRPr="00AE2A5D" w:rsidRDefault="003517D8" w:rsidP="00A84669">
            <w:pPr>
              <w:jc w:val="right"/>
              <w:rPr>
                <w:rFonts w:asciiTheme="minorHAnsi" w:hAnsiTheme="minorHAnsi" w:cs="Arial"/>
                <w:b/>
                <w:sz w:val="20"/>
                <w:szCs w:val="20"/>
              </w:rPr>
            </w:pPr>
            <w:r w:rsidRPr="005E4C05">
              <w:rPr>
                <w:rFonts w:asciiTheme="minorHAnsi" w:hAnsiTheme="minorHAnsi" w:cs="Arial"/>
                <w:b/>
                <w:sz w:val="20"/>
                <w:szCs w:val="20"/>
              </w:rPr>
              <w:t>0.7</w:t>
            </w:r>
          </w:p>
        </w:tc>
      </w:tr>
      <w:tr w:rsidR="003517D8" w:rsidRPr="00565803" w14:paraId="08758DEB" w14:textId="77777777">
        <w:trPr>
          <w:trHeight w:val="247"/>
        </w:trPr>
        <w:tc>
          <w:tcPr>
            <w:tcW w:w="4071" w:type="dxa"/>
            <w:vAlign w:val="bottom"/>
          </w:tcPr>
          <w:p w14:paraId="31DDB78F" w14:textId="4FB8B2B6" w:rsidR="003517D8" w:rsidRPr="00565803" w:rsidRDefault="003517D8" w:rsidP="003517D8">
            <w:pPr>
              <w:autoSpaceDE w:val="0"/>
              <w:autoSpaceDN w:val="0"/>
              <w:adjustRightInd w:val="0"/>
              <w:rPr>
                <w:rFonts w:asciiTheme="minorHAnsi" w:hAnsiTheme="minorHAnsi" w:cs="Arial"/>
                <w:bCs/>
                <w:sz w:val="20"/>
                <w:szCs w:val="20"/>
              </w:rPr>
            </w:pPr>
            <w:r w:rsidRPr="00565803">
              <w:rPr>
                <w:rFonts w:asciiTheme="minorHAnsi" w:hAnsiTheme="minorHAnsi" w:cs="Arial"/>
                <w:bCs/>
                <w:sz w:val="20"/>
                <w:szCs w:val="20"/>
              </w:rPr>
              <w:t>Transfer of share-based payment reserve on vesting of share awards</w:t>
            </w:r>
          </w:p>
        </w:tc>
        <w:tc>
          <w:tcPr>
            <w:tcW w:w="903" w:type="dxa"/>
            <w:tcBorders>
              <w:left w:val="nil"/>
              <w:right w:val="nil"/>
            </w:tcBorders>
            <w:shd w:val="clear" w:color="auto" w:fill="F2F2F2" w:themeFill="background1" w:themeFillShade="F2"/>
            <w:vAlign w:val="bottom"/>
          </w:tcPr>
          <w:p w14:paraId="21D7C291" w14:textId="7BACCC47" w:rsidR="003517D8" w:rsidRPr="005E4C05" w:rsidRDefault="003517D8" w:rsidP="003517D8">
            <w:pPr>
              <w:jc w:val="right"/>
              <w:rPr>
                <w:rFonts w:asciiTheme="minorHAnsi" w:hAnsiTheme="minorHAnsi" w:cs="Arial"/>
                <w:b/>
                <w:sz w:val="20"/>
                <w:szCs w:val="20"/>
              </w:rPr>
            </w:pPr>
            <w:r w:rsidRPr="005E4C05">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6D4FF171" w14:textId="2F25A9AB" w:rsidR="003517D8" w:rsidRPr="005E4C05" w:rsidRDefault="003517D8" w:rsidP="003517D8">
            <w:pPr>
              <w:jc w:val="right"/>
              <w:rPr>
                <w:rFonts w:asciiTheme="minorHAnsi" w:hAnsiTheme="minorHAnsi" w:cs="Arial"/>
                <w:b/>
                <w:sz w:val="20"/>
                <w:szCs w:val="20"/>
              </w:rPr>
            </w:pPr>
            <w:r w:rsidRPr="005E4C05">
              <w:rPr>
                <w:rFonts w:asciiTheme="minorHAnsi" w:hAnsiTheme="minorHAnsi" w:cs="Arial"/>
                <w:b/>
                <w:sz w:val="20"/>
                <w:szCs w:val="20"/>
              </w:rPr>
              <w:t>-</w:t>
            </w:r>
          </w:p>
        </w:tc>
        <w:tc>
          <w:tcPr>
            <w:tcW w:w="904" w:type="dxa"/>
            <w:tcBorders>
              <w:left w:val="nil"/>
              <w:right w:val="nil"/>
            </w:tcBorders>
            <w:shd w:val="clear" w:color="auto" w:fill="F2F2F2" w:themeFill="background1" w:themeFillShade="F2"/>
            <w:vAlign w:val="bottom"/>
          </w:tcPr>
          <w:p w14:paraId="2EEE61CE" w14:textId="52EAD1EC" w:rsidR="003517D8" w:rsidRPr="005E4C05" w:rsidRDefault="003517D8" w:rsidP="003517D8">
            <w:pPr>
              <w:jc w:val="right"/>
              <w:rPr>
                <w:rFonts w:asciiTheme="minorHAnsi" w:hAnsiTheme="minorHAnsi" w:cs="Arial"/>
                <w:b/>
                <w:sz w:val="20"/>
                <w:szCs w:val="20"/>
              </w:rPr>
            </w:pPr>
            <w:r w:rsidRPr="005E4C05">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0A2AE917" w14:textId="64F708D1" w:rsidR="003517D8" w:rsidRPr="005E4C05" w:rsidRDefault="005E4C05" w:rsidP="003517D8">
            <w:pPr>
              <w:jc w:val="right"/>
              <w:rPr>
                <w:rFonts w:asciiTheme="minorHAnsi" w:hAnsiTheme="minorHAnsi" w:cs="Arial"/>
                <w:b/>
                <w:sz w:val="20"/>
                <w:szCs w:val="20"/>
              </w:rPr>
            </w:pPr>
            <w:r w:rsidRPr="005E4C05">
              <w:rPr>
                <w:rFonts w:asciiTheme="minorHAnsi" w:hAnsiTheme="minorHAnsi" w:cs="Arial"/>
                <w:b/>
                <w:sz w:val="20"/>
                <w:szCs w:val="20"/>
              </w:rPr>
              <w:t>(2.9)</w:t>
            </w:r>
          </w:p>
        </w:tc>
        <w:tc>
          <w:tcPr>
            <w:tcW w:w="1054" w:type="dxa"/>
            <w:tcBorders>
              <w:left w:val="nil"/>
              <w:right w:val="nil"/>
            </w:tcBorders>
            <w:shd w:val="clear" w:color="auto" w:fill="F2F2F2" w:themeFill="background1" w:themeFillShade="F2"/>
            <w:vAlign w:val="bottom"/>
          </w:tcPr>
          <w:p w14:paraId="2B3CD53F" w14:textId="06E57E3F" w:rsidR="003517D8" w:rsidRPr="005E4C05" w:rsidRDefault="005E4C05" w:rsidP="003517D8">
            <w:pPr>
              <w:jc w:val="right"/>
              <w:rPr>
                <w:rFonts w:asciiTheme="minorHAnsi" w:hAnsiTheme="minorHAnsi" w:cs="Arial"/>
                <w:b/>
                <w:sz w:val="20"/>
                <w:szCs w:val="20"/>
              </w:rPr>
            </w:pPr>
            <w:r w:rsidRPr="005E4C05">
              <w:rPr>
                <w:rFonts w:asciiTheme="minorHAnsi" w:hAnsiTheme="minorHAnsi" w:cs="Arial"/>
                <w:b/>
                <w:sz w:val="20"/>
                <w:szCs w:val="20"/>
              </w:rPr>
              <w:t>2.9</w:t>
            </w:r>
          </w:p>
        </w:tc>
        <w:tc>
          <w:tcPr>
            <w:tcW w:w="753" w:type="dxa"/>
            <w:tcBorders>
              <w:left w:val="nil"/>
              <w:right w:val="nil"/>
            </w:tcBorders>
            <w:shd w:val="clear" w:color="auto" w:fill="F2F2F2" w:themeFill="background1" w:themeFillShade="F2"/>
            <w:vAlign w:val="bottom"/>
          </w:tcPr>
          <w:p w14:paraId="57CDAD13" w14:textId="01D74321" w:rsidR="003517D8" w:rsidRPr="005E4C05" w:rsidRDefault="003517D8" w:rsidP="003517D8">
            <w:pPr>
              <w:jc w:val="right"/>
              <w:rPr>
                <w:rFonts w:asciiTheme="minorHAnsi" w:hAnsiTheme="minorHAnsi" w:cs="Arial"/>
                <w:b/>
                <w:sz w:val="20"/>
                <w:szCs w:val="20"/>
              </w:rPr>
            </w:pPr>
            <w:r w:rsidRPr="005E4C05">
              <w:rPr>
                <w:rFonts w:asciiTheme="minorHAnsi" w:hAnsiTheme="minorHAnsi" w:cs="Arial"/>
                <w:b/>
                <w:sz w:val="20"/>
                <w:szCs w:val="20"/>
              </w:rPr>
              <w:t>-</w:t>
            </w:r>
          </w:p>
        </w:tc>
      </w:tr>
      <w:tr w:rsidR="00A84669" w:rsidRPr="00565803" w14:paraId="48A536C6" w14:textId="77777777">
        <w:trPr>
          <w:trHeight w:val="247"/>
        </w:trPr>
        <w:tc>
          <w:tcPr>
            <w:tcW w:w="4071" w:type="dxa"/>
            <w:vAlign w:val="bottom"/>
          </w:tcPr>
          <w:p w14:paraId="0EB735FC" w14:textId="77777777" w:rsidR="00A84669" w:rsidRPr="00565803" w:rsidRDefault="00A84669" w:rsidP="00A84669">
            <w:pPr>
              <w:autoSpaceDE w:val="0"/>
              <w:autoSpaceDN w:val="0"/>
              <w:adjustRightInd w:val="0"/>
              <w:rPr>
                <w:rFonts w:asciiTheme="minorHAnsi" w:hAnsiTheme="minorHAnsi" w:cs="Arial"/>
                <w:bCs/>
                <w:sz w:val="20"/>
                <w:szCs w:val="20"/>
              </w:rPr>
            </w:pPr>
            <w:r>
              <w:rPr>
                <w:rFonts w:asciiTheme="minorHAnsi" w:hAnsiTheme="minorHAnsi" w:cs="Arial"/>
                <w:bCs/>
                <w:sz w:val="20"/>
                <w:szCs w:val="20"/>
              </w:rPr>
              <w:t>Purchase of shares for share awards</w:t>
            </w:r>
          </w:p>
        </w:tc>
        <w:tc>
          <w:tcPr>
            <w:tcW w:w="903" w:type="dxa"/>
            <w:tcBorders>
              <w:left w:val="nil"/>
              <w:right w:val="nil"/>
            </w:tcBorders>
            <w:shd w:val="clear" w:color="auto" w:fill="F2F2F2" w:themeFill="background1" w:themeFillShade="F2"/>
            <w:vAlign w:val="bottom"/>
          </w:tcPr>
          <w:p w14:paraId="259EB913" w14:textId="669A669E"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552ECE0A" w14:textId="062F4A4F"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904" w:type="dxa"/>
            <w:tcBorders>
              <w:left w:val="nil"/>
              <w:right w:val="nil"/>
            </w:tcBorders>
            <w:shd w:val="clear" w:color="auto" w:fill="F2F2F2" w:themeFill="background1" w:themeFillShade="F2"/>
            <w:vAlign w:val="bottom"/>
          </w:tcPr>
          <w:p w14:paraId="7FA3420D" w14:textId="7FB90882" w:rsidR="00A84669" w:rsidRPr="00AE2A5D" w:rsidRDefault="00A84669" w:rsidP="00A84669">
            <w:pPr>
              <w:jc w:val="right"/>
              <w:rPr>
                <w:rFonts w:asciiTheme="minorHAnsi" w:hAnsiTheme="minorHAnsi" w:cs="Arial"/>
                <w:b/>
                <w:sz w:val="20"/>
                <w:szCs w:val="20"/>
              </w:rPr>
            </w:pPr>
            <w:r>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3529E68F" w14:textId="4679464C" w:rsidR="00A84669" w:rsidRPr="00AE2A5D" w:rsidRDefault="008667E9" w:rsidP="00A84669">
            <w:pPr>
              <w:jc w:val="right"/>
              <w:rPr>
                <w:rFonts w:asciiTheme="minorHAnsi" w:hAnsiTheme="minorHAnsi" w:cs="Arial"/>
                <w:b/>
                <w:sz w:val="20"/>
                <w:szCs w:val="20"/>
              </w:rPr>
            </w:pPr>
            <w:r w:rsidRPr="005E4C05">
              <w:rPr>
                <w:rFonts w:asciiTheme="minorHAnsi" w:hAnsiTheme="minorHAnsi" w:cs="Arial"/>
                <w:b/>
                <w:sz w:val="20"/>
                <w:szCs w:val="20"/>
              </w:rPr>
              <w:t>-</w:t>
            </w:r>
          </w:p>
        </w:tc>
        <w:tc>
          <w:tcPr>
            <w:tcW w:w="1054" w:type="dxa"/>
            <w:tcBorders>
              <w:left w:val="nil"/>
              <w:right w:val="nil"/>
            </w:tcBorders>
            <w:shd w:val="clear" w:color="auto" w:fill="F2F2F2" w:themeFill="background1" w:themeFillShade="F2"/>
            <w:vAlign w:val="bottom"/>
          </w:tcPr>
          <w:p w14:paraId="237EBCEA" w14:textId="20247D24" w:rsidR="00A84669" w:rsidRPr="00AE2A5D" w:rsidRDefault="003517D8" w:rsidP="00A84669">
            <w:pPr>
              <w:jc w:val="right"/>
              <w:rPr>
                <w:rFonts w:asciiTheme="minorHAnsi" w:hAnsiTheme="minorHAnsi" w:cs="Arial"/>
                <w:b/>
                <w:sz w:val="20"/>
                <w:szCs w:val="20"/>
              </w:rPr>
            </w:pPr>
            <w:r w:rsidRPr="005E4C05">
              <w:rPr>
                <w:rFonts w:asciiTheme="minorHAnsi" w:hAnsiTheme="minorHAnsi" w:cs="Arial"/>
                <w:b/>
                <w:sz w:val="20"/>
                <w:szCs w:val="20"/>
              </w:rPr>
              <w:t>(1.3)</w:t>
            </w:r>
          </w:p>
        </w:tc>
        <w:tc>
          <w:tcPr>
            <w:tcW w:w="753" w:type="dxa"/>
            <w:tcBorders>
              <w:left w:val="nil"/>
              <w:right w:val="nil"/>
            </w:tcBorders>
            <w:shd w:val="clear" w:color="auto" w:fill="F2F2F2" w:themeFill="background1" w:themeFillShade="F2"/>
            <w:vAlign w:val="bottom"/>
          </w:tcPr>
          <w:p w14:paraId="502222FD" w14:textId="0DCF8D86" w:rsidR="00A84669" w:rsidRPr="00AE2A5D" w:rsidRDefault="008667E9" w:rsidP="00A84669">
            <w:pPr>
              <w:jc w:val="right"/>
              <w:rPr>
                <w:rFonts w:asciiTheme="minorHAnsi" w:hAnsiTheme="minorHAnsi" w:cs="Arial"/>
                <w:b/>
                <w:sz w:val="20"/>
                <w:szCs w:val="20"/>
              </w:rPr>
            </w:pPr>
            <w:r w:rsidRPr="005E4C05">
              <w:rPr>
                <w:rFonts w:asciiTheme="minorHAnsi" w:hAnsiTheme="minorHAnsi" w:cs="Arial"/>
                <w:b/>
                <w:sz w:val="20"/>
                <w:szCs w:val="20"/>
              </w:rPr>
              <w:t>(1.3)</w:t>
            </w:r>
          </w:p>
        </w:tc>
      </w:tr>
      <w:tr w:rsidR="00D416B5" w:rsidRPr="00565803" w14:paraId="6737E9CE" w14:textId="77777777" w:rsidTr="00685561">
        <w:trPr>
          <w:trHeight w:val="247"/>
        </w:trPr>
        <w:tc>
          <w:tcPr>
            <w:tcW w:w="4071" w:type="dxa"/>
            <w:vAlign w:val="bottom"/>
          </w:tcPr>
          <w:p w14:paraId="507261F4" w14:textId="27BB7793" w:rsidR="00D416B5" w:rsidRPr="00565803" w:rsidRDefault="00D416B5" w:rsidP="00D416B5">
            <w:pPr>
              <w:autoSpaceDE w:val="0"/>
              <w:autoSpaceDN w:val="0"/>
              <w:adjustRightInd w:val="0"/>
              <w:rPr>
                <w:rFonts w:asciiTheme="minorHAnsi" w:hAnsiTheme="minorHAnsi" w:cs="Arial"/>
                <w:b/>
                <w:sz w:val="20"/>
                <w:szCs w:val="20"/>
              </w:rPr>
            </w:pPr>
            <w:r w:rsidRPr="00565803">
              <w:rPr>
                <w:rFonts w:asciiTheme="minorHAnsi" w:hAnsiTheme="minorHAnsi" w:cs="Arial"/>
                <w:b/>
                <w:sz w:val="20"/>
                <w:szCs w:val="20"/>
              </w:rPr>
              <w:t>At 30 June 202</w:t>
            </w:r>
            <w:r>
              <w:rPr>
                <w:rFonts w:asciiTheme="minorHAnsi" w:hAnsiTheme="minorHAnsi" w:cs="Arial"/>
                <w:b/>
                <w:sz w:val="20"/>
                <w:szCs w:val="20"/>
              </w:rPr>
              <w:t>5</w:t>
            </w:r>
            <w:r w:rsidR="00F54C10">
              <w:rPr>
                <w:rFonts w:asciiTheme="minorHAnsi" w:hAnsiTheme="minorHAnsi" w:cs="Arial"/>
                <w:b/>
                <w:sz w:val="20"/>
                <w:szCs w:val="20"/>
              </w:rPr>
              <w:t xml:space="preserve"> (unaudited)</w:t>
            </w:r>
          </w:p>
        </w:tc>
        <w:tc>
          <w:tcPr>
            <w:tcW w:w="903" w:type="dxa"/>
            <w:tcBorders>
              <w:top w:val="single" w:sz="4" w:space="0" w:color="auto"/>
              <w:left w:val="nil"/>
              <w:bottom w:val="single" w:sz="4" w:space="0" w:color="auto"/>
              <w:right w:val="nil"/>
            </w:tcBorders>
            <w:shd w:val="clear" w:color="auto" w:fill="F2F2F2" w:themeFill="background1" w:themeFillShade="F2"/>
            <w:vAlign w:val="bottom"/>
          </w:tcPr>
          <w:p w14:paraId="4F24B26B" w14:textId="2999B33B" w:rsidR="00D416B5" w:rsidRPr="00AE2A5D" w:rsidRDefault="00F4228A" w:rsidP="00D416B5">
            <w:pPr>
              <w:jc w:val="right"/>
              <w:rPr>
                <w:rFonts w:asciiTheme="minorHAnsi" w:hAnsiTheme="minorHAnsi" w:cs="Arial"/>
                <w:b/>
                <w:sz w:val="20"/>
                <w:szCs w:val="20"/>
              </w:rPr>
            </w:pPr>
            <w:r>
              <w:rPr>
                <w:rFonts w:asciiTheme="minorHAnsi" w:hAnsiTheme="minorHAnsi" w:cs="Arial"/>
                <w:b/>
                <w:sz w:val="20"/>
                <w:szCs w:val="20"/>
              </w:rPr>
              <w:t>53.2</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4DDD9879" w14:textId="19B6E74B" w:rsidR="00D416B5" w:rsidRPr="00AE2A5D" w:rsidRDefault="00F4228A" w:rsidP="00D416B5">
            <w:pPr>
              <w:jc w:val="right"/>
              <w:rPr>
                <w:rFonts w:asciiTheme="minorHAnsi" w:hAnsiTheme="minorHAnsi" w:cs="Arial"/>
                <w:b/>
                <w:sz w:val="20"/>
                <w:szCs w:val="20"/>
              </w:rPr>
            </w:pPr>
            <w:r>
              <w:rPr>
                <w:rFonts w:asciiTheme="minorHAnsi" w:hAnsiTheme="minorHAnsi" w:cs="Arial"/>
                <w:b/>
                <w:sz w:val="20"/>
                <w:szCs w:val="20"/>
              </w:rPr>
              <w:t>276.3</w:t>
            </w:r>
          </w:p>
        </w:tc>
        <w:tc>
          <w:tcPr>
            <w:tcW w:w="904" w:type="dxa"/>
            <w:tcBorders>
              <w:top w:val="single" w:sz="4" w:space="0" w:color="auto"/>
              <w:left w:val="nil"/>
              <w:bottom w:val="single" w:sz="4" w:space="0" w:color="auto"/>
              <w:right w:val="nil"/>
            </w:tcBorders>
            <w:shd w:val="clear" w:color="auto" w:fill="F2F2F2" w:themeFill="background1" w:themeFillShade="F2"/>
          </w:tcPr>
          <w:p w14:paraId="492F3F7C" w14:textId="6607D76F" w:rsidR="00D416B5" w:rsidRPr="00AE2A5D" w:rsidRDefault="00F4228A" w:rsidP="001D4925">
            <w:pPr>
              <w:jc w:val="right"/>
              <w:rPr>
                <w:rFonts w:asciiTheme="minorHAnsi" w:hAnsiTheme="minorHAnsi" w:cs="Arial"/>
                <w:b/>
                <w:sz w:val="20"/>
                <w:szCs w:val="20"/>
              </w:rPr>
            </w:pPr>
            <w:r>
              <w:rPr>
                <w:rFonts w:asciiTheme="minorHAnsi" w:hAnsiTheme="minorHAnsi" w:cs="Arial"/>
                <w:b/>
                <w:sz w:val="20"/>
                <w:szCs w:val="20"/>
              </w:rPr>
              <w:t>278.2</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34A3569B" w14:textId="641AB7AE" w:rsidR="00D416B5" w:rsidRPr="00AE2A5D" w:rsidRDefault="00CD6970" w:rsidP="00D416B5">
            <w:pPr>
              <w:jc w:val="right"/>
              <w:rPr>
                <w:rFonts w:asciiTheme="minorHAnsi" w:hAnsiTheme="minorHAnsi" w:cs="Arial"/>
                <w:b/>
                <w:sz w:val="20"/>
                <w:szCs w:val="20"/>
              </w:rPr>
            </w:pPr>
            <w:r>
              <w:rPr>
                <w:rFonts w:asciiTheme="minorHAnsi" w:hAnsiTheme="minorHAnsi" w:cs="Arial"/>
                <w:b/>
                <w:sz w:val="20"/>
                <w:szCs w:val="20"/>
              </w:rPr>
              <w:t>8.6</w:t>
            </w:r>
          </w:p>
        </w:tc>
        <w:tc>
          <w:tcPr>
            <w:tcW w:w="1054" w:type="dxa"/>
            <w:tcBorders>
              <w:top w:val="single" w:sz="4" w:space="0" w:color="auto"/>
              <w:left w:val="nil"/>
              <w:bottom w:val="single" w:sz="4" w:space="0" w:color="auto"/>
              <w:right w:val="nil"/>
            </w:tcBorders>
            <w:shd w:val="clear" w:color="auto" w:fill="F2F2F2" w:themeFill="background1" w:themeFillShade="F2"/>
            <w:vAlign w:val="bottom"/>
          </w:tcPr>
          <w:p w14:paraId="793E5AFC" w14:textId="50F45950" w:rsidR="00D416B5" w:rsidRPr="00AE2A5D" w:rsidRDefault="00BB688D" w:rsidP="00D416B5">
            <w:pPr>
              <w:jc w:val="right"/>
              <w:rPr>
                <w:rFonts w:asciiTheme="minorHAnsi" w:hAnsiTheme="minorHAnsi" w:cs="Arial"/>
                <w:b/>
                <w:sz w:val="20"/>
                <w:szCs w:val="20"/>
              </w:rPr>
            </w:pPr>
            <w:r>
              <w:rPr>
                <w:rFonts w:asciiTheme="minorHAnsi" w:hAnsiTheme="minorHAnsi" w:cs="Arial"/>
                <w:b/>
                <w:sz w:val="20"/>
                <w:szCs w:val="20"/>
              </w:rPr>
              <w:t>(181.6)</w:t>
            </w:r>
          </w:p>
        </w:tc>
        <w:tc>
          <w:tcPr>
            <w:tcW w:w="753" w:type="dxa"/>
            <w:tcBorders>
              <w:top w:val="single" w:sz="4" w:space="0" w:color="auto"/>
              <w:left w:val="nil"/>
              <w:bottom w:val="single" w:sz="4" w:space="0" w:color="auto"/>
              <w:right w:val="nil"/>
            </w:tcBorders>
            <w:shd w:val="clear" w:color="auto" w:fill="F2F2F2" w:themeFill="background1" w:themeFillShade="F2"/>
            <w:vAlign w:val="bottom"/>
          </w:tcPr>
          <w:p w14:paraId="68357E37" w14:textId="07A4CF90" w:rsidR="00D416B5" w:rsidRPr="00CD6970" w:rsidRDefault="000434E9" w:rsidP="00D416B5">
            <w:pPr>
              <w:jc w:val="right"/>
              <w:rPr>
                <w:rFonts w:asciiTheme="minorHAnsi" w:hAnsiTheme="minorHAnsi" w:cs="Arial"/>
                <w:b/>
                <w:color w:val="FF0000"/>
                <w:sz w:val="20"/>
                <w:szCs w:val="20"/>
              </w:rPr>
            </w:pPr>
            <w:r w:rsidRPr="00BB688D">
              <w:rPr>
                <w:rFonts w:asciiTheme="minorHAnsi" w:hAnsiTheme="minorHAnsi" w:cs="Arial"/>
                <w:b/>
                <w:color w:val="000000" w:themeColor="text1"/>
                <w:sz w:val="20"/>
                <w:szCs w:val="20"/>
              </w:rPr>
              <w:t>434.</w:t>
            </w:r>
            <w:r w:rsidR="00BB688D" w:rsidRPr="00BB688D">
              <w:rPr>
                <w:rFonts w:asciiTheme="minorHAnsi" w:hAnsiTheme="minorHAnsi" w:cs="Arial"/>
                <w:b/>
                <w:color w:val="000000" w:themeColor="text1"/>
                <w:sz w:val="20"/>
                <w:szCs w:val="20"/>
              </w:rPr>
              <w:t>7</w:t>
            </w:r>
          </w:p>
        </w:tc>
      </w:tr>
    </w:tbl>
    <w:p w14:paraId="3D8C48A6" w14:textId="77777777" w:rsidR="00F57D05" w:rsidRPr="00701439" w:rsidRDefault="00F57D05" w:rsidP="00A1425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p>
    <w:p w14:paraId="7196483D" w14:textId="77777777" w:rsidR="00A1425C" w:rsidRPr="00701439" w:rsidRDefault="00A1425C" w:rsidP="00A1425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p>
    <w:p w14:paraId="726A1483" w14:textId="77777777" w:rsidR="00A1425C" w:rsidRPr="00085AA2" w:rsidRDefault="00A1425C" w:rsidP="00A1425C">
      <w:pPr>
        <w:rPr>
          <w:rFonts w:asciiTheme="minorHAnsi" w:hAnsiTheme="minorHAnsi" w:cs="Arial"/>
          <w:b/>
          <w:sz w:val="20"/>
          <w:szCs w:val="20"/>
        </w:rPr>
      </w:pPr>
    </w:p>
    <w:p w14:paraId="329190AD" w14:textId="244EEF73" w:rsidR="00A1425C" w:rsidRPr="00701439" w:rsidRDefault="00A1425C" w:rsidP="00B5640B">
      <w:pPr>
        <w:autoSpaceDE w:val="0"/>
        <w:autoSpaceDN w:val="0"/>
        <w:adjustRightInd w:val="0"/>
        <w:jc w:val="both"/>
        <w:rPr>
          <w:rFonts w:asciiTheme="minorHAnsi" w:hAnsiTheme="minorHAnsi" w:cs="Arial"/>
          <w:b/>
          <w:sz w:val="20"/>
          <w:szCs w:val="20"/>
        </w:rPr>
      </w:pPr>
      <w:r w:rsidRPr="00085AA2">
        <w:rPr>
          <w:rFonts w:ascii="Calibri" w:hAnsi="Calibri" w:cs="Poppins-Light"/>
          <w:sz w:val="20"/>
          <w:szCs w:val="20"/>
        </w:rPr>
        <w:t>The full merger reserve is considered distributable.</w:t>
      </w:r>
    </w:p>
    <w:p w14:paraId="1567FAE4" w14:textId="77777777" w:rsidR="00A1425C" w:rsidRPr="00701439" w:rsidRDefault="00A1425C" w:rsidP="00A1425C">
      <w:pPr>
        <w:rPr>
          <w:rFonts w:asciiTheme="minorHAnsi" w:hAnsiTheme="minorHAnsi" w:cs="Arial"/>
          <w:b/>
          <w:sz w:val="20"/>
          <w:szCs w:val="20"/>
        </w:rPr>
      </w:pPr>
    </w:p>
    <w:p w14:paraId="27768B39" w14:textId="77777777" w:rsidR="00A84669" w:rsidRDefault="00A84669">
      <w:pPr>
        <w:rPr>
          <w:rFonts w:asciiTheme="minorHAnsi" w:hAnsiTheme="minorHAnsi" w:cs="Arial"/>
          <w:b/>
          <w:color w:val="4747FF"/>
          <w:sz w:val="22"/>
          <w:szCs w:val="22"/>
        </w:rPr>
      </w:pPr>
      <w:r>
        <w:rPr>
          <w:rFonts w:asciiTheme="minorHAnsi" w:hAnsiTheme="minorHAnsi" w:cs="Arial"/>
          <w:b/>
          <w:color w:val="4747FF"/>
          <w:sz w:val="22"/>
          <w:szCs w:val="22"/>
        </w:rPr>
        <w:br w:type="page"/>
      </w:r>
    </w:p>
    <w:p w14:paraId="7FC9C620" w14:textId="03607BB5" w:rsidR="00A1425C" w:rsidRPr="00701439" w:rsidRDefault="00A1425C" w:rsidP="00A1425C">
      <w:pPr>
        <w:rPr>
          <w:rFonts w:asciiTheme="minorHAnsi" w:hAnsiTheme="minorHAnsi" w:cs="Arial"/>
          <w:b/>
          <w:color w:val="4747FF"/>
          <w:sz w:val="22"/>
          <w:szCs w:val="22"/>
        </w:rPr>
      </w:pPr>
      <w:r w:rsidRPr="00701439">
        <w:rPr>
          <w:rFonts w:asciiTheme="minorHAnsi" w:hAnsiTheme="minorHAnsi" w:cs="Arial"/>
          <w:b/>
          <w:color w:val="4747FF"/>
          <w:sz w:val="22"/>
          <w:szCs w:val="22"/>
        </w:rPr>
        <w:lastRenderedPageBreak/>
        <w:t xml:space="preserve">Consolidated statement of cash flows for the </w:t>
      </w:r>
      <w:r w:rsidR="00547EFE">
        <w:rPr>
          <w:rFonts w:asciiTheme="minorHAnsi" w:hAnsiTheme="minorHAnsi" w:cs="Arial"/>
          <w:b/>
          <w:color w:val="4747FF"/>
          <w:sz w:val="22"/>
          <w:szCs w:val="22"/>
        </w:rPr>
        <w:t>period</w:t>
      </w:r>
      <w:r w:rsidRPr="00701439">
        <w:rPr>
          <w:rFonts w:asciiTheme="minorHAnsi" w:hAnsiTheme="minorHAnsi" w:cs="Arial"/>
          <w:b/>
          <w:color w:val="4747FF"/>
          <w:sz w:val="22"/>
          <w:szCs w:val="22"/>
        </w:rPr>
        <w:t xml:space="preserve"> ended </w:t>
      </w:r>
      <w:r w:rsidR="00547EFE">
        <w:rPr>
          <w:rFonts w:asciiTheme="minorHAnsi" w:hAnsiTheme="minorHAnsi" w:cs="Arial"/>
          <w:b/>
          <w:color w:val="4747FF"/>
          <w:sz w:val="22"/>
          <w:szCs w:val="22"/>
        </w:rPr>
        <w:t>30 June</w:t>
      </w:r>
    </w:p>
    <w:p w14:paraId="7AC2BF5E" w14:textId="77777777" w:rsidR="00A1425C" w:rsidRPr="00701439" w:rsidRDefault="00A1425C" w:rsidP="00A1425C">
      <w:pPr>
        <w:rPr>
          <w:rFonts w:asciiTheme="minorHAnsi" w:hAnsiTheme="minorHAnsi" w:cs="Arial"/>
          <w:sz w:val="20"/>
          <w:szCs w:val="20"/>
        </w:rPr>
      </w:pPr>
    </w:p>
    <w:tbl>
      <w:tblPr>
        <w:tblW w:w="5000" w:type="pct"/>
        <w:tblLook w:val="0000" w:firstRow="0" w:lastRow="0" w:firstColumn="0" w:lastColumn="0" w:noHBand="0" w:noVBand="0"/>
      </w:tblPr>
      <w:tblGrid>
        <w:gridCol w:w="6026"/>
        <w:gridCol w:w="947"/>
        <w:gridCol w:w="1260"/>
        <w:gridCol w:w="1490"/>
      </w:tblGrid>
      <w:tr w:rsidR="003712DF" w:rsidRPr="00085AA2" w14:paraId="688B9632" w14:textId="77777777" w:rsidTr="003B7755">
        <w:tc>
          <w:tcPr>
            <w:tcW w:w="3099" w:type="pct"/>
          </w:tcPr>
          <w:p w14:paraId="36C46493" w14:textId="77777777" w:rsidR="003712DF" w:rsidRPr="00701439" w:rsidRDefault="003712DF">
            <w:pPr>
              <w:jc w:val="right"/>
              <w:rPr>
                <w:rFonts w:asciiTheme="minorHAnsi" w:hAnsiTheme="minorHAnsi" w:cs="Arial"/>
                <w:sz w:val="20"/>
                <w:szCs w:val="20"/>
              </w:rPr>
            </w:pPr>
          </w:p>
        </w:tc>
        <w:tc>
          <w:tcPr>
            <w:tcW w:w="487" w:type="pct"/>
          </w:tcPr>
          <w:p w14:paraId="27532F79" w14:textId="77777777" w:rsidR="003712DF" w:rsidRPr="00085AA2" w:rsidRDefault="003712DF">
            <w:pPr>
              <w:jc w:val="right"/>
              <w:rPr>
                <w:rFonts w:asciiTheme="minorHAnsi" w:hAnsiTheme="minorHAnsi" w:cs="Arial"/>
                <w:sz w:val="20"/>
                <w:szCs w:val="20"/>
              </w:rPr>
            </w:pPr>
          </w:p>
        </w:tc>
        <w:tc>
          <w:tcPr>
            <w:tcW w:w="1414" w:type="pct"/>
            <w:gridSpan w:val="2"/>
          </w:tcPr>
          <w:p w14:paraId="688C46F8" w14:textId="7BE0A334" w:rsidR="003712DF" w:rsidRPr="00085AA2" w:rsidRDefault="003712DF" w:rsidP="003712DF">
            <w:pPr>
              <w:jc w:val="center"/>
              <w:rPr>
                <w:rFonts w:asciiTheme="minorHAnsi" w:hAnsiTheme="minorHAnsi" w:cs="Arial"/>
                <w:sz w:val="20"/>
                <w:szCs w:val="20"/>
                <w:lang w:val="fr-FR"/>
              </w:rPr>
            </w:pPr>
            <w:r>
              <w:rPr>
                <w:rFonts w:asciiTheme="minorHAnsi" w:hAnsiTheme="minorHAnsi" w:cs="Arial"/>
                <w:sz w:val="20"/>
                <w:szCs w:val="20"/>
                <w:lang w:val="fr-FR"/>
              </w:rPr>
              <w:t xml:space="preserve">Six </w:t>
            </w:r>
            <w:proofErr w:type="spellStart"/>
            <w:r>
              <w:rPr>
                <w:rFonts w:asciiTheme="minorHAnsi" w:hAnsiTheme="minorHAnsi" w:cs="Arial"/>
                <w:sz w:val="20"/>
                <w:szCs w:val="20"/>
                <w:lang w:val="fr-FR"/>
              </w:rPr>
              <w:t>months</w:t>
            </w:r>
            <w:proofErr w:type="spellEnd"/>
            <w:r>
              <w:rPr>
                <w:rFonts w:asciiTheme="minorHAnsi" w:hAnsiTheme="minorHAnsi" w:cs="Arial"/>
                <w:sz w:val="20"/>
                <w:szCs w:val="20"/>
                <w:lang w:val="fr-FR"/>
              </w:rPr>
              <w:t xml:space="preserve"> </w:t>
            </w:r>
            <w:proofErr w:type="spellStart"/>
            <w:r>
              <w:rPr>
                <w:rFonts w:asciiTheme="minorHAnsi" w:hAnsiTheme="minorHAnsi" w:cs="Arial"/>
                <w:sz w:val="20"/>
                <w:szCs w:val="20"/>
                <w:lang w:val="fr-FR"/>
              </w:rPr>
              <w:t>ended</w:t>
            </w:r>
            <w:proofErr w:type="spellEnd"/>
            <w:r>
              <w:rPr>
                <w:rFonts w:asciiTheme="minorHAnsi" w:hAnsiTheme="minorHAnsi" w:cs="Arial"/>
                <w:sz w:val="20"/>
                <w:szCs w:val="20"/>
                <w:lang w:val="fr-FR"/>
              </w:rPr>
              <w:t xml:space="preserve"> 30 June</w:t>
            </w:r>
          </w:p>
        </w:tc>
      </w:tr>
      <w:tr w:rsidR="00A1425C" w:rsidRPr="00085AA2" w14:paraId="1DAE2CEC" w14:textId="77777777" w:rsidTr="003B7755">
        <w:tc>
          <w:tcPr>
            <w:tcW w:w="3099" w:type="pct"/>
          </w:tcPr>
          <w:p w14:paraId="1C348232" w14:textId="77777777" w:rsidR="00A1425C" w:rsidRPr="00701439" w:rsidRDefault="00A1425C">
            <w:pPr>
              <w:jc w:val="right"/>
              <w:rPr>
                <w:rFonts w:asciiTheme="minorHAnsi" w:hAnsiTheme="minorHAnsi" w:cs="Arial"/>
                <w:sz w:val="20"/>
                <w:szCs w:val="20"/>
              </w:rPr>
            </w:pPr>
          </w:p>
        </w:tc>
        <w:tc>
          <w:tcPr>
            <w:tcW w:w="487" w:type="pct"/>
          </w:tcPr>
          <w:p w14:paraId="2573742F" w14:textId="77777777" w:rsidR="00A1425C" w:rsidRPr="00085AA2" w:rsidRDefault="00A1425C">
            <w:pPr>
              <w:jc w:val="right"/>
              <w:rPr>
                <w:rFonts w:asciiTheme="minorHAnsi" w:hAnsiTheme="minorHAnsi" w:cs="Arial"/>
                <w:sz w:val="20"/>
                <w:szCs w:val="20"/>
              </w:rPr>
            </w:pPr>
            <w:r w:rsidRPr="00085AA2">
              <w:rPr>
                <w:rFonts w:asciiTheme="minorHAnsi" w:hAnsiTheme="minorHAnsi" w:cs="Arial"/>
                <w:sz w:val="20"/>
                <w:szCs w:val="20"/>
              </w:rPr>
              <w:t>Note</w:t>
            </w:r>
          </w:p>
        </w:tc>
        <w:tc>
          <w:tcPr>
            <w:tcW w:w="648" w:type="pct"/>
            <w:shd w:val="clear" w:color="auto" w:fill="F2F2F2" w:themeFill="background1" w:themeFillShade="F2"/>
          </w:tcPr>
          <w:p w14:paraId="69BC50A0" w14:textId="77777777" w:rsidR="00CD2962" w:rsidRDefault="00A1425C">
            <w:pPr>
              <w:jc w:val="right"/>
              <w:rPr>
                <w:rFonts w:asciiTheme="minorHAnsi" w:hAnsiTheme="minorHAnsi" w:cs="Arial"/>
                <w:b/>
                <w:sz w:val="20"/>
                <w:szCs w:val="20"/>
                <w:lang w:val="fr-FR"/>
              </w:rPr>
            </w:pPr>
            <w:r w:rsidRPr="00B916CD">
              <w:rPr>
                <w:rFonts w:asciiTheme="minorHAnsi" w:hAnsiTheme="minorHAnsi" w:cs="Arial"/>
                <w:b/>
                <w:sz w:val="20"/>
                <w:szCs w:val="20"/>
                <w:lang w:val="fr-FR"/>
              </w:rPr>
              <w:t>202</w:t>
            </w:r>
            <w:r w:rsidR="003712DF">
              <w:rPr>
                <w:rFonts w:asciiTheme="minorHAnsi" w:hAnsiTheme="minorHAnsi" w:cs="Arial"/>
                <w:b/>
                <w:sz w:val="20"/>
                <w:szCs w:val="20"/>
                <w:lang w:val="fr-FR"/>
              </w:rPr>
              <w:t>5</w:t>
            </w:r>
          </w:p>
          <w:p w14:paraId="593CF581" w14:textId="03C2148B" w:rsidR="00A1425C" w:rsidRPr="00B916CD" w:rsidRDefault="00CD2962">
            <w:pPr>
              <w:jc w:val="right"/>
              <w:rPr>
                <w:rFonts w:asciiTheme="minorHAnsi" w:hAnsiTheme="minorHAnsi" w:cs="Arial"/>
                <w:b/>
                <w:sz w:val="20"/>
                <w:szCs w:val="20"/>
                <w:lang w:val="fr-FR"/>
              </w:rPr>
            </w:pPr>
            <w:r w:rsidRPr="007F7783">
              <w:rPr>
                <w:rFonts w:asciiTheme="minorHAnsi" w:hAnsiTheme="minorHAnsi" w:cs="Arial"/>
                <w:b/>
                <w:sz w:val="20"/>
                <w:szCs w:val="20"/>
              </w:rPr>
              <w:t>unaudited</w:t>
            </w:r>
            <w:r w:rsidR="00A1425C" w:rsidRPr="00B916CD">
              <w:rPr>
                <w:rFonts w:asciiTheme="minorHAnsi" w:hAnsiTheme="minorHAnsi" w:cs="Arial"/>
                <w:b/>
                <w:sz w:val="20"/>
                <w:szCs w:val="20"/>
                <w:lang w:val="fr-FR"/>
              </w:rPr>
              <w:t> </w:t>
            </w:r>
          </w:p>
        </w:tc>
        <w:tc>
          <w:tcPr>
            <w:tcW w:w="766" w:type="pct"/>
          </w:tcPr>
          <w:p w14:paraId="60D6B77A" w14:textId="77777777" w:rsidR="00CD2962" w:rsidRDefault="00A1425C">
            <w:pPr>
              <w:jc w:val="right"/>
              <w:rPr>
                <w:rFonts w:asciiTheme="minorHAnsi" w:hAnsiTheme="minorHAnsi" w:cs="Arial"/>
                <w:sz w:val="20"/>
                <w:szCs w:val="20"/>
                <w:lang w:val="fr-FR"/>
              </w:rPr>
            </w:pPr>
            <w:r w:rsidRPr="00085AA2">
              <w:rPr>
                <w:rFonts w:asciiTheme="minorHAnsi" w:hAnsiTheme="minorHAnsi" w:cs="Arial"/>
                <w:sz w:val="20"/>
                <w:szCs w:val="20"/>
                <w:lang w:val="fr-FR"/>
              </w:rPr>
              <w:t>202</w:t>
            </w:r>
            <w:r w:rsidR="003712DF">
              <w:rPr>
                <w:rFonts w:asciiTheme="minorHAnsi" w:hAnsiTheme="minorHAnsi" w:cs="Arial"/>
                <w:sz w:val="20"/>
                <w:szCs w:val="20"/>
                <w:lang w:val="fr-FR"/>
              </w:rPr>
              <w:t>4</w:t>
            </w:r>
          </w:p>
          <w:p w14:paraId="12A34C2E" w14:textId="753F11AE" w:rsidR="00A1425C" w:rsidRPr="00085AA2" w:rsidRDefault="00CD2962">
            <w:pPr>
              <w:jc w:val="right"/>
              <w:rPr>
                <w:rFonts w:asciiTheme="minorHAnsi" w:hAnsiTheme="minorHAnsi" w:cs="Arial"/>
                <w:sz w:val="20"/>
                <w:szCs w:val="20"/>
              </w:rPr>
            </w:pPr>
            <w:r w:rsidRPr="00CA3EDF">
              <w:rPr>
                <w:rFonts w:asciiTheme="minorHAnsi" w:hAnsiTheme="minorHAnsi" w:cs="Arial"/>
                <w:bCs/>
                <w:sz w:val="20"/>
                <w:szCs w:val="20"/>
              </w:rPr>
              <w:t>unaudited</w:t>
            </w:r>
            <w:r w:rsidR="00A1425C" w:rsidRPr="00085AA2">
              <w:rPr>
                <w:rFonts w:asciiTheme="minorHAnsi" w:hAnsiTheme="minorHAnsi" w:cs="Arial"/>
                <w:sz w:val="20"/>
                <w:szCs w:val="20"/>
                <w:lang w:val="fr-FR"/>
              </w:rPr>
              <w:t> </w:t>
            </w:r>
          </w:p>
        </w:tc>
      </w:tr>
      <w:tr w:rsidR="00A1425C" w:rsidRPr="00085AA2" w14:paraId="7FD62B84" w14:textId="77777777" w:rsidTr="003B7755">
        <w:tc>
          <w:tcPr>
            <w:tcW w:w="3099" w:type="pct"/>
          </w:tcPr>
          <w:p w14:paraId="3DFE13A8" w14:textId="77777777" w:rsidR="00A1425C" w:rsidRPr="00085AA2" w:rsidRDefault="00A1425C">
            <w:pPr>
              <w:jc w:val="right"/>
              <w:rPr>
                <w:rFonts w:asciiTheme="minorHAnsi" w:hAnsiTheme="minorHAnsi" w:cs="Arial"/>
                <w:sz w:val="20"/>
                <w:szCs w:val="20"/>
              </w:rPr>
            </w:pPr>
          </w:p>
        </w:tc>
        <w:tc>
          <w:tcPr>
            <w:tcW w:w="487" w:type="pct"/>
          </w:tcPr>
          <w:p w14:paraId="5744D72A" w14:textId="77777777" w:rsidR="00A1425C" w:rsidRPr="00085AA2" w:rsidRDefault="00A1425C">
            <w:pPr>
              <w:jc w:val="right"/>
              <w:rPr>
                <w:rFonts w:asciiTheme="minorHAnsi" w:hAnsiTheme="minorHAnsi" w:cs="Arial"/>
                <w:sz w:val="20"/>
                <w:szCs w:val="20"/>
              </w:rPr>
            </w:pPr>
          </w:p>
        </w:tc>
        <w:tc>
          <w:tcPr>
            <w:tcW w:w="648" w:type="pct"/>
            <w:tcBorders>
              <w:top w:val="nil"/>
              <w:left w:val="nil"/>
              <w:bottom w:val="single" w:sz="4" w:space="0" w:color="auto"/>
              <w:right w:val="nil"/>
            </w:tcBorders>
            <w:shd w:val="clear" w:color="auto" w:fill="F2F2F2" w:themeFill="background1" w:themeFillShade="F2"/>
          </w:tcPr>
          <w:p w14:paraId="06FF5CE0" w14:textId="77777777" w:rsidR="00A1425C" w:rsidRPr="00B916CD" w:rsidRDefault="00A1425C">
            <w:pPr>
              <w:jc w:val="right"/>
              <w:rPr>
                <w:rFonts w:asciiTheme="minorHAnsi" w:hAnsiTheme="minorHAnsi" w:cs="Arial"/>
                <w:b/>
                <w:sz w:val="20"/>
                <w:szCs w:val="20"/>
              </w:rPr>
            </w:pPr>
            <w:r w:rsidRPr="00B916CD">
              <w:rPr>
                <w:rFonts w:asciiTheme="minorHAnsi" w:hAnsiTheme="minorHAnsi" w:cs="Arial"/>
                <w:b/>
                <w:sz w:val="20"/>
                <w:szCs w:val="20"/>
              </w:rPr>
              <w:t>£m </w:t>
            </w:r>
          </w:p>
        </w:tc>
        <w:tc>
          <w:tcPr>
            <w:tcW w:w="766" w:type="pct"/>
            <w:tcBorders>
              <w:top w:val="nil"/>
              <w:left w:val="nil"/>
              <w:bottom w:val="single" w:sz="4" w:space="0" w:color="auto"/>
              <w:right w:val="nil"/>
            </w:tcBorders>
          </w:tcPr>
          <w:p w14:paraId="0D9A9F19" w14:textId="77777777" w:rsidR="00A1425C" w:rsidRPr="00085AA2" w:rsidRDefault="00A1425C">
            <w:pPr>
              <w:jc w:val="right"/>
              <w:rPr>
                <w:rFonts w:asciiTheme="minorHAnsi" w:hAnsiTheme="minorHAnsi" w:cs="Arial"/>
                <w:sz w:val="20"/>
                <w:szCs w:val="20"/>
              </w:rPr>
            </w:pPr>
            <w:r w:rsidRPr="00085AA2">
              <w:rPr>
                <w:rFonts w:asciiTheme="minorHAnsi" w:hAnsiTheme="minorHAnsi" w:cs="Arial"/>
                <w:sz w:val="20"/>
                <w:szCs w:val="20"/>
              </w:rPr>
              <w:t>£m </w:t>
            </w:r>
          </w:p>
        </w:tc>
      </w:tr>
      <w:tr w:rsidR="00A1425C" w:rsidRPr="00085AA2" w14:paraId="56AB88ED" w14:textId="77777777" w:rsidTr="003B7755">
        <w:tc>
          <w:tcPr>
            <w:tcW w:w="3099" w:type="pct"/>
            <w:vAlign w:val="bottom"/>
          </w:tcPr>
          <w:p w14:paraId="565051F3" w14:textId="77777777"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 xml:space="preserve">Cash flows from operating activities </w:t>
            </w:r>
          </w:p>
        </w:tc>
        <w:tc>
          <w:tcPr>
            <w:tcW w:w="487" w:type="pct"/>
            <w:vAlign w:val="bottom"/>
          </w:tcPr>
          <w:p w14:paraId="6264BFCD" w14:textId="77777777" w:rsidR="00A1425C" w:rsidRPr="00BB3187" w:rsidRDefault="00A1425C">
            <w:pPr>
              <w:jc w:val="right"/>
              <w:rPr>
                <w:rFonts w:asciiTheme="minorHAnsi" w:hAnsiTheme="minorHAnsi" w:cs="Arial"/>
                <w:sz w:val="20"/>
                <w:szCs w:val="20"/>
              </w:rPr>
            </w:pPr>
          </w:p>
        </w:tc>
        <w:tc>
          <w:tcPr>
            <w:tcW w:w="648" w:type="pct"/>
            <w:tcBorders>
              <w:top w:val="single" w:sz="4" w:space="0" w:color="auto"/>
              <w:left w:val="nil"/>
              <w:bottom w:val="nil"/>
              <w:right w:val="nil"/>
            </w:tcBorders>
            <w:shd w:val="clear" w:color="auto" w:fill="F2F2F2" w:themeFill="background1" w:themeFillShade="F2"/>
            <w:vAlign w:val="bottom"/>
          </w:tcPr>
          <w:p w14:paraId="4E1F0439" w14:textId="77777777" w:rsidR="00A1425C" w:rsidRPr="00B916CD" w:rsidRDefault="00A1425C">
            <w:pPr>
              <w:jc w:val="right"/>
              <w:rPr>
                <w:rFonts w:asciiTheme="minorHAnsi" w:hAnsiTheme="minorHAnsi" w:cs="Arial"/>
                <w:b/>
                <w:sz w:val="20"/>
                <w:szCs w:val="20"/>
              </w:rPr>
            </w:pPr>
          </w:p>
        </w:tc>
        <w:tc>
          <w:tcPr>
            <w:tcW w:w="766" w:type="pct"/>
            <w:tcBorders>
              <w:top w:val="single" w:sz="4" w:space="0" w:color="auto"/>
              <w:left w:val="nil"/>
              <w:bottom w:val="nil"/>
              <w:right w:val="nil"/>
            </w:tcBorders>
            <w:vAlign w:val="bottom"/>
          </w:tcPr>
          <w:p w14:paraId="16F1D600" w14:textId="77777777" w:rsidR="00A1425C" w:rsidRPr="00085AA2" w:rsidRDefault="00A1425C">
            <w:pPr>
              <w:jc w:val="right"/>
              <w:rPr>
                <w:rFonts w:asciiTheme="minorHAnsi" w:hAnsiTheme="minorHAnsi" w:cs="Arial"/>
                <w:sz w:val="20"/>
                <w:szCs w:val="20"/>
              </w:rPr>
            </w:pPr>
          </w:p>
        </w:tc>
      </w:tr>
      <w:tr w:rsidR="00A1425C" w:rsidRPr="00085AA2" w14:paraId="215D68AB" w14:textId="77777777" w:rsidTr="003B7755">
        <w:tc>
          <w:tcPr>
            <w:tcW w:w="3099" w:type="pct"/>
            <w:vAlign w:val="bottom"/>
          </w:tcPr>
          <w:p w14:paraId="0DB0DE84" w14:textId="57C3BB4F" w:rsidR="00A1425C" w:rsidRPr="00085AA2" w:rsidRDefault="00A1425C">
            <w:pPr>
              <w:rPr>
                <w:rFonts w:asciiTheme="minorHAnsi" w:hAnsiTheme="minorHAnsi" w:cs="Arial"/>
                <w:sz w:val="20"/>
                <w:szCs w:val="20"/>
              </w:rPr>
            </w:pPr>
            <w:r w:rsidRPr="00085AA2">
              <w:rPr>
                <w:rFonts w:asciiTheme="minorHAnsi" w:hAnsiTheme="minorHAnsi" w:cs="Arial"/>
                <w:sz w:val="20"/>
                <w:szCs w:val="20"/>
              </w:rPr>
              <w:t xml:space="preserve">Cash </w:t>
            </w:r>
            <w:r w:rsidR="00F82039">
              <w:rPr>
                <w:rFonts w:asciiTheme="minorHAnsi" w:hAnsiTheme="minorHAnsi" w:cs="Arial"/>
                <w:sz w:val="20"/>
                <w:szCs w:val="20"/>
              </w:rPr>
              <w:t>(used in)/</w:t>
            </w:r>
            <w:r w:rsidR="00D64277" w:rsidRPr="00306312">
              <w:rPr>
                <w:rFonts w:asciiTheme="minorHAnsi" w:hAnsiTheme="minorHAnsi" w:cs="Arial"/>
                <w:sz w:val="20"/>
                <w:szCs w:val="20"/>
              </w:rPr>
              <w:t>generated from</w:t>
            </w:r>
            <w:r w:rsidRPr="00085AA2">
              <w:rPr>
                <w:rFonts w:asciiTheme="minorHAnsi" w:hAnsiTheme="minorHAnsi" w:cs="Arial"/>
                <w:sz w:val="20"/>
                <w:szCs w:val="20"/>
              </w:rPr>
              <w:t xml:space="preserve"> operations</w:t>
            </w:r>
          </w:p>
        </w:tc>
        <w:tc>
          <w:tcPr>
            <w:tcW w:w="487" w:type="pct"/>
            <w:vAlign w:val="bottom"/>
          </w:tcPr>
          <w:p w14:paraId="55552F71" w14:textId="0D0D9A75" w:rsidR="00A1425C" w:rsidRPr="00BB3187" w:rsidRDefault="002E7116">
            <w:pPr>
              <w:jc w:val="right"/>
              <w:rPr>
                <w:rFonts w:asciiTheme="minorHAnsi" w:hAnsiTheme="minorHAnsi" w:cs="Arial"/>
                <w:sz w:val="20"/>
                <w:szCs w:val="20"/>
              </w:rPr>
            </w:pPr>
            <w:r w:rsidRPr="00BB3187">
              <w:rPr>
                <w:rFonts w:asciiTheme="minorHAnsi" w:hAnsiTheme="minorHAnsi" w:cs="Arial"/>
                <w:sz w:val="20"/>
                <w:szCs w:val="20"/>
              </w:rPr>
              <w:t>1</w:t>
            </w:r>
            <w:r>
              <w:rPr>
                <w:rFonts w:asciiTheme="minorHAnsi" w:hAnsiTheme="minorHAnsi" w:cs="Arial"/>
                <w:sz w:val="20"/>
                <w:szCs w:val="20"/>
              </w:rPr>
              <w:t>5</w:t>
            </w:r>
          </w:p>
        </w:tc>
        <w:tc>
          <w:tcPr>
            <w:tcW w:w="648" w:type="pct"/>
            <w:shd w:val="clear" w:color="auto" w:fill="F2F2F2" w:themeFill="background1" w:themeFillShade="F2"/>
            <w:vAlign w:val="bottom"/>
          </w:tcPr>
          <w:p w14:paraId="4009D273" w14:textId="1171D6FC" w:rsidR="00A1425C" w:rsidRPr="00230F40" w:rsidRDefault="0015649A">
            <w:pPr>
              <w:jc w:val="right"/>
              <w:rPr>
                <w:rFonts w:asciiTheme="minorHAnsi" w:hAnsiTheme="minorHAnsi" w:cs="Arial"/>
                <w:b/>
                <w:sz w:val="20"/>
                <w:szCs w:val="20"/>
              </w:rPr>
            </w:pPr>
            <w:r>
              <w:rPr>
                <w:rFonts w:asciiTheme="minorHAnsi" w:hAnsiTheme="minorHAnsi" w:cs="Arial"/>
                <w:b/>
                <w:sz w:val="20"/>
                <w:szCs w:val="20"/>
              </w:rPr>
              <w:t>(</w:t>
            </w:r>
            <w:r w:rsidR="005C4B46">
              <w:rPr>
                <w:rFonts w:asciiTheme="minorHAnsi" w:hAnsiTheme="minorHAnsi" w:cs="Arial"/>
                <w:b/>
                <w:sz w:val="20"/>
                <w:szCs w:val="20"/>
              </w:rPr>
              <w:t>81</w:t>
            </w:r>
            <w:r>
              <w:rPr>
                <w:rFonts w:asciiTheme="minorHAnsi" w:hAnsiTheme="minorHAnsi" w:cs="Arial"/>
                <w:b/>
                <w:sz w:val="20"/>
                <w:szCs w:val="20"/>
              </w:rPr>
              <w:t>.0)</w:t>
            </w:r>
          </w:p>
        </w:tc>
        <w:tc>
          <w:tcPr>
            <w:tcW w:w="766" w:type="pct"/>
            <w:vAlign w:val="bottom"/>
          </w:tcPr>
          <w:p w14:paraId="53DB5BCB" w14:textId="4DDDD111" w:rsidR="00A1425C" w:rsidRPr="00230F40" w:rsidRDefault="00EC2070">
            <w:pPr>
              <w:jc w:val="right"/>
              <w:rPr>
                <w:rFonts w:asciiTheme="minorHAnsi" w:hAnsiTheme="minorHAnsi" w:cs="Arial"/>
                <w:sz w:val="20"/>
                <w:szCs w:val="20"/>
              </w:rPr>
            </w:pPr>
            <w:r>
              <w:rPr>
                <w:rFonts w:asciiTheme="minorHAnsi" w:hAnsiTheme="minorHAnsi" w:cs="Arial"/>
                <w:sz w:val="20"/>
                <w:szCs w:val="20"/>
              </w:rPr>
              <w:t>142.4</w:t>
            </w:r>
          </w:p>
        </w:tc>
      </w:tr>
      <w:tr w:rsidR="00A1425C" w:rsidRPr="00085AA2" w14:paraId="29E376CD" w14:textId="77777777" w:rsidTr="003B7755">
        <w:tc>
          <w:tcPr>
            <w:tcW w:w="3099" w:type="pct"/>
            <w:vAlign w:val="bottom"/>
          </w:tcPr>
          <w:p w14:paraId="17852D82" w14:textId="77777777" w:rsidR="00A1425C" w:rsidRPr="00085AA2" w:rsidRDefault="00A1425C">
            <w:pPr>
              <w:rPr>
                <w:rFonts w:asciiTheme="minorHAnsi" w:hAnsiTheme="minorHAnsi" w:cs="Arial"/>
                <w:sz w:val="20"/>
                <w:szCs w:val="20"/>
              </w:rPr>
            </w:pPr>
            <w:r w:rsidRPr="00085AA2">
              <w:rPr>
                <w:rFonts w:asciiTheme="minorHAnsi" w:hAnsiTheme="minorHAnsi" w:cs="Arial"/>
                <w:sz w:val="20"/>
                <w:szCs w:val="20"/>
              </w:rPr>
              <w:t>Finance costs paid</w:t>
            </w:r>
          </w:p>
        </w:tc>
        <w:tc>
          <w:tcPr>
            <w:tcW w:w="487" w:type="pct"/>
            <w:vAlign w:val="bottom"/>
          </w:tcPr>
          <w:p w14:paraId="6B2F8F58"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1A9B08E0" w14:textId="128C3085" w:rsidR="00A1425C" w:rsidRPr="00230F40" w:rsidRDefault="0015649A">
            <w:pPr>
              <w:jc w:val="right"/>
              <w:rPr>
                <w:rFonts w:asciiTheme="minorHAnsi" w:hAnsiTheme="minorHAnsi" w:cs="Arial"/>
                <w:b/>
                <w:sz w:val="20"/>
                <w:szCs w:val="20"/>
              </w:rPr>
            </w:pPr>
            <w:r>
              <w:rPr>
                <w:rFonts w:asciiTheme="minorHAnsi" w:hAnsiTheme="minorHAnsi" w:cs="Arial"/>
                <w:b/>
                <w:sz w:val="20"/>
                <w:szCs w:val="20"/>
              </w:rPr>
              <w:t>(4</w:t>
            </w:r>
            <w:r w:rsidR="00B02575">
              <w:rPr>
                <w:rFonts w:asciiTheme="minorHAnsi" w:hAnsiTheme="minorHAnsi" w:cs="Arial"/>
                <w:b/>
                <w:sz w:val="20"/>
                <w:szCs w:val="20"/>
              </w:rPr>
              <w:t>6.8</w:t>
            </w:r>
            <w:r>
              <w:rPr>
                <w:rFonts w:asciiTheme="minorHAnsi" w:hAnsiTheme="minorHAnsi" w:cs="Arial"/>
                <w:b/>
                <w:sz w:val="20"/>
                <w:szCs w:val="20"/>
              </w:rPr>
              <w:t>)</w:t>
            </w:r>
          </w:p>
        </w:tc>
        <w:tc>
          <w:tcPr>
            <w:tcW w:w="766" w:type="pct"/>
          </w:tcPr>
          <w:p w14:paraId="48B02E0D" w14:textId="22B25847" w:rsidR="00A1425C" w:rsidRPr="00230F40" w:rsidRDefault="00A1425C">
            <w:pPr>
              <w:jc w:val="right"/>
              <w:rPr>
                <w:rFonts w:asciiTheme="minorHAnsi" w:hAnsiTheme="minorHAnsi" w:cs="Arial"/>
                <w:sz w:val="20"/>
                <w:szCs w:val="20"/>
              </w:rPr>
            </w:pPr>
            <w:r w:rsidRPr="00230F40">
              <w:rPr>
                <w:rFonts w:asciiTheme="minorHAnsi" w:hAnsiTheme="minorHAnsi" w:cs="Arial"/>
                <w:sz w:val="20"/>
                <w:szCs w:val="20"/>
              </w:rPr>
              <w:t>(</w:t>
            </w:r>
            <w:r w:rsidR="00C730BC" w:rsidRPr="00C730BC">
              <w:rPr>
                <w:rFonts w:asciiTheme="minorHAnsi" w:hAnsiTheme="minorHAnsi" w:cs="Arial"/>
                <w:sz w:val="20"/>
                <w:szCs w:val="20"/>
              </w:rPr>
              <w:t>46.5</w:t>
            </w:r>
            <w:r w:rsidRPr="00230F40">
              <w:rPr>
                <w:rFonts w:asciiTheme="minorHAnsi" w:hAnsiTheme="minorHAnsi" w:cs="Arial"/>
                <w:sz w:val="20"/>
                <w:szCs w:val="20"/>
              </w:rPr>
              <w:t>)</w:t>
            </w:r>
          </w:p>
        </w:tc>
      </w:tr>
      <w:tr w:rsidR="00C4503F" w:rsidRPr="00085AA2" w14:paraId="7D308E45" w14:textId="77777777" w:rsidTr="003B7755">
        <w:tc>
          <w:tcPr>
            <w:tcW w:w="3099" w:type="pct"/>
            <w:vAlign w:val="bottom"/>
          </w:tcPr>
          <w:p w14:paraId="11A4AA88" w14:textId="1C118E0C" w:rsidR="00C4503F" w:rsidRPr="00085AA2" w:rsidRDefault="00C4503F">
            <w:pPr>
              <w:rPr>
                <w:rFonts w:asciiTheme="minorHAnsi" w:hAnsiTheme="minorHAnsi" w:cs="Arial"/>
                <w:sz w:val="20"/>
                <w:szCs w:val="20"/>
              </w:rPr>
            </w:pPr>
            <w:r w:rsidRPr="00085AA2">
              <w:rPr>
                <w:rFonts w:asciiTheme="minorHAnsi" w:hAnsiTheme="minorHAnsi" w:cs="Arial"/>
                <w:sz w:val="20"/>
                <w:szCs w:val="20"/>
              </w:rPr>
              <w:t xml:space="preserve">Finance </w:t>
            </w:r>
            <w:r>
              <w:rPr>
                <w:rFonts w:asciiTheme="minorHAnsi" w:hAnsiTheme="minorHAnsi" w:cs="Arial"/>
                <w:sz w:val="20"/>
                <w:szCs w:val="20"/>
              </w:rPr>
              <w:t>income received</w:t>
            </w:r>
          </w:p>
        </w:tc>
        <w:tc>
          <w:tcPr>
            <w:tcW w:w="487" w:type="pct"/>
            <w:vAlign w:val="bottom"/>
          </w:tcPr>
          <w:p w14:paraId="752EE8B6" w14:textId="77777777" w:rsidR="00C4503F" w:rsidRPr="00BB3187" w:rsidRDefault="00C4503F">
            <w:pPr>
              <w:jc w:val="right"/>
              <w:rPr>
                <w:rFonts w:asciiTheme="minorHAnsi" w:hAnsiTheme="minorHAnsi" w:cs="Arial"/>
                <w:sz w:val="20"/>
                <w:szCs w:val="20"/>
              </w:rPr>
            </w:pPr>
          </w:p>
        </w:tc>
        <w:tc>
          <w:tcPr>
            <w:tcW w:w="648" w:type="pct"/>
            <w:shd w:val="clear" w:color="auto" w:fill="F2F2F2" w:themeFill="background1" w:themeFillShade="F2"/>
          </w:tcPr>
          <w:p w14:paraId="23A28EFF" w14:textId="6A6C7910" w:rsidR="00C4503F" w:rsidRPr="00230F40" w:rsidRDefault="007B28B0">
            <w:pPr>
              <w:jc w:val="right"/>
              <w:rPr>
                <w:rFonts w:asciiTheme="minorHAnsi" w:hAnsiTheme="minorHAnsi" w:cs="Arial"/>
                <w:b/>
                <w:sz w:val="20"/>
                <w:szCs w:val="20"/>
              </w:rPr>
            </w:pPr>
            <w:r>
              <w:rPr>
                <w:rFonts w:asciiTheme="minorHAnsi" w:hAnsiTheme="minorHAnsi" w:cs="Arial"/>
                <w:b/>
                <w:sz w:val="20"/>
                <w:szCs w:val="20"/>
              </w:rPr>
              <w:t>22.8</w:t>
            </w:r>
          </w:p>
        </w:tc>
        <w:tc>
          <w:tcPr>
            <w:tcW w:w="766" w:type="pct"/>
          </w:tcPr>
          <w:p w14:paraId="2E54904C" w14:textId="7EC20A76" w:rsidR="00C4503F" w:rsidRPr="00230F40" w:rsidRDefault="00C730BC">
            <w:pPr>
              <w:jc w:val="right"/>
              <w:rPr>
                <w:rFonts w:asciiTheme="minorHAnsi" w:hAnsiTheme="minorHAnsi" w:cs="Arial"/>
                <w:sz w:val="20"/>
                <w:szCs w:val="20"/>
              </w:rPr>
            </w:pPr>
            <w:r w:rsidRPr="00C730BC">
              <w:rPr>
                <w:rFonts w:asciiTheme="minorHAnsi" w:hAnsiTheme="minorHAnsi" w:cs="Arial"/>
                <w:sz w:val="20"/>
                <w:szCs w:val="20"/>
              </w:rPr>
              <w:t>21.1</w:t>
            </w:r>
          </w:p>
        </w:tc>
      </w:tr>
      <w:tr w:rsidR="00A1425C" w:rsidRPr="00085AA2" w14:paraId="20068C02" w14:textId="77777777" w:rsidTr="003B7755">
        <w:tc>
          <w:tcPr>
            <w:tcW w:w="3099" w:type="pct"/>
            <w:vAlign w:val="bottom"/>
          </w:tcPr>
          <w:p w14:paraId="1651544B" w14:textId="188C30C7" w:rsidR="00A1425C" w:rsidRPr="00085AA2" w:rsidRDefault="00A1425C">
            <w:pPr>
              <w:rPr>
                <w:rFonts w:asciiTheme="minorHAnsi" w:hAnsiTheme="minorHAnsi" w:cs="Arial"/>
                <w:sz w:val="20"/>
                <w:szCs w:val="20"/>
              </w:rPr>
            </w:pPr>
            <w:r w:rsidRPr="00085AA2">
              <w:rPr>
                <w:rFonts w:asciiTheme="minorHAnsi" w:hAnsiTheme="minorHAnsi" w:cs="Arial"/>
                <w:sz w:val="20"/>
                <w:szCs w:val="20"/>
              </w:rPr>
              <w:t xml:space="preserve">Tax </w:t>
            </w:r>
            <w:r w:rsidR="00E71BE7">
              <w:rPr>
                <w:rFonts w:asciiTheme="minorHAnsi" w:hAnsiTheme="minorHAnsi" w:cs="Arial"/>
                <w:sz w:val="20"/>
                <w:szCs w:val="20"/>
              </w:rPr>
              <w:t>re</w:t>
            </w:r>
            <w:r w:rsidR="000312FD">
              <w:rPr>
                <w:rFonts w:asciiTheme="minorHAnsi" w:hAnsiTheme="minorHAnsi" w:cs="Arial"/>
                <w:sz w:val="20"/>
                <w:szCs w:val="20"/>
              </w:rPr>
              <w:t>ceived</w:t>
            </w:r>
          </w:p>
        </w:tc>
        <w:tc>
          <w:tcPr>
            <w:tcW w:w="487" w:type="pct"/>
            <w:vAlign w:val="bottom"/>
          </w:tcPr>
          <w:p w14:paraId="491B6F1A" w14:textId="77777777" w:rsidR="00A1425C" w:rsidRPr="00BB3187" w:rsidRDefault="00A1425C">
            <w:pPr>
              <w:jc w:val="right"/>
              <w:rPr>
                <w:rFonts w:asciiTheme="minorHAnsi" w:hAnsiTheme="minorHAnsi" w:cs="Arial"/>
                <w:sz w:val="20"/>
                <w:szCs w:val="20"/>
              </w:rPr>
            </w:pPr>
          </w:p>
        </w:tc>
        <w:tc>
          <w:tcPr>
            <w:tcW w:w="648" w:type="pct"/>
            <w:tcBorders>
              <w:left w:val="nil"/>
              <w:bottom w:val="single" w:sz="4" w:space="0" w:color="auto"/>
              <w:right w:val="nil"/>
            </w:tcBorders>
            <w:shd w:val="clear" w:color="auto" w:fill="F2F2F2" w:themeFill="background1" w:themeFillShade="F2"/>
          </w:tcPr>
          <w:p w14:paraId="3C821894" w14:textId="3134FF90" w:rsidR="00A1425C" w:rsidRPr="00230F40" w:rsidRDefault="0015649A">
            <w:pPr>
              <w:jc w:val="right"/>
              <w:rPr>
                <w:rFonts w:asciiTheme="minorHAnsi" w:hAnsiTheme="minorHAnsi" w:cs="Arial"/>
                <w:b/>
                <w:sz w:val="20"/>
                <w:szCs w:val="20"/>
              </w:rPr>
            </w:pPr>
            <w:r>
              <w:rPr>
                <w:rFonts w:asciiTheme="minorHAnsi" w:hAnsiTheme="minorHAnsi" w:cs="Arial"/>
                <w:b/>
                <w:sz w:val="20"/>
                <w:szCs w:val="20"/>
              </w:rPr>
              <w:t>0.1</w:t>
            </w:r>
          </w:p>
        </w:tc>
        <w:tc>
          <w:tcPr>
            <w:tcW w:w="766" w:type="pct"/>
            <w:tcBorders>
              <w:left w:val="nil"/>
              <w:bottom w:val="single" w:sz="4" w:space="0" w:color="auto"/>
              <w:right w:val="nil"/>
            </w:tcBorders>
          </w:tcPr>
          <w:p w14:paraId="65F5C153" w14:textId="41440D5A" w:rsidR="00A1425C" w:rsidRPr="00230F40" w:rsidRDefault="00C730BC">
            <w:pPr>
              <w:jc w:val="right"/>
              <w:rPr>
                <w:rFonts w:asciiTheme="minorHAnsi" w:hAnsiTheme="minorHAnsi" w:cs="Arial"/>
                <w:sz w:val="20"/>
                <w:szCs w:val="20"/>
              </w:rPr>
            </w:pPr>
            <w:r w:rsidRPr="00C730BC">
              <w:rPr>
                <w:rFonts w:asciiTheme="minorHAnsi" w:hAnsiTheme="minorHAnsi" w:cs="Arial"/>
                <w:sz w:val="20"/>
                <w:szCs w:val="20"/>
              </w:rPr>
              <w:t>8.1</w:t>
            </w:r>
          </w:p>
        </w:tc>
      </w:tr>
      <w:tr w:rsidR="00A1425C" w:rsidRPr="00085AA2" w14:paraId="6AE4F1EF" w14:textId="77777777" w:rsidTr="003B7755">
        <w:tc>
          <w:tcPr>
            <w:tcW w:w="3099" w:type="pct"/>
            <w:vAlign w:val="bottom"/>
          </w:tcPr>
          <w:p w14:paraId="3635F00F" w14:textId="35494228"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 xml:space="preserve">Net cash </w:t>
            </w:r>
            <w:r w:rsidR="004E7470">
              <w:rPr>
                <w:rFonts w:asciiTheme="minorHAnsi" w:hAnsiTheme="minorHAnsi" w:cs="Arial"/>
                <w:b/>
                <w:sz w:val="20"/>
                <w:szCs w:val="20"/>
              </w:rPr>
              <w:t>(used in)/</w:t>
            </w:r>
            <w:r w:rsidR="001A56A9" w:rsidRPr="00306312">
              <w:rPr>
                <w:rFonts w:asciiTheme="minorHAnsi" w:hAnsiTheme="minorHAnsi" w:cs="Arial"/>
                <w:b/>
                <w:sz w:val="20"/>
                <w:szCs w:val="20"/>
              </w:rPr>
              <w:t>generated from</w:t>
            </w:r>
            <w:r w:rsidRPr="00085AA2">
              <w:rPr>
                <w:rFonts w:asciiTheme="minorHAnsi" w:hAnsiTheme="minorHAnsi" w:cs="Arial"/>
                <w:b/>
                <w:sz w:val="20"/>
                <w:szCs w:val="20"/>
              </w:rPr>
              <w:t xml:space="preserve"> operating activities </w:t>
            </w:r>
          </w:p>
        </w:tc>
        <w:tc>
          <w:tcPr>
            <w:tcW w:w="487" w:type="pct"/>
            <w:vAlign w:val="bottom"/>
          </w:tcPr>
          <w:p w14:paraId="4E47464A"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1F6072BB" w14:textId="67E084F0" w:rsidR="00A1425C" w:rsidRPr="00230F40" w:rsidRDefault="00B77122">
            <w:pPr>
              <w:jc w:val="right"/>
              <w:rPr>
                <w:rFonts w:asciiTheme="minorHAnsi" w:hAnsiTheme="minorHAnsi" w:cs="Arial"/>
                <w:b/>
                <w:sz w:val="20"/>
                <w:szCs w:val="20"/>
              </w:rPr>
            </w:pPr>
            <w:r>
              <w:rPr>
                <w:rFonts w:asciiTheme="minorHAnsi" w:hAnsiTheme="minorHAnsi" w:cs="Arial"/>
                <w:b/>
                <w:sz w:val="20"/>
                <w:szCs w:val="20"/>
              </w:rPr>
              <w:t>(</w:t>
            </w:r>
            <w:r w:rsidR="00C77223">
              <w:rPr>
                <w:rFonts w:asciiTheme="minorHAnsi" w:hAnsiTheme="minorHAnsi" w:cs="Arial"/>
                <w:b/>
                <w:sz w:val="20"/>
                <w:szCs w:val="20"/>
              </w:rPr>
              <w:t>10</w:t>
            </w:r>
            <w:r w:rsidR="00117B53">
              <w:rPr>
                <w:rFonts w:asciiTheme="minorHAnsi" w:hAnsiTheme="minorHAnsi" w:cs="Arial"/>
                <w:b/>
                <w:sz w:val="20"/>
                <w:szCs w:val="20"/>
              </w:rPr>
              <w:t>4.9</w:t>
            </w:r>
            <w:r>
              <w:rPr>
                <w:rFonts w:asciiTheme="minorHAnsi" w:hAnsiTheme="minorHAnsi" w:cs="Arial"/>
                <w:b/>
                <w:sz w:val="20"/>
                <w:szCs w:val="20"/>
              </w:rPr>
              <w:t>)</w:t>
            </w:r>
          </w:p>
        </w:tc>
        <w:tc>
          <w:tcPr>
            <w:tcW w:w="766" w:type="pct"/>
          </w:tcPr>
          <w:p w14:paraId="521E2E59" w14:textId="207E9C91" w:rsidR="00A1425C" w:rsidRPr="00230F40" w:rsidRDefault="00C730BC">
            <w:pPr>
              <w:jc w:val="right"/>
              <w:rPr>
                <w:rFonts w:asciiTheme="minorHAnsi" w:hAnsiTheme="minorHAnsi" w:cs="Arial"/>
                <w:sz w:val="20"/>
                <w:szCs w:val="20"/>
              </w:rPr>
            </w:pPr>
            <w:r w:rsidRPr="00C730BC">
              <w:rPr>
                <w:rFonts w:asciiTheme="minorHAnsi" w:hAnsiTheme="minorHAnsi" w:cs="Arial"/>
                <w:sz w:val="20"/>
                <w:szCs w:val="20"/>
              </w:rPr>
              <w:t>1</w:t>
            </w:r>
            <w:r w:rsidR="00A90E81">
              <w:rPr>
                <w:rFonts w:asciiTheme="minorHAnsi" w:hAnsiTheme="minorHAnsi" w:cs="Arial"/>
                <w:sz w:val="20"/>
                <w:szCs w:val="20"/>
              </w:rPr>
              <w:t>25.1</w:t>
            </w:r>
          </w:p>
        </w:tc>
      </w:tr>
      <w:tr w:rsidR="00A1425C" w:rsidRPr="00085AA2" w14:paraId="6281FE03" w14:textId="77777777" w:rsidTr="003B7755">
        <w:tc>
          <w:tcPr>
            <w:tcW w:w="3099" w:type="pct"/>
            <w:vAlign w:val="bottom"/>
          </w:tcPr>
          <w:p w14:paraId="6C22435A" w14:textId="77777777" w:rsidR="00A1425C" w:rsidRPr="00085AA2" w:rsidRDefault="00A1425C">
            <w:pPr>
              <w:rPr>
                <w:rFonts w:asciiTheme="minorHAnsi" w:hAnsiTheme="minorHAnsi" w:cs="Arial"/>
                <w:sz w:val="20"/>
                <w:szCs w:val="20"/>
              </w:rPr>
            </w:pPr>
          </w:p>
        </w:tc>
        <w:tc>
          <w:tcPr>
            <w:tcW w:w="487" w:type="pct"/>
            <w:vAlign w:val="bottom"/>
          </w:tcPr>
          <w:p w14:paraId="797EB254" w14:textId="77777777" w:rsidR="00A1425C" w:rsidRPr="00BB3187" w:rsidRDefault="00A1425C">
            <w:pPr>
              <w:jc w:val="right"/>
              <w:rPr>
                <w:rFonts w:asciiTheme="minorHAnsi" w:hAnsiTheme="minorHAnsi" w:cs="Arial"/>
                <w:sz w:val="20"/>
                <w:szCs w:val="20"/>
              </w:rPr>
            </w:pPr>
          </w:p>
        </w:tc>
        <w:tc>
          <w:tcPr>
            <w:tcW w:w="648" w:type="pct"/>
            <w:tcBorders>
              <w:top w:val="single" w:sz="4" w:space="0" w:color="auto"/>
              <w:left w:val="nil"/>
              <w:bottom w:val="nil"/>
              <w:right w:val="nil"/>
            </w:tcBorders>
            <w:shd w:val="clear" w:color="auto" w:fill="F2F2F2" w:themeFill="background1" w:themeFillShade="F2"/>
          </w:tcPr>
          <w:p w14:paraId="0C8C2A3E" w14:textId="77777777" w:rsidR="00A1425C" w:rsidRPr="00230F40" w:rsidRDefault="00A1425C">
            <w:pPr>
              <w:jc w:val="right"/>
              <w:rPr>
                <w:rFonts w:asciiTheme="minorHAnsi" w:hAnsiTheme="minorHAnsi" w:cs="Arial"/>
                <w:b/>
                <w:sz w:val="20"/>
                <w:szCs w:val="20"/>
              </w:rPr>
            </w:pPr>
          </w:p>
        </w:tc>
        <w:tc>
          <w:tcPr>
            <w:tcW w:w="766" w:type="pct"/>
            <w:tcBorders>
              <w:top w:val="single" w:sz="4" w:space="0" w:color="auto"/>
              <w:left w:val="nil"/>
              <w:bottom w:val="nil"/>
              <w:right w:val="nil"/>
            </w:tcBorders>
          </w:tcPr>
          <w:p w14:paraId="783D4B63" w14:textId="77777777" w:rsidR="00A1425C" w:rsidRPr="00230F40" w:rsidRDefault="00A1425C">
            <w:pPr>
              <w:jc w:val="right"/>
              <w:rPr>
                <w:rFonts w:asciiTheme="minorHAnsi" w:hAnsiTheme="minorHAnsi" w:cs="Arial"/>
                <w:sz w:val="20"/>
                <w:szCs w:val="20"/>
              </w:rPr>
            </w:pPr>
          </w:p>
        </w:tc>
      </w:tr>
      <w:tr w:rsidR="00A1425C" w:rsidRPr="00085AA2" w14:paraId="0F620E77" w14:textId="77777777" w:rsidTr="003B7755">
        <w:tc>
          <w:tcPr>
            <w:tcW w:w="3099" w:type="pct"/>
            <w:vAlign w:val="bottom"/>
          </w:tcPr>
          <w:p w14:paraId="2FFAAC68" w14:textId="77777777"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 xml:space="preserve">Cash flows from investing activities </w:t>
            </w:r>
          </w:p>
        </w:tc>
        <w:tc>
          <w:tcPr>
            <w:tcW w:w="487" w:type="pct"/>
            <w:vAlign w:val="bottom"/>
          </w:tcPr>
          <w:p w14:paraId="3EB4DA2A"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3B224291" w14:textId="77777777" w:rsidR="00A1425C" w:rsidRPr="00230F40" w:rsidRDefault="00A1425C">
            <w:pPr>
              <w:jc w:val="right"/>
              <w:rPr>
                <w:rFonts w:asciiTheme="minorHAnsi" w:hAnsiTheme="minorHAnsi" w:cs="Arial"/>
                <w:b/>
                <w:sz w:val="20"/>
                <w:szCs w:val="20"/>
              </w:rPr>
            </w:pPr>
          </w:p>
        </w:tc>
        <w:tc>
          <w:tcPr>
            <w:tcW w:w="766" w:type="pct"/>
          </w:tcPr>
          <w:p w14:paraId="2C608F31" w14:textId="77777777" w:rsidR="00A1425C" w:rsidRPr="00230F40" w:rsidRDefault="00A1425C">
            <w:pPr>
              <w:jc w:val="right"/>
              <w:rPr>
                <w:rFonts w:asciiTheme="minorHAnsi" w:hAnsiTheme="minorHAnsi" w:cs="Arial"/>
                <w:sz w:val="20"/>
                <w:szCs w:val="20"/>
              </w:rPr>
            </w:pPr>
          </w:p>
        </w:tc>
      </w:tr>
      <w:tr w:rsidR="00A1425C" w:rsidRPr="00085AA2" w14:paraId="035AF488" w14:textId="77777777" w:rsidTr="003B7755">
        <w:tc>
          <w:tcPr>
            <w:tcW w:w="3099" w:type="pct"/>
            <w:vAlign w:val="bottom"/>
          </w:tcPr>
          <w:p w14:paraId="3FD19F88" w14:textId="77777777" w:rsidR="00A1425C" w:rsidRPr="00085AA2" w:rsidRDefault="00A1425C">
            <w:pPr>
              <w:rPr>
                <w:rFonts w:asciiTheme="minorHAnsi" w:hAnsiTheme="minorHAnsi" w:cs="Arial"/>
                <w:sz w:val="20"/>
                <w:szCs w:val="20"/>
              </w:rPr>
            </w:pPr>
            <w:r w:rsidRPr="00085AA2">
              <w:rPr>
                <w:rFonts w:asciiTheme="minorHAnsi" w:hAnsiTheme="minorHAnsi" w:cs="Arial"/>
                <w:sz w:val="20"/>
                <w:szCs w:val="20"/>
              </w:rPr>
              <w:t>Purchase of intangible assets</w:t>
            </w:r>
          </w:p>
        </w:tc>
        <w:tc>
          <w:tcPr>
            <w:tcW w:w="487" w:type="pct"/>
            <w:vAlign w:val="bottom"/>
          </w:tcPr>
          <w:p w14:paraId="67E1F600" w14:textId="2CCF76A1" w:rsidR="00A1425C" w:rsidRPr="00BB3187" w:rsidRDefault="002E7116">
            <w:pPr>
              <w:jc w:val="right"/>
              <w:rPr>
                <w:rFonts w:asciiTheme="minorHAnsi" w:hAnsiTheme="minorHAnsi" w:cs="Arial"/>
                <w:sz w:val="20"/>
                <w:szCs w:val="20"/>
              </w:rPr>
            </w:pPr>
            <w:r w:rsidRPr="00BB3187">
              <w:rPr>
                <w:rFonts w:asciiTheme="minorHAnsi" w:hAnsiTheme="minorHAnsi" w:cs="Arial"/>
                <w:sz w:val="20"/>
                <w:szCs w:val="20"/>
              </w:rPr>
              <w:t>1</w:t>
            </w:r>
            <w:r w:rsidR="002A3AA2">
              <w:rPr>
                <w:rFonts w:asciiTheme="minorHAnsi" w:hAnsiTheme="minorHAnsi" w:cs="Arial"/>
                <w:sz w:val="20"/>
                <w:szCs w:val="20"/>
              </w:rPr>
              <w:t>1</w:t>
            </w:r>
          </w:p>
        </w:tc>
        <w:tc>
          <w:tcPr>
            <w:tcW w:w="648" w:type="pct"/>
            <w:shd w:val="clear" w:color="auto" w:fill="F2F2F2" w:themeFill="background1" w:themeFillShade="F2"/>
          </w:tcPr>
          <w:p w14:paraId="62A756C8" w14:textId="11A69D31" w:rsidR="00A1425C" w:rsidRPr="00230F40" w:rsidRDefault="001576FA">
            <w:pPr>
              <w:jc w:val="right"/>
              <w:rPr>
                <w:rFonts w:asciiTheme="minorHAnsi" w:hAnsiTheme="minorHAnsi" w:cs="Arial"/>
                <w:b/>
                <w:sz w:val="20"/>
                <w:szCs w:val="20"/>
              </w:rPr>
            </w:pPr>
            <w:r>
              <w:rPr>
                <w:rFonts w:asciiTheme="minorHAnsi" w:hAnsiTheme="minorHAnsi" w:cs="Arial"/>
                <w:b/>
                <w:sz w:val="20"/>
                <w:szCs w:val="20"/>
              </w:rPr>
              <w:t>(</w:t>
            </w:r>
            <w:r w:rsidR="00BB2CBB">
              <w:rPr>
                <w:rFonts w:asciiTheme="minorHAnsi" w:hAnsiTheme="minorHAnsi" w:cs="Arial"/>
                <w:b/>
                <w:sz w:val="20"/>
                <w:szCs w:val="20"/>
              </w:rPr>
              <w:t>7.3</w:t>
            </w:r>
            <w:r>
              <w:rPr>
                <w:rFonts w:asciiTheme="minorHAnsi" w:hAnsiTheme="minorHAnsi" w:cs="Arial"/>
                <w:b/>
                <w:sz w:val="20"/>
                <w:szCs w:val="20"/>
              </w:rPr>
              <w:t>)</w:t>
            </w:r>
          </w:p>
        </w:tc>
        <w:tc>
          <w:tcPr>
            <w:tcW w:w="766" w:type="pct"/>
          </w:tcPr>
          <w:p w14:paraId="48B92F5E" w14:textId="219453B6" w:rsidR="00A1425C" w:rsidRPr="00230F40" w:rsidRDefault="00A1425C">
            <w:pPr>
              <w:jc w:val="right"/>
              <w:rPr>
                <w:rFonts w:asciiTheme="minorHAnsi" w:hAnsiTheme="minorHAnsi" w:cs="Arial"/>
                <w:sz w:val="20"/>
                <w:szCs w:val="20"/>
              </w:rPr>
            </w:pPr>
            <w:r w:rsidRPr="00230F40">
              <w:rPr>
                <w:rFonts w:asciiTheme="minorHAnsi" w:hAnsiTheme="minorHAnsi" w:cs="Arial"/>
                <w:sz w:val="20"/>
                <w:szCs w:val="20"/>
              </w:rPr>
              <w:t>(</w:t>
            </w:r>
            <w:r w:rsidR="00C730BC" w:rsidRPr="00C730BC">
              <w:rPr>
                <w:rFonts w:asciiTheme="minorHAnsi" w:hAnsiTheme="minorHAnsi" w:cs="Arial"/>
                <w:sz w:val="20"/>
                <w:szCs w:val="20"/>
              </w:rPr>
              <w:t>5.7</w:t>
            </w:r>
            <w:r w:rsidRPr="00230F40">
              <w:rPr>
                <w:rFonts w:asciiTheme="minorHAnsi" w:hAnsiTheme="minorHAnsi" w:cs="Arial"/>
                <w:sz w:val="20"/>
                <w:szCs w:val="20"/>
              </w:rPr>
              <w:t>)</w:t>
            </w:r>
          </w:p>
        </w:tc>
      </w:tr>
      <w:tr w:rsidR="00A1425C" w:rsidRPr="00085AA2" w14:paraId="7EAD1448" w14:textId="77777777" w:rsidTr="003B7755">
        <w:tc>
          <w:tcPr>
            <w:tcW w:w="3099" w:type="pct"/>
            <w:vAlign w:val="bottom"/>
          </w:tcPr>
          <w:p w14:paraId="5363AE8B" w14:textId="77777777" w:rsidR="00A1425C" w:rsidRPr="00085AA2" w:rsidRDefault="00A1425C">
            <w:pPr>
              <w:rPr>
                <w:rFonts w:ascii="Calibri" w:hAnsi="Calibri" w:cs="Arial"/>
                <w:sz w:val="20"/>
                <w:szCs w:val="20"/>
              </w:rPr>
            </w:pPr>
            <w:r w:rsidRPr="00085AA2">
              <w:rPr>
                <w:rFonts w:ascii="Calibri" w:hAnsi="Calibri" w:cs="Arial"/>
                <w:sz w:val="20"/>
                <w:szCs w:val="20"/>
              </w:rPr>
              <w:t>Purchase of property, plant and equipment</w:t>
            </w:r>
          </w:p>
        </w:tc>
        <w:tc>
          <w:tcPr>
            <w:tcW w:w="487" w:type="pct"/>
            <w:vAlign w:val="bottom"/>
          </w:tcPr>
          <w:p w14:paraId="322BD99F"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57487B68" w14:textId="7119A74F" w:rsidR="00A1425C" w:rsidRPr="00230F40" w:rsidRDefault="00BB2CBB">
            <w:pPr>
              <w:jc w:val="right"/>
              <w:rPr>
                <w:rFonts w:asciiTheme="minorHAnsi" w:hAnsiTheme="minorHAnsi" w:cs="Arial"/>
                <w:b/>
                <w:sz w:val="20"/>
                <w:szCs w:val="20"/>
              </w:rPr>
            </w:pPr>
            <w:r>
              <w:rPr>
                <w:rFonts w:asciiTheme="minorHAnsi" w:hAnsiTheme="minorHAnsi" w:cs="Arial"/>
                <w:b/>
                <w:sz w:val="20"/>
                <w:szCs w:val="20"/>
              </w:rPr>
              <w:t>(0.9)</w:t>
            </w:r>
          </w:p>
        </w:tc>
        <w:tc>
          <w:tcPr>
            <w:tcW w:w="766" w:type="pct"/>
          </w:tcPr>
          <w:p w14:paraId="12B32C09" w14:textId="366915B7" w:rsidR="00A1425C" w:rsidRPr="00230F40" w:rsidRDefault="00A1425C">
            <w:pPr>
              <w:jc w:val="right"/>
              <w:rPr>
                <w:rFonts w:asciiTheme="minorHAnsi" w:hAnsiTheme="minorHAnsi" w:cs="Arial"/>
                <w:sz w:val="20"/>
                <w:szCs w:val="20"/>
              </w:rPr>
            </w:pPr>
            <w:r w:rsidRPr="00230F40">
              <w:rPr>
                <w:rFonts w:asciiTheme="minorHAnsi" w:hAnsiTheme="minorHAnsi" w:cs="Arial"/>
                <w:sz w:val="20"/>
                <w:szCs w:val="20"/>
              </w:rPr>
              <w:t>(</w:t>
            </w:r>
            <w:r w:rsidR="00C730BC" w:rsidRPr="00C730BC">
              <w:rPr>
                <w:rFonts w:asciiTheme="minorHAnsi" w:hAnsiTheme="minorHAnsi" w:cs="Arial"/>
                <w:sz w:val="20"/>
                <w:szCs w:val="20"/>
              </w:rPr>
              <w:t>4.5</w:t>
            </w:r>
            <w:r w:rsidRPr="00230F40">
              <w:rPr>
                <w:rFonts w:asciiTheme="minorHAnsi" w:hAnsiTheme="minorHAnsi" w:cs="Arial"/>
                <w:sz w:val="20"/>
                <w:szCs w:val="20"/>
              </w:rPr>
              <w:t>)</w:t>
            </w:r>
          </w:p>
        </w:tc>
      </w:tr>
      <w:tr w:rsidR="0042696B" w:rsidRPr="00085AA2" w14:paraId="47072BAF" w14:textId="77777777">
        <w:tc>
          <w:tcPr>
            <w:tcW w:w="3099" w:type="pct"/>
            <w:vAlign w:val="bottom"/>
          </w:tcPr>
          <w:p w14:paraId="0CE30586" w14:textId="358CF373" w:rsidR="0042696B" w:rsidRPr="00085AA2" w:rsidRDefault="00A225E9">
            <w:pPr>
              <w:rPr>
                <w:rFonts w:ascii="Calibri" w:hAnsi="Calibri" w:cs="Arial"/>
                <w:sz w:val="20"/>
                <w:szCs w:val="20"/>
              </w:rPr>
            </w:pPr>
            <w:r>
              <w:rPr>
                <w:rFonts w:ascii="Calibri" w:hAnsi="Calibri" w:cs="Arial"/>
                <w:sz w:val="20"/>
                <w:szCs w:val="20"/>
              </w:rPr>
              <w:t>Purchase of</w:t>
            </w:r>
            <w:r w:rsidR="008225B5">
              <w:rPr>
                <w:rFonts w:ascii="Calibri" w:hAnsi="Calibri" w:cs="Arial"/>
                <w:sz w:val="20"/>
                <w:szCs w:val="20"/>
              </w:rPr>
              <w:t xml:space="preserve"> financial investments</w:t>
            </w:r>
          </w:p>
        </w:tc>
        <w:tc>
          <w:tcPr>
            <w:tcW w:w="487" w:type="pct"/>
            <w:vAlign w:val="bottom"/>
          </w:tcPr>
          <w:p w14:paraId="7C57AEC5" w14:textId="77777777" w:rsidR="0042696B" w:rsidRPr="00BB3187" w:rsidRDefault="0042696B">
            <w:pPr>
              <w:jc w:val="right"/>
              <w:rPr>
                <w:rFonts w:asciiTheme="minorHAnsi" w:hAnsiTheme="minorHAnsi" w:cs="Arial"/>
                <w:sz w:val="20"/>
                <w:szCs w:val="20"/>
              </w:rPr>
            </w:pPr>
          </w:p>
        </w:tc>
        <w:tc>
          <w:tcPr>
            <w:tcW w:w="648" w:type="pct"/>
            <w:shd w:val="clear" w:color="auto" w:fill="F2F2F2" w:themeFill="background1" w:themeFillShade="F2"/>
          </w:tcPr>
          <w:p w14:paraId="4AD8AFE4" w14:textId="3AC1D771" w:rsidR="0042696B" w:rsidRDefault="00A225E9">
            <w:pPr>
              <w:jc w:val="right"/>
              <w:rPr>
                <w:rFonts w:asciiTheme="minorHAnsi" w:hAnsiTheme="minorHAnsi" w:cs="Arial"/>
                <w:b/>
                <w:sz w:val="20"/>
                <w:szCs w:val="20"/>
              </w:rPr>
            </w:pPr>
            <w:r>
              <w:rPr>
                <w:rFonts w:asciiTheme="minorHAnsi" w:hAnsiTheme="minorHAnsi" w:cs="Arial"/>
                <w:b/>
                <w:sz w:val="20"/>
                <w:szCs w:val="20"/>
              </w:rPr>
              <w:t>(11</w:t>
            </w:r>
            <w:r w:rsidR="00466165">
              <w:rPr>
                <w:rFonts w:asciiTheme="minorHAnsi" w:hAnsiTheme="minorHAnsi" w:cs="Arial"/>
                <w:b/>
                <w:sz w:val="20"/>
                <w:szCs w:val="20"/>
              </w:rPr>
              <w:t>4.8</w:t>
            </w:r>
            <w:r>
              <w:rPr>
                <w:rFonts w:asciiTheme="minorHAnsi" w:hAnsiTheme="minorHAnsi" w:cs="Arial"/>
                <w:b/>
                <w:sz w:val="20"/>
                <w:szCs w:val="20"/>
              </w:rPr>
              <w:t>)</w:t>
            </w:r>
          </w:p>
        </w:tc>
        <w:tc>
          <w:tcPr>
            <w:tcW w:w="766" w:type="pct"/>
          </w:tcPr>
          <w:p w14:paraId="75E0AAD9" w14:textId="0CC5C6CA" w:rsidR="0042696B" w:rsidRPr="00230F40" w:rsidRDefault="00A225E9">
            <w:pPr>
              <w:jc w:val="right"/>
              <w:rPr>
                <w:rFonts w:asciiTheme="minorHAnsi" w:hAnsiTheme="minorHAnsi" w:cs="Arial"/>
                <w:sz w:val="20"/>
                <w:szCs w:val="20"/>
              </w:rPr>
            </w:pPr>
            <w:r>
              <w:rPr>
                <w:rFonts w:asciiTheme="minorHAnsi" w:hAnsiTheme="minorHAnsi" w:cs="Arial"/>
                <w:sz w:val="20"/>
                <w:szCs w:val="20"/>
              </w:rPr>
              <w:t>-</w:t>
            </w:r>
          </w:p>
        </w:tc>
      </w:tr>
      <w:tr w:rsidR="00A1425C" w:rsidRPr="00085AA2" w14:paraId="056FFB5B" w14:textId="77777777" w:rsidTr="003B7755">
        <w:tc>
          <w:tcPr>
            <w:tcW w:w="3099" w:type="pct"/>
            <w:vAlign w:val="bottom"/>
          </w:tcPr>
          <w:p w14:paraId="684D1EF6" w14:textId="3DC1F2AC"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 xml:space="preserve">Net cash </w:t>
            </w:r>
            <w:r w:rsidRPr="00306312">
              <w:rPr>
                <w:rFonts w:asciiTheme="minorHAnsi" w:hAnsiTheme="minorHAnsi" w:cs="Arial"/>
                <w:b/>
                <w:sz w:val="20"/>
                <w:szCs w:val="20"/>
              </w:rPr>
              <w:t>used in</w:t>
            </w:r>
            <w:r w:rsidRPr="00085AA2">
              <w:rPr>
                <w:rFonts w:asciiTheme="minorHAnsi" w:hAnsiTheme="minorHAnsi" w:cs="Arial"/>
                <w:b/>
                <w:sz w:val="20"/>
                <w:szCs w:val="20"/>
              </w:rPr>
              <w:t xml:space="preserve"> investing activities </w:t>
            </w:r>
          </w:p>
        </w:tc>
        <w:tc>
          <w:tcPr>
            <w:tcW w:w="487" w:type="pct"/>
            <w:vAlign w:val="bottom"/>
          </w:tcPr>
          <w:p w14:paraId="71A9AB24" w14:textId="77777777" w:rsidR="00A1425C" w:rsidRPr="00BB3187" w:rsidRDefault="00A1425C">
            <w:pPr>
              <w:jc w:val="right"/>
              <w:rPr>
                <w:rFonts w:asciiTheme="minorHAnsi" w:hAnsiTheme="minorHAnsi" w:cs="Arial"/>
                <w:sz w:val="20"/>
                <w:szCs w:val="20"/>
              </w:rPr>
            </w:pPr>
          </w:p>
        </w:tc>
        <w:tc>
          <w:tcPr>
            <w:tcW w:w="648" w:type="pct"/>
            <w:tcBorders>
              <w:top w:val="single" w:sz="4" w:space="0" w:color="auto"/>
              <w:left w:val="nil"/>
              <w:bottom w:val="nil"/>
              <w:right w:val="nil"/>
            </w:tcBorders>
            <w:shd w:val="clear" w:color="auto" w:fill="F2F2F2" w:themeFill="background1" w:themeFillShade="F2"/>
          </w:tcPr>
          <w:p w14:paraId="151773E0" w14:textId="6771F085" w:rsidR="00A1425C" w:rsidRPr="00230F40" w:rsidRDefault="00BB2CBB">
            <w:pPr>
              <w:jc w:val="right"/>
              <w:rPr>
                <w:rFonts w:asciiTheme="minorHAnsi" w:hAnsiTheme="minorHAnsi" w:cs="Arial"/>
                <w:b/>
                <w:sz w:val="20"/>
                <w:szCs w:val="20"/>
              </w:rPr>
            </w:pPr>
            <w:r>
              <w:rPr>
                <w:rFonts w:asciiTheme="minorHAnsi" w:hAnsiTheme="minorHAnsi" w:cs="Arial"/>
                <w:b/>
                <w:sz w:val="20"/>
                <w:szCs w:val="20"/>
              </w:rPr>
              <w:t>(</w:t>
            </w:r>
            <w:r w:rsidR="00E36478">
              <w:rPr>
                <w:rFonts w:asciiTheme="minorHAnsi" w:hAnsiTheme="minorHAnsi" w:cs="Arial"/>
                <w:b/>
                <w:sz w:val="20"/>
                <w:szCs w:val="20"/>
              </w:rPr>
              <w:t>12</w:t>
            </w:r>
            <w:r w:rsidR="00466165">
              <w:rPr>
                <w:rFonts w:asciiTheme="minorHAnsi" w:hAnsiTheme="minorHAnsi" w:cs="Arial"/>
                <w:b/>
                <w:sz w:val="20"/>
                <w:szCs w:val="20"/>
              </w:rPr>
              <w:t>3.0</w:t>
            </w:r>
            <w:r>
              <w:rPr>
                <w:rFonts w:asciiTheme="minorHAnsi" w:hAnsiTheme="minorHAnsi" w:cs="Arial"/>
                <w:b/>
                <w:sz w:val="20"/>
                <w:szCs w:val="20"/>
              </w:rPr>
              <w:t>)</w:t>
            </w:r>
          </w:p>
        </w:tc>
        <w:tc>
          <w:tcPr>
            <w:tcW w:w="766" w:type="pct"/>
            <w:tcBorders>
              <w:top w:val="single" w:sz="4" w:space="0" w:color="auto"/>
              <w:left w:val="nil"/>
              <w:bottom w:val="nil"/>
              <w:right w:val="nil"/>
            </w:tcBorders>
          </w:tcPr>
          <w:p w14:paraId="3FC50C27" w14:textId="72C7358F" w:rsidR="00A1425C" w:rsidRPr="00230F40" w:rsidRDefault="00A1425C">
            <w:pPr>
              <w:jc w:val="right"/>
              <w:rPr>
                <w:rFonts w:asciiTheme="minorHAnsi" w:hAnsiTheme="minorHAnsi" w:cs="Arial"/>
                <w:sz w:val="20"/>
                <w:szCs w:val="20"/>
              </w:rPr>
            </w:pPr>
            <w:r w:rsidRPr="00230F40">
              <w:rPr>
                <w:rFonts w:asciiTheme="minorHAnsi" w:hAnsiTheme="minorHAnsi" w:cs="Arial"/>
                <w:sz w:val="20"/>
                <w:szCs w:val="20"/>
              </w:rPr>
              <w:t>(</w:t>
            </w:r>
            <w:r w:rsidR="00C730BC" w:rsidRPr="00C730BC">
              <w:rPr>
                <w:rFonts w:asciiTheme="minorHAnsi" w:hAnsiTheme="minorHAnsi" w:cs="Arial"/>
                <w:sz w:val="20"/>
                <w:szCs w:val="20"/>
              </w:rPr>
              <w:t>10.2</w:t>
            </w:r>
            <w:r w:rsidRPr="00230F40">
              <w:rPr>
                <w:rFonts w:asciiTheme="minorHAnsi" w:hAnsiTheme="minorHAnsi" w:cs="Arial"/>
                <w:sz w:val="20"/>
                <w:szCs w:val="20"/>
              </w:rPr>
              <w:t>)</w:t>
            </w:r>
          </w:p>
        </w:tc>
      </w:tr>
      <w:tr w:rsidR="00A1425C" w:rsidRPr="00085AA2" w14:paraId="4C475127" w14:textId="77777777" w:rsidTr="003B7755">
        <w:tc>
          <w:tcPr>
            <w:tcW w:w="3099" w:type="pct"/>
            <w:vAlign w:val="bottom"/>
          </w:tcPr>
          <w:p w14:paraId="340A749A" w14:textId="77777777" w:rsidR="00A1425C" w:rsidRPr="00085AA2" w:rsidRDefault="00A1425C">
            <w:pPr>
              <w:rPr>
                <w:rFonts w:asciiTheme="minorHAnsi" w:hAnsiTheme="minorHAnsi" w:cs="Arial"/>
                <w:sz w:val="20"/>
                <w:szCs w:val="20"/>
              </w:rPr>
            </w:pPr>
          </w:p>
        </w:tc>
        <w:tc>
          <w:tcPr>
            <w:tcW w:w="487" w:type="pct"/>
            <w:vAlign w:val="bottom"/>
          </w:tcPr>
          <w:p w14:paraId="102807AC" w14:textId="77777777" w:rsidR="00A1425C" w:rsidRPr="00BB3187" w:rsidRDefault="00A1425C">
            <w:pPr>
              <w:jc w:val="right"/>
              <w:rPr>
                <w:rFonts w:asciiTheme="minorHAnsi" w:hAnsiTheme="minorHAnsi" w:cs="Arial"/>
                <w:sz w:val="20"/>
                <w:szCs w:val="20"/>
              </w:rPr>
            </w:pPr>
          </w:p>
        </w:tc>
        <w:tc>
          <w:tcPr>
            <w:tcW w:w="648" w:type="pct"/>
            <w:tcBorders>
              <w:top w:val="single" w:sz="4" w:space="0" w:color="auto"/>
              <w:left w:val="nil"/>
              <w:bottom w:val="nil"/>
              <w:right w:val="nil"/>
            </w:tcBorders>
            <w:shd w:val="clear" w:color="auto" w:fill="F2F2F2" w:themeFill="background1" w:themeFillShade="F2"/>
          </w:tcPr>
          <w:p w14:paraId="6ABB0F26" w14:textId="77777777" w:rsidR="00A1425C" w:rsidRPr="00230F40" w:rsidRDefault="00A1425C">
            <w:pPr>
              <w:jc w:val="right"/>
              <w:rPr>
                <w:rFonts w:asciiTheme="minorHAnsi" w:hAnsiTheme="minorHAnsi" w:cs="Arial"/>
                <w:b/>
                <w:sz w:val="20"/>
                <w:szCs w:val="20"/>
              </w:rPr>
            </w:pPr>
          </w:p>
        </w:tc>
        <w:tc>
          <w:tcPr>
            <w:tcW w:w="766" w:type="pct"/>
            <w:tcBorders>
              <w:top w:val="single" w:sz="4" w:space="0" w:color="auto"/>
              <w:left w:val="nil"/>
              <w:bottom w:val="nil"/>
              <w:right w:val="nil"/>
            </w:tcBorders>
          </w:tcPr>
          <w:p w14:paraId="25411174" w14:textId="77777777" w:rsidR="00A1425C" w:rsidRPr="00230F40" w:rsidRDefault="00A1425C">
            <w:pPr>
              <w:jc w:val="right"/>
              <w:rPr>
                <w:rFonts w:asciiTheme="minorHAnsi" w:hAnsiTheme="minorHAnsi" w:cs="Arial"/>
                <w:sz w:val="20"/>
                <w:szCs w:val="20"/>
              </w:rPr>
            </w:pPr>
          </w:p>
        </w:tc>
      </w:tr>
      <w:tr w:rsidR="00A1425C" w:rsidRPr="00085AA2" w14:paraId="13235D21" w14:textId="77777777" w:rsidTr="003B7755">
        <w:tc>
          <w:tcPr>
            <w:tcW w:w="3099" w:type="pct"/>
            <w:vAlign w:val="bottom"/>
          </w:tcPr>
          <w:p w14:paraId="67011FFB" w14:textId="77777777"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 xml:space="preserve">Cash flows from financing activities </w:t>
            </w:r>
          </w:p>
        </w:tc>
        <w:tc>
          <w:tcPr>
            <w:tcW w:w="487" w:type="pct"/>
            <w:vAlign w:val="bottom"/>
          </w:tcPr>
          <w:p w14:paraId="3134BFB8"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4FABC006" w14:textId="77777777" w:rsidR="00A1425C" w:rsidRPr="00230F40" w:rsidRDefault="00A1425C">
            <w:pPr>
              <w:jc w:val="right"/>
              <w:rPr>
                <w:rFonts w:asciiTheme="minorHAnsi" w:hAnsiTheme="minorHAnsi" w:cs="Arial"/>
                <w:b/>
                <w:sz w:val="20"/>
                <w:szCs w:val="20"/>
              </w:rPr>
            </w:pPr>
          </w:p>
        </w:tc>
        <w:tc>
          <w:tcPr>
            <w:tcW w:w="766" w:type="pct"/>
          </w:tcPr>
          <w:p w14:paraId="0AF27947" w14:textId="77777777" w:rsidR="00A1425C" w:rsidRPr="00230F40" w:rsidRDefault="00A1425C">
            <w:pPr>
              <w:jc w:val="right"/>
              <w:rPr>
                <w:rFonts w:asciiTheme="minorHAnsi" w:hAnsiTheme="minorHAnsi" w:cs="Arial"/>
                <w:sz w:val="20"/>
                <w:szCs w:val="20"/>
              </w:rPr>
            </w:pPr>
          </w:p>
        </w:tc>
      </w:tr>
      <w:tr w:rsidR="00A1425C" w:rsidRPr="00085AA2" w14:paraId="7ED30AD4" w14:textId="77777777" w:rsidTr="003B7755">
        <w:tc>
          <w:tcPr>
            <w:tcW w:w="3099" w:type="pct"/>
            <w:vAlign w:val="bottom"/>
          </w:tcPr>
          <w:p w14:paraId="4EB887A4" w14:textId="77777777" w:rsidR="00A1425C" w:rsidRPr="00085AA2" w:rsidRDefault="00A1425C">
            <w:pPr>
              <w:rPr>
                <w:rFonts w:ascii="Calibri" w:hAnsi="Calibri" w:cs="Arial"/>
                <w:sz w:val="20"/>
                <w:szCs w:val="20"/>
              </w:rPr>
            </w:pPr>
            <w:r w:rsidRPr="00085AA2">
              <w:rPr>
                <w:rFonts w:ascii="Calibri" w:hAnsi="Calibri" w:cs="Arial"/>
                <w:sz w:val="20"/>
                <w:szCs w:val="20"/>
              </w:rPr>
              <w:t xml:space="preserve">Proceeds from bank and other borrowings </w:t>
            </w:r>
          </w:p>
        </w:tc>
        <w:tc>
          <w:tcPr>
            <w:tcW w:w="487" w:type="pct"/>
            <w:vAlign w:val="bottom"/>
          </w:tcPr>
          <w:p w14:paraId="18387174"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48651E92" w14:textId="09B35663" w:rsidR="00A1425C" w:rsidRPr="00230F40" w:rsidRDefault="00F92700">
            <w:pPr>
              <w:jc w:val="right"/>
              <w:rPr>
                <w:rFonts w:asciiTheme="minorHAnsi" w:hAnsiTheme="minorHAnsi" w:cs="Arial"/>
                <w:b/>
                <w:sz w:val="20"/>
                <w:szCs w:val="20"/>
              </w:rPr>
            </w:pPr>
            <w:r>
              <w:rPr>
                <w:rFonts w:asciiTheme="minorHAnsi" w:hAnsiTheme="minorHAnsi" w:cs="Arial"/>
                <w:b/>
                <w:sz w:val="20"/>
                <w:szCs w:val="20"/>
              </w:rPr>
              <w:t>35.</w:t>
            </w:r>
            <w:r w:rsidR="00117B53">
              <w:rPr>
                <w:rFonts w:asciiTheme="minorHAnsi" w:hAnsiTheme="minorHAnsi" w:cs="Arial"/>
                <w:b/>
                <w:sz w:val="20"/>
                <w:szCs w:val="20"/>
              </w:rPr>
              <w:t>0</w:t>
            </w:r>
          </w:p>
        </w:tc>
        <w:tc>
          <w:tcPr>
            <w:tcW w:w="766" w:type="pct"/>
          </w:tcPr>
          <w:p w14:paraId="6A52A00D" w14:textId="767B295F" w:rsidR="00A1425C" w:rsidRPr="007A7394" w:rsidRDefault="00A90E81">
            <w:pPr>
              <w:jc w:val="right"/>
              <w:rPr>
                <w:rFonts w:asciiTheme="minorHAnsi" w:hAnsiTheme="minorHAnsi" w:cs="Arial"/>
                <w:sz w:val="20"/>
                <w:szCs w:val="20"/>
              </w:rPr>
            </w:pPr>
            <w:r w:rsidRPr="007A7394">
              <w:rPr>
                <w:rFonts w:asciiTheme="minorHAnsi" w:hAnsiTheme="minorHAnsi" w:cs="Arial"/>
                <w:sz w:val="20"/>
                <w:szCs w:val="20"/>
              </w:rPr>
              <w:t>-</w:t>
            </w:r>
          </w:p>
        </w:tc>
      </w:tr>
      <w:tr w:rsidR="00A1425C" w:rsidRPr="00085AA2" w14:paraId="4FEF9902" w14:textId="77777777" w:rsidTr="003B7755">
        <w:tc>
          <w:tcPr>
            <w:tcW w:w="3099" w:type="pct"/>
            <w:vAlign w:val="bottom"/>
          </w:tcPr>
          <w:p w14:paraId="01536DBE" w14:textId="77777777" w:rsidR="00A1425C" w:rsidRPr="00085AA2" w:rsidRDefault="00A1425C">
            <w:pPr>
              <w:rPr>
                <w:rFonts w:ascii="Calibri" w:hAnsi="Calibri" w:cs="Arial"/>
                <w:sz w:val="20"/>
                <w:szCs w:val="20"/>
                <w:lang w:val="en-US"/>
              </w:rPr>
            </w:pPr>
            <w:r w:rsidRPr="00085AA2">
              <w:rPr>
                <w:rFonts w:ascii="Calibri" w:hAnsi="Calibri" w:cs="Arial"/>
                <w:sz w:val="20"/>
                <w:szCs w:val="20"/>
                <w:lang w:val="en-US"/>
              </w:rPr>
              <w:t>Repayment of bank and other borrowings</w:t>
            </w:r>
          </w:p>
        </w:tc>
        <w:tc>
          <w:tcPr>
            <w:tcW w:w="487" w:type="pct"/>
            <w:vAlign w:val="bottom"/>
          </w:tcPr>
          <w:p w14:paraId="78A5B5E9"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0840AC14" w14:textId="79160292" w:rsidR="00A1425C" w:rsidRPr="00230F40" w:rsidRDefault="00F92700">
            <w:pPr>
              <w:jc w:val="right"/>
              <w:rPr>
                <w:rFonts w:asciiTheme="minorHAnsi" w:hAnsiTheme="minorHAnsi" w:cs="Arial"/>
                <w:b/>
                <w:sz w:val="20"/>
                <w:szCs w:val="20"/>
              </w:rPr>
            </w:pPr>
            <w:r>
              <w:rPr>
                <w:rFonts w:asciiTheme="minorHAnsi" w:hAnsiTheme="minorHAnsi" w:cs="Arial"/>
                <w:b/>
                <w:sz w:val="20"/>
                <w:szCs w:val="20"/>
              </w:rPr>
              <w:t>-</w:t>
            </w:r>
          </w:p>
        </w:tc>
        <w:tc>
          <w:tcPr>
            <w:tcW w:w="766" w:type="pct"/>
          </w:tcPr>
          <w:p w14:paraId="341620A8" w14:textId="3B528D58" w:rsidR="00A1425C" w:rsidRPr="007A7394" w:rsidRDefault="00A1425C">
            <w:pPr>
              <w:jc w:val="right"/>
              <w:rPr>
                <w:rFonts w:asciiTheme="minorHAnsi" w:hAnsiTheme="minorHAnsi" w:cs="Arial"/>
                <w:sz w:val="20"/>
                <w:szCs w:val="20"/>
              </w:rPr>
            </w:pPr>
            <w:r w:rsidRPr="007A7394">
              <w:rPr>
                <w:rFonts w:asciiTheme="minorHAnsi" w:hAnsiTheme="minorHAnsi" w:cs="Arial"/>
                <w:sz w:val="20"/>
                <w:szCs w:val="20"/>
              </w:rPr>
              <w:t>(</w:t>
            </w:r>
            <w:r w:rsidR="007A7394" w:rsidRPr="007A7394">
              <w:rPr>
                <w:rFonts w:asciiTheme="minorHAnsi" w:hAnsiTheme="minorHAnsi" w:cs="Arial"/>
                <w:sz w:val="20"/>
                <w:szCs w:val="20"/>
              </w:rPr>
              <w:t>75.0)</w:t>
            </w:r>
          </w:p>
        </w:tc>
      </w:tr>
      <w:tr w:rsidR="00A1425C" w:rsidRPr="00085AA2" w14:paraId="1570DBC4" w14:textId="77777777" w:rsidTr="003B7755">
        <w:tc>
          <w:tcPr>
            <w:tcW w:w="3099" w:type="pct"/>
            <w:vAlign w:val="bottom"/>
          </w:tcPr>
          <w:p w14:paraId="35CDC29C" w14:textId="77777777" w:rsidR="00A1425C" w:rsidRPr="00085AA2" w:rsidRDefault="00A1425C">
            <w:pPr>
              <w:rPr>
                <w:rFonts w:ascii="Calibri" w:hAnsi="Calibri" w:cs="Arial"/>
                <w:sz w:val="20"/>
                <w:szCs w:val="20"/>
              </w:rPr>
            </w:pPr>
            <w:r w:rsidRPr="00085AA2">
              <w:rPr>
                <w:rFonts w:ascii="Calibri" w:hAnsi="Calibri" w:cs="Arial"/>
                <w:sz w:val="20"/>
                <w:szCs w:val="20"/>
              </w:rPr>
              <w:t>Payment of lease liabilities</w:t>
            </w:r>
          </w:p>
        </w:tc>
        <w:tc>
          <w:tcPr>
            <w:tcW w:w="487" w:type="pct"/>
            <w:vAlign w:val="bottom"/>
          </w:tcPr>
          <w:p w14:paraId="31AFAF31"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3BE0C072" w14:textId="58877147" w:rsidR="00A1425C" w:rsidRPr="00230F40" w:rsidRDefault="00F92700">
            <w:pPr>
              <w:jc w:val="right"/>
              <w:rPr>
                <w:rFonts w:asciiTheme="minorHAnsi" w:hAnsiTheme="minorHAnsi" w:cs="Arial"/>
                <w:b/>
                <w:sz w:val="20"/>
                <w:szCs w:val="20"/>
              </w:rPr>
            </w:pPr>
            <w:r>
              <w:rPr>
                <w:rFonts w:asciiTheme="minorHAnsi" w:hAnsiTheme="minorHAnsi" w:cs="Arial"/>
                <w:b/>
                <w:sz w:val="20"/>
                <w:szCs w:val="20"/>
              </w:rPr>
              <w:t>(4.2)</w:t>
            </w:r>
          </w:p>
        </w:tc>
        <w:tc>
          <w:tcPr>
            <w:tcW w:w="766" w:type="pct"/>
          </w:tcPr>
          <w:p w14:paraId="3843A07E" w14:textId="03E4E4CB" w:rsidR="00A1425C" w:rsidRPr="007A7394" w:rsidRDefault="00A1425C">
            <w:pPr>
              <w:jc w:val="right"/>
              <w:rPr>
                <w:rFonts w:asciiTheme="minorHAnsi" w:hAnsiTheme="minorHAnsi" w:cs="Arial"/>
                <w:sz w:val="20"/>
                <w:szCs w:val="20"/>
              </w:rPr>
            </w:pPr>
            <w:r w:rsidRPr="007A7394">
              <w:rPr>
                <w:rFonts w:asciiTheme="minorHAnsi" w:hAnsiTheme="minorHAnsi" w:cs="Arial"/>
                <w:sz w:val="20"/>
                <w:szCs w:val="20"/>
              </w:rPr>
              <w:t>(</w:t>
            </w:r>
            <w:r w:rsidR="00C730BC" w:rsidRPr="007A7394">
              <w:rPr>
                <w:rFonts w:asciiTheme="minorHAnsi" w:hAnsiTheme="minorHAnsi" w:cs="Arial"/>
                <w:sz w:val="20"/>
                <w:szCs w:val="20"/>
              </w:rPr>
              <w:t>7.0</w:t>
            </w:r>
            <w:r w:rsidRPr="007A7394">
              <w:rPr>
                <w:rFonts w:asciiTheme="minorHAnsi" w:hAnsiTheme="minorHAnsi" w:cs="Arial"/>
                <w:sz w:val="20"/>
                <w:szCs w:val="20"/>
              </w:rPr>
              <w:t>)</w:t>
            </w:r>
          </w:p>
        </w:tc>
      </w:tr>
      <w:tr w:rsidR="00A1425C" w:rsidRPr="00085AA2" w14:paraId="4AA1172A" w14:textId="77777777" w:rsidTr="003B7755">
        <w:tc>
          <w:tcPr>
            <w:tcW w:w="3099" w:type="pct"/>
            <w:vAlign w:val="bottom"/>
          </w:tcPr>
          <w:p w14:paraId="25ABA773" w14:textId="77777777" w:rsidR="00A1425C" w:rsidRPr="00085AA2" w:rsidRDefault="00A1425C">
            <w:pPr>
              <w:rPr>
                <w:rFonts w:ascii="Calibri" w:hAnsi="Calibri" w:cs="Poppins-Light"/>
                <w:sz w:val="20"/>
                <w:szCs w:val="20"/>
              </w:rPr>
            </w:pPr>
            <w:r w:rsidRPr="00085AA2">
              <w:rPr>
                <w:rFonts w:ascii="Calibri" w:hAnsi="Calibri" w:cs="Poppins-Light"/>
                <w:sz w:val="20"/>
                <w:szCs w:val="20"/>
              </w:rPr>
              <w:t>Dividends paid to Company shareholders</w:t>
            </w:r>
          </w:p>
        </w:tc>
        <w:tc>
          <w:tcPr>
            <w:tcW w:w="487" w:type="pct"/>
            <w:vAlign w:val="bottom"/>
          </w:tcPr>
          <w:p w14:paraId="4543B7ED"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51F3CE12" w14:textId="60248B12" w:rsidR="00A1425C" w:rsidRPr="00230F40" w:rsidRDefault="00AA155E">
            <w:pPr>
              <w:jc w:val="right"/>
              <w:rPr>
                <w:rFonts w:asciiTheme="minorHAnsi" w:hAnsiTheme="minorHAnsi" w:cs="Arial"/>
                <w:b/>
                <w:sz w:val="20"/>
                <w:szCs w:val="20"/>
              </w:rPr>
            </w:pPr>
            <w:r>
              <w:rPr>
                <w:rFonts w:asciiTheme="minorHAnsi" w:hAnsiTheme="minorHAnsi" w:cs="Arial"/>
                <w:b/>
                <w:sz w:val="20"/>
                <w:szCs w:val="20"/>
              </w:rPr>
              <w:t>-</w:t>
            </w:r>
          </w:p>
        </w:tc>
        <w:tc>
          <w:tcPr>
            <w:tcW w:w="766" w:type="pct"/>
          </w:tcPr>
          <w:p w14:paraId="1135739D" w14:textId="7F29FD42" w:rsidR="00A1425C" w:rsidRPr="00230F40" w:rsidRDefault="00A1425C">
            <w:pPr>
              <w:jc w:val="right"/>
              <w:rPr>
                <w:rFonts w:asciiTheme="minorHAnsi" w:hAnsiTheme="minorHAnsi" w:cs="Arial"/>
                <w:sz w:val="20"/>
                <w:szCs w:val="20"/>
              </w:rPr>
            </w:pPr>
            <w:r w:rsidRPr="00230F40">
              <w:rPr>
                <w:rFonts w:asciiTheme="minorHAnsi" w:hAnsiTheme="minorHAnsi" w:cs="Arial"/>
                <w:sz w:val="20"/>
                <w:szCs w:val="20"/>
              </w:rPr>
              <w:t>(</w:t>
            </w:r>
            <w:r w:rsidR="00C730BC" w:rsidRPr="00C730BC">
              <w:rPr>
                <w:rFonts w:asciiTheme="minorHAnsi" w:hAnsiTheme="minorHAnsi" w:cs="Arial"/>
                <w:sz w:val="20"/>
                <w:szCs w:val="20"/>
              </w:rPr>
              <w:t>2.5</w:t>
            </w:r>
            <w:r w:rsidRPr="00230F40">
              <w:rPr>
                <w:rFonts w:asciiTheme="minorHAnsi" w:hAnsiTheme="minorHAnsi" w:cs="Arial"/>
                <w:sz w:val="20"/>
                <w:szCs w:val="20"/>
              </w:rPr>
              <w:t>)</w:t>
            </w:r>
          </w:p>
        </w:tc>
      </w:tr>
      <w:tr w:rsidR="00A1425C" w:rsidRPr="00085AA2" w14:paraId="3704F71D" w14:textId="77777777" w:rsidTr="003B7755">
        <w:tc>
          <w:tcPr>
            <w:tcW w:w="3099" w:type="pct"/>
            <w:vAlign w:val="bottom"/>
          </w:tcPr>
          <w:p w14:paraId="21028AE4" w14:textId="11AF3ECD" w:rsidR="00A1425C" w:rsidRPr="00085AA2" w:rsidRDefault="00A1425C">
            <w:pPr>
              <w:rPr>
                <w:rFonts w:ascii="Calibri" w:hAnsi="Calibri" w:cs="Arial"/>
                <w:sz w:val="20"/>
                <w:szCs w:val="20"/>
              </w:rPr>
            </w:pPr>
            <w:r w:rsidRPr="00085AA2">
              <w:rPr>
                <w:rFonts w:ascii="Calibri" w:hAnsi="Calibri" w:cs="Poppins-Light"/>
                <w:sz w:val="20"/>
                <w:szCs w:val="20"/>
              </w:rPr>
              <w:t xml:space="preserve">Purchase of </w:t>
            </w:r>
            <w:r w:rsidR="00C532AC">
              <w:rPr>
                <w:rFonts w:ascii="Calibri" w:hAnsi="Calibri" w:cs="Poppins-Light"/>
                <w:sz w:val="20"/>
                <w:szCs w:val="20"/>
              </w:rPr>
              <w:t xml:space="preserve">own </w:t>
            </w:r>
            <w:r w:rsidRPr="00085AA2">
              <w:rPr>
                <w:rFonts w:ascii="Calibri" w:hAnsi="Calibri" w:cs="Poppins-Light"/>
                <w:sz w:val="20"/>
                <w:szCs w:val="20"/>
              </w:rPr>
              <w:t>shares for share awards</w:t>
            </w:r>
          </w:p>
        </w:tc>
        <w:tc>
          <w:tcPr>
            <w:tcW w:w="487" w:type="pct"/>
            <w:vAlign w:val="bottom"/>
          </w:tcPr>
          <w:p w14:paraId="7996FE21"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30A025C2" w14:textId="06B98215" w:rsidR="00A1425C" w:rsidRPr="00230F40" w:rsidRDefault="00F92700">
            <w:pPr>
              <w:jc w:val="right"/>
              <w:rPr>
                <w:rFonts w:asciiTheme="minorHAnsi" w:hAnsiTheme="minorHAnsi" w:cs="Arial"/>
                <w:b/>
                <w:sz w:val="20"/>
                <w:szCs w:val="20"/>
              </w:rPr>
            </w:pPr>
            <w:r>
              <w:rPr>
                <w:rFonts w:asciiTheme="minorHAnsi" w:hAnsiTheme="minorHAnsi" w:cs="Arial"/>
                <w:b/>
                <w:sz w:val="20"/>
                <w:szCs w:val="20"/>
              </w:rPr>
              <w:t>(1.3)</w:t>
            </w:r>
          </w:p>
        </w:tc>
        <w:tc>
          <w:tcPr>
            <w:tcW w:w="766" w:type="pct"/>
          </w:tcPr>
          <w:p w14:paraId="0AD5615E" w14:textId="08E5D20E" w:rsidR="00A1425C" w:rsidRPr="00230F40" w:rsidRDefault="00C730BC">
            <w:pPr>
              <w:jc w:val="right"/>
              <w:rPr>
                <w:rFonts w:asciiTheme="minorHAnsi" w:hAnsiTheme="minorHAnsi" w:cs="Arial"/>
                <w:sz w:val="20"/>
                <w:szCs w:val="20"/>
              </w:rPr>
            </w:pPr>
            <w:r w:rsidRPr="00C730BC">
              <w:rPr>
                <w:rFonts w:asciiTheme="minorHAnsi" w:hAnsiTheme="minorHAnsi" w:cs="Arial"/>
                <w:sz w:val="20"/>
                <w:szCs w:val="20"/>
              </w:rPr>
              <w:t>(0.1)</w:t>
            </w:r>
          </w:p>
        </w:tc>
      </w:tr>
      <w:tr w:rsidR="00A1425C" w:rsidRPr="00085AA2" w14:paraId="4F77EA31" w14:textId="77777777" w:rsidTr="003B7755">
        <w:tc>
          <w:tcPr>
            <w:tcW w:w="3099" w:type="pct"/>
            <w:vAlign w:val="bottom"/>
          </w:tcPr>
          <w:p w14:paraId="0C0B4DE7" w14:textId="331596D0"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 xml:space="preserve">Net cash </w:t>
            </w:r>
            <w:r w:rsidR="00F92700" w:rsidRPr="00306312">
              <w:rPr>
                <w:rFonts w:asciiTheme="minorHAnsi" w:hAnsiTheme="minorHAnsi" w:cs="Arial"/>
                <w:b/>
                <w:sz w:val="20"/>
                <w:szCs w:val="20"/>
              </w:rPr>
              <w:t>generated from/</w:t>
            </w:r>
            <w:r w:rsidR="00087FB6">
              <w:rPr>
                <w:rFonts w:asciiTheme="minorHAnsi" w:hAnsiTheme="minorHAnsi" w:cs="Arial"/>
                <w:b/>
                <w:sz w:val="20"/>
                <w:szCs w:val="20"/>
              </w:rPr>
              <w:t>(</w:t>
            </w:r>
            <w:r w:rsidR="00B24C5A">
              <w:rPr>
                <w:rFonts w:asciiTheme="minorHAnsi" w:hAnsiTheme="minorHAnsi" w:cs="Arial"/>
                <w:b/>
                <w:sz w:val="20"/>
                <w:szCs w:val="20"/>
              </w:rPr>
              <w:t>used in</w:t>
            </w:r>
            <w:r w:rsidR="00087FB6">
              <w:rPr>
                <w:rFonts w:asciiTheme="minorHAnsi" w:hAnsiTheme="minorHAnsi" w:cs="Arial"/>
                <w:b/>
                <w:sz w:val="20"/>
                <w:szCs w:val="20"/>
              </w:rPr>
              <w:t>)</w:t>
            </w:r>
            <w:r w:rsidRPr="00085AA2">
              <w:rPr>
                <w:rFonts w:asciiTheme="minorHAnsi" w:hAnsiTheme="minorHAnsi" w:cs="Arial"/>
                <w:b/>
                <w:sz w:val="20"/>
                <w:szCs w:val="20"/>
              </w:rPr>
              <w:t xml:space="preserve"> financing activities </w:t>
            </w:r>
          </w:p>
        </w:tc>
        <w:tc>
          <w:tcPr>
            <w:tcW w:w="487" w:type="pct"/>
            <w:vAlign w:val="bottom"/>
          </w:tcPr>
          <w:p w14:paraId="28B84573" w14:textId="77777777" w:rsidR="00A1425C" w:rsidRPr="00BB3187" w:rsidRDefault="00A1425C">
            <w:pPr>
              <w:jc w:val="right"/>
              <w:rPr>
                <w:rFonts w:asciiTheme="minorHAnsi" w:hAnsiTheme="minorHAnsi" w:cs="Arial"/>
                <w:sz w:val="20"/>
                <w:szCs w:val="20"/>
              </w:rPr>
            </w:pPr>
          </w:p>
        </w:tc>
        <w:tc>
          <w:tcPr>
            <w:tcW w:w="648" w:type="pct"/>
            <w:tcBorders>
              <w:top w:val="single" w:sz="4" w:space="0" w:color="auto"/>
              <w:left w:val="nil"/>
              <w:bottom w:val="nil"/>
              <w:right w:val="nil"/>
            </w:tcBorders>
            <w:shd w:val="clear" w:color="auto" w:fill="F2F2F2" w:themeFill="background1" w:themeFillShade="F2"/>
          </w:tcPr>
          <w:p w14:paraId="404D1EE6" w14:textId="468E39C3" w:rsidR="00A1425C" w:rsidRPr="00230F40" w:rsidRDefault="00F92700">
            <w:pPr>
              <w:jc w:val="right"/>
              <w:rPr>
                <w:rFonts w:asciiTheme="minorHAnsi" w:hAnsiTheme="minorHAnsi" w:cs="Arial"/>
                <w:b/>
                <w:sz w:val="20"/>
                <w:szCs w:val="20"/>
              </w:rPr>
            </w:pPr>
            <w:r>
              <w:rPr>
                <w:rFonts w:asciiTheme="minorHAnsi" w:hAnsiTheme="minorHAnsi" w:cs="Arial"/>
                <w:b/>
                <w:sz w:val="20"/>
                <w:szCs w:val="20"/>
              </w:rPr>
              <w:t>29.</w:t>
            </w:r>
            <w:r w:rsidR="00675887">
              <w:rPr>
                <w:rFonts w:asciiTheme="minorHAnsi" w:hAnsiTheme="minorHAnsi" w:cs="Arial"/>
                <w:b/>
                <w:sz w:val="20"/>
                <w:szCs w:val="20"/>
              </w:rPr>
              <w:t>5</w:t>
            </w:r>
          </w:p>
        </w:tc>
        <w:tc>
          <w:tcPr>
            <w:tcW w:w="766" w:type="pct"/>
            <w:tcBorders>
              <w:top w:val="single" w:sz="4" w:space="0" w:color="auto"/>
              <w:left w:val="nil"/>
              <w:bottom w:val="nil"/>
              <w:right w:val="nil"/>
            </w:tcBorders>
          </w:tcPr>
          <w:p w14:paraId="69A73A63" w14:textId="6202C50A" w:rsidR="00A1425C" w:rsidRPr="00230F40" w:rsidRDefault="003033B3">
            <w:pPr>
              <w:jc w:val="right"/>
              <w:rPr>
                <w:rFonts w:asciiTheme="minorHAnsi" w:hAnsiTheme="minorHAnsi" w:cs="Arial"/>
                <w:sz w:val="20"/>
                <w:szCs w:val="20"/>
              </w:rPr>
            </w:pPr>
            <w:r>
              <w:rPr>
                <w:rFonts w:asciiTheme="minorHAnsi" w:hAnsiTheme="minorHAnsi" w:cs="Arial"/>
                <w:sz w:val="20"/>
                <w:szCs w:val="20"/>
              </w:rPr>
              <w:t>(</w:t>
            </w:r>
            <w:r w:rsidR="002A275C">
              <w:rPr>
                <w:rFonts w:asciiTheme="minorHAnsi" w:hAnsiTheme="minorHAnsi" w:cs="Arial"/>
                <w:sz w:val="20"/>
                <w:szCs w:val="20"/>
              </w:rPr>
              <w:t>84.6</w:t>
            </w:r>
            <w:r>
              <w:rPr>
                <w:rFonts w:asciiTheme="minorHAnsi" w:hAnsiTheme="minorHAnsi" w:cs="Arial"/>
                <w:sz w:val="20"/>
                <w:szCs w:val="20"/>
              </w:rPr>
              <w:t>)</w:t>
            </w:r>
          </w:p>
        </w:tc>
      </w:tr>
      <w:tr w:rsidR="00A1425C" w:rsidRPr="00085AA2" w14:paraId="58E36728" w14:textId="77777777" w:rsidTr="003B7755">
        <w:tc>
          <w:tcPr>
            <w:tcW w:w="3099" w:type="pct"/>
            <w:vAlign w:val="bottom"/>
          </w:tcPr>
          <w:p w14:paraId="466027CD" w14:textId="77777777" w:rsidR="00A1425C" w:rsidRPr="00085AA2" w:rsidRDefault="00A1425C">
            <w:pPr>
              <w:rPr>
                <w:rFonts w:asciiTheme="minorHAnsi" w:hAnsiTheme="minorHAnsi" w:cs="Arial"/>
                <w:sz w:val="20"/>
                <w:szCs w:val="20"/>
              </w:rPr>
            </w:pPr>
          </w:p>
        </w:tc>
        <w:tc>
          <w:tcPr>
            <w:tcW w:w="487" w:type="pct"/>
            <w:vAlign w:val="bottom"/>
          </w:tcPr>
          <w:p w14:paraId="71E3C0AE" w14:textId="77777777" w:rsidR="00A1425C" w:rsidRPr="00BB3187" w:rsidRDefault="00A1425C">
            <w:pPr>
              <w:jc w:val="right"/>
              <w:rPr>
                <w:rFonts w:asciiTheme="minorHAnsi" w:hAnsiTheme="minorHAnsi" w:cs="Arial"/>
                <w:sz w:val="20"/>
                <w:szCs w:val="20"/>
              </w:rPr>
            </w:pPr>
          </w:p>
        </w:tc>
        <w:tc>
          <w:tcPr>
            <w:tcW w:w="648" w:type="pct"/>
            <w:tcBorders>
              <w:top w:val="single" w:sz="4" w:space="0" w:color="auto"/>
              <w:left w:val="nil"/>
              <w:bottom w:val="nil"/>
              <w:right w:val="nil"/>
            </w:tcBorders>
            <w:shd w:val="clear" w:color="auto" w:fill="F2F2F2" w:themeFill="background1" w:themeFillShade="F2"/>
          </w:tcPr>
          <w:p w14:paraId="4963D1EA" w14:textId="77777777" w:rsidR="00A1425C" w:rsidRPr="00230F40" w:rsidRDefault="00A1425C">
            <w:pPr>
              <w:jc w:val="right"/>
              <w:rPr>
                <w:rFonts w:asciiTheme="minorHAnsi" w:hAnsiTheme="minorHAnsi" w:cs="Arial"/>
                <w:b/>
                <w:sz w:val="20"/>
                <w:szCs w:val="20"/>
              </w:rPr>
            </w:pPr>
          </w:p>
        </w:tc>
        <w:tc>
          <w:tcPr>
            <w:tcW w:w="766" w:type="pct"/>
            <w:tcBorders>
              <w:top w:val="single" w:sz="4" w:space="0" w:color="auto"/>
              <w:left w:val="nil"/>
              <w:bottom w:val="nil"/>
              <w:right w:val="nil"/>
            </w:tcBorders>
          </w:tcPr>
          <w:p w14:paraId="1578DDD8" w14:textId="77777777" w:rsidR="00A1425C" w:rsidRPr="00230F40" w:rsidRDefault="00A1425C">
            <w:pPr>
              <w:jc w:val="right"/>
              <w:rPr>
                <w:rFonts w:asciiTheme="minorHAnsi" w:hAnsiTheme="minorHAnsi" w:cs="Arial"/>
                <w:sz w:val="20"/>
                <w:szCs w:val="20"/>
              </w:rPr>
            </w:pPr>
          </w:p>
        </w:tc>
      </w:tr>
      <w:tr w:rsidR="00A1425C" w:rsidRPr="00085AA2" w14:paraId="7A3978CA" w14:textId="77777777" w:rsidTr="003B7755">
        <w:tc>
          <w:tcPr>
            <w:tcW w:w="3099" w:type="pct"/>
            <w:vAlign w:val="bottom"/>
          </w:tcPr>
          <w:p w14:paraId="26F95282" w14:textId="1C360983"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 xml:space="preserve">Net </w:t>
            </w:r>
            <w:r w:rsidR="00C67947">
              <w:rPr>
                <w:rFonts w:asciiTheme="minorHAnsi" w:hAnsiTheme="minorHAnsi" w:cs="Arial"/>
                <w:b/>
                <w:sz w:val="20"/>
                <w:szCs w:val="20"/>
              </w:rPr>
              <w:t>(decrease)</w:t>
            </w:r>
            <w:r w:rsidR="004E3461">
              <w:rPr>
                <w:rFonts w:asciiTheme="minorHAnsi" w:hAnsiTheme="minorHAnsi" w:cs="Arial"/>
                <w:b/>
                <w:sz w:val="20"/>
                <w:szCs w:val="20"/>
              </w:rPr>
              <w:t>/</w:t>
            </w:r>
            <w:r w:rsidRPr="00085AA2">
              <w:rPr>
                <w:rFonts w:asciiTheme="minorHAnsi" w:hAnsiTheme="minorHAnsi" w:cs="Arial"/>
                <w:b/>
                <w:sz w:val="20"/>
                <w:szCs w:val="20"/>
              </w:rPr>
              <w:t>i</w:t>
            </w:r>
            <w:r w:rsidRPr="00306312">
              <w:rPr>
                <w:rFonts w:asciiTheme="minorHAnsi" w:hAnsiTheme="minorHAnsi" w:cs="Arial"/>
                <w:b/>
                <w:sz w:val="20"/>
                <w:szCs w:val="20"/>
              </w:rPr>
              <w:t>ncrease</w:t>
            </w:r>
            <w:r w:rsidR="00275C32">
              <w:rPr>
                <w:rFonts w:asciiTheme="minorHAnsi" w:hAnsiTheme="minorHAnsi" w:cs="Arial"/>
                <w:b/>
                <w:sz w:val="20"/>
                <w:szCs w:val="20"/>
              </w:rPr>
              <w:t xml:space="preserve"> </w:t>
            </w:r>
            <w:r w:rsidRPr="00085AA2">
              <w:rPr>
                <w:rFonts w:asciiTheme="minorHAnsi" w:hAnsiTheme="minorHAnsi" w:cs="Arial"/>
                <w:b/>
                <w:sz w:val="20"/>
                <w:szCs w:val="20"/>
              </w:rPr>
              <w:t>in cash, cash equivalents and overdrafts</w:t>
            </w:r>
          </w:p>
        </w:tc>
        <w:tc>
          <w:tcPr>
            <w:tcW w:w="487" w:type="pct"/>
            <w:vAlign w:val="bottom"/>
          </w:tcPr>
          <w:p w14:paraId="45DF0B0F"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18B82361" w14:textId="32961577" w:rsidR="00A1425C" w:rsidRPr="00230F40" w:rsidRDefault="001C548D">
            <w:pPr>
              <w:jc w:val="right"/>
              <w:rPr>
                <w:rFonts w:asciiTheme="minorHAnsi" w:hAnsiTheme="minorHAnsi" w:cs="Arial"/>
                <w:b/>
                <w:sz w:val="20"/>
                <w:szCs w:val="20"/>
              </w:rPr>
            </w:pPr>
            <w:r>
              <w:rPr>
                <w:rFonts w:asciiTheme="minorHAnsi" w:hAnsiTheme="minorHAnsi" w:cs="Arial"/>
                <w:b/>
                <w:sz w:val="20"/>
                <w:szCs w:val="20"/>
              </w:rPr>
              <w:t>(</w:t>
            </w:r>
            <w:r w:rsidR="007D131A">
              <w:rPr>
                <w:rFonts w:asciiTheme="minorHAnsi" w:hAnsiTheme="minorHAnsi" w:cs="Arial"/>
                <w:b/>
                <w:sz w:val="20"/>
                <w:szCs w:val="20"/>
              </w:rPr>
              <w:t>198.4</w:t>
            </w:r>
            <w:r>
              <w:rPr>
                <w:rFonts w:asciiTheme="minorHAnsi" w:hAnsiTheme="minorHAnsi" w:cs="Arial"/>
                <w:b/>
                <w:sz w:val="20"/>
                <w:szCs w:val="20"/>
              </w:rPr>
              <w:t>)</w:t>
            </w:r>
          </w:p>
        </w:tc>
        <w:tc>
          <w:tcPr>
            <w:tcW w:w="766" w:type="pct"/>
          </w:tcPr>
          <w:p w14:paraId="6B320D6A" w14:textId="64202433" w:rsidR="00A1425C" w:rsidRPr="00230F40" w:rsidRDefault="0018114E">
            <w:pPr>
              <w:jc w:val="right"/>
              <w:rPr>
                <w:rFonts w:asciiTheme="minorHAnsi" w:hAnsiTheme="minorHAnsi" w:cs="Arial"/>
                <w:sz w:val="20"/>
                <w:szCs w:val="20"/>
              </w:rPr>
            </w:pPr>
            <w:r>
              <w:rPr>
                <w:rFonts w:asciiTheme="minorHAnsi" w:hAnsiTheme="minorHAnsi" w:cs="Arial"/>
                <w:sz w:val="20"/>
                <w:szCs w:val="20"/>
              </w:rPr>
              <w:t>30.3</w:t>
            </w:r>
          </w:p>
        </w:tc>
      </w:tr>
      <w:tr w:rsidR="00A1425C" w:rsidRPr="00085AA2" w14:paraId="1E8621AB" w14:textId="77777777" w:rsidTr="003B7755">
        <w:tc>
          <w:tcPr>
            <w:tcW w:w="3099" w:type="pct"/>
            <w:vAlign w:val="bottom"/>
          </w:tcPr>
          <w:p w14:paraId="09DBE322" w14:textId="2C3E073C" w:rsidR="00A1425C" w:rsidRPr="00085AA2" w:rsidRDefault="00A1425C">
            <w:pPr>
              <w:rPr>
                <w:rFonts w:asciiTheme="minorHAnsi" w:hAnsiTheme="minorHAnsi" w:cs="Arial"/>
                <w:sz w:val="20"/>
                <w:szCs w:val="20"/>
              </w:rPr>
            </w:pPr>
            <w:r w:rsidRPr="00085AA2">
              <w:rPr>
                <w:rFonts w:asciiTheme="minorHAnsi" w:hAnsiTheme="minorHAnsi" w:cs="Arial"/>
                <w:sz w:val="20"/>
                <w:szCs w:val="20"/>
              </w:rPr>
              <w:t xml:space="preserve">Cash, cash equivalents and overdrafts at beginning of </w:t>
            </w:r>
            <w:r w:rsidR="00530EC7">
              <w:rPr>
                <w:rFonts w:asciiTheme="minorHAnsi" w:hAnsiTheme="minorHAnsi" w:cs="Arial"/>
                <w:sz w:val="20"/>
                <w:szCs w:val="20"/>
              </w:rPr>
              <w:t>period</w:t>
            </w:r>
          </w:p>
        </w:tc>
        <w:tc>
          <w:tcPr>
            <w:tcW w:w="487" w:type="pct"/>
            <w:vAlign w:val="bottom"/>
          </w:tcPr>
          <w:p w14:paraId="53A54BAB"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0754C16E" w14:textId="50D5D287" w:rsidR="00A1425C" w:rsidRPr="00230F40" w:rsidRDefault="004E3461">
            <w:pPr>
              <w:jc w:val="right"/>
              <w:rPr>
                <w:rFonts w:asciiTheme="minorHAnsi" w:hAnsiTheme="minorHAnsi" w:cs="Arial"/>
                <w:b/>
                <w:sz w:val="20"/>
                <w:szCs w:val="20"/>
              </w:rPr>
            </w:pPr>
            <w:r>
              <w:rPr>
                <w:rFonts w:asciiTheme="minorHAnsi" w:hAnsiTheme="minorHAnsi" w:cs="Arial"/>
                <w:b/>
                <w:sz w:val="20"/>
                <w:szCs w:val="20"/>
              </w:rPr>
              <w:t>1,002.8</w:t>
            </w:r>
          </w:p>
        </w:tc>
        <w:tc>
          <w:tcPr>
            <w:tcW w:w="766" w:type="pct"/>
          </w:tcPr>
          <w:p w14:paraId="598D586D" w14:textId="3D08C232" w:rsidR="00A1425C" w:rsidRPr="00230F40" w:rsidRDefault="0018114E">
            <w:pPr>
              <w:jc w:val="right"/>
              <w:rPr>
                <w:rFonts w:asciiTheme="minorHAnsi" w:hAnsiTheme="minorHAnsi" w:cs="Arial"/>
                <w:sz w:val="20"/>
                <w:szCs w:val="20"/>
              </w:rPr>
            </w:pPr>
            <w:r w:rsidRPr="00C730BC">
              <w:rPr>
                <w:rFonts w:asciiTheme="minorHAnsi" w:hAnsiTheme="minorHAnsi" w:cs="Arial"/>
                <w:sz w:val="20"/>
                <w:szCs w:val="20"/>
              </w:rPr>
              <w:t>741.8</w:t>
            </w:r>
          </w:p>
        </w:tc>
      </w:tr>
      <w:tr w:rsidR="00A1425C" w:rsidRPr="00085AA2" w14:paraId="19BB5A64" w14:textId="77777777" w:rsidTr="003B7755">
        <w:tc>
          <w:tcPr>
            <w:tcW w:w="3099" w:type="pct"/>
            <w:vAlign w:val="bottom"/>
          </w:tcPr>
          <w:p w14:paraId="5EEA21CA" w14:textId="77777777"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Cash, cash equivalents and overdrafts at end of year</w:t>
            </w:r>
          </w:p>
        </w:tc>
        <w:tc>
          <w:tcPr>
            <w:tcW w:w="487" w:type="pct"/>
            <w:vAlign w:val="bottom"/>
          </w:tcPr>
          <w:p w14:paraId="571F32A9" w14:textId="77777777" w:rsidR="00A1425C" w:rsidRPr="00BB3187" w:rsidRDefault="00A1425C">
            <w:pPr>
              <w:jc w:val="right"/>
              <w:rPr>
                <w:rFonts w:asciiTheme="minorHAnsi" w:hAnsiTheme="minorHAnsi" w:cs="Arial"/>
                <w:sz w:val="20"/>
                <w:szCs w:val="20"/>
              </w:rPr>
            </w:pPr>
          </w:p>
        </w:tc>
        <w:tc>
          <w:tcPr>
            <w:tcW w:w="648" w:type="pct"/>
            <w:tcBorders>
              <w:top w:val="single" w:sz="4" w:space="0" w:color="auto"/>
              <w:left w:val="nil"/>
              <w:bottom w:val="single" w:sz="12" w:space="0" w:color="auto"/>
              <w:right w:val="nil"/>
            </w:tcBorders>
            <w:shd w:val="clear" w:color="auto" w:fill="F2F2F2" w:themeFill="background1" w:themeFillShade="F2"/>
          </w:tcPr>
          <w:p w14:paraId="62E771AE" w14:textId="544C953A" w:rsidR="00A1425C" w:rsidRPr="00230F40" w:rsidRDefault="007D131A">
            <w:pPr>
              <w:jc w:val="right"/>
              <w:rPr>
                <w:rFonts w:asciiTheme="minorHAnsi" w:hAnsiTheme="minorHAnsi" w:cs="Arial"/>
                <w:b/>
                <w:sz w:val="20"/>
                <w:szCs w:val="20"/>
              </w:rPr>
            </w:pPr>
            <w:r>
              <w:rPr>
                <w:rFonts w:asciiTheme="minorHAnsi" w:hAnsiTheme="minorHAnsi" w:cs="Arial"/>
                <w:b/>
                <w:sz w:val="20"/>
                <w:szCs w:val="20"/>
              </w:rPr>
              <w:t>804.4</w:t>
            </w:r>
          </w:p>
        </w:tc>
        <w:tc>
          <w:tcPr>
            <w:tcW w:w="766" w:type="pct"/>
            <w:tcBorders>
              <w:top w:val="single" w:sz="4" w:space="0" w:color="auto"/>
              <w:left w:val="nil"/>
              <w:bottom w:val="single" w:sz="12" w:space="0" w:color="auto"/>
              <w:right w:val="nil"/>
            </w:tcBorders>
          </w:tcPr>
          <w:p w14:paraId="64011CD1" w14:textId="140ECBA4" w:rsidR="00A1425C" w:rsidRPr="00230F40" w:rsidRDefault="0018114E">
            <w:pPr>
              <w:jc w:val="right"/>
              <w:rPr>
                <w:rFonts w:asciiTheme="minorHAnsi" w:hAnsiTheme="minorHAnsi" w:cs="Arial"/>
                <w:sz w:val="20"/>
                <w:szCs w:val="20"/>
              </w:rPr>
            </w:pPr>
            <w:r w:rsidRPr="00C730BC">
              <w:rPr>
                <w:rFonts w:asciiTheme="minorHAnsi" w:hAnsiTheme="minorHAnsi" w:cs="Arial"/>
                <w:sz w:val="20"/>
                <w:szCs w:val="20"/>
              </w:rPr>
              <w:t>772.1</w:t>
            </w:r>
          </w:p>
        </w:tc>
      </w:tr>
      <w:tr w:rsidR="00A1425C" w:rsidRPr="00085AA2" w14:paraId="15734B30" w14:textId="77777777" w:rsidTr="003B7755">
        <w:tc>
          <w:tcPr>
            <w:tcW w:w="3099" w:type="pct"/>
            <w:vAlign w:val="bottom"/>
          </w:tcPr>
          <w:p w14:paraId="43876759" w14:textId="77777777" w:rsidR="00A1425C" w:rsidRPr="00085AA2" w:rsidRDefault="00A1425C">
            <w:pPr>
              <w:rPr>
                <w:rFonts w:asciiTheme="minorHAnsi" w:hAnsiTheme="minorHAnsi" w:cs="Arial"/>
                <w:sz w:val="20"/>
                <w:szCs w:val="20"/>
              </w:rPr>
            </w:pPr>
          </w:p>
        </w:tc>
        <w:tc>
          <w:tcPr>
            <w:tcW w:w="487" w:type="pct"/>
            <w:vAlign w:val="bottom"/>
          </w:tcPr>
          <w:p w14:paraId="3C94A3F0" w14:textId="77777777" w:rsidR="00A1425C" w:rsidRPr="00BB3187" w:rsidRDefault="00A1425C">
            <w:pPr>
              <w:jc w:val="right"/>
              <w:rPr>
                <w:rFonts w:asciiTheme="minorHAnsi" w:hAnsiTheme="minorHAnsi" w:cs="Arial"/>
                <w:sz w:val="20"/>
                <w:szCs w:val="20"/>
              </w:rPr>
            </w:pPr>
          </w:p>
        </w:tc>
        <w:tc>
          <w:tcPr>
            <w:tcW w:w="648" w:type="pct"/>
            <w:tcBorders>
              <w:top w:val="single" w:sz="12" w:space="0" w:color="auto"/>
              <w:left w:val="nil"/>
              <w:bottom w:val="nil"/>
              <w:right w:val="nil"/>
            </w:tcBorders>
            <w:shd w:val="clear" w:color="auto" w:fill="F2F2F2" w:themeFill="background1" w:themeFillShade="F2"/>
          </w:tcPr>
          <w:p w14:paraId="2D620987" w14:textId="77777777" w:rsidR="00A1425C" w:rsidRPr="00230F40" w:rsidRDefault="00A1425C">
            <w:pPr>
              <w:jc w:val="right"/>
              <w:rPr>
                <w:rFonts w:asciiTheme="minorHAnsi" w:hAnsiTheme="minorHAnsi" w:cs="Arial"/>
                <w:b/>
                <w:sz w:val="20"/>
                <w:szCs w:val="20"/>
              </w:rPr>
            </w:pPr>
          </w:p>
        </w:tc>
        <w:tc>
          <w:tcPr>
            <w:tcW w:w="766" w:type="pct"/>
            <w:tcBorders>
              <w:top w:val="single" w:sz="12" w:space="0" w:color="auto"/>
              <w:left w:val="nil"/>
              <w:bottom w:val="nil"/>
              <w:right w:val="nil"/>
            </w:tcBorders>
          </w:tcPr>
          <w:p w14:paraId="251443A1" w14:textId="77777777" w:rsidR="00A1425C" w:rsidRPr="00230F40" w:rsidRDefault="00A1425C">
            <w:pPr>
              <w:jc w:val="right"/>
              <w:rPr>
                <w:rFonts w:asciiTheme="minorHAnsi" w:hAnsiTheme="minorHAnsi" w:cs="Arial"/>
                <w:sz w:val="20"/>
                <w:szCs w:val="20"/>
              </w:rPr>
            </w:pPr>
          </w:p>
        </w:tc>
      </w:tr>
      <w:tr w:rsidR="00A1425C" w:rsidRPr="00085AA2" w14:paraId="56A0F9BD" w14:textId="77777777" w:rsidTr="003B7755">
        <w:tc>
          <w:tcPr>
            <w:tcW w:w="3099" w:type="pct"/>
            <w:vAlign w:val="bottom"/>
          </w:tcPr>
          <w:p w14:paraId="03181FCC" w14:textId="0DE9803F"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 xml:space="preserve">Cash, cash equivalents and overdrafts at end of </w:t>
            </w:r>
            <w:r w:rsidR="007E2B6F">
              <w:rPr>
                <w:rFonts w:asciiTheme="minorHAnsi" w:hAnsiTheme="minorHAnsi" w:cs="Arial"/>
                <w:b/>
                <w:sz w:val="20"/>
                <w:szCs w:val="20"/>
              </w:rPr>
              <w:t>period</w:t>
            </w:r>
            <w:r w:rsidRPr="00085AA2">
              <w:rPr>
                <w:rFonts w:asciiTheme="minorHAnsi" w:hAnsiTheme="minorHAnsi" w:cs="Arial"/>
                <w:b/>
                <w:sz w:val="20"/>
                <w:szCs w:val="20"/>
              </w:rPr>
              <w:t xml:space="preserve"> comprise:</w:t>
            </w:r>
          </w:p>
        </w:tc>
        <w:tc>
          <w:tcPr>
            <w:tcW w:w="487" w:type="pct"/>
            <w:vAlign w:val="bottom"/>
          </w:tcPr>
          <w:p w14:paraId="4F8880CB"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42C1C19E" w14:textId="77777777" w:rsidR="00A1425C" w:rsidRPr="00230F40" w:rsidRDefault="00A1425C">
            <w:pPr>
              <w:jc w:val="right"/>
              <w:rPr>
                <w:rFonts w:asciiTheme="minorHAnsi" w:hAnsiTheme="minorHAnsi" w:cs="Arial"/>
                <w:b/>
                <w:sz w:val="20"/>
                <w:szCs w:val="20"/>
              </w:rPr>
            </w:pPr>
          </w:p>
        </w:tc>
        <w:tc>
          <w:tcPr>
            <w:tcW w:w="766" w:type="pct"/>
          </w:tcPr>
          <w:p w14:paraId="1E2D9B06" w14:textId="77777777" w:rsidR="00A1425C" w:rsidRPr="00230F40" w:rsidRDefault="00A1425C">
            <w:pPr>
              <w:jc w:val="right"/>
              <w:rPr>
                <w:rFonts w:asciiTheme="minorHAnsi" w:hAnsiTheme="minorHAnsi" w:cs="Arial"/>
                <w:sz w:val="20"/>
                <w:szCs w:val="20"/>
              </w:rPr>
            </w:pPr>
          </w:p>
        </w:tc>
      </w:tr>
      <w:tr w:rsidR="00A1425C" w:rsidRPr="00085AA2" w14:paraId="6EB8B918" w14:textId="77777777" w:rsidTr="003B7755">
        <w:tc>
          <w:tcPr>
            <w:tcW w:w="3099" w:type="pct"/>
            <w:vAlign w:val="bottom"/>
          </w:tcPr>
          <w:p w14:paraId="7899A937" w14:textId="77777777" w:rsidR="00A1425C" w:rsidRPr="00085AA2" w:rsidRDefault="00A1425C">
            <w:pPr>
              <w:rPr>
                <w:rFonts w:asciiTheme="minorHAnsi" w:hAnsiTheme="minorHAnsi" w:cs="Arial"/>
                <w:sz w:val="20"/>
                <w:szCs w:val="20"/>
              </w:rPr>
            </w:pPr>
            <w:r w:rsidRPr="00085AA2">
              <w:rPr>
                <w:rFonts w:asciiTheme="minorHAnsi" w:hAnsiTheme="minorHAnsi" w:cs="Arial"/>
                <w:sz w:val="20"/>
                <w:szCs w:val="20"/>
              </w:rPr>
              <w:t>Cash at bank and in hand</w:t>
            </w:r>
          </w:p>
        </w:tc>
        <w:tc>
          <w:tcPr>
            <w:tcW w:w="487" w:type="pct"/>
            <w:vAlign w:val="bottom"/>
          </w:tcPr>
          <w:p w14:paraId="39FD8FDA" w14:textId="77777777" w:rsidR="00A1425C" w:rsidRPr="00BB3187" w:rsidRDefault="00A1425C">
            <w:pPr>
              <w:jc w:val="right"/>
              <w:rPr>
                <w:rFonts w:asciiTheme="minorHAnsi" w:hAnsiTheme="minorHAnsi" w:cs="Arial"/>
                <w:sz w:val="20"/>
                <w:szCs w:val="20"/>
              </w:rPr>
            </w:pPr>
          </w:p>
        </w:tc>
        <w:tc>
          <w:tcPr>
            <w:tcW w:w="648" w:type="pct"/>
            <w:shd w:val="clear" w:color="auto" w:fill="F2F2F2" w:themeFill="background1" w:themeFillShade="F2"/>
          </w:tcPr>
          <w:p w14:paraId="4F847530" w14:textId="78C308DA" w:rsidR="00A1425C" w:rsidRPr="00230F40" w:rsidRDefault="00050ADF">
            <w:pPr>
              <w:jc w:val="right"/>
              <w:rPr>
                <w:rFonts w:asciiTheme="minorHAnsi" w:hAnsiTheme="minorHAnsi" w:cs="Arial"/>
                <w:b/>
                <w:sz w:val="20"/>
                <w:szCs w:val="20"/>
              </w:rPr>
            </w:pPr>
            <w:r>
              <w:rPr>
                <w:rFonts w:asciiTheme="minorHAnsi" w:hAnsiTheme="minorHAnsi" w:cs="Arial"/>
                <w:b/>
                <w:sz w:val="20"/>
                <w:szCs w:val="20"/>
              </w:rPr>
              <w:t>805.3</w:t>
            </w:r>
          </w:p>
        </w:tc>
        <w:tc>
          <w:tcPr>
            <w:tcW w:w="766" w:type="pct"/>
          </w:tcPr>
          <w:p w14:paraId="279087DC" w14:textId="71C225D9" w:rsidR="00A1425C" w:rsidRPr="00230F40" w:rsidRDefault="008152ED">
            <w:pPr>
              <w:jc w:val="right"/>
              <w:rPr>
                <w:rFonts w:asciiTheme="minorHAnsi" w:hAnsiTheme="minorHAnsi" w:cs="Arial"/>
                <w:sz w:val="20"/>
                <w:szCs w:val="20"/>
              </w:rPr>
            </w:pPr>
            <w:r w:rsidRPr="008152ED">
              <w:rPr>
                <w:rFonts w:asciiTheme="minorHAnsi" w:hAnsiTheme="minorHAnsi" w:cs="Arial"/>
                <w:bCs/>
                <w:sz w:val="20"/>
                <w:szCs w:val="20"/>
              </w:rPr>
              <w:t>772.8</w:t>
            </w:r>
          </w:p>
        </w:tc>
      </w:tr>
      <w:tr w:rsidR="00A1425C" w:rsidRPr="00085AA2" w14:paraId="189DC279" w14:textId="77777777" w:rsidTr="003B7755">
        <w:tc>
          <w:tcPr>
            <w:tcW w:w="3099" w:type="pct"/>
            <w:vAlign w:val="bottom"/>
          </w:tcPr>
          <w:p w14:paraId="3FA1B412" w14:textId="77777777" w:rsidR="00A1425C" w:rsidRPr="00085AA2" w:rsidRDefault="00A1425C">
            <w:pPr>
              <w:rPr>
                <w:rFonts w:asciiTheme="minorHAnsi" w:hAnsiTheme="minorHAnsi" w:cs="Arial"/>
                <w:sz w:val="20"/>
                <w:szCs w:val="20"/>
              </w:rPr>
            </w:pPr>
            <w:r w:rsidRPr="00085AA2">
              <w:rPr>
                <w:rFonts w:asciiTheme="minorHAnsi" w:hAnsiTheme="minorHAnsi" w:cs="Arial"/>
                <w:sz w:val="20"/>
                <w:szCs w:val="20"/>
              </w:rPr>
              <w:t>Overdrafts (held in bank and other borrowings)</w:t>
            </w:r>
          </w:p>
        </w:tc>
        <w:tc>
          <w:tcPr>
            <w:tcW w:w="487" w:type="pct"/>
            <w:vAlign w:val="bottom"/>
          </w:tcPr>
          <w:p w14:paraId="3985F52D" w14:textId="77777777" w:rsidR="00A1425C" w:rsidRPr="00BB3187" w:rsidRDefault="00A1425C">
            <w:pPr>
              <w:jc w:val="right"/>
              <w:rPr>
                <w:rFonts w:asciiTheme="minorHAnsi" w:hAnsiTheme="minorHAnsi" w:cs="Arial"/>
                <w:sz w:val="20"/>
                <w:szCs w:val="20"/>
              </w:rPr>
            </w:pPr>
          </w:p>
        </w:tc>
        <w:tc>
          <w:tcPr>
            <w:tcW w:w="648" w:type="pct"/>
            <w:tcBorders>
              <w:top w:val="nil"/>
              <w:left w:val="nil"/>
              <w:bottom w:val="single" w:sz="4" w:space="0" w:color="auto"/>
              <w:right w:val="nil"/>
            </w:tcBorders>
            <w:shd w:val="clear" w:color="auto" w:fill="F2F2F2" w:themeFill="background1" w:themeFillShade="F2"/>
          </w:tcPr>
          <w:p w14:paraId="631B82A2" w14:textId="58EBE14A" w:rsidR="00A1425C" w:rsidRPr="00230F40" w:rsidRDefault="004E3461">
            <w:pPr>
              <w:jc w:val="right"/>
              <w:rPr>
                <w:rFonts w:asciiTheme="minorHAnsi" w:hAnsiTheme="minorHAnsi" w:cs="Arial"/>
                <w:b/>
                <w:sz w:val="20"/>
                <w:szCs w:val="20"/>
              </w:rPr>
            </w:pPr>
            <w:r>
              <w:rPr>
                <w:rFonts w:asciiTheme="minorHAnsi" w:hAnsiTheme="minorHAnsi" w:cs="Arial"/>
                <w:b/>
                <w:sz w:val="20"/>
                <w:szCs w:val="20"/>
              </w:rPr>
              <w:t>(0.9)</w:t>
            </w:r>
          </w:p>
        </w:tc>
        <w:tc>
          <w:tcPr>
            <w:tcW w:w="766" w:type="pct"/>
            <w:tcBorders>
              <w:top w:val="nil"/>
              <w:left w:val="nil"/>
              <w:bottom w:val="single" w:sz="4" w:space="0" w:color="auto"/>
              <w:right w:val="nil"/>
            </w:tcBorders>
          </w:tcPr>
          <w:p w14:paraId="316F5F0A" w14:textId="4032E387" w:rsidR="00A1425C" w:rsidRPr="00230F40" w:rsidRDefault="008152ED">
            <w:pPr>
              <w:jc w:val="right"/>
              <w:rPr>
                <w:rFonts w:asciiTheme="minorHAnsi" w:hAnsiTheme="minorHAnsi" w:cs="Arial"/>
                <w:sz w:val="20"/>
                <w:szCs w:val="20"/>
              </w:rPr>
            </w:pPr>
            <w:r w:rsidRPr="008152ED">
              <w:rPr>
                <w:rFonts w:asciiTheme="minorHAnsi" w:hAnsiTheme="minorHAnsi" w:cs="Arial"/>
                <w:bCs/>
                <w:sz w:val="20"/>
                <w:szCs w:val="20"/>
              </w:rPr>
              <w:t>(0.7)</w:t>
            </w:r>
          </w:p>
        </w:tc>
      </w:tr>
      <w:tr w:rsidR="00A1425C" w:rsidRPr="00085AA2" w14:paraId="62981045" w14:textId="77777777" w:rsidTr="003B7755">
        <w:tc>
          <w:tcPr>
            <w:tcW w:w="3099" w:type="pct"/>
            <w:vAlign w:val="bottom"/>
          </w:tcPr>
          <w:p w14:paraId="773A6C80" w14:textId="77777777" w:rsidR="00A1425C" w:rsidRPr="00085AA2" w:rsidRDefault="00A1425C">
            <w:pPr>
              <w:rPr>
                <w:rFonts w:asciiTheme="minorHAnsi" w:hAnsiTheme="minorHAnsi" w:cs="Arial"/>
                <w:b/>
                <w:sz w:val="20"/>
                <w:szCs w:val="20"/>
              </w:rPr>
            </w:pPr>
            <w:r w:rsidRPr="00085AA2">
              <w:rPr>
                <w:rFonts w:asciiTheme="minorHAnsi" w:hAnsiTheme="minorHAnsi" w:cs="Arial"/>
                <w:b/>
                <w:sz w:val="20"/>
                <w:szCs w:val="20"/>
              </w:rPr>
              <w:t>Total cash, cash equivalents and overdrafts</w:t>
            </w:r>
          </w:p>
        </w:tc>
        <w:tc>
          <w:tcPr>
            <w:tcW w:w="487" w:type="pct"/>
            <w:vAlign w:val="bottom"/>
          </w:tcPr>
          <w:p w14:paraId="176174D2" w14:textId="77777777" w:rsidR="00A1425C" w:rsidRPr="00BB3187" w:rsidRDefault="00A1425C">
            <w:pPr>
              <w:jc w:val="right"/>
              <w:rPr>
                <w:rFonts w:asciiTheme="minorHAnsi" w:hAnsiTheme="minorHAnsi" w:cs="Arial"/>
                <w:sz w:val="20"/>
                <w:szCs w:val="20"/>
              </w:rPr>
            </w:pPr>
          </w:p>
        </w:tc>
        <w:tc>
          <w:tcPr>
            <w:tcW w:w="648" w:type="pct"/>
            <w:tcBorders>
              <w:top w:val="single" w:sz="4" w:space="0" w:color="auto"/>
              <w:left w:val="nil"/>
              <w:bottom w:val="single" w:sz="12" w:space="0" w:color="auto"/>
              <w:right w:val="nil"/>
            </w:tcBorders>
            <w:shd w:val="clear" w:color="auto" w:fill="F2F2F2" w:themeFill="background1" w:themeFillShade="F2"/>
          </w:tcPr>
          <w:p w14:paraId="10CB5BC2" w14:textId="13B4A424" w:rsidR="00A1425C" w:rsidRPr="00230F40" w:rsidRDefault="00050ADF">
            <w:pPr>
              <w:jc w:val="right"/>
              <w:rPr>
                <w:rFonts w:asciiTheme="minorHAnsi" w:hAnsiTheme="minorHAnsi" w:cs="Arial"/>
                <w:b/>
                <w:sz w:val="20"/>
                <w:szCs w:val="20"/>
              </w:rPr>
            </w:pPr>
            <w:r>
              <w:rPr>
                <w:rFonts w:asciiTheme="minorHAnsi" w:hAnsiTheme="minorHAnsi" w:cs="Arial"/>
                <w:b/>
                <w:sz w:val="20"/>
                <w:szCs w:val="20"/>
              </w:rPr>
              <w:t>804.4</w:t>
            </w:r>
          </w:p>
        </w:tc>
        <w:tc>
          <w:tcPr>
            <w:tcW w:w="766" w:type="pct"/>
            <w:tcBorders>
              <w:top w:val="single" w:sz="4" w:space="0" w:color="auto"/>
              <w:left w:val="nil"/>
              <w:bottom w:val="single" w:sz="12" w:space="0" w:color="auto"/>
              <w:right w:val="nil"/>
            </w:tcBorders>
          </w:tcPr>
          <w:p w14:paraId="648BCF2E" w14:textId="7B4F88E2" w:rsidR="00A1425C" w:rsidRPr="00230F40" w:rsidRDefault="008152ED">
            <w:pPr>
              <w:jc w:val="right"/>
              <w:rPr>
                <w:rFonts w:asciiTheme="minorHAnsi" w:hAnsiTheme="minorHAnsi" w:cs="Arial"/>
                <w:sz w:val="20"/>
                <w:szCs w:val="20"/>
              </w:rPr>
            </w:pPr>
            <w:r w:rsidRPr="008152ED">
              <w:rPr>
                <w:rFonts w:asciiTheme="minorHAnsi" w:hAnsiTheme="minorHAnsi" w:cs="Arial"/>
                <w:bCs/>
                <w:sz w:val="20"/>
                <w:szCs w:val="20"/>
              </w:rPr>
              <w:t>772.1</w:t>
            </w:r>
          </w:p>
        </w:tc>
      </w:tr>
    </w:tbl>
    <w:p w14:paraId="7EB50ADE" w14:textId="77777777" w:rsidR="00A1425C" w:rsidRPr="00085AA2" w:rsidRDefault="00A1425C" w:rsidP="00A1425C">
      <w:pPr>
        <w:jc w:val="both"/>
        <w:rPr>
          <w:rFonts w:asciiTheme="minorHAnsi" w:hAnsiTheme="minorHAnsi" w:cs="Arial"/>
          <w:sz w:val="20"/>
          <w:szCs w:val="20"/>
        </w:rPr>
      </w:pPr>
    </w:p>
    <w:p w14:paraId="7D3B7B3E" w14:textId="77777777" w:rsidR="00D75139" w:rsidRPr="00AD61D8" w:rsidRDefault="00D75139" w:rsidP="00A1425C">
      <w:pPr>
        <w:jc w:val="both"/>
        <w:rPr>
          <w:rFonts w:asciiTheme="minorHAnsi" w:hAnsiTheme="minorHAnsi" w:cs="Avenir-Light"/>
          <w:sz w:val="20"/>
          <w:szCs w:val="20"/>
          <w:vertAlign w:val="superscript"/>
          <w:lang w:val="en-US"/>
        </w:rPr>
      </w:pPr>
    </w:p>
    <w:p w14:paraId="31CD1B5C" w14:textId="0D991EEA" w:rsidR="004766B7" w:rsidRDefault="00381938" w:rsidP="00A1425C">
      <w:pPr>
        <w:jc w:val="both"/>
        <w:rPr>
          <w:rFonts w:asciiTheme="minorHAnsi" w:hAnsiTheme="minorHAnsi" w:cs="Avenir-Light"/>
          <w:sz w:val="20"/>
          <w:szCs w:val="20"/>
        </w:rPr>
      </w:pPr>
      <w:r>
        <w:rPr>
          <w:rFonts w:asciiTheme="minorHAnsi" w:hAnsiTheme="minorHAnsi" w:cs="Avenir-Light"/>
          <w:sz w:val="20"/>
          <w:szCs w:val="20"/>
        </w:rPr>
        <w:t>In line with FY24 reporting, c</w:t>
      </w:r>
      <w:r w:rsidR="00C82AD7" w:rsidRPr="00C82AD7">
        <w:rPr>
          <w:rFonts w:asciiTheme="minorHAnsi" w:hAnsiTheme="minorHAnsi" w:cs="Avenir-Light"/>
          <w:sz w:val="20"/>
          <w:szCs w:val="20"/>
        </w:rPr>
        <w:t xml:space="preserve">ash generated from operations in </w:t>
      </w:r>
      <w:r>
        <w:rPr>
          <w:rFonts w:asciiTheme="minorHAnsi" w:hAnsiTheme="minorHAnsi" w:cs="Avenir-Light"/>
          <w:sz w:val="20"/>
          <w:szCs w:val="20"/>
        </w:rPr>
        <w:t>1H24</w:t>
      </w:r>
      <w:r w:rsidR="00C82AD7" w:rsidRPr="00C82AD7">
        <w:rPr>
          <w:rFonts w:asciiTheme="minorHAnsi" w:hAnsiTheme="minorHAnsi" w:cs="Avenir-Light"/>
          <w:sz w:val="20"/>
          <w:szCs w:val="20"/>
        </w:rPr>
        <w:t xml:space="preserve"> has been represented to include movement in retail deposits which is no longer considered a financing cash flow.</w:t>
      </w:r>
    </w:p>
    <w:p w14:paraId="242929E4" w14:textId="77777777" w:rsidR="00C82AD7" w:rsidRDefault="00C82AD7" w:rsidP="00A1425C">
      <w:pPr>
        <w:jc w:val="both"/>
        <w:rPr>
          <w:rFonts w:asciiTheme="minorHAnsi" w:hAnsiTheme="minorHAnsi" w:cs="Avenir-Light"/>
          <w:sz w:val="20"/>
          <w:szCs w:val="20"/>
          <w:lang w:val="en-US"/>
        </w:rPr>
      </w:pPr>
    </w:p>
    <w:p w14:paraId="6102DDDA" w14:textId="77777777" w:rsidR="00B5640B" w:rsidRDefault="00A1425C" w:rsidP="00A1425C">
      <w:pPr>
        <w:jc w:val="both"/>
        <w:rPr>
          <w:rFonts w:asciiTheme="minorHAnsi" w:hAnsiTheme="minorHAnsi" w:cs="Avenir-Light"/>
          <w:sz w:val="20"/>
          <w:szCs w:val="20"/>
          <w:lang w:val="en-US"/>
        </w:rPr>
      </w:pPr>
      <w:r w:rsidRPr="00085AA2">
        <w:rPr>
          <w:rFonts w:asciiTheme="minorHAnsi" w:hAnsiTheme="minorHAnsi" w:cs="Avenir-Light"/>
          <w:sz w:val="20"/>
          <w:szCs w:val="20"/>
          <w:lang w:val="en-US"/>
        </w:rPr>
        <w:t xml:space="preserve">Cash at bank and in hand </w:t>
      </w:r>
      <w:r w:rsidRPr="00F178BE">
        <w:rPr>
          <w:rFonts w:asciiTheme="minorHAnsi" w:hAnsiTheme="minorHAnsi" w:cs="Avenir-Light"/>
          <w:sz w:val="20"/>
          <w:szCs w:val="20"/>
          <w:lang w:val="en-US"/>
        </w:rPr>
        <w:t xml:space="preserve">includes </w:t>
      </w:r>
      <w:r w:rsidRPr="00A463AB">
        <w:rPr>
          <w:rFonts w:asciiTheme="minorHAnsi" w:hAnsiTheme="minorHAnsi" w:cs="Avenir-Light"/>
          <w:sz w:val="20"/>
          <w:szCs w:val="20"/>
          <w:lang w:val="en-US"/>
        </w:rPr>
        <w:t>£</w:t>
      </w:r>
      <w:r w:rsidR="00A463AB" w:rsidRPr="00A463AB">
        <w:rPr>
          <w:rFonts w:asciiTheme="minorHAnsi" w:hAnsiTheme="minorHAnsi" w:cs="Avenir-Light"/>
          <w:sz w:val="20"/>
          <w:szCs w:val="20"/>
          <w:lang w:val="en-US"/>
        </w:rPr>
        <w:t>758.4</w:t>
      </w:r>
      <w:r w:rsidR="00B44156" w:rsidRPr="00A463AB">
        <w:rPr>
          <w:rFonts w:asciiTheme="minorHAnsi" w:hAnsiTheme="minorHAnsi" w:cs="Avenir-Light"/>
          <w:sz w:val="20"/>
          <w:szCs w:val="20"/>
          <w:lang w:val="en-US"/>
        </w:rPr>
        <w:t>m</w:t>
      </w:r>
      <w:r w:rsidR="00B44156" w:rsidRPr="00565803">
        <w:rPr>
          <w:rFonts w:asciiTheme="minorHAnsi" w:hAnsiTheme="minorHAnsi" w:cs="Avenir-Light"/>
          <w:sz w:val="20"/>
          <w:szCs w:val="20"/>
          <w:lang w:val="en-US"/>
        </w:rPr>
        <w:t xml:space="preserve"> (</w:t>
      </w:r>
      <w:r w:rsidR="00B44156" w:rsidRPr="008F2EB1">
        <w:rPr>
          <w:rFonts w:asciiTheme="minorHAnsi" w:hAnsiTheme="minorHAnsi" w:cs="Avenir-Light"/>
          <w:sz w:val="20"/>
          <w:szCs w:val="20"/>
          <w:lang w:val="en-US"/>
        </w:rPr>
        <w:t>1H2</w:t>
      </w:r>
      <w:r w:rsidR="00B44156">
        <w:rPr>
          <w:rFonts w:asciiTheme="minorHAnsi" w:hAnsiTheme="minorHAnsi" w:cs="Avenir-Light"/>
          <w:sz w:val="20"/>
          <w:szCs w:val="20"/>
          <w:lang w:val="en-US"/>
        </w:rPr>
        <w:t>4</w:t>
      </w:r>
      <w:r w:rsidR="00B44156" w:rsidRPr="008F2EB1">
        <w:rPr>
          <w:rFonts w:asciiTheme="minorHAnsi" w:hAnsiTheme="minorHAnsi" w:cs="Avenir-Light"/>
          <w:sz w:val="20"/>
          <w:szCs w:val="20"/>
          <w:lang w:val="en-US"/>
        </w:rPr>
        <w:t>: £</w:t>
      </w:r>
      <w:r w:rsidR="00B44156">
        <w:rPr>
          <w:rFonts w:asciiTheme="minorHAnsi" w:hAnsiTheme="minorHAnsi" w:cs="Avenir-Light"/>
          <w:sz w:val="20"/>
          <w:szCs w:val="20"/>
          <w:lang w:val="en-US"/>
        </w:rPr>
        <w:t>716.6</w:t>
      </w:r>
      <w:r w:rsidR="00B44156" w:rsidRPr="008F2EB1">
        <w:rPr>
          <w:rFonts w:asciiTheme="minorHAnsi" w:hAnsiTheme="minorHAnsi" w:cs="Avenir-Light"/>
          <w:sz w:val="20"/>
          <w:szCs w:val="20"/>
          <w:lang w:val="en-US"/>
        </w:rPr>
        <w:t>m</w:t>
      </w:r>
      <w:r w:rsidRPr="00F178BE">
        <w:rPr>
          <w:rFonts w:asciiTheme="minorHAnsi" w:hAnsiTheme="minorHAnsi" w:cs="Avenir-Light"/>
          <w:sz w:val="20"/>
          <w:szCs w:val="20"/>
          <w:lang w:val="en-US"/>
        </w:rPr>
        <w:t>) in respect</w:t>
      </w:r>
      <w:r w:rsidRPr="00085AA2">
        <w:rPr>
          <w:rFonts w:asciiTheme="minorHAnsi" w:hAnsiTheme="minorHAnsi" w:cs="Avenir-Light"/>
          <w:sz w:val="20"/>
          <w:szCs w:val="20"/>
          <w:lang w:val="en-US"/>
        </w:rPr>
        <w:t xml:space="preserve"> of the liquid</w:t>
      </w:r>
      <w:r w:rsidR="00ED5EC3">
        <w:rPr>
          <w:rFonts w:asciiTheme="minorHAnsi" w:hAnsiTheme="minorHAnsi" w:cs="Avenir-Light"/>
          <w:sz w:val="20"/>
          <w:szCs w:val="20"/>
          <w:lang w:val="en-US"/>
        </w:rPr>
        <w:t>ity</w:t>
      </w:r>
      <w:r w:rsidRPr="00085AA2">
        <w:rPr>
          <w:rFonts w:asciiTheme="minorHAnsi" w:hAnsiTheme="minorHAnsi" w:cs="Avenir-Light"/>
          <w:sz w:val="20"/>
          <w:szCs w:val="20"/>
          <w:lang w:val="en-US"/>
        </w:rPr>
        <w:t xml:space="preserve"> buffer, including other liquidity</w:t>
      </w:r>
      <w:r w:rsidR="00B44156" w:rsidRPr="63C3884C">
        <w:rPr>
          <w:rFonts w:asciiTheme="minorHAnsi" w:hAnsiTheme="minorHAnsi" w:cs="Avenir-Light"/>
          <w:sz w:val="20"/>
          <w:szCs w:val="20"/>
          <w:lang w:val="en-US"/>
        </w:rPr>
        <w:t xml:space="preserve"> </w:t>
      </w:r>
      <w:r w:rsidRPr="00085AA2">
        <w:rPr>
          <w:rFonts w:asciiTheme="minorHAnsi" w:hAnsiTheme="minorHAnsi" w:cs="Avenir-Light"/>
          <w:sz w:val="20"/>
          <w:szCs w:val="20"/>
          <w:lang w:val="en-US"/>
        </w:rPr>
        <w:t>resources, held by Vanquis Bank Limited in accordance with the PRA’s liquidity regime</w:t>
      </w:r>
      <w:r w:rsidR="004E36D3">
        <w:rPr>
          <w:rFonts w:asciiTheme="minorHAnsi" w:hAnsiTheme="minorHAnsi" w:cs="Avenir-Light"/>
          <w:sz w:val="20"/>
          <w:szCs w:val="20"/>
          <w:lang w:val="en-US"/>
        </w:rPr>
        <w:t>.</w:t>
      </w:r>
    </w:p>
    <w:p w14:paraId="6C27AE1D" w14:textId="77777777" w:rsidR="00B5640B" w:rsidRDefault="00B5640B" w:rsidP="00A1425C">
      <w:pPr>
        <w:jc w:val="both"/>
        <w:rPr>
          <w:rFonts w:asciiTheme="minorHAnsi" w:hAnsiTheme="minorHAnsi" w:cs="Avenir-Light"/>
          <w:sz w:val="20"/>
          <w:szCs w:val="20"/>
          <w:lang w:val="en-US"/>
        </w:rPr>
      </w:pPr>
    </w:p>
    <w:p w14:paraId="734A8E8F" w14:textId="4605EB7B" w:rsidR="00A1425C" w:rsidRPr="001B0F41" w:rsidRDefault="00A1425C" w:rsidP="00A1425C">
      <w:pPr>
        <w:jc w:val="both"/>
        <w:rPr>
          <w:rFonts w:asciiTheme="minorHAnsi" w:hAnsiTheme="minorHAnsi" w:cs="Arial"/>
          <w:bCs/>
          <w:color w:val="4747FF"/>
          <w:sz w:val="22"/>
          <w:szCs w:val="22"/>
          <w:u w:val="single"/>
        </w:rPr>
      </w:pPr>
      <w:r w:rsidRPr="001B0F41">
        <w:rPr>
          <w:rFonts w:asciiTheme="minorHAnsi" w:hAnsiTheme="minorHAnsi" w:cs="Arial"/>
          <w:b/>
          <w:bCs/>
          <w:color w:val="4747FF"/>
          <w:sz w:val="22"/>
          <w:szCs w:val="22"/>
          <w:u w:val="single"/>
        </w:rPr>
        <w:t>Notes to the financial information</w:t>
      </w:r>
    </w:p>
    <w:p w14:paraId="0E4C0AFA" w14:textId="77777777" w:rsidR="00A1425C" w:rsidRPr="00701439" w:rsidRDefault="00A1425C" w:rsidP="00A1425C">
      <w:pPr>
        <w:jc w:val="both"/>
        <w:rPr>
          <w:rFonts w:asciiTheme="minorHAnsi" w:hAnsiTheme="minorHAnsi" w:cs="Arial"/>
          <w:sz w:val="20"/>
          <w:szCs w:val="20"/>
        </w:rPr>
      </w:pPr>
    </w:p>
    <w:p w14:paraId="164DC927" w14:textId="77777777" w:rsidR="00A1425C" w:rsidRPr="00701439" w:rsidRDefault="00A1425C" w:rsidP="00A1425C">
      <w:pPr>
        <w:ind w:left="567" w:hanging="567"/>
        <w:jc w:val="both"/>
        <w:rPr>
          <w:rStyle w:val="bodycopynumber"/>
          <w:rFonts w:asciiTheme="minorHAnsi" w:hAnsiTheme="minorHAnsi" w:cs="Arial"/>
          <w:b/>
          <w:bCs/>
          <w:color w:val="4747FF"/>
          <w:sz w:val="22"/>
          <w:szCs w:val="22"/>
        </w:rPr>
      </w:pPr>
      <w:bookmarkStart w:id="6" w:name="_Hlk99455617"/>
      <w:r w:rsidRPr="00701439">
        <w:rPr>
          <w:rStyle w:val="bodycopynumber"/>
          <w:rFonts w:asciiTheme="minorHAnsi" w:hAnsiTheme="minorHAnsi" w:cs="Arial"/>
          <w:b/>
          <w:bCs/>
          <w:color w:val="4747FF"/>
          <w:sz w:val="22"/>
          <w:szCs w:val="22"/>
        </w:rPr>
        <w:t>1.</w:t>
      </w:r>
      <w:r w:rsidRPr="00701439">
        <w:rPr>
          <w:rStyle w:val="bodycopynumber"/>
          <w:rFonts w:asciiTheme="minorHAnsi" w:hAnsiTheme="minorHAnsi" w:cs="Arial"/>
          <w:b/>
          <w:bCs/>
          <w:color w:val="4747FF"/>
          <w:sz w:val="22"/>
          <w:szCs w:val="22"/>
        </w:rPr>
        <w:tab/>
        <w:t>Basis of preparation</w:t>
      </w:r>
    </w:p>
    <w:p w14:paraId="412A96B7" w14:textId="77777777" w:rsidR="00A1425C" w:rsidRPr="00701439" w:rsidRDefault="00A1425C" w:rsidP="00A1425C">
      <w:pPr>
        <w:autoSpaceDE w:val="0"/>
        <w:autoSpaceDN w:val="0"/>
        <w:adjustRightInd w:val="0"/>
        <w:jc w:val="both"/>
        <w:rPr>
          <w:rFonts w:asciiTheme="minorHAnsi" w:hAnsiTheme="minorHAnsi" w:cs="Poppins-Light"/>
          <w:sz w:val="20"/>
          <w:szCs w:val="20"/>
        </w:rPr>
      </w:pPr>
    </w:p>
    <w:p w14:paraId="0CAAA227" w14:textId="77777777" w:rsidR="00541E11" w:rsidRDefault="00541E11" w:rsidP="00541E11">
      <w:pPr>
        <w:jc w:val="both"/>
        <w:rPr>
          <w:rFonts w:asciiTheme="minorHAnsi" w:hAnsiTheme="minorHAnsi"/>
          <w:sz w:val="20"/>
          <w:szCs w:val="20"/>
        </w:rPr>
      </w:pPr>
      <w:r w:rsidRPr="00541E11">
        <w:rPr>
          <w:rFonts w:asciiTheme="minorHAnsi" w:hAnsiTheme="minorHAnsi"/>
          <w:sz w:val="20"/>
          <w:szCs w:val="20"/>
        </w:rPr>
        <w:t xml:space="preserve">The company is a public limited company, incorporated and domiciled in the UK. The address of its registered office is No. 1 Godwin Street, Bradford, BD1 2SU. The company is listed on the London Stock Exchange. </w:t>
      </w:r>
    </w:p>
    <w:p w14:paraId="283707EB" w14:textId="77777777" w:rsidR="00541E11" w:rsidRPr="00541E11" w:rsidRDefault="00541E11" w:rsidP="00541E11">
      <w:pPr>
        <w:jc w:val="both"/>
        <w:rPr>
          <w:rFonts w:asciiTheme="minorHAnsi" w:hAnsiTheme="minorHAnsi"/>
          <w:sz w:val="20"/>
          <w:szCs w:val="20"/>
        </w:rPr>
      </w:pPr>
    </w:p>
    <w:p w14:paraId="091B59A9" w14:textId="43838ACB" w:rsidR="00541E11" w:rsidRPr="00541E11" w:rsidRDefault="00541E11" w:rsidP="00541E11">
      <w:pPr>
        <w:jc w:val="both"/>
        <w:rPr>
          <w:rFonts w:asciiTheme="minorHAnsi" w:hAnsiTheme="minorHAnsi"/>
          <w:sz w:val="20"/>
          <w:szCs w:val="20"/>
        </w:rPr>
      </w:pPr>
      <w:r w:rsidRPr="00541E11">
        <w:rPr>
          <w:rFonts w:asciiTheme="minorHAnsi" w:hAnsiTheme="minorHAnsi"/>
          <w:sz w:val="20"/>
          <w:szCs w:val="20"/>
        </w:rPr>
        <w:t>The unaudited condensed interim financial statements do not constitute the statutory financial statements of the Group within the meaning of section 434 of the Companies Act 2006. The statutory financial statements for the year ended 31 December 202</w:t>
      </w:r>
      <w:r>
        <w:rPr>
          <w:rFonts w:asciiTheme="minorHAnsi" w:hAnsiTheme="minorHAnsi"/>
          <w:sz w:val="20"/>
          <w:szCs w:val="20"/>
        </w:rPr>
        <w:t>4</w:t>
      </w:r>
      <w:r w:rsidRPr="00541E11">
        <w:rPr>
          <w:rFonts w:asciiTheme="minorHAnsi" w:hAnsiTheme="minorHAnsi"/>
          <w:sz w:val="20"/>
          <w:szCs w:val="20"/>
        </w:rPr>
        <w:t xml:space="preserve"> were approved by the board of directors on </w:t>
      </w:r>
      <w:r>
        <w:rPr>
          <w:rFonts w:asciiTheme="minorHAnsi" w:hAnsiTheme="minorHAnsi"/>
          <w:sz w:val="20"/>
          <w:szCs w:val="20"/>
        </w:rPr>
        <w:t>13</w:t>
      </w:r>
      <w:r w:rsidRPr="00541E11">
        <w:rPr>
          <w:rFonts w:asciiTheme="minorHAnsi" w:hAnsiTheme="minorHAnsi"/>
          <w:sz w:val="20"/>
          <w:szCs w:val="20"/>
        </w:rPr>
        <w:t xml:space="preserve"> March 202</w:t>
      </w:r>
      <w:r>
        <w:rPr>
          <w:rFonts w:asciiTheme="minorHAnsi" w:hAnsiTheme="minorHAnsi"/>
          <w:sz w:val="20"/>
          <w:szCs w:val="20"/>
        </w:rPr>
        <w:t>5</w:t>
      </w:r>
      <w:r w:rsidRPr="00541E11">
        <w:rPr>
          <w:rFonts w:asciiTheme="minorHAnsi" w:hAnsiTheme="minorHAnsi"/>
          <w:sz w:val="20"/>
          <w:szCs w:val="20"/>
        </w:rPr>
        <w:t xml:space="preserve"> and have been delivered to the Registrar of Companies. The report of the auditor on those financial statements was unqualified, did not draw attention to any matters by way of emphasis and did not contain any statement under section 498(2) or (3) of the Companies Act 2006. </w:t>
      </w:r>
    </w:p>
    <w:p w14:paraId="68FD26AB" w14:textId="77777777" w:rsidR="00541E11" w:rsidRDefault="00541E11" w:rsidP="00541E11">
      <w:pPr>
        <w:jc w:val="both"/>
        <w:rPr>
          <w:rFonts w:asciiTheme="minorHAnsi" w:hAnsiTheme="minorHAnsi"/>
          <w:sz w:val="20"/>
          <w:szCs w:val="20"/>
        </w:rPr>
      </w:pPr>
    </w:p>
    <w:p w14:paraId="794B514D" w14:textId="5525E25D" w:rsidR="00541E11" w:rsidRDefault="00541E11" w:rsidP="00541E11">
      <w:pPr>
        <w:jc w:val="both"/>
        <w:rPr>
          <w:rFonts w:asciiTheme="minorHAnsi" w:hAnsiTheme="minorHAnsi"/>
          <w:sz w:val="20"/>
          <w:szCs w:val="20"/>
        </w:rPr>
      </w:pPr>
      <w:r w:rsidRPr="00541E11">
        <w:rPr>
          <w:rFonts w:asciiTheme="minorHAnsi" w:hAnsiTheme="minorHAnsi"/>
          <w:sz w:val="20"/>
          <w:szCs w:val="20"/>
        </w:rPr>
        <w:lastRenderedPageBreak/>
        <w:t>The unaudited condensed interim financial statements for the six months ended 30 June 202</w:t>
      </w:r>
      <w:r w:rsidR="00AE29AA">
        <w:rPr>
          <w:rFonts w:asciiTheme="minorHAnsi" w:hAnsiTheme="minorHAnsi"/>
          <w:sz w:val="20"/>
          <w:szCs w:val="20"/>
        </w:rPr>
        <w:t>5</w:t>
      </w:r>
      <w:r w:rsidRPr="00541E11">
        <w:rPr>
          <w:rFonts w:asciiTheme="minorHAnsi" w:hAnsiTheme="minorHAnsi"/>
          <w:sz w:val="20"/>
          <w:szCs w:val="20"/>
        </w:rPr>
        <w:t xml:space="preserve"> have been reviewed, not audited, and were approved by the board of directors on </w:t>
      </w:r>
      <w:r w:rsidR="00AE29AA" w:rsidRPr="00327A1E">
        <w:rPr>
          <w:rFonts w:asciiTheme="minorHAnsi" w:hAnsiTheme="minorHAnsi"/>
          <w:sz w:val="20"/>
          <w:szCs w:val="20"/>
        </w:rPr>
        <w:t>6 August</w:t>
      </w:r>
      <w:r w:rsidRPr="00327A1E">
        <w:rPr>
          <w:rFonts w:asciiTheme="minorHAnsi" w:hAnsiTheme="minorHAnsi"/>
          <w:sz w:val="20"/>
          <w:szCs w:val="20"/>
        </w:rPr>
        <w:t xml:space="preserve"> 202</w:t>
      </w:r>
      <w:r w:rsidR="00AE29AA" w:rsidRPr="00327A1E">
        <w:rPr>
          <w:rFonts w:asciiTheme="minorHAnsi" w:hAnsiTheme="minorHAnsi"/>
          <w:sz w:val="20"/>
          <w:szCs w:val="20"/>
        </w:rPr>
        <w:t>5</w:t>
      </w:r>
      <w:r w:rsidRPr="00541E11">
        <w:rPr>
          <w:rFonts w:asciiTheme="minorHAnsi" w:hAnsiTheme="minorHAnsi"/>
          <w:sz w:val="20"/>
          <w:szCs w:val="20"/>
        </w:rPr>
        <w:t xml:space="preserve">. </w:t>
      </w:r>
    </w:p>
    <w:p w14:paraId="5D270411" w14:textId="77777777" w:rsidR="00541E11" w:rsidRPr="00541E11" w:rsidRDefault="00541E11" w:rsidP="00541E11">
      <w:pPr>
        <w:jc w:val="both"/>
        <w:rPr>
          <w:rFonts w:asciiTheme="minorHAnsi" w:hAnsiTheme="minorHAnsi"/>
          <w:sz w:val="20"/>
          <w:szCs w:val="20"/>
        </w:rPr>
      </w:pPr>
    </w:p>
    <w:p w14:paraId="597AFDEB" w14:textId="31D5185D" w:rsidR="00541E11" w:rsidRPr="00541E11" w:rsidRDefault="00541E11" w:rsidP="00541E11">
      <w:pPr>
        <w:jc w:val="both"/>
        <w:rPr>
          <w:rFonts w:asciiTheme="minorHAnsi" w:hAnsiTheme="minorHAnsi"/>
          <w:sz w:val="20"/>
          <w:szCs w:val="20"/>
        </w:rPr>
      </w:pPr>
      <w:r w:rsidRPr="00541E11">
        <w:rPr>
          <w:rFonts w:asciiTheme="minorHAnsi" w:hAnsiTheme="minorHAnsi"/>
          <w:sz w:val="20"/>
          <w:szCs w:val="20"/>
        </w:rPr>
        <w:t>The unaudited condensed interim financial statements for the six months ended 30 June 202</w:t>
      </w:r>
      <w:r>
        <w:rPr>
          <w:rFonts w:asciiTheme="minorHAnsi" w:hAnsiTheme="minorHAnsi"/>
          <w:sz w:val="20"/>
          <w:szCs w:val="20"/>
        </w:rPr>
        <w:t>5</w:t>
      </w:r>
      <w:r w:rsidRPr="00541E11">
        <w:rPr>
          <w:rFonts w:asciiTheme="minorHAnsi" w:hAnsiTheme="minorHAnsi"/>
          <w:sz w:val="20"/>
          <w:szCs w:val="20"/>
        </w:rPr>
        <w:t xml:space="preserve"> have been prepared in accordance with IAS 34 ‘Interim Financial Reporting’ as adopted by the UK. The unaudited condensed interim financial statements should be read in conjunction with the statutory financial statements for the year ended 31 December 202</w:t>
      </w:r>
      <w:r>
        <w:rPr>
          <w:rFonts w:asciiTheme="minorHAnsi" w:hAnsiTheme="minorHAnsi"/>
          <w:sz w:val="20"/>
          <w:szCs w:val="20"/>
        </w:rPr>
        <w:t>4</w:t>
      </w:r>
      <w:r w:rsidRPr="00541E11">
        <w:rPr>
          <w:rFonts w:asciiTheme="minorHAnsi" w:hAnsiTheme="minorHAnsi"/>
          <w:sz w:val="20"/>
          <w:szCs w:val="20"/>
        </w:rPr>
        <w:t xml:space="preserve">. </w:t>
      </w:r>
    </w:p>
    <w:p w14:paraId="49BA9D6A" w14:textId="77777777" w:rsidR="00541E11" w:rsidRDefault="00541E11" w:rsidP="00541E11">
      <w:pPr>
        <w:jc w:val="both"/>
        <w:rPr>
          <w:rFonts w:asciiTheme="minorHAnsi" w:hAnsiTheme="minorHAnsi"/>
          <w:sz w:val="20"/>
          <w:szCs w:val="20"/>
        </w:rPr>
      </w:pPr>
    </w:p>
    <w:p w14:paraId="73BC337A" w14:textId="1735D9E1" w:rsidR="002355D6" w:rsidRPr="000E29E3" w:rsidRDefault="00541E11" w:rsidP="00A1425C">
      <w:pPr>
        <w:jc w:val="both"/>
        <w:rPr>
          <w:rFonts w:asciiTheme="minorHAnsi" w:hAnsiTheme="minorHAnsi" w:cs="Poppins-Light"/>
          <w:color w:val="FF0000"/>
          <w:sz w:val="20"/>
          <w:szCs w:val="20"/>
        </w:rPr>
      </w:pPr>
      <w:r w:rsidRPr="00541E11">
        <w:rPr>
          <w:rFonts w:asciiTheme="minorHAnsi" w:hAnsiTheme="minorHAnsi"/>
          <w:sz w:val="20"/>
          <w:szCs w:val="20"/>
        </w:rPr>
        <w:t xml:space="preserve">The interim financial statements </w:t>
      </w:r>
      <w:bookmarkStart w:id="7" w:name="OLE_LINK15"/>
      <w:bookmarkStart w:id="8" w:name="OLE_LINK16"/>
      <w:bookmarkEnd w:id="6"/>
      <w:r w:rsidR="002355D6" w:rsidRPr="00541E11">
        <w:rPr>
          <w:rFonts w:asciiTheme="minorHAnsi" w:hAnsiTheme="minorHAnsi"/>
          <w:sz w:val="20"/>
          <w:szCs w:val="20"/>
        </w:rPr>
        <w:t>have been prepared on a going concern basis under the historical cost convention, as modified by the revaluation of derivative financial instruments and investments held at fair value through profit and loss.</w:t>
      </w:r>
      <w:r w:rsidR="002355D6" w:rsidRPr="000E29E3">
        <w:rPr>
          <w:rFonts w:asciiTheme="minorHAnsi" w:hAnsiTheme="minorHAnsi" w:cs="Poppins-Light"/>
          <w:color w:val="FF0000"/>
          <w:sz w:val="20"/>
          <w:szCs w:val="20"/>
        </w:rPr>
        <w:t xml:space="preserve"> </w:t>
      </w:r>
    </w:p>
    <w:p w14:paraId="779359AF" w14:textId="77777777" w:rsidR="002355D6" w:rsidRPr="000E29E3" w:rsidRDefault="002355D6" w:rsidP="00A1425C">
      <w:pPr>
        <w:jc w:val="both"/>
        <w:rPr>
          <w:rFonts w:asciiTheme="minorHAnsi" w:hAnsiTheme="minorHAnsi" w:cs="Poppins-Light"/>
          <w:color w:val="FF0000"/>
          <w:sz w:val="20"/>
          <w:szCs w:val="20"/>
        </w:rPr>
      </w:pPr>
    </w:p>
    <w:p w14:paraId="583E6958" w14:textId="77777777" w:rsidR="00FF267C" w:rsidRPr="009638D2" w:rsidRDefault="00FF267C" w:rsidP="00FF267C">
      <w:pPr>
        <w:jc w:val="both"/>
        <w:rPr>
          <w:rFonts w:asciiTheme="minorHAnsi" w:hAnsiTheme="minorHAnsi" w:cs="Poppins-Light"/>
          <w:sz w:val="20"/>
          <w:szCs w:val="20"/>
        </w:rPr>
      </w:pPr>
      <w:r w:rsidRPr="009638D2">
        <w:rPr>
          <w:rFonts w:asciiTheme="minorHAnsi" w:hAnsiTheme="minorHAnsi" w:cs="Poppins-Light"/>
          <w:sz w:val="20"/>
          <w:szCs w:val="20"/>
        </w:rPr>
        <w:t>In assessing whether the Group is a going concern, the directors’ review has been made on the basis that the Group continues to operate for the twelve months from the date of the approval of the financial statements. The directors considered the appropriateness of the going concern basis, the period of assessment, any reporting requirements, and solvency and liquidity risks, and included a variety of factors – forecasts and budgets, timing of cashflows and funding, the Group’s primary market and any contingent liabilities. When considering the appropriateness of going concern the directors have also considered the  Group’s  ability to meets its regulatory requirements (both capital and liquidity) at all times and not just a positive net asset measure.</w:t>
      </w:r>
    </w:p>
    <w:p w14:paraId="6D5C2D62" w14:textId="77777777" w:rsidR="00FF267C" w:rsidRPr="009638D2" w:rsidRDefault="00FF267C" w:rsidP="00FF267C">
      <w:pPr>
        <w:jc w:val="both"/>
        <w:rPr>
          <w:rFonts w:asciiTheme="minorHAnsi" w:hAnsiTheme="minorHAnsi" w:cs="Poppins-Light"/>
          <w:sz w:val="20"/>
          <w:szCs w:val="20"/>
        </w:rPr>
      </w:pPr>
      <w:r w:rsidRPr="009638D2">
        <w:rPr>
          <w:rFonts w:asciiTheme="minorHAnsi" w:hAnsiTheme="minorHAnsi" w:cs="Poppins-Light"/>
          <w:sz w:val="20"/>
          <w:szCs w:val="20"/>
        </w:rPr>
        <w:t> </w:t>
      </w:r>
    </w:p>
    <w:p w14:paraId="0445EF55" w14:textId="5CD5A95B" w:rsidR="00FF267C" w:rsidRPr="001A12F4" w:rsidRDefault="00FF267C" w:rsidP="00FF267C">
      <w:pPr>
        <w:jc w:val="both"/>
        <w:rPr>
          <w:rFonts w:asciiTheme="minorHAnsi" w:hAnsiTheme="minorHAnsi" w:cs="Poppins-Light"/>
          <w:sz w:val="20"/>
          <w:szCs w:val="20"/>
        </w:rPr>
      </w:pPr>
      <w:r w:rsidRPr="001A12F4">
        <w:rPr>
          <w:rFonts w:asciiTheme="minorHAnsi" w:hAnsiTheme="minorHAnsi" w:cs="Poppins-Light"/>
          <w:sz w:val="20"/>
          <w:szCs w:val="20"/>
        </w:rPr>
        <w:t>The assessment of going concern for the Group considered the following factors:</w:t>
      </w:r>
    </w:p>
    <w:p w14:paraId="09FB448F" w14:textId="3D86550F" w:rsidR="00FF267C" w:rsidRPr="001A12F4" w:rsidRDefault="00FF267C" w:rsidP="007E76D0">
      <w:pPr>
        <w:pStyle w:val="ListParagraph"/>
        <w:numPr>
          <w:ilvl w:val="0"/>
          <w:numId w:val="38"/>
        </w:numPr>
        <w:tabs>
          <w:tab w:val="num" w:pos="720"/>
        </w:tabs>
        <w:jc w:val="both"/>
        <w:rPr>
          <w:rFonts w:asciiTheme="minorHAnsi" w:hAnsiTheme="minorHAnsi" w:cs="Poppins-Light"/>
          <w:sz w:val="20"/>
          <w:szCs w:val="20"/>
        </w:rPr>
      </w:pPr>
      <w:r w:rsidRPr="001A12F4">
        <w:rPr>
          <w:rFonts w:asciiTheme="minorHAnsi" w:hAnsiTheme="minorHAnsi" w:cs="Poppins-Light"/>
          <w:sz w:val="20"/>
          <w:szCs w:val="20"/>
        </w:rPr>
        <w:t xml:space="preserve">The Group’s corporate plan as approved in December 2024, </w:t>
      </w:r>
      <w:r w:rsidR="009638D2" w:rsidRPr="001A12F4">
        <w:rPr>
          <w:rFonts w:asciiTheme="minorHAnsi" w:hAnsiTheme="minorHAnsi" w:cs="Poppins-Light"/>
          <w:sz w:val="20"/>
          <w:szCs w:val="20"/>
        </w:rPr>
        <w:t>and the latest 18 months forecast appro</w:t>
      </w:r>
      <w:r w:rsidR="001A12F4">
        <w:rPr>
          <w:rFonts w:asciiTheme="minorHAnsi" w:hAnsiTheme="minorHAnsi" w:cs="Poppins-Light"/>
          <w:sz w:val="20"/>
          <w:szCs w:val="20"/>
        </w:rPr>
        <w:t>v</w:t>
      </w:r>
      <w:r w:rsidR="009638D2" w:rsidRPr="001A12F4">
        <w:rPr>
          <w:rFonts w:asciiTheme="minorHAnsi" w:hAnsiTheme="minorHAnsi" w:cs="Poppins-Light"/>
          <w:sz w:val="20"/>
          <w:szCs w:val="20"/>
        </w:rPr>
        <w:t>ed in July 25</w:t>
      </w:r>
      <w:r w:rsidRPr="001A12F4">
        <w:rPr>
          <w:rFonts w:asciiTheme="minorHAnsi" w:hAnsiTheme="minorHAnsi" w:cs="Poppins-Light"/>
          <w:sz w:val="20"/>
          <w:szCs w:val="20"/>
        </w:rPr>
        <w:t xml:space="preserve"> which sets out financial, capital, liquidity and funding projections, together with an overview of relevant risks;</w:t>
      </w:r>
    </w:p>
    <w:p w14:paraId="0781C9AA" w14:textId="77777777" w:rsidR="00FF267C" w:rsidRPr="00CD095B" w:rsidRDefault="00FF267C" w:rsidP="007E76D0">
      <w:pPr>
        <w:pStyle w:val="ListParagraph"/>
        <w:numPr>
          <w:ilvl w:val="0"/>
          <w:numId w:val="38"/>
        </w:numPr>
        <w:tabs>
          <w:tab w:val="num" w:pos="720"/>
        </w:tabs>
        <w:jc w:val="both"/>
        <w:rPr>
          <w:rFonts w:asciiTheme="minorHAnsi" w:hAnsiTheme="minorHAnsi" w:cs="Poppins-Light"/>
          <w:sz w:val="20"/>
          <w:szCs w:val="20"/>
        </w:rPr>
      </w:pPr>
      <w:r w:rsidRPr="00CD095B">
        <w:rPr>
          <w:rFonts w:asciiTheme="minorHAnsi" w:hAnsiTheme="minorHAnsi" w:cs="Poppins-Light"/>
          <w:sz w:val="20"/>
          <w:szCs w:val="20"/>
        </w:rPr>
        <w:t>The principal and emerging risks which could impact the performance of the Group, with a focus on capital and liquidity;</w:t>
      </w:r>
    </w:p>
    <w:p w14:paraId="517AA79F" w14:textId="77777777" w:rsidR="00FF267C" w:rsidRPr="00CD095B" w:rsidRDefault="00FF267C" w:rsidP="007E76D0">
      <w:pPr>
        <w:pStyle w:val="ListParagraph"/>
        <w:numPr>
          <w:ilvl w:val="0"/>
          <w:numId w:val="38"/>
        </w:numPr>
        <w:tabs>
          <w:tab w:val="num" w:pos="720"/>
        </w:tabs>
        <w:jc w:val="both"/>
        <w:rPr>
          <w:rFonts w:asciiTheme="minorHAnsi" w:hAnsiTheme="minorHAnsi" w:cs="Poppins-Light"/>
          <w:sz w:val="20"/>
          <w:szCs w:val="20"/>
        </w:rPr>
      </w:pPr>
      <w:r w:rsidRPr="00CD095B">
        <w:rPr>
          <w:rFonts w:asciiTheme="minorHAnsi" w:hAnsiTheme="minorHAnsi" w:cs="Poppins-Light"/>
          <w:sz w:val="20"/>
          <w:szCs w:val="20"/>
        </w:rPr>
        <w:t>The severe but plausible downside scenario, which is designed to assess the potential impact of certain underlying risks on the Group’s capital and funding resources, together with the availability and effectiveness of mitigating actions;</w:t>
      </w:r>
    </w:p>
    <w:p w14:paraId="3427581F" w14:textId="3FEEEB36" w:rsidR="003976F8" w:rsidRPr="00CD095B" w:rsidRDefault="003976F8" w:rsidP="007E76D0">
      <w:pPr>
        <w:pStyle w:val="ListParagraph"/>
        <w:numPr>
          <w:ilvl w:val="0"/>
          <w:numId w:val="38"/>
        </w:numPr>
        <w:tabs>
          <w:tab w:val="num" w:pos="720"/>
        </w:tabs>
        <w:jc w:val="both"/>
        <w:rPr>
          <w:rFonts w:asciiTheme="minorHAnsi" w:hAnsiTheme="minorHAnsi" w:cs="Poppins-Light"/>
          <w:sz w:val="20"/>
          <w:szCs w:val="20"/>
        </w:rPr>
      </w:pPr>
      <w:r w:rsidRPr="003976F8">
        <w:rPr>
          <w:rFonts w:asciiTheme="minorHAnsi" w:hAnsiTheme="minorHAnsi" w:cs="Poppins-Light"/>
          <w:sz w:val="20"/>
          <w:szCs w:val="20"/>
        </w:rPr>
        <w:t>An idiosyncratic downside scenario assessing Vehicle Finance Commission outcomes</w:t>
      </w:r>
      <w:r>
        <w:rPr>
          <w:rFonts w:asciiTheme="minorHAnsi" w:hAnsiTheme="minorHAnsi" w:cs="Poppins-Light"/>
          <w:sz w:val="20"/>
          <w:szCs w:val="20"/>
        </w:rPr>
        <w:t>; and</w:t>
      </w:r>
    </w:p>
    <w:p w14:paraId="697D5EE4" w14:textId="5D22CFB6" w:rsidR="00FF267C" w:rsidRPr="00F563E6" w:rsidRDefault="00FF267C" w:rsidP="007E76D0">
      <w:pPr>
        <w:pStyle w:val="ListParagraph"/>
        <w:numPr>
          <w:ilvl w:val="0"/>
          <w:numId w:val="38"/>
        </w:numPr>
        <w:tabs>
          <w:tab w:val="num" w:pos="720"/>
        </w:tabs>
        <w:jc w:val="both"/>
        <w:rPr>
          <w:rFonts w:asciiTheme="minorHAnsi" w:hAnsiTheme="minorHAnsi" w:cs="Poppins-Light"/>
          <w:sz w:val="20"/>
          <w:szCs w:val="20"/>
        </w:rPr>
      </w:pPr>
      <w:r w:rsidRPr="00F563E6">
        <w:rPr>
          <w:rFonts w:asciiTheme="minorHAnsi" w:hAnsiTheme="minorHAnsi" w:cs="Poppins-Light"/>
          <w:sz w:val="20"/>
          <w:szCs w:val="20"/>
        </w:rPr>
        <w:t>Reverse stress testing analysis, which is designed to assess the point at which the Group is no longer a going concern;</w:t>
      </w:r>
    </w:p>
    <w:p w14:paraId="7FA98E9A" w14:textId="77777777" w:rsidR="00FF267C" w:rsidRPr="000E29E3" w:rsidRDefault="00FF267C" w:rsidP="00FF267C">
      <w:pPr>
        <w:jc w:val="both"/>
        <w:rPr>
          <w:rFonts w:asciiTheme="minorHAnsi" w:hAnsiTheme="minorHAnsi" w:cs="Poppins-Light"/>
          <w:color w:val="FF0000"/>
          <w:sz w:val="20"/>
          <w:szCs w:val="20"/>
        </w:rPr>
      </w:pPr>
      <w:r w:rsidRPr="000E29E3">
        <w:rPr>
          <w:rFonts w:asciiTheme="minorHAnsi" w:hAnsiTheme="minorHAnsi" w:cs="Poppins-Light"/>
          <w:color w:val="FF0000"/>
          <w:sz w:val="20"/>
          <w:szCs w:val="20"/>
        </w:rPr>
        <w:t> </w:t>
      </w:r>
    </w:p>
    <w:p w14:paraId="26D097A4" w14:textId="66F9E137" w:rsidR="00FF267C" w:rsidRPr="00327A1E" w:rsidRDefault="00FF267C" w:rsidP="00FF267C">
      <w:pPr>
        <w:jc w:val="both"/>
        <w:rPr>
          <w:rFonts w:asciiTheme="minorHAnsi" w:hAnsiTheme="minorHAnsi" w:cs="Poppins-Light"/>
          <w:color w:val="000000" w:themeColor="text1"/>
          <w:sz w:val="20"/>
          <w:szCs w:val="20"/>
        </w:rPr>
      </w:pPr>
      <w:r w:rsidRPr="00327A1E">
        <w:rPr>
          <w:rFonts w:asciiTheme="minorHAnsi" w:hAnsiTheme="minorHAnsi" w:cs="Poppins-Light"/>
          <w:color w:val="000000" w:themeColor="text1"/>
          <w:sz w:val="20"/>
          <w:szCs w:val="20"/>
        </w:rPr>
        <w:t xml:space="preserve">Having considered the Group’s forecasts, the regulatory capital and liquidity of the Group, the regulatory outlook and the impact of the </w:t>
      </w:r>
      <w:r w:rsidR="00473FC6">
        <w:rPr>
          <w:rFonts w:asciiTheme="minorHAnsi" w:hAnsiTheme="minorHAnsi" w:cs="Poppins-Light"/>
          <w:color w:val="000000" w:themeColor="text1"/>
          <w:sz w:val="20"/>
          <w:szCs w:val="20"/>
        </w:rPr>
        <w:t>Supreme Court</w:t>
      </w:r>
      <w:r w:rsidRPr="00327A1E">
        <w:rPr>
          <w:rFonts w:asciiTheme="minorHAnsi" w:hAnsiTheme="minorHAnsi" w:cs="Poppins-Light"/>
          <w:color w:val="000000" w:themeColor="text1"/>
          <w:sz w:val="20"/>
          <w:szCs w:val="20"/>
        </w:rPr>
        <w:t xml:space="preserve"> </w:t>
      </w:r>
      <w:r w:rsidR="00E41316">
        <w:rPr>
          <w:rFonts w:asciiTheme="minorHAnsi" w:hAnsiTheme="minorHAnsi" w:cs="Poppins-Light"/>
          <w:color w:val="000000" w:themeColor="text1"/>
          <w:sz w:val="20"/>
          <w:szCs w:val="20"/>
        </w:rPr>
        <w:t>judgment</w:t>
      </w:r>
      <w:r w:rsidR="00E41316" w:rsidRPr="00327A1E">
        <w:rPr>
          <w:rFonts w:asciiTheme="minorHAnsi" w:hAnsiTheme="minorHAnsi" w:cs="Poppins-Light"/>
          <w:color w:val="000000" w:themeColor="text1"/>
          <w:sz w:val="20"/>
          <w:szCs w:val="20"/>
        </w:rPr>
        <w:t xml:space="preserve"> </w:t>
      </w:r>
      <w:r w:rsidR="00E41316">
        <w:rPr>
          <w:rFonts w:asciiTheme="minorHAnsi" w:hAnsiTheme="minorHAnsi" w:cs="Poppins-Light"/>
          <w:color w:val="000000" w:themeColor="text1"/>
          <w:sz w:val="20"/>
          <w:szCs w:val="20"/>
        </w:rPr>
        <w:t xml:space="preserve">and FCA’s intention to consult </w:t>
      </w:r>
      <w:r w:rsidRPr="00327A1E">
        <w:rPr>
          <w:rFonts w:asciiTheme="minorHAnsi" w:hAnsiTheme="minorHAnsi" w:cs="Poppins-Light"/>
          <w:color w:val="000000" w:themeColor="text1"/>
          <w:sz w:val="20"/>
          <w:szCs w:val="20"/>
        </w:rPr>
        <w:t>on Vehicle Finance commission, the directors have a reasonable expectation that the Group will continue as a going concern for a period of at least 12 months from the date of approving these financial statements. Accordingly, the financial statements of the Group have been prepared on the going concern basis. </w:t>
      </w:r>
    </w:p>
    <w:p w14:paraId="4666DCCC" w14:textId="77777777" w:rsidR="00EF7B69" w:rsidRDefault="00EF7B69" w:rsidP="00FF267C">
      <w:pPr>
        <w:jc w:val="both"/>
        <w:rPr>
          <w:rFonts w:asciiTheme="minorHAnsi" w:hAnsiTheme="minorHAnsi" w:cs="Poppins-Light"/>
          <w:sz w:val="20"/>
          <w:szCs w:val="20"/>
        </w:rPr>
      </w:pPr>
    </w:p>
    <w:p w14:paraId="35B1272A" w14:textId="56CE2F26" w:rsidR="00A1425C" w:rsidRPr="00701439" w:rsidRDefault="00A1425C" w:rsidP="00A1425C">
      <w:pPr>
        <w:jc w:val="both"/>
        <w:rPr>
          <w:rStyle w:val="bodycopynumber"/>
          <w:rFonts w:asciiTheme="minorHAnsi" w:hAnsiTheme="minorHAnsi" w:cs="Arial"/>
          <w:b/>
          <w:bCs/>
          <w:color w:val="4747FF"/>
          <w:sz w:val="22"/>
          <w:szCs w:val="22"/>
        </w:rPr>
      </w:pPr>
      <w:r w:rsidRPr="00701439">
        <w:rPr>
          <w:rStyle w:val="bodycopynumber"/>
          <w:rFonts w:asciiTheme="minorHAnsi" w:hAnsiTheme="minorHAnsi" w:cs="Arial"/>
          <w:b/>
          <w:bCs/>
          <w:color w:val="4747FF"/>
          <w:sz w:val="22"/>
          <w:szCs w:val="22"/>
        </w:rPr>
        <w:t>2.</w:t>
      </w:r>
      <w:r w:rsidRPr="00701439">
        <w:rPr>
          <w:rStyle w:val="bodycopynumber"/>
          <w:rFonts w:asciiTheme="minorHAnsi" w:hAnsiTheme="minorHAnsi" w:cs="Arial"/>
          <w:b/>
          <w:bCs/>
          <w:color w:val="4747FF"/>
          <w:sz w:val="22"/>
          <w:szCs w:val="22"/>
        </w:rPr>
        <w:tab/>
        <w:t>Accounting policies</w:t>
      </w:r>
    </w:p>
    <w:p w14:paraId="683851D1" w14:textId="77777777" w:rsidR="00A1425C" w:rsidRPr="00701439"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53A7BDC7" w14:textId="4160264F" w:rsidR="00A1425C" w:rsidRDefault="00A1425C" w:rsidP="006677D7">
      <w:pPr>
        <w:autoSpaceDE w:val="0"/>
        <w:autoSpaceDN w:val="0"/>
        <w:adjustRightInd w:val="0"/>
        <w:jc w:val="both"/>
        <w:rPr>
          <w:rFonts w:asciiTheme="minorHAnsi" w:hAnsiTheme="minorHAnsi" w:cs="Poppins-Light"/>
          <w:sz w:val="20"/>
          <w:szCs w:val="20"/>
        </w:rPr>
      </w:pPr>
      <w:r w:rsidRPr="00701439">
        <w:rPr>
          <w:rFonts w:asciiTheme="minorHAnsi" w:hAnsiTheme="minorHAnsi" w:cs="Poppins-Light"/>
          <w:sz w:val="20"/>
          <w:szCs w:val="20"/>
        </w:rPr>
        <w:t>Group principal accounting policies under IFRS have been consistently applied to all the years presented</w:t>
      </w:r>
      <w:r w:rsidR="0058677F">
        <w:rPr>
          <w:rFonts w:asciiTheme="minorHAnsi" w:hAnsiTheme="minorHAnsi" w:cs="Poppins-Light"/>
          <w:sz w:val="20"/>
          <w:szCs w:val="20"/>
        </w:rPr>
        <w:t>, ex</w:t>
      </w:r>
      <w:r w:rsidR="00E44D27">
        <w:rPr>
          <w:rFonts w:asciiTheme="minorHAnsi" w:hAnsiTheme="minorHAnsi" w:cs="Poppins-Light"/>
          <w:sz w:val="20"/>
          <w:szCs w:val="20"/>
        </w:rPr>
        <w:t>ce</w:t>
      </w:r>
      <w:r w:rsidR="0058677F">
        <w:rPr>
          <w:rFonts w:asciiTheme="minorHAnsi" w:hAnsiTheme="minorHAnsi" w:cs="Poppins-Light"/>
          <w:sz w:val="20"/>
          <w:szCs w:val="20"/>
        </w:rPr>
        <w:t>pt where set out below.</w:t>
      </w:r>
    </w:p>
    <w:p w14:paraId="0D933624" w14:textId="77777777" w:rsidR="00A20919" w:rsidRDefault="00A20919" w:rsidP="006677D7">
      <w:pPr>
        <w:autoSpaceDE w:val="0"/>
        <w:autoSpaceDN w:val="0"/>
        <w:adjustRightInd w:val="0"/>
        <w:jc w:val="both"/>
        <w:rPr>
          <w:rFonts w:asciiTheme="minorHAnsi" w:hAnsiTheme="minorHAnsi" w:cs="Poppins-Light"/>
          <w:sz w:val="20"/>
          <w:szCs w:val="20"/>
        </w:rPr>
      </w:pPr>
    </w:p>
    <w:p w14:paraId="0AB2D9CD" w14:textId="14A87C1F" w:rsidR="00A1425C" w:rsidRPr="00C65731" w:rsidRDefault="00C65731" w:rsidP="006677D7">
      <w:pPr>
        <w:autoSpaceDE w:val="0"/>
        <w:autoSpaceDN w:val="0"/>
        <w:adjustRightInd w:val="0"/>
        <w:jc w:val="both"/>
        <w:rPr>
          <w:rFonts w:asciiTheme="minorHAnsi" w:hAnsiTheme="minorHAnsi" w:cs="Poppins-Light"/>
          <w:b/>
          <w:bCs/>
          <w:sz w:val="20"/>
          <w:szCs w:val="20"/>
          <w:u w:val="single"/>
        </w:rPr>
      </w:pPr>
      <w:r w:rsidRPr="00C65731">
        <w:rPr>
          <w:rFonts w:asciiTheme="minorHAnsi" w:hAnsiTheme="minorHAnsi" w:cs="Poppins-Light"/>
          <w:b/>
          <w:bCs/>
          <w:sz w:val="20"/>
          <w:szCs w:val="20"/>
          <w:u w:val="single"/>
        </w:rPr>
        <w:t>Change in accounting policies</w:t>
      </w:r>
    </w:p>
    <w:p w14:paraId="52B09646" w14:textId="1F2B9838" w:rsidR="00AC4594" w:rsidRPr="00AC4594" w:rsidRDefault="00AC4594" w:rsidP="00AC4594">
      <w:pPr>
        <w:autoSpaceDE w:val="0"/>
        <w:autoSpaceDN w:val="0"/>
        <w:adjustRightInd w:val="0"/>
        <w:jc w:val="both"/>
        <w:rPr>
          <w:rFonts w:asciiTheme="minorHAnsi" w:hAnsiTheme="minorHAnsi" w:cs="Poppins-Light"/>
          <w:sz w:val="20"/>
          <w:szCs w:val="20"/>
          <w:u w:val="single"/>
        </w:rPr>
      </w:pPr>
      <w:r w:rsidRPr="00AC4594">
        <w:rPr>
          <w:rFonts w:asciiTheme="minorHAnsi" w:hAnsiTheme="minorHAnsi" w:cs="Poppins-Light"/>
          <w:sz w:val="20"/>
          <w:szCs w:val="20"/>
          <w:u w:val="single"/>
        </w:rPr>
        <w:t>Exceptional</w:t>
      </w:r>
      <w:r w:rsidR="004E64FB">
        <w:rPr>
          <w:rFonts w:asciiTheme="minorHAnsi" w:hAnsiTheme="minorHAnsi" w:cs="Poppins-Light"/>
          <w:sz w:val="20"/>
          <w:szCs w:val="20"/>
          <w:u w:val="single"/>
        </w:rPr>
        <w:t xml:space="preserve"> items</w:t>
      </w:r>
    </w:p>
    <w:p w14:paraId="272A769B" w14:textId="77777777" w:rsidR="00620CE5" w:rsidRDefault="002017EB" w:rsidP="00620CE5">
      <w:pPr>
        <w:autoSpaceDE w:val="0"/>
        <w:autoSpaceDN w:val="0"/>
        <w:adjustRightInd w:val="0"/>
        <w:jc w:val="both"/>
        <w:rPr>
          <w:rFonts w:ascii="Calibri" w:eastAsia="Calibri" w:hAnsi="Calibri" w:cs="Calibri"/>
          <w:sz w:val="20"/>
          <w:szCs w:val="20"/>
        </w:rPr>
      </w:pPr>
      <w:r>
        <w:rPr>
          <w:rFonts w:ascii="Calibri" w:eastAsia="Calibri" w:hAnsi="Calibri" w:cs="Calibri"/>
          <w:sz w:val="20"/>
          <w:szCs w:val="20"/>
        </w:rPr>
        <w:t>T</w:t>
      </w:r>
      <w:r w:rsidRPr="002017EB">
        <w:rPr>
          <w:rFonts w:ascii="Calibri" w:eastAsia="Calibri" w:hAnsi="Calibri" w:cs="Calibri"/>
          <w:sz w:val="20"/>
          <w:szCs w:val="20"/>
        </w:rPr>
        <w:t>he Group has transitioned to reporting solely on a statutory basis</w:t>
      </w:r>
      <w:r w:rsidR="00620CE5">
        <w:rPr>
          <w:rFonts w:ascii="Calibri" w:eastAsia="Calibri" w:hAnsi="Calibri" w:cs="Calibri"/>
          <w:sz w:val="20"/>
          <w:szCs w:val="20"/>
        </w:rPr>
        <w:t xml:space="preserve">, </w:t>
      </w:r>
      <w:r w:rsidR="00620CE5" w:rsidRPr="002017EB">
        <w:rPr>
          <w:rFonts w:ascii="Calibri" w:eastAsia="Calibri" w:hAnsi="Calibri" w:cs="Calibri"/>
          <w:sz w:val="20"/>
          <w:szCs w:val="20"/>
        </w:rPr>
        <w:t>removing adjustments for goodwill write-offs, transformation and other exceptional costs, and amortisation of acquisition intangibles.</w:t>
      </w:r>
    </w:p>
    <w:p w14:paraId="0FE3DEF6" w14:textId="77777777" w:rsidR="00620CE5" w:rsidRPr="001872FF" w:rsidRDefault="00620CE5" w:rsidP="00620CE5">
      <w:pPr>
        <w:autoSpaceDE w:val="0"/>
        <w:autoSpaceDN w:val="0"/>
        <w:adjustRightInd w:val="0"/>
        <w:jc w:val="both"/>
        <w:rPr>
          <w:rFonts w:ascii="Calibri" w:eastAsia="Calibri" w:hAnsi="Calibri" w:cs="Calibri"/>
          <w:sz w:val="20"/>
          <w:szCs w:val="20"/>
        </w:rPr>
      </w:pPr>
    </w:p>
    <w:p w14:paraId="73BFDB73" w14:textId="484527F7" w:rsidR="002017EB" w:rsidRPr="002017EB" w:rsidRDefault="002017EB" w:rsidP="002017EB">
      <w:pPr>
        <w:autoSpaceDE w:val="0"/>
        <w:autoSpaceDN w:val="0"/>
        <w:adjustRightInd w:val="0"/>
        <w:jc w:val="both"/>
        <w:rPr>
          <w:rFonts w:ascii="Calibri" w:eastAsia="Calibri" w:hAnsi="Calibri" w:cs="Calibri"/>
          <w:sz w:val="20"/>
          <w:szCs w:val="20"/>
        </w:rPr>
      </w:pPr>
      <w:r w:rsidRPr="002017EB">
        <w:rPr>
          <w:rFonts w:ascii="Calibri" w:eastAsia="Calibri" w:hAnsi="Calibri" w:cs="Calibri"/>
          <w:sz w:val="20"/>
          <w:szCs w:val="20"/>
        </w:rPr>
        <w:t>This follows actions taken in 2024 that resulted in a cleaner, lower-risk balance sheet and improved transparency at both Group and product levels. Adjusted performance is now expected to closely align with statutory results.</w:t>
      </w:r>
    </w:p>
    <w:p w14:paraId="668F11C9" w14:textId="77777777" w:rsidR="002115DF" w:rsidRPr="001872FF" w:rsidRDefault="002115DF" w:rsidP="006677D7">
      <w:pPr>
        <w:autoSpaceDE w:val="0"/>
        <w:autoSpaceDN w:val="0"/>
        <w:adjustRightInd w:val="0"/>
        <w:jc w:val="both"/>
        <w:rPr>
          <w:rFonts w:ascii="Calibri" w:eastAsia="Calibri" w:hAnsi="Calibri" w:cs="Calibri"/>
          <w:sz w:val="20"/>
          <w:szCs w:val="20"/>
        </w:rPr>
      </w:pPr>
    </w:p>
    <w:p w14:paraId="64CD8AFE" w14:textId="5DFB8716" w:rsidR="001D34EA" w:rsidRPr="001872FF" w:rsidRDefault="002115DF" w:rsidP="001D34EA">
      <w:pPr>
        <w:autoSpaceDE w:val="0"/>
        <w:autoSpaceDN w:val="0"/>
        <w:adjustRightInd w:val="0"/>
        <w:jc w:val="both"/>
        <w:rPr>
          <w:rFonts w:asciiTheme="minorHAnsi" w:hAnsiTheme="minorHAnsi" w:cs="Poppins-Light"/>
          <w:sz w:val="20"/>
          <w:szCs w:val="20"/>
        </w:rPr>
      </w:pPr>
      <w:r w:rsidRPr="001872FF">
        <w:rPr>
          <w:rFonts w:ascii="Calibri" w:eastAsia="Calibri" w:hAnsi="Calibri" w:cs="Calibri"/>
          <w:sz w:val="20"/>
          <w:szCs w:val="20"/>
        </w:rPr>
        <w:t xml:space="preserve">The accounting policy for exceptional items </w:t>
      </w:r>
      <w:r w:rsidR="00D773F0" w:rsidRPr="001872FF">
        <w:rPr>
          <w:rFonts w:ascii="Calibri" w:eastAsia="Calibri" w:hAnsi="Calibri" w:cs="Calibri"/>
          <w:sz w:val="20"/>
          <w:szCs w:val="20"/>
        </w:rPr>
        <w:t xml:space="preserve">is </w:t>
      </w:r>
      <w:r w:rsidR="007561E5" w:rsidRPr="001872FF">
        <w:rPr>
          <w:rFonts w:ascii="Calibri" w:eastAsia="Calibri" w:hAnsi="Calibri" w:cs="Calibri"/>
          <w:sz w:val="20"/>
          <w:szCs w:val="20"/>
        </w:rPr>
        <w:t xml:space="preserve">therefore </w:t>
      </w:r>
      <w:r w:rsidR="00D773F0" w:rsidRPr="001872FF">
        <w:rPr>
          <w:rFonts w:ascii="Calibri" w:eastAsia="Calibri" w:hAnsi="Calibri" w:cs="Calibri"/>
          <w:sz w:val="20"/>
          <w:szCs w:val="20"/>
        </w:rPr>
        <w:t>no longer in place</w:t>
      </w:r>
      <w:r w:rsidR="007561E5" w:rsidRPr="001872FF">
        <w:rPr>
          <w:rFonts w:ascii="Calibri" w:eastAsia="Calibri" w:hAnsi="Calibri" w:cs="Calibri"/>
          <w:sz w:val="20"/>
          <w:szCs w:val="20"/>
        </w:rPr>
        <w:t xml:space="preserve">. As this is a change in accounting policy the comparatives have been </w:t>
      </w:r>
      <w:r w:rsidR="00B83763">
        <w:rPr>
          <w:rFonts w:ascii="Calibri" w:eastAsia="Calibri" w:hAnsi="Calibri" w:cs="Calibri"/>
          <w:sz w:val="20"/>
          <w:szCs w:val="20"/>
        </w:rPr>
        <w:t>re</w:t>
      </w:r>
      <w:r w:rsidR="007561E5" w:rsidRPr="001872FF">
        <w:rPr>
          <w:rFonts w:ascii="Calibri" w:eastAsia="Calibri" w:hAnsi="Calibri" w:cs="Calibri"/>
          <w:sz w:val="20"/>
          <w:szCs w:val="20"/>
        </w:rPr>
        <w:t xml:space="preserve">presented however there is </w:t>
      </w:r>
      <w:r w:rsidR="007561E5" w:rsidRPr="001872FF">
        <w:rPr>
          <w:rFonts w:asciiTheme="minorHAnsi" w:hAnsiTheme="minorHAnsi" w:cs="Poppins-Light"/>
          <w:sz w:val="20"/>
          <w:szCs w:val="20"/>
        </w:rPr>
        <w:t xml:space="preserve">no impact on </w:t>
      </w:r>
      <w:r w:rsidR="001D34EA" w:rsidRPr="001872FF">
        <w:rPr>
          <w:rFonts w:asciiTheme="minorHAnsi" w:hAnsiTheme="minorHAnsi" w:cs="Poppins-Light"/>
          <w:sz w:val="20"/>
          <w:szCs w:val="20"/>
        </w:rPr>
        <w:t xml:space="preserve">recognition, measurement or </w:t>
      </w:r>
      <w:r w:rsidR="00C02801">
        <w:rPr>
          <w:rFonts w:asciiTheme="minorHAnsi" w:hAnsiTheme="minorHAnsi" w:cs="Poppins-Light"/>
          <w:sz w:val="20"/>
          <w:szCs w:val="20"/>
        </w:rPr>
        <w:t xml:space="preserve">total </w:t>
      </w:r>
      <w:r w:rsidR="001D34EA" w:rsidRPr="001872FF">
        <w:rPr>
          <w:rFonts w:asciiTheme="minorHAnsi" w:hAnsiTheme="minorHAnsi" w:cs="Poppins-Light"/>
          <w:sz w:val="20"/>
          <w:szCs w:val="20"/>
        </w:rPr>
        <w:t>profit and loss in any period presented in this report.</w:t>
      </w:r>
      <w:r w:rsidR="001872FF" w:rsidRPr="001872FF">
        <w:rPr>
          <w:rFonts w:asciiTheme="minorHAnsi" w:hAnsiTheme="minorHAnsi" w:cs="Poppins-Light"/>
          <w:sz w:val="20"/>
          <w:szCs w:val="20"/>
        </w:rPr>
        <w:t xml:space="preserve"> The change reflects a change in presentation o</w:t>
      </w:r>
      <w:r w:rsidR="00863D3F">
        <w:rPr>
          <w:rFonts w:asciiTheme="minorHAnsi" w:hAnsiTheme="minorHAnsi" w:cs="Poppins-Light"/>
          <w:sz w:val="20"/>
          <w:szCs w:val="20"/>
        </w:rPr>
        <w:t>f</w:t>
      </w:r>
      <w:r w:rsidR="001872FF" w:rsidRPr="001872FF">
        <w:rPr>
          <w:rFonts w:asciiTheme="minorHAnsi" w:hAnsiTheme="minorHAnsi" w:cs="Poppins-Light"/>
          <w:sz w:val="20"/>
          <w:szCs w:val="20"/>
        </w:rPr>
        <w:t xml:space="preserve"> the income statement a</w:t>
      </w:r>
      <w:r w:rsidR="00D51634">
        <w:rPr>
          <w:rFonts w:asciiTheme="minorHAnsi" w:hAnsiTheme="minorHAnsi" w:cs="Poppins-Light"/>
          <w:sz w:val="20"/>
          <w:szCs w:val="20"/>
        </w:rPr>
        <w:t>n</w:t>
      </w:r>
      <w:r w:rsidR="001872FF" w:rsidRPr="001872FF">
        <w:rPr>
          <w:rFonts w:asciiTheme="minorHAnsi" w:hAnsiTheme="minorHAnsi" w:cs="Poppins-Light"/>
          <w:sz w:val="20"/>
          <w:szCs w:val="20"/>
        </w:rPr>
        <w:t xml:space="preserve">d associated metrics. </w:t>
      </w:r>
    </w:p>
    <w:p w14:paraId="2BD64D07" w14:textId="3C5A1E19" w:rsidR="007561E5" w:rsidRPr="001D34EA" w:rsidRDefault="007561E5" w:rsidP="007561E5">
      <w:pPr>
        <w:autoSpaceDE w:val="0"/>
        <w:autoSpaceDN w:val="0"/>
        <w:adjustRightInd w:val="0"/>
        <w:jc w:val="both"/>
        <w:rPr>
          <w:rFonts w:asciiTheme="minorHAnsi" w:hAnsiTheme="minorHAnsi" w:cs="Poppins-Light"/>
          <w:color w:val="FF0000"/>
          <w:sz w:val="20"/>
          <w:szCs w:val="20"/>
        </w:rPr>
      </w:pPr>
    </w:p>
    <w:p w14:paraId="31C1F2EA" w14:textId="0F5AFE0C" w:rsidR="007B16D5" w:rsidRPr="00C65731" w:rsidRDefault="004A0BF4" w:rsidP="007561E5">
      <w:pPr>
        <w:autoSpaceDE w:val="0"/>
        <w:autoSpaceDN w:val="0"/>
        <w:adjustRightInd w:val="0"/>
        <w:jc w:val="both"/>
        <w:rPr>
          <w:rFonts w:asciiTheme="minorHAnsi" w:hAnsiTheme="minorHAnsi" w:cs="Poppins-Light"/>
          <w:b/>
          <w:bCs/>
          <w:sz w:val="20"/>
          <w:szCs w:val="20"/>
          <w:u w:val="single"/>
        </w:rPr>
      </w:pPr>
      <w:r w:rsidRPr="00C65731">
        <w:rPr>
          <w:rFonts w:asciiTheme="minorHAnsi" w:hAnsiTheme="minorHAnsi" w:cs="Poppins-Light"/>
          <w:b/>
          <w:bCs/>
          <w:sz w:val="20"/>
          <w:szCs w:val="20"/>
          <w:u w:val="single"/>
        </w:rPr>
        <w:t xml:space="preserve">Representation of </w:t>
      </w:r>
      <w:r w:rsidR="00DA40E8" w:rsidRPr="00C65731">
        <w:rPr>
          <w:rFonts w:asciiTheme="minorHAnsi" w:hAnsiTheme="minorHAnsi" w:cs="Poppins-Light"/>
          <w:b/>
          <w:bCs/>
          <w:sz w:val="20"/>
          <w:szCs w:val="20"/>
          <w:u w:val="single"/>
        </w:rPr>
        <w:t xml:space="preserve">items </w:t>
      </w:r>
    </w:p>
    <w:p w14:paraId="7474843A" w14:textId="36B73E1C" w:rsidR="00274A4F" w:rsidRPr="0065038F" w:rsidRDefault="005B1124" w:rsidP="006677D7">
      <w:pPr>
        <w:autoSpaceDE w:val="0"/>
        <w:autoSpaceDN w:val="0"/>
        <w:adjustRightInd w:val="0"/>
        <w:jc w:val="both"/>
        <w:rPr>
          <w:rFonts w:asciiTheme="minorHAnsi" w:hAnsiTheme="minorHAnsi" w:cs="Poppins-Light"/>
          <w:sz w:val="20"/>
          <w:szCs w:val="20"/>
          <w:u w:val="single"/>
        </w:rPr>
      </w:pPr>
      <w:r w:rsidRPr="0065038F">
        <w:rPr>
          <w:rFonts w:asciiTheme="minorHAnsi" w:hAnsiTheme="minorHAnsi" w:cs="Poppins-Light"/>
          <w:sz w:val="20"/>
          <w:szCs w:val="20"/>
          <w:u w:val="single"/>
        </w:rPr>
        <w:t>Discont</w:t>
      </w:r>
      <w:r w:rsidR="0065038F" w:rsidRPr="0065038F">
        <w:rPr>
          <w:rFonts w:asciiTheme="minorHAnsi" w:hAnsiTheme="minorHAnsi" w:cs="Poppins-Light"/>
          <w:sz w:val="20"/>
          <w:szCs w:val="20"/>
          <w:u w:val="single"/>
        </w:rPr>
        <w:t>inued operations</w:t>
      </w:r>
    </w:p>
    <w:p w14:paraId="63CDC0C7" w14:textId="22162CC0" w:rsidR="0065038F" w:rsidRPr="00B43B2D" w:rsidRDefault="0065038F" w:rsidP="0065038F">
      <w:pPr>
        <w:autoSpaceDE w:val="0"/>
        <w:autoSpaceDN w:val="0"/>
        <w:adjustRightInd w:val="0"/>
        <w:jc w:val="both"/>
        <w:rPr>
          <w:rFonts w:asciiTheme="minorHAnsi" w:hAnsiTheme="minorHAnsi" w:cs="Poppins-Light"/>
          <w:sz w:val="20"/>
          <w:szCs w:val="20"/>
        </w:rPr>
      </w:pPr>
      <w:r w:rsidRPr="00B43B2D">
        <w:rPr>
          <w:rFonts w:asciiTheme="minorHAnsi" w:hAnsiTheme="minorHAnsi" w:cs="Poppins-Light"/>
          <w:sz w:val="20"/>
          <w:szCs w:val="20"/>
        </w:rPr>
        <w:t xml:space="preserve">The </w:t>
      </w:r>
      <w:r>
        <w:rPr>
          <w:rFonts w:asciiTheme="minorHAnsi" w:hAnsiTheme="minorHAnsi" w:cs="Poppins-Light"/>
          <w:sz w:val="20"/>
          <w:szCs w:val="20"/>
        </w:rPr>
        <w:t xml:space="preserve">Group </w:t>
      </w:r>
      <w:r w:rsidRPr="00B43B2D">
        <w:rPr>
          <w:rFonts w:asciiTheme="minorHAnsi" w:hAnsiTheme="minorHAnsi" w:cs="Poppins-Light"/>
          <w:sz w:val="20"/>
          <w:szCs w:val="20"/>
        </w:rPr>
        <w:t xml:space="preserve">sold its Loan portfolio </w:t>
      </w:r>
      <w:r w:rsidR="00053ADE">
        <w:rPr>
          <w:rFonts w:asciiTheme="minorHAnsi" w:hAnsiTheme="minorHAnsi" w:cs="Poppins-Light"/>
          <w:sz w:val="20"/>
          <w:szCs w:val="20"/>
        </w:rPr>
        <w:t>in MAR25</w:t>
      </w:r>
      <w:r w:rsidR="000C0994">
        <w:rPr>
          <w:rFonts w:asciiTheme="minorHAnsi" w:hAnsiTheme="minorHAnsi" w:cs="Poppins-Light"/>
          <w:sz w:val="20"/>
          <w:szCs w:val="20"/>
        </w:rPr>
        <w:t>. I</w:t>
      </w:r>
      <w:r w:rsidRPr="00B43B2D">
        <w:rPr>
          <w:rFonts w:asciiTheme="minorHAnsi" w:hAnsiTheme="minorHAnsi" w:cs="Poppins-Light"/>
          <w:sz w:val="20"/>
          <w:szCs w:val="20"/>
        </w:rPr>
        <w:t>n accordance with IFRS 5 ‘Non-current Assets Held for Sale and Discontinued Operations’ this business segment is now presented as discontinued operations.</w:t>
      </w:r>
      <w:r w:rsidR="00B5220D">
        <w:rPr>
          <w:rFonts w:asciiTheme="minorHAnsi" w:hAnsiTheme="minorHAnsi" w:cs="Poppins-Light"/>
          <w:sz w:val="20"/>
          <w:szCs w:val="20"/>
        </w:rPr>
        <w:t xml:space="preserve"> See note 5.</w:t>
      </w:r>
    </w:p>
    <w:p w14:paraId="1FB10F87" w14:textId="77777777" w:rsidR="0065038F" w:rsidRPr="00B43B2D" w:rsidRDefault="0065038F" w:rsidP="006677D7">
      <w:pPr>
        <w:autoSpaceDE w:val="0"/>
        <w:autoSpaceDN w:val="0"/>
        <w:adjustRightInd w:val="0"/>
        <w:jc w:val="both"/>
        <w:rPr>
          <w:rFonts w:asciiTheme="minorHAnsi" w:hAnsiTheme="minorHAnsi" w:cs="Poppins-Light"/>
          <w:sz w:val="20"/>
          <w:szCs w:val="20"/>
        </w:rPr>
      </w:pPr>
    </w:p>
    <w:p w14:paraId="16E7F39D" w14:textId="30F098DC" w:rsidR="008918B8" w:rsidRPr="00122ABA" w:rsidRDefault="00122ABA" w:rsidP="006677D7">
      <w:pPr>
        <w:autoSpaceDE w:val="0"/>
        <w:autoSpaceDN w:val="0"/>
        <w:adjustRightInd w:val="0"/>
        <w:jc w:val="both"/>
        <w:rPr>
          <w:rFonts w:asciiTheme="minorHAnsi" w:hAnsiTheme="minorHAnsi" w:cs="Poppins-Light"/>
          <w:color w:val="0D0D0D" w:themeColor="text1" w:themeTint="F2"/>
          <w:sz w:val="20"/>
          <w:szCs w:val="20"/>
          <w:u w:val="single"/>
        </w:rPr>
      </w:pPr>
      <w:r w:rsidRPr="00122ABA">
        <w:rPr>
          <w:rFonts w:asciiTheme="minorHAnsi" w:hAnsiTheme="minorHAnsi" w:cs="Poppins-Light"/>
          <w:color w:val="0D0D0D" w:themeColor="text1" w:themeTint="F2"/>
          <w:sz w:val="20"/>
          <w:szCs w:val="20"/>
          <w:u w:val="single"/>
        </w:rPr>
        <w:t>S</w:t>
      </w:r>
      <w:r w:rsidR="008918B8" w:rsidRPr="00122ABA">
        <w:rPr>
          <w:rFonts w:asciiTheme="minorHAnsi" w:hAnsiTheme="minorHAnsi" w:cs="Poppins-Light"/>
          <w:color w:val="0D0D0D" w:themeColor="text1" w:themeTint="F2"/>
          <w:sz w:val="20"/>
          <w:szCs w:val="20"/>
          <w:u w:val="single"/>
        </w:rPr>
        <w:t xml:space="preserve">egmental reporting </w:t>
      </w:r>
    </w:p>
    <w:p w14:paraId="36537767" w14:textId="208AA33E" w:rsidR="008918B8" w:rsidRPr="000E713B" w:rsidRDefault="00917134" w:rsidP="000E713B">
      <w:pPr>
        <w:pStyle w:val="NoSpacing"/>
        <w:jc w:val="both"/>
        <w:rPr>
          <w:rFonts w:cstheme="minorHAnsi"/>
        </w:rPr>
      </w:pPr>
      <w:r w:rsidRPr="00620CE5">
        <w:rPr>
          <w:rFonts w:ascii="Calibri" w:eastAsia="Calibri" w:hAnsi="Calibri" w:cs="Calibri"/>
          <w:sz w:val="20"/>
          <w:szCs w:val="20"/>
          <w:lang w:eastAsia="en-GB"/>
        </w:rPr>
        <w:t>During 1H25</w:t>
      </w:r>
      <w:r w:rsidR="000E713B" w:rsidRPr="00620CE5">
        <w:rPr>
          <w:rFonts w:ascii="Calibri" w:eastAsia="Calibri" w:hAnsi="Calibri" w:cs="Calibri"/>
          <w:sz w:val="20"/>
          <w:szCs w:val="20"/>
          <w:lang w:eastAsia="en-GB"/>
        </w:rPr>
        <w:t>, following the sale of the Personal Loans business,</w:t>
      </w:r>
      <w:r w:rsidRPr="00620CE5">
        <w:rPr>
          <w:rFonts w:ascii="Calibri" w:eastAsia="Calibri" w:hAnsi="Calibri" w:cs="Calibri"/>
          <w:sz w:val="20"/>
          <w:szCs w:val="20"/>
          <w:lang w:eastAsia="en-GB"/>
        </w:rPr>
        <w:t xml:space="preserve"> the Group </w:t>
      </w:r>
      <w:r w:rsidR="000E713B" w:rsidRPr="00620CE5">
        <w:rPr>
          <w:rFonts w:ascii="Calibri" w:eastAsia="Calibri" w:hAnsi="Calibri" w:cs="Calibri"/>
          <w:sz w:val="20"/>
          <w:szCs w:val="20"/>
          <w:lang w:eastAsia="en-GB"/>
        </w:rPr>
        <w:t>now comprises four segments: the three core lending products - Credit Cards, Vehicle Finance,</w:t>
      </w:r>
      <w:r w:rsidR="008E38F6" w:rsidRPr="00620CE5">
        <w:rPr>
          <w:rFonts w:ascii="Calibri" w:eastAsia="Calibri" w:hAnsi="Calibri" w:cs="Calibri"/>
          <w:sz w:val="20"/>
          <w:szCs w:val="20"/>
          <w:lang w:eastAsia="en-GB"/>
        </w:rPr>
        <w:t xml:space="preserve"> and </w:t>
      </w:r>
      <w:r w:rsidR="000E713B" w:rsidRPr="00620CE5">
        <w:rPr>
          <w:rFonts w:ascii="Calibri" w:eastAsia="Calibri" w:hAnsi="Calibri" w:cs="Calibri"/>
          <w:sz w:val="20"/>
          <w:szCs w:val="20"/>
          <w:lang w:eastAsia="en-GB"/>
        </w:rPr>
        <w:t>Second Charge Mortgages -</w:t>
      </w:r>
      <w:r w:rsidR="008E38F6" w:rsidRPr="00620CE5">
        <w:rPr>
          <w:rFonts w:ascii="Calibri" w:eastAsia="Calibri" w:hAnsi="Calibri" w:cs="Calibri"/>
          <w:sz w:val="20"/>
          <w:szCs w:val="20"/>
          <w:lang w:eastAsia="en-GB"/>
        </w:rPr>
        <w:t xml:space="preserve"> and </w:t>
      </w:r>
      <w:r w:rsidR="000E713B" w:rsidRPr="00620CE5">
        <w:rPr>
          <w:rFonts w:ascii="Calibri" w:eastAsia="Calibri" w:hAnsi="Calibri" w:cs="Calibri"/>
          <w:sz w:val="20"/>
          <w:szCs w:val="20"/>
          <w:lang w:eastAsia="en-GB"/>
        </w:rPr>
        <w:t>the Corporate Centre. The Corporate Centre includes the residual performance of the Retail Savings business, Treasury results after</w:t>
      </w:r>
      <w:r w:rsidR="008E38F6" w:rsidRPr="00620CE5">
        <w:rPr>
          <w:rFonts w:ascii="Calibri" w:eastAsia="Calibri" w:hAnsi="Calibri" w:cs="Calibri"/>
          <w:sz w:val="20"/>
          <w:szCs w:val="20"/>
          <w:lang w:eastAsia="en-GB"/>
        </w:rPr>
        <w:t xml:space="preserve"> product </w:t>
      </w:r>
      <w:r w:rsidR="000E713B" w:rsidRPr="00620CE5">
        <w:rPr>
          <w:rFonts w:ascii="Calibri" w:eastAsia="Calibri" w:hAnsi="Calibri" w:cs="Calibri"/>
          <w:sz w:val="20"/>
          <w:szCs w:val="20"/>
          <w:lang w:eastAsia="en-GB"/>
        </w:rPr>
        <w:t>allocations, Snoop, and other immaterial or central items.</w:t>
      </w:r>
      <w:r w:rsidR="008E38F6" w:rsidRPr="00620CE5">
        <w:rPr>
          <w:rFonts w:ascii="Calibri" w:eastAsia="Calibri" w:hAnsi="Calibri" w:cs="Calibri"/>
          <w:sz w:val="20"/>
          <w:szCs w:val="20"/>
          <w:lang w:eastAsia="en-GB"/>
        </w:rPr>
        <w:t xml:space="preserve"> As a result</w:t>
      </w:r>
      <w:r w:rsidR="008E38F6" w:rsidRPr="00122ABA">
        <w:rPr>
          <w:rFonts w:cs="Poppins-Light"/>
          <w:color w:val="0D0D0D" w:themeColor="text1" w:themeTint="F2"/>
          <w:sz w:val="20"/>
          <w:szCs w:val="20"/>
        </w:rPr>
        <w:t xml:space="preserve">, all previous </w:t>
      </w:r>
      <w:r w:rsidR="00122ABA" w:rsidRPr="00122ABA">
        <w:rPr>
          <w:rFonts w:cs="Poppins-Light"/>
          <w:color w:val="0D0D0D" w:themeColor="text1" w:themeTint="F2"/>
          <w:sz w:val="20"/>
          <w:szCs w:val="20"/>
        </w:rPr>
        <w:t xml:space="preserve">periods have been represented onto a consistent basis. </w:t>
      </w:r>
      <w:r w:rsidR="004E0D33" w:rsidRPr="00BE16ED">
        <w:rPr>
          <w:rFonts w:cs="Poppins-Light"/>
          <w:sz w:val="20"/>
          <w:szCs w:val="20"/>
        </w:rPr>
        <w:t xml:space="preserve">These changes do not constitute a change in accounting policy and there is no impact on recognition, measurement or profit and loss in any </w:t>
      </w:r>
      <w:r w:rsidR="004E0D33">
        <w:rPr>
          <w:rFonts w:cs="Poppins-Light"/>
          <w:sz w:val="20"/>
          <w:szCs w:val="20"/>
        </w:rPr>
        <w:t>period</w:t>
      </w:r>
      <w:r w:rsidR="004E0D33" w:rsidRPr="00BE16ED">
        <w:rPr>
          <w:rFonts w:cs="Poppins-Light"/>
          <w:sz w:val="20"/>
          <w:szCs w:val="20"/>
        </w:rPr>
        <w:t xml:space="preserve"> presented in this re</w:t>
      </w:r>
      <w:r w:rsidR="004E0D33" w:rsidRPr="004E0D33">
        <w:rPr>
          <w:rFonts w:cs="Poppins-Light"/>
          <w:color w:val="0D0D0D" w:themeColor="text1" w:themeTint="F2"/>
          <w:sz w:val="20"/>
          <w:szCs w:val="20"/>
        </w:rPr>
        <w:t>port.</w:t>
      </w:r>
      <w:r w:rsidR="004A1C7C">
        <w:rPr>
          <w:rFonts w:cs="Poppins-Light"/>
          <w:color w:val="0D0D0D" w:themeColor="text1" w:themeTint="F2"/>
          <w:sz w:val="20"/>
          <w:szCs w:val="20"/>
        </w:rPr>
        <w:t xml:space="preserve"> See note 4.</w:t>
      </w:r>
    </w:p>
    <w:p w14:paraId="15520081" w14:textId="77777777" w:rsidR="004E0D33" w:rsidRDefault="004E0D33" w:rsidP="006677D7">
      <w:pPr>
        <w:autoSpaceDE w:val="0"/>
        <w:autoSpaceDN w:val="0"/>
        <w:adjustRightInd w:val="0"/>
        <w:jc w:val="both"/>
        <w:rPr>
          <w:rFonts w:asciiTheme="minorHAnsi" w:hAnsiTheme="minorHAnsi" w:cs="Poppins-Light"/>
          <w:color w:val="FF0000"/>
          <w:sz w:val="20"/>
          <w:szCs w:val="20"/>
        </w:rPr>
      </w:pPr>
    </w:p>
    <w:p w14:paraId="32416E3E" w14:textId="1CA108CD" w:rsidR="00A1425C" w:rsidRPr="00AC4594" w:rsidRDefault="009F0579" w:rsidP="006677D7">
      <w:pPr>
        <w:autoSpaceDE w:val="0"/>
        <w:autoSpaceDN w:val="0"/>
        <w:adjustRightInd w:val="0"/>
        <w:jc w:val="both"/>
        <w:rPr>
          <w:rFonts w:asciiTheme="minorHAnsi" w:hAnsiTheme="minorHAnsi" w:cs="Poppins-Light"/>
          <w:sz w:val="20"/>
          <w:szCs w:val="20"/>
          <w:u w:val="single"/>
        </w:rPr>
      </w:pPr>
      <w:r>
        <w:rPr>
          <w:rFonts w:asciiTheme="minorHAnsi" w:hAnsiTheme="minorHAnsi" w:cs="Poppins-Light"/>
          <w:sz w:val="20"/>
          <w:szCs w:val="20"/>
          <w:u w:val="single"/>
        </w:rPr>
        <w:t>Fraud costs reclassification</w:t>
      </w:r>
    </w:p>
    <w:p w14:paraId="0AB0727C" w14:textId="5910763E" w:rsidR="009F4CC7" w:rsidRPr="00BE16ED" w:rsidRDefault="009F4CC7" w:rsidP="009F4CC7">
      <w:pPr>
        <w:autoSpaceDE w:val="0"/>
        <w:autoSpaceDN w:val="0"/>
        <w:adjustRightInd w:val="0"/>
        <w:jc w:val="both"/>
        <w:rPr>
          <w:rFonts w:asciiTheme="minorHAnsi" w:hAnsiTheme="minorHAnsi" w:cs="Poppins-Light"/>
          <w:sz w:val="20"/>
          <w:szCs w:val="20"/>
        </w:rPr>
      </w:pPr>
      <w:r w:rsidRPr="00BE16ED">
        <w:rPr>
          <w:rFonts w:asciiTheme="minorHAnsi" w:hAnsiTheme="minorHAnsi" w:cs="Poppins-Light"/>
          <w:sz w:val="20"/>
          <w:szCs w:val="20"/>
        </w:rPr>
        <w:t xml:space="preserve">In </w:t>
      </w:r>
      <w:r w:rsidR="00BE16ED" w:rsidRPr="00BE16ED">
        <w:rPr>
          <w:rFonts w:asciiTheme="minorHAnsi" w:hAnsiTheme="minorHAnsi" w:cs="Poppins-Light"/>
          <w:sz w:val="20"/>
          <w:szCs w:val="20"/>
        </w:rPr>
        <w:t>FY24</w:t>
      </w:r>
      <w:r w:rsidRPr="00BE16ED">
        <w:rPr>
          <w:rFonts w:asciiTheme="minorHAnsi" w:hAnsiTheme="minorHAnsi" w:cs="Poppins-Light"/>
          <w:sz w:val="20"/>
          <w:szCs w:val="20"/>
        </w:rPr>
        <w:t xml:space="preserve"> fraud costs </w:t>
      </w:r>
      <w:r w:rsidR="00BE16ED" w:rsidRPr="00BE16ED">
        <w:rPr>
          <w:rFonts w:asciiTheme="minorHAnsi" w:hAnsiTheme="minorHAnsi" w:cs="Poppins-Light"/>
          <w:sz w:val="20"/>
          <w:szCs w:val="20"/>
        </w:rPr>
        <w:t>were</w:t>
      </w:r>
      <w:r w:rsidRPr="00BE16ED">
        <w:rPr>
          <w:rFonts w:asciiTheme="minorHAnsi" w:hAnsiTheme="minorHAnsi" w:cs="Poppins-Light"/>
          <w:sz w:val="20"/>
          <w:szCs w:val="20"/>
        </w:rPr>
        <w:t xml:space="preserve"> represented from impairment to within operating costs and the comparative numbers for 2023 restated. As part of this change, the reduction in customer receivables for Cards for fraud accounts </w:t>
      </w:r>
      <w:r w:rsidR="00BE16ED" w:rsidRPr="00BE16ED">
        <w:rPr>
          <w:rFonts w:asciiTheme="minorHAnsi" w:hAnsiTheme="minorHAnsi" w:cs="Poppins-Light"/>
          <w:sz w:val="20"/>
          <w:szCs w:val="20"/>
        </w:rPr>
        <w:t>was</w:t>
      </w:r>
      <w:r w:rsidRPr="00BE16ED">
        <w:rPr>
          <w:rFonts w:asciiTheme="minorHAnsi" w:hAnsiTheme="minorHAnsi" w:cs="Poppins-Light"/>
          <w:sz w:val="20"/>
          <w:szCs w:val="20"/>
        </w:rPr>
        <w:t xml:space="preserve"> represented from allowance account to gross receivables. </w:t>
      </w:r>
    </w:p>
    <w:p w14:paraId="2E24A915" w14:textId="77777777" w:rsidR="009F4CC7" w:rsidRPr="000E29E3" w:rsidRDefault="009F4CC7" w:rsidP="009F4CC7">
      <w:pPr>
        <w:autoSpaceDE w:val="0"/>
        <w:autoSpaceDN w:val="0"/>
        <w:adjustRightInd w:val="0"/>
        <w:jc w:val="both"/>
        <w:rPr>
          <w:rFonts w:asciiTheme="minorHAnsi" w:hAnsiTheme="minorHAnsi" w:cs="Poppins-Light"/>
          <w:color w:val="FF0000"/>
          <w:sz w:val="20"/>
          <w:szCs w:val="20"/>
        </w:rPr>
      </w:pPr>
    </w:p>
    <w:p w14:paraId="255727A4" w14:textId="7CAC1E16" w:rsidR="00BE16ED" w:rsidRPr="00831FFB" w:rsidRDefault="00831FFB" w:rsidP="00BE16ED">
      <w:pPr>
        <w:autoSpaceDE w:val="0"/>
        <w:autoSpaceDN w:val="0"/>
        <w:adjustRightInd w:val="0"/>
        <w:jc w:val="both"/>
        <w:rPr>
          <w:rFonts w:asciiTheme="minorHAnsi" w:hAnsiTheme="minorHAnsi" w:cs="Poppins-Light"/>
          <w:sz w:val="20"/>
          <w:szCs w:val="20"/>
        </w:rPr>
      </w:pPr>
      <w:r w:rsidRPr="00831FFB">
        <w:rPr>
          <w:rFonts w:asciiTheme="minorHAnsi" w:hAnsiTheme="minorHAnsi" w:cs="Poppins-Light"/>
          <w:sz w:val="20"/>
          <w:szCs w:val="20"/>
        </w:rPr>
        <w:t>The 1H24 comparatives</w:t>
      </w:r>
      <w:r w:rsidR="00BE16ED" w:rsidRPr="00831FFB">
        <w:rPr>
          <w:rFonts w:asciiTheme="minorHAnsi" w:hAnsiTheme="minorHAnsi" w:cs="Poppins-Light"/>
          <w:sz w:val="20"/>
          <w:szCs w:val="20"/>
        </w:rPr>
        <w:t xml:space="preserve"> presented in this report have been retrospectively re-presented. This change does not constitute a change in accounting policy and there is no impact on recognition, measurement or profit and loss in any period presented in this report.</w:t>
      </w:r>
      <w:r w:rsidR="009019CA">
        <w:rPr>
          <w:rFonts w:asciiTheme="minorHAnsi" w:hAnsiTheme="minorHAnsi" w:cs="Poppins-Light"/>
          <w:sz w:val="20"/>
          <w:szCs w:val="20"/>
        </w:rPr>
        <w:t xml:space="preserve"> The impact of this change in 1H24 was a £</w:t>
      </w:r>
      <w:r w:rsidR="00D34AAE">
        <w:rPr>
          <w:rFonts w:asciiTheme="minorHAnsi" w:hAnsiTheme="minorHAnsi" w:cs="Poppins-Light"/>
          <w:sz w:val="20"/>
          <w:szCs w:val="20"/>
        </w:rPr>
        <w:t>3.5</w:t>
      </w:r>
      <w:r w:rsidR="009019CA">
        <w:rPr>
          <w:rFonts w:asciiTheme="minorHAnsi" w:hAnsiTheme="minorHAnsi" w:cs="Poppins-Light"/>
          <w:sz w:val="20"/>
          <w:szCs w:val="20"/>
        </w:rPr>
        <w:t xml:space="preserve">m </w:t>
      </w:r>
      <w:r w:rsidR="00D34AAE">
        <w:rPr>
          <w:rFonts w:asciiTheme="minorHAnsi" w:hAnsiTheme="minorHAnsi" w:cs="Poppins-Light"/>
          <w:sz w:val="20"/>
          <w:szCs w:val="20"/>
        </w:rPr>
        <w:t>reduction in the total impairment charge and</w:t>
      </w:r>
      <w:r w:rsidR="00984321">
        <w:rPr>
          <w:rFonts w:asciiTheme="minorHAnsi" w:hAnsiTheme="minorHAnsi" w:cs="Poppins-Light"/>
          <w:sz w:val="20"/>
          <w:szCs w:val="20"/>
        </w:rPr>
        <w:t xml:space="preserve"> a corresponding increase in costs. </w:t>
      </w:r>
      <w:r w:rsidR="00D34AAE">
        <w:rPr>
          <w:rFonts w:asciiTheme="minorHAnsi" w:hAnsiTheme="minorHAnsi" w:cs="Poppins-Light"/>
          <w:sz w:val="20"/>
          <w:szCs w:val="20"/>
        </w:rPr>
        <w:t xml:space="preserve"> </w:t>
      </w:r>
    </w:p>
    <w:p w14:paraId="5AE1D938" w14:textId="77777777" w:rsidR="00BE16ED" w:rsidRPr="000E29E3" w:rsidRDefault="00BE16ED" w:rsidP="009F4CC7">
      <w:pPr>
        <w:autoSpaceDE w:val="0"/>
        <w:autoSpaceDN w:val="0"/>
        <w:adjustRightInd w:val="0"/>
        <w:jc w:val="both"/>
        <w:rPr>
          <w:rFonts w:asciiTheme="minorHAnsi" w:hAnsiTheme="minorHAnsi" w:cs="Poppins-Light"/>
          <w:color w:val="FF0000"/>
          <w:sz w:val="20"/>
          <w:szCs w:val="20"/>
        </w:rPr>
      </w:pPr>
    </w:p>
    <w:p w14:paraId="4F7760A5" w14:textId="5F2F294B" w:rsidR="009F4CC7" w:rsidRPr="000E29E3" w:rsidRDefault="009F4CC7" w:rsidP="009F4CC7">
      <w:pPr>
        <w:autoSpaceDE w:val="0"/>
        <w:autoSpaceDN w:val="0"/>
        <w:adjustRightInd w:val="0"/>
        <w:jc w:val="both"/>
        <w:rPr>
          <w:rFonts w:asciiTheme="minorHAnsi" w:hAnsiTheme="minorHAnsi" w:cs="Poppins-Light"/>
          <w:color w:val="FF0000"/>
          <w:sz w:val="20"/>
          <w:szCs w:val="20"/>
        </w:rPr>
      </w:pPr>
      <w:r w:rsidRPr="00BE16ED">
        <w:rPr>
          <w:rFonts w:asciiTheme="minorHAnsi" w:hAnsiTheme="minorHAnsi" w:cs="Poppins-Light"/>
          <w:sz w:val="20"/>
          <w:szCs w:val="20"/>
        </w:rPr>
        <w:t xml:space="preserve">There was no impact on net receivables as a result of this change. These changes do not constitute a change in accounting policy and there is no impact on recognition, measurement or profit and loss in any </w:t>
      </w:r>
      <w:r w:rsidR="00D7752B">
        <w:rPr>
          <w:rFonts w:asciiTheme="minorHAnsi" w:hAnsiTheme="minorHAnsi" w:cs="Poppins-Light"/>
          <w:sz w:val="20"/>
          <w:szCs w:val="20"/>
        </w:rPr>
        <w:t>period</w:t>
      </w:r>
      <w:r w:rsidRPr="00BE16ED">
        <w:rPr>
          <w:rFonts w:asciiTheme="minorHAnsi" w:hAnsiTheme="minorHAnsi" w:cs="Poppins-Light"/>
          <w:sz w:val="20"/>
          <w:szCs w:val="20"/>
        </w:rPr>
        <w:t xml:space="preserve"> presented in this repo</w:t>
      </w:r>
      <w:r w:rsidRPr="004E0D33">
        <w:rPr>
          <w:rFonts w:asciiTheme="minorHAnsi" w:hAnsiTheme="minorHAnsi" w:cs="Poppins-Light"/>
          <w:color w:val="0D0D0D" w:themeColor="text1" w:themeTint="F2"/>
          <w:sz w:val="20"/>
          <w:szCs w:val="20"/>
        </w:rPr>
        <w:t>rt.</w:t>
      </w:r>
    </w:p>
    <w:p w14:paraId="4BE90F8A" w14:textId="77777777" w:rsidR="009F4CC7" w:rsidRPr="000E29E3" w:rsidRDefault="009F4CC7" w:rsidP="009F4CC7">
      <w:pPr>
        <w:autoSpaceDE w:val="0"/>
        <w:autoSpaceDN w:val="0"/>
        <w:adjustRightInd w:val="0"/>
        <w:jc w:val="both"/>
        <w:rPr>
          <w:rFonts w:asciiTheme="minorHAnsi" w:hAnsiTheme="minorHAnsi" w:cs="Poppins-Light"/>
          <w:color w:val="FF0000"/>
          <w:sz w:val="20"/>
          <w:szCs w:val="20"/>
        </w:rPr>
      </w:pPr>
    </w:p>
    <w:p w14:paraId="04AFC878" w14:textId="77777777" w:rsidR="002026F6" w:rsidRPr="00377B61" w:rsidRDefault="002026F6" w:rsidP="002026F6">
      <w:pPr>
        <w:autoSpaceDE w:val="0"/>
        <w:autoSpaceDN w:val="0"/>
        <w:adjustRightInd w:val="0"/>
        <w:jc w:val="both"/>
        <w:rPr>
          <w:rStyle w:val="bodycopynumber"/>
          <w:rFonts w:asciiTheme="minorHAnsi" w:hAnsiTheme="minorHAnsi" w:cs="Poppins-Light"/>
          <w:b/>
          <w:bCs/>
          <w:sz w:val="20"/>
          <w:szCs w:val="20"/>
          <w:u w:val="single"/>
        </w:rPr>
      </w:pPr>
      <w:r w:rsidRPr="00377B61">
        <w:rPr>
          <w:rStyle w:val="bodycopynumber"/>
          <w:rFonts w:asciiTheme="minorHAnsi" w:hAnsiTheme="minorHAnsi" w:cs="Poppins-Light"/>
          <w:b/>
          <w:bCs/>
          <w:sz w:val="20"/>
          <w:szCs w:val="20"/>
          <w:u w:val="single"/>
        </w:rPr>
        <w:t>Critical accounting judgements and key sources of estimation uncertainty</w:t>
      </w:r>
    </w:p>
    <w:p w14:paraId="66AA61DB" w14:textId="77777777" w:rsidR="002026F6" w:rsidRPr="002913F4" w:rsidRDefault="002026F6" w:rsidP="002026F6">
      <w:pPr>
        <w:autoSpaceDE w:val="0"/>
        <w:autoSpaceDN w:val="0"/>
        <w:adjustRightInd w:val="0"/>
        <w:jc w:val="both"/>
        <w:rPr>
          <w:rStyle w:val="bodycopynumber"/>
          <w:rFonts w:asciiTheme="minorHAnsi" w:hAnsiTheme="minorHAnsi" w:cs="Poppins-Light"/>
          <w:sz w:val="20"/>
          <w:szCs w:val="20"/>
        </w:rPr>
      </w:pPr>
    </w:p>
    <w:p w14:paraId="31790C97" w14:textId="3AADEF8E" w:rsidR="002026F6" w:rsidRPr="002913F4" w:rsidRDefault="002026F6" w:rsidP="002026F6">
      <w:pPr>
        <w:autoSpaceDE w:val="0"/>
        <w:autoSpaceDN w:val="0"/>
        <w:adjustRightInd w:val="0"/>
        <w:jc w:val="both"/>
        <w:rPr>
          <w:rStyle w:val="bodycopynumber"/>
          <w:rFonts w:asciiTheme="minorHAnsi" w:hAnsiTheme="minorHAnsi" w:cs="Poppins-Light"/>
          <w:sz w:val="20"/>
          <w:szCs w:val="20"/>
        </w:rPr>
      </w:pPr>
      <w:r w:rsidRPr="002913F4">
        <w:rPr>
          <w:rStyle w:val="bodycopynumber"/>
          <w:rFonts w:asciiTheme="minorHAnsi" w:hAnsiTheme="minorHAnsi" w:cs="Poppins-Light"/>
          <w:sz w:val="20"/>
          <w:szCs w:val="20"/>
        </w:rPr>
        <w:t xml:space="preserve">The significant accounting judgements exercised by management and key sources of estimation uncertainty in the </w:t>
      </w:r>
    </w:p>
    <w:p w14:paraId="0BE4C444" w14:textId="391B09F1" w:rsidR="002026F6" w:rsidRPr="002913F4" w:rsidRDefault="002026F6" w:rsidP="002026F6">
      <w:pPr>
        <w:autoSpaceDE w:val="0"/>
        <w:autoSpaceDN w:val="0"/>
        <w:adjustRightInd w:val="0"/>
        <w:jc w:val="both"/>
        <w:rPr>
          <w:rStyle w:val="bodycopynumber"/>
          <w:rFonts w:asciiTheme="minorHAnsi" w:hAnsiTheme="minorHAnsi" w:cs="Poppins-Light"/>
          <w:sz w:val="20"/>
          <w:szCs w:val="20"/>
        </w:rPr>
      </w:pPr>
      <w:r w:rsidRPr="002913F4">
        <w:rPr>
          <w:rStyle w:val="bodycopynumber"/>
          <w:rFonts w:asciiTheme="minorHAnsi" w:hAnsiTheme="minorHAnsi" w:cs="Poppins-Light"/>
          <w:sz w:val="20"/>
          <w:szCs w:val="20"/>
        </w:rPr>
        <w:t>interim financial statements are consistent with those adopted in the statutory financial statements for the year ended 31 December 202</w:t>
      </w:r>
      <w:r w:rsidR="002913F4" w:rsidRPr="002913F4">
        <w:rPr>
          <w:rStyle w:val="bodycopynumber"/>
          <w:rFonts w:asciiTheme="minorHAnsi" w:hAnsiTheme="minorHAnsi" w:cs="Poppins-Light"/>
          <w:sz w:val="20"/>
          <w:szCs w:val="20"/>
        </w:rPr>
        <w:t>4</w:t>
      </w:r>
      <w:r w:rsidR="001D0EBB">
        <w:rPr>
          <w:rStyle w:val="bodycopynumber"/>
          <w:rFonts w:asciiTheme="minorHAnsi" w:hAnsiTheme="minorHAnsi" w:cs="Poppins-Light"/>
          <w:sz w:val="20"/>
          <w:szCs w:val="20"/>
        </w:rPr>
        <w:t xml:space="preserve"> with the exception of Goodwill</w:t>
      </w:r>
      <w:r w:rsidR="00EF7115">
        <w:rPr>
          <w:rStyle w:val="bodycopynumber"/>
          <w:rFonts w:asciiTheme="minorHAnsi" w:hAnsiTheme="minorHAnsi" w:cs="Poppins-Light"/>
          <w:sz w:val="20"/>
          <w:szCs w:val="20"/>
        </w:rPr>
        <w:t>. Due to the impact of any</w:t>
      </w:r>
      <w:r w:rsidR="00AE4342">
        <w:rPr>
          <w:rStyle w:val="bodycopynumber"/>
          <w:rFonts w:asciiTheme="minorHAnsi" w:hAnsiTheme="minorHAnsi" w:cs="Poppins-Light"/>
          <w:sz w:val="20"/>
          <w:szCs w:val="20"/>
        </w:rPr>
        <w:t xml:space="preserve"> judgement</w:t>
      </w:r>
      <w:r w:rsidR="00EF7115">
        <w:rPr>
          <w:rStyle w:val="bodycopynumber"/>
          <w:rFonts w:asciiTheme="minorHAnsi" w:hAnsiTheme="minorHAnsi" w:cs="Poppins-Light"/>
          <w:sz w:val="20"/>
          <w:szCs w:val="20"/>
        </w:rPr>
        <w:t xml:space="preserve"> in relation to goodwill no longer being considered material, it is no longer included as a critical accounting judgement.</w:t>
      </w:r>
    </w:p>
    <w:p w14:paraId="624A1C26" w14:textId="77777777" w:rsidR="002026F6" w:rsidRPr="002026F6" w:rsidRDefault="002026F6" w:rsidP="002026F6">
      <w:pPr>
        <w:autoSpaceDE w:val="0"/>
        <w:autoSpaceDN w:val="0"/>
        <w:adjustRightInd w:val="0"/>
        <w:rPr>
          <w:rFonts w:asciiTheme="minorHAnsi" w:hAnsiTheme="minorHAnsi" w:cs="Arial"/>
          <w:bCs/>
          <w:color w:val="FF0000"/>
          <w:sz w:val="20"/>
          <w:szCs w:val="20"/>
          <w:u w:val="single"/>
        </w:rPr>
      </w:pPr>
    </w:p>
    <w:p w14:paraId="14334EA4" w14:textId="61F3F486" w:rsidR="00874F9D" w:rsidRDefault="00874F9D" w:rsidP="002026F6">
      <w:pPr>
        <w:autoSpaceDE w:val="0"/>
        <w:autoSpaceDN w:val="0"/>
        <w:adjustRightInd w:val="0"/>
        <w:jc w:val="both"/>
        <w:rPr>
          <w:rFonts w:asciiTheme="minorHAnsi" w:hAnsiTheme="minorHAnsi" w:cs="Arial"/>
          <w:sz w:val="20"/>
          <w:szCs w:val="20"/>
          <w:u w:val="single"/>
        </w:rPr>
      </w:pPr>
      <w:r w:rsidRPr="00D3451F">
        <w:rPr>
          <w:rFonts w:asciiTheme="minorHAnsi" w:hAnsiTheme="minorHAnsi" w:cs="Arial"/>
          <w:sz w:val="20"/>
          <w:szCs w:val="20"/>
          <w:u w:val="single"/>
        </w:rPr>
        <w:t xml:space="preserve">Amounts receivable from customers </w:t>
      </w:r>
      <w:r w:rsidRPr="002A3AA2">
        <w:rPr>
          <w:rFonts w:asciiTheme="minorHAnsi" w:hAnsiTheme="minorHAnsi" w:cs="Arial"/>
          <w:sz w:val="20"/>
          <w:szCs w:val="20"/>
          <w:u w:val="single"/>
        </w:rPr>
        <w:t>(note 9)</w:t>
      </w:r>
    </w:p>
    <w:p w14:paraId="46EB25D0" w14:textId="1971183B" w:rsidR="00051A5F" w:rsidRPr="00170421" w:rsidRDefault="00051A5F" w:rsidP="00874F9D">
      <w:pPr>
        <w:autoSpaceDE w:val="0"/>
        <w:autoSpaceDN w:val="0"/>
        <w:adjustRightInd w:val="0"/>
        <w:jc w:val="both"/>
        <w:rPr>
          <w:rFonts w:asciiTheme="minorHAnsi" w:hAnsiTheme="minorHAnsi" w:cs="Arial"/>
          <w:sz w:val="20"/>
          <w:szCs w:val="20"/>
          <w:u w:val="single"/>
        </w:rPr>
      </w:pPr>
      <w:r w:rsidRPr="00170421">
        <w:rPr>
          <w:rFonts w:asciiTheme="minorHAnsi" w:hAnsiTheme="minorHAnsi" w:cs="Arial"/>
          <w:sz w:val="20"/>
          <w:szCs w:val="20"/>
          <w:u w:val="single"/>
        </w:rPr>
        <w:t xml:space="preserve">Critical accounting </w:t>
      </w:r>
      <w:r w:rsidR="00BD071B" w:rsidRPr="00170421">
        <w:rPr>
          <w:rFonts w:asciiTheme="minorHAnsi" w:hAnsiTheme="minorHAnsi" w:cs="Arial"/>
          <w:sz w:val="20"/>
          <w:szCs w:val="20"/>
          <w:u w:val="single"/>
        </w:rPr>
        <w:t>judgement</w:t>
      </w:r>
      <w:r w:rsidR="00170421" w:rsidRPr="00170421">
        <w:rPr>
          <w:rFonts w:asciiTheme="minorHAnsi" w:hAnsiTheme="minorHAnsi" w:cs="Arial"/>
          <w:sz w:val="20"/>
          <w:szCs w:val="20"/>
          <w:u w:val="single"/>
        </w:rPr>
        <w:t>s</w:t>
      </w:r>
    </w:p>
    <w:p w14:paraId="12EEE98B" w14:textId="1C7210DC" w:rsidR="008077EE" w:rsidRPr="00B5640B" w:rsidRDefault="00874F9D" w:rsidP="00B5640B">
      <w:pPr>
        <w:autoSpaceDE w:val="0"/>
        <w:autoSpaceDN w:val="0"/>
        <w:adjustRightInd w:val="0"/>
        <w:jc w:val="both"/>
        <w:rPr>
          <w:rStyle w:val="bodycopynumber"/>
          <w:rFonts w:asciiTheme="minorHAnsi" w:hAnsiTheme="minorHAnsi" w:cs="Arial"/>
          <w:sz w:val="20"/>
          <w:szCs w:val="20"/>
        </w:rPr>
      </w:pPr>
      <w:r w:rsidRPr="00874F9D">
        <w:rPr>
          <w:rFonts w:asciiTheme="minorHAnsi" w:hAnsiTheme="minorHAnsi" w:cs="Arial"/>
          <w:sz w:val="20"/>
          <w:szCs w:val="20"/>
        </w:rPr>
        <w:t xml:space="preserve">The Group reviews amounts receivable from customers for impairment at each balance sheet date. For the purposes of assessing the impairment, customers are categorised into IFRS 9 stages and cohorts which are considered to be the most reliable indication of future payment performance. </w:t>
      </w:r>
    </w:p>
    <w:p w14:paraId="60141044" w14:textId="77777777" w:rsidR="008077EE" w:rsidRDefault="008077EE" w:rsidP="00874F9D">
      <w:pPr>
        <w:autoSpaceDE w:val="0"/>
        <w:autoSpaceDN w:val="0"/>
        <w:adjustRightInd w:val="0"/>
        <w:jc w:val="both"/>
        <w:rPr>
          <w:rFonts w:asciiTheme="minorHAnsi" w:hAnsiTheme="minorHAnsi" w:cs="Arial"/>
          <w:sz w:val="20"/>
          <w:szCs w:val="20"/>
        </w:rPr>
      </w:pPr>
    </w:p>
    <w:p w14:paraId="34AE0899" w14:textId="5A7BF287" w:rsidR="00874F9D" w:rsidRDefault="00874F9D" w:rsidP="00874F9D">
      <w:pPr>
        <w:autoSpaceDE w:val="0"/>
        <w:autoSpaceDN w:val="0"/>
        <w:adjustRightInd w:val="0"/>
        <w:jc w:val="both"/>
        <w:rPr>
          <w:rFonts w:asciiTheme="minorHAnsi" w:hAnsiTheme="minorHAnsi" w:cs="Arial"/>
          <w:sz w:val="20"/>
          <w:szCs w:val="20"/>
        </w:rPr>
      </w:pPr>
      <w:r w:rsidRPr="00874F9D">
        <w:rPr>
          <w:rFonts w:asciiTheme="minorHAnsi" w:hAnsiTheme="minorHAnsi" w:cs="Arial"/>
          <w:sz w:val="20"/>
          <w:szCs w:val="20"/>
        </w:rPr>
        <w:t>The determination of expected credit losses involves complex modelling techniques and requires management to apply significant judgements to calculate expected credit losses. The most critical judgements are outlined below.</w:t>
      </w:r>
    </w:p>
    <w:p w14:paraId="6AA95802" w14:textId="77777777" w:rsidR="00874F9D" w:rsidRPr="00874F9D" w:rsidRDefault="00874F9D" w:rsidP="00874F9D">
      <w:pPr>
        <w:autoSpaceDE w:val="0"/>
        <w:autoSpaceDN w:val="0"/>
        <w:adjustRightInd w:val="0"/>
        <w:jc w:val="both"/>
        <w:rPr>
          <w:rFonts w:asciiTheme="minorHAnsi" w:hAnsiTheme="minorHAnsi" w:cs="Arial"/>
          <w:sz w:val="20"/>
          <w:szCs w:val="20"/>
        </w:rPr>
      </w:pPr>
    </w:p>
    <w:p w14:paraId="138CA7C8" w14:textId="1FE7FC43" w:rsidR="00874F9D" w:rsidRDefault="00874F9D" w:rsidP="00874F9D">
      <w:pPr>
        <w:autoSpaceDE w:val="0"/>
        <w:autoSpaceDN w:val="0"/>
        <w:adjustRightInd w:val="0"/>
        <w:jc w:val="both"/>
        <w:rPr>
          <w:rFonts w:asciiTheme="minorHAnsi" w:hAnsiTheme="minorHAnsi" w:cs="Arial"/>
          <w:sz w:val="20"/>
          <w:szCs w:val="20"/>
        </w:rPr>
      </w:pPr>
      <w:r w:rsidRPr="00874F9D">
        <w:rPr>
          <w:rFonts w:asciiTheme="minorHAnsi" w:hAnsiTheme="minorHAnsi" w:cs="Arial"/>
          <w:sz w:val="20"/>
          <w:szCs w:val="20"/>
        </w:rPr>
        <w:t>The determination of the Significant Increase in Credit Risk (SICR) thresholds to be used in the models for Credit Cards and Vehicle Finance requires management judgement to optimise the performance and therefore effectiveness of the staging methodology. Assessments are made to determine whether there is objective evidence of an SICR which indicates whether there has been an adverse effect on Probability of Default (PD). An SICR for customers is when there has been a significant increase in behavioural score or when one contractual monthly payment has been missed.</w:t>
      </w:r>
    </w:p>
    <w:p w14:paraId="558E8C62" w14:textId="77777777" w:rsidR="00874F9D" w:rsidRPr="00874F9D" w:rsidRDefault="00874F9D" w:rsidP="00874F9D">
      <w:pPr>
        <w:autoSpaceDE w:val="0"/>
        <w:autoSpaceDN w:val="0"/>
        <w:adjustRightInd w:val="0"/>
        <w:jc w:val="both"/>
        <w:rPr>
          <w:rFonts w:asciiTheme="minorHAnsi" w:hAnsiTheme="minorHAnsi" w:cs="Arial"/>
          <w:sz w:val="20"/>
          <w:szCs w:val="20"/>
        </w:rPr>
      </w:pPr>
    </w:p>
    <w:p w14:paraId="160D611A" w14:textId="77777777" w:rsidR="00874F9D" w:rsidRDefault="00874F9D" w:rsidP="00874F9D">
      <w:pPr>
        <w:autoSpaceDE w:val="0"/>
        <w:autoSpaceDN w:val="0"/>
        <w:adjustRightInd w:val="0"/>
        <w:jc w:val="both"/>
        <w:rPr>
          <w:rFonts w:asciiTheme="minorHAnsi" w:hAnsiTheme="minorHAnsi" w:cs="Arial"/>
          <w:sz w:val="20"/>
          <w:szCs w:val="20"/>
        </w:rPr>
      </w:pPr>
      <w:r w:rsidRPr="00874F9D">
        <w:rPr>
          <w:rFonts w:asciiTheme="minorHAnsi" w:hAnsiTheme="minorHAnsi" w:cs="Arial"/>
          <w:sz w:val="20"/>
          <w:szCs w:val="20"/>
        </w:rPr>
        <w:t>For the purpose of IFRS 9, default is assumed when three contractual repayments have been missed.</w:t>
      </w:r>
    </w:p>
    <w:p w14:paraId="53886317" w14:textId="77777777" w:rsidR="00874F9D" w:rsidRPr="00874F9D" w:rsidRDefault="00874F9D" w:rsidP="00874F9D">
      <w:pPr>
        <w:autoSpaceDE w:val="0"/>
        <w:autoSpaceDN w:val="0"/>
        <w:adjustRightInd w:val="0"/>
        <w:jc w:val="both"/>
        <w:rPr>
          <w:rFonts w:asciiTheme="minorHAnsi" w:hAnsiTheme="minorHAnsi" w:cs="Arial"/>
          <w:sz w:val="20"/>
          <w:szCs w:val="20"/>
        </w:rPr>
      </w:pPr>
    </w:p>
    <w:p w14:paraId="1A52D3D3" w14:textId="77777777" w:rsidR="00874F9D" w:rsidRDefault="00874F9D" w:rsidP="00874F9D">
      <w:pPr>
        <w:autoSpaceDE w:val="0"/>
        <w:autoSpaceDN w:val="0"/>
        <w:adjustRightInd w:val="0"/>
        <w:jc w:val="both"/>
        <w:rPr>
          <w:rFonts w:asciiTheme="minorHAnsi" w:hAnsiTheme="minorHAnsi" w:cs="Arial"/>
          <w:sz w:val="20"/>
          <w:szCs w:val="20"/>
        </w:rPr>
      </w:pPr>
      <w:r w:rsidRPr="00874F9D">
        <w:rPr>
          <w:rFonts w:asciiTheme="minorHAnsi" w:hAnsiTheme="minorHAnsi" w:cs="Arial"/>
          <w:sz w:val="20"/>
          <w:szCs w:val="20"/>
        </w:rPr>
        <w:t>The Group’s impairment models are subject to periodic monitoring, independent validation and back testing performed</w:t>
      </w:r>
      <w:r w:rsidRPr="00874F9D">
        <w:rPr>
          <w:rFonts w:asciiTheme="minorHAnsi" w:hAnsiTheme="minorHAnsi" w:cs="Arial"/>
          <w:sz w:val="20"/>
          <w:szCs w:val="20"/>
          <w:u w:val="single"/>
        </w:rPr>
        <w:t xml:space="preserve"> </w:t>
      </w:r>
      <w:r w:rsidRPr="00874F9D">
        <w:rPr>
          <w:rFonts w:asciiTheme="minorHAnsi" w:hAnsiTheme="minorHAnsi" w:cs="Arial"/>
          <w:sz w:val="20"/>
          <w:szCs w:val="20"/>
        </w:rPr>
        <w:t>on model components (where appropriate), including PD, EAD, and LGD to ensure management judgements remain appropriate.</w:t>
      </w:r>
    </w:p>
    <w:p w14:paraId="680479FF" w14:textId="77777777" w:rsidR="00874F9D" w:rsidRPr="00874F9D" w:rsidRDefault="00874F9D" w:rsidP="00874F9D">
      <w:pPr>
        <w:autoSpaceDE w:val="0"/>
        <w:autoSpaceDN w:val="0"/>
        <w:adjustRightInd w:val="0"/>
        <w:jc w:val="both"/>
        <w:rPr>
          <w:rFonts w:asciiTheme="minorHAnsi" w:hAnsiTheme="minorHAnsi" w:cs="Arial"/>
          <w:sz w:val="20"/>
          <w:szCs w:val="20"/>
        </w:rPr>
      </w:pPr>
    </w:p>
    <w:p w14:paraId="76951406" w14:textId="77777777" w:rsidR="00874F9D" w:rsidRPr="00874F9D" w:rsidRDefault="00874F9D" w:rsidP="00874F9D">
      <w:pPr>
        <w:autoSpaceDE w:val="0"/>
        <w:autoSpaceDN w:val="0"/>
        <w:adjustRightInd w:val="0"/>
        <w:jc w:val="both"/>
        <w:rPr>
          <w:rFonts w:asciiTheme="minorHAnsi" w:hAnsiTheme="minorHAnsi" w:cs="Arial"/>
          <w:sz w:val="20"/>
          <w:szCs w:val="20"/>
        </w:rPr>
      </w:pPr>
      <w:r w:rsidRPr="00874F9D">
        <w:rPr>
          <w:rFonts w:asciiTheme="minorHAnsi" w:hAnsiTheme="minorHAnsi" w:cs="Arial"/>
          <w:sz w:val="20"/>
          <w:szCs w:val="20"/>
        </w:rPr>
        <w:t>Limitations in the Group’s impairment models or data inputs may be identified through the ongoing assessment and validation of the output of the models. In these circumstances, management makes appropriate adjustments to the Group’s allowance for impairment losses to ensure that the overall provision adequately reflects all material credit risks. These adjustments are determined by considering the particular attributes of exposures which have not been adequately captured by the impairment models and range from changes to model inputs and parameters, at account level, through to more qualitative post-model overlays. Those changes applied to model inputs and parameters are deemed to be in-model overlays; more qualitative changes that have a higher degree of management judgement are deemed to be post-</w:t>
      </w:r>
      <w:r w:rsidRPr="00874F9D">
        <w:rPr>
          <w:rFonts w:asciiTheme="minorHAnsi" w:hAnsiTheme="minorHAnsi" w:cs="Arial"/>
          <w:sz w:val="20"/>
          <w:szCs w:val="20"/>
        </w:rPr>
        <w:lastRenderedPageBreak/>
        <w:t>model overlays. All adjustments are reviewed quarterly and are subject to internal review and challenge to ensure that amounts are appropriately calculated. A breakdown of the in-model and post-model overlays is included within note 9.</w:t>
      </w:r>
    </w:p>
    <w:p w14:paraId="502E2A3B" w14:textId="77777777" w:rsidR="00874F9D" w:rsidRPr="00874F9D" w:rsidRDefault="00874F9D" w:rsidP="00874F9D">
      <w:pPr>
        <w:autoSpaceDE w:val="0"/>
        <w:autoSpaceDN w:val="0"/>
        <w:adjustRightInd w:val="0"/>
        <w:jc w:val="both"/>
        <w:rPr>
          <w:rFonts w:asciiTheme="minorHAnsi" w:hAnsiTheme="minorHAnsi" w:cs="Arial"/>
          <w:sz w:val="20"/>
          <w:szCs w:val="20"/>
        </w:rPr>
      </w:pPr>
    </w:p>
    <w:p w14:paraId="1617039C" w14:textId="77777777" w:rsidR="00874F9D" w:rsidRDefault="00874F9D" w:rsidP="00874F9D">
      <w:pPr>
        <w:autoSpaceDE w:val="0"/>
        <w:autoSpaceDN w:val="0"/>
        <w:adjustRightInd w:val="0"/>
        <w:jc w:val="both"/>
        <w:rPr>
          <w:rFonts w:asciiTheme="minorHAnsi" w:hAnsiTheme="minorHAnsi" w:cs="Arial"/>
          <w:sz w:val="20"/>
          <w:szCs w:val="20"/>
        </w:rPr>
      </w:pPr>
      <w:r w:rsidRPr="00874F9D">
        <w:rPr>
          <w:rFonts w:asciiTheme="minorHAnsi" w:hAnsiTheme="minorHAnsi" w:cs="Arial"/>
          <w:sz w:val="20"/>
          <w:szCs w:val="20"/>
        </w:rPr>
        <w:t>Credit performance across the Group remains stable and internal analysis shows no obvious signs of credit quality deterioration.</w:t>
      </w:r>
    </w:p>
    <w:p w14:paraId="01657779" w14:textId="77777777" w:rsidR="00874F9D" w:rsidRPr="00874F9D" w:rsidRDefault="00874F9D" w:rsidP="00874F9D">
      <w:pPr>
        <w:autoSpaceDE w:val="0"/>
        <w:autoSpaceDN w:val="0"/>
        <w:adjustRightInd w:val="0"/>
        <w:jc w:val="both"/>
        <w:rPr>
          <w:rFonts w:asciiTheme="minorHAnsi" w:hAnsiTheme="minorHAnsi" w:cs="Arial"/>
          <w:sz w:val="20"/>
          <w:szCs w:val="20"/>
        </w:rPr>
      </w:pPr>
    </w:p>
    <w:p w14:paraId="0BF239E9" w14:textId="77777777" w:rsidR="00874F9D" w:rsidRDefault="00874F9D" w:rsidP="00874F9D">
      <w:pPr>
        <w:autoSpaceDE w:val="0"/>
        <w:autoSpaceDN w:val="0"/>
        <w:adjustRightInd w:val="0"/>
        <w:jc w:val="both"/>
        <w:rPr>
          <w:rFonts w:asciiTheme="minorHAnsi" w:hAnsiTheme="minorHAnsi" w:cs="Arial"/>
          <w:sz w:val="20"/>
          <w:szCs w:val="20"/>
        </w:rPr>
      </w:pPr>
      <w:r w:rsidRPr="00874F9D">
        <w:rPr>
          <w:rFonts w:asciiTheme="minorHAnsi" w:hAnsiTheme="minorHAnsi" w:cs="Arial"/>
          <w:sz w:val="20"/>
          <w:szCs w:val="20"/>
        </w:rPr>
        <w:t>Macroeconomic impairment provision adjustments are recognised in the core model to reflect an increased PD, based on future macroeconomic scenarios. Management judgement was required to determine the appropriate macroeconomic indicators to be used in the model by assessing their correlation with credit losses incurred by the business.</w:t>
      </w:r>
    </w:p>
    <w:p w14:paraId="0DA2EED0" w14:textId="77777777" w:rsidR="00586977" w:rsidRPr="00874F9D" w:rsidRDefault="00586977" w:rsidP="00874F9D">
      <w:pPr>
        <w:autoSpaceDE w:val="0"/>
        <w:autoSpaceDN w:val="0"/>
        <w:adjustRightInd w:val="0"/>
        <w:jc w:val="both"/>
        <w:rPr>
          <w:rFonts w:asciiTheme="minorHAnsi" w:hAnsiTheme="minorHAnsi" w:cs="Arial"/>
          <w:sz w:val="20"/>
          <w:szCs w:val="20"/>
        </w:rPr>
      </w:pPr>
    </w:p>
    <w:p w14:paraId="66A468FF" w14:textId="7211273A" w:rsidR="00874F9D" w:rsidRDefault="00874F9D" w:rsidP="00874F9D">
      <w:pPr>
        <w:autoSpaceDE w:val="0"/>
        <w:autoSpaceDN w:val="0"/>
        <w:adjustRightInd w:val="0"/>
        <w:jc w:val="both"/>
        <w:rPr>
          <w:rFonts w:asciiTheme="minorHAnsi" w:hAnsiTheme="minorHAnsi" w:cs="Arial"/>
          <w:sz w:val="20"/>
          <w:szCs w:val="20"/>
        </w:rPr>
      </w:pPr>
      <w:r w:rsidRPr="00874F9D">
        <w:rPr>
          <w:rFonts w:asciiTheme="minorHAnsi" w:hAnsiTheme="minorHAnsi" w:cs="Arial"/>
          <w:sz w:val="20"/>
          <w:szCs w:val="20"/>
        </w:rPr>
        <w:t>In FY24 a model overlay of £5.4m was recognised which look</w:t>
      </w:r>
      <w:r w:rsidR="00F35358">
        <w:rPr>
          <w:rFonts w:asciiTheme="minorHAnsi" w:hAnsiTheme="minorHAnsi" w:cs="Arial"/>
          <w:sz w:val="20"/>
          <w:szCs w:val="20"/>
        </w:rPr>
        <w:t>ed</w:t>
      </w:r>
      <w:r w:rsidRPr="00874F9D">
        <w:rPr>
          <w:rFonts w:asciiTheme="minorHAnsi" w:hAnsiTheme="minorHAnsi" w:cs="Arial"/>
          <w:sz w:val="20"/>
          <w:szCs w:val="20"/>
        </w:rPr>
        <w:t xml:space="preserve"> at Credit Card write-off rates, utilising data from a third party. Th</w:t>
      </w:r>
      <w:r w:rsidR="006F4DB2">
        <w:rPr>
          <w:rFonts w:asciiTheme="minorHAnsi" w:hAnsiTheme="minorHAnsi" w:cs="Arial"/>
          <w:sz w:val="20"/>
          <w:szCs w:val="20"/>
        </w:rPr>
        <w:t>is</w:t>
      </w:r>
      <w:r w:rsidR="004C1DAC">
        <w:rPr>
          <w:rFonts w:asciiTheme="minorHAnsi" w:hAnsiTheme="minorHAnsi" w:cs="Arial"/>
          <w:sz w:val="20"/>
          <w:szCs w:val="20"/>
        </w:rPr>
        <w:t xml:space="preserve"> </w:t>
      </w:r>
      <w:r w:rsidR="00C5333F">
        <w:rPr>
          <w:rFonts w:asciiTheme="minorHAnsi" w:hAnsiTheme="minorHAnsi" w:cs="Arial"/>
          <w:sz w:val="20"/>
          <w:szCs w:val="20"/>
        </w:rPr>
        <w:t>third party</w:t>
      </w:r>
      <w:r w:rsidR="004C1DAC">
        <w:rPr>
          <w:rFonts w:asciiTheme="minorHAnsi" w:hAnsiTheme="minorHAnsi" w:cs="Arial"/>
          <w:sz w:val="20"/>
          <w:szCs w:val="20"/>
        </w:rPr>
        <w:t xml:space="preserve"> </w:t>
      </w:r>
      <w:r w:rsidRPr="00874F9D">
        <w:rPr>
          <w:rFonts w:asciiTheme="minorHAnsi" w:hAnsiTheme="minorHAnsi" w:cs="Arial"/>
          <w:sz w:val="20"/>
          <w:szCs w:val="20"/>
        </w:rPr>
        <w:t xml:space="preserve">model predicts industry level write-off rates using a combination of interest rates on Credit Cards, unemployment rate, debt to income ratio and a measure of macroeconomic volatility. The outputs from </w:t>
      </w:r>
      <w:r w:rsidR="00C5333F">
        <w:rPr>
          <w:rFonts w:asciiTheme="minorHAnsi" w:hAnsiTheme="minorHAnsi" w:cs="Arial"/>
          <w:sz w:val="20"/>
          <w:szCs w:val="20"/>
        </w:rPr>
        <w:t>this</w:t>
      </w:r>
      <w:r w:rsidRPr="00874F9D">
        <w:rPr>
          <w:rFonts w:asciiTheme="minorHAnsi" w:hAnsiTheme="minorHAnsi" w:cs="Arial"/>
          <w:sz w:val="20"/>
          <w:szCs w:val="20"/>
        </w:rPr>
        <w:t xml:space="preserve"> model are calibrated to the VBG entry to default rate which is in turn used to derive the scalars applied to the lifetime probability of default model. </w:t>
      </w:r>
    </w:p>
    <w:p w14:paraId="61994EA5" w14:textId="77777777" w:rsidR="00586977" w:rsidRPr="00874F9D" w:rsidRDefault="00586977" w:rsidP="00874F9D">
      <w:pPr>
        <w:autoSpaceDE w:val="0"/>
        <w:autoSpaceDN w:val="0"/>
        <w:adjustRightInd w:val="0"/>
        <w:jc w:val="both"/>
        <w:rPr>
          <w:rFonts w:asciiTheme="minorHAnsi" w:hAnsiTheme="minorHAnsi" w:cs="Arial"/>
          <w:sz w:val="20"/>
          <w:szCs w:val="20"/>
        </w:rPr>
      </w:pPr>
    </w:p>
    <w:p w14:paraId="4C5CF82C" w14:textId="4BFD2B3F" w:rsidR="00874F9D" w:rsidRPr="00874F9D" w:rsidRDefault="00874F9D" w:rsidP="00874F9D">
      <w:pPr>
        <w:autoSpaceDE w:val="0"/>
        <w:autoSpaceDN w:val="0"/>
        <w:adjustRightInd w:val="0"/>
        <w:jc w:val="both"/>
        <w:rPr>
          <w:rFonts w:asciiTheme="minorHAnsi" w:hAnsiTheme="minorHAnsi" w:cs="Arial"/>
          <w:sz w:val="20"/>
          <w:szCs w:val="20"/>
        </w:rPr>
      </w:pPr>
      <w:r w:rsidRPr="00874F9D">
        <w:rPr>
          <w:rFonts w:asciiTheme="minorHAnsi" w:hAnsiTheme="minorHAnsi" w:cs="Arial"/>
          <w:sz w:val="20"/>
          <w:szCs w:val="20"/>
        </w:rPr>
        <w:t xml:space="preserve">During 1H25 the </w:t>
      </w:r>
      <w:r w:rsidR="006F4DB2">
        <w:rPr>
          <w:rFonts w:asciiTheme="minorHAnsi" w:hAnsiTheme="minorHAnsi" w:cs="Arial"/>
          <w:sz w:val="20"/>
          <w:szCs w:val="20"/>
        </w:rPr>
        <w:t>third party</w:t>
      </w:r>
      <w:r w:rsidRPr="00874F9D">
        <w:rPr>
          <w:rFonts w:asciiTheme="minorHAnsi" w:hAnsiTheme="minorHAnsi" w:cs="Arial"/>
          <w:sz w:val="20"/>
          <w:szCs w:val="20"/>
        </w:rPr>
        <w:t xml:space="preserve"> model was incorporated in the core model and </w:t>
      </w:r>
      <w:r w:rsidR="007369B7">
        <w:rPr>
          <w:rFonts w:asciiTheme="minorHAnsi" w:hAnsiTheme="minorHAnsi" w:cs="Arial"/>
          <w:sz w:val="20"/>
          <w:szCs w:val="20"/>
        </w:rPr>
        <w:t>an overlay i</w:t>
      </w:r>
      <w:r w:rsidRPr="00874F9D">
        <w:rPr>
          <w:rFonts w:asciiTheme="minorHAnsi" w:hAnsiTheme="minorHAnsi" w:cs="Arial"/>
          <w:sz w:val="20"/>
          <w:szCs w:val="20"/>
        </w:rPr>
        <w:t xml:space="preserve">s no longer held. The redeveloped </w:t>
      </w:r>
      <w:r w:rsidR="00CC59F9">
        <w:rPr>
          <w:rFonts w:asciiTheme="minorHAnsi" w:hAnsiTheme="minorHAnsi" w:cs="Arial"/>
          <w:sz w:val="20"/>
          <w:szCs w:val="20"/>
        </w:rPr>
        <w:t xml:space="preserve">internal </w:t>
      </w:r>
      <w:r w:rsidRPr="00874F9D">
        <w:rPr>
          <w:rFonts w:asciiTheme="minorHAnsi" w:hAnsiTheme="minorHAnsi" w:cs="Arial"/>
          <w:sz w:val="20"/>
          <w:szCs w:val="20"/>
        </w:rPr>
        <w:t xml:space="preserve">model is expected to be implemented in 2H25. </w:t>
      </w:r>
    </w:p>
    <w:p w14:paraId="25A97B4A" w14:textId="77777777" w:rsidR="00874F9D" w:rsidRPr="00874F9D" w:rsidRDefault="00874F9D" w:rsidP="00874F9D">
      <w:pPr>
        <w:autoSpaceDE w:val="0"/>
        <w:autoSpaceDN w:val="0"/>
        <w:adjustRightInd w:val="0"/>
        <w:jc w:val="both"/>
        <w:rPr>
          <w:rFonts w:asciiTheme="minorHAnsi" w:hAnsiTheme="minorHAnsi" w:cs="Arial"/>
          <w:sz w:val="20"/>
          <w:szCs w:val="20"/>
          <w:u w:val="single"/>
        </w:rPr>
      </w:pPr>
    </w:p>
    <w:p w14:paraId="71EB8E69" w14:textId="77777777" w:rsidR="00874F9D" w:rsidRPr="00874F9D" w:rsidRDefault="00874F9D" w:rsidP="00874F9D">
      <w:pPr>
        <w:autoSpaceDE w:val="0"/>
        <w:autoSpaceDN w:val="0"/>
        <w:adjustRightInd w:val="0"/>
        <w:jc w:val="both"/>
        <w:rPr>
          <w:rFonts w:asciiTheme="minorHAnsi" w:hAnsiTheme="minorHAnsi" w:cs="Arial"/>
          <w:sz w:val="20"/>
          <w:szCs w:val="20"/>
          <w:u w:val="single"/>
        </w:rPr>
      </w:pPr>
    </w:p>
    <w:p w14:paraId="74C34BC0" w14:textId="77777777" w:rsidR="00874F9D" w:rsidRPr="00874F9D" w:rsidRDefault="00874F9D" w:rsidP="00874F9D">
      <w:pPr>
        <w:autoSpaceDE w:val="0"/>
        <w:autoSpaceDN w:val="0"/>
        <w:adjustRightInd w:val="0"/>
        <w:jc w:val="both"/>
        <w:rPr>
          <w:rFonts w:asciiTheme="minorHAnsi" w:hAnsiTheme="minorHAnsi" w:cs="Arial"/>
          <w:sz w:val="20"/>
          <w:szCs w:val="20"/>
          <w:u w:val="single"/>
        </w:rPr>
      </w:pPr>
      <w:r w:rsidRPr="00874F9D">
        <w:rPr>
          <w:rFonts w:asciiTheme="minorHAnsi" w:hAnsiTheme="minorHAnsi" w:cs="Arial"/>
          <w:sz w:val="20"/>
          <w:szCs w:val="20"/>
          <w:u w:val="single"/>
        </w:rPr>
        <w:t>Key sources of estimation uncertainty</w:t>
      </w:r>
    </w:p>
    <w:p w14:paraId="033DFD77" w14:textId="77777777" w:rsidR="00874F9D" w:rsidRDefault="00874F9D" w:rsidP="00874F9D">
      <w:pPr>
        <w:autoSpaceDE w:val="0"/>
        <w:autoSpaceDN w:val="0"/>
        <w:adjustRightInd w:val="0"/>
        <w:jc w:val="both"/>
        <w:rPr>
          <w:rFonts w:asciiTheme="minorHAnsi" w:hAnsiTheme="minorHAnsi" w:cs="Arial"/>
          <w:sz w:val="20"/>
          <w:szCs w:val="20"/>
        </w:rPr>
      </w:pPr>
      <w:r w:rsidRPr="00170421">
        <w:rPr>
          <w:rFonts w:asciiTheme="minorHAnsi" w:hAnsiTheme="minorHAnsi" w:cs="Arial"/>
          <w:sz w:val="20"/>
          <w:szCs w:val="20"/>
        </w:rPr>
        <w:t>The level of impairment recognised is calculated using models which utilise historical payment performance to generate the estimated amount and timing of future cash flows from each cohort of customers in each arrears stage.</w:t>
      </w:r>
    </w:p>
    <w:p w14:paraId="1335856A" w14:textId="77777777" w:rsidR="00BA0B10" w:rsidRPr="00170421" w:rsidRDefault="00BA0B10" w:rsidP="00874F9D">
      <w:pPr>
        <w:autoSpaceDE w:val="0"/>
        <w:autoSpaceDN w:val="0"/>
        <w:adjustRightInd w:val="0"/>
        <w:jc w:val="both"/>
        <w:rPr>
          <w:rFonts w:asciiTheme="minorHAnsi" w:hAnsiTheme="minorHAnsi" w:cs="Arial"/>
          <w:sz w:val="20"/>
          <w:szCs w:val="20"/>
        </w:rPr>
      </w:pPr>
    </w:p>
    <w:p w14:paraId="7C316351" w14:textId="6EC9C407" w:rsidR="00874F9D" w:rsidRPr="00170421" w:rsidRDefault="00874F9D" w:rsidP="00874F9D">
      <w:pPr>
        <w:autoSpaceDE w:val="0"/>
        <w:autoSpaceDN w:val="0"/>
        <w:adjustRightInd w:val="0"/>
        <w:jc w:val="both"/>
        <w:rPr>
          <w:rFonts w:asciiTheme="minorHAnsi" w:hAnsiTheme="minorHAnsi" w:cs="Arial"/>
          <w:sz w:val="20"/>
          <w:szCs w:val="20"/>
        </w:rPr>
      </w:pPr>
      <w:r w:rsidRPr="00170421">
        <w:rPr>
          <w:rFonts w:asciiTheme="minorHAnsi" w:hAnsiTheme="minorHAnsi" w:cs="Arial"/>
          <w:sz w:val="20"/>
          <w:szCs w:val="20"/>
        </w:rPr>
        <w:t xml:space="preserve">The models are regularly monitored to ensure they retain sufficient accuracy. Sensitivity analysis has been performed in note </w:t>
      </w:r>
      <w:r w:rsidR="00403CD1">
        <w:rPr>
          <w:rFonts w:asciiTheme="minorHAnsi" w:hAnsiTheme="minorHAnsi" w:cs="Arial"/>
          <w:sz w:val="20"/>
          <w:szCs w:val="20"/>
        </w:rPr>
        <w:t>9</w:t>
      </w:r>
      <w:r w:rsidRPr="00170421">
        <w:rPr>
          <w:rFonts w:asciiTheme="minorHAnsi" w:hAnsiTheme="minorHAnsi" w:cs="Arial"/>
          <w:sz w:val="20"/>
          <w:szCs w:val="20"/>
        </w:rPr>
        <w:t xml:space="preserve"> which shows the impact of a 1% movement of gross exposure into Stage 2 from Stage 1 on the allowance accounts.</w:t>
      </w:r>
    </w:p>
    <w:p w14:paraId="0DBC1743" w14:textId="77777777" w:rsidR="00874F9D" w:rsidRPr="00170421" w:rsidRDefault="00874F9D" w:rsidP="00874F9D">
      <w:pPr>
        <w:autoSpaceDE w:val="0"/>
        <w:autoSpaceDN w:val="0"/>
        <w:adjustRightInd w:val="0"/>
        <w:jc w:val="both"/>
        <w:rPr>
          <w:rFonts w:asciiTheme="minorHAnsi" w:hAnsiTheme="minorHAnsi" w:cs="Arial"/>
          <w:sz w:val="20"/>
          <w:szCs w:val="20"/>
        </w:rPr>
      </w:pPr>
    </w:p>
    <w:p w14:paraId="03D52110" w14:textId="77777777" w:rsidR="00874F9D" w:rsidRPr="00170421" w:rsidRDefault="00874F9D" w:rsidP="00874F9D">
      <w:pPr>
        <w:autoSpaceDE w:val="0"/>
        <w:autoSpaceDN w:val="0"/>
        <w:adjustRightInd w:val="0"/>
        <w:jc w:val="both"/>
        <w:rPr>
          <w:rFonts w:asciiTheme="minorHAnsi" w:hAnsiTheme="minorHAnsi" w:cs="Arial"/>
          <w:sz w:val="20"/>
          <w:szCs w:val="20"/>
        </w:rPr>
      </w:pPr>
      <w:r w:rsidRPr="00170421">
        <w:rPr>
          <w:rFonts w:asciiTheme="minorHAnsi" w:hAnsiTheme="minorHAnsi" w:cs="Arial"/>
          <w:sz w:val="20"/>
          <w:szCs w:val="20"/>
        </w:rPr>
        <w:t>Macroeconomic assumptions</w:t>
      </w:r>
    </w:p>
    <w:p w14:paraId="22620D60" w14:textId="20F96592" w:rsidR="00874F9D" w:rsidRPr="00170421" w:rsidRDefault="00874F9D" w:rsidP="00874F9D">
      <w:pPr>
        <w:autoSpaceDE w:val="0"/>
        <w:autoSpaceDN w:val="0"/>
        <w:adjustRightInd w:val="0"/>
        <w:jc w:val="both"/>
        <w:rPr>
          <w:rFonts w:asciiTheme="minorHAnsi" w:hAnsiTheme="minorHAnsi" w:cs="Arial"/>
          <w:sz w:val="20"/>
          <w:szCs w:val="20"/>
        </w:rPr>
      </w:pPr>
      <w:r w:rsidRPr="00170421">
        <w:rPr>
          <w:rFonts w:asciiTheme="minorHAnsi" w:hAnsiTheme="minorHAnsi" w:cs="Arial"/>
          <w:sz w:val="20"/>
          <w:szCs w:val="20"/>
        </w:rPr>
        <w:t xml:space="preserve">The following table shows the scenario five-year peak and average </w:t>
      </w:r>
      <w:r w:rsidR="002D2DF3">
        <w:rPr>
          <w:rFonts w:asciiTheme="minorHAnsi" w:hAnsiTheme="minorHAnsi" w:cs="Arial"/>
          <w:sz w:val="20"/>
          <w:szCs w:val="20"/>
        </w:rPr>
        <w:t>third party</w:t>
      </w:r>
      <w:r w:rsidRPr="00170421">
        <w:rPr>
          <w:rFonts w:asciiTheme="minorHAnsi" w:hAnsiTheme="minorHAnsi" w:cs="Arial"/>
          <w:sz w:val="20"/>
          <w:szCs w:val="20"/>
        </w:rPr>
        <w:t xml:space="preserve"> model</w:t>
      </w:r>
      <w:r w:rsidR="005F2925">
        <w:rPr>
          <w:rFonts w:asciiTheme="minorHAnsi" w:hAnsiTheme="minorHAnsi" w:cs="Arial"/>
          <w:sz w:val="20"/>
          <w:szCs w:val="20"/>
        </w:rPr>
        <w:t xml:space="preserve"> Credit Card write off rates.</w:t>
      </w:r>
      <w:r w:rsidRPr="00170421">
        <w:rPr>
          <w:rFonts w:asciiTheme="minorHAnsi" w:hAnsiTheme="minorHAnsi" w:cs="Arial"/>
          <w:sz w:val="20"/>
          <w:szCs w:val="20"/>
        </w:rPr>
        <w:t xml:space="preserve"> These estimates are used to derive base case, upside, downside and severe scenarios.</w:t>
      </w:r>
    </w:p>
    <w:p w14:paraId="7D066B91" w14:textId="18D8D86E" w:rsidR="003B6BAD" w:rsidRPr="00170421" w:rsidRDefault="003B6BAD" w:rsidP="00874F9D">
      <w:pPr>
        <w:autoSpaceDE w:val="0"/>
        <w:autoSpaceDN w:val="0"/>
        <w:adjustRightInd w:val="0"/>
        <w:jc w:val="both"/>
        <w:rPr>
          <w:rFonts w:asciiTheme="minorHAnsi" w:hAnsiTheme="min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988"/>
        <w:gridCol w:w="965"/>
        <w:gridCol w:w="1043"/>
        <w:gridCol w:w="848"/>
        <w:gridCol w:w="808"/>
        <w:gridCol w:w="824"/>
        <w:gridCol w:w="1022"/>
        <w:gridCol w:w="822"/>
      </w:tblGrid>
      <w:tr w:rsidR="00257930" w14:paraId="0808A580" w14:textId="77777777" w:rsidTr="003B7755">
        <w:tc>
          <w:tcPr>
            <w:tcW w:w="2393" w:type="dxa"/>
            <w:tcBorders>
              <w:top w:val="single" w:sz="4" w:space="0" w:color="auto"/>
              <w:left w:val="single" w:sz="4" w:space="0" w:color="auto"/>
              <w:right w:val="single" w:sz="4" w:space="0" w:color="auto"/>
            </w:tcBorders>
          </w:tcPr>
          <w:p w14:paraId="54B7260F" w14:textId="77777777" w:rsidR="00257930" w:rsidRDefault="00257930" w:rsidP="00257930">
            <w:pPr>
              <w:autoSpaceDE w:val="0"/>
              <w:autoSpaceDN w:val="0"/>
              <w:adjustRightInd w:val="0"/>
              <w:jc w:val="both"/>
              <w:rPr>
                <w:rFonts w:asciiTheme="minorHAnsi" w:hAnsiTheme="minorHAnsi" w:cs="Arial"/>
                <w:sz w:val="20"/>
                <w:szCs w:val="20"/>
              </w:rPr>
            </w:pPr>
          </w:p>
        </w:tc>
        <w:tc>
          <w:tcPr>
            <w:tcW w:w="3844" w:type="dxa"/>
            <w:gridSpan w:val="4"/>
            <w:tcBorders>
              <w:top w:val="single" w:sz="4" w:space="0" w:color="auto"/>
              <w:left w:val="single" w:sz="4" w:space="0" w:color="auto"/>
              <w:right w:val="single" w:sz="4" w:space="0" w:color="auto"/>
            </w:tcBorders>
            <w:shd w:val="clear" w:color="auto" w:fill="F2F2F2" w:themeFill="background1" w:themeFillShade="F2"/>
          </w:tcPr>
          <w:p w14:paraId="6410BCA2" w14:textId="46ED9508" w:rsidR="00257930" w:rsidRPr="00257930" w:rsidRDefault="00257930" w:rsidP="00257930">
            <w:pPr>
              <w:autoSpaceDE w:val="0"/>
              <w:autoSpaceDN w:val="0"/>
              <w:adjustRightInd w:val="0"/>
              <w:jc w:val="center"/>
              <w:rPr>
                <w:rFonts w:asciiTheme="minorHAnsi" w:hAnsiTheme="minorHAnsi" w:cs="Arial"/>
                <w:b/>
                <w:bCs/>
                <w:sz w:val="20"/>
                <w:szCs w:val="20"/>
              </w:rPr>
            </w:pPr>
            <w:r w:rsidRPr="00257930">
              <w:rPr>
                <w:rFonts w:asciiTheme="minorHAnsi" w:hAnsiTheme="minorHAnsi" w:cs="Arial"/>
                <w:b/>
                <w:bCs/>
                <w:sz w:val="20"/>
                <w:szCs w:val="20"/>
              </w:rPr>
              <w:t>30 June 2025</w:t>
            </w:r>
          </w:p>
        </w:tc>
        <w:tc>
          <w:tcPr>
            <w:tcW w:w="3476" w:type="dxa"/>
            <w:gridSpan w:val="4"/>
            <w:tcBorders>
              <w:top w:val="single" w:sz="4" w:space="0" w:color="auto"/>
              <w:left w:val="single" w:sz="4" w:space="0" w:color="auto"/>
              <w:right w:val="single" w:sz="4" w:space="0" w:color="auto"/>
            </w:tcBorders>
          </w:tcPr>
          <w:p w14:paraId="16DF1A82" w14:textId="36814E8B" w:rsidR="00257930" w:rsidRDefault="00257930" w:rsidP="00257930">
            <w:pPr>
              <w:autoSpaceDE w:val="0"/>
              <w:autoSpaceDN w:val="0"/>
              <w:adjustRightInd w:val="0"/>
              <w:jc w:val="center"/>
              <w:rPr>
                <w:rFonts w:asciiTheme="minorHAnsi" w:hAnsiTheme="minorHAnsi" w:cs="Arial"/>
                <w:sz w:val="20"/>
                <w:szCs w:val="20"/>
              </w:rPr>
            </w:pPr>
            <w:r>
              <w:rPr>
                <w:rFonts w:asciiTheme="minorHAnsi" w:hAnsiTheme="minorHAnsi" w:cs="Arial"/>
                <w:sz w:val="20"/>
                <w:szCs w:val="20"/>
              </w:rPr>
              <w:t>31 December 2024</w:t>
            </w:r>
          </w:p>
        </w:tc>
      </w:tr>
      <w:tr w:rsidR="00257930" w14:paraId="4BDB261A" w14:textId="28D65500" w:rsidTr="003B7755">
        <w:tc>
          <w:tcPr>
            <w:tcW w:w="2393" w:type="dxa"/>
            <w:tcBorders>
              <w:left w:val="single" w:sz="4" w:space="0" w:color="auto"/>
              <w:right w:val="single" w:sz="4" w:space="0" w:color="auto"/>
            </w:tcBorders>
          </w:tcPr>
          <w:p w14:paraId="5F57605A" w14:textId="77777777" w:rsidR="00257930" w:rsidRDefault="00257930" w:rsidP="00257930">
            <w:pPr>
              <w:autoSpaceDE w:val="0"/>
              <w:autoSpaceDN w:val="0"/>
              <w:adjustRightInd w:val="0"/>
              <w:jc w:val="both"/>
              <w:rPr>
                <w:rFonts w:asciiTheme="minorHAnsi" w:hAnsiTheme="minorHAnsi" w:cs="Arial"/>
                <w:sz w:val="20"/>
                <w:szCs w:val="20"/>
              </w:rPr>
            </w:pPr>
          </w:p>
        </w:tc>
        <w:tc>
          <w:tcPr>
            <w:tcW w:w="988" w:type="dxa"/>
            <w:tcBorders>
              <w:left w:val="single" w:sz="4" w:space="0" w:color="auto"/>
            </w:tcBorders>
            <w:shd w:val="clear" w:color="auto" w:fill="F2F2F2" w:themeFill="background1" w:themeFillShade="F2"/>
          </w:tcPr>
          <w:p w14:paraId="36183736" w14:textId="61BBCECC" w:rsidR="00257930" w:rsidRPr="00257930" w:rsidRDefault="00257930" w:rsidP="00257930">
            <w:pPr>
              <w:autoSpaceDE w:val="0"/>
              <w:autoSpaceDN w:val="0"/>
              <w:adjustRightInd w:val="0"/>
              <w:jc w:val="right"/>
              <w:rPr>
                <w:rFonts w:asciiTheme="minorHAnsi" w:hAnsiTheme="minorHAnsi" w:cs="Arial"/>
                <w:b/>
                <w:bCs/>
                <w:sz w:val="20"/>
                <w:szCs w:val="20"/>
              </w:rPr>
            </w:pPr>
            <w:r w:rsidRPr="00257930">
              <w:rPr>
                <w:rFonts w:asciiTheme="minorHAnsi" w:hAnsiTheme="minorHAnsi" w:cs="Arial"/>
                <w:b/>
                <w:bCs/>
                <w:sz w:val="20"/>
                <w:szCs w:val="20"/>
              </w:rPr>
              <w:t>Base</w:t>
            </w:r>
          </w:p>
        </w:tc>
        <w:tc>
          <w:tcPr>
            <w:tcW w:w="965" w:type="dxa"/>
            <w:shd w:val="clear" w:color="auto" w:fill="F2F2F2" w:themeFill="background1" w:themeFillShade="F2"/>
          </w:tcPr>
          <w:p w14:paraId="5A0AD647" w14:textId="0F91FF6D" w:rsidR="00257930" w:rsidRPr="00257930" w:rsidRDefault="00257930" w:rsidP="00257930">
            <w:pPr>
              <w:autoSpaceDE w:val="0"/>
              <w:autoSpaceDN w:val="0"/>
              <w:adjustRightInd w:val="0"/>
              <w:jc w:val="right"/>
              <w:rPr>
                <w:rFonts w:asciiTheme="minorHAnsi" w:hAnsiTheme="minorHAnsi" w:cs="Arial"/>
                <w:b/>
                <w:bCs/>
                <w:sz w:val="20"/>
                <w:szCs w:val="20"/>
              </w:rPr>
            </w:pPr>
            <w:r w:rsidRPr="00257930">
              <w:rPr>
                <w:rFonts w:asciiTheme="minorHAnsi" w:hAnsiTheme="minorHAnsi" w:cs="Arial"/>
                <w:b/>
                <w:bCs/>
                <w:sz w:val="20"/>
                <w:szCs w:val="20"/>
              </w:rPr>
              <w:t>Upside</w:t>
            </w:r>
          </w:p>
        </w:tc>
        <w:tc>
          <w:tcPr>
            <w:tcW w:w="1043" w:type="dxa"/>
            <w:shd w:val="clear" w:color="auto" w:fill="F2F2F2" w:themeFill="background1" w:themeFillShade="F2"/>
          </w:tcPr>
          <w:p w14:paraId="6CCB3C74" w14:textId="5F119A17" w:rsidR="00257930" w:rsidRPr="00257930" w:rsidRDefault="00257930" w:rsidP="00257930">
            <w:pPr>
              <w:autoSpaceDE w:val="0"/>
              <w:autoSpaceDN w:val="0"/>
              <w:adjustRightInd w:val="0"/>
              <w:jc w:val="right"/>
              <w:rPr>
                <w:rFonts w:asciiTheme="minorHAnsi" w:hAnsiTheme="minorHAnsi" w:cs="Arial"/>
                <w:b/>
                <w:bCs/>
                <w:sz w:val="20"/>
                <w:szCs w:val="20"/>
              </w:rPr>
            </w:pPr>
            <w:r w:rsidRPr="00257930">
              <w:rPr>
                <w:rFonts w:asciiTheme="minorHAnsi" w:hAnsiTheme="minorHAnsi" w:cs="Arial"/>
                <w:b/>
                <w:bCs/>
                <w:sz w:val="20"/>
                <w:szCs w:val="20"/>
              </w:rPr>
              <w:t>Downside</w:t>
            </w:r>
          </w:p>
        </w:tc>
        <w:tc>
          <w:tcPr>
            <w:tcW w:w="848" w:type="dxa"/>
            <w:tcBorders>
              <w:right w:val="single" w:sz="4" w:space="0" w:color="auto"/>
            </w:tcBorders>
            <w:shd w:val="clear" w:color="auto" w:fill="F2F2F2" w:themeFill="background1" w:themeFillShade="F2"/>
          </w:tcPr>
          <w:p w14:paraId="698861BE" w14:textId="32811550" w:rsidR="00257930" w:rsidRPr="00257930" w:rsidRDefault="00257930" w:rsidP="00257930">
            <w:pPr>
              <w:autoSpaceDE w:val="0"/>
              <w:autoSpaceDN w:val="0"/>
              <w:adjustRightInd w:val="0"/>
              <w:jc w:val="right"/>
              <w:rPr>
                <w:rFonts w:asciiTheme="minorHAnsi" w:hAnsiTheme="minorHAnsi" w:cs="Arial"/>
                <w:b/>
                <w:bCs/>
                <w:sz w:val="20"/>
                <w:szCs w:val="20"/>
              </w:rPr>
            </w:pPr>
            <w:r w:rsidRPr="00257930">
              <w:rPr>
                <w:rFonts w:asciiTheme="minorHAnsi" w:hAnsiTheme="minorHAnsi" w:cs="Arial"/>
                <w:b/>
                <w:bCs/>
                <w:sz w:val="20"/>
                <w:szCs w:val="20"/>
              </w:rPr>
              <w:t>Severe</w:t>
            </w:r>
          </w:p>
        </w:tc>
        <w:tc>
          <w:tcPr>
            <w:tcW w:w="808" w:type="dxa"/>
            <w:tcBorders>
              <w:left w:val="single" w:sz="4" w:space="0" w:color="auto"/>
            </w:tcBorders>
          </w:tcPr>
          <w:p w14:paraId="4187A33D" w14:textId="10425BBC" w:rsidR="00257930" w:rsidRDefault="00257930" w:rsidP="00257930">
            <w:pPr>
              <w:autoSpaceDE w:val="0"/>
              <w:autoSpaceDN w:val="0"/>
              <w:adjustRightInd w:val="0"/>
              <w:jc w:val="right"/>
              <w:rPr>
                <w:rFonts w:asciiTheme="minorHAnsi" w:hAnsiTheme="minorHAnsi" w:cs="Arial"/>
                <w:sz w:val="20"/>
                <w:szCs w:val="20"/>
              </w:rPr>
            </w:pPr>
            <w:r>
              <w:rPr>
                <w:rFonts w:asciiTheme="minorHAnsi" w:hAnsiTheme="minorHAnsi" w:cs="Arial"/>
                <w:sz w:val="20"/>
                <w:szCs w:val="20"/>
              </w:rPr>
              <w:t>Base</w:t>
            </w:r>
          </w:p>
        </w:tc>
        <w:tc>
          <w:tcPr>
            <w:tcW w:w="824" w:type="dxa"/>
          </w:tcPr>
          <w:p w14:paraId="0B8E2485" w14:textId="5CC5F6DD" w:rsidR="00257930" w:rsidRDefault="00257930" w:rsidP="00257930">
            <w:pPr>
              <w:autoSpaceDE w:val="0"/>
              <w:autoSpaceDN w:val="0"/>
              <w:adjustRightInd w:val="0"/>
              <w:jc w:val="right"/>
              <w:rPr>
                <w:rFonts w:asciiTheme="minorHAnsi" w:hAnsiTheme="minorHAnsi" w:cs="Arial"/>
                <w:sz w:val="20"/>
                <w:szCs w:val="20"/>
              </w:rPr>
            </w:pPr>
            <w:r>
              <w:rPr>
                <w:rFonts w:asciiTheme="minorHAnsi" w:hAnsiTheme="minorHAnsi" w:cs="Arial"/>
                <w:sz w:val="20"/>
                <w:szCs w:val="20"/>
              </w:rPr>
              <w:t>Upside</w:t>
            </w:r>
          </w:p>
        </w:tc>
        <w:tc>
          <w:tcPr>
            <w:tcW w:w="1022" w:type="dxa"/>
          </w:tcPr>
          <w:p w14:paraId="671BAF1F" w14:textId="319C65A3" w:rsidR="00257930" w:rsidRDefault="00257930" w:rsidP="00257930">
            <w:pPr>
              <w:autoSpaceDE w:val="0"/>
              <w:autoSpaceDN w:val="0"/>
              <w:adjustRightInd w:val="0"/>
              <w:jc w:val="right"/>
              <w:rPr>
                <w:rFonts w:asciiTheme="minorHAnsi" w:hAnsiTheme="minorHAnsi" w:cs="Arial"/>
                <w:sz w:val="20"/>
                <w:szCs w:val="20"/>
              </w:rPr>
            </w:pPr>
            <w:r>
              <w:rPr>
                <w:rFonts w:asciiTheme="minorHAnsi" w:hAnsiTheme="minorHAnsi" w:cs="Arial"/>
                <w:sz w:val="20"/>
                <w:szCs w:val="20"/>
              </w:rPr>
              <w:t>Downside</w:t>
            </w:r>
          </w:p>
        </w:tc>
        <w:tc>
          <w:tcPr>
            <w:tcW w:w="822" w:type="dxa"/>
            <w:tcBorders>
              <w:right w:val="single" w:sz="4" w:space="0" w:color="auto"/>
            </w:tcBorders>
          </w:tcPr>
          <w:p w14:paraId="2C1A29EE" w14:textId="57F3E086" w:rsidR="00257930" w:rsidRDefault="00257930" w:rsidP="00257930">
            <w:pPr>
              <w:autoSpaceDE w:val="0"/>
              <w:autoSpaceDN w:val="0"/>
              <w:adjustRightInd w:val="0"/>
              <w:jc w:val="right"/>
              <w:rPr>
                <w:rFonts w:asciiTheme="minorHAnsi" w:hAnsiTheme="minorHAnsi" w:cs="Arial"/>
                <w:sz w:val="20"/>
                <w:szCs w:val="20"/>
              </w:rPr>
            </w:pPr>
            <w:r>
              <w:rPr>
                <w:rFonts w:asciiTheme="minorHAnsi" w:hAnsiTheme="minorHAnsi" w:cs="Arial"/>
                <w:sz w:val="20"/>
                <w:szCs w:val="20"/>
              </w:rPr>
              <w:t>Severe</w:t>
            </w:r>
          </w:p>
        </w:tc>
      </w:tr>
      <w:tr w:rsidR="00257930" w14:paraId="4FCE9422" w14:textId="4D0D8697" w:rsidTr="003B7755">
        <w:tc>
          <w:tcPr>
            <w:tcW w:w="2393" w:type="dxa"/>
            <w:tcBorders>
              <w:left w:val="single" w:sz="4" w:space="0" w:color="auto"/>
              <w:right w:val="single" w:sz="4" w:space="0" w:color="auto"/>
            </w:tcBorders>
          </w:tcPr>
          <w:p w14:paraId="315185F1" w14:textId="4A334A6F" w:rsidR="00257930" w:rsidRDefault="00257930" w:rsidP="0025793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Weighting</w:t>
            </w:r>
          </w:p>
        </w:tc>
        <w:tc>
          <w:tcPr>
            <w:tcW w:w="988" w:type="dxa"/>
            <w:tcBorders>
              <w:left w:val="single" w:sz="4" w:space="0" w:color="auto"/>
            </w:tcBorders>
            <w:shd w:val="clear" w:color="auto" w:fill="F2F2F2" w:themeFill="background1" w:themeFillShade="F2"/>
          </w:tcPr>
          <w:p w14:paraId="1F8C47DE" w14:textId="7E357653" w:rsidR="00257930" w:rsidRPr="00257930" w:rsidRDefault="00257930" w:rsidP="00257930">
            <w:pPr>
              <w:autoSpaceDE w:val="0"/>
              <w:autoSpaceDN w:val="0"/>
              <w:adjustRightInd w:val="0"/>
              <w:jc w:val="right"/>
              <w:rPr>
                <w:rFonts w:asciiTheme="minorHAnsi" w:hAnsiTheme="minorHAnsi" w:cs="Arial"/>
                <w:b/>
                <w:bCs/>
                <w:sz w:val="20"/>
                <w:szCs w:val="20"/>
              </w:rPr>
            </w:pPr>
            <w:r w:rsidRPr="00257930">
              <w:rPr>
                <w:rFonts w:asciiTheme="minorHAnsi" w:hAnsiTheme="minorHAnsi" w:cs="Arial"/>
                <w:b/>
                <w:bCs/>
                <w:sz w:val="20"/>
                <w:szCs w:val="20"/>
              </w:rPr>
              <w:t>60%</w:t>
            </w:r>
          </w:p>
        </w:tc>
        <w:tc>
          <w:tcPr>
            <w:tcW w:w="965" w:type="dxa"/>
            <w:shd w:val="clear" w:color="auto" w:fill="F2F2F2" w:themeFill="background1" w:themeFillShade="F2"/>
          </w:tcPr>
          <w:p w14:paraId="63ADD6E7" w14:textId="2C9D516B" w:rsidR="00257930" w:rsidRPr="00257930" w:rsidRDefault="00257930" w:rsidP="00257930">
            <w:pPr>
              <w:autoSpaceDE w:val="0"/>
              <w:autoSpaceDN w:val="0"/>
              <w:adjustRightInd w:val="0"/>
              <w:jc w:val="right"/>
              <w:rPr>
                <w:rFonts w:asciiTheme="minorHAnsi" w:hAnsiTheme="minorHAnsi" w:cs="Arial"/>
                <w:b/>
                <w:bCs/>
                <w:sz w:val="20"/>
                <w:szCs w:val="20"/>
              </w:rPr>
            </w:pPr>
            <w:r w:rsidRPr="00257930">
              <w:rPr>
                <w:rFonts w:asciiTheme="minorHAnsi" w:hAnsiTheme="minorHAnsi" w:cs="Arial"/>
                <w:b/>
                <w:bCs/>
                <w:sz w:val="20"/>
                <w:szCs w:val="20"/>
              </w:rPr>
              <w:t>15%</w:t>
            </w:r>
          </w:p>
        </w:tc>
        <w:tc>
          <w:tcPr>
            <w:tcW w:w="1043" w:type="dxa"/>
            <w:shd w:val="clear" w:color="auto" w:fill="F2F2F2" w:themeFill="background1" w:themeFillShade="F2"/>
          </w:tcPr>
          <w:p w14:paraId="1F1A5228" w14:textId="115B058A" w:rsidR="00257930" w:rsidRPr="00257930" w:rsidRDefault="00257930" w:rsidP="00257930">
            <w:pPr>
              <w:autoSpaceDE w:val="0"/>
              <w:autoSpaceDN w:val="0"/>
              <w:adjustRightInd w:val="0"/>
              <w:jc w:val="right"/>
              <w:rPr>
                <w:rFonts w:asciiTheme="minorHAnsi" w:hAnsiTheme="minorHAnsi" w:cs="Arial"/>
                <w:b/>
                <w:bCs/>
                <w:sz w:val="20"/>
                <w:szCs w:val="20"/>
              </w:rPr>
            </w:pPr>
            <w:r w:rsidRPr="00257930">
              <w:rPr>
                <w:rFonts w:asciiTheme="minorHAnsi" w:hAnsiTheme="minorHAnsi" w:cs="Arial"/>
                <w:b/>
                <w:bCs/>
                <w:sz w:val="20"/>
                <w:szCs w:val="20"/>
              </w:rPr>
              <w:t>20%</w:t>
            </w:r>
          </w:p>
        </w:tc>
        <w:tc>
          <w:tcPr>
            <w:tcW w:w="848" w:type="dxa"/>
            <w:tcBorders>
              <w:right w:val="single" w:sz="4" w:space="0" w:color="auto"/>
            </w:tcBorders>
            <w:shd w:val="clear" w:color="auto" w:fill="F2F2F2" w:themeFill="background1" w:themeFillShade="F2"/>
          </w:tcPr>
          <w:p w14:paraId="38D42EE1" w14:textId="7AC965B5" w:rsidR="00257930" w:rsidRPr="00257930" w:rsidRDefault="00257930" w:rsidP="00257930">
            <w:pPr>
              <w:autoSpaceDE w:val="0"/>
              <w:autoSpaceDN w:val="0"/>
              <w:adjustRightInd w:val="0"/>
              <w:jc w:val="right"/>
              <w:rPr>
                <w:rFonts w:asciiTheme="minorHAnsi" w:hAnsiTheme="minorHAnsi" w:cs="Arial"/>
                <w:b/>
                <w:bCs/>
                <w:sz w:val="20"/>
                <w:szCs w:val="20"/>
              </w:rPr>
            </w:pPr>
            <w:r w:rsidRPr="00257930">
              <w:rPr>
                <w:rFonts w:asciiTheme="minorHAnsi" w:hAnsiTheme="minorHAnsi" w:cs="Arial"/>
                <w:b/>
                <w:bCs/>
                <w:sz w:val="20"/>
                <w:szCs w:val="20"/>
              </w:rPr>
              <w:t>5%</w:t>
            </w:r>
          </w:p>
        </w:tc>
        <w:tc>
          <w:tcPr>
            <w:tcW w:w="808" w:type="dxa"/>
            <w:tcBorders>
              <w:left w:val="single" w:sz="4" w:space="0" w:color="auto"/>
            </w:tcBorders>
          </w:tcPr>
          <w:p w14:paraId="1AF12A45" w14:textId="41F96B5E" w:rsidR="00257930" w:rsidRDefault="00257930" w:rsidP="00257930">
            <w:pPr>
              <w:autoSpaceDE w:val="0"/>
              <w:autoSpaceDN w:val="0"/>
              <w:adjustRightInd w:val="0"/>
              <w:jc w:val="right"/>
              <w:rPr>
                <w:rFonts w:asciiTheme="minorHAnsi" w:hAnsiTheme="minorHAnsi" w:cs="Arial"/>
                <w:sz w:val="20"/>
                <w:szCs w:val="20"/>
              </w:rPr>
            </w:pPr>
            <w:r>
              <w:rPr>
                <w:rFonts w:asciiTheme="minorHAnsi" w:hAnsiTheme="minorHAnsi" w:cs="Arial"/>
                <w:sz w:val="20"/>
                <w:szCs w:val="20"/>
              </w:rPr>
              <w:t>60%</w:t>
            </w:r>
          </w:p>
        </w:tc>
        <w:tc>
          <w:tcPr>
            <w:tcW w:w="824" w:type="dxa"/>
          </w:tcPr>
          <w:p w14:paraId="30EF639F" w14:textId="1898C433" w:rsidR="00257930" w:rsidRDefault="00257930" w:rsidP="00257930">
            <w:pPr>
              <w:autoSpaceDE w:val="0"/>
              <w:autoSpaceDN w:val="0"/>
              <w:adjustRightInd w:val="0"/>
              <w:jc w:val="right"/>
              <w:rPr>
                <w:rFonts w:asciiTheme="minorHAnsi" w:hAnsiTheme="minorHAnsi" w:cs="Arial"/>
                <w:sz w:val="20"/>
                <w:szCs w:val="20"/>
              </w:rPr>
            </w:pPr>
            <w:r>
              <w:rPr>
                <w:rFonts w:asciiTheme="minorHAnsi" w:hAnsiTheme="minorHAnsi" w:cs="Arial"/>
                <w:sz w:val="20"/>
                <w:szCs w:val="20"/>
              </w:rPr>
              <w:t>15%</w:t>
            </w:r>
          </w:p>
        </w:tc>
        <w:tc>
          <w:tcPr>
            <w:tcW w:w="1022" w:type="dxa"/>
          </w:tcPr>
          <w:p w14:paraId="6ACD9A55" w14:textId="37ABA435" w:rsidR="00257930" w:rsidRDefault="00257930" w:rsidP="00257930">
            <w:pPr>
              <w:autoSpaceDE w:val="0"/>
              <w:autoSpaceDN w:val="0"/>
              <w:adjustRightInd w:val="0"/>
              <w:jc w:val="right"/>
              <w:rPr>
                <w:rFonts w:asciiTheme="minorHAnsi" w:hAnsiTheme="minorHAnsi" w:cs="Arial"/>
                <w:sz w:val="20"/>
                <w:szCs w:val="20"/>
              </w:rPr>
            </w:pPr>
            <w:r>
              <w:rPr>
                <w:rFonts w:asciiTheme="minorHAnsi" w:hAnsiTheme="minorHAnsi" w:cs="Arial"/>
                <w:sz w:val="20"/>
                <w:szCs w:val="20"/>
              </w:rPr>
              <w:t>20%</w:t>
            </w:r>
          </w:p>
        </w:tc>
        <w:tc>
          <w:tcPr>
            <w:tcW w:w="822" w:type="dxa"/>
            <w:tcBorders>
              <w:right w:val="single" w:sz="4" w:space="0" w:color="auto"/>
            </w:tcBorders>
          </w:tcPr>
          <w:p w14:paraId="6CA6AB55" w14:textId="4EC74A43" w:rsidR="00257930" w:rsidRDefault="00257930" w:rsidP="00257930">
            <w:pPr>
              <w:autoSpaceDE w:val="0"/>
              <w:autoSpaceDN w:val="0"/>
              <w:adjustRightInd w:val="0"/>
              <w:jc w:val="right"/>
              <w:rPr>
                <w:rFonts w:asciiTheme="minorHAnsi" w:hAnsiTheme="minorHAnsi" w:cs="Arial"/>
                <w:sz w:val="20"/>
                <w:szCs w:val="20"/>
              </w:rPr>
            </w:pPr>
            <w:r>
              <w:rPr>
                <w:rFonts w:asciiTheme="minorHAnsi" w:hAnsiTheme="minorHAnsi" w:cs="Arial"/>
                <w:sz w:val="20"/>
                <w:szCs w:val="20"/>
              </w:rPr>
              <w:t>5%</w:t>
            </w:r>
          </w:p>
        </w:tc>
      </w:tr>
      <w:tr w:rsidR="00257930" w14:paraId="3E9262BB" w14:textId="41E7AEA2" w:rsidTr="003B7755">
        <w:tc>
          <w:tcPr>
            <w:tcW w:w="2393" w:type="dxa"/>
            <w:tcBorders>
              <w:left w:val="single" w:sz="4" w:space="0" w:color="auto"/>
              <w:right w:val="single" w:sz="4" w:space="0" w:color="auto"/>
            </w:tcBorders>
          </w:tcPr>
          <w:p w14:paraId="4315C0C1" w14:textId="64416E87" w:rsidR="00257930" w:rsidRDefault="00257930" w:rsidP="0025793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2025</w:t>
            </w:r>
          </w:p>
        </w:tc>
        <w:tc>
          <w:tcPr>
            <w:tcW w:w="988" w:type="dxa"/>
            <w:tcBorders>
              <w:left w:val="single" w:sz="4" w:space="0" w:color="auto"/>
            </w:tcBorders>
            <w:shd w:val="clear" w:color="auto" w:fill="F2F2F2" w:themeFill="background1" w:themeFillShade="F2"/>
            <w:vAlign w:val="bottom"/>
          </w:tcPr>
          <w:p w14:paraId="3490953D" w14:textId="742903DF"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0.46%</w:t>
            </w:r>
          </w:p>
        </w:tc>
        <w:tc>
          <w:tcPr>
            <w:tcW w:w="965" w:type="dxa"/>
            <w:shd w:val="clear" w:color="auto" w:fill="F2F2F2" w:themeFill="background1" w:themeFillShade="F2"/>
            <w:vAlign w:val="bottom"/>
          </w:tcPr>
          <w:p w14:paraId="29BA18EF" w14:textId="64867447"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0.40%</w:t>
            </w:r>
          </w:p>
        </w:tc>
        <w:tc>
          <w:tcPr>
            <w:tcW w:w="1043" w:type="dxa"/>
            <w:shd w:val="clear" w:color="auto" w:fill="F2F2F2" w:themeFill="background1" w:themeFillShade="F2"/>
            <w:vAlign w:val="bottom"/>
          </w:tcPr>
          <w:p w14:paraId="635B3F25" w14:textId="1527A1C9"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0.51%</w:t>
            </w:r>
          </w:p>
        </w:tc>
        <w:tc>
          <w:tcPr>
            <w:tcW w:w="848" w:type="dxa"/>
            <w:tcBorders>
              <w:right w:val="single" w:sz="4" w:space="0" w:color="auto"/>
            </w:tcBorders>
            <w:shd w:val="clear" w:color="auto" w:fill="F2F2F2" w:themeFill="background1" w:themeFillShade="F2"/>
            <w:vAlign w:val="bottom"/>
          </w:tcPr>
          <w:p w14:paraId="1EA00800" w14:textId="2C765544"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0.52%</w:t>
            </w:r>
          </w:p>
        </w:tc>
        <w:tc>
          <w:tcPr>
            <w:tcW w:w="808" w:type="dxa"/>
            <w:tcBorders>
              <w:left w:val="single" w:sz="4" w:space="0" w:color="auto"/>
            </w:tcBorders>
            <w:vAlign w:val="bottom"/>
          </w:tcPr>
          <w:p w14:paraId="70235B7C" w14:textId="5B9EAD67"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0.46%</w:t>
            </w:r>
          </w:p>
        </w:tc>
        <w:tc>
          <w:tcPr>
            <w:tcW w:w="824" w:type="dxa"/>
            <w:vAlign w:val="bottom"/>
          </w:tcPr>
          <w:p w14:paraId="17798DB3" w14:textId="53B7FF26"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0.44%</w:t>
            </w:r>
          </w:p>
        </w:tc>
        <w:tc>
          <w:tcPr>
            <w:tcW w:w="1022" w:type="dxa"/>
            <w:vAlign w:val="bottom"/>
          </w:tcPr>
          <w:p w14:paraId="2D3DC400" w14:textId="094ED2CD"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0.47%</w:t>
            </w:r>
          </w:p>
        </w:tc>
        <w:tc>
          <w:tcPr>
            <w:tcW w:w="822" w:type="dxa"/>
            <w:tcBorders>
              <w:right w:val="single" w:sz="4" w:space="0" w:color="auto"/>
            </w:tcBorders>
            <w:vAlign w:val="bottom"/>
          </w:tcPr>
          <w:p w14:paraId="359501C7" w14:textId="1A5B763A"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0.47%</w:t>
            </w:r>
          </w:p>
        </w:tc>
      </w:tr>
      <w:tr w:rsidR="00257930" w14:paraId="75D001A2" w14:textId="3E1D0828" w:rsidTr="003B7755">
        <w:tc>
          <w:tcPr>
            <w:tcW w:w="2393" w:type="dxa"/>
            <w:tcBorders>
              <w:left w:val="single" w:sz="4" w:space="0" w:color="auto"/>
              <w:right w:val="single" w:sz="4" w:space="0" w:color="auto"/>
            </w:tcBorders>
          </w:tcPr>
          <w:p w14:paraId="10E2762E" w14:textId="40874D76" w:rsidR="00257930" w:rsidRDefault="00257930" w:rsidP="0025793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2026</w:t>
            </w:r>
          </w:p>
        </w:tc>
        <w:tc>
          <w:tcPr>
            <w:tcW w:w="988" w:type="dxa"/>
            <w:tcBorders>
              <w:left w:val="single" w:sz="4" w:space="0" w:color="auto"/>
            </w:tcBorders>
            <w:shd w:val="clear" w:color="auto" w:fill="F2F2F2" w:themeFill="background1" w:themeFillShade="F2"/>
            <w:vAlign w:val="bottom"/>
          </w:tcPr>
          <w:p w14:paraId="5ADC78CF" w14:textId="52B1E2DA"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0.48%</w:t>
            </w:r>
          </w:p>
        </w:tc>
        <w:tc>
          <w:tcPr>
            <w:tcW w:w="965" w:type="dxa"/>
            <w:shd w:val="clear" w:color="auto" w:fill="F2F2F2" w:themeFill="background1" w:themeFillShade="F2"/>
            <w:vAlign w:val="bottom"/>
          </w:tcPr>
          <w:p w14:paraId="57137C95" w14:textId="0D58942C"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0.28%</w:t>
            </w:r>
          </w:p>
        </w:tc>
        <w:tc>
          <w:tcPr>
            <w:tcW w:w="1043" w:type="dxa"/>
            <w:shd w:val="clear" w:color="auto" w:fill="F2F2F2" w:themeFill="background1" w:themeFillShade="F2"/>
            <w:vAlign w:val="bottom"/>
          </w:tcPr>
          <w:p w14:paraId="219F42BD" w14:textId="1A3920B2"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0.64%</w:t>
            </w:r>
          </w:p>
        </w:tc>
        <w:tc>
          <w:tcPr>
            <w:tcW w:w="848" w:type="dxa"/>
            <w:tcBorders>
              <w:right w:val="single" w:sz="4" w:space="0" w:color="auto"/>
            </w:tcBorders>
            <w:shd w:val="clear" w:color="auto" w:fill="F2F2F2" w:themeFill="background1" w:themeFillShade="F2"/>
            <w:vAlign w:val="bottom"/>
          </w:tcPr>
          <w:p w14:paraId="3FBE92F5" w14:textId="1CA815CC"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0.69%</w:t>
            </w:r>
          </w:p>
        </w:tc>
        <w:tc>
          <w:tcPr>
            <w:tcW w:w="808" w:type="dxa"/>
            <w:tcBorders>
              <w:left w:val="single" w:sz="4" w:space="0" w:color="auto"/>
            </w:tcBorders>
            <w:vAlign w:val="bottom"/>
          </w:tcPr>
          <w:p w14:paraId="7ACEA9D0" w14:textId="62FCEBE3"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0.50%</w:t>
            </w:r>
          </w:p>
        </w:tc>
        <w:tc>
          <w:tcPr>
            <w:tcW w:w="824" w:type="dxa"/>
            <w:vAlign w:val="bottom"/>
          </w:tcPr>
          <w:p w14:paraId="6555951C" w14:textId="3C17721B" w:rsidR="00257930" w:rsidRPr="00D04F95" w:rsidRDefault="00257930"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w:t>
            </w:r>
            <w:r w:rsidR="00D04F95" w:rsidRPr="00D04F95">
              <w:rPr>
                <w:rFonts w:asciiTheme="minorHAnsi" w:hAnsiTheme="minorHAnsi" w:cstheme="minorHAnsi"/>
                <w:color w:val="000000"/>
                <w:sz w:val="20"/>
                <w:szCs w:val="20"/>
              </w:rPr>
              <w:t>36</w:t>
            </w:r>
            <w:r w:rsidRPr="00D04F95">
              <w:rPr>
                <w:rFonts w:asciiTheme="minorHAnsi" w:hAnsiTheme="minorHAnsi" w:cstheme="minorHAnsi"/>
                <w:color w:val="000000"/>
                <w:sz w:val="20"/>
                <w:szCs w:val="20"/>
              </w:rPr>
              <w:t>%</w:t>
            </w:r>
          </w:p>
        </w:tc>
        <w:tc>
          <w:tcPr>
            <w:tcW w:w="1022" w:type="dxa"/>
            <w:vAlign w:val="bottom"/>
          </w:tcPr>
          <w:p w14:paraId="1F463974" w14:textId="7C413756"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0.61%</w:t>
            </w:r>
          </w:p>
        </w:tc>
        <w:tc>
          <w:tcPr>
            <w:tcW w:w="822" w:type="dxa"/>
            <w:tcBorders>
              <w:right w:val="single" w:sz="4" w:space="0" w:color="auto"/>
            </w:tcBorders>
            <w:vAlign w:val="bottom"/>
          </w:tcPr>
          <w:p w14:paraId="6416C84B" w14:textId="0A6AFD21"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0.64%</w:t>
            </w:r>
          </w:p>
        </w:tc>
      </w:tr>
      <w:tr w:rsidR="00257930" w14:paraId="5865A3F1" w14:textId="1AE6EA67" w:rsidTr="003B7755">
        <w:tc>
          <w:tcPr>
            <w:tcW w:w="2393" w:type="dxa"/>
            <w:tcBorders>
              <w:left w:val="single" w:sz="4" w:space="0" w:color="auto"/>
              <w:right w:val="single" w:sz="4" w:space="0" w:color="auto"/>
            </w:tcBorders>
          </w:tcPr>
          <w:p w14:paraId="47DB8DCD" w14:textId="28AC7444" w:rsidR="00257930" w:rsidRDefault="00257930" w:rsidP="0025793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2027</w:t>
            </w:r>
          </w:p>
        </w:tc>
        <w:tc>
          <w:tcPr>
            <w:tcW w:w="988" w:type="dxa"/>
            <w:tcBorders>
              <w:left w:val="single" w:sz="4" w:space="0" w:color="auto"/>
            </w:tcBorders>
            <w:shd w:val="clear" w:color="auto" w:fill="F2F2F2" w:themeFill="background1" w:themeFillShade="F2"/>
            <w:vAlign w:val="bottom"/>
          </w:tcPr>
          <w:p w14:paraId="4CDBC551" w14:textId="7758F15F"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0.47%</w:t>
            </w:r>
          </w:p>
        </w:tc>
        <w:tc>
          <w:tcPr>
            <w:tcW w:w="965" w:type="dxa"/>
            <w:shd w:val="clear" w:color="auto" w:fill="F2F2F2" w:themeFill="background1" w:themeFillShade="F2"/>
            <w:vAlign w:val="bottom"/>
          </w:tcPr>
          <w:p w14:paraId="262D9815" w14:textId="2A30C78B"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0.22%</w:t>
            </w:r>
          </w:p>
        </w:tc>
        <w:tc>
          <w:tcPr>
            <w:tcW w:w="1043" w:type="dxa"/>
            <w:shd w:val="clear" w:color="auto" w:fill="F2F2F2" w:themeFill="background1" w:themeFillShade="F2"/>
            <w:vAlign w:val="bottom"/>
          </w:tcPr>
          <w:p w14:paraId="3E30276F" w14:textId="2C63E70E"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0.74%</w:t>
            </w:r>
          </w:p>
        </w:tc>
        <w:tc>
          <w:tcPr>
            <w:tcW w:w="848" w:type="dxa"/>
            <w:tcBorders>
              <w:right w:val="single" w:sz="4" w:space="0" w:color="auto"/>
            </w:tcBorders>
            <w:shd w:val="clear" w:color="auto" w:fill="F2F2F2" w:themeFill="background1" w:themeFillShade="F2"/>
            <w:vAlign w:val="bottom"/>
          </w:tcPr>
          <w:p w14:paraId="33B0043D" w14:textId="0FA3C979"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0.80%</w:t>
            </w:r>
          </w:p>
        </w:tc>
        <w:tc>
          <w:tcPr>
            <w:tcW w:w="808" w:type="dxa"/>
            <w:tcBorders>
              <w:left w:val="single" w:sz="4" w:space="0" w:color="auto"/>
            </w:tcBorders>
            <w:vAlign w:val="bottom"/>
          </w:tcPr>
          <w:p w14:paraId="27BB3741" w14:textId="7BF4C6BA"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0.52%</w:t>
            </w:r>
          </w:p>
        </w:tc>
        <w:tc>
          <w:tcPr>
            <w:tcW w:w="824" w:type="dxa"/>
            <w:vAlign w:val="bottom"/>
          </w:tcPr>
          <w:p w14:paraId="5443772D" w14:textId="4E5B2C97" w:rsidR="00257930" w:rsidRPr="00D04F95" w:rsidRDefault="00257930"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w:t>
            </w:r>
            <w:r w:rsidR="00D04F95" w:rsidRPr="00D04F95">
              <w:rPr>
                <w:rFonts w:asciiTheme="minorHAnsi" w:hAnsiTheme="minorHAnsi" w:cstheme="minorHAnsi"/>
                <w:color w:val="000000"/>
                <w:sz w:val="20"/>
                <w:szCs w:val="20"/>
              </w:rPr>
              <w:t>27</w:t>
            </w:r>
            <w:r w:rsidRPr="00D04F95">
              <w:rPr>
                <w:rFonts w:asciiTheme="minorHAnsi" w:hAnsiTheme="minorHAnsi" w:cstheme="minorHAnsi"/>
                <w:color w:val="000000"/>
                <w:sz w:val="20"/>
                <w:szCs w:val="20"/>
              </w:rPr>
              <w:t>%</w:t>
            </w:r>
          </w:p>
        </w:tc>
        <w:tc>
          <w:tcPr>
            <w:tcW w:w="1022" w:type="dxa"/>
            <w:vAlign w:val="bottom"/>
          </w:tcPr>
          <w:p w14:paraId="3B3FECE3" w14:textId="6307AA0B"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0.71%</w:t>
            </w:r>
          </w:p>
        </w:tc>
        <w:tc>
          <w:tcPr>
            <w:tcW w:w="822" w:type="dxa"/>
            <w:tcBorders>
              <w:right w:val="single" w:sz="4" w:space="0" w:color="auto"/>
            </w:tcBorders>
            <w:vAlign w:val="bottom"/>
          </w:tcPr>
          <w:p w14:paraId="1E6F9DC1" w14:textId="57F96795"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0.78%</w:t>
            </w:r>
          </w:p>
        </w:tc>
      </w:tr>
      <w:tr w:rsidR="00257930" w14:paraId="799951E8" w14:textId="0CE89874" w:rsidTr="003B7755">
        <w:tc>
          <w:tcPr>
            <w:tcW w:w="2393" w:type="dxa"/>
            <w:tcBorders>
              <w:left w:val="single" w:sz="4" w:space="0" w:color="auto"/>
              <w:right w:val="single" w:sz="4" w:space="0" w:color="auto"/>
            </w:tcBorders>
          </w:tcPr>
          <w:p w14:paraId="4E4F2D7D" w14:textId="3E7CEDF9" w:rsidR="00257930" w:rsidRDefault="00257930" w:rsidP="0025793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2028</w:t>
            </w:r>
          </w:p>
        </w:tc>
        <w:tc>
          <w:tcPr>
            <w:tcW w:w="988" w:type="dxa"/>
            <w:tcBorders>
              <w:left w:val="single" w:sz="4" w:space="0" w:color="auto"/>
            </w:tcBorders>
            <w:shd w:val="clear" w:color="auto" w:fill="F2F2F2" w:themeFill="background1" w:themeFillShade="F2"/>
            <w:vAlign w:val="bottom"/>
          </w:tcPr>
          <w:p w14:paraId="4E91058D" w14:textId="1974E214"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0.45%</w:t>
            </w:r>
          </w:p>
        </w:tc>
        <w:tc>
          <w:tcPr>
            <w:tcW w:w="965" w:type="dxa"/>
            <w:shd w:val="clear" w:color="auto" w:fill="F2F2F2" w:themeFill="background1" w:themeFillShade="F2"/>
            <w:vAlign w:val="bottom"/>
          </w:tcPr>
          <w:p w14:paraId="2C8ED6B4" w14:textId="3411D8CE"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0.20%</w:t>
            </w:r>
          </w:p>
        </w:tc>
        <w:tc>
          <w:tcPr>
            <w:tcW w:w="1043" w:type="dxa"/>
            <w:shd w:val="clear" w:color="auto" w:fill="F2F2F2" w:themeFill="background1" w:themeFillShade="F2"/>
            <w:vAlign w:val="bottom"/>
          </w:tcPr>
          <w:p w14:paraId="7ECF811E" w14:textId="2BB731E0"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0.76%</w:t>
            </w:r>
          </w:p>
        </w:tc>
        <w:tc>
          <w:tcPr>
            <w:tcW w:w="848" w:type="dxa"/>
            <w:tcBorders>
              <w:right w:val="single" w:sz="4" w:space="0" w:color="auto"/>
            </w:tcBorders>
            <w:shd w:val="clear" w:color="auto" w:fill="F2F2F2" w:themeFill="background1" w:themeFillShade="F2"/>
            <w:vAlign w:val="bottom"/>
          </w:tcPr>
          <w:p w14:paraId="58278C87" w14:textId="2E012C74"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0.82%</w:t>
            </w:r>
          </w:p>
        </w:tc>
        <w:tc>
          <w:tcPr>
            <w:tcW w:w="808" w:type="dxa"/>
            <w:tcBorders>
              <w:left w:val="single" w:sz="4" w:space="0" w:color="auto"/>
            </w:tcBorders>
            <w:vAlign w:val="bottom"/>
          </w:tcPr>
          <w:p w14:paraId="522D5D5A" w14:textId="3E9ADBB6"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0.49%</w:t>
            </w:r>
          </w:p>
        </w:tc>
        <w:tc>
          <w:tcPr>
            <w:tcW w:w="824" w:type="dxa"/>
            <w:vAlign w:val="bottom"/>
          </w:tcPr>
          <w:p w14:paraId="31631CEA" w14:textId="4DAF3E28" w:rsidR="00257930" w:rsidRPr="00D04F95" w:rsidRDefault="00257930"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w:t>
            </w:r>
            <w:r w:rsidR="00D04F95" w:rsidRPr="00D04F95">
              <w:rPr>
                <w:rFonts w:asciiTheme="minorHAnsi" w:hAnsiTheme="minorHAnsi" w:cstheme="minorHAnsi"/>
                <w:color w:val="000000"/>
                <w:sz w:val="20"/>
                <w:szCs w:val="20"/>
              </w:rPr>
              <w:t>22</w:t>
            </w:r>
            <w:r w:rsidRPr="00D04F95">
              <w:rPr>
                <w:rFonts w:asciiTheme="minorHAnsi" w:hAnsiTheme="minorHAnsi" w:cstheme="minorHAnsi"/>
                <w:color w:val="000000"/>
                <w:sz w:val="20"/>
                <w:szCs w:val="20"/>
              </w:rPr>
              <w:t>%</w:t>
            </w:r>
          </w:p>
        </w:tc>
        <w:tc>
          <w:tcPr>
            <w:tcW w:w="1022" w:type="dxa"/>
            <w:vAlign w:val="bottom"/>
          </w:tcPr>
          <w:p w14:paraId="425900F8" w14:textId="61974F32"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0.75%</w:t>
            </w:r>
          </w:p>
        </w:tc>
        <w:tc>
          <w:tcPr>
            <w:tcW w:w="822" w:type="dxa"/>
            <w:tcBorders>
              <w:right w:val="single" w:sz="4" w:space="0" w:color="auto"/>
            </w:tcBorders>
            <w:vAlign w:val="bottom"/>
          </w:tcPr>
          <w:p w14:paraId="6B86FA44" w14:textId="3E27E572"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0.83%</w:t>
            </w:r>
          </w:p>
        </w:tc>
      </w:tr>
      <w:tr w:rsidR="00257930" w14:paraId="5672C041" w14:textId="336E7CFC" w:rsidTr="003B7755">
        <w:tc>
          <w:tcPr>
            <w:tcW w:w="2393" w:type="dxa"/>
            <w:tcBorders>
              <w:left w:val="single" w:sz="4" w:space="0" w:color="auto"/>
              <w:bottom w:val="single" w:sz="4" w:space="0" w:color="auto"/>
              <w:right w:val="single" w:sz="4" w:space="0" w:color="auto"/>
            </w:tcBorders>
          </w:tcPr>
          <w:p w14:paraId="12D340A3" w14:textId="5847313A" w:rsidR="00257930" w:rsidRDefault="00257930" w:rsidP="0025793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2029</w:t>
            </w:r>
          </w:p>
        </w:tc>
        <w:tc>
          <w:tcPr>
            <w:tcW w:w="988" w:type="dxa"/>
            <w:tcBorders>
              <w:left w:val="single" w:sz="4" w:space="0" w:color="auto"/>
              <w:bottom w:val="single" w:sz="4" w:space="0" w:color="auto"/>
            </w:tcBorders>
            <w:shd w:val="clear" w:color="auto" w:fill="F2F2F2" w:themeFill="background1" w:themeFillShade="F2"/>
            <w:vAlign w:val="bottom"/>
          </w:tcPr>
          <w:p w14:paraId="4D636AE1" w14:textId="7E131BF4"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0.44%</w:t>
            </w:r>
          </w:p>
        </w:tc>
        <w:tc>
          <w:tcPr>
            <w:tcW w:w="965" w:type="dxa"/>
            <w:tcBorders>
              <w:bottom w:val="single" w:sz="4" w:space="0" w:color="auto"/>
            </w:tcBorders>
            <w:shd w:val="clear" w:color="auto" w:fill="F2F2F2" w:themeFill="background1" w:themeFillShade="F2"/>
            <w:vAlign w:val="bottom"/>
          </w:tcPr>
          <w:p w14:paraId="7A082662" w14:textId="3E245A39"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0.20%</w:t>
            </w:r>
          </w:p>
        </w:tc>
        <w:tc>
          <w:tcPr>
            <w:tcW w:w="1043" w:type="dxa"/>
            <w:tcBorders>
              <w:bottom w:val="single" w:sz="4" w:space="0" w:color="auto"/>
            </w:tcBorders>
            <w:shd w:val="clear" w:color="auto" w:fill="F2F2F2" w:themeFill="background1" w:themeFillShade="F2"/>
            <w:vAlign w:val="bottom"/>
          </w:tcPr>
          <w:p w14:paraId="25B565FB" w14:textId="13A61CD8"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0.74%</w:t>
            </w:r>
          </w:p>
        </w:tc>
        <w:tc>
          <w:tcPr>
            <w:tcW w:w="848" w:type="dxa"/>
            <w:tcBorders>
              <w:bottom w:val="single" w:sz="4" w:space="0" w:color="auto"/>
              <w:right w:val="single" w:sz="4" w:space="0" w:color="auto"/>
            </w:tcBorders>
            <w:shd w:val="clear" w:color="auto" w:fill="F2F2F2" w:themeFill="background1" w:themeFillShade="F2"/>
            <w:vAlign w:val="bottom"/>
          </w:tcPr>
          <w:p w14:paraId="3B1602B5" w14:textId="66AD3FAA"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0.80%</w:t>
            </w:r>
          </w:p>
        </w:tc>
        <w:tc>
          <w:tcPr>
            <w:tcW w:w="808" w:type="dxa"/>
            <w:tcBorders>
              <w:left w:val="single" w:sz="4" w:space="0" w:color="auto"/>
              <w:bottom w:val="single" w:sz="4" w:space="0" w:color="auto"/>
            </w:tcBorders>
            <w:vAlign w:val="bottom"/>
          </w:tcPr>
          <w:p w14:paraId="30BD911C" w14:textId="0501D633"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0.45%</w:t>
            </w:r>
          </w:p>
        </w:tc>
        <w:tc>
          <w:tcPr>
            <w:tcW w:w="824" w:type="dxa"/>
            <w:tcBorders>
              <w:bottom w:val="single" w:sz="4" w:space="0" w:color="auto"/>
            </w:tcBorders>
            <w:vAlign w:val="bottom"/>
          </w:tcPr>
          <w:p w14:paraId="7374B689" w14:textId="6ACA6C34" w:rsidR="00257930" w:rsidRPr="00D04F95" w:rsidRDefault="00257930"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w:t>
            </w:r>
            <w:r w:rsidR="00D04F95" w:rsidRPr="00D04F95">
              <w:rPr>
                <w:rFonts w:asciiTheme="minorHAnsi" w:hAnsiTheme="minorHAnsi" w:cstheme="minorHAnsi"/>
                <w:color w:val="000000"/>
                <w:sz w:val="20"/>
                <w:szCs w:val="20"/>
              </w:rPr>
              <w:t>20</w:t>
            </w:r>
            <w:r w:rsidRPr="00D04F95">
              <w:rPr>
                <w:rFonts w:asciiTheme="minorHAnsi" w:hAnsiTheme="minorHAnsi" w:cstheme="minorHAnsi"/>
                <w:color w:val="000000"/>
                <w:sz w:val="20"/>
                <w:szCs w:val="20"/>
              </w:rPr>
              <w:t>%</w:t>
            </w:r>
          </w:p>
        </w:tc>
        <w:tc>
          <w:tcPr>
            <w:tcW w:w="1022" w:type="dxa"/>
            <w:tcBorders>
              <w:bottom w:val="single" w:sz="4" w:space="0" w:color="auto"/>
            </w:tcBorders>
            <w:vAlign w:val="bottom"/>
          </w:tcPr>
          <w:p w14:paraId="5F8B9E07" w14:textId="6568411A"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0.73%</w:t>
            </w:r>
          </w:p>
        </w:tc>
        <w:tc>
          <w:tcPr>
            <w:tcW w:w="822" w:type="dxa"/>
            <w:tcBorders>
              <w:bottom w:val="single" w:sz="4" w:space="0" w:color="auto"/>
              <w:right w:val="single" w:sz="4" w:space="0" w:color="auto"/>
            </w:tcBorders>
            <w:vAlign w:val="bottom"/>
          </w:tcPr>
          <w:p w14:paraId="0A3A60EA" w14:textId="07333696"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0.81%</w:t>
            </w:r>
          </w:p>
        </w:tc>
      </w:tr>
      <w:tr w:rsidR="00257930" w14:paraId="176ADAC2" w14:textId="29712126" w:rsidTr="003B7755">
        <w:tc>
          <w:tcPr>
            <w:tcW w:w="2393" w:type="dxa"/>
            <w:tcBorders>
              <w:top w:val="single" w:sz="4" w:space="0" w:color="auto"/>
              <w:left w:val="single" w:sz="4" w:space="0" w:color="auto"/>
              <w:bottom w:val="single" w:sz="4" w:space="0" w:color="auto"/>
              <w:right w:val="single" w:sz="4" w:space="0" w:color="auto"/>
            </w:tcBorders>
          </w:tcPr>
          <w:p w14:paraId="7D9CEC30" w14:textId="312248C1" w:rsidR="00257930" w:rsidRDefault="00257930" w:rsidP="0025793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Five year peak</w:t>
            </w:r>
          </w:p>
        </w:tc>
        <w:tc>
          <w:tcPr>
            <w:tcW w:w="988" w:type="dxa"/>
            <w:tcBorders>
              <w:top w:val="single" w:sz="4" w:space="0" w:color="auto"/>
              <w:left w:val="single" w:sz="4" w:space="0" w:color="auto"/>
              <w:bottom w:val="single" w:sz="4" w:space="0" w:color="auto"/>
            </w:tcBorders>
            <w:shd w:val="clear" w:color="auto" w:fill="F2F2F2" w:themeFill="background1" w:themeFillShade="F2"/>
            <w:vAlign w:val="bottom"/>
          </w:tcPr>
          <w:p w14:paraId="081DF8E2" w14:textId="1F705B9D"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0.48%</w:t>
            </w:r>
          </w:p>
        </w:tc>
        <w:tc>
          <w:tcPr>
            <w:tcW w:w="965" w:type="dxa"/>
            <w:tcBorders>
              <w:top w:val="single" w:sz="4" w:space="0" w:color="auto"/>
              <w:bottom w:val="single" w:sz="4" w:space="0" w:color="auto"/>
            </w:tcBorders>
            <w:shd w:val="clear" w:color="auto" w:fill="F2F2F2" w:themeFill="background1" w:themeFillShade="F2"/>
            <w:vAlign w:val="bottom"/>
          </w:tcPr>
          <w:p w14:paraId="00E1AAEE" w14:textId="34775D5E"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0.45%</w:t>
            </w:r>
          </w:p>
        </w:tc>
        <w:tc>
          <w:tcPr>
            <w:tcW w:w="1043" w:type="dxa"/>
            <w:tcBorders>
              <w:top w:val="single" w:sz="4" w:space="0" w:color="auto"/>
              <w:bottom w:val="single" w:sz="4" w:space="0" w:color="auto"/>
            </w:tcBorders>
            <w:shd w:val="clear" w:color="auto" w:fill="F2F2F2" w:themeFill="background1" w:themeFillShade="F2"/>
            <w:vAlign w:val="bottom"/>
          </w:tcPr>
          <w:p w14:paraId="6C67221B" w14:textId="6245B5FD"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0.77%</w:t>
            </w:r>
          </w:p>
        </w:tc>
        <w:tc>
          <w:tcPr>
            <w:tcW w:w="848" w:type="dxa"/>
            <w:tcBorders>
              <w:top w:val="single" w:sz="4" w:space="0" w:color="auto"/>
              <w:bottom w:val="single" w:sz="4" w:space="0" w:color="auto"/>
              <w:right w:val="single" w:sz="4" w:space="0" w:color="auto"/>
            </w:tcBorders>
            <w:shd w:val="clear" w:color="auto" w:fill="F2F2F2" w:themeFill="background1" w:themeFillShade="F2"/>
            <w:vAlign w:val="bottom"/>
          </w:tcPr>
          <w:p w14:paraId="4B94681C" w14:textId="276398C2" w:rsidR="00257930" w:rsidRPr="00D04F95" w:rsidRDefault="00D04F95" w:rsidP="00257930">
            <w:pPr>
              <w:autoSpaceDE w:val="0"/>
              <w:autoSpaceDN w:val="0"/>
              <w:adjustRightInd w:val="0"/>
              <w:jc w:val="right"/>
              <w:rPr>
                <w:rFonts w:asciiTheme="minorHAnsi" w:hAnsiTheme="minorHAnsi" w:cstheme="minorHAnsi"/>
                <w:b/>
                <w:sz w:val="20"/>
                <w:szCs w:val="20"/>
              </w:rPr>
            </w:pPr>
            <w:r w:rsidRPr="00D04F95">
              <w:rPr>
                <w:rFonts w:asciiTheme="minorHAnsi" w:hAnsiTheme="minorHAnsi" w:cstheme="minorHAnsi"/>
                <w:color w:val="000000"/>
                <w:sz w:val="20"/>
                <w:szCs w:val="20"/>
              </w:rPr>
              <w:t>0.83%</w:t>
            </w:r>
          </w:p>
        </w:tc>
        <w:tc>
          <w:tcPr>
            <w:tcW w:w="808" w:type="dxa"/>
            <w:tcBorders>
              <w:top w:val="single" w:sz="4" w:space="0" w:color="auto"/>
              <w:left w:val="single" w:sz="4" w:space="0" w:color="auto"/>
              <w:bottom w:val="single" w:sz="4" w:space="0" w:color="auto"/>
            </w:tcBorders>
            <w:vAlign w:val="bottom"/>
          </w:tcPr>
          <w:p w14:paraId="74117BAE" w14:textId="6E8FC837"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0.52%</w:t>
            </w:r>
          </w:p>
        </w:tc>
        <w:tc>
          <w:tcPr>
            <w:tcW w:w="824" w:type="dxa"/>
            <w:tcBorders>
              <w:top w:val="single" w:sz="4" w:space="0" w:color="auto"/>
              <w:bottom w:val="single" w:sz="4" w:space="0" w:color="auto"/>
            </w:tcBorders>
            <w:vAlign w:val="bottom"/>
          </w:tcPr>
          <w:p w14:paraId="5DC2A9FC" w14:textId="41B7626E"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0.46%</w:t>
            </w:r>
          </w:p>
        </w:tc>
        <w:tc>
          <w:tcPr>
            <w:tcW w:w="1022" w:type="dxa"/>
            <w:tcBorders>
              <w:top w:val="single" w:sz="4" w:space="0" w:color="auto"/>
              <w:bottom w:val="single" w:sz="4" w:space="0" w:color="auto"/>
            </w:tcBorders>
            <w:vAlign w:val="bottom"/>
          </w:tcPr>
          <w:p w14:paraId="1000186B" w14:textId="6BDB2538"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0.76%</w:t>
            </w:r>
          </w:p>
        </w:tc>
        <w:tc>
          <w:tcPr>
            <w:tcW w:w="822" w:type="dxa"/>
            <w:tcBorders>
              <w:top w:val="single" w:sz="4" w:space="0" w:color="auto"/>
              <w:bottom w:val="single" w:sz="4" w:space="0" w:color="auto"/>
              <w:right w:val="single" w:sz="4" w:space="0" w:color="auto"/>
            </w:tcBorders>
            <w:vAlign w:val="bottom"/>
          </w:tcPr>
          <w:p w14:paraId="6EB57B9D" w14:textId="2E0A0844" w:rsidR="00257930" w:rsidRPr="00D04F95" w:rsidRDefault="00D04F95" w:rsidP="00257930">
            <w:pPr>
              <w:autoSpaceDE w:val="0"/>
              <w:autoSpaceDN w:val="0"/>
              <w:adjustRightInd w:val="0"/>
              <w:jc w:val="right"/>
              <w:rPr>
                <w:rFonts w:asciiTheme="minorHAnsi" w:hAnsiTheme="minorHAnsi" w:cstheme="minorHAnsi"/>
                <w:sz w:val="20"/>
                <w:szCs w:val="20"/>
              </w:rPr>
            </w:pPr>
            <w:r w:rsidRPr="00D04F95">
              <w:rPr>
                <w:rFonts w:asciiTheme="minorHAnsi" w:hAnsiTheme="minorHAnsi" w:cstheme="minorHAnsi"/>
                <w:color w:val="000000"/>
                <w:sz w:val="20"/>
                <w:szCs w:val="20"/>
              </w:rPr>
              <w:t>0.84%</w:t>
            </w:r>
          </w:p>
        </w:tc>
      </w:tr>
    </w:tbl>
    <w:p w14:paraId="0FC775FD" w14:textId="7158F6F1" w:rsidR="00874F9D" w:rsidRDefault="00874F9D" w:rsidP="00874F9D">
      <w:pPr>
        <w:autoSpaceDE w:val="0"/>
        <w:autoSpaceDN w:val="0"/>
        <w:adjustRightInd w:val="0"/>
        <w:jc w:val="both"/>
        <w:rPr>
          <w:rFonts w:asciiTheme="minorHAnsi" w:hAnsiTheme="minorHAnsi" w:cs="Arial"/>
          <w:sz w:val="20"/>
          <w:szCs w:val="20"/>
        </w:rPr>
      </w:pPr>
    </w:p>
    <w:p w14:paraId="15A833A3" w14:textId="637363A1" w:rsidR="00FE642B" w:rsidRPr="00FE642B" w:rsidRDefault="00FE642B" w:rsidP="00FE642B">
      <w:pPr>
        <w:autoSpaceDE w:val="0"/>
        <w:autoSpaceDN w:val="0"/>
        <w:adjustRightInd w:val="0"/>
        <w:jc w:val="both"/>
        <w:rPr>
          <w:rFonts w:asciiTheme="minorHAnsi" w:hAnsiTheme="minorHAnsi" w:cs="Arial"/>
          <w:sz w:val="20"/>
          <w:szCs w:val="20"/>
        </w:rPr>
      </w:pPr>
      <w:r w:rsidRPr="00FE642B">
        <w:rPr>
          <w:rFonts w:asciiTheme="minorHAnsi" w:hAnsiTheme="minorHAnsi" w:cs="Arial"/>
          <w:sz w:val="20"/>
          <w:szCs w:val="20"/>
        </w:rPr>
        <w:t>The unemployment data used in the macroeconomic</w:t>
      </w:r>
      <w:r>
        <w:rPr>
          <w:rFonts w:asciiTheme="minorHAnsi" w:hAnsiTheme="minorHAnsi" w:cs="Arial"/>
          <w:sz w:val="20"/>
          <w:szCs w:val="20"/>
        </w:rPr>
        <w:t xml:space="preserve"> </w:t>
      </w:r>
      <w:r w:rsidRPr="00FE642B">
        <w:rPr>
          <w:rFonts w:asciiTheme="minorHAnsi" w:hAnsiTheme="minorHAnsi" w:cs="Arial"/>
          <w:sz w:val="20"/>
          <w:szCs w:val="20"/>
        </w:rPr>
        <w:t xml:space="preserve">provisions </w:t>
      </w:r>
      <w:r w:rsidR="00AE17C0">
        <w:rPr>
          <w:rFonts w:asciiTheme="minorHAnsi" w:hAnsiTheme="minorHAnsi" w:cs="Arial"/>
          <w:sz w:val="20"/>
          <w:szCs w:val="20"/>
        </w:rPr>
        <w:t>held at 1H24 were</w:t>
      </w:r>
      <w:r w:rsidRPr="00FE642B">
        <w:rPr>
          <w:rFonts w:asciiTheme="minorHAnsi" w:hAnsiTheme="minorHAnsi" w:cs="Arial"/>
          <w:sz w:val="20"/>
          <w:szCs w:val="20"/>
        </w:rPr>
        <w:t xml:space="preserve"> compiled from a consensus of sources</w:t>
      </w:r>
    </w:p>
    <w:p w14:paraId="0EA81C3C" w14:textId="4B68200E" w:rsidR="00FE642B" w:rsidRDefault="00FE642B" w:rsidP="00FE642B">
      <w:pPr>
        <w:autoSpaceDE w:val="0"/>
        <w:autoSpaceDN w:val="0"/>
        <w:adjustRightInd w:val="0"/>
        <w:jc w:val="both"/>
        <w:rPr>
          <w:rFonts w:asciiTheme="minorHAnsi" w:hAnsiTheme="minorHAnsi" w:cs="Arial"/>
          <w:sz w:val="20"/>
          <w:szCs w:val="20"/>
        </w:rPr>
      </w:pPr>
      <w:r w:rsidRPr="00FE642B">
        <w:rPr>
          <w:rFonts w:asciiTheme="minorHAnsi" w:hAnsiTheme="minorHAnsi" w:cs="Arial"/>
          <w:sz w:val="20"/>
          <w:szCs w:val="20"/>
        </w:rPr>
        <w:t>including the Bank of England, HM Treasury, the Office for</w:t>
      </w:r>
      <w:r>
        <w:rPr>
          <w:rFonts w:asciiTheme="minorHAnsi" w:hAnsiTheme="minorHAnsi" w:cs="Arial"/>
          <w:sz w:val="20"/>
          <w:szCs w:val="20"/>
        </w:rPr>
        <w:t xml:space="preserve"> </w:t>
      </w:r>
      <w:r w:rsidRPr="00FE642B">
        <w:rPr>
          <w:rFonts w:asciiTheme="minorHAnsi" w:hAnsiTheme="minorHAnsi" w:cs="Arial"/>
          <w:sz w:val="20"/>
          <w:szCs w:val="20"/>
        </w:rPr>
        <w:t>Budget Responsibility (OBR), Bloomberg and a number of</w:t>
      </w:r>
      <w:r w:rsidR="00AE17C0">
        <w:rPr>
          <w:rFonts w:asciiTheme="minorHAnsi" w:hAnsiTheme="minorHAnsi" w:cs="Arial"/>
          <w:sz w:val="20"/>
          <w:szCs w:val="20"/>
        </w:rPr>
        <w:t xml:space="preserve"> </w:t>
      </w:r>
      <w:r w:rsidRPr="00FE642B">
        <w:rPr>
          <w:rFonts w:asciiTheme="minorHAnsi" w:hAnsiTheme="minorHAnsi" w:cs="Arial"/>
          <w:sz w:val="20"/>
          <w:szCs w:val="20"/>
        </w:rPr>
        <w:t>prime banks. These estimates are used to derive base case,</w:t>
      </w:r>
      <w:r>
        <w:rPr>
          <w:rFonts w:asciiTheme="minorHAnsi" w:hAnsiTheme="minorHAnsi" w:cs="Arial"/>
          <w:sz w:val="20"/>
          <w:szCs w:val="20"/>
        </w:rPr>
        <w:t xml:space="preserve"> </w:t>
      </w:r>
      <w:r w:rsidRPr="00FE642B">
        <w:rPr>
          <w:rFonts w:asciiTheme="minorHAnsi" w:hAnsiTheme="minorHAnsi" w:cs="Arial"/>
          <w:sz w:val="20"/>
          <w:szCs w:val="20"/>
        </w:rPr>
        <w:t>upside, downside and severe scenarios.</w:t>
      </w:r>
    </w:p>
    <w:p w14:paraId="33DBF3E7" w14:textId="77777777" w:rsidR="00FE642B" w:rsidRPr="00FE642B" w:rsidRDefault="00FE642B" w:rsidP="00FE642B">
      <w:pPr>
        <w:autoSpaceDE w:val="0"/>
        <w:autoSpaceDN w:val="0"/>
        <w:adjustRightInd w:val="0"/>
        <w:jc w:val="both"/>
        <w:rPr>
          <w:rFonts w:asciiTheme="minorHAnsi" w:hAnsiTheme="minorHAnsi" w:cs="Arial"/>
          <w:sz w:val="20"/>
          <w:szCs w:val="20"/>
        </w:rPr>
      </w:pPr>
    </w:p>
    <w:p w14:paraId="0363A269" w14:textId="42616C58" w:rsidR="00FE642B" w:rsidRDefault="00FE642B" w:rsidP="00FE642B">
      <w:pPr>
        <w:autoSpaceDE w:val="0"/>
        <w:autoSpaceDN w:val="0"/>
        <w:adjustRightInd w:val="0"/>
        <w:jc w:val="both"/>
        <w:rPr>
          <w:rFonts w:asciiTheme="minorHAnsi" w:hAnsiTheme="minorHAnsi" w:cs="Arial"/>
          <w:sz w:val="20"/>
          <w:szCs w:val="20"/>
        </w:rPr>
      </w:pPr>
      <w:r w:rsidRPr="00FE642B">
        <w:rPr>
          <w:rFonts w:asciiTheme="minorHAnsi" w:hAnsiTheme="minorHAnsi" w:cs="Arial"/>
          <w:sz w:val="20"/>
          <w:szCs w:val="20"/>
        </w:rPr>
        <w:t>The table below shows the scenario five-year peak and</w:t>
      </w:r>
      <w:r>
        <w:rPr>
          <w:rFonts w:asciiTheme="minorHAnsi" w:hAnsiTheme="minorHAnsi" w:cs="Arial"/>
          <w:sz w:val="20"/>
          <w:szCs w:val="20"/>
        </w:rPr>
        <w:t xml:space="preserve"> </w:t>
      </w:r>
      <w:r w:rsidRPr="00FE642B">
        <w:rPr>
          <w:rFonts w:asciiTheme="minorHAnsi" w:hAnsiTheme="minorHAnsi" w:cs="Arial"/>
          <w:sz w:val="20"/>
          <w:szCs w:val="20"/>
        </w:rPr>
        <w:t>average unemployment assumptions adopted and the</w:t>
      </w:r>
      <w:r w:rsidR="00AE17C0">
        <w:rPr>
          <w:rFonts w:asciiTheme="minorHAnsi" w:hAnsiTheme="minorHAnsi" w:cs="Arial"/>
          <w:sz w:val="20"/>
          <w:szCs w:val="20"/>
        </w:rPr>
        <w:t xml:space="preserve"> </w:t>
      </w:r>
      <w:r w:rsidRPr="00FE642B">
        <w:rPr>
          <w:rFonts w:asciiTheme="minorHAnsi" w:hAnsiTheme="minorHAnsi" w:cs="Arial"/>
          <w:sz w:val="20"/>
          <w:szCs w:val="20"/>
        </w:rPr>
        <w:t>weightings applied to each</w:t>
      </w:r>
    </w:p>
    <w:p w14:paraId="0FE1D2D2" w14:textId="77777777" w:rsidR="005D0021" w:rsidRDefault="005D0021" w:rsidP="00874F9D">
      <w:pPr>
        <w:autoSpaceDE w:val="0"/>
        <w:autoSpaceDN w:val="0"/>
        <w:adjustRightInd w:val="0"/>
        <w:jc w:val="both"/>
        <w:rPr>
          <w:rFonts w:asciiTheme="minorHAnsi" w:hAnsiTheme="minorHAnsi" w:cs="Arial"/>
          <w:sz w:val="20"/>
          <w:szCs w:val="20"/>
        </w:rPr>
      </w:pPr>
    </w:p>
    <w:tbl>
      <w:tblPr>
        <w:tblW w:w="6232" w:type="dxa"/>
        <w:tblLayout w:type="fixed"/>
        <w:tblLook w:val="04A0" w:firstRow="1" w:lastRow="0" w:firstColumn="1" w:lastColumn="0" w:noHBand="0" w:noVBand="1"/>
      </w:tblPr>
      <w:tblGrid>
        <w:gridCol w:w="2405"/>
        <w:gridCol w:w="953"/>
        <w:gridCol w:w="954"/>
        <w:gridCol w:w="1070"/>
        <w:gridCol w:w="850"/>
      </w:tblGrid>
      <w:tr w:rsidR="00B719FB" w14:paraId="12806A18" w14:textId="77777777" w:rsidTr="00B719FB">
        <w:trPr>
          <w:trHeight w:val="250"/>
        </w:trPr>
        <w:tc>
          <w:tcPr>
            <w:tcW w:w="2405" w:type="dxa"/>
            <w:tcBorders>
              <w:top w:val="single" w:sz="4" w:space="0" w:color="auto"/>
              <w:left w:val="single" w:sz="4" w:space="0" w:color="auto"/>
              <w:bottom w:val="nil"/>
              <w:right w:val="single" w:sz="4" w:space="0" w:color="auto"/>
            </w:tcBorders>
            <w:noWrap/>
            <w:vAlign w:val="bottom"/>
            <w:hideMark/>
          </w:tcPr>
          <w:p w14:paraId="6A94A440" w14:textId="77777777" w:rsidR="00B719FB" w:rsidRPr="00B719FB" w:rsidRDefault="00B719FB" w:rsidP="00B719FB">
            <w:pPr>
              <w:autoSpaceDE w:val="0"/>
              <w:autoSpaceDN w:val="0"/>
              <w:adjustRightInd w:val="0"/>
              <w:jc w:val="both"/>
              <w:rPr>
                <w:rFonts w:asciiTheme="minorHAnsi" w:hAnsiTheme="minorHAnsi" w:cs="Arial"/>
                <w:sz w:val="20"/>
                <w:szCs w:val="20"/>
              </w:rPr>
            </w:pPr>
            <w:r w:rsidRPr="00B719FB">
              <w:rPr>
                <w:rFonts w:asciiTheme="minorHAnsi" w:hAnsiTheme="minorHAnsi" w:cs="Arial"/>
                <w:sz w:val="20"/>
                <w:szCs w:val="20"/>
              </w:rPr>
              <w:t> </w:t>
            </w:r>
          </w:p>
        </w:tc>
        <w:tc>
          <w:tcPr>
            <w:tcW w:w="3827" w:type="dxa"/>
            <w:gridSpan w:val="4"/>
            <w:tcBorders>
              <w:top w:val="single" w:sz="4" w:space="0" w:color="auto"/>
              <w:left w:val="nil"/>
              <w:bottom w:val="nil"/>
              <w:right w:val="single" w:sz="4" w:space="0" w:color="000000"/>
            </w:tcBorders>
            <w:shd w:val="clear" w:color="000000" w:fill="FFFFFF"/>
            <w:vAlign w:val="center"/>
            <w:hideMark/>
          </w:tcPr>
          <w:p w14:paraId="636E1DF7" w14:textId="77777777" w:rsidR="00B719FB" w:rsidRPr="00B719FB" w:rsidRDefault="00B719FB" w:rsidP="00B719FB">
            <w:pPr>
              <w:autoSpaceDE w:val="0"/>
              <w:autoSpaceDN w:val="0"/>
              <w:adjustRightInd w:val="0"/>
              <w:jc w:val="center"/>
              <w:rPr>
                <w:rFonts w:asciiTheme="minorHAnsi" w:hAnsiTheme="minorHAnsi" w:cs="Arial"/>
                <w:b/>
                <w:bCs/>
                <w:sz w:val="20"/>
                <w:szCs w:val="20"/>
              </w:rPr>
            </w:pPr>
            <w:r w:rsidRPr="00B719FB">
              <w:rPr>
                <w:rFonts w:asciiTheme="minorHAnsi" w:hAnsiTheme="minorHAnsi" w:cs="Arial"/>
                <w:b/>
                <w:bCs/>
                <w:sz w:val="20"/>
                <w:szCs w:val="20"/>
              </w:rPr>
              <w:t>30 June 2024</w:t>
            </w:r>
          </w:p>
        </w:tc>
      </w:tr>
      <w:tr w:rsidR="00B719FB" w14:paraId="085D0227" w14:textId="77777777" w:rsidTr="00B719FB">
        <w:trPr>
          <w:trHeight w:val="250"/>
        </w:trPr>
        <w:tc>
          <w:tcPr>
            <w:tcW w:w="2405" w:type="dxa"/>
            <w:tcBorders>
              <w:top w:val="nil"/>
              <w:left w:val="single" w:sz="4" w:space="0" w:color="auto"/>
              <w:bottom w:val="nil"/>
              <w:right w:val="single" w:sz="4" w:space="0" w:color="auto"/>
            </w:tcBorders>
            <w:shd w:val="clear" w:color="000000" w:fill="FFFFFF"/>
            <w:vAlign w:val="center"/>
            <w:hideMark/>
          </w:tcPr>
          <w:p w14:paraId="6372DAA1" w14:textId="77777777" w:rsidR="00B719FB" w:rsidRPr="00B719FB" w:rsidRDefault="00B719FB" w:rsidP="00B719FB">
            <w:pPr>
              <w:autoSpaceDE w:val="0"/>
              <w:autoSpaceDN w:val="0"/>
              <w:adjustRightInd w:val="0"/>
              <w:jc w:val="both"/>
              <w:rPr>
                <w:rFonts w:asciiTheme="minorHAnsi" w:hAnsiTheme="minorHAnsi" w:cs="Arial"/>
                <w:sz w:val="20"/>
                <w:szCs w:val="20"/>
              </w:rPr>
            </w:pPr>
            <w:r w:rsidRPr="00B719FB">
              <w:rPr>
                <w:rFonts w:asciiTheme="minorHAnsi" w:hAnsiTheme="minorHAnsi" w:cs="Arial"/>
                <w:sz w:val="20"/>
                <w:szCs w:val="20"/>
              </w:rPr>
              <w:t> </w:t>
            </w:r>
          </w:p>
        </w:tc>
        <w:tc>
          <w:tcPr>
            <w:tcW w:w="953" w:type="dxa"/>
            <w:tcBorders>
              <w:top w:val="nil"/>
              <w:left w:val="nil"/>
              <w:bottom w:val="nil"/>
              <w:right w:val="nil"/>
            </w:tcBorders>
            <w:shd w:val="clear" w:color="000000" w:fill="FFFFFF"/>
            <w:vAlign w:val="center"/>
            <w:hideMark/>
          </w:tcPr>
          <w:p w14:paraId="483A505E" w14:textId="77777777" w:rsidR="00B719FB" w:rsidRPr="00B719FB" w:rsidRDefault="00B719FB" w:rsidP="00B719FB">
            <w:pPr>
              <w:autoSpaceDE w:val="0"/>
              <w:autoSpaceDN w:val="0"/>
              <w:adjustRightInd w:val="0"/>
              <w:jc w:val="right"/>
              <w:rPr>
                <w:rFonts w:asciiTheme="minorHAnsi" w:hAnsiTheme="minorHAnsi" w:cs="Arial"/>
                <w:b/>
                <w:bCs/>
                <w:sz w:val="20"/>
                <w:szCs w:val="20"/>
              </w:rPr>
            </w:pPr>
            <w:r w:rsidRPr="00B719FB">
              <w:rPr>
                <w:rFonts w:asciiTheme="minorHAnsi" w:hAnsiTheme="minorHAnsi" w:cs="Arial"/>
                <w:b/>
                <w:bCs/>
                <w:sz w:val="20"/>
                <w:szCs w:val="20"/>
              </w:rPr>
              <w:t>Base</w:t>
            </w:r>
          </w:p>
        </w:tc>
        <w:tc>
          <w:tcPr>
            <w:tcW w:w="954" w:type="dxa"/>
            <w:tcBorders>
              <w:top w:val="nil"/>
              <w:left w:val="nil"/>
              <w:bottom w:val="nil"/>
              <w:right w:val="nil"/>
            </w:tcBorders>
            <w:shd w:val="clear" w:color="000000" w:fill="FFFFFF"/>
            <w:vAlign w:val="center"/>
            <w:hideMark/>
          </w:tcPr>
          <w:p w14:paraId="002A05FC" w14:textId="77777777" w:rsidR="00B719FB" w:rsidRPr="00B719FB" w:rsidRDefault="00B719FB" w:rsidP="00B719FB">
            <w:pPr>
              <w:autoSpaceDE w:val="0"/>
              <w:autoSpaceDN w:val="0"/>
              <w:adjustRightInd w:val="0"/>
              <w:jc w:val="right"/>
              <w:rPr>
                <w:rFonts w:asciiTheme="minorHAnsi" w:hAnsiTheme="minorHAnsi" w:cs="Arial"/>
                <w:b/>
                <w:bCs/>
                <w:sz w:val="20"/>
                <w:szCs w:val="20"/>
              </w:rPr>
            </w:pPr>
            <w:r w:rsidRPr="00B719FB">
              <w:rPr>
                <w:rFonts w:asciiTheme="minorHAnsi" w:hAnsiTheme="minorHAnsi" w:cs="Arial"/>
                <w:b/>
                <w:bCs/>
                <w:sz w:val="20"/>
                <w:szCs w:val="20"/>
              </w:rPr>
              <w:t>Upside</w:t>
            </w:r>
          </w:p>
        </w:tc>
        <w:tc>
          <w:tcPr>
            <w:tcW w:w="1070" w:type="dxa"/>
            <w:tcBorders>
              <w:top w:val="nil"/>
              <w:left w:val="nil"/>
              <w:bottom w:val="nil"/>
              <w:right w:val="nil"/>
            </w:tcBorders>
            <w:shd w:val="clear" w:color="000000" w:fill="FFFFFF"/>
            <w:vAlign w:val="center"/>
            <w:hideMark/>
          </w:tcPr>
          <w:p w14:paraId="6734543C" w14:textId="77777777" w:rsidR="00B719FB" w:rsidRPr="00B719FB" w:rsidRDefault="00B719FB" w:rsidP="00B719FB">
            <w:pPr>
              <w:autoSpaceDE w:val="0"/>
              <w:autoSpaceDN w:val="0"/>
              <w:adjustRightInd w:val="0"/>
              <w:jc w:val="right"/>
              <w:rPr>
                <w:rFonts w:asciiTheme="minorHAnsi" w:hAnsiTheme="minorHAnsi" w:cs="Arial"/>
                <w:b/>
                <w:bCs/>
                <w:sz w:val="20"/>
                <w:szCs w:val="20"/>
              </w:rPr>
            </w:pPr>
            <w:r w:rsidRPr="00B719FB">
              <w:rPr>
                <w:rFonts w:asciiTheme="minorHAnsi" w:hAnsiTheme="minorHAnsi" w:cs="Arial"/>
                <w:b/>
                <w:bCs/>
                <w:sz w:val="20"/>
                <w:szCs w:val="20"/>
              </w:rPr>
              <w:t>Downside</w:t>
            </w:r>
          </w:p>
        </w:tc>
        <w:tc>
          <w:tcPr>
            <w:tcW w:w="850" w:type="dxa"/>
            <w:tcBorders>
              <w:top w:val="nil"/>
              <w:left w:val="nil"/>
              <w:bottom w:val="nil"/>
              <w:right w:val="single" w:sz="4" w:space="0" w:color="auto"/>
            </w:tcBorders>
            <w:shd w:val="clear" w:color="000000" w:fill="FFFFFF"/>
            <w:vAlign w:val="center"/>
            <w:hideMark/>
          </w:tcPr>
          <w:p w14:paraId="5D906AC5" w14:textId="77777777" w:rsidR="00B719FB" w:rsidRPr="00B719FB" w:rsidRDefault="00B719FB" w:rsidP="00B719FB">
            <w:pPr>
              <w:autoSpaceDE w:val="0"/>
              <w:autoSpaceDN w:val="0"/>
              <w:adjustRightInd w:val="0"/>
              <w:jc w:val="right"/>
              <w:rPr>
                <w:rFonts w:asciiTheme="minorHAnsi" w:hAnsiTheme="minorHAnsi" w:cs="Arial"/>
                <w:b/>
                <w:bCs/>
                <w:sz w:val="20"/>
                <w:szCs w:val="20"/>
              </w:rPr>
            </w:pPr>
            <w:r w:rsidRPr="00B719FB">
              <w:rPr>
                <w:rFonts w:asciiTheme="minorHAnsi" w:hAnsiTheme="minorHAnsi" w:cs="Arial"/>
                <w:b/>
                <w:bCs/>
                <w:sz w:val="20"/>
                <w:szCs w:val="20"/>
              </w:rPr>
              <w:t>Severe</w:t>
            </w:r>
          </w:p>
        </w:tc>
      </w:tr>
      <w:tr w:rsidR="00B719FB" w14:paraId="7E5C9931" w14:textId="77777777" w:rsidTr="00B719FB">
        <w:trPr>
          <w:trHeight w:val="250"/>
        </w:trPr>
        <w:tc>
          <w:tcPr>
            <w:tcW w:w="2405" w:type="dxa"/>
            <w:tcBorders>
              <w:top w:val="nil"/>
              <w:left w:val="single" w:sz="4" w:space="0" w:color="auto"/>
              <w:bottom w:val="nil"/>
              <w:right w:val="single" w:sz="4" w:space="0" w:color="auto"/>
            </w:tcBorders>
            <w:shd w:val="clear" w:color="000000" w:fill="FFFFFF"/>
            <w:vAlign w:val="center"/>
            <w:hideMark/>
          </w:tcPr>
          <w:p w14:paraId="73284BEF" w14:textId="77777777" w:rsidR="00B719FB" w:rsidRPr="00B719FB" w:rsidRDefault="00B719FB" w:rsidP="00B719FB">
            <w:pPr>
              <w:autoSpaceDE w:val="0"/>
              <w:autoSpaceDN w:val="0"/>
              <w:adjustRightInd w:val="0"/>
              <w:jc w:val="both"/>
              <w:rPr>
                <w:rFonts w:asciiTheme="minorHAnsi" w:hAnsiTheme="minorHAnsi" w:cs="Arial"/>
                <w:sz w:val="20"/>
                <w:szCs w:val="20"/>
              </w:rPr>
            </w:pPr>
            <w:r w:rsidRPr="00B719FB">
              <w:rPr>
                <w:rFonts w:asciiTheme="minorHAnsi" w:hAnsiTheme="minorHAnsi" w:cs="Arial"/>
                <w:sz w:val="20"/>
                <w:szCs w:val="20"/>
              </w:rPr>
              <w:t>Weighting</w:t>
            </w:r>
          </w:p>
        </w:tc>
        <w:tc>
          <w:tcPr>
            <w:tcW w:w="953" w:type="dxa"/>
            <w:tcBorders>
              <w:top w:val="nil"/>
              <w:left w:val="nil"/>
              <w:bottom w:val="nil"/>
              <w:right w:val="nil"/>
            </w:tcBorders>
            <w:shd w:val="clear" w:color="000000" w:fill="FFFFFF"/>
            <w:vAlign w:val="center"/>
            <w:hideMark/>
          </w:tcPr>
          <w:p w14:paraId="6BF611BF" w14:textId="77777777" w:rsidR="00B719FB" w:rsidRPr="00380B22" w:rsidRDefault="00B719FB" w:rsidP="00B719FB">
            <w:pPr>
              <w:autoSpaceDE w:val="0"/>
              <w:autoSpaceDN w:val="0"/>
              <w:adjustRightInd w:val="0"/>
              <w:jc w:val="right"/>
              <w:rPr>
                <w:rFonts w:asciiTheme="minorHAnsi" w:hAnsiTheme="minorHAnsi" w:cs="Arial"/>
                <w:b/>
                <w:sz w:val="20"/>
                <w:szCs w:val="20"/>
              </w:rPr>
            </w:pPr>
            <w:r w:rsidRPr="00380B22">
              <w:rPr>
                <w:rFonts w:asciiTheme="minorHAnsi" w:hAnsiTheme="minorHAnsi" w:cs="Arial"/>
                <w:b/>
                <w:sz w:val="20"/>
                <w:szCs w:val="20"/>
              </w:rPr>
              <w:t>60%</w:t>
            </w:r>
          </w:p>
        </w:tc>
        <w:tc>
          <w:tcPr>
            <w:tcW w:w="954" w:type="dxa"/>
            <w:tcBorders>
              <w:top w:val="nil"/>
              <w:left w:val="nil"/>
              <w:bottom w:val="nil"/>
              <w:right w:val="nil"/>
            </w:tcBorders>
            <w:shd w:val="clear" w:color="000000" w:fill="FFFFFF"/>
            <w:vAlign w:val="center"/>
            <w:hideMark/>
          </w:tcPr>
          <w:p w14:paraId="5A13CB64" w14:textId="77777777" w:rsidR="00B719FB" w:rsidRPr="00380B22" w:rsidRDefault="00B719FB" w:rsidP="00B719FB">
            <w:pPr>
              <w:autoSpaceDE w:val="0"/>
              <w:autoSpaceDN w:val="0"/>
              <w:adjustRightInd w:val="0"/>
              <w:jc w:val="right"/>
              <w:rPr>
                <w:rFonts w:asciiTheme="minorHAnsi" w:hAnsiTheme="minorHAnsi" w:cs="Arial"/>
                <w:b/>
                <w:sz w:val="20"/>
                <w:szCs w:val="20"/>
              </w:rPr>
            </w:pPr>
            <w:r w:rsidRPr="00380B22">
              <w:rPr>
                <w:rFonts w:asciiTheme="minorHAnsi" w:hAnsiTheme="minorHAnsi" w:cs="Arial"/>
                <w:b/>
                <w:sz w:val="20"/>
                <w:szCs w:val="20"/>
              </w:rPr>
              <w:t>15%</w:t>
            </w:r>
          </w:p>
        </w:tc>
        <w:tc>
          <w:tcPr>
            <w:tcW w:w="1070" w:type="dxa"/>
            <w:tcBorders>
              <w:top w:val="nil"/>
              <w:left w:val="nil"/>
              <w:bottom w:val="nil"/>
              <w:right w:val="nil"/>
            </w:tcBorders>
            <w:shd w:val="clear" w:color="000000" w:fill="FFFFFF"/>
            <w:vAlign w:val="center"/>
            <w:hideMark/>
          </w:tcPr>
          <w:p w14:paraId="446E90AC" w14:textId="77777777" w:rsidR="00B719FB" w:rsidRPr="00380B22" w:rsidRDefault="00B719FB" w:rsidP="00B719FB">
            <w:pPr>
              <w:autoSpaceDE w:val="0"/>
              <w:autoSpaceDN w:val="0"/>
              <w:adjustRightInd w:val="0"/>
              <w:jc w:val="right"/>
              <w:rPr>
                <w:rFonts w:asciiTheme="minorHAnsi" w:hAnsiTheme="minorHAnsi" w:cs="Arial"/>
                <w:b/>
                <w:sz w:val="20"/>
                <w:szCs w:val="20"/>
              </w:rPr>
            </w:pPr>
            <w:r w:rsidRPr="00380B22">
              <w:rPr>
                <w:rFonts w:asciiTheme="minorHAnsi" w:hAnsiTheme="minorHAnsi" w:cs="Arial"/>
                <w:b/>
                <w:sz w:val="20"/>
                <w:szCs w:val="20"/>
              </w:rPr>
              <w:t>20%</w:t>
            </w:r>
          </w:p>
        </w:tc>
        <w:tc>
          <w:tcPr>
            <w:tcW w:w="850" w:type="dxa"/>
            <w:tcBorders>
              <w:top w:val="nil"/>
              <w:left w:val="nil"/>
              <w:bottom w:val="nil"/>
              <w:right w:val="single" w:sz="4" w:space="0" w:color="auto"/>
            </w:tcBorders>
            <w:shd w:val="clear" w:color="000000" w:fill="FFFFFF"/>
            <w:vAlign w:val="center"/>
            <w:hideMark/>
          </w:tcPr>
          <w:p w14:paraId="60B0EC0D" w14:textId="77777777" w:rsidR="00B719FB" w:rsidRPr="00380B22" w:rsidRDefault="00B719FB" w:rsidP="00B719FB">
            <w:pPr>
              <w:autoSpaceDE w:val="0"/>
              <w:autoSpaceDN w:val="0"/>
              <w:adjustRightInd w:val="0"/>
              <w:jc w:val="right"/>
              <w:rPr>
                <w:rFonts w:asciiTheme="minorHAnsi" w:hAnsiTheme="minorHAnsi" w:cs="Arial"/>
                <w:b/>
                <w:sz w:val="20"/>
                <w:szCs w:val="20"/>
              </w:rPr>
            </w:pPr>
            <w:r w:rsidRPr="00380B22">
              <w:rPr>
                <w:rFonts w:asciiTheme="minorHAnsi" w:hAnsiTheme="minorHAnsi" w:cs="Arial"/>
                <w:b/>
                <w:sz w:val="20"/>
                <w:szCs w:val="20"/>
              </w:rPr>
              <w:t>5%</w:t>
            </w:r>
          </w:p>
        </w:tc>
      </w:tr>
      <w:tr w:rsidR="00B719FB" w14:paraId="20A0009A" w14:textId="77777777" w:rsidTr="00B719FB">
        <w:trPr>
          <w:trHeight w:val="250"/>
        </w:trPr>
        <w:tc>
          <w:tcPr>
            <w:tcW w:w="2405" w:type="dxa"/>
            <w:tcBorders>
              <w:top w:val="nil"/>
              <w:left w:val="single" w:sz="4" w:space="0" w:color="auto"/>
              <w:bottom w:val="nil"/>
              <w:right w:val="single" w:sz="4" w:space="0" w:color="auto"/>
            </w:tcBorders>
            <w:shd w:val="clear" w:color="000000" w:fill="FFFFFF"/>
            <w:vAlign w:val="center"/>
            <w:hideMark/>
          </w:tcPr>
          <w:p w14:paraId="416DF146" w14:textId="77777777" w:rsidR="00B719FB" w:rsidRPr="00B719FB" w:rsidRDefault="00B719FB" w:rsidP="00B719FB">
            <w:pPr>
              <w:autoSpaceDE w:val="0"/>
              <w:autoSpaceDN w:val="0"/>
              <w:adjustRightInd w:val="0"/>
              <w:jc w:val="both"/>
              <w:rPr>
                <w:rFonts w:asciiTheme="minorHAnsi" w:hAnsiTheme="minorHAnsi" w:cs="Arial"/>
                <w:sz w:val="20"/>
                <w:szCs w:val="20"/>
              </w:rPr>
            </w:pPr>
            <w:r w:rsidRPr="00B719FB">
              <w:rPr>
                <w:rFonts w:asciiTheme="minorHAnsi" w:hAnsiTheme="minorHAnsi" w:cs="Arial"/>
                <w:sz w:val="20"/>
                <w:szCs w:val="20"/>
              </w:rPr>
              <w:t>2024</w:t>
            </w:r>
          </w:p>
        </w:tc>
        <w:tc>
          <w:tcPr>
            <w:tcW w:w="953" w:type="dxa"/>
            <w:tcBorders>
              <w:top w:val="nil"/>
              <w:left w:val="nil"/>
              <w:bottom w:val="nil"/>
              <w:right w:val="nil"/>
            </w:tcBorders>
            <w:shd w:val="clear" w:color="000000" w:fill="FFFFFF"/>
            <w:vAlign w:val="center"/>
            <w:hideMark/>
          </w:tcPr>
          <w:p w14:paraId="31CDE9AA"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4.4%</w:t>
            </w:r>
          </w:p>
        </w:tc>
        <w:tc>
          <w:tcPr>
            <w:tcW w:w="954" w:type="dxa"/>
            <w:tcBorders>
              <w:top w:val="nil"/>
              <w:left w:val="nil"/>
              <w:bottom w:val="nil"/>
              <w:right w:val="nil"/>
            </w:tcBorders>
            <w:shd w:val="clear" w:color="000000" w:fill="FFFFFF"/>
            <w:vAlign w:val="center"/>
            <w:hideMark/>
          </w:tcPr>
          <w:p w14:paraId="4389F36D"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4.3%</w:t>
            </w:r>
          </w:p>
        </w:tc>
        <w:tc>
          <w:tcPr>
            <w:tcW w:w="1070" w:type="dxa"/>
            <w:tcBorders>
              <w:top w:val="nil"/>
              <w:left w:val="nil"/>
              <w:bottom w:val="nil"/>
              <w:right w:val="nil"/>
            </w:tcBorders>
            <w:shd w:val="clear" w:color="000000" w:fill="FFFFFF"/>
            <w:vAlign w:val="center"/>
            <w:hideMark/>
          </w:tcPr>
          <w:p w14:paraId="1E4C802E"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4.5%</w:t>
            </w:r>
          </w:p>
        </w:tc>
        <w:tc>
          <w:tcPr>
            <w:tcW w:w="850" w:type="dxa"/>
            <w:tcBorders>
              <w:top w:val="nil"/>
              <w:left w:val="nil"/>
              <w:bottom w:val="nil"/>
              <w:right w:val="single" w:sz="4" w:space="0" w:color="auto"/>
            </w:tcBorders>
            <w:shd w:val="clear" w:color="000000" w:fill="FFFFFF"/>
            <w:vAlign w:val="center"/>
            <w:hideMark/>
          </w:tcPr>
          <w:p w14:paraId="77DE278B"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4.8%</w:t>
            </w:r>
          </w:p>
        </w:tc>
      </w:tr>
      <w:tr w:rsidR="00B719FB" w14:paraId="6492B57C" w14:textId="77777777" w:rsidTr="00B719FB">
        <w:trPr>
          <w:trHeight w:val="250"/>
        </w:trPr>
        <w:tc>
          <w:tcPr>
            <w:tcW w:w="2405" w:type="dxa"/>
            <w:tcBorders>
              <w:top w:val="nil"/>
              <w:left w:val="single" w:sz="4" w:space="0" w:color="auto"/>
              <w:bottom w:val="nil"/>
              <w:right w:val="single" w:sz="4" w:space="0" w:color="auto"/>
            </w:tcBorders>
            <w:shd w:val="clear" w:color="000000" w:fill="FFFFFF"/>
            <w:vAlign w:val="center"/>
            <w:hideMark/>
          </w:tcPr>
          <w:p w14:paraId="3543C639" w14:textId="77777777" w:rsidR="00B719FB" w:rsidRPr="00B719FB" w:rsidRDefault="00B719FB" w:rsidP="00B719FB">
            <w:pPr>
              <w:autoSpaceDE w:val="0"/>
              <w:autoSpaceDN w:val="0"/>
              <w:adjustRightInd w:val="0"/>
              <w:jc w:val="both"/>
              <w:rPr>
                <w:rFonts w:asciiTheme="minorHAnsi" w:hAnsiTheme="minorHAnsi" w:cs="Arial"/>
                <w:sz w:val="20"/>
                <w:szCs w:val="20"/>
              </w:rPr>
            </w:pPr>
            <w:r w:rsidRPr="00B719FB">
              <w:rPr>
                <w:rFonts w:asciiTheme="minorHAnsi" w:hAnsiTheme="minorHAnsi" w:cs="Arial"/>
                <w:sz w:val="20"/>
                <w:szCs w:val="20"/>
              </w:rPr>
              <w:t>2025</w:t>
            </w:r>
          </w:p>
        </w:tc>
        <w:tc>
          <w:tcPr>
            <w:tcW w:w="953" w:type="dxa"/>
            <w:tcBorders>
              <w:top w:val="nil"/>
              <w:left w:val="nil"/>
              <w:bottom w:val="nil"/>
              <w:right w:val="nil"/>
            </w:tcBorders>
            <w:shd w:val="clear" w:color="000000" w:fill="FFFFFF"/>
            <w:vAlign w:val="center"/>
            <w:hideMark/>
          </w:tcPr>
          <w:p w14:paraId="04184DFB"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4.5%</w:t>
            </w:r>
          </w:p>
        </w:tc>
        <w:tc>
          <w:tcPr>
            <w:tcW w:w="954" w:type="dxa"/>
            <w:tcBorders>
              <w:top w:val="nil"/>
              <w:left w:val="nil"/>
              <w:bottom w:val="nil"/>
              <w:right w:val="nil"/>
            </w:tcBorders>
            <w:shd w:val="clear" w:color="000000" w:fill="FFFFFF"/>
            <w:vAlign w:val="center"/>
            <w:hideMark/>
          </w:tcPr>
          <w:p w14:paraId="33743E6C"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3.9%</w:t>
            </w:r>
          </w:p>
        </w:tc>
        <w:tc>
          <w:tcPr>
            <w:tcW w:w="1070" w:type="dxa"/>
            <w:tcBorders>
              <w:top w:val="nil"/>
              <w:left w:val="nil"/>
              <w:bottom w:val="nil"/>
              <w:right w:val="nil"/>
            </w:tcBorders>
            <w:shd w:val="clear" w:color="000000" w:fill="FFFFFF"/>
            <w:vAlign w:val="center"/>
            <w:hideMark/>
          </w:tcPr>
          <w:p w14:paraId="0D8B7D78"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5.8%</w:t>
            </w:r>
          </w:p>
        </w:tc>
        <w:tc>
          <w:tcPr>
            <w:tcW w:w="850" w:type="dxa"/>
            <w:tcBorders>
              <w:top w:val="nil"/>
              <w:left w:val="nil"/>
              <w:bottom w:val="nil"/>
              <w:right w:val="single" w:sz="4" w:space="0" w:color="auto"/>
            </w:tcBorders>
            <w:shd w:val="clear" w:color="000000" w:fill="FFFFFF"/>
            <w:vAlign w:val="center"/>
            <w:hideMark/>
          </w:tcPr>
          <w:p w14:paraId="3B591BF7"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7.2%</w:t>
            </w:r>
          </w:p>
        </w:tc>
      </w:tr>
      <w:tr w:rsidR="00B719FB" w14:paraId="4F224A3D" w14:textId="77777777" w:rsidTr="00B719FB">
        <w:trPr>
          <w:trHeight w:val="250"/>
        </w:trPr>
        <w:tc>
          <w:tcPr>
            <w:tcW w:w="2405" w:type="dxa"/>
            <w:tcBorders>
              <w:top w:val="nil"/>
              <w:left w:val="single" w:sz="4" w:space="0" w:color="auto"/>
              <w:bottom w:val="nil"/>
              <w:right w:val="single" w:sz="4" w:space="0" w:color="auto"/>
            </w:tcBorders>
            <w:shd w:val="clear" w:color="000000" w:fill="FFFFFF"/>
            <w:vAlign w:val="center"/>
            <w:hideMark/>
          </w:tcPr>
          <w:p w14:paraId="6B493F52" w14:textId="77777777" w:rsidR="00B719FB" w:rsidRPr="00B719FB" w:rsidRDefault="00B719FB" w:rsidP="00B719FB">
            <w:pPr>
              <w:autoSpaceDE w:val="0"/>
              <w:autoSpaceDN w:val="0"/>
              <w:adjustRightInd w:val="0"/>
              <w:jc w:val="both"/>
              <w:rPr>
                <w:rFonts w:asciiTheme="minorHAnsi" w:hAnsiTheme="minorHAnsi" w:cs="Arial"/>
                <w:sz w:val="20"/>
                <w:szCs w:val="20"/>
              </w:rPr>
            </w:pPr>
            <w:r w:rsidRPr="00B719FB">
              <w:rPr>
                <w:rFonts w:asciiTheme="minorHAnsi" w:hAnsiTheme="minorHAnsi" w:cs="Arial"/>
                <w:sz w:val="20"/>
                <w:szCs w:val="20"/>
              </w:rPr>
              <w:t>2026</w:t>
            </w:r>
          </w:p>
        </w:tc>
        <w:tc>
          <w:tcPr>
            <w:tcW w:w="953" w:type="dxa"/>
            <w:tcBorders>
              <w:top w:val="nil"/>
              <w:left w:val="nil"/>
              <w:bottom w:val="nil"/>
              <w:right w:val="nil"/>
            </w:tcBorders>
            <w:shd w:val="clear" w:color="000000" w:fill="FFFFFF"/>
            <w:vAlign w:val="center"/>
            <w:hideMark/>
          </w:tcPr>
          <w:p w14:paraId="740F0E7E"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4.5%</w:t>
            </w:r>
          </w:p>
        </w:tc>
        <w:tc>
          <w:tcPr>
            <w:tcW w:w="954" w:type="dxa"/>
            <w:tcBorders>
              <w:top w:val="nil"/>
              <w:left w:val="nil"/>
              <w:bottom w:val="nil"/>
              <w:right w:val="nil"/>
            </w:tcBorders>
            <w:shd w:val="clear" w:color="000000" w:fill="FFFFFF"/>
            <w:vAlign w:val="center"/>
            <w:hideMark/>
          </w:tcPr>
          <w:p w14:paraId="00ABF296"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4.1%</w:t>
            </w:r>
          </w:p>
        </w:tc>
        <w:tc>
          <w:tcPr>
            <w:tcW w:w="1070" w:type="dxa"/>
            <w:tcBorders>
              <w:top w:val="nil"/>
              <w:left w:val="nil"/>
              <w:bottom w:val="nil"/>
              <w:right w:val="nil"/>
            </w:tcBorders>
            <w:shd w:val="clear" w:color="000000" w:fill="FFFFFF"/>
            <w:vAlign w:val="center"/>
            <w:hideMark/>
          </w:tcPr>
          <w:p w14:paraId="5F860CE0"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6.3%</w:t>
            </w:r>
          </w:p>
        </w:tc>
        <w:tc>
          <w:tcPr>
            <w:tcW w:w="850" w:type="dxa"/>
            <w:tcBorders>
              <w:top w:val="nil"/>
              <w:left w:val="nil"/>
              <w:bottom w:val="nil"/>
              <w:right w:val="single" w:sz="4" w:space="0" w:color="auto"/>
            </w:tcBorders>
            <w:shd w:val="clear" w:color="000000" w:fill="FFFFFF"/>
            <w:vAlign w:val="center"/>
            <w:hideMark/>
          </w:tcPr>
          <w:p w14:paraId="34A8E9E8"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8.0%</w:t>
            </w:r>
          </w:p>
        </w:tc>
      </w:tr>
      <w:tr w:rsidR="00B719FB" w14:paraId="7C8314F1" w14:textId="77777777" w:rsidTr="00B719FB">
        <w:trPr>
          <w:trHeight w:val="250"/>
        </w:trPr>
        <w:tc>
          <w:tcPr>
            <w:tcW w:w="2405" w:type="dxa"/>
            <w:tcBorders>
              <w:top w:val="nil"/>
              <w:left w:val="single" w:sz="4" w:space="0" w:color="auto"/>
              <w:bottom w:val="nil"/>
              <w:right w:val="single" w:sz="4" w:space="0" w:color="auto"/>
            </w:tcBorders>
            <w:shd w:val="clear" w:color="000000" w:fill="FFFFFF"/>
            <w:vAlign w:val="center"/>
            <w:hideMark/>
          </w:tcPr>
          <w:p w14:paraId="7186E1A5" w14:textId="77777777" w:rsidR="00B719FB" w:rsidRPr="00B719FB" w:rsidRDefault="00B719FB" w:rsidP="00B719FB">
            <w:pPr>
              <w:autoSpaceDE w:val="0"/>
              <w:autoSpaceDN w:val="0"/>
              <w:adjustRightInd w:val="0"/>
              <w:jc w:val="both"/>
              <w:rPr>
                <w:rFonts w:asciiTheme="minorHAnsi" w:hAnsiTheme="minorHAnsi" w:cs="Arial"/>
                <w:sz w:val="20"/>
                <w:szCs w:val="20"/>
              </w:rPr>
            </w:pPr>
            <w:r w:rsidRPr="00B719FB">
              <w:rPr>
                <w:rFonts w:asciiTheme="minorHAnsi" w:hAnsiTheme="minorHAnsi" w:cs="Arial"/>
                <w:sz w:val="20"/>
                <w:szCs w:val="20"/>
              </w:rPr>
              <w:t>2027</w:t>
            </w:r>
          </w:p>
        </w:tc>
        <w:tc>
          <w:tcPr>
            <w:tcW w:w="953" w:type="dxa"/>
            <w:tcBorders>
              <w:top w:val="nil"/>
              <w:left w:val="nil"/>
              <w:bottom w:val="nil"/>
              <w:right w:val="nil"/>
            </w:tcBorders>
            <w:shd w:val="clear" w:color="000000" w:fill="FFFFFF"/>
            <w:vAlign w:val="center"/>
            <w:hideMark/>
          </w:tcPr>
          <w:p w14:paraId="5E8B6ED3"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4.5%</w:t>
            </w:r>
          </w:p>
        </w:tc>
        <w:tc>
          <w:tcPr>
            <w:tcW w:w="954" w:type="dxa"/>
            <w:tcBorders>
              <w:top w:val="nil"/>
              <w:left w:val="nil"/>
              <w:bottom w:val="nil"/>
              <w:right w:val="nil"/>
            </w:tcBorders>
            <w:shd w:val="clear" w:color="000000" w:fill="FFFFFF"/>
            <w:vAlign w:val="center"/>
            <w:hideMark/>
          </w:tcPr>
          <w:p w14:paraId="26278678"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4.1%</w:t>
            </w:r>
          </w:p>
        </w:tc>
        <w:tc>
          <w:tcPr>
            <w:tcW w:w="1070" w:type="dxa"/>
            <w:tcBorders>
              <w:top w:val="nil"/>
              <w:left w:val="nil"/>
              <w:bottom w:val="nil"/>
              <w:right w:val="nil"/>
            </w:tcBorders>
            <w:shd w:val="clear" w:color="000000" w:fill="FFFFFF"/>
            <w:vAlign w:val="center"/>
            <w:hideMark/>
          </w:tcPr>
          <w:p w14:paraId="555E800F"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5.5%</w:t>
            </w:r>
          </w:p>
        </w:tc>
        <w:tc>
          <w:tcPr>
            <w:tcW w:w="850" w:type="dxa"/>
            <w:tcBorders>
              <w:top w:val="nil"/>
              <w:left w:val="nil"/>
              <w:bottom w:val="nil"/>
              <w:right w:val="single" w:sz="4" w:space="0" w:color="auto"/>
            </w:tcBorders>
            <w:shd w:val="clear" w:color="000000" w:fill="FFFFFF"/>
            <w:vAlign w:val="center"/>
            <w:hideMark/>
          </w:tcPr>
          <w:p w14:paraId="2563B0D1"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6.4%</w:t>
            </w:r>
          </w:p>
        </w:tc>
      </w:tr>
      <w:tr w:rsidR="00B719FB" w14:paraId="3E4487B3" w14:textId="77777777" w:rsidTr="00B719FB">
        <w:trPr>
          <w:trHeight w:val="2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BC76BA5" w14:textId="77777777" w:rsidR="00B719FB" w:rsidRPr="00B719FB" w:rsidRDefault="00B719FB" w:rsidP="00B719FB">
            <w:pPr>
              <w:autoSpaceDE w:val="0"/>
              <w:autoSpaceDN w:val="0"/>
              <w:adjustRightInd w:val="0"/>
              <w:jc w:val="both"/>
              <w:rPr>
                <w:rFonts w:asciiTheme="minorHAnsi" w:hAnsiTheme="minorHAnsi" w:cs="Arial"/>
                <w:sz w:val="20"/>
                <w:szCs w:val="20"/>
              </w:rPr>
            </w:pPr>
            <w:r w:rsidRPr="00B719FB">
              <w:rPr>
                <w:rFonts w:asciiTheme="minorHAnsi" w:hAnsiTheme="minorHAnsi" w:cs="Arial"/>
                <w:sz w:val="20"/>
                <w:szCs w:val="20"/>
              </w:rPr>
              <w:t>2028</w:t>
            </w:r>
          </w:p>
        </w:tc>
        <w:tc>
          <w:tcPr>
            <w:tcW w:w="953" w:type="dxa"/>
            <w:tcBorders>
              <w:top w:val="nil"/>
              <w:left w:val="nil"/>
              <w:bottom w:val="single" w:sz="4" w:space="0" w:color="auto"/>
              <w:right w:val="nil"/>
            </w:tcBorders>
            <w:shd w:val="clear" w:color="000000" w:fill="FFFFFF"/>
            <w:vAlign w:val="center"/>
            <w:hideMark/>
          </w:tcPr>
          <w:p w14:paraId="3C7969CA"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4.5%</w:t>
            </w:r>
          </w:p>
        </w:tc>
        <w:tc>
          <w:tcPr>
            <w:tcW w:w="954" w:type="dxa"/>
            <w:tcBorders>
              <w:top w:val="nil"/>
              <w:left w:val="nil"/>
              <w:bottom w:val="single" w:sz="4" w:space="0" w:color="auto"/>
              <w:right w:val="nil"/>
            </w:tcBorders>
            <w:shd w:val="clear" w:color="000000" w:fill="FFFFFF"/>
            <w:vAlign w:val="center"/>
            <w:hideMark/>
          </w:tcPr>
          <w:p w14:paraId="18DC43DA"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4.3%</w:t>
            </w:r>
          </w:p>
        </w:tc>
        <w:tc>
          <w:tcPr>
            <w:tcW w:w="1070" w:type="dxa"/>
            <w:tcBorders>
              <w:top w:val="nil"/>
              <w:left w:val="nil"/>
              <w:bottom w:val="single" w:sz="4" w:space="0" w:color="auto"/>
              <w:right w:val="nil"/>
            </w:tcBorders>
            <w:shd w:val="clear" w:color="000000" w:fill="FFFFFF"/>
            <w:vAlign w:val="center"/>
            <w:hideMark/>
          </w:tcPr>
          <w:p w14:paraId="5523B106"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5.0%</w:t>
            </w:r>
          </w:p>
        </w:tc>
        <w:tc>
          <w:tcPr>
            <w:tcW w:w="850" w:type="dxa"/>
            <w:tcBorders>
              <w:top w:val="nil"/>
              <w:left w:val="nil"/>
              <w:bottom w:val="single" w:sz="4" w:space="0" w:color="auto"/>
              <w:right w:val="single" w:sz="4" w:space="0" w:color="auto"/>
            </w:tcBorders>
            <w:shd w:val="clear" w:color="000000" w:fill="FFFFFF"/>
            <w:vAlign w:val="center"/>
            <w:hideMark/>
          </w:tcPr>
          <w:p w14:paraId="554B212C"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5.6%</w:t>
            </w:r>
          </w:p>
        </w:tc>
      </w:tr>
      <w:tr w:rsidR="00B719FB" w14:paraId="31157E22" w14:textId="77777777" w:rsidTr="00B719FB">
        <w:trPr>
          <w:trHeight w:val="2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616BB63" w14:textId="77777777" w:rsidR="00B719FB" w:rsidRPr="00B719FB" w:rsidRDefault="00B719FB" w:rsidP="00B719FB">
            <w:pPr>
              <w:autoSpaceDE w:val="0"/>
              <w:autoSpaceDN w:val="0"/>
              <w:adjustRightInd w:val="0"/>
              <w:jc w:val="both"/>
              <w:rPr>
                <w:rFonts w:asciiTheme="minorHAnsi" w:hAnsiTheme="minorHAnsi" w:cs="Arial"/>
                <w:sz w:val="20"/>
                <w:szCs w:val="20"/>
              </w:rPr>
            </w:pPr>
            <w:r w:rsidRPr="00B719FB">
              <w:rPr>
                <w:rFonts w:asciiTheme="minorHAnsi" w:hAnsiTheme="minorHAnsi" w:cs="Arial"/>
                <w:sz w:val="20"/>
                <w:szCs w:val="20"/>
              </w:rPr>
              <w:t>Five year peak</w:t>
            </w:r>
          </w:p>
        </w:tc>
        <w:tc>
          <w:tcPr>
            <w:tcW w:w="953" w:type="dxa"/>
            <w:tcBorders>
              <w:top w:val="nil"/>
              <w:left w:val="nil"/>
              <w:bottom w:val="single" w:sz="4" w:space="0" w:color="auto"/>
              <w:right w:val="nil"/>
            </w:tcBorders>
            <w:shd w:val="clear" w:color="000000" w:fill="FFFFFF"/>
            <w:vAlign w:val="center"/>
            <w:hideMark/>
          </w:tcPr>
          <w:p w14:paraId="111FAB3F"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4.5%</w:t>
            </w:r>
          </w:p>
        </w:tc>
        <w:tc>
          <w:tcPr>
            <w:tcW w:w="954" w:type="dxa"/>
            <w:tcBorders>
              <w:top w:val="nil"/>
              <w:left w:val="nil"/>
              <w:bottom w:val="single" w:sz="4" w:space="0" w:color="auto"/>
              <w:right w:val="nil"/>
            </w:tcBorders>
            <w:shd w:val="clear" w:color="000000" w:fill="FFFFFF"/>
            <w:vAlign w:val="center"/>
            <w:hideMark/>
          </w:tcPr>
          <w:p w14:paraId="06F9410B"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4.4%</w:t>
            </w:r>
          </w:p>
        </w:tc>
        <w:tc>
          <w:tcPr>
            <w:tcW w:w="1070" w:type="dxa"/>
            <w:tcBorders>
              <w:top w:val="nil"/>
              <w:left w:val="nil"/>
              <w:bottom w:val="single" w:sz="4" w:space="0" w:color="auto"/>
              <w:right w:val="nil"/>
            </w:tcBorders>
            <w:shd w:val="clear" w:color="000000" w:fill="FFFFFF"/>
            <w:vAlign w:val="center"/>
            <w:hideMark/>
          </w:tcPr>
          <w:p w14:paraId="2340FC78"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6.5%</w:t>
            </w:r>
          </w:p>
        </w:tc>
        <w:tc>
          <w:tcPr>
            <w:tcW w:w="850" w:type="dxa"/>
            <w:tcBorders>
              <w:top w:val="nil"/>
              <w:left w:val="nil"/>
              <w:bottom w:val="single" w:sz="4" w:space="0" w:color="auto"/>
              <w:right w:val="single" w:sz="4" w:space="0" w:color="auto"/>
            </w:tcBorders>
            <w:shd w:val="clear" w:color="000000" w:fill="FFFFFF"/>
            <w:vAlign w:val="center"/>
            <w:hideMark/>
          </w:tcPr>
          <w:p w14:paraId="0F224749" w14:textId="77777777" w:rsidR="00B719FB" w:rsidRPr="00B719FB" w:rsidRDefault="00B719FB" w:rsidP="00B719FB">
            <w:pPr>
              <w:autoSpaceDE w:val="0"/>
              <w:autoSpaceDN w:val="0"/>
              <w:adjustRightInd w:val="0"/>
              <w:jc w:val="right"/>
              <w:rPr>
                <w:rFonts w:asciiTheme="minorHAnsi" w:hAnsiTheme="minorHAnsi" w:cs="Arial"/>
                <w:sz w:val="20"/>
                <w:szCs w:val="20"/>
              </w:rPr>
            </w:pPr>
            <w:r w:rsidRPr="00B719FB">
              <w:rPr>
                <w:rFonts w:asciiTheme="minorHAnsi" w:hAnsiTheme="minorHAnsi" w:cs="Arial"/>
                <w:sz w:val="20"/>
                <w:szCs w:val="20"/>
              </w:rPr>
              <w:t>8.3%</w:t>
            </w:r>
          </w:p>
        </w:tc>
      </w:tr>
    </w:tbl>
    <w:p w14:paraId="1C06C76C" w14:textId="77777777" w:rsidR="0055722B" w:rsidRPr="00170421" w:rsidRDefault="0055722B" w:rsidP="00874F9D">
      <w:pPr>
        <w:autoSpaceDE w:val="0"/>
        <w:autoSpaceDN w:val="0"/>
        <w:adjustRightInd w:val="0"/>
        <w:jc w:val="both"/>
        <w:rPr>
          <w:rFonts w:asciiTheme="minorHAnsi" w:hAnsiTheme="minorHAnsi" w:cs="Arial"/>
          <w:sz w:val="20"/>
          <w:szCs w:val="20"/>
        </w:rPr>
      </w:pPr>
    </w:p>
    <w:p w14:paraId="720632EA" w14:textId="77777777" w:rsidR="00874F9D" w:rsidRPr="00170421" w:rsidRDefault="00874F9D" w:rsidP="00874F9D">
      <w:pPr>
        <w:autoSpaceDE w:val="0"/>
        <w:autoSpaceDN w:val="0"/>
        <w:adjustRightInd w:val="0"/>
        <w:jc w:val="both"/>
        <w:rPr>
          <w:rFonts w:asciiTheme="minorHAnsi" w:hAnsiTheme="minorHAnsi" w:cs="Arial"/>
          <w:sz w:val="20"/>
          <w:szCs w:val="20"/>
        </w:rPr>
      </w:pPr>
    </w:p>
    <w:p w14:paraId="7140D9E4" w14:textId="280B34AC" w:rsidR="00874F9D" w:rsidRPr="00170421" w:rsidRDefault="00874F9D" w:rsidP="00874F9D">
      <w:pPr>
        <w:autoSpaceDE w:val="0"/>
        <w:autoSpaceDN w:val="0"/>
        <w:adjustRightInd w:val="0"/>
        <w:jc w:val="both"/>
        <w:rPr>
          <w:rFonts w:asciiTheme="minorHAnsi" w:hAnsiTheme="minorHAnsi" w:cs="Arial"/>
          <w:sz w:val="20"/>
          <w:szCs w:val="20"/>
        </w:rPr>
      </w:pPr>
      <w:r w:rsidRPr="00170421">
        <w:rPr>
          <w:rFonts w:asciiTheme="minorHAnsi" w:hAnsiTheme="minorHAnsi" w:cs="Arial"/>
          <w:sz w:val="20"/>
          <w:szCs w:val="20"/>
        </w:rPr>
        <w:t>There has been no change in the weightings from 2024.</w:t>
      </w:r>
    </w:p>
    <w:p w14:paraId="78D7AA5E" w14:textId="77777777" w:rsidR="002026F6" w:rsidRDefault="002026F6" w:rsidP="009F4CC7">
      <w:pPr>
        <w:autoSpaceDE w:val="0"/>
        <w:autoSpaceDN w:val="0"/>
        <w:adjustRightInd w:val="0"/>
        <w:jc w:val="both"/>
        <w:rPr>
          <w:rFonts w:asciiTheme="minorHAnsi" w:hAnsiTheme="minorHAnsi" w:cs="Poppins-Light"/>
          <w:color w:val="FF0000"/>
          <w:sz w:val="20"/>
          <w:szCs w:val="20"/>
        </w:rPr>
      </w:pPr>
    </w:p>
    <w:p w14:paraId="4180303F" w14:textId="714D4AE9" w:rsidR="006C39AB" w:rsidRPr="00BA0B10" w:rsidRDefault="006C39AB" w:rsidP="009F4CC7">
      <w:pPr>
        <w:autoSpaceDE w:val="0"/>
        <w:autoSpaceDN w:val="0"/>
        <w:adjustRightInd w:val="0"/>
        <w:jc w:val="both"/>
        <w:rPr>
          <w:rFonts w:asciiTheme="minorHAnsi" w:hAnsiTheme="minorHAnsi" w:cs="Poppins-Light"/>
          <w:color w:val="000000" w:themeColor="text1"/>
          <w:sz w:val="20"/>
          <w:szCs w:val="20"/>
          <w:u w:val="single"/>
        </w:rPr>
      </w:pPr>
      <w:r w:rsidRPr="00BA0B10">
        <w:rPr>
          <w:rFonts w:asciiTheme="minorHAnsi" w:hAnsiTheme="minorHAnsi" w:cs="Poppins-Light"/>
          <w:color w:val="000000" w:themeColor="text1"/>
          <w:sz w:val="20"/>
          <w:szCs w:val="20"/>
          <w:u w:val="single"/>
        </w:rPr>
        <w:t>Contingent liability</w:t>
      </w:r>
      <w:r w:rsidR="00B815F2" w:rsidRPr="00BA0B10">
        <w:rPr>
          <w:rFonts w:asciiTheme="minorHAnsi" w:hAnsiTheme="minorHAnsi" w:cs="Poppins-Light"/>
          <w:color w:val="000000" w:themeColor="text1"/>
          <w:sz w:val="20"/>
          <w:szCs w:val="20"/>
          <w:u w:val="single"/>
        </w:rPr>
        <w:t xml:space="preserve">: Vehicle Finance </w:t>
      </w:r>
      <w:r w:rsidR="00B815F2" w:rsidRPr="0039646A">
        <w:rPr>
          <w:rFonts w:asciiTheme="minorHAnsi" w:hAnsiTheme="minorHAnsi" w:cs="Poppins-Light"/>
          <w:sz w:val="20"/>
          <w:szCs w:val="20"/>
          <w:u w:val="single"/>
        </w:rPr>
        <w:t>Commission</w:t>
      </w:r>
      <w:r w:rsidR="00F16A79" w:rsidRPr="0039646A">
        <w:rPr>
          <w:rFonts w:asciiTheme="minorHAnsi" w:hAnsiTheme="minorHAnsi" w:cs="Poppins-Light"/>
          <w:sz w:val="20"/>
          <w:szCs w:val="20"/>
          <w:u w:val="single"/>
        </w:rPr>
        <w:t xml:space="preserve"> (note </w:t>
      </w:r>
      <w:r w:rsidR="0039646A" w:rsidRPr="0039646A">
        <w:rPr>
          <w:rFonts w:asciiTheme="minorHAnsi" w:hAnsiTheme="minorHAnsi" w:cs="Poppins-Light"/>
          <w:sz w:val="20"/>
          <w:szCs w:val="20"/>
          <w:u w:val="single"/>
        </w:rPr>
        <w:t>16</w:t>
      </w:r>
      <w:r w:rsidR="00F16A79" w:rsidRPr="0039646A">
        <w:rPr>
          <w:rFonts w:asciiTheme="minorHAnsi" w:hAnsiTheme="minorHAnsi" w:cs="Poppins-Light"/>
          <w:sz w:val="20"/>
          <w:szCs w:val="20"/>
          <w:u w:val="single"/>
        </w:rPr>
        <w:t>)</w:t>
      </w:r>
    </w:p>
    <w:p w14:paraId="634938D7" w14:textId="0B16849F" w:rsidR="004D641E" w:rsidRPr="00BA0B10" w:rsidRDefault="004D641E" w:rsidP="004D641E">
      <w:pPr>
        <w:autoSpaceDE w:val="0"/>
        <w:autoSpaceDN w:val="0"/>
        <w:adjustRightInd w:val="0"/>
        <w:jc w:val="both"/>
        <w:rPr>
          <w:rStyle w:val="bodycopynumber"/>
          <w:rFonts w:asciiTheme="minorHAnsi" w:hAnsiTheme="minorHAnsi" w:cs="Poppins-Light"/>
          <w:sz w:val="20"/>
          <w:szCs w:val="20"/>
          <w:u w:val="single"/>
        </w:rPr>
      </w:pPr>
      <w:r w:rsidRPr="00BA0B10">
        <w:rPr>
          <w:rStyle w:val="bodycopynumber"/>
          <w:rFonts w:asciiTheme="minorHAnsi" w:hAnsiTheme="minorHAnsi" w:cs="Poppins-Light"/>
          <w:sz w:val="20"/>
          <w:szCs w:val="20"/>
          <w:u w:val="single"/>
        </w:rPr>
        <w:t xml:space="preserve">Critical accounting judgement </w:t>
      </w:r>
    </w:p>
    <w:p w14:paraId="574CF724" w14:textId="4B01FF4C" w:rsidR="00B815F2" w:rsidRPr="008107F7" w:rsidRDefault="004D641E" w:rsidP="004D641E">
      <w:pPr>
        <w:autoSpaceDE w:val="0"/>
        <w:autoSpaceDN w:val="0"/>
        <w:adjustRightInd w:val="0"/>
        <w:jc w:val="both"/>
        <w:rPr>
          <w:rFonts w:asciiTheme="minorHAnsi" w:hAnsiTheme="minorHAnsi" w:cs="Poppins-Light"/>
          <w:sz w:val="20"/>
          <w:szCs w:val="20"/>
        </w:rPr>
      </w:pPr>
      <w:r w:rsidRPr="008107F7">
        <w:rPr>
          <w:rFonts w:asciiTheme="minorHAnsi" w:hAnsiTheme="minorHAnsi" w:cs="Poppins-Light"/>
          <w:sz w:val="20"/>
          <w:szCs w:val="20"/>
        </w:rPr>
        <w:t xml:space="preserve">Management has considered the requirements of IAS 37 to determine if a provision or contingent liability is required in relation to the </w:t>
      </w:r>
      <w:r w:rsidR="000126FE">
        <w:rPr>
          <w:rFonts w:asciiTheme="minorHAnsi" w:hAnsiTheme="minorHAnsi" w:cs="Poppins-Light"/>
          <w:sz w:val="20"/>
          <w:szCs w:val="20"/>
        </w:rPr>
        <w:t xml:space="preserve">outcome of the Supreme </w:t>
      </w:r>
      <w:r w:rsidR="00230BC5">
        <w:rPr>
          <w:rFonts w:asciiTheme="minorHAnsi" w:hAnsiTheme="minorHAnsi" w:cs="Poppins-Light"/>
          <w:sz w:val="20"/>
          <w:szCs w:val="20"/>
        </w:rPr>
        <w:t xml:space="preserve">Court </w:t>
      </w:r>
      <w:r w:rsidR="000126FE">
        <w:rPr>
          <w:rFonts w:asciiTheme="minorHAnsi" w:hAnsiTheme="minorHAnsi" w:cs="Poppins-Light"/>
          <w:sz w:val="20"/>
          <w:szCs w:val="20"/>
        </w:rPr>
        <w:t xml:space="preserve">judgment regarding motor finance commission </w:t>
      </w:r>
      <w:r w:rsidR="00D66C5D">
        <w:rPr>
          <w:rFonts w:asciiTheme="minorHAnsi" w:hAnsiTheme="minorHAnsi" w:cs="Poppins-Light"/>
          <w:sz w:val="20"/>
          <w:szCs w:val="20"/>
        </w:rPr>
        <w:t>disclosure</w:t>
      </w:r>
      <w:r w:rsidR="000126FE">
        <w:rPr>
          <w:rFonts w:asciiTheme="minorHAnsi" w:hAnsiTheme="minorHAnsi" w:cs="Poppins-Light"/>
          <w:sz w:val="20"/>
          <w:szCs w:val="20"/>
        </w:rPr>
        <w:t xml:space="preserve"> </w:t>
      </w:r>
      <w:r w:rsidR="00CB3F0E">
        <w:rPr>
          <w:rFonts w:asciiTheme="minorHAnsi" w:hAnsiTheme="minorHAnsi" w:cs="Poppins-Light"/>
          <w:sz w:val="20"/>
          <w:szCs w:val="20"/>
        </w:rPr>
        <w:t>practices</w:t>
      </w:r>
      <w:r w:rsidR="00905134">
        <w:rPr>
          <w:rFonts w:asciiTheme="minorHAnsi" w:hAnsiTheme="minorHAnsi" w:cs="Poppins-Light"/>
          <w:sz w:val="20"/>
          <w:szCs w:val="20"/>
        </w:rPr>
        <w:t>. It has also considered the FCA</w:t>
      </w:r>
      <w:r w:rsidR="004B3B97">
        <w:rPr>
          <w:rFonts w:asciiTheme="minorHAnsi" w:hAnsiTheme="minorHAnsi" w:cs="Poppins-Light"/>
          <w:sz w:val="20"/>
          <w:szCs w:val="20"/>
        </w:rPr>
        <w:t>’</w:t>
      </w:r>
      <w:r w:rsidR="00905134">
        <w:rPr>
          <w:rFonts w:asciiTheme="minorHAnsi" w:hAnsiTheme="minorHAnsi" w:cs="Poppins-Light"/>
          <w:sz w:val="20"/>
          <w:szCs w:val="20"/>
        </w:rPr>
        <w:t xml:space="preserve">s intention to consult on </w:t>
      </w:r>
      <w:r w:rsidR="00850D00">
        <w:rPr>
          <w:rFonts w:asciiTheme="minorHAnsi" w:hAnsiTheme="minorHAnsi" w:cs="Poppins-Light"/>
          <w:sz w:val="20"/>
          <w:szCs w:val="20"/>
        </w:rPr>
        <w:t xml:space="preserve">a </w:t>
      </w:r>
      <w:r w:rsidR="00905134">
        <w:rPr>
          <w:rFonts w:asciiTheme="minorHAnsi" w:hAnsiTheme="minorHAnsi" w:cs="Poppins-Light"/>
          <w:sz w:val="20"/>
          <w:szCs w:val="20"/>
        </w:rPr>
        <w:t xml:space="preserve">motor finance </w:t>
      </w:r>
      <w:r w:rsidR="00850D00">
        <w:rPr>
          <w:rFonts w:asciiTheme="minorHAnsi" w:hAnsiTheme="minorHAnsi" w:cs="Poppins-Light"/>
          <w:sz w:val="20"/>
          <w:szCs w:val="20"/>
        </w:rPr>
        <w:t>compensation scheme.</w:t>
      </w:r>
      <w:r w:rsidR="00F03521">
        <w:rPr>
          <w:rFonts w:asciiTheme="minorHAnsi" w:hAnsiTheme="minorHAnsi" w:cs="Poppins-Light"/>
          <w:sz w:val="20"/>
          <w:szCs w:val="20"/>
        </w:rPr>
        <w:t xml:space="preserve"> </w:t>
      </w:r>
      <w:r w:rsidR="00D66C5D">
        <w:rPr>
          <w:rFonts w:asciiTheme="minorHAnsi" w:hAnsiTheme="minorHAnsi" w:cs="Poppins-Light"/>
          <w:sz w:val="20"/>
          <w:szCs w:val="20"/>
        </w:rPr>
        <w:t>T</w:t>
      </w:r>
      <w:r w:rsidRPr="008107F7">
        <w:rPr>
          <w:rFonts w:asciiTheme="minorHAnsi" w:hAnsiTheme="minorHAnsi" w:cs="Poppins-Light"/>
          <w:sz w:val="20"/>
          <w:szCs w:val="20"/>
        </w:rPr>
        <w:t>he Group believes its position</w:t>
      </w:r>
      <w:r w:rsidR="00CD5056" w:rsidRPr="008107F7">
        <w:rPr>
          <w:rFonts w:asciiTheme="minorHAnsi" w:hAnsiTheme="minorHAnsi" w:cs="Poppins-Light"/>
          <w:sz w:val="20"/>
          <w:szCs w:val="20"/>
        </w:rPr>
        <w:t xml:space="preserve"> </w:t>
      </w:r>
      <w:r w:rsidRPr="008107F7">
        <w:rPr>
          <w:rFonts w:asciiTheme="minorHAnsi" w:hAnsiTheme="minorHAnsi" w:cs="Poppins-Light"/>
          <w:sz w:val="20"/>
          <w:szCs w:val="20"/>
        </w:rPr>
        <w:t xml:space="preserve">is differentiated on a number of grounds </w:t>
      </w:r>
      <w:r w:rsidR="00B54007">
        <w:rPr>
          <w:rFonts w:asciiTheme="minorHAnsi" w:hAnsiTheme="minorHAnsi" w:cs="Poppins-Light"/>
          <w:sz w:val="20"/>
          <w:szCs w:val="20"/>
        </w:rPr>
        <w:t>and i</w:t>
      </w:r>
      <w:r w:rsidRPr="008107F7">
        <w:rPr>
          <w:rFonts w:asciiTheme="minorHAnsi" w:hAnsiTheme="minorHAnsi" w:cs="Poppins-Light"/>
          <w:sz w:val="20"/>
          <w:szCs w:val="20"/>
        </w:rPr>
        <w:t>n accordance with IAS 37,</w:t>
      </w:r>
      <w:r w:rsidR="00CD5056" w:rsidRPr="008107F7">
        <w:rPr>
          <w:rFonts w:asciiTheme="minorHAnsi" w:hAnsiTheme="minorHAnsi" w:cs="Poppins-Light"/>
          <w:sz w:val="20"/>
          <w:szCs w:val="20"/>
        </w:rPr>
        <w:t xml:space="preserve"> </w:t>
      </w:r>
      <w:r w:rsidRPr="008107F7">
        <w:rPr>
          <w:rFonts w:asciiTheme="minorHAnsi" w:hAnsiTheme="minorHAnsi" w:cs="Poppins-Light"/>
          <w:sz w:val="20"/>
          <w:szCs w:val="20"/>
        </w:rPr>
        <w:t xml:space="preserve">the Group has not provided for this matter </w:t>
      </w:r>
      <w:r w:rsidR="00F03521">
        <w:rPr>
          <w:rFonts w:asciiTheme="minorHAnsi" w:hAnsiTheme="minorHAnsi" w:cs="Poppins-Light"/>
          <w:sz w:val="20"/>
          <w:szCs w:val="20"/>
        </w:rPr>
        <w:t>but has disclosed a contingent liability</w:t>
      </w:r>
      <w:r w:rsidRPr="008107F7">
        <w:rPr>
          <w:rFonts w:asciiTheme="minorHAnsi" w:hAnsiTheme="minorHAnsi" w:cs="Poppins-Light"/>
          <w:sz w:val="20"/>
          <w:szCs w:val="20"/>
        </w:rPr>
        <w:t xml:space="preserve"> (see note </w:t>
      </w:r>
      <w:r w:rsidR="00CD5056" w:rsidRPr="008107F7">
        <w:rPr>
          <w:rFonts w:asciiTheme="minorHAnsi" w:hAnsiTheme="minorHAnsi" w:cs="Poppins-Light"/>
          <w:sz w:val="20"/>
          <w:szCs w:val="20"/>
        </w:rPr>
        <w:t>16</w:t>
      </w:r>
      <w:r w:rsidRPr="008107F7">
        <w:rPr>
          <w:rFonts w:asciiTheme="minorHAnsi" w:hAnsiTheme="minorHAnsi" w:cs="Poppins-Light"/>
          <w:sz w:val="20"/>
          <w:szCs w:val="20"/>
        </w:rPr>
        <w:t>).</w:t>
      </w:r>
    </w:p>
    <w:p w14:paraId="5B609E90" w14:textId="77777777" w:rsidR="009420A8" w:rsidRDefault="009420A8" w:rsidP="004D641E">
      <w:pPr>
        <w:autoSpaceDE w:val="0"/>
        <w:autoSpaceDN w:val="0"/>
        <w:adjustRightInd w:val="0"/>
        <w:jc w:val="both"/>
        <w:rPr>
          <w:rFonts w:asciiTheme="minorHAnsi" w:hAnsiTheme="minorHAnsi" w:cs="Poppins-Light"/>
          <w:color w:val="FF0000"/>
          <w:sz w:val="20"/>
          <w:szCs w:val="20"/>
        </w:rPr>
      </w:pPr>
    </w:p>
    <w:p w14:paraId="1A5BDCB2" w14:textId="77777777" w:rsidR="009420A8" w:rsidRPr="00D8236B" w:rsidRDefault="009420A8" w:rsidP="009420A8">
      <w:pPr>
        <w:autoSpaceDE w:val="0"/>
        <w:autoSpaceDN w:val="0"/>
        <w:adjustRightInd w:val="0"/>
        <w:jc w:val="both"/>
        <w:rPr>
          <w:rFonts w:asciiTheme="minorHAnsi" w:hAnsiTheme="minorHAnsi" w:cs="Poppins-Light"/>
          <w:sz w:val="20"/>
          <w:szCs w:val="20"/>
          <w:u w:val="single"/>
        </w:rPr>
      </w:pPr>
      <w:r w:rsidRPr="00D8236B">
        <w:rPr>
          <w:rFonts w:asciiTheme="minorHAnsi" w:hAnsiTheme="minorHAnsi" w:cs="Poppins-Light"/>
          <w:sz w:val="20"/>
          <w:szCs w:val="20"/>
          <w:u w:val="single"/>
        </w:rPr>
        <w:t>Other accounting judgements:</w:t>
      </w:r>
    </w:p>
    <w:p w14:paraId="512E5189" w14:textId="5441BE3B" w:rsidR="009420A8" w:rsidRPr="0039646A" w:rsidRDefault="009420A8" w:rsidP="009420A8">
      <w:pPr>
        <w:autoSpaceDE w:val="0"/>
        <w:autoSpaceDN w:val="0"/>
        <w:adjustRightInd w:val="0"/>
        <w:jc w:val="both"/>
        <w:rPr>
          <w:rFonts w:asciiTheme="minorHAnsi" w:hAnsiTheme="minorHAnsi" w:cs="Poppins-Light"/>
          <w:color w:val="000000" w:themeColor="text1"/>
          <w:sz w:val="20"/>
          <w:szCs w:val="20"/>
          <w:u w:val="single"/>
        </w:rPr>
      </w:pPr>
      <w:r w:rsidRPr="0039646A">
        <w:rPr>
          <w:rFonts w:asciiTheme="minorHAnsi" w:hAnsiTheme="minorHAnsi" w:cs="Poppins-Light"/>
          <w:color w:val="000000" w:themeColor="text1"/>
          <w:sz w:val="20"/>
          <w:szCs w:val="20"/>
          <w:u w:val="single"/>
        </w:rPr>
        <w:t>Intangibles (note 1</w:t>
      </w:r>
      <w:r w:rsidR="00725A47" w:rsidRPr="0039646A">
        <w:rPr>
          <w:rFonts w:asciiTheme="minorHAnsi" w:hAnsiTheme="minorHAnsi" w:cs="Poppins-Light"/>
          <w:color w:val="000000" w:themeColor="text1"/>
          <w:sz w:val="20"/>
          <w:szCs w:val="20"/>
          <w:u w:val="single"/>
        </w:rPr>
        <w:t>1</w:t>
      </w:r>
      <w:r w:rsidRPr="0039646A">
        <w:rPr>
          <w:rFonts w:asciiTheme="minorHAnsi" w:hAnsiTheme="minorHAnsi" w:cs="Poppins-Light"/>
          <w:color w:val="000000" w:themeColor="text1"/>
          <w:sz w:val="20"/>
          <w:szCs w:val="20"/>
          <w:u w:val="single"/>
        </w:rPr>
        <w:t>)</w:t>
      </w:r>
    </w:p>
    <w:p w14:paraId="336C6D53" w14:textId="77777777" w:rsidR="00E15528" w:rsidRDefault="009420A8" w:rsidP="009420A8">
      <w:pPr>
        <w:autoSpaceDE w:val="0"/>
        <w:autoSpaceDN w:val="0"/>
        <w:adjustRightInd w:val="0"/>
        <w:jc w:val="both"/>
        <w:rPr>
          <w:rFonts w:asciiTheme="minorHAnsi" w:hAnsiTheme="minorHAnsi" w:cs="Poppins-Light"/>
          <w:sz w:val="20"/>
          <w:szCs w:val="20"/>
        </w:rPr>
      </w:pPr>
      <w:r w:rsidRPr="00D8236B">
        <w:rPr>
          <w:rFonts w:asciiTheme="minorHAnsi" w:hAnsiTheme="minorHAnsi" w:cs="Poppins-Light"/>
          <w:sz w:val="20"/>
          <w:szCs w:val="20"/>
        </w:rPr>
        <w:t xml:space="preserve">All intangible assets have been reviewed for impairment under IAS 36. </w:t>
      </w:r>
    </w:p>
    <w:p w14:paraId="48967508" w14:textId="77777777" w:rsidR="005D255F" w:rsidRDefault="005D255F" w:rsidP="009420A8">
      <w:pPr>
        <w:autoSpaceDE w:val="0"/>
        <w:autoSpaceDN w:val="0"/>
        <w:adjustRightInd w:val="0"/>
        <w:jc w:val="both"/>
        <w:rPr>
          <w:rFonts w:asciiTheme="minorHAnsi" w:hAnsiTheme="minorHAnsi" w:cs="Poppins-Light"/>
          <w:sz w:val="20"/>
          <w:szCs w:val="20"/>
        </w:rPr>
      </w:pPr>
    </w:p>
    <w:p w14:paraId="6104DBC6" w14:textId="53DF6151" w:rsidR="005D255F" w:rsidRDefault="00C416BD" w:rsidP="009420A8">
      <w:pPr>
        <w:autoSpaceDE w:val="0"/>
        <w:autoSpaceDN w:val="0"/>
        <w:adjustRightInd w:val="0"/>
        <w:jc w:val="both"/>
        <w:rPr>
          <w:rFonts w:asciiTheme="minorHAnsi" w:hAnsiTheme="minorHAnsi" w:cs="Poppins-Light"/>
          <w:sz w:val="20"/>
          <w:szCs w:val="20"/>
        </w:rPr>
      </w:pPr>
      <w:r>
        <w:rPr>
          <w:rFonts w:asciiTheme="minorHAnsi" w:hAnsiTheme="minorHAnsi" w:cs="Poppins-Light"/>
          <w:sz w:val="20"/>
          <w:szCs w:val="20"/>
        </w:rPr>
        <w:t>Following</w:t>
      </w:r>
      <w:r w:rsidR="008C10A0">
        <w:rPr>
          <w:rFonts w:asciiTheme="minorHAnsi" w:hAnsiTheme="minorHAnsi" w:cs="Poppins-Light"/>
          <w:sz w:val="20"/>
          <w:szCs w:val="20"/>
        </w:rPr>
        <w:t xml:space="preserve"> the sale of the Persona</w:t>
      </w:r>
      <w:r w:rsidR="0039646A">
        <w:rPr>
          <w:rFonts w:asciiTheme="minorHAnsi" w:hAnsiTheme="minorHAnsi" w:cs="Poppins-Light"/>
          <w:sz w:val="20"/>
          <w:szCs w:val="20"/>
        </w:rPr>
        <w:t>l</w:t>
      </w:r>
      <w:r w:rsidR="008C10A0">
        <w:rPr>
          <w:rFonts w:asciiTheme="minorHAnsi" w:hAnsiTheme="minorHAnsi" w:cs="Poppins-Light"/>
          <w:sz w:val="20"/>
          <w:szCs w:val="20"/>
        </w:rPr>
        <w:t xml:space="preserve"> Loans business in 1H25, the assets associated with that product were reviewed </w:t>
      </w:r>
      <w:r>
        <w:rPr>
          <w:rFonts w:asciiTheme="minorHAnsi" w:hAnsiTheme="minorHAnsi" w:cs="Poppins-Light"/>
          <w:sz w:val="20"/>
          <w:szCs w:val="20"/>
        </w:rPr>
        <w:t xml:space="preserve">for impairment </w:t>
      </w:r>
      <w:r w:rsidR="008C10A0">
        <w:rPr>
          <w:rFonts w:asciiTheme="minorHAnsi" w:hAnsiTheme="minorHAnsi" w:cs="Poppins-Light"/>
          <w:sz w:val="20"/>
          <w:szCs w:val="20"/>
        </w:rPr>
        <w:t>and subs</w:t>
      </w:r>
      <w:r>
        <w:rPr>
          <w:rFonts w:asciiTheme="minorHAnsi" w:hAnsiTheme="minorHAnsi" w:cs="Poppins-Light"/>
          <w:sz w:val="20"/>
          <w:szCs w:val="20"/>
        </w:rPr>
        <w:t xml:space="preserve">equently written off. </w:t>
      </w:r>
      <w:r w:rsidR="00E24770">
        <w:rPr>
          <w:rFonts w:asciiTheme="minorHAnsi" w:hAnsiTheme="minorHAnsi" w:cs="Poppins-Light"/>
          <w:sz w:val="20"/>
          <w:szCs w:val="20"/>
        </w:rPr>
        <w:t xml:space="preserve">A charge of </w:t>
      </w:r>
      <w:r w:rsidR="00E24770" w:rsidRPr="007F7783">
        <w:rPr>
          <w:rFonts w:asciiTheme="minorHAnsi" w:hAnsiTheme="minorHAnsi" w:cs="Poppins-Light"/>
          <w:sz w:val="20"/>
          <w:szCs w:val="20"/>
        </w:rPr>
        <w:t>£</w:t>
      </w:r>
      <w:r w:rsidR="00F54C10" w:rsidRPr="007F7783">
        <w:rPr>
          <w:rFonts w:asciiTheme="minorHAnsi" w:hAnsiTheme="minorHAnsi" w:cs="Poppins-Light"/>
          <w:sz w:val="20"/>
          <w:szCs w:val="20"/>
        </w:rPr>
        <w:t>1.2</w:t>
      </w:r>
      <w:r w:rsidR="00E24770" w:rsidRPr="007F7783">
        <w:rPr>
          <w:rFonts w:asciiTheme="minorHAnsi" w:hAnsiTheme="minorHAnsi" w:cs="Poppins-Light"/>
          <w:sz w:val="20"/>
          <w:szCs w:val="20"/>
        </w:rPr>
        <w:t xml:space="preserve">m </w:t>
      </w:r>
      <w:r w:rsidR="00E24770">
        <w:rPr>
          <w:rFonts w:asciiTheme="minorHAnsi" w:hAnsiTheme="minorHAnsi" w:cs="Poppins-Light"/>
          <w:sz w:val="20"/>
          <w:szCs w:val="20"/>
        </w:rPr>
        <w:t xml:space="preserve">has </w:t>
      </w:r>
      <w:r w:rsidR="00CB6398">
        <w:rPr>
          <w:rFonts w:asciiTheme="minorHAnsi" w:hAnsiTheme="minorHAnsi" w:cs="Poppins-Light"/>
          <w:sz w:val="20"/>
          <w:szCs w:val="20"/>
        </w:rPr>
        <w:t xml:space="preserve">therefore </w:t>
      </w:r>
      <w:r w:rsidR="00E24770">
        <w:rPr>
          <w:rFonts w:asciiTheme="minorHAnsi" w:hAnsiTheme="minorHAnsi" w:cs="Poppins-Light"/>
          <w:sz w:val="20"/>
          <w:szCs w:val="20"/>
        </w:rPr>
        <w:t>been recognised within discontinued operatio</w:t>
      </w:r>
      <w:r w:rsidR="00A74F12">
        <w:rPr>
          <w:rFonts w:asciiTheme="minorHAnsi" w:hAnsiTheme="minorHAnsi" w:cs="Poppins-Light"/>
          <w:sz w:val="20"/>
          <w:szCs w:val="20"/>
        </w:rPr>
        <w:t xml:space="preserve">ns. </w:t>
      </w:r>
    </w:p>
    <w:p w14:paraId="7320C3F6" w14:textId="77777777" w:rsidR="00E15528" w:rsidRDefault="00E15528" w:rsidP="009420A8">
      <w:pPr>
        <w:autoSpaceDE w:val="0"/>
        <w:autoSpaceDN w:val="0"/>
        <w:adjustRightInd w:val="0"/>
        <w:jc w:val="both"/>
        <w:rPr>
          <w:rFonts w:asciiTheme="minorHAnsi" w:hAnsiTheme="minorHAnsi" w:cs="Poppins-Light"/>
          <w:sz w:val="20"/>
          <w:szCs w:val="20"/>
        </w:rPr>
      </w:pPr>
    </w:p>
    <w:p w14:paraId="0371EB6B" w14:textId="59A89474" w:rsidR="009420A8" w:rsidRPr="00D8236B" w:rsidRDefault="00E15528" w:rsidP="009420A8">
      <w:pPr>
        <w:autoSpaceDE w:val="0"/>
        <w:autoSpaceDN w:val="0"/>
        <w:adjustRightInd w:val="0"/>
        <w:jc w:val="both"/>
        <w:rPr>
          <w:rFonts w:asciiTheme="minorHAnsi" w:hAnsiTheme="minorHAnsi" w:cs="Poppins-Light"/>
          <w:sz w:val="20"/>
          <w:szCs w:val="20"/>
        </w:rPr>
      </w:pPr>
      <w:r>
        <w:rPr>
          <w:rFonts w:asciiTheme="minorHAnsi" w:hAnsiTheme="minorHAnsi" w:cs="Poppins-Light"/>
          <w:sz w:val="20"/>
          <w:szCs w:val="20"/>
        </w:rPr>
        <w:t xml:space="preserve">In 1H24 the </w:t>
      </w:r>
      <w:r w:rsidR="009420A8" w:rsidRPr="00D8236B">
        <w:rPr>
          <w:rFonts w:asciiTheme="minorHAnsi" w:hAnsiTheme="minorHAnsi" w:cs="Poppins-Light"/>
          <w:sz w:val="20"/>
          <w:szCs w:val="20"/>
        </w:rPr>
        <w:t xml:space="preserve">Credit Cards mobile app was written off in full </w:t>
      </w:r>
      <w:r>
        <w:rPr>
          <w:rFonts w:asciiTheme="minorHAnsi" w:hAnsiTheme="minorHAnsi" w:cs="Poppins-Light"/>
          <w:sz w:val="20"/>
          <w:szCs w:val="20"/>
        </w:rPr>
        <w:t>following</w:t>
      </w:r>
      <w:r w:rsidR="009420A8" w:rsidRPr="00D8236B">
        <w:rPr>
          <w:rFonts w:asciiTheme="minorHAnsi" w:hAnsiTheme="minorHAnsi" w:cs="Poppins-Light"/>
          <w:sz w:val="20"/>
          <w:szCs w:val="20"/>
        </w:rPr>
        <w:t xml:space="preserve"> a decision to rebuild this functionality using a more efficient design and build approach leading to an overall better customer experience. The resulted in a cost of £8.5m being recognised in 1H24 results.</w:t>
      </w:r>
    </w:p>
    <w:p w14:paraId="3BBD8D42" w14:textId="77777777" w:rsidR="00E15528" w:rsidRDefault="00E15528" w:rsidP="009420A8">
      <w:pPr>
        <w:autoSpaceDE w:val="0"/>
        <w:autoSpaceDN w:val="0"/>
        <w:adjustRightInd w:val="0"/>
        <w:jc w:val="both"/>
        <w:rPr>
          <w:rFonts w:asciiTheme="minorHAnsi" w:hAnsiTheme="minorHAnsi" w:cs="Poppins-Light"/>
          <w:sz w:val="20"/>
          <w:szCs w:val="20"/>
        </w:rPr>
      </w:pPr>
    </w:p>
    <w:p w14:paraId="5DC766F7" w14:textId="1AFA2CAB" w:rsidR="009420A8" w:rsidRPr="00D8236B" w:rsidRDefault="009420A8" w:rsidP="009420A8">
      <w:pPr>
        <w:autoSpaceDE w:val="0"/>
        <w:autoSpaceDN w:val="0"/>
        <w:adjustRightInd w:val="0"/>
        <w:jc w:val="both"/>
        <w:rPr>
          <w:rFonts w:asciiTheme="minorHAnsi" w:hAnsiTheme="minorHAnsi" w:cs="Poppins-Light"/>
          <w:sz w:val="20"/>
          <w:szCs w:val="20"/>
        </w:rPr>
      </w:pPr>
      <w:r w:rsidRPr="00D8236B">
        <w:rPr>
          <w:rFonts w:asciiTheme="minorHAnsi" w:hAnsiTheme="minorHAnsi" w:cs="Poppins-Light"/>
          <w:sz w:val="20"/>
          <w:szCs w:val="20"/>
        </w:rPr>
        <w:t>In addition</w:t>
      </w:r>
      <w:r w:rsidR="00B57E5D">
        <w:rPr>
          <w:rFonts w:asciiTheme="minorHAnsi" w:hAnsiTheme="minorHAnsi" w:cs="Poppins-Light"/>
          <w:sz w:val="20"/>
          <w:szCs w:val="20"/>
        </w:rPr>
        <w:t>,</w:t>
      </w:r>
      <w:r w:rsidRPr="00D8236B">
        <w:rPr>
          <w:rFonts w:asciiTheme="minorHAnsi" w:hAnsiTheme="minorHAnsi" w:cs="Poppins-Light"/>
          <w:sz w:val="20"/>
          <w:szCs w:val="20"/>
        </w:rPr>
        <w:t xml:space="preserve"> assets expected to be replaced by the Gateway platform in 2026 </w:t>
      </w:r>
      <w:r w:rsidR="00E15528">
        <w:rPr>
          <w:rFonts w:asciiTheme="minorHAnsi" w:hAnsiTheme="minorHAnsi" w:cs="Poppins-Light"/>
          <w:sz w:val="20"/>
          <w:szCs w:val="20"/>
        </w:rPr>
        <w:t>were</w:t>
      </w:r>
      <w:r w:rsidRPr="00D8236B">
        <w:rPr>
          <w:rFonts w:asciiTheme="minorHAnsi" w:hAnsiTheme="minorHAnsi" w:cs="Poppins-Light"/>
          <w:sz w:val="20"/>
          <w:szCs w:val="20"/>
        </w:rPr>
        <w:t xml:space="preserve"> reviewed: a small number</w:t>
      </w:r>
    </w:p>
    <w:p w14:paraId="20EDA465" w14:textId="6990D16F" w:rsidR="00F41C2A" w:rsidRPr="00B5640B" w:rsidRDefault="009420A8" w:rsidP="00B5640B">
      <w:pPr>
        <w:autoSpaceDE w:val="0"/>
        <w:autoSpaceDN w:val="0"/>
        <w:adjustRightInd w:val="0"/>
        <w:jc w:val="both"/>
        <w:rPr>
          <w:rStyle w:val="bodycopynumber"/>
          <w:rFonts w:asciiTheme="minorHAnsi" w:hAnsiTheme="minorHAnsi" w:cs="Poppins-Light"/>
          <w:sz w:val="20"/>
          <w:szCs w:val="20"/>
        </w:rPr>
      </w:pPr>
      <w:r w:rsidRPr="00D8236B">
        <w:rPr>
          <w:rFonts w:asciiTheme="minorHAnsi" w:hAnsiTheme="minorHAnsi" w:cs="Poppins-Light"/>
          <w:sz w:val="20"/>
          <w:szCs w:val="20"/>
        </w:rPr>
        <w:t xml:space="preserve">of these assets </w:t>
      </w:r>
      <w:r w:rsidR="005D255F">
        <w:rPr>
          <w:rFonts w:asciiTheme="minorHAnsi" w:hAnsiTheme="minorHAnsi" w:cs="Poppins-Light"/>
          <w:sz w:val="20"/>
          <w:szCs w:val="20"/>
        </w:rPr>
        <w:t>were</w:t>
      </w:r>
      <w:r w:rsidRPr="00D8236B">
        <w:rPr>
          <w:rFonts w:asciiTheme="minorHAnsi" w:hAnsiTheme="minorHAnsi" w:cs="Poppins-Light"/>
          <w:sz w:val="20"/>
          <w:szCs w:val="20"/>
        </w:rPr>
        <w:t xml:space="preserve"> written off, and the useful economic lives of other assets were reassessed in light of their expected retirement by the Gateway platform. The impact of these in FY24 results was not material.</w:t>
      </w:r>
    </w:p>
    <w:p w14:paraId="7B6E8702" w14:textId="77777777" w:rsidR="00F41C2A" w:rsidRDefault="00F41C2A" w:rsidP="009420A8">
      <w:pPr>
        <w:autoSpaceDE w:val="0"/>
        <w:autoSpaceDN w:val="0"/>
        <w:adjustRightInd w:val="0"/>
        <w:jc w:val="both"/>
        <w:rPr>
          <w:rFonts w:asciiTheme="minorHAnsi" w:hAnsiTheme="minorHAnsi" w:cs="Poppins-Light"/>
          <w:sz w:val="20"/>
          <w:szCs w:val="20"/>
          <w:u w:val="single"/>
        </w:rPr>
      </w:pPr>
    </w:p>
    <w:p w14:paraId="7ED11716" w14:textId="376010BA" w:rsidR="009420A8" w:rsidRPr="0039646A" w:rsidRDefault="009420A8" w:rsidP="009420A8">
      <w:pPr>
        <w:autoSpaceDE w:val="0"/>
        <w:autoSpaceDN w:val="0"/>
        <w:adjustRightInd w:val="0"/>
        <w:jc w:val="both"/>
        <w:rPr>
          <w:rFonts w:asciiTheme="minorHAnsi" w:hAnsiTheme="minorHAnsi" w:cs="Poppins-Light"/>
          <w:sz w:val="20"/>
          <w:szCs w:val="20"/>
          <w:u w:val="single"/>
        </w:rPr>
      </w:pPr>
      <w:r w:rsidRPr="00CB6398">
        <w:rPr>
          <w:rFonts w:asciiTheme="minorHAnsi" w:hAnsiTheme="minorHAnsi" w:cs="Poppins-Light"/>
          <w:sz w:val="20"/>
          <w:szCs w:val="20"/>
          <w:u w:val="single"/>
        </w:rPr>
        <w:t xml:space="preserve">Provisions: Customer remediation </w:t>
      </w:r>
      <w:r w:rsidRPr="0039646A">
        <w:rPr>
          <w:rFonts w:asciiTheme="minorHAnsi" w:hAnsiTheme="minorHAnsi" w:cs="Poppins-Light"/>
          <w:sz w:val="20"/>
          <w:szCs w:val="20"/>
          <w:u w:val="single"/>
        </w:rPr>
        <w:t xml:space="preserve">complaints (note </w:t>
      </w:r>
      <w:r w:rsidR="0039646A" w:rsidRPr="0039646A">
        <w:rPr>
          <w:rFonts w:asciiTheme="minorHAnsi" w:hAnsiTheme="minorHAnsi" w:cs="Poppins-Light"/>
          <w:sz w:val="20"/>
          <w:szCs w:val="20"/>
          <w:u w:val="single"/>
        </w:rPr>
        <w:t>14</w:t>
      </w:r>
      <w:r w:rsidRPr="0039646A">
        <w:rPr>
          <w:rFonts w:asciiTheme="minorHAnsi" w:hAnsiTheme="minorHAnsi" w:cs="Poppins-Light"/>
          <w:sz w:val="20"/>
          <w:szCs w:val="20"/>
          <w:u w:val="single"/>
        </w:rPr>
        <w:t>)</w:t>
      </w:r>
    </w:p>
    <w:p w14:paraId="16000CA6" w14:textId="7E6931AF" w:rsidR="009420A8" w:rsidRDefault="003148AC" w:rsidP="009420A8">
      <w:pPr>
        <w:autoSpaceDE w:val="0"/>
        <w:autoSpaceDN w:val="0"/>
        <w:adjustRightInd w:val="0"/>
        <w:jc w:val="both"/>
        <w:rPr>
          <w:rFonts w:asciiTheme="minorHAnsi" w:hAnsiTheme="minorHAnsi" w:cs="Poppins-Light"/>
          <w:sz w:val="20"/>
          <w:szCs w:val="20"/>
        </w:rPr>
      </w:pPr>
      <w:r>
        <w:rPr>
          <w:rFonts w:asciiTheme="minorHAnsi" w:hAnsiTheme="minorHAnsi" w:cs="Poppins-Light"/>
          <w:sz w:val="20"/>
          <w:szCs w:val="20"/>
        </w:rPr>
        <w:t xml:space="preserve">Over the past two years </w:t>
      </w:r>
      <w:r w:rsidR="009420A8" w:rsidRPr="003148AC">
        <w:rPr>
          <w:rFonts w:asciiTheme="minorHAnsi" w:hAnsiTheme="minorHAnsi" w:cs="Poppins-Light"/>
          <w:sz w:val="20"/>
          <w:szCs w:val="20"/>
        </w:rPr>
        <w:t>Group</w:t>
      </w:r>
      <w:r>
        <w:rPr>
          <w:rFonts w:asciiTheme="minorHAnsi" w:hAnsiTheme="minorHAnsi" w:cs="Poppins-Light"/>
          <w:sz w:val="20"/>
          <w:szCs w:val="20"/>
        </w:rPr>
        <w:t xml:space="preserve"> has</w:t>
      </w:r>
      <w:r w:rsidR="009420A8" w:rsidRPr="003148AC">
        <w:rPr>
          <w:rFonts w:asciiTheme="minorHAnsi" w:hAnsiTheme="minorHAnsi" w:cs="Poppins-Light"/>
          <w:sz w:val="20"/>
          <w:szCs w:val="20"/>
        </w:rPr>
        <w:t xml:space="preserve"> experienced elevated</w:t>
      </w:r>
      <w:r w:rsidR="00D8236B" w:rsidRPr="003148AC">
        <w:rPr>
          <w:rFonts w:asciiTheme="minorHAnsi" w:hAnsiTheme="minorHAnsi" w:cs="Poppins-Light"/>
          <w:sz w:val="20"/>
          <w:szCs w:val="20"/>
        </w:rPr>
        <w:t xml:space="preserve"> </w:t>
      </w:r>
      <w:r w:rsidR="009420A8" w:rsidRPr="003148AC">
        <w:rPr>
          <w:rFonts w:asciiTheme="minorHAnsi" w:hAnsiTheme="minorHAnsi" w:cs="Poppins-Light"/>
          <w:sz w:val="20"/>
          <w:szCs w:val="20"/>
        </w:rPr>
        <w:t>levels of customer compensation claims from claims</w:t>
      </w:r>
      <w:r w:rsidR="00D8236B" w:rsidRPr="003148AC">
        <w:rPr>
          <w:rFonts w:asciiTheme="minorHAnsi" w:hAnsiTheme="minorHAnsi" w:cs="Poppins-Light"/>
          <w:sz w:val="20"/>
          <w:szCs w:val="20"/>
        </w:rPr>
        <w:t xml:space="preserve"> </w:t>
      </w:r>
      <w:r w:rsidR="009420A8" w:rsidRPr="003148AC">
        <w:rPr>
          <w:rFonts w:asciiTheme="minorHAnsi" w:hAnsiTheme="minorHAnsi" w:cs="Poppins-Light"/>
          <w:sz w:val="20"/>
          <w:szCs w:val="20"/>
        </w:rPr>
        <w:t xml:space="preserve">management companies. The majority of these claims </w:t>
      </w:r>
      <w:r w:rsidR="0039646A" w:rsidRPr="003148AC">
        <w:rPr>
          <w:rFonts w:asciiTheme="minorHAnsi" w:hAnsiTheme="minorHAnsi" w:cs="Poppins-Light"/>
          <w:sz w:val="20"/>
          <w:szCs w:val="20"/>
        </w:rPr>
        <w:t>were</w:t>
      </w:r>
      <w:r w:rsidR="00D8236B" w:rsidRPr="003148AC">
        <w:rPr>
          <w:rFonts w:asciiTheme="minorHAnsi" w:hAnsiTheme="minorHAnsi" w:cs="Poppins-Light"/>
          <w:sz w:val="20"/>
          <w:szCs w:val="20"/>
        </w:rPr>
        <w:t xml:space="preserve"> </w:t>
      </w:r>
      <w:r w:rsidR="009420A8" w:rsidRPr="003148AC">
        <w:rPr>
          <w:rFonts w:asciiTheme="minorHAnsi" w:hAnsiTheme="minorHAnsi" w:cs="Poppins-Light"/>
          <w:sz w:val="20"/>
          <w:szCs w:val="20"/>
        </w:rPr>
        <w:t>speculative in nature, primarily driven by unmerited CMC</w:t>
      </w:r>
      <w:r w:rsidR="00C32D9E">
        <w:rPr>
          <w:rFonts w:asciiTheme="minorHAnsi" w:hAnsiTheme="minorHAnsi" w:cs="Poppins-Light"/>
          <w:sz w:val="20"/>
          <w:szCs w:val="20"/>
        </w:rPr>
        <w:t xml:space="preserve"> </w:t>
      </w:r>
      <w:r w:rsidR="009420A8" w:rsidRPr="003148AC">
        <w:rPr>
          <w:rFonts w:asciiTheme="minorHAnsi" w:hAnsiTheme="minorHAnsi" w:cs="Poppins-Light"/>
          <w:sz w:val="20"/>
          <w:szCs w:val="20"/>
        </w:rPr>
        <w:t>activity, and related to a wide range of different matters,</w:t>
      </w:r>
      <w:r w:rsidR="00D8236B" w:rsidRPr="003148AC">
        <w:rPr>
          <w:rFonts w:asciiTheme="minorHAnsi" w:hAnsiTheme="minorHAnsi" w:cs="Poppins-Light"/>
          <w:sz w:val="20"/>
          <w:szCs w:val="20"/>
        </w:rPr>
        <w:t xml:space="preserve"> </w:t>
      </w:r>
      <w:r w:rsidR="009420A8" w:rsidRPr="003148AC">
        <w:rPr>
          <w:rFonts w:asciiTheme="minorHAnsi" w:hAnsiTheme="minorHAnsi" w:cs="Poppins-Light"/>
          <w:sz w:val="20"/>
          <w:szCs w:val="20"/>
        </w:rPr>
        <w:t>primarily in respect of the lending process but with no</w:t>
      </w:r>
      <w:r w:rsidR="00D8236B" w:rsidRPr="003148AC">
        <w:rPr>
          <w:rFonts w:asciiTheme="minorHAnsi" w:hAnsiTheme="minorHAnsi" w:cs="Poppins-Light"/>
          <w:sz w:val="20"/>
          <w:szCs w:val="20"/>
        </w:rPr>
        <w:t xml:space="preserve"> </w:t>
      </w:r>
      <w:r w:rsidR="009420A8" w:rsidRPr="003148AC">
        <w:rPr>
          <w:rFonts w:asciiTheme="minorHAnsi" w:hAnsiTheme="minorHAnsi" w:cs="Poppins-Light"/>
          <w:sz w:val="20"/>
          <w:szCs w:val="20"/>
        </w:rPr>
        <w:t>common theme or systemic issue. During 2024, the increase in costs and provision resulted</w:t>
      </w:r>
      <w:r w:rsidR="00D8236B" w:rsidRPr="003148AC">
        <w:rPr>
          <w:rFonts w:asciiTheme="minorHAnsi" w:hAnsiTheme="minorHAnsi" w:cs="Poppins-Light"/>
          <w:sz w:val="20"/>
          <w:szCs w:val="20"/>
        </w:rPr>
        <w:t xml:space="preserve"> </w:t>
      </w:r>
      <w:r w:rsidR="009420A8" w:rsidRPr="003148AC">
        <w:rPr>
          <w:rFonts w:asciiTheme="minorHAnsi" w:hAnsiTheme="minorHAnsi" w:cs="Poppins-Light"/>
          <w:sz w:val="20"/>
          <w:szCs w:val="20"/>
        </w:rPr>
        <w:t xml:space="preserve">from higher than expected FOS fees for cases not upheld </w:t>
      </w:r>
      <w:r w:rsidR="00635CA9">
        <w:rPr>
          <w:rFonts w:asciiTheme="minorHAnsi" w:hAnsiTheme="minorHAnsi" w:cs="Poppins-Light"/>
          <w:sz w:val="20"/>
          <w:szCs w:val="20"/>
        </w:rPr>
        <w:t xml:space="preserve">by </w:t>
      </w:r>
      <w:r w:rsidR="0080793C">
        <w:rPr>
          <w:rFonts w:asciiTheme="minorHAnsi" w:hAnsiTheme="minorHAnsi" w:cs="Poppins-Light"/>
          <w:sz w:val="20"/>
          <w:szCs w:val="20"/>
        </w:rPr>
        <w:t>us</w:t>
      </w:r>
      <w:r w:rsidR="009420A8" w:rsidRPr="003148AC">
        <w:rPr>
          <w:rFonts w:asciiTheme="minorHAnsi" w:hAnsiTheme="minorHAnsi" w:cs="Poppins-Light"/>
          <w:sz w:val="20"/>
          <w:szCs w:val="20"/>
        </w:rPr>
        <w:t xml:space="preserve"> which </w:t>
      </w:r>
      <w:r w:rsidR="00E13C14">
        <w:rPr>
          <w:rFonts w:asciiTheme="minorHAnsi" w:hAnsiTheme="minorHAnsi" w:cs="Poppins-Light"/>
          <w:sz w:val="20"/>
          <w:szCs w:val="20"/>
        </w:rPr>
        <w:t xml:space="preserve">were </w:t>
      </w:r>
      <w:r w:rsidR="009420A8" w:rsidRPr="003148AC">
        <w:rPr>
          <w:rFonts w:asciiTheme="minorHAnsi" w:hAnsiTheme="minorHAnsi" w:cs="Poppins-Light"/>
          <w:sz w:val="20"/>
          <w:szCs w:val="20"/>
        </w:rPr>
        <w:t>expected to subsequently be submitted to FOS</w:t>
      </w:r>
      <w:r w:rsidR="00E13C14">
        <w:rPr>
          <w:rFonts w:asciiTheme="minorHAnsi" w:hAnsiTheme="minorHAnsi" w:cs="Poppins-Light"/>
          <w:sz w:val="20"/>
          <w:szCs w:val="20"/>
        </w:rPr>
        <w:t xml:space="preserve"> </w:t>
      </w:r>
      <w:r w:rsidR="009420A8" w:rsidRPr="003148AC">
        <w:rPr>
          <w:rFonts w:asciiTheme="minorHAnsi" w:hAnsiTheme="minorHAnsi" w:cs="Poppins-Light"/>
          <w:sz w:val="20"/>
          <w:szCs w:val="20"/>
        </w:rPr>
        <w:t>for adjudication.</w:t>
      </w:r>
    </w:p>
    <w:p w14:paraId="263B9CFD" w14:textId="77777777" w:rsidR="00C32D9E" w:rsidRDefault="00C32D9E" w:rsidP="009420A8">
      <w:pPr>
        <w:autoSpaceDE w:val="0"/>
        <w:autoSpaceDN w:val="0"/>
        <w:adjustRightInd w:val="0"/>
        <w:jc w:val="both"/>
        <w:rPr>
          <w:rFonts w:asciiTheme="minorHAnsi" w:hAnsiTheme="minorHAnsi" w:cs="Poppins-Light"/>
          <w:sz w:val="20"/>
          <w:szCs w:val="20"/>
        </w:rPr>
      </w:pPr>
    </w:p>
    <w:p w14:paraId="724B06FD" w14:textId="4BDE4A0C" w:rsidR="003148AC" w:rsidRPr="007254D5" w:rsidRDefault="003148AC" w:rsidP="009420A8">
      <w:pPr>
        <w:autoSpaceDE w:val="0"/>
        <w:autoSpaceDN w:val="0"/>
        <w:adjustRightInd w:val="0"/>
        <w:jc w:val="both"/>
        <w:rPr>
          <w:rFonts w:asciiTheme="minorHAnsi" w:hAnsiTheme="minorHAnsi" w:cs="Poppins-Light"/>
          <w:sz w:val="20"/>
          <w:szCs w:val="20"/>
        </w:rPr>
      </w:pPr>
      <w:r w:rsidRPr="007254D5">
        <w:rPr>
          <w:rFonts w:asciiTheme="minorHAnsi" w:hAnsiTheme="minorHAnsi" w:cs="Poppins-Light"/>
          <w:sz w:val="20"/>
          <w:szCs w:val="20"/>
        </w:rPr>
        <w:t xml:space="preserve">Since </w:t>
      </w:r>
      <w:r w:rsidR="0080793C" w:rsidRPr="007254D5">
        <w:rPr>
          <w:rFonts w:asciiTheme="minorHAnsi" w:hAnsiTheme="minorHAnsi" w:cs="Poppins-Light"/>
          <w:sz w:val="20"/>
          <w:szCs w:val="20"/>
        </w:rPr>
        <w:t xml:space="preserve">the change in the FOS </w:t>
      </w:r>
      <w:r w:rsidR="00207EC6">
        <w:rPr>
          <w:rFonts w:asciiTheme="minorHAnsi" w:hAnsiTheme="minorHAnsi" w:cs="Poppins-Light"/>
          <w:sz w:val="20"/>
          <w:szCs w:val="20"/>
        </w:rPr>
        <w:t>fee charging struc</w:t>
      </w:r>
      <w:r w:rsidR="00AC500A">
        <w:rPr>
          <w:rFonts w:asciiTheme="minorHAnsi" w:hAnsiTheme="minorHAnsi" w:cs="Poppins-Light"/>
          <w:sz w:val="20"/>
          <w:szCs w:val="20"/>
        </w:rPr>
        <w:t>ture from</w:t>
      </w:r>
      <w:r w:rsidR="0080793C" w:rsidRPr="007254D5">
        <w:rPr>
          <w:rFonts w:asciiTheme="minorHAnsi" w:hAnsiTheme="minorHAnsi" w:cs="Poppins-Light"/>
          <w:sz w:val="20"/>
          <w:szCs w:val="20"/>
        </w:rPr>
        <w:t xml:space="preserve"> 1 A</w:t>
      </w:r>
      <w:r w:rsidR="00AB0436" w:rsidRPr="007254D5">
        <w:rPr>
          <w:rFonts w:asciiTheme="minorHAnsi" w:hAnsiTheme="minorHAnsi" w:cs="Poppins-Light"/>
          <w:sz w:val="20"/>
          <w:szCs w:val="20"/>
        </w:rPr>
        <w:t xml:space="preserve">pril 2025, the Group has seen </w:t>
      </w:r>
      <w:r w:rsidR="001F5793">
        <w:rPr>
          <w:rFonts w:asciiTheme="minorHAnsi" w:hAnsiTheme="minorHAnsi" w:cs="Poppins-Light"/>
          <w:sz w:val="20"/>
          <w:szCs w:val="20"/>
        </w:rPr>
        <w:t xml:space="preserve">negligible </w:t>
      </w:r>
      <w:r w:rsidR="00FE5ACB" w:rsidRPr="007254D5">
        <w:rPr>
          <w:rFonts w:asciiTheme="minorHAnsi" w:hAnsiTheme="minorHAnsi" w:cs="Poppins-Light"/>
          <w:sz w:val="20"/>
          <w:szCs w:val="20"/>
        </w:rPr>
        <w:t xml:space="preserve">CMC </w:t>
      </w:r>
      <w:r w:rsidR="00BE4885" w:rsidRPr="007254D5">
        <w:rPr>
          <w:rFonts w:asciiTheme="minorHAnsi" w:hAnsiTheme="minorHAnsi" w:cs="Poppins-Light"/>
          <w:sz w:val="20"/>
          <w:szCs w:val="20"/>
        </w:rPr>
        <w:t>referrals</w:t>
      </w:r>
      <w:r w:rsidR="00FE5ACB" w:rsidRPr="007254D5">
        <w:rPr>
          <w:rFonts w:asciiTheme="minorHAnsi" w:hAnsiTheme="minorHAnsi" w:cs="Poppins-Light"/>
          <w:sz w:val="20"/>
          <w:szCs w:val="20"/>
        </w:rPr>
        <w:t xml:space="preserve"> to </w:t>
      </w:r>
      <w:r w:rsidR="00F41151">
        <w:rPr>
          <w:rFonts w:asciiTheme="minorHAnsi" w:hAnsiTheme="minorHAnsi" w:cs="Poppins-Light"/>
          <w:sz w:val="20"/>
          <w:szCs w:val="20"/>
        </w:rPr>
        <w:t xml:space="preserve">the </w:t>
      </w:r>
      <w:r w:rsidR="00FE5ACB" w:rsidRPr="007254D5">
        <w:rPr>
          <w:rFonts w:asciiTheme="minorHAnsi" w:hAnsiTheme="minorHAnsi" w:cs="Poppins-Light"/>
          <w:sz w:val="20"/>
          <w:szCs w:val="20"/>
        </w:rPr>
        <w:t>FOS</w:t>
      </w:r>
      <w:r w:rsidR="001F79D0" w:rsidRPr="007254D5">
        <w:rPr>
          <w:rFonts w:asciiTheme="minorHAnsi" w:hAnsiTheme="minorHAnsi" w:cs="Poppins-Light"/>
          <w:sz w:val="20"/>
          <w:szCs w:val="20"/>
        </w:rPr>
        <w:t>. This element of the provision has therefore been r</w:t>
      </w:r>
      <w:r w:rsidR="007254D5" w:rsidRPr="007254D5">
        <w:rPr>
          <w:rFonts w:asciiTheme="minorHAnsi" w:hAnsiTheme="minorHAnsi" w:cs="Poppins-Light"/>
          <w:sz w:val="20"/>
          <w:szCs w:val="20"/>
        </w:rPr>
        <w:t xml:space="preserve">educed, </w:t>
      </w:r>
      <w:r w:rsidR="001F79D0" w:rsidRPr="007254D5">
        <w:rPr>
          <w:rFonts w:asciiTheme="minorHAnsi" w:hAnsiTheme="minorHAnsi" w:cs="Poppins-Light"/>
          <w:sz w:val="20"/>
          <w:szCs w:val="20"/>
        </w:rPr>
        <w:t>resulting in a £2.9m release in the period.</w:t>
      </w:r>
      <w:r w:rsidR="00FE5ACB" w:rsidRPr="007254D5">
        <w:rPr>
          <w:rFonts w:asciiTheme="minorHAnsi" w:hAnsiTheme="minorHAnsi" w:cs="Poppins-Light"/>
          <w:sz w:val="20"/>
          <w:szCs w:val="20"/>
        </w:rPr>
        <w:t xml:space="preserve"> </w:t>
      </w:r>
    </w:p>
    <w:p w14:paraId="60526EFC" w14:textId="71392243" w:rsidR="00AB0436" w:rsidRPr="00C32D9E" w:rsidRDefault="00094D07" w:rsidP="009420A8">
      <w:pPr>
        <w:autoSpaceDE w:val="0"/>
        <w:autoSpaceDN w:val="0"/>
        <w:adjustRightInd w:val="0"/>
        <w:jc w:val="both"/>
        <w:rPr>
          <w:rFonts w:asciiTheme="minorHAnsi" w:hAnsiTheme="minorHAnsi" w:cs="Poppins-Light"/>
          <w:sz w:val="20"/>
          <w:szCs w:val="20"/>
        </w:rPr>
      </w:pPr>
      <w:r w:rsidRPr="00094D07">
        <w:rPr>
          <w:rFonts w:asciiTheme="minorHAnsi" w:hAnsiTheme="minorHAnsi" w:cs="Poppins-Light"/>
          <w:sz w:val="20"/>
          <w:szCs w:val="20"/>
        </w:rPr>
        <w:br/>
      </w:r>
      <w:r w:rsidR="009420A8" w:rsidRPr="00C32D9E">
        <w:rPr>
          <w:rFonts w:asciiTheme="minorHAnsi" w:hAnsiTheme="minorHAnsi" w:cs="Poppins-Light"/>
          <w:sz w:val="20"/>
          <w:szCs w:val="20"/>
        </w:rPr>
        <w:t xml:space="preserve">The </w:t>
      </w:r>
      <w:r w:rsidR="00987D82">
        <w:rPr>
          <w:rFonts w:asciiTheme="minorHAnsi" w:hAnsiTheme="minorHAnsi" w:cs="Poppins-Light"/>
          <w:sz w:val="20"/>
          <w:szCs w:val="20"/>
        </w:rPr>
        <w:t>total</w:t>
      </w:r>
      <w:r w:rsidR="009420A8" w:rsidRPr="00C32D9E">
        <w:rPr>
          <w:rFonts w:asciiTheme="minorHAnsi" w:hAnsiTheme="minorHAnsi" w:cs="Poppins-Light"/>
          <w:sz w:val="20"/>
          <w:szCs w:val="20"/>
        </w:rPr>
        <w:t xml:space="preserve"> cost to the Group of customer remediation costs,</w:t>
      </w:r>
      <w:r w:rsidR="00D8236B" w:rsidRPr="00C32D9E">
        <w:rPr>
          <w:rFonts w:asciiTheme="minorHAnsi" w:hAnsiTheme="minorHAnsi" w:cs="Poppins-Light"/>
          <w:sz w:val="20"/>
          <w:szCs w:val="20"/>
        </w:rPr>
        <w:t xml:space="preserve"> </w:t>
      </w:r>
      <w:r w:rsidR="009E6A2C">
        <w:rPr>
          <w:rFonts w:asciiTheme="minorHAnsi" w:hAnsiTheme="minorHAnsi" w:cs="Poppins-Light"/>
          <w:sz w:val="20"/>
          <w:szCs w:val="20"/>
        </w:rPr>
        <w:t xml:space="preserve">including </w:t>
      </w:r>
      <w:r w:rsidR="00333DB3">
        <w:rPr>
          <w:rFonts w:asciiTheme="minorHAnsi" w:hAnsiTheme="minorHAnsi" w:cs="Poppins-Light"/>
          <w:sz w:val="20"/>
          <w:szCs w:val="20"/>
        </w:rPr>
        <w:t>resource</w:t>
      </w:r>
      <w:r w:rsidR="005D26EF">
        <w:rPr>
          <w:rFonts w:asciiTheme="minorHAnsi" w:hAnsiTheme="minorHAnsi" w:cs="Poppins-Light"/>
          <w:sz w:val="20"/>
          <w:szCs w:val="20"/>
        </w:rPr>
        <w:t xml:space="preserve">, </w:t>
      </w:r>
      <w:r w:rsidR="009420A8" w:rsidRPr="00C32D9E">
        <w:rPr>
          <w:rFonts w:asciiTheme="minorHAnsi" w:hAnsiTheme="minorHAnsi" w:cs="Poppins-Light"/>
          <w:sz w:val="20"/>
          <w:szCs w:val="20"/>
        </w:rPr>
        <w:t>which relate to a wide range of different matters, amounts</w:t>
      </w:r>
      <w:r w:rsidR="00D8236B" w:rsidRPr="00C32D9E">
        <w:rPr>
          <w:rFonts w:asciiTheme="minorHAnsi" w:hAnsiTheme="minorHAnsi" w:cs="Poppins-Light"/>
          <w:sz w:val="20"/>
          <w:szCs w:val="20"/>
        </w:rPr>
        <w:t xml:space="preserve"> </w:t>
      </w:r>
      <w:r w:rsidR="009420A8" w:rsidRPr="00C32D9E">
        <w:rPr>
          <w:rFonts w:asciiTheme="minorHAnsi" w:hAnsiTheme="minorHAnsi" w:cs="Poppins-Light"/>
          <w:sz w:val="20"/>
          <w:szCs w:val="20"/>
        </w:rPr>
        <w:t xml:space="preserve">to </w:t>
      </w:r>
      <w:r w:rsidRPr="00094D07">
        <w:rPr>
          <w:rFonts w:asciiTheme="minorHAnsi" w:hAnsiTheme="minorHAnsi" w:cs="Poppins-Light"/>
          <w:sz w:val="20"/>
          <w:szCs w:val="20"/>
        </w:rPr>
        <w:t>£</w:t>
      </w:r>
      <w:r w:rsidR="007A6998" w:rsidRPr="00094D07">
        <w:rPr>
          <w:rFonts w:asciiTheme="minorHAnsi" w:hAnsiTheme="minorHAnsi" w:cs="Poppins-Light"/>
          <w:sz w:val="20"/>
          <w:szCs w:val="20"/>
        </w:rPr>
        <w:t>16.1</w:t>
      </w:r>
      <w:r w:rsidR="00AB0436" w:rsidRPr="00094D07">
        <w:rPr>
          <w:rFonts w:asciiTheme="minorHAnsi" w:hAnsiTheme="minorHAnsi" w:cs="Poppins-Light"/>
          <w:sz w:val="20"/>
          <w:szCs w:val="20"/>
        </w:rPr>
        <w:t xml:space="preserve">m in </w:t>
      </w:r>
      <w:r w:rsidR="00AB0436" w:rsidRPr="00C32D9E">
        <w:rPr>
          <w:rFonts w:asciiTheme="minorHAnsi" w:hAnsiTheme="minorHAnsi" w:cs="Poppins-Light"/>
          <w:sz w:val="20"/>
          <w:szCs w:val="20"/>
        </w:rPr>
        <w:t>1H25 (F</w:t>
      </w:r>
      <w:r w:rsidR="00334E55">
        <w:rPr>
          <w:rFonts w:asciiTheme="minorHAnsi" w:hAnsiTheme="minorHAnsi" w:cs="Poppins-Light"/>
          <w:sz w:val="20"/>
          <w:szCs w:val="20"/>
        </w:rPr>
        <w:t>Y</w:t>
      </w:r>
      <w:r w:rsidR="00AB0436" w:rsidRPr="00C32D9E">
        <w:rPr>
          <w:rFonts w:asciiTheme="minorHAnsi" w:hAnsiTheme="minorHAnsi" w:cs="Poppins-Light"/>
          <w:sz w:val="20"/>
          <w:szCs w:val="20"/>
        </w:rPr>
        <w:t>24:</w:t>
      </w:r>
      <w:r w:rsidR="009420A8" w:rsidRPr="00C32D9E">
        <w:rPr>
          <w:rFonts w:asciiTheme="minorHAnsi" w:hAnsiTheme="minorHAnsi" w:cs="Poppins-Light"/>
          <w:sz w:val="20"/>
          <w:szCs w:val="20"/>
        </w:rPr>
        <w:t>£</w:t>
      </w:r>
      <w:r w:rsidRPr="00094D07">
        <w:rPr>
          <w:rFonts w:asciiTheme="minorHAnsi" w:hAnsiTheme="minorHAnsi" w:cs="Poppins-Light"/>
          <w:sz w:val="20"/>
          <w:szCs w:val="20"/>
        </w:rPr>
        <w:t>47.4m</w:t>
      </w:r>
      <w:r w:rsidR="00AB0436" w:rsidRPr="00C32D9E">
        <w:rPr>
          <w:rFonts w:asciiTheme="minorHAnsi" w:hAnsiTheme="minorHAnsi" w:cs="Poppins-Light"/>
          <w:sz w:val="20"/>
          <w:szCs w:val="20"/>
        </w:rPr>
        <w:t xml:space="preserve">, </w:t>
      </w:r>
      <w:r w:rsidR="00AB0436" w:rsidRPr="00AA4158">
        <w:rPr>
          <w:rFonts w:asciiTheme="minorHAnsi" w:hAnsiTheme="minorHAnsi" w:cs="Poppins-Light"/>
          <w:sz w:val="20"/>
          <w:szCs w:val="20"/>
        </w:rPr>
        <w:t>1H24 £</w:t>
      </w:r>
      <w:r w:rsidRPr="00094D07">
        <w:rPr>
          <w:rFonts w:asciiTheme="minorHAnsi" w:hAnsiTheme="minorHAnsi" w:cs="Poppins-Light"/>
          <w:sz w:val="20"/>
          <w:szCs w:val="20"/>
        </w:rPr>
        <w:t>25.0m</w:t>
      </w:r>
      <w:r w:rsidR="00BC6A6A">
        <w:rPr>
          <w:rFonts w:asciiTheme="minorHAnsi" w:hAnsiTheme="minorHAnsi" w:cs="Poppins-Light"/>
          <w:sz w:val="20"/>
          <w:szCs w:val="20"/>
        </w:rPr>
        <w:t>)</w:t>
      </w:r>
      <w:r w:rsidR="000C7719">
        <w:rPr>
          <w:rFonts w:asciiTheme="minorHAnsi" w:hAnsiTheme="minorHAnsi" w:cs="Poppins-Light"/>
          <w:sz w:val="20"/>
          <w:szCs w:val="20"/>
        </w:rPr>
        <w:t xml:space="preserve">, </w:t>
      </w:r>
      <w:r w:rsidR="000C7719" w:rsidRPr="000C7719">
        <w:rPr>
          <w:rFonts w:asciiTheme="minorHAnsi" w:hAnsiTheme="minorHAnsi" w:cs="Poppins-Light"/>
          <w:sz w:val="20"/>
          <w:szCs w:val="20"/>
        </w:rPr>
        <w:t>with FOS fees reducing £8.6m to £4.5m</w:t>
      </w:r>
      <w:r w:rsidR="00AB0436" w:rsidRPr="00C32D9E">
        <w:rPr>
          <w:rFonts w:asciiTheme="minorHAnsi" w:hAnsiTheme="minorHAnsi" w:cs="Poppins-Light"/>
          <w:sz w:val="20"/>
          <w:szCs w:val="20"/>
        </w:rPr>
        <w:t xml:space="preserve"> (F</w:t>
      </w:r>
      <w:r w:rsidR="00334E55">
        <w:rPr>
          <w:rFonts w:asciiTheme="minorHAnsi" w:hAnsiTheme="minorHAnsi" w:cs="Poppins-Light"/>
          <w:sz w:val="20"/>
          <w:szCs w:val="20"/>
        </w:rPr>
        <w:t>Y</w:t>
      </w:r>
      <w:r w:rsidR="00AB0436" w:rsidRPr="00C32D9E">
        <w:rPr>
          <w:rFonts w:asciiTheme="minorHAnsi" w:hAnsiTheme="minorHAnsi" w:cs="Poppins-Light"/>
          <w:sz w:val="20"/>
          <w:szCs w:val="20"/>
        </w:rPr>
        <w:t>24:</w:t>
      </w:r>
      <w:r w:rsidR="009420A8" w:rsidRPr="00C32D9E">
        <w:rPr>
          <w:rFonts w:asciiTheme="minorHAnsi" w:hAnsiTheme="minorHAnsi" w:cs="Poppins-Light"/>
          <w:sz w:val="20"/>
          <w:szCs w:val="20"/>
        </w:rPr>
        <w:t>£</w:t>
      </w:r>
      <w:r w:rsidRPr="00094D07">
        <w:rPr>
          <w:rFonts w:asciiTheme="minorHAnsi" w:hAnsiTheme="minorHAnsi" w:cs="Poppins-Light"/>
          <w:sz w:val="20"/>
          <w:szCs w:val="20"/>
        </w:rPr>
        <w:t>24.8m</w:t>
      </w:r>
      <w:r w:rsidR="00AB0436" w:rsidRPr="00C32D9E">
        <w:rPr>
          <w:rFonts w:asciiTheme="minorHAnsi" w:hAnsiTheme="minorHAnsi" w:cs="Poppins-Light"/>
          <w:sz w:val="20"/>
          <w:szCs w:val="20"/>
        </w:rPr>
        <w:t xml:space="preserve">, </w:t>
      </w:r>
      <w:r w:rsidR="00AB0436" w:rsidRPr="00AA4158">
        <w:rPr>
          <w:rFonts w:asciiTheme="minorHAnsi" w:hAnsiTheme="minorHAnsi" w:cs="Poppins-Light"/>
          <w:sz w:val="20"/>
          <w:szCs w:val="20"/>
        </w:rPr>
        <w:t>1H24 £</w:t>
      </w:r>
      <w:r w:rsidRPr="00094D07">
        <w:rPr>
          <w:rFonts w:asciiTheme="minorHAnsi" w:hAnsiTheme="minorHAnsi" w:cs="Poppins-Light"/>
          <w:sz w:val="20"/>
          <w:szCs w:val="20"/>
        </w:rPr>
        <w:t>13.1m).</w:t>
      </w:r>
    </w:p>
    <w:p w14:paraId="4139932B" w14:textId="77777777" w:rsidR="00094D07" w:rsidRDefault="00094D07" w:rsidP="009420A8">
      <w:pPr>
        <w:autoSpaceDE w:val="0"/>
        <w:autoSpaceDN w:val="0"/>
        <w:adjustRightInd w:val="0"/>
        <w:jc w:val="both"/>
        <w:rPr>
          <w:rFonts w:asciiTheme="minorHAnsi" w:hAnsiTheme="minorHAnsi" w:cs="Poppins-Light"/>
          <w:sz w:val="20"/>
          <w:szCs w:val="20"/>
        </w:rPr>
      </w:pPr>
    </w:p>
    <w:p w14:paraId="7DBD7EF6" w14:textId="4C7E5236" w:rsidR="0039700D" w:rsidRPr="00C32D9E" w:rsidRDefault="009420A8" w:rsidP="009420A8">
      <w:pPr>
        <w:autoSpaceDE w:val="0"/>
        <w:autoSpaceDN w:val="0"/>
        <w:adjustRightInd w:val="0"/>
        <w:jc w:val="both"/>
        <w:rPr>
          <w:rFonts w:asciiTheme="minorHAnsi" w:hAnsiTheme="minorHAnsi" w:cs="Poppins-Light"/>
          <w:sz w:val="20"/>
          <w:szCs w:val="20"/>
        </w:rPr>
      </w:pPr>
      <w:r w:rsidRPr="00C32D9E">
        <w:rPr>
          <w:rFonts w:asciiTheme="minorHAnsi" w:hAnsiTheme="minorHAnsi" w:cs="Poppins-Light"/>
          <w:sz w:val="20"/>
          <w:szCs w:val="20"/>
        </w:rPr>
        <w:t xml:space="preserve">A provision of </w:t>
      </w:r>
      <w:r w:rsidR="00AB0436" w:rsidRPr="007F7783">
        <w:rPr>
          <w:rFonts w:asciiTheme="minorHAnsi" w:hAnsiTheme="minorHAnsi" w:cs="Poppins-Light"/>
          <w:sz w:val="20"/>
          <w:szCs w:val="20"/>
        </w:rPr>
        <w:t>£</w:t>
      </w:r>
      <w:r w:rsidR="00876F49" w:rsidRPr="007F7783">
        <w:rPr>
          <w:rFonts w:asciiTheme="minorHAnsi" w:hAnsiTheme="minorHAnsi" w:cs="Poppins-Light"/>
          <w:sz w:val="20"/>
          <w:szCs w:val="20"/>
        </w:rPr>
        <w:t>2.5</w:t>
      </w:r>
      <w:r w:rsidR="00AB0436" w:rsidRPr="007F7783">
        <w:rPr>
          <w:rFonts w:asciiTheme="minorHAnsi" w:hAnsiTheme="minorHAnsi" w:cs="Poppins-Light"/>
          <w:sz w:val="20"/>
          <w:szCs w:val="20"/>
        </w:rPr>
        <w:t xml:space="preserve">m </w:t>
      </w:r>
      <w:r w:rsidR="00AB0436" w:rsidRPr="00C32D9E">
        <w:rPr>
          <w:rFonts w:asciiTheme="minorHAnsi" w:hAnsiTheme="minorHAnsi" w:cs="Poppins-Light"/>
          <w:sz w:val="20"/>
          <w:szCs w:val="20"/>
        </w:rPr>
        <w:t>(FY24:</w:t>
      </w:r>
      <w:r w:rsidRPr="00C32D9E">
        <w:rPr>
          <w:rFonts w:asciiTheme="minorHAnsi" w:hAnsiTheme="minorHAnsi" w:cs="Poppins-Light"/>
          <w:sz w:val="20"/>
          <w:szCs w:val="20"/>
        </w:rPr>
        <w:t>£7.4m</w:t>
      </w:r>
      <w:r w:rsidR="00AB0436" w:rsidRPr="00C32D9E">
        <w:rPr>
          <w:rFonts w:asciiTheme="minorHAnsi" w:hAnsiTheme="minorHAnsi" w:cs="Poppins-Light"/>
          <w:sz w:val="20"/>
          <w:szCs w:val="20"/>
        </w:rPr>
        <w:t>, 1H24 :£</w:t>
      </w:r>
      <w:r w:rsidR="009606BA">
        <w:rPr>
          <w:rFonts w:asciiTheme="minorHAnsi" w:hAnsiTheme="minorHAnsi" w:cs="Poppins-Light"/>
          <w:sz w:val="20"/>
          <w:szCs w:val="20"/>
        </w:rPr>
        <w:t>8.2</w:t>
      </w:r>
      <w:r w:rsidR="00AB0436" w:rsidRPr="00C32D9E">
        <w:rPr>
          <w:rFonts w:asciiTheme="minorHAnsi" w:hAnsiTheme="minorHAnsi" w:cs="Poppins-Light"/>
          <w:sz w:val="20"/>
          <w:szCs w:val="20"/>
        </w:rPr>
        <w:t xml:space="preserve">m) </w:t>
      </w:r>
      <w:r w:rsidRPr="00C32D9E">
        <w:rPr>
          <w:rFonts w:asciiTheme="minorHAnsi" w:hAnsiTheme="minorHAnsi" w:cs="Poppins-Light"/>
          <w:sz w:val="20"/>
          <w:szCs w:val="20"/>
        </w:rPr>
        <w:t>is held at the balance</w:t>
      </w:r>
      <w:r w:rsidR="00D8236B" w:rsidRPr="00C32D9E">
        <w:rPr>
          <w:rFonts w:asciiTheme="minorHAnsi" w:hAnsiTheme="minorHAnsi" w:cs="Poppins-Light"/>
          <w:sz w:val="20"/>
          <w:szCs w:val="20"/>
        </w:rPr>
        <w:t xml:space="preserve"> </w:t>
      </w:r>
      <w:r w:rsidRPr="00C32D9E">
        <w:rPr>
          <w:rFonts w:asciiTheme="minorHAnsi" w:hAnsiTheme="minorHAnsi" w:cs="Poppins-Light"/>
          <w:sz w:val="20"/>
          <w:szCs w:val="20"/>
        </w:rPr>
        <w:t>sheet date for: (</w:t>
      </w:r>
      <w:proofErr w:type="spellStart"/>
      <w:r w:rsidRPr="00C32D9E">
        <w:rPr>
          <w:rFonts w:asciiTheme="minorHAnsi" w:hAnsiTheme="minorHAnsi" w:cs="Poppins-Light"/>
          <w:sz w:val="20"/>
          <w:szCs w:val="20"/>
        </w:rPr>
        <w:t>i</w:t>
      </w:r>
      <w:proofErr w:type="spellEnd"/>
      <w:r w:rsidRPr="00C32D9E">
        <w:rPr>
          <w:rFonts w:asciiTheme="minorHAnsi" w:hAnsiTheme="minorHAnsi" w:cs="Poppins-Light"/>
          <w:sz w:val="20"/>
          <w:szCs w:val="20"/>
        </w:rPr>
        <w:t>) customer compensation claims received</w:t>
      </w:r>
      <w:r w:rsidR="00D8236B" w:rsidRPr="00C32D9E">
        <w:rPr>
          <w:rFonts w:asciiTheme="minorHAnsi" w:hAnsiTheme="minorHAnsi" w:cs="Poppins-Light"/>
          <w:sz w:val="20"/>
          <w:szCs w:val="20"/>
        </w:rPr>
        <w:t xml:space="preserve"> </w:t>
      </w:r>
      <w:r w:rsidRPr="00C32D9E">
        <w:rPr>
          <w:rFonts w:asciiTheme="minorHAnsi" w:hAnsiTheme="minorHAnsi" w:cs="Poppins-Light"/>
          <w:sz w:val="20"/>
          <w:szCs w:val="20"/>
        </w:rPr>
        <w:t>where compensation may be paid but which have not yet</w:t>
      </w:r>
      <w:r w:rsidR="00D8236B" w:rsidRPr="00C32D9E">
        <w:rPr>
          <w:rFonts w:asciiTheme="minorHAnsi" w:hAnsiTheme="minorHAnsi" w:cs="Poppins-Light"/>
          <w:sz w:val="20"/>
          <w:szCs w:val="20"/>
        </w:rPr>
        <w:t xml:space="preserve"> </w:t>
      </w:r>
      <w:r w:rsidRPr="00C32D9E">
        <w:rPr>
          <w:rFonts w:asciiTheme="minorHAnsi" w:hAnsiTheme="minorHAnsi" w:cs="Poppins-Light"/>
          <w:sz w:val="20"/>
          <w:szCs w:val="20"/>
        </w:rPr>
        <w:t>been assessed, upheld or compensation amounts agreed</w:t>
      </w:r>
      <w:r w:rsidR="00D8236B" w:rsidRPr="00C32D9E">
        <w:rPr>
          <w:rFonts w:asciiTheme="minorHAnsi" w:hAnsiTheme="minorHAnsi" w:cs="Poppins-Light"/>
          <w:sz w:val="20"/>
          <w:szCs w:val="20"/>
        </w:rPr>
        <w:t xml:space="preserve"> </w:t>
      </w:r>
      <w:r w:rsidRPr="007F7783">
        <w:rPr>
          <w:rFonts w:asciiTheme="minorHAnsi" w:hAnsiTheme="minorHAnsi" w:cs="Poppins-Light"/>
          <w:sz w:val="20"/>
          <w:szCs w:val="20"/>
        </w:rPr>
        <w:t>(£</w:t>
      </w:r>
      <w:r w:rsidR="00F51F13" w:rsidRPr="007F7783">
        <w:rPr>
          <w:rFonts w:asciiTheme="minorHAnsi" w:hAnsiTheme="minorHAnsi" w:cs="Poppins-Light"/>
          <w:sz w:val="20"/>
          <w:szCs w:val="20"/>
        </w:rPr>
        <w:t>2.0</w:t>
      </w:r>
      <w:r w:rsidRPr="007F7783">
        <w:rPr>
          <w:rFonts w:asciiTheme="minorHAnsi" w:hAnsiTheme="minorHAnsi" w:cs="Poppins-Light"/>
          <w:sz w:val="20"/>
          <w:szCs w:val="20"/>
        </w:rPr>
        <w:t>m</w:t>
      </w:r>
      <w:r w:rsidRPr="00C32D9E">
        <w:rPr>
          <w:rFonts w:asciiTheme="minorHAnsi" w:hAnsiTheme="minorHAnsi" w:cs="Poppins-Light"/>
          <w:sz w:val="20"/>
          <w:szCs w:val="20"/>
        </w:rPr>
        <w:t>) (</w:t>
      </w:r>
      <w:r w:rsidR="0039700D" w:rsidRPr="00C32D9E">
        <w:rPr>
          <w:rFonts w:asciiTheme="minorHAnsi" w:hAnsiTheme="minorHAnsi" w:cs="Poppins-Light"/>
          <w:sz w:val="20"/>
          <w:szCs w:val="20"/>
        </w:rPr>
        <w:t xml:space="preserve">FY24: </w:t>
      </w:r>
      <w:r w:rsidR="00FA509E" w:rsidRPr="00C32D9E">
        <w:rPr>
          <w:rFonts w:asciiTheme="minorHAnsi" w:hAnsiTheme="minorHAnsi" w:cs="Poppins-Light"/>
          <w:sz w:val="20"/>
          <w:szCs w:val="20"/>
        </w:rPr>
        <w:t>£5.1m, 1H24 £</w:t>
      </w:r>
      <w:r w:rsidR="009B7373">
        <w:rPr>
          <w:rFonts w:asciiTheme="minorHAnsi" w:hAnsiTheme="minorHAnsi" w:cs="Poppins-Light"/>
          <w:sz w:val="20"/>
          <w:szCs w:val="20"/>
        </w:rPr>
        <w:t>5.2</w:t>
      </w:r>
      <w:r w:rsidR="00FA509E" w:rsidRPr="00C32D9E">
        <w:rPr>
          <w:rFonts w:asciiTheme="minorHAnsi" w:hAnsiTheme="minorHAnsi" w:cs="Poppins-Light"/>
          <w:sz w:val="20"/>
          <w:szCs w:val="20"/>
        </w:rPr>
        <w:t xml:space="preserve">m) </w:t>
      </w:r>
      <w:r w:rsidRPr="00C32D9E">
        <w:rPr>
          <w:rFonts w:asciiTheme="minorHAnsi" w:hAnsiTheme="minorHAnsi" w:cs="Poppins-Light"/>
          <w:sz w:val="20"/>
          <w:szCs w:val="20"/>
        </w:rPr>
        <w:t>; and (ii) expected FOS fees for future</w:t>
      </w:r>
      <w:r w:rsidR="00D8236B" w:rsidRPr="00C32D9E">
        <w:rPr>
          <w:rFonts w:asciiTheme="minorHAnsi" w:hAnsiTheme="minorHAnsi" w:cs="Poppins-Light"/>
          <w:sz w:val="20"/>
          <w:szCs w:val="20"/>
        </w:rPr>
        <w:t xml:space="preserve"> </w:t>
      </w:r>
      <w:r w:rsidRPr="00C32D9E">
        <w:rPr>
          <w:rFonts w:asciiTheme="minorHAnsi" w:hAnsiTheme="minorHAnsi" w:cs="Poppins-Light"/>
          <w:sz w:val="20"/>
          <w:szCs w:val="20"/>
        </w:rPr>
        <w:t xml:space="preserve">claims which may be referred </w:t>
      </w:r>
      <w:r w:rsidR="00897E42">
        <w:rPr>
          <w:rFonts w:asciiTheme="minorHAnsi" w:hAnsiTheme="minorHAnsi" w:cs="Poppins-Light"/>
          <w:sz w:val="20"/>
          <w:szCs w:val="20"/>
        </w:rPr>
        <w:t>(</w:t>
      </w:r>
      <w:r w:rsidR="00FA509E" w:rsidRPr="007F7783">
        <w:rPr>
          <w:rFonts w:asciiTheme="minorHAnsi" w:hAnsiTheme="minorHAnsi" w:cs="Poppins-Light"/>
          <w:sz w:val="20"/>
          <w:szCs w:val="20"/>
        </w:rPr>
        <w:t>£</w:t>
      </w:r>
      <w:r w:rsidR="00F51F13" w:rsidRPr="007F7783">
        <w:rPr>
          <w:rFonts w:asciiTheme="minorHAnsi" w:hAnsiTheme="minorHAnsi" w:cs="Poppins-Light"/>
          <w:sz w:val="20"/>
          <w:szCs w:val="20"/>
        </w:rPr>
        <w:t>0.5</w:t>
      </w:r>
      <w:r w:rsidR="00FA509E" w:rsidRPr="007F7783">
        <w:rPr>
          <w:rFonts w:asciiTheme="minorHAnsi" w:hAnsiTheme="minorHAnsi" w:cs="Poppins-Light"/>
          <w:sz w:val="20"/>
          <w:szCs w:val="20"/>
        </w:rPr>
        <w:t>m</w:t>
      </w:r>
      <w:r w:rsidR="00897E42">
        <w:rPr>
          <w:rFonts w:asciiTheme="minorHAnsi" w:hAnsiTheme="minorHAnsi" w:cs="Poppins-Light"/>
          <w:sz w:val="20"/>
          <w:szCs w:val="20"/>
        </w:rPr>
        <w:t>)</w:t>
      </w:r>
      <w:r w:rsidR="00FA509E" w:rsidRPr="007F7783">
        <w:rPr>
          <w:rFonts w:asciiTheme="minorHAnsi" w:hAnsiTheme="minorHAnsi" w:cs="Poppins-Light"/>
          <w:sz w:val="20"/>
          <w:szCs w:val="20"/>
        </w:rPr>
        <w:t xml:space="preserve"> </w:t>
      </w:r>
      <w:r w:rsidRPr="00C32D9E">
        <w:rPr>
          <w:rFonts w:asciiTheme="minorHAnsi" w:hAnsiTheme="minorHAnsi" w:cs="Poppins-Light"/>
          <w:sz w:val="20"/>
          <w:szCs w:val="20"/>
        </w:rPr>
        <w:t>(</w:t>
      </w:r>
      <w:r w:rsidR="00FA509E" w:rsidRPr="00C32D9E">
        <w:rPr>
          <w:rFonts w:asciiTheme="minorHAnsi" w:hAnsiTheme="minorHAnsi" w:cs="Poppins-Light"/>
          <w:sz w:val="20"/>
          <w:szCs w:val="20"/>
        </w:rPr>
        <w:t>F</w:t>
      </w:r>
      <w:r w:rsidR="00C32D9E" w:rsidRPr="00C32D9E">
        <w:rPr>
          <w:rFonts w:asciiTheme="minorHAnsi" w:hAnsiTheme="minorHAnsi" w:cs="Poppins-Light"/>
          <w:sz w:val="20"/>
          <w:szCs w:val="20"/>
        </w:rPr>
        <w:t>Y</w:t>
      </w:r>
      <w:r w:rsidR="00FA509E" w:rsidRPr="00C32D9E">
        <w:rPr>
          <w:rFonts w:asciiTheme="minorHAnsi" w:hAnsiTheme="minorHAnsi" w:cs="Poppins-Light"/>
          <w:sz w:val="20"/>
          <w:szCs w:val="20"/>
        </w:rPr>
        <w:t>24</w:t>
      </w:r>
      <w:r w:rsidR="00C32D9E" w:rsidRPr="00C32D9E">
        <w:rPr>
          <w:rFonts w:asciiTheme="minorHAnsi" w:hAnsiTheme="minorHAnsi" w:cs="Poppins-Light"/>
          <w:sz w:val="20"/>
          <w:szCs w:val="20"/>
        </w:rPr>
        <w:t xml:space="preserve">: </w:t>
      </w:r>
      <w:r w:rsidRPr="00C32D9E">
        <w:rPr>
          <w:rFonts w:asciiTheme="minorHAnsi" w:hAnsiTheme="minorHAnsi" w:cs="Poppins-Light"/>
          <w:sz w:val="20"/>
          <w:szCs w:val="20"/>
        </w:rPr>
        <w:t>£2.3m</w:t>
      </w:r>
      <w:r w:rsidR="00C32D9E" w:rsidRPr="00C32D9E">
        <w:rPr>
          <w:rFonts w:asciiTheme="minorHAnsi" w:hAnsiTheme="minorHAnsi" w:cs="Poppins-Light"/>
          <w:sz w:val="20"/>
          <w:szCs w:val="20"/>
        </w:rPr>
        <w:t>, 1H24:</w:t>
      </w:r>
      <w:r w:rsidRPr="00C32D9E">
        <w:rPr>
          <w:rFonts w:asciiTheme="minorHAnsi" w:hAnsiTheme="minorHAnsi" w:cs="Poppins-Light"/>
          <w:sz w:val="20"/>
          <w:szCs w:val="20"/>
        </w:rPr>
        <w:t xml:space="preserve"> £</w:t>
      </w:r>
      <w:r w:rsidR="0058542F">
        <w:rPr>
          <w:rFonts w:asciiTheme="minorHAnsi" w:hAnsiTheme="minorHAnsi" w:cs="Poppins-Light"/>
          <w:sz w:val="20"/>
          <w:szCs w:val="20"/>
        </w:rPr>
        <w:t>3.0</w:t>
      </w:r>
      <w:r w:rsidRPr="00C32D9E">
        <w:rPr>
          <w:rFonts w:asciiTheme="minorHAnsi" w:hAnsiTheme="minorHAnsi" w:cs="Poppins-Light"/>
          <w:sz w:val="20"/>
          <w:szCs w:val="20"/>
        </w:rPr>
        <w:t xml:space="preserve">m). </w:t>
      </w:r>
    </w:p>
    <w:p w14:paraId="017D9096" w14:textId="77777777" w:rsidR="0039700D" w:rsidRPr="00C32D9E" w:rsidRDefault="0039700D" w:rsidP="009420A8">
      <w:pPr>
        <w:autoSpaceDE w:val="0"/>
        <w:autoSpaceDN w:val="0"/>
        <w:adjustRightInd w:val="0"/>
        <w:jc w:val="both"/>
        <w:rPr>
          <w:rFonts w:asciiTheme="minorHAnsi" w:hAnsiTheme="minorHAnsi" w:cs="Poppins-Light"/>
          <w:sz w:val="20"/>
          <w:szCs w:val="20"/>
        </w:rPr>
      </w:pPr>
    </w:p>
    <w:p w14:paraId="0CD17B26" w14:textId="69BC8D17" w:rsidR="009420A8" w:rsidRPr="00C32D9E" w:rsidRDefault="009420A8" w:rsidP="009420A8">
      <w:pPr>
        <w:autoSpaceDE w:val="0"/>
        <w:autoSpaceDN w:val="0"/>
        <w:adjustRightInd w:val="0"/>
        <w:jc w:val="both"/>
        <w:rPr>
          <w:rFonts w:asciiTheme="minorHAnsi" w:hAnsiTheme="minorHAnsi" w:cs="Poppins-Light"/>
          <w:sz w:val="20"/>
          <w:szCs w:val="20"/>
        </w:rPr>
      </w:pPr>
      <w:r w:rsidRPr="00C32D9E">
        <w:rPr>
          <w:rFonts w:asciiTheme="minorHAnsi" w:hAnsiTheme="minorHAnsi" w:cs="Poppins-Light"/>
          <w:sz w:val="20"/>
          <w:szCs w:val="20"/>
        </w:rPr>
        <w:t>The</w:t>
      </w:r>
      <w:r w:rsidR="00D8236B" w:rsidRPr="00C32D9E">
        <w:rPr>
          <w:rFonts w:asciiTheme="minorHAnsi" w:hAnsiTheme="minorHAnsi" w:cs="Poppins-Light"/>
          <w:sz w:val="20"/>
          <w:szCs w:val="20"/>
        </w:rPr>
        <w:t xml:space="preserve"> </w:t>
      </w:r>
      <w:r w:rsidRPr="00C32D9E">
        <w:rPr>
          <w:rFonts w:asciiTheme="minorHAnsi" w:hAnsiTheme="minorHAnsi" w:cs="Poppins-Light"/>
          <w:sz w:val="20"/>
          <w:szCs w:val="20"/>
        </w:rPr>
        <w:t>provision is determined based on the complaints volume</w:t>
      </w:r>
      <w:r w:rsidR="00D8236B" w:rsidRPr="00C32D9E">
        <w:rPr>
          <w:rFonts w:asciiTheme="minorHAnsi" w:hAnsiTheme="minorHAnsi" w:cs="Poppins-Light"/>
          <w:sz w:val="20"/>
          <w:szCs w:val="20"/>
        </w:rPr>
        <w:t xml:space="preserve"> </w:t>
      </w:r>
      <w:r w:rsidRPr="00C32D9E">
        <w:rPr>
          <w:rFonts w:asciiTheme="minorHAnsi" w:hAnsiTheme="minorHAnsi" w:cs="Poppins-Light"/>
          <w:sz w:val="20"/>
          <w:szCs w:val="20"/>
        </w:rPr>
        <w:t>pipeline at the period end, estimated uphold complaint</w:t>
      </w:r>
      <w:r w:rsidR="00D8236B" w:rsidRPr="00C32D9E">
        <w:rPr>
          <w:rFonts w:asciiTheme="minorHAnsi" w:hAnsiTheme="minorHAnsi" w:cs="Poppins-Light"/>
          <w:sz w:val="20"/>
          <w:szCs w:val="20"/>
        </w:rPr>
        <w:t xml:space="preserve"> </w:t>
      </w:r>
      <w:r w:rsidRPr="00C32D9E">
        <w:rPr>
          <w:rFonts w:asciiTheme="minorHAnsi" w:hAnsiTheme="minorHAnsi" w:cs="Poppins-Light"/>
          <w:sz w:val="20"/>
          <w:szCs w:val="20"/>
        </w:rPr>
        <w:t>rates, and average compensation amounts for each</w:t>
      </w:r>
      <w:r w:rsidR="00D8236B" w:rsidRPr="00C32D9E">
        <w:rPr>
          <w:rFonts w:asciiTheme="minorHAnsi" w:hAnsiTheme="minorHAnsi" w:cs="Poppins-Light"/>
          <w:sz w:val="20"/>
          <w:szCs w:val="20"/>
        </w:rPr>
        <w:t xml:space="preserve"> </w:t>
      </w:r>
      <w:r w:rsidRPr="00C32D9E">
        <w:rPr>
          <w:rFonts w:asciiTheme="minorHAnsi" w:hAnsiTheme="minorHAnsi" w:cs="Poppins-Light"/>
          <w:sz w:val="20"/>
          <w:szCs w:val="20"/>
        </w:rPr>
        <w:t>complaint type based on historical data.</w:t>
      </w:r>
    </w:p>
    <w:p w14:paraId="2DFEE88A" w14:textId="77777777" w:rsidR="00A1425C" w:rsidRDefault="00A1425C" w:rsidP="001B5A7A">
      <w:pPr>
        <w:jc w:val="both"/>
        <w:rPr>
          <w:rStyle w:val="bodycopynumber"/>
          <w:rFonts w:asciiTheme="minorHAnsi" w:hAnsiTheme="minorHAnsi" w:cs="Arial"/>
          <w:b/>
          <w:color w:val="4747FF"/>
          <w:sz w:val="22"/>
          <w:szCs w:val="22"/>
        </w:rPr>
      </w:pPr>
    </w:p>
    <w:p w14:paraId="0FF74BD1" w14:textId="1D645ADF" w:rsidR="001B5A7A" w:rsidRPr="00701439" w:rsidRDefault="001B5A7A" w:rsidP="001B5A7A">
      <w:pPr>
        <w:jc w:val="both"/>
        <w:rPr>
          <w:rStyle w:val="bodycopynumber"/>
          <w:rFonts w:asciiTheme="minorHAnsi" w:hAnsiTheme="minorHAnsi" w:cs="Arial"/>
          <w:b/>
          <w:bCs/>
          <w:color w:val="4747FF"/>
          <w:sz w:val="22"/>
          <w:szCs w:val="22"/>
        </w:rPr>
      </w:pPr>
      <w:r>
        <w:rPr>
          <w:rStyle w:val="bodycopynumber"/>
          <w:rFonts w:asciiTheme="minorHAnsi" w:hAnsiTheme="minorHAnsi" w:cs="Arial"/>
          <w:b/>
          <w:bCs/>
          <w:color w:val="4747FF"/>
          <w:sz w:val="22"/>
          <w:szCs w:val="22"/>
        </w:rPr>
        <w:t>3</w:t>
      </w:r>
      <w:r w:rsidRPr="00701439">
        <w:rPr>
          <w:rStyle w:val="bodycopynumber"/>
          <w:rFonts w:asciiTheme="minorHAnsi" w:hAnsiTheme="minorHAnsi" w:cs="Arial"/>
          <w:b/>
          <w:bCs/>
          <w:color w:val="4747FF"/>
          <w:sz w:val="22"/>
          <w:szCs w:val="22"/>
        </w:rPr>
        <w:t>.</w:t>
      </w:r>
      <w:r w:rsidRPr="00701439">
        <w:rPr>
          <w:rStyle w:val="bodycopynumber"/>
          <w:rFonts w:asciiTheme="minorHAnsi" w:hAnsiTheme="minorHAnsi" w:cs="Arial"/>
          <w:b/>
          <w:bCs/>
          <w:color w:val="4747FF"/>
          <w:sz w:val="22"/>
          <w:szCs w:val="22"/>
        </w:rPr>
        <w:tab/>
      </w:r>
      <w:r>
        <w:rPr>
          <w:rStyle w:val="bodycopynumber"/>
          <w:rFonts w:asciiTheme="minorHAnsi" w:hAnsiTheme="minorHAnsi" w:cs="Arial"/>
          <w:b/>
          <w:bCs/>
          <w:color w:val="4747FF"/>
          <w:sz w:val="22"/>
          <w:szCs w:val="22"/>
        </w:rPr>
        <w:t xml:space="preserve">Interest </w:t>
      </w:r>
      <w:r w:rsidR="00A53571">
        <w:rPr>
          <w:rStyle w:val="bodycopynumber"/>
          <w:rFonts w:asciiTheme="minorHAnsi" w:hAnsiTheme="minorHAnsi" w:cs="Arial"/>
          <w:b/>
          <w:bCs/>
          <w:color w:val="4747FF"/>
          <w:sz w:val="22"/>
          <w:szCs w:val="22"/>
        </w:rPr>
        <w:t>income</w:t>
      </w:r>
    </w:p>
    <w:p w14:paraId="24D133A0" w14:textId="77777777" w:rsidR="00CF6D83" w:rsidRDefault="00CF6D83" w:rsidP="00A1425C">
      <w:pPr>
        <w:autoSpaceDE w:val="0"/>
        <w:autoSpaceDN w:val="0"/>
        <w:adjustRightInd w:val="0"/>
        <w:jc w:val="both"/>
        <w:rPr>
          <w:rFonts w:cs="Arial"/>
          <w:b/>
          <w:color w:val="4747FF"/>
          <w:sz w:val="22"/>
          <w:szCs w:val="22"/>
        </w:rPr>
      </w:pPr>
    </w:p>
    <w:tbl>
      <w:tblPr>
        <w:tblW w:w="5000" w:type="pct"/>
        <w:tblLook w:val="0000" w:firstRow="0" w:lastRow="0" w:firstColumn="0" w:lastColumn="0" w:noHBand="0" w:noVBand="0"/>
      </w:tblPr>
      <w:tblGrid>
        <w:gridCol w:w="7061"/>
        <w:gridCol w:w="1219"/>
        <w:gridCol w:w="1443"/>
      </w:tblGrid>
      <w:tr w:rsidR="004A4D21" w:rsidRPr="008B3AA6" w14:paraId="43FA0900" w14:textId="77777777" w:rsidTr="003B7755">
        <w:tc>
          <w:tcPr>
            <w:tcW w:w="3631" w:type="pct"/>
          </w:tcPr>
          <w:p w14:paraId="37D6F547" w14:textId="77777777" w:rsidR="004A4D21" w:rsidRDefault="004A4D21">
            <w:pPr>
              <w:rPr>
                <w:rFonts w:asciiTheme="minorHAnsi" w:eastAsiaTheme="minorEastAsia" w:hAnsiTheme="minorHAnsi" w:cstheme="minorBidi"/>
                <w:sz w:val="20"/>
                <w:szCs w:val="20"/>
              </w:rPr>
            </w:pPr>
          </w:p>
        </w:tc>
        <w:tc>
          <w:tcPr>
            <w:tcW w:w="1369" w:type="pct"/>
            <w:gridSpan w:val="2"/>
          </w:tcPr>
          <w:p w14:paraId="4C8C7890" w14:textId="77777777" w:rsidR="004A4D21" w:rsidRPr="00F203CC" w:rsidRDefault="004A4D21">
            <w:pPr>
              <w:jc w:val="center"/>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Six months ended 30 June</w:t>
            </w:r>
          </w:p>
        </w:tc>
      </w:tr>
      <w:tr w:rsidR="004A4D21" w:rsidRPr="008B3AA6" w14:paraId="342CFD8F" w14:textId="77777777" w:rsidTr="003B7755">
        <w:tc>
          <w:tcPr>
            <w:tcW w:w="3631" w:type="pct"/>
          </w:tcPr>
          <w:p w14:paraId="6A3812EC" w14:textId="77777777" w:rsidR="004A4D21" w:rsidRPr="00701439" w:rsidRDefault="004A4D21">
            <w:pPr>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Interest receivable from:</w:t>
            </w:r>
          </w:p>
        </w:tc>
        <w:tc>
          <w:tcPr>
            <w:tcW w:w="627" w:type="pct"/>
            <w:shd w:val="clear" w:color="auto" w:fill="F2F2F2" w:themeFill="background1" w:themeFillShade="F2"/>
          </w:tcPr>
          <w:p w14:paraId="3CB387AC" w14:textId="77777777" w:rsidR="003C1CB3" w:rsidRDefault="004A4D21">
            <w:pPr>
              <w:jc w:val="right"/>
              <w:rPr>
                <w:rFonts w:asciiTheme="minorHAnsi" w:eastAsiaTheme="minorEastAsia" w:hAnsiTheme="minorHAnsi" w:cstheme="minorBidi"/>
                <w:b/>
                <w:sz w:val="20"/>
                <w:szCs w:val="20"/>
              </w:rPr>
            </w:pPr>
            <w:r w:rsidRPr="7ACEA165">
              <w:rPr>
                <w:rFonts w:asciiTheme="minorHAnsi" w:eastAsiaTheme="minorEastAsia" w:hAnsiTheme="minorHAnsi" w:cstheme="minorBidi"/>
                <w:b/>
                <w:sz w:val="20"/>
                <w:szCs w:val="20"/>
              </w:rPr>
              <w:t>202</w:t>
            </w:r>
            <w:r>
              <w:rPr>
                <w:rFonts w:asciiTheme="minorHAnsi" w:eastAsiaTheme="minorEastAsia" w:hAnsiTheme="minorHAnsi" w:cstheme="minorBidi"/>
                <w:b/>
                <w:sz w:val="20"/>
                <w:szCs w:val="20"/>
              </w:rPr>
              <w:t>5</w:t>
            </w:r>
          </w:p>
          <w:p w14:paraId="043AE458" w14:textId="61172AC6" w:rsidR="004A4D21" w:rsidRPr="00C77A50" w:rsidRDefault="003C1CB3">
            <w:pPr>
              <w:jc w:val="right"/>
              <w:rPr>
                <w:rFonts w:asciiTheme="minorHAnsi" w:eastAsiaTheme="minorEastAsia" w:hAnsiTheme="minorHAnsi" w:cstheme="minorBidi"/>
                <w:b/>
                <w:sz w:val="20"/>
                <w:szCs w:val="20"/>
              </w:rPr>
            </w:pPr>
            <w:r w:rsidRPr="007F7783">
              <w:rPr>
                <w:rFonts w:asciiTheme="minorHAnsi" w:hAnsiTheme="minorHAnsi" w:cs="Arial"/>
                <w:b/>
                <w:sz w:val="20"/>
                <w:szCs w:val="20"/>
              </w:rPr>
              <w:t>unaudited</w:t>
            </w:r>
            <w:r w:rsidR="004A4D21" w:rsidRPr="7ACEA165">
              <w:rPr>
                <w:rFonts w:asciiTheme="minorHAnsi" w:eastAsiaTheme="minorEastAsia" w:hAnsiTheme="minorHAnsi" w:cstheme="minorBidi"/>
                <w:b/>
                <w:sz w:val="20"/>
                <w:szCs w:val="20"/>
              </w:rPr>
              <w:t> </w:t>
            </w:r>
          </w:p>
        </w:tc>
        <w:tc>
          <w:tcPr>
            <w:tcW w:w="742" w:type="pct"/>
          </w:tcPr>
          <w:p w14:paraId="1D9C73A5" w14:textId="0C1A8EE1" w:rsidR="004A4D21" w:rsidRDefault="004A4D21">
            <w:pPr>
              <w:jc w:val="right"/>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202</w:t>
            </w:r>
            <w:r>
              <w:rPr>
                <w:rFonts w:asciiTheme="minorHAnsi" w:eastAsiaTheme="minorEastAsia" w:hAnsiTheme="minorHAnsi" w:cstheme="minorBidi"/>
                <w:sz w:val="20"/>
                <w:szCs w:val="20"/>
              </w:rPr>
              <w:t>4</w:t>
            </w:r>
            <w:r w:rsidR="000C6DDD" w:rsidRPr="000C6DDD">
              <w:rPr>
                <w:rFonts w:asciiTheme="minorHAnsi" w:eastAsiaTheme="minorEastAsia" w:hAnsiTheme="minorHAnsi" w:cstheme="minorBidi"/>
                <w:sz w:val="20"/>
                <w:szCs w:val="20"/>
                <w:vertAlign w:val="superscript"/>
              </w:rPr>
              <w:t>1</w:t>
            </w:r>
          </w:p>
          <w:p w14:paraId="6256BA11" w14:textId="03389500" w:rsidR="004A4D21" w:rsidRPr="00F203CC" w:rsidRDefault="003C1CB3">
            <w:pPr>
              <w:jc w:val="right"/>
              <w:rPr>
                <w:rFonts w:asciiTheme="minorHAnsi" w:eastAsiaTheme="minorEastAsia" w:hAnsiTheme="minorHAnsi" w:cstheme="minorBidi"/>
                <w:sz w:val="20"/>
                <w:szCs w:val="20"/>
              </w:rPr>
            </w:pPr>
            <w:r w:rsidRPr="00CA3EDF">
              <w:rPr>
                <w:rFonts w:asciiTheme="minorHAnsi" w:hAnsiTheme="minorHAnsi" w:cs="Arial"/>
                <w:bCs/>
                <w:sz w:val="20"/>
                <w:szCs w:val="20"/>
              </w:rPr>
              <w:t>unaudited</w:t>
            </w:r>
          </w:p>
        </w:tc>
      </w:tr>
      <w:tr w:rsidR="004A4D21" w:rsidRPr="008B3AA6" w14:paraId="1DD2A76C" w14:textId="77777777" w:rsidTr="003B7755">
        <w:tc>
          <w:tcPr>
            <w:tcW w:w="3631" w:type="pct"/>
          </w:tcPr>
          <w:p w14:paraId="3D08398E" w14:textId="77777777" w:rsidR="004A4D21" w:rsidRPr="008B3AA6" w:rsidRDefault="004A4D21">
            <w:pPr>
              <w:rPr>
                <w:rFonts w:asciiTheme="minorHAnsi" w:eastAsiaTheme="minorEastAsia" w:hAnsiTheme="minorHAnsi" w:cstheme="minorBidi"/>
                <w:sz w:val="20"/>
                <w:szCs w:val="20"/>
                <w:highlight w:val="green"/>
              </w:rPr>
            </w:pPr>
          </w:p>
        </w:tc>
        <w:tc>
          <w:tcPr>
            <w:tcW w:w="627" w:type="pct"/>
            <w:tcBorders>
              <w:top w:val="nil"/>
              <w:left w:val="nil"/>
              <w:bottom w:val="single" w:sz="4" w:space="0" w:color="auto"/>
              <w:right w:val="nil"/>
            </w:tcBorders>
            <w:shd w:val="clear" w:color="auto" w:fill="F2F2F2" w:themeFill="background1" w:themeFillShade="F2"/>
          </w:tcPr>
          <w:p w14:paraId="7F94D7EC" w14:textId="77777777" w:rsidR="004A4D21" w:rsidRPr="00C77A50" w:rsidRDefault="004A4D21">
            <w:pPr>
              <w:jc w:val="right"/>
              <w:rPr>
                <w:rFonts w:asciiTheme="minorHAnsi" w:eastAsiaTheme="minorEastAsia" w:hAnsiTheme="minorHAnsi" w:cstheme="minorBidi"/>
                <w:b/>
                <w:sz w:val="20"/>
                <w:szCs w:val="20"/>
              </w:rPr>
            </w:pPr>
            <w:r w:rsidRPr="7ACEA165">
              <w:rPr>
                <w:rFonts w:asciiTheme="minorHAnsi" w:eastAsiaTheme="minorEastAsia" w:hAnsiTheme="minorHAnsi" w:cstheme="minorBidi"/>
                <w:b/>
                <w:sz w:val="20"/>
                <w:szCs w:val="20"/>
              </w:rPr>
              <w:t>£m </w:t>
            </w:r>
          </w:p>
        </w:tc>
        <w:tc>
          <w:tcPr>
            <w:tcW w:w="742" w:type="pct"/>
            <w:tcBorders>
              <w:top w:val="nil"/>
              <w:left w:val="nil"/>
              <w:bottom w:val="single" w:sz="4" w:space="0" w:color="auto"/>
              <w:right w:val="nil"/>
            </w:tcBorders>
          </w:tcPr>
          <w:p w14:paraId="0C2C62B0" w14:textId="77777777" w:rsidR="004A4D21" w:rsidRPr="00F203CC" w:rsidRDefault="004A4D21">
            <w:pPr>
              <w:jc w:val="right"/>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£m </w:t>
            </w:r>
          </w:p>
        </w:tc>
      </w:tr>
      <w:tr w:rsidR="004A4D21" w:rsidRPr="008B3AA6" w14:paraId="7D163AB7" w14:textId="77777777" w:rsidTr="003B7755">
        <w:tc>
          <w:tcPr>
            <w:tcW w:w="3631" w:type="pct"/>
            <w:vAlign w:val="bottom"/>
          </w:tcPr>
          <w:p w14:paraId="356D9787" w14:textId="77777777" w:rsidR="004A4D21" w:rsidRPr="008B3AA6" w:rsidRDefault="004A4D21" w:rsidP="004A4D21">
            <w:pPr>
              <w:rPr>
                <w:rFonts w:asciiTheme="minorHAnsi" w:eastAsiaTheme="minorEastAsia" w:hAnsiTheme="minorHAnsi" w:cstheme="minorBidi"/>
                <w:b/>
                <w:sz w:val="20"/>
                <w:szCs w:val="20"/>
                <w:highlight w:val="green"/>
              </w:rPr>
            </w:pPr>
            <w:r w:rsidRPr="7ACEA165">
              <w:rPr>
                <w:rFonts w:asciiTheme="minorHAnsi" w:eastAsiaTheme="minorEastAsia" w:hAnsiTheme="minorHAnsi" w:cstheme="minorBidi"/>
                <w:sz w:val="20"/>
                <w:szCs w:val="20"/>
              </w:rPr>
              <w:t>Customer receivables</w:t>
            </w:r>
          </w:p>
        </w:tc>
        <w:tc>
          <w:tcPr>
            <w:tcW w:w="627" w:type="pct"/>
            <w:shd w:val="clear" w:color="auto" w:fill="F2F2F2" w:themeFill="background1" w:themeFillShade="F2"/>
            <w:vAlign w:val="bottom"/>
          </w:tcPr>
          <w:p w14:paraId="485ADFD9" w14:textId="6126B193" w:rsidR="004A4D21" w:rsidRPr="006D4208" w:rsidRDefault="008F0F68" w:rsidP="004A4D21">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252.9</w:t>
            </w:r>
          </w:p>
        </w:tc>
        <w:tc>
          <w:tcPr>
            <w:tcW w:w="742" w:type="pct"/>
            <w:vAlign w:val="bottom"/>
          </w:tcPr>
          <w:p w14:paraId="614A5E73" w14:textId="5D21E27A" w:rsidR="004A4D21" w:rsidRPr="00CE75AD" w:rsidRDefault="00FE341A" w:rsidP="004A4D21">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254.3</w:t>
            </w:r>
          </w:p>
        </w:tc>
      </w:tr>
      <w:tr w:rsidR="004A4D21" w:rsidRPr="008B3AA6" w14:paraId="513A480B" w14:textId="77777777" w:rsidTr="003B7755">
        <w:tc>
          <w:tcPr>
            <w:tcW w:w="3631" w:type="pct"/>
            <w:vAlign w:val="bottom"/>
          </w:tcPr>
          <w:p w14:paraId="58D76F9F" w14:textId="77777777" w:rsidR="004A4D21" w:rsidRPr="008B3AA6" w:rsidRDefault="004A4D21" w:rsidP="004A4D21">
            <w:pPr>
              <w:rPr>
                <w:rFonts w:asciiTheme="minorHAnsi" w:eastAsiaTheme="minorEastAsia" w:hAnsiTheme="minorHAnsi" w:cstheme="minorBidi"/>
                <w:sz w:val="20"/>
                <w:szCs w:val="20"/>
                <w:highlight w:val="green"/>
              </w:rPr>
            </w:pPr>
            <w:r w:rsidRPr="7ACEA165">
              <w:rPr>
                <w:rFonts w:asciiTheme="minorHAnsi" w:eastAsiaTheme="minorEastAsia" w:hAnsiTheme="minorHAnsi" w:cstheme="minorBidi"/>
                <w:sz w:val="20"/>
                <w:szCs w:val="20"/>
              </w:rPr>
              <w:t>Cash balances held on deposit and other interest</w:t>
            </w:r>
          </w:p>
        </w:tc>
        <w:tc>
          <w:tcPr>
            <w:tcW w:w="627" w:type="pct"/>
            <w:shd w:val="clear" w:color="auto" w:fill="F2F2F2" w:themeFill="background1" w:themeFillShade="F2"/>
            <w:vAlign w:val="bottom"/>
          </w:tcPr>
          <w:p w14:paraId="5BE20B64" w14:textId="30DA9F2E" w:rsidR="004A4D21" w:rsidRPr="00306312" w:rsidRDefault="00DE32B0" w:rsidP="004A4D21">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2</w:t>
            </w:r>
            <w:r w:rsidR="00CA56EC">
              <w:rPr>
                <w:rFonts w:asciiTheme="minorHAnsi" w:eastAsiaTheme="minorEastAsia" w:hAnsiTheme="minorHAnsi" w:cstheme="minorBidi"/>
                <w:b/>
                <w:sz w:val="20"/>
                <w:szCs w:val="20"/>
              </w:rPr>
              <w:t>2</w:t>
            </w:r>
            <w:r w:rsidR="006A6410">
              <w:rPr>
                <w:rFonts w:asciiTheme="minorHAnsi" w:eastAsiaTheme="minorEastAsia" w:hAnsiTheme="minorHAnsi" w:cstheme="minorBidi"/>
                <w:b/>
                <w:sz w:val="20"/>
                <w:szCs w:val="20"/>
              </w:rPr>
              <w:t>.</w:t>
            </w:r>
            <w:r w:rsidR="00F37AFB">
              <w:rPr>
                <w:rFonts w:asciiTheme="minorHAnsi" w:eastAsiaTheme="minorEastAsia" w:hAnsiTheme="minorHAnsi" w:cstheme="minorBidi"/>
                <w:b/>
                <w:sz w:val="20"/>
                <w:szCs w:val="20"/>
              </w:rPr>
              <w:t>3</w:t>
            </w:r>
          </w:p>
        </w:tc>
        <w:tc>
          <w:tcPr>
            <w:tcW w:w="742" w:type="pct"/>
            <w:vAlign w:val="bottom"/>
          </w:tcPr>
          <w:p w14:paraId="09DBD2FF" w14:textId="466935F2" w:rsidR="004A4D21" w:rsidRPr="00CE75AD" w:rsidRDefault="004A4D21" w:rsidP="004A4D21">
            <w:pPr>
              <w:jc w:val="right"/>
              <w:rPr>
                <w:rFonts w:asciiTheme="minorHAnsi" w:eastAsiaTheme="minorEastAsia" w:hAnsiTheme="minorHAnsi" w:cstheme="minorBidi"/>
                <w:bCs/>
                <w:sz w:val="20"/>
                <w:szCs w:val="20"/>
              </w:rPr>
            </w:pPr>
            <w:r w:rsidRPr="00CE75AD">
              <w:rPr>
                <w:rFonts w:asciiTheme="minorHAnsi" w:eastAsiaTheme="minorEastAsia" w:hAnsiTheme="minorHAnsi" w:cstheme="minorBidi"/>
                <w:bCs/>
                <w:color w:val="000000" w:themeColor="text1"/>
                <w:sz w:val="20"/>
                <w:szCs w:val="20"/>
              </w:rPr>
              <w:t>20.3</w:t>
            </w:r>
          </w:p>
        </w:tc>
      </w:tr>
      <w:tr w:rsidR="004A4D21" w:rsidRPr="00A36F5C" w14:paraId="09104D88" w14:textId="77777777" w:rsidTr="003B7755">
        <w:tc>
          <w:tcPr>
            <w:tcW w:w="3631" w:type="pct"/>
            <w:vAlign w:val="bottom"/>
          </w:tcPr>
          <w:p w14:paraId="43EAABCE" w14:textId="77777777" w:rsidR="004A4D21" w:rsidRPr="00A36F5C" w:rsidRDefault="004A4D21" w:rsidP="004A4D21">
            <w:pPr>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lastRenderedPageBreak/>
              <w:t>Net fair value gains on derivative financial instruments</w:t>
            </w:r>
          </w:p>
        </w:tc>
        <w:tc>
          <w:tcPr>
            <w:tcW w:w="627" w:type="pct"/>
            <w:shd w:val="clear" w:color="auto" w:fill="F2F2F2" w:themeFill="background1" w:themeFillShade="F2"/>
          </w:tcPr>
          <w:p w14:paraId="1CCDE790" w14:textId="43103575" w:rsidR="004A4D21" w:rsidRPr="00306312" w:rsidRDefault="00F37AFB" w:rsidP="004A4D21">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w:t>
            </w:r>
            <w:r w:rsidR="007B046F">
              <w:rPr>
                <w:rFonts w:asciiTheme="minorHAnsi" w:eastAsiaTheme="minorEastAsia" w:hAnsiTheme="minorHAnsi" w:cstheme="minorBidi"/>
                <w:b/>
                <w:sz w:val="20"/>
                <w:szCs w:val="20"/>
              </w:rPr>
              <w:t>0.</w:t>
            </w:r>
            <w:r w:rsidR="001F12AA">
              <w:rPr>
                <w:rFonts w:asciiTheme="minorHAnsi" w:eastAsiaTheme="minorEastAsia" w:hAnsiTheme="minorHAnsi" w:cstheme="minorBidi"/>
                <w:b/>
                <w:sz w:val="20"/>
                <w:szCs w:val="20"/>
              </w:rPr>
              <w:t>3</w:t>
            </w:r>
            <w:r>
              <w:rPr>
                <w:rFonts w:asciiTheme="minorHAnsi" w:eastAsiaTheme="minorEastAsia" w:hAnsiTheme="minorHAnsi" w:cstheme="minorBidi"/>
                <w:b/>
                <w:sz w:val="20"/>
                <w:szCs w:val="20"/>
              </w:rPr>
              <w:t>)</w:t>
            </w:r>
          </w:p>
        </w:tc>
        <w:tc>
          <w:tcPr>
            <w:tcW w:w="742" w:type="pct"/>
          </w:tcPr>
          <w:p w14:paraId="22393E1B" w14:textId="4863A8C1" w:rsidR="004A4D21" w:rsidRPr="00CE75AD" w:rsidRDefault="004A4D21" w:rsidP="004A4D21">
            <w:pPr>
              <w:jc w:val="right"/>
              <w:rPr>
                <w:rFonts w:asciiTheme="minorHAnsi" w:eastAsiaTheme="minorEastAsia" w:hAnsiTheme="minorHAnsi" w:cstheme="minorBidi"/>
                <w:bCs/>
                <w:sz w:val="20"/>
                <w:szCs w:val="20"/>
              </w:rPr>
            </w:pPr>
            <w:r w:rsidRPr="00CE75AD">
              <w:rPr>
                <w:rFonts w:asciiTheme="minorHAnsi" w:eastAsiaTheme="minorEastAsia" w:hAnsiTheme="minorHAnsi" w:cstheme="minorBidi"/>
                <w:bCs/>
                <w:color w:val="000000" w:themeColor="text1"/>
                <w:sz w:val="20"/>
                <w:szCs w:val="20"/>
              </w:rPr>
              <w:t>1.4</w:t>
            </w:r>
          </w:p>
        </w:tc>
      </w:tr>
      <w:tr w:rsidR="004A4D21" w:rsidRPr="00A36F5C" w14:paraId="1139C90A" w14:textId="77777777" w:rsidTr="003B7755">
        <w:tc>
          <w:tcPr>
            <w:tcW w:w="3631" w:type="pct"/>
            <w:vAlign w:val="bottom"/>
          </w:tcPr>
          <w:p w14:paraId="517B04F7" w14:textId="148C4A1E" w:rsidR="004A4D21" w:rsidRPr="00A36F5C" w:rsidRDefault="004A4D21" w:rsidP="004A4D21">
            <w:pPr>
              <w:rPr>
                <w:rFonts w:asciiTheme="minorHAnsi" w:eastAsiaTheme="minorEastAsia" w:hAnsiTheme="minorHAnsi" w:cstheme="minorBidi"/>
                <w:b/>
                <w:sz w:val="20"/>
                <w:szCs w:val="20"/>
              </w:rPr>
            </w:pPr>
            <w:r w:rsidRPr="7ACEA165">
              <w:rPr>
                <w:rFonts w:asciiTheme="minorHAnsi" w:eastAsiaTheme="minorEastAsia" w:hAnsiTheme="minorHAnsi" w:cstheme="minorBidi"/>
                <w:b/>
                <w:sz w:val="20"/>
                <w:szCs w:val="20"/>
              </w:rPr>
              <w:t>Total income</w:t>
            </w:r>
            <w:r w:rsidR="00491DEE">
              <w:rPr>
                <w:rFonts w:asciiTheme="minorHAnsi" w:eastAsiaTheme="minorEastAsia" w:hAnsiTheme="minorHAnsi" w:cstheme="minorBidi"/>
                <w:b/>
                <w:sz w:val="20"/>
                <w:szCs w:val="20"/>
              </w:rPr>
              <w:t xml:space="preserve"> – continuing operations</w:t>
            </w:r>
            <w:r w:rsidRPr="7ACEA165">
              <w:rPr>
                <w:rFonts w:asciiTheme="minorHAnsi" w:eastAsiaTheme="minorEastAsia" w:hAnsiTheme="minorHAnsi" w:cstheme="minorBidi"/>
                <w:b/>
                <w:sz w:val="20"/>
                <w:szCs w:val="20"/>
              </w:rPr>
              <w:t xml:space="preserve"> </w:t>
            </w:r>
          </w:p>
        </w:tc>
        <w:tc>
          <w:tcPr>
            <w:tcW w:w="627" w:type="pct"/>
            <w:tcBorders>
              <w:top w:val="single" w:sz="4" w:space="0" w:color="auto"/>
              <w:left w:val="nil"/>
              <w:bottom w:val="single" w:sz="4" w:space="0" w:color="auto"/>
              <w:right w:val="nil"/>
            </w:tcBorders>
            <w:shd w:val="clear" w:color="auto" w:fill="F2F2F2" w:themeFill="background1" w:themeFillShade="F2"/>
          </w:tcPr>
          <w:p w14:paraId="777A5829" w14:textId="47DB8CA6" w:rsidR="004A4D21" w:rsidRPr="006D4208" w:rsidRDefault="00B522F6" w:rsidP="004A4D21">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274.9</w:t>
            </w:r>
          </w:p>
        </w:tc>
        <w:tc>
          <w:tcPr>
            <w:tcW w:w="742" w:type="pct"/>
            <w:tcBorders>
              <w:top w:val="single" w:sz="4" w:space="0" w:color="auto"/>
              <w:left w:val="nil"/>
              <w:bottom w:val="single" w:sz="4" w:space="0" w:color="auto"/>
              <w:right w:val="nil"/>
            </w:tcBorders>
          </w:tcPr>
          <w:p w14:paraId="2B951455" w14:textId="77FA5C00" w:rsidR="004A4D21" w:rsidRPr="00CE75AD" w:rsidRDefault="00B522F6" w:rsidP="004A4D21">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276.0</w:t>
            </w:r>
          </w:p>
        </w:tc>
      </w:tr>
      <w:tr w:rsidR="00491DEE" w:rsidRPr="00A36F5C" w14:paraId="6A25688A" w14:textId="77777777" w:rsidTr="003B7755">
        <w:tc>
          <w:tcPr>
            <w:tcW w:w="3631" w:type="pct"/>
            <w:vAlign w:val="bottom"/>
          </w:tcPr>
          <w:p w14:paraId="0D83555A" w14:textId="16F307C1" w:rsidR="00491DEE" w:rsidRPr="00491DEE" w:rsidRDefault="00491DEE" w:rsidP="004A4D21">
            <w:pPr>
              <w:rPr>
                <w:rFonts w:asciiTheme="minorHAnsi" w:eastAsiaTheme="minorEastAsia" w:hAnsiTheme="minorHAnsi" w:cstheme="minorBidi"/>
                <w:bCs/>
                <w:sz w:val="20"/>
                <w:szCs w:val="20"/>
              </w:rPr>
            </w:pPr>
            <w:r w:rsidRPr="00491DEE">
              <w:rPr>
                <w:rFonts w:asciiTheme="minorHAnsi" w:eastAsiaTheme="minorEastAsia" w:hAnsiTheme="minorHAnsi" w:cstheme="minorBidi"/>
                <w:bCs/>
                <w:sz w:val="20"/>
                <w:szCs w:val="20"/>
              </w:rPr>
              <w:t>Discontinued operations</w:t>
            </w:r>
          </w:p>
        </w:tc>
        <w:tc>
          <w:tcPr>
            <w:tcW w:w="627" w:type="pct"/>
            <w:tcBorders>
              <w:top w:val="single" w:sz="4" w:space="0" w:color="auto"/>
              <w:left w:val="nil"/>
              <w:bottom w:val="single" w:sz="4" w:space="0" w:color="auto"/>
              <w:right w:val="nil"/>
            </w:tcBorders>
            <w:shd w:val="clear" w:color="auto" w:fill="F2F2F2" w:themeFill="background1" w:themeFillShade="F2"/>
          </w:tcPr>
          <w:p w14:paraId="026E0363" w14:textId="5A1A3789" w:rsidR="00491DEE" w:rsidRPr="006D4208" w:rsidRDefault="00523EF3" w:rsidP="004A4D21">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1.4</w:t>
            </w:r>
          </w:p>
        </w:tc>
        <w:tc>
          <w:tcPr>
            <w:tcW w:w="742" w:type="pct"/>
            <w:tcBorders>
              <w:top w:val="single" w:sz="4" w:space="0" w:color="auto"/>
              <w:left w:val="nil"/>
              <w:bottom w:val="single" w:sz="4" w:space="0" w:color="auto"/>
              <w:right w:val="nil"/>
            </w:tcBorders>
          </w:tcPr>
          <w:p w14:paraId="5184AE74" w14:textId="5AA86B9A" w:rsidR="00491DEE" w:rsidRPr="00CE75AD" w:rsidRDefault="0013498E" w:rsidP="004A4D21">
            <w:pPr>
              <w:jc w:val="right"/>
              <w:rPr>
                <w:rFonts w:asciiTheme="minorHAnsi" w:eastAsiaTheme="minorEastAsia" w:hAnsiTheme="minorHAnsi" w:cstheme="minorBidi"/>
                <w:bCs/>
                <w:sz w:val="20"/>
                <w:szCs w:val="20"/>
              </w:rPr>
            </w:pPr>
            <w:r>
              <w:rPr>
                <w:rFonts w:asciiTheme="minorHAnsi" w:eastAsiaTheme="minorEastAsia" w:hAnsiTheme="minorHAnsi" w:cstheme="minorBidi"/>
                <w:bCs/>
                <w:sz w:val="20"/>
                <w:szCs w:val="20"/>
              </w:rPr>
              <w:t>9.2</w:t>
            </w:r>
          </w:p>
        </w:tc>
      </w:tr>
      <w:tr w:rsidR="00491DEE" w:rsidRPr="00A36F5C" w14:paraId="4C360244" w14:textId="77777777" w:rsidTr="003B7755">
        <w:tc>
          <w:tcPr>
            <w:tcW w:w="3631" w:type="pct"/>
            <w:vAlign w:val="bottom"/>
          </w:tcPr>
          <w:p w14:paraId="4FFC875F" w14:textId="693BFF55" w:rsidR="00491DEE" w:rsidRPr="7ACEA165" w:rsidRDefault="00491DEE" w:rsidP="004A4D21">
            <w:pP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Total income - Group</w:t>
            </w:r>
          </w:p>
        </w:tc>
        <w:tc>
          <w:tcPr>
            <w:tcW w:w="627" w:type="pct"/>
            <w:tcBorders>
              <w:top w:val="single" w:sz="4" w:space="0" w:color="auto"/>
              <w:left w:val="nil"/>
              <w:bottom w:val="single" w:sz="12" w:space="0" w:color="auto"/>
              <w:right w:val="nil"/>
            </w:tcBorders>
            <w:shd w:val="clear" w:color="auto" w:fill="F2F2F2" w:themeFill="background1" w:themeFillShade="F2"/>
          </w:tcPr>
          <w:p w14:paraId="25E231FD" w14:textId="7ABA7528" w:rsidR="00491DEE" w:rsidRPr="006D4208" w:rsidRDefault="00F25A12" w:rsidP="004A4D21">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276.3</w:t>
            </w:r>
          </w:p>
        </w:tc>
        <w:tc>
          <w:tcPr>
            <w:tcW w:w="742" w:type="pct"/>
            <w:tcBorders>
              <w:top w:val="single" w:sz="4" w:space="0" w:color="auto"/>
              <w:left w:val="nil"/>
              <w:bottom w:val="single" w:sz="12" w:space="0" w:color="auto"/>
              <w:right w:val="nil"/>
            </w:tcBorders>
          </w:tcPr>
          <w:p w14:paraId="71A46EA7" w14:textId="20A54910" w:rsidR="00491DEE" w:rsidRPr="00CE75AD" w:rsidRDefault="00B3507B" w:rsidP="004A4D21">
            <w:pPr>
              <w:jc w:val="right"/>
              <w:rPr>
                <w:rFonts w:asciiTheme="minorHAnsi" w:eastAsiaTheme="minorEastAsia" w:hAnsiTheme="minorHAnsi" w:cstheme="minorBidi"/>
                <w:bCs/>
                <w:sz w:val="20"/>
                <w:szCs w:val="20"/>
              </w:rPr>
            </w:pPr>
            <w:r w:rsidRPr="00CE75AD">
              <w:rPr>
                <w:rFonts w:asciiTheme="minorHAnsi" w:eastAsiaTheme="minorEastAsia" w:hAnsiTheme="minorHAnsi" w:cstheme="minorBidi"/>
                <w:bCs/>
                <w:sz w:val="20"/>
                <w:szCs w:val="20"/>
              </w:rPr>
              <w:t>285.2</w:t>
            </w:r>
          </w:p>
        </w:tc>
      </w:tr>
    </w:tbl>
    <w:p w14:paraId="47FAB1A0" w14:textId="77777777" w:rsidR="0058446C" w:rsidRPr="0058446C" w:rsidRDefault="0058446C" w:rsidP="00A1425C">
      <w:pPr>
        <w:autoSpaceDE w:val="0"/>
        <w:autoSpaceDN w:val="0"/>
        <w:adjustRightInd w:val="0"/>
        <w:jc w:val="both"/>
        <w:rPr>
          <w:rFonts w:cs="Arial"/>
          <w:b/>
          <w:color w:val="4747FF"/>
          <w:sz w:val="22"/>
          <w:szCs w:val="22"/>
        </w:rPr>
      </w:pPr>
    </w:p>
    <w:p w14:paraId="050AC725" w14:textId="77777777" w:rsidR="000C6DDD" w:rsidRPr="00642155" w:rsidRDefault="000C6DDD" w:rsidP="000C6DDD">
      <w:pPr>
        <w:rPr>
          <w:rFonts w:asciiTheme="minorHAnsi" w:hAnsiTheme="minorHAnsi" w:cs="Arial"/>
          <w:bCs/>
          <w:sz w:val="20"/>
          <w:szCs w:val="20"/>
          <w:lang w:val="en-US"/>
        </w:rPr>
      </w:pPr>
      <w:r w:rsidRPr="00642155">
        <w:rPr>
          <w:rFonts w:asciiTheme="minorHAnsi" w:hAnsiTheme="minorHAnsi" w:cs="Arial"/>
          <w:bCs/>
          <w:sz w:val="20"/>
          <w:szCs w:val="20"/>
          <w:vertAlign w:val="superscript"/>
          <w:lang w:val="en-US"/>
        </w:rPr>
        <w:t>1</w:t>
      </w:r>
      <w:r>
        <w:rPr>
          <w:rFonts w:asciiTheme="minorHAnsi" w:hAnsiTheme="minorHAnsi" w:cs="Arial"/>
          <w:bCs/>
          <w:sz w:val="20"/>
          <w:szCs w:val="20"/>
          <w:lang w:val="en-US"/>
        </w:rPr>
        <w:t xml:space="preserve"> Refer to accounting policies for details of representation</w:t>
      </w:r>
    </w:p>
    <w:p w14:paraId="33C568F4" w14:textId="77777777" w:rsidR="0058446C" w:rsidRPr="00701439" w:rsidRDefault="0058446C" w:rsidP="00A1425C">
      <w:pPr>
        <w:autoSpaceDE w:val="0"/>
        <w:autoSpaceDN w:val="0"/>
        <w:adjustRightInd w:val="0"/>
        <w:jc w:val="both"/>
        <w:rPr>
          <w:rStyle w:val="bodycopynumber"/>
          <w:rFonts w:asciiTheme="minorHAnsi" w:hAnsiTheme="minorHAnsi" w:cs="Poppins-Light"/>
          <w:color w:val="000000"/>
          <w:sz w:val="20"/>
        </w:rPr>
      </w:pPr>
    </w:p>
    <w:bookmarkEnd w:id="7"/>
    <w:bookmarkEnd w:id="8"/>
    <w:p w14:paraId="66581AE3" w14:textId="6D6A21FC" w:rsidR="00A1425C" w:rsidRPr="00701439" w:rsidRDefault="00A53571" w:rsidP="00A1425C">
      <w:pPr>
        <w:rPr>
          <w:rFonts w:asciiTheme="minorHAnsi" w:hAnsiTheme="minorHAnsi" w:cs="Arial"/>
          <w:b/>
          <w:color w:val="4747FF"/>
          <w:sz w:val="22"/>
          <w:szCs w:val="22"/>
        </w:rPr>
      </w:pPr>
      <w:r>
        <w:rPr>
          <w:rFonts w:asciiTheme="minorHAnsi" w:hAnsiTheme="minorHAnsi" w:cs="Arial"/>
          <w:b/>
          <w:color w:val="4747FF"/>
          <w:sz w:val="22"/>
          <w:szCs w:val="22"/>
        </w:rPr>
        <w:t>4</w:t>
      </w:r>
      <w:r w:rsidR="00A1425C" w:rsidRPr="00701439">
        <w:rPr>
          <w:rFonts w:asciiTheme="minorHAnsi" w:hAnsiTheme="minorHAnsi" w:cs="Arial"/>
          <w:b/>
          <w:color w:val="4747FF"/>
          <w:sz w:val="22"/>
          <w:szCs w:val="22"/>
        </w:rPr>
        <w:t>.</w:t>
      </w:r>
      <w:r w:rsidR="00A1425C" w:rsidRPr="00701439">
        <w:rPr>
          <w:rFonts w:asciiTheme="minorHAnsi" w:hAnsiTheme="minorHAnsi" w:cs="Arial"/>
          <w:b/>
          <w:color w:val="4747FF"/>
          <w:sz w:val="22"/>
          <w:szCs w:val="22"/>
        </w:rPr>
        <w:tab/>
        <w:t>Segment reporting</w:t>
      </w:r>
    </w:p>
    <w:p w14:paraId="63EE396A" w14:textId="77777777" w:rsidR="000D3638" w:rsidRDefault="000D3638" w:rsidP="00A1425C">
      <w:pPr>
        <w:rPr>
          <w:rFonts w:asciiTheme="minorHAnsi" w:hAnsiTheme="minorHAnsi" w:cs="Arial"/>
          <w:b/>
          <w:color w:val="4747FF"/>
          <w:sz w:val="22"/>
          <w:szCs w:val="22"/>
        </w:rPr>
      </w:pPr>
    </w:p>
    <w:p w14:paraId="50553771" w14:textId="40A62DDB" w:rsidR="000D3638" w:rsidRDefault="000D3638" w:rsidP="000D3638">
      <w:pPr>
        <w:autoSpaceDE w:val="0"/>
        <w:autoSpaceDN w:val="0"/>
        <w:adjustRightInd w:val="0"/>
        <w:jc w:val="both"/>
        <w:rPr>
          <w:rFonts w:asciiTheme="minorHAnsi" w:hAnsiTheme="minorHAnsi" w:cs="Poppins-Light"/>
          <w:color w:val="0D0D0D" w:themeColor="text1" w:themeTint="F2"/>
          <w:sz w:val="20"/>
          <w:szCs w:val="20"/>
        </w:rPr>
      </w:pPr>
      <w:r w:rsidRPr="00122ABA">
        <w:rPr>
          <w:rFonts w:asciiTheme="minorHAnsi" w:hAnsiTheme="minorHAnsi" w:cs="Poppins-Light"/>
          <w:color w:val="0D0D0D" w:themeColor="text1" w:themeTint="F2"/>
          <w:sz w:val="20"/>
          <w:szCs w:val="20"/>
        </w:rPr>
        <w:t xml:space="preserve">During 1H25 the Group reviewed and reallocated interest income, interest expense and costs to different product segments as reported under IFRS 8. As a result, all previous periods have been represented onto a consistent basis. </w:t>
      </w:r>
      <w:r w:rsidRPr="00BE16ED">
        <w:rPr>
          <w:rFonts w:asciiTheme="minorHAnsi" w:hAnsiTheme="minorHAnsi" w:cs="Poppins-Light"/>
          <w:sz w:val="20"/>
          <w:szCs w:val="20"/>
        </w:rPr>
        <w:t xml:space="preserve">These changes do not constitute a change in accounting policy and there is no impact on recognition, measurement or profit and loss in any </w:t>
      </w:r>
      <w:r>
        <w:rPr>
          <w:rFonts w:asciiTheme="minorHAnsi" w:hAnsiTheme="minorHAnsi" w:cs="Poppins-Light"/>
          <w:sz w:val="20"/>
          <w:szCs w:val="20"/>
        </w:rPr>
        <w:t>period</w:t>
      </w:r>
      <w:r w:rsidRPr="00BE16ED">
        <w:rPr>
          <w:rFonts w:asciiTheme="minorHAnsi" w:hAnsiTheme="minorHAnsi" w:cs="Poppins-Light"/>
          <w:sz w:val="20"/>
          <w:szCs w:val="20"/>
        </w:rPr>
        <w:t xml:space="preserve"> presented in this re</w:t>
      </w:r>
      <w:r w:rsidRPr="004E0D33">
        <w:rPr>
          <w:rFonts w:asciiTheme="minorHAnsi" w:hAnsiTheme="minorHAnsi" w:cs="Poppins-Light"/>
          <w:color w:val="0D0D0D" w:themeColor="text1" w:themeTint="F2"/>
          <w:sz w:val="20"/>
          <w:szCs w:val="20"/>
        </w:rPr>
        <w:t>port.</w:t>
      </w:r>
      <w:r w:rsidR="00320AD5" w:rsidRPr="00320AD5">
        <w:t xml:space="preserve"> </w:t>
      </w:r>
      <w:r w:rsidR="00320AD5" w:rsidRPr="00320AD5">
        <w:rPr>
          <w:rFonts w:asciiTheme="minorHAnsi" w:hAnsiTheme="minorHAnsi" w:cs="Poppins-Light"/>
          <w:color w:val="0D0D0D" w:themeColor="text1" w:themeTint="F2"/>
          <w:sz w:val="20"/>
          <w:szCs w:val="20"/>
        </w:rPr>
        <w:t>This re-presentation is a further step in Vanquis’ on-going commitment to enhance disclosures and to provide a more transparent reporting of the Group’s continuing operations by product.</w:t>
      </w:r>
    </w:p>
    <w:p w14:paraId="20538628" w14:textId="77777777" w:rsidR="00EB0BCE" w:rsidRDefault="00EB0BCE" w:rsidP="000D3638">
      <w:pPr>
        <w:autoSpaceDE w:val="0"/>
        <w:autoSpaceDN w:val="0"/>
        <w:adjustRightInd w:val="0"/>
        <w:jc w:val="both"/>
        <w:rPr>
          <w:rFonts w:asciiTheme="minorHAnsi" w:hAnsiTheme="minorHAnsi" w:cs="Poppins-Light"/>
          <w:color w:val="0D0D0D" w:themeColor="text1" w:themeTint="F2"/>
          <w:sz w:val="20"/>
          <w:szCs w:val="20"/>
        </w:rPr>
      </w:pPr>
    </w:p>
    <w:p w14:paraId="0C531E13" w14:textId="4F6CFA6B" w:rsidR="00CE7C98" w:rsidRPr="00B5640B" w:rsidRDefault="00EB0BCE" w:rsidP="00B5640B">
      <w:pPr>
        <w:autoSpaceDE w:val="0"/>
        <w:autoSpaceDN w:val="0"/>
        <w:adjustRightInd w:val="0"/>
        <w:jc w:val="both"/>
        <w:rPr>
          <w:rFonts w:asciiTheme="minorHAnsi" w:hAnsiTheme="minorHAnsi" w:cs="Poppins-Light"/>
          <w:color w:val="0D0D0D" w:themeColor="text1" w:themeTint="F2"/>
          <w:sz w:val="20"/>
          <w:szCs w:val="20"/>
        </w:rPr>
      </w:pPr>
      <w:r w:rsidRPr="00EB0BCE">
        <w:rPr>
          <w:rFonts w:asciiTheme="minorHAnsi" w:hAnsiTheme="minorHAnsi" w:cs="Poppins-Light"/>
          <w:color w:val="0D0D0D" w:themeColor="text1" w:themeTint="F2"/>
          <w:sz w:val="20"/>
          <w:szCs w:val="20"/>
        </w:rPr>
        <w:t>Following the sale of the Personal Loans business, the Group now comprises four segments: the three core lending products - Credit Cards, Vehicle Finance, and Second Charge Mortgages - and the Corporate Centre. The Corporate Centre includes the residual performance of the Retail Savings business, Treasury results after product allocations, Snoop, and other immaterial or central items</w:t>
      </w:r>
      <w:r w:rsidR="00881AE7">
        <w:rPr>
          <w:rFonts w:asciiTheme="minorHAnsi" w:hAnsiTheme="minorHAnsi" w:cs="Poppins-Light"/>
          <w:color w:val="0D0D0D" w:themeColor="text1" w:themeTint="F2"/>
          <w:sz w:val="20"/>
          <w:szCs w:val="20"/>
        </w:rPr>
        <w:t>.</w:t>
      </w:r>
    </w:p>
    <w:p w14:paraId="75C11BC4" w14:textId="77777777" w:rsidR="00CE7C98" w:rsidRDefault="00CE7C98" w:rsidP="00CA67EF">
      <w:pPr>
        <w:autoSpaceDE w:val="0"/>
        <w:autoSpaceDN w:val="0"/>
        <w:adjustRightInd w:val="0"/>
        <w:jc w:val="both"/>
        <w:rPr>
          <w:rFonts w:asciiTheme="minorHAnsi" w:hAnsiTheme="minorHAnsi" w:cs="Poppins-Light"/>
          <w:color w:val="0D0D0D" w:themeColor="text1" w:themeTint="F2"/>
          <w:sz w:val="20"/>
          <w:szCs w:val="20"/>
        </w:rPr>
      </w:pPr>
    </w:p>
    <w:p w14:paraId="6C8BC219" w14:textId="4190BC8D" w:rsidR="00CA67EF" w:rsidRPr="00CA67EF" w:rsidRDefault="00CA67EF" w:rsidP="00CA67EF">
      <w:pPr>
        <w:autoSpaceDE w:val="0"/>
        <w:autoSpaceDN w:val="0"/>
        <w:adjustRightInd w:val="0"/>
        <w:jc w:val="both"/>
        <w:rPr>
          <w:rFonts w:asciiTheme="minorHAnsi" w:hAnsiTheme="minorHAnsi" w:cs="Poppins-Light"/>
          <w:color w:val="0D0D0D" w:themeColor="text1" w:themeTint="F2"/>
          <w:sz w:val="20"/>
          <w:szCs w:val="20"/>
        </w:rPr>
      </w:pPr>
      <w:r w:rsidRPr="00CA67EF">
        <w:rPr>
          <w:rFonts w:asciiTheme="minorHAnsi" w:hAnsiTheme="minorHAnsi" w:cs="Poppins-Light"/>
          <w:color w:val="0D0D0D" w:themeColor="text1" w:themeTint="F2"/>
          <w:sz w:val="20"/>
          <w:szCs w:val="20"/>
        </w:rPr>
        <w:t>To more accurately reflect the interest income and funding costs of each lending product, the Group has reallocated</w:t>
      </w:r>
      <w:r w:rsidR="00185537">
        <w:rPr>
          <w:rFonts w:asciiTheme="minorHAnsi" w:hAnsiTheme="minorHAnsi" w:cs="Poppins-Light"/>
          <w:color w:val="0D0D0D" w:themeColor="text1" w:themeTint="F2"/>
          <w:sz w:val="20"/>
          <w:szCs w:val="20"/>
        </w:rPr>
        <w:t>:</w:t>
      </w:r>
    </w:p>
    <w:p w14:paraId="48A23C48" w14:textId="77777777" w:rsidR="00CA67EF" w:rsidRPr="00CA67EF" w:rsidRDefault="00CA67EF" w:rsidP="00CA67EF">
      <w:pPr>
        <w:autoSpaceDE w:val="0"/>
        <w:autoSpaceDN w:val="0"/>
        <w:adjustRightInd w:val="0"/>
        <w:jc w:val="both"/>
        <w:rPr>
          <w:rFonts w:asciiTheme="minorHAnsi" w:hAnsiTheme="minorHAnsi" w:cs="Poppins-Light"/>
          <w:color w:val="0D0D0D" w:themeColor="text1" w:themeTint="F2"/>
          <w:sz w:val="20"/>
          <w:szCs w:val="20"/>
        </w:rPr>
      </w:pPr>
    </w:p>
    <w:p w14:paraId="04C73977" w14:textId="3714BAA9" w:rsidR="00CA67EF" w:rsidRPr="00CA67EF" w:rsidRDefault="00CA67EF" w:rsidP="00BE3BAD">
      <w:pPr>
        <w:pStyle w:val="ListParagraph"/>
        <w:numPr>
          <w:ilvl w:val="0"/>
          <w:numId w:val="48"/>
        </w:numPr>
        <w:autoSpaceDE w:val="0"/>
        <w:autoSpaceDN w:val="0"/>
        <w:adjustRightInd w:val="0"/>
        <w:jc w:val="both"/>
        <w:rPr>
          <w:rFonts w:asciiTheme="minorHAnsi" w:hAnsiTheme="minorHAnsi" w:cs="Poppins-Light"/>
          <w:color w:val="0D0D0D" w:themeColor="text1" w:themeTint="F2"/>
          <w:sz w:val="20"/>
          <w:szCs w:val="20"/>
        </w:rPr>
      </w:pPr>
      <w:r w:rsidRPr="00CA67EF">
        <w:rPr>
          <w:rFonts w:asciiTheme="minorHAnsi" w:hAnsiTheme="minorHAnsi" w:cs="Poppins-Light"/>
          <w:color w:val="0D0D0D" w:themeColor="text1" w:themeTint="F2"/>
          <w:sz w:val="20"/>
          <w:szCs w:val="20"/>
        </w:rPr>
        <w:t>Interest income from non-product Treasury items has been moved from Credit Cards to the Corporate Centre</w:t>
      </w:r>
      <w:r w:rsidR="00DA356F">
        <w:rPr>
          <w:rFonts w:asciiTheme="minorHAnsi" w:hAnsiTheme="minorHAnsi" w:cs="Poppins-Light"/>
          <w:color w:val="0D0D0D" w:themeColor="text1" w:themeTint="F2"/>
          <w:sz w:val="20"/>
          <w:szCs w:val="20"/>
        </w:rPr>
        <w:t>.</w:t>
      </w:r>
    </w:p>
    <w:p w14:paraId="487A84E6" w14:textId="5184189D" w:rsidR="00CA67EF" w:rsidRDefault="00CA67EF" w:rsidP="00BE3BAD">
      <w:pPr>
        <w:pStyle w:val="ListParagraph"/>
        <w:numPr>
          <w:ilvl w:val="0"/>
          <w:numId w:val="48"/>
        </w:numPr>
        <w:autoSpaceDE w:val="0"/>
        <w:autoSpaceDN w:val="0"/>
        <w:adjustRightInd w:val="0"/>
        <w:jc w:val="both"/>
        <w:rPr>
          <w:rFonts w:asciiTheme="minorHAnsi" w:hAnsiTheme="minorHAnsi" w:cs="Poppins-Light"/>
          <w:color w:val="0D0D0D" w:themeColor="text1" w:themeTint="F2"/>
          <w:sz w:val="20"/>
          <w:szCs w:val="20"/>
        </w:rPr>
      </w:pPr>
      <w:r w:rsidRPr="00CA67EF">
        <w:rPr>
          <w:rFonts w:asciiTheme="minorHAnsi" w:hAnsiTheme="minorHAnsi" w:cs="Poppins-Light"/>
          <w:color w:val="0D0D0D" w:themeColor="text1" w:themeTint="F2"/>
          <w:sz w:val="20"/>
          <w:szCs w:val="20"/>
        </w:rPr>
        <w:t>Interest expense reallocation to better represent the cost of funding across products</w:t>
      </w:r>
      <w:r w:rsidR="005F71DE" w:rsidRPr="007865D0">
        <w:rPr>
          <w:rFonts w:asciiTheme="minorHAnsi" w:hAnsiTheme="minorHAnsi" w:cs="Poppins-Light"/>
          <w:color w:val="0D0D0D" w:themeColor="text1" w:themeTint="F2"/>
          <w:sz w:val="20"/>
          <w:szCs w:val="20"/>
        </w:rPr>
        <w:t xml:space="preserve"> using </w:t>
      </w:r>
      <w:r w:rsidR="00A91510" w:rsidRPr="007865D0">
        <w:rPr>
          <w:rFonts w:asciiTheme="minorHAnsi" w:hAnsiTheme="minorHAnsi" w:cs="Poppins-Light"/>
          <w:color w:val="0D0D0D" w:themeColor="text1" w:themeTint="F2"/>
          <w:sz w:val="20"/>
          <w:szCs w:val="20"/>
        </w:rPr>
        <w:t xml:space="preserve">funds transfer pricing, allowing for </w:t>
      </w:r>
      <w:r w:rsidR="000911A9" w:rsidRPr="007865D0">
        <w:rPr>
          <w:rFonts w:asciiTheme="minorHAnsi" w:hAnsiTheme="minorHAnsi" w:cs="Poppins-Light"/>
          <w:color w:val="0D0D0D" w:themeColor="text1" w:themeTint="F2"/>
          <w:sz w:val="20"/>
          <w:szCs w:val="20"/>
        </w:rPr>
        <w:t>duration matching of assets and natural hedging across exposures</w:t>
      </w:r>
      <w:r w:rsidR="008A6AAB" w:rsidRPr="007865D0">
        <w:rPr>
          <w:rFonts w:asciiTheme="minorHAnsi" w:hAnsiTheme="minorHAnsi" w:cs="Poppins-Light"/>
          <w:color w:val="0D0D0D" w:themeColor="text1" w:themeTint="F2"/>
          <w:sz w:val="20"/>
          <w:szCs w:val="20"/>
        </w:rPr>
        <w:t>. Interest expense related to Tier 2 capital, previously reported entirely in Corporate Centre, has been partially reallocated to individual products</w:t>
      </w:r>
      <w:r w:rsidR="007865D0">
        <w:rPr>
          <w:rFonts w:asciiTheme="minorHAnsi" w:hAnsiTheme="minorHAnsi" w:cs="Poppins-Light"/>
          <w:color w:val="0D0D0D" w:themeColor="text1" w:themeTint="F2"/>
          <w:sz w:val="20"/>
          <w:szCs w:val="20"/>
        </w:rPr>
        <w:t xml:space="preserve"> and t</w:t>
      </w:r>
      <w:r w:rsidR="008A6AAB" w:rsidRPr="007865D0">
        <w:rPr>
          <w:rFonts w:asciiTheme="minorHAnsi" w:hAnsiTheme="minorHAnsi" w:cs="Poppins-Light"/>
          <w:color w:val="0D0D0D" w:themeColor="text1" w:themeTint="F2"/>
          <w:sz w:val="20"/>
          <w:szCs w:val="20"/>
        </w:rPr>
        <w:t>he cost of the Vehicle Finance securitisation, previously allocated solely to Vehicle Finance, has been spread across all products, reflecting shared benefit from the funding structure</w:t>
      </w:r>
      <w:r w:rsidR="00DA356F">
        <w:rPr>
          <w:rFonts w:asciiTheme="minorHAnsi" w:hAnsiTheme="minorHAnsi" w:cs="Poppins-Light"/>
          <w:color w:val="0D0D0D" w:themeColor="text1" w:themeTint="F2"/>
          <w:sz w:val="20"/>
          <w:szCs w:val="20"/>
        </w:rPr>
        <w:t>.</w:t>
      </w:r>
    </w:p>
    <w:p w14:paraId="2D347B66" w14:textId="3EF2C454" w:rsidR="00CA67EF" w:rsidRDefault="00CA67EF" w:rsidP="00BE3BAD">
      <w:pPr>
        <w:pStyle w:val="ListParagraph"/>
        <w:numPr>
          <w:ilvl w:val="0"/>
          <w:numId w:val="48"/>
        </w:numPr>
        <w:autoSpaceDE w:val="0"/>
        <w:autoSpaceDN w:val="0"/>
        <w:adjustRightInd w:val="0"/>
        <w:jc w:val="both"/>
        <w:rPr>
          <w:rFonts w:asciiTheme="minorHAnsi" w:hAnsiTheme="minorHAnsi" w:cs="Poppins-Light"/>
          <w:color w:val="0D0D0D" w:themeColor="text1" w:themeTint="F2"/>
          <w:sz w:val="20"/>
          <w:szCs w:val="20"/>
        </w:rPr>
      </w:pPr>
      <w:r>
        <w:rPr>
          <w:rFonts w:asciiTheme="minorHAnsi" w:hAnsiTheme="minorHAnsi" w:cs="Poppins-Light"/>
          <w:color w:val="0D0D0D" w:themeColor="text1" w:themeTint="F2"/>
          <w:sz w:val="20"/>
          <w:szCs w:val="20"/>
        </w:rPr>
        <w:t>O</w:t>
      </w:r>
      <w:r w:rsidRPr="00CA67EF">
        <w:rPr>
          <w:rFonts w:asciiTheme="minorHAnsi" w:hAnsiTheme="minorHAnsi" w:cs="Poppins-Light"/>
          <w:color w:val="0D0D0D" w:themeColor="text1" w:themeTint="F2"/>
          <w:sz w:val="20"/>
          <w:szCs w:val="20"/>
        </w:rPr>
        <w:t xml:space="preserve">perating costs that were not directly attributable </w:t>
      </w:r>
      <w:r>
        <w:rPr>
          <w:rFonts w:asciiTheme="minorHAnsi" w:hAnsiTheme="minorHAnsi" w:cs="Poppins-Light"/>
          <w:color w:val="0D0D0D" w:themeColor="text1" w:themeTint="F2"/>
          <w:sz w:val="20"/>
          <w:szCs w:val="20"/>
        </w:rPr>
        <w:t xml:space="preserve">to a product </w:t>
      </w:r>
      <w:r w:rsidRPr="00CA67EF">
        <w:rPr>
          <w:rFonts w:asciiTheme="minorHAnsi" w:hAnsiTheme="minorHAnsi" w:cs="Poppins-Light"/>
          <w:color w:val="0D0D0D" w:themeColor="text1" w:themeTint="F2"/>
          <w:sz w:val="20"/>
          <w:szCs w:val="20"/>
        </w:rPr>
        <w:t>and previously held in the Corporate Centre have been reallocated</w:t>
      </w:r>
      <w:r w:rsidR="00A77D99">
        <w:rPr>
          <w:rFonts w:asciiTheme="minorHAnsi" w:hAnsiTheme="minorHAnsi" w:cs="Poppins-Light"/>
          <w:color w:val="0D0D0D" w:themeColor="text1" w:themeTint="F2"/>
          <w:sz w:val="20"/>
          <w:szCs w:val="20"/>
        </w:rPr>
        <w:t>,</w:t>
      </w:r>
      <w:r w:rsidR="009A43E4">
        <w:rPr>
          <w:rFonts w:asciiTheme="minorHAnsi" w:hAnsiTheme="minorHAnsi" w:cs="Poppins-Light"/>
          <w:color w:val="0D0D0D" w:themeColor="text1" w:themeTint="F2"/>
          <w:sz w:val="20"/>
          <w:szCs w:val="20"/>
        </w:rPr>
        <w:t xml:space="preserve"> based on either business size </w:t>
      </w:r>
      <w:r w:rsidR="00A77D99" w:rsidRPr="00A77D99">
        <w:rPr>
          <w:rFonts w:asciiTheme="minorHAnsi" w:hAnsiTheme="minorHAnsi" w:cs="Poppins-Light"/>
          <w:color w:val="0D0D0D" w:themeColor="text1" w:themeTint="F2"/>
          <w:sz w:val="20"/>
          <w:szCs w:val="20"/>
        </w:rPr>
        <w:t xml:space="preserve">using a blended average of Credit risk-weighted assets (RWAs), to reflect capital consumption </w:t>
      </w:r>
      <w:r w:rsidR="00A77D99">
        <w:rPr>
          <w:rFonts w:asciiTheme="minorHAnsi" w:hAnsiTheme="minorHAnsi" w:cs="Poppins-Light"/>
          <w:color w:val="0D0D0D" w:themeColor="text1" w:themeTint="F2"/>
          <w:sz w:val="20"/>
          <w:szCs w:val="20"/>
        </w:rPr>
        <w:t xml:space="preserve">or </w:t>
      </w:r>
      <w:r w:rsidR="00A77D99" w:rsidRPr="00A77D99">
        <w:rPr>
          <w:rFonts w:asciiTheme="minorHAnsi" w:hAnsiTheme="minorHAnsi" w:cs="Poppins-Light"/>
          <w:color w:val="0D0D0D" w:themeColor="text1" w:themeTint="F2"/>
          <w:sz w:val="20"/>
          <w:szCs w:val="20"/>
        </w:rPr>
        <w:t>Total income, to reflect revenue contribution</w:t>
      </w:r>
      <w:r w:rsidR="0026689B">
        <w:rPr>
          <w:rFonts w:asciiTheme="minorHAnsi" w:hAnsiTheme="minorHAnsi" w:cs="Poppins-Light"/>
          <w:color w:val="0D0D0D" w:themeColor="text1" w:themeTint="F2"/>
          <w:sz w:val="20"/>
          <w:szCs w:val="20"/>
        </w:rPr>
        <w:t xml:space="preserve">, </w:t>
      </w:r>
      <w:r w:rsidR="009A43E4">
        <w:rPr>
          <w:rFonts w:asciiTheme="minorHAnsi" w:hAnsiTheme="minorHAnsi" w:cs="Poppins-Light"/>
          <w:color w:val="0D0D0D" w:themeColor="text1" w:themeTint="F2"/>
          <w:sz w:val="20"/>
          <w:szCs w:val="20"/>
        </w:rPr>
        <w:t xml:space="preserve">or service usage. </w:t>
      </w:r>
    </w:p>
    <w:p w14:paraId="67400E64" w14:textId="77777777" w:rsidR="00761E82" w:rsidRDefault="00761E82" w:rsidP="00761E82">
      <w:pPr>
        <w:pStyle w:val="ListParagraph"/>
        <w:autoSpaceDE w:val="0"/>
        <w:autoSpaceDN w:val="0"/>
        <w:adjustRightInd w:val="0"/>
        <w:jc w:val="both"/>
        <w:rPr>
          <w:rFonts w:asciiTheme="minorHAnsi" w:hAnsiTheme="minorHAnsi" w:cs="Poppins-Light"/>
          <w:color w:val="0D0D0D" w:themeColor="text1" w:themeTint="F2"/>
          <w:sz w:val="20"/>
          <w:szCs w:val="20"/>
        </w:rPr>
      </w:pPr>
    </w:p>
    <w:p w14:paraId="0C574C1B" w14:textId="133F66C0" w:rsidR="00872C4F" w:rsidRPr="00872C4F" w:rsidRDefault="00872C4F" w:rsidP="00872C4F">
      <w:pPr>
        <w:autoSpaceDE w:val="0"/>
        <w:autoSpaceDN w:val="0"/>
        <w:adjustRightInd w:val="0"/>
        <w:jc w:val="both"/>
        <w:rPr>
          <w:rFonts w:asciiTheme="minorHAnsi" w:hAnsiTheme="minorHAnsi" w:cs="Poppins-Light"/>
          <w:color w:val="0D0D0D" w:themeColor="text1" w:themeTint="F2"/>
          <w:sz w:val="20"/>
          <w:szCs w:val="20"/>
        </w:rPr>
      </w:pPr>
      <w:r>
        <w:rPr>
          <w:rFonts w:asciiTheme="minorHAnsi" w:hAnsiTheme="minorHAnsi" w:cs="Poppins-Light"/>
          <w:color w:val="0D0D0D" w:themeColor="text1" w:themeTint="F2"/>
          <w:sz w:val="20"/>
          <w:szCs w:val="20"/>
        </w:rPr>
        <w:t>T</w:t>
      </w:r>
      <w:r w:rsidRPr="00872C4F">
        <w:rPr>
          <w:rFonts w:asciiTheme="minorHAnsi" w:hAnsiTheme="minorHAnsi" w:cs="Poppins-Light"/>
          <w:color w:val="0D0D0D" w:themeColor="text1" w:themeTint="F2"/>
          <w:sz w:val="20"/>
          <w:szCs w:val="20"/>
        </w:rPr>
        <w:t>he Group has transitioned to reporting solely on a statutory basis. This follows actions taken in 2024 that resulted in a cleaner, lower-risk balance sheet and improved transparency at both Group and product levels. Adjusted performance is now expected to closely align with statutory results.</w:t>
      </w:r>
    </w:p>
    <w:p w14:paraId="303F3C2D" w14:textId="77777777" w:rsidR="00872C4F" w:rsidRDefault="00872C4F" w:rsidP="00872C4F">
      <w:pPr>
        <w:autoSpaceDE w:val="0"/>
        <w:autoSpaceDN w:val="0"/>
        <w:adjustRightInd w:val="0"/>
        <w:jc w:val="both"/>
        <w:rPr>
          <w:rFonts w:asciiTheme="minorHAnsi" w:hAnsiTheme="minorHAnsi" w:cs="Poppins-Light"/>
          <w:color w:val="0D0D0D" w:themeColor="text1" w:themeTint="F2"/>
          <w:sz w:val="20"/>
          <w:szCs w:val="20"/>
        </w:rPr>
      </w:pPr>
    </w:p>
    <w:p w14:paraId="3CBBFF1B" w14:textId="2B617D64" w:rsidR="00CA67EF" w:rsidRPr="00CA67EF" w:rsidRDefault="00872C4F" w:rsidP="00CA67EF">
      <w:pPr>
        <w:autoSpaceDE w:val="0"/>
        <w:autoSpaceDN w:val="0"/>
        <w:adjustRightInd w:val="0"/>
        <w:jc w:val="both"/>
        <w:rPr>
          <w:rFonts w:asciiTheme="minorHAnsi" w:hAnsiTheme="minorHAnsi" w:cs="Poppins-Light"/>
          <w:color w:val="0D0D0D" w:themeColor="text1" w:themeTint="F2"/>
          <w:sz w:val="20"/>
          <w:szCs w:val="20"/>
        </w:rPr>
      </w:pPr>
      <w:r w:rsidRPr="00872C4F">
        <w:rPr>
          <w:rFonts w:asciiTheme="minorHAnsi" w:hAnsiTheme="minorHAnsi" w:cs="Poppins-Light"/>
          <w:color w:val="0D0D0D" w:themeColor="text1" w:themeTint="F2"/>
          <w:sz w:val="20"/>
          <w:szCs w:val="20"/>
        </w:rPr>
        <w:t>Accordingly, the 2024 income statement and key metrics have been re-presented on a statutory basis, removing adjustments for goodwill write-offs, transformation and other exceptional costs, and amortisation of acquisition intangibles</w:t>
      </w:r>
      <w:r>
        <w:rPr>
          <w:rFonts w:asciiTheme="minorHAnsi" w:hAnsiTheme="minorHAnsi" w:cs="Poppins-Light"/>
          <w:color w:val="0D0D0D" w:themeColor="text1" w:themeTint="F2"/>
          <w:sz w:val="20"/>
          <w:szCs w:val="20"/>
        </w:rPr>
        <w:t xml:space="preserve">. </w:t>
      </w:r>
      <w:r w:rsidR="00CA67EF" w:rsidRPr="00CA67EF">
        <w:rPr>
          <w:rFonts w:asciiTheme="minorHAnsi" w:hAnsiTheme="minorHAnsi" w:cs="Poppins-Light"/>
          <w:color w:val="0D0D0D" w:themeColor="text1" w:themeTint="F2"/>
          <w:sz w:val="20"/>
          <w:szCs w:val="20"/>
        </w:rPr>
        <w:t>The 2024 adjusting items</w:t>
      </w:r>
      <w:r w:rsidR="003A2E45">
        <w:rPr>
          <w:rFonts w:asciiTheme="minorHAnsi" w:hAnsiTheme="minorHAnsi" w:cs="Poppins-Light"/>
          <w:color w:val="0D0D0D" w:themeColor="text1" w:themeTint="F2"/>
          <w:sz w:val="20"/>
          <w:szCs w:val="20"/>
        </w:rPr>
        <w:t xml:space="preserve"> </w:t>
      </w:r>
      <w:r w:rsidR="00CA67EF" w:rsidRPr="00CA67EF">
        <w:rPr>
          <w:rFonts w:asciiTheme="minorHAnsi" w:hAnsiTheme="minorHAnsi" w:cs="Poppins-Light"/>
          <w:color w:val="0D0D0D" w:themeColor="text1" w:themeTint="F2"/>
          <w:sz w:val="20"/>
          <w:szCs w:val="20"/>
        </w:rPr>
        <w:t>comprising the goodwill write-off, transformation and other exceptional costs, and amortisation of acquisition intangibles</w:t>
      </w:r>
      <w:r w:rsidR="003A2E45">
        <w:rPr>
          <w:rFonts w:asciiTheme="minorHAnsi" w:hAnsiTheme="minorHAnsi" w:cs="Poppins-Light"/>
          <w:color w:val="0D0D0D" w:themeColor="text1" w:themeTint="F2"/>
          <w:sz w:val="20"/>
          <w:szCs w:val="20"/>
        </w:rPr>
        <w:t xml:space="preserve">, </w:t>
      </w:r>
      <w:r w:rsidR="00CA67EF" w:rsidRPr="00CA67EF">
        <w:rPr>
          <w:rFonts w:asciiTheme="minorHAnsi" w:hAnsiTheme="minorHAnsi" w:cs="Poppins-Light"/>
          <w:color w:val="0D0D0D" w:themeColor="text1" w:themeTint="F2"/>
          <w:sz w:val="20"/>
          <w:szCs w:val="20"/>
        </w:rPr>
        <w:t>in addition to other-one off cost items, have remained within the Corporate Centre.</w:t>
      </w:r>
    </w:p>
    <w:p w14:paraId="2612A788" w14:textId="77777777" w:rsidR="003A2E45" w:rsidRDefault="003A2E45" w:rsidP="00CA67EF">
      <w:pPr>
        <w:autoSpaceDE w:val="0"/>
        <w:autoSpaceDN w:val="0"/>
        <w:adjustRightInd w:val="0"/>
        <w:jc w:val="both"/>
        <w:rPr>
          <w:rFonts w:asciiTheme="minorHAnsi" w:hAnsiTheme="minorHAnsi" w:cs="Poppins-Light"/>
          <w:color w:val="0D0D0D" w:themeColor="text1" w:themeTint="F2"/>
          <w:sz w:val="20"/>
          <w:szCs w:val="20"/>
        </w:rPr>
      </w:pPr>
    </w:p>
    <w:p w14:paraId="1336862E" w14:textId="6809E05B" w:rsidR="00CA67EF" w:rsidRPr="00CA67EF" w:rsidRDefault="00CA67EF" w:rsidP="00CA67EF">
      <w:pPr>
        <w:autoSpaceDE w:val="0"/>
        <w:autoSpaceDN w:val="0"/>
        <w:adjustRightInd w:val="0"/>
        <w:jc w:val="both"/>
        <w:rPr>
          <w:rFonts w:asciiTheme="minorHAnsi" w:hAnsiTheme="minorHAnsi" w:cs="Poppins-Light"/>
          <w:color w:val="0D0D0D" w:themeColor="text1" w:themeTint="F2"/>
          <w:sz w:val="20"/>
          <w:szCs w:val="20"/>
        </w:rPr>
      </w:pPr>
      <w:r w:rsidRPr="00CA67EF">
        <w:rPr>
          <w:rFonts w:asciiTheme="minorHAnsi" w:hAnsiTheme="minorHAnsi" w:cs="Poppins-Light"/>
          <w:color w:val="0D0D0D" w:themeColor="text1" w:themeTint="F2"/>
          <w:sz w:val="20"/>
          <w:szCs w:val="20"/>
        </w:rPr>
        <w:t xml:space="preserve">The impact of the </w:t>
      </w:r>
      <w:r w:rsidR="00BD76B7">
        <w:rPr>
          <w:rFonts w:asciiTheme="minorHAnsi" w:hAnsiTheme="minorHAnsi" w:cs="Poppins-Light"/>
          <w:color w:val="0D0D0D" w:themeColor="text1" w:themeTint="F2"/>
          <w:sz w:val="20"/>
          <w:szCs w:val="20"/>
        </w:rPr>
        <w:t xml:space="preserve">2024 </w:t>
      </w:r>
      <w:r w:rsidRPr="00CA67EF">
        <w:rPr>
          <w:rFonts w:asciiTheme="minorHAnsi" w:hAnsiTheme="minorHAnsi" w:cs="Poppins-Light"/>
          <w:color w:val="0D0D0D" w:themeColor="text1" w:themeTint="F2"/>
          <w:sz w:val="20"/>
          <w:szCs w:val="20"/>
        </w:rPr>
        <w:t>Vehicle Finance receivables review, affecting both income and impairment, has remained within the Vehicle Finance segment.</w:t>
      </w:r>
    </w:p>
    <w:p w14:paraId="15B4B374" w14:textId="77777777" w:rsidR="000D3638" w:rsidRPr="00701439" w:rsidRDefault="000D3638" w:rsidP="00A1425C">
      <w:pPr>
        <w:rPr>
          <w:rFonts w:asciiTheme="minorHAnsi" w:hAnsiTheme="minorHAnsi" w:cs="Arial"/>
          <w:b/>
          <w:color w:val="4747FF"/>
          <w:sz w:val="22"/>
          <w:szCs w:val="22"/>
        </w:rPr>
      </w:pPr>
    </w:p>
    <w:p w14:paraId="68C0D0A6" w14:textId="77777777" w:rsidR="00606E88" w:rsidRPr="00701439" w:rsidRDefault="00606E88" w:rsidP="00A1425C">
      <w:pPr>
        <w:rPr>
          <w:rFonts w:asciiTheme="minorHAnsi" w:hAnsiTheme="minorHAnsi" w:cs="Arial"/>
          <w:b/>
          <w:color w:val="4747FF"/>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1180"/>
        <w:gridCol w:w="1180"/>
        <w:gridCol w:w="1130"/>
        <w:gridCol w:w="1190"/>
        <w:gridCol w:w="1281"/>
      </w:tblGrid>
      <w:tr w:rsidR="00027732" w14:paraId="103A1924" w14:textId="77777777" w:rsidTr="003B7755">
        <w:trPr>
          <w:trHeight w:val="228"/>
        </w:trPr>
        <w:tc>
          <w:tcPr>
            <w:tcW w:w="1934" w:type="pct"/>
          </w:tcPr>
          <w:p w14:paraId="718EAA4A" w14:textId="77777777" w:rsidR="00027732" w:rsidRPr="00A36F5C" w:rsidRDefault="00027732" w:rsidP="005D2A4F">
            <w:pPr>
              <w:rPr>
                <w:rFonts w:asciiTheme="minorHAnsi" w:hAnsiTheme="minorHAnsi" w:cstheme="minorHAnsi"/>
                <w:bCs/>
                <w:sz w:val="20"/>
                <w:szCs w:val="20"/>
              </w:rPr>
            </w:pPr>
          </w:p>
        </w:tc>
        <w:tc>
          <w:tcPr>
            <w:tcW w:w="3066" w:type="pct"/>
            <w:gridSpan w:val="5"/>
          </w:tcPr>
          <w:p w14:paraId="333B97C4" w14:textId="75533564" w:rsidR="00027732" w:rsidRPr="007F7783" w:rsidRDefault="00C02AFE" w:rsidP="00C02AFE">
            <w:pPr>
              <w:jc w:val="center"/>
              <w:rPr>
                <w:rFonts w:asciiTheme="minorHAnsi" w:hAnsiTheme="minorHAnsi" w:cstheme="minorHAnsi"/>
                <w:b/>
                <w:sz w:val="20"/>
                <w:szCs w:val="20"/>
              </w:rPr>
            </w:pPr>
            <w:r w:rsidRPr="007F7783">
              <w:rPr>
                <w:rFonts w:asciiTheme="minorHAnsi" w:hAnsiTheme="minorHAnsi" w:cstheme="minorHAnsi"/>
                <w:b/>
                <w:sz w:val="20"/>
                <w:szCs w:val="20"/>
              </w:rPr>
              <w:t>Six months ended 30 June 202</w:t>
            </w:r>
            <w:r w:rsidR="00A86232" w:rsidRPr="007F7783">
              <w:rPr>
                <w:rFonts w:asciiTheme="minorHAnsi" w:hAnsiTheme="minorHAnsi" w:cstheme="minorHAnsi"/>
                <w:b/>
                <w:sz w:val="20"/>
                <w:szCs w:val="20"/>
              </w:rPr>
              <w:t>5</w:t>
            </w:r>
            <w:r w:rsidR="003C1CB3" w:rsidRPr="007F7783">
              <w:rPr>
                <w:rFonts w:asciiTheme="minorHAnsi" w:hAnsiTheme="minorHAnsi" w:cstheme="minorHAnsi"/>
                <w:b/>
                <w:bCs/>
                <w:sz w:val="20"/>
                <w:szCs w:val="20"/>
              </w:rPr>
              <w:t xml:space="preserve"> </w:t>
            </w:r>
            <w:r w:rsidR="003C1CB3" w:rsidRPr="007F7783">
              <w:rPr>
                <w:rFonts w:asciiTheme="minorHAnsi" w:hAnsiTheme="minorHAnsi" w:cs="Arial"/>
                <w:b/>
                <w:bCs/>
                <w:sz w:val="20"/>
                <w:szCs w:val="20"/>
              </w:rPr>
              <w:t>unaudited</w:t>
            </w:r>
          </w:p>
        </w:tc>
      </w:tr>
      <w:tr w:rsidR="00327A1E" w14:paraId="2C9D0123" w14:textId="77777777" w:rsidTr="003B7755">
        <w:trPr>
          <w:trHeight w:val="651"/>
        </w:trPr>
        <w:tc>
          <w:tcPr>
            <w:tcW w:w="1934" w:type="pct"/>
          </w:tcPr>
          <w:p w14:paraId="5D0C5938" w14:textId="77777777" w:rsidR="005D2A4F" w:rsidRPr="00A36F5C" w:rsidRDefault="005D2A4F" w:rsidP="005D2A4F">
            <w:pPr>
              <w:rPr>
                <w:rFonts w:asciiTheme="minorHAnsi" w:hAnsiTheme="minorHAnsi" w:cstheme="minorHAnsi"/>
                <w:bCs/>
                <w:sz w:val="20"/>
                <w:szCs w:val="20"/>
              </w:rPr>
            </w:pPr>
          </w:p>
        </w:tc>
        <w:tc>
          <w:tcPr>
            <w:tcW w:w="607" w:type="pct"/>
            <w:shd w:val="clear" w:color="auto" w:fill="F2F2F2" w:themeFill="background1" w:themeFillShade="F2"/>
          </w:tcPr>
          <w:p w14:paraId="26EB0541" w14:textId="0F5CDF15" w:rsidR="005D2A4F" w:rsidRPr="00A36F5C" w:rsidRDefault="005D2A4F" w:rsidP="005D2A4F">
            <w:pPr>
              <w:jc w:val="right"/>
              <w:rPr>
                <w:rFonts w:asciiTheme="minorHAnsi" w:hAnsiTheme="minorHAnsi" w:cstheme="minorHAnsi"/>
                <w:bCs/>
                <w:sz w:val="20"/>
                <w:szCs w:val="20"/>
              </w:rPr>
            </w:pPr>
            <w:r>
              <w:rPr>
                <w:rFonts w:asciiTheme="minorHAnsi" w:hAnsiTheme="minorHAnsi" w:cstheme="minorHAnsi"/>
                <w:bCs/>
                <w:sz w:val="20"/>
                <w:szCs w:val="20"/>
              </w:rPr>
              <w:t>Credit Cards</w:t>
            </w:r>
          </w:p>
        </w:tc>
        <w:tc>
          <w:tcPr>
            <w:tcW w:w="607" w:type="pct"/>
            <w:shd w:val="clear" w:color="auto" w:fill="F2F2F2" w:themeFill="background1" w:themeFillShade="F2"/>
          </w:tcPr>
          <w:p w14:paraId="1748AF16" w14:textId="7DA921DF" w:rsidR="005D2A4F" w:rsidRPr="00A36F5C" w:rsidRDefault="005D2A4F" w:rsidP="005D2A4F">
            <w:pPr>
              <w:jc w:val="right"/>
              <w:rPr>
                <w:rFonts w:asciiTheme="minorHAnsi" w:hAnsiTheme="minorHAnsi" w:cstheme="minorHAnsi"/>
                <w:bCs/>
                <w:sz w:val="20"/>
                <w:szCs w:val="20"/>
              </w:rPr>
            </w:pPr>
            <w:r w:rsidRPr="00A36F5C">
              <w:rPr>
                <w:rFonts w:asciiTheme="minorHAnsi" w:hAnsiTheme="minorHAnsi" w:cstheme="minorHAnsi"/>
                <w:bCs/>
                <w:sz w:val="20"/>
                <w:szCs w:val="20"/>
              </w:rPr>
              <w:t>Vehicle Finance</w:t>
            </w:r>
          </w:p>
        </w:tc>
        <w:tc>
          <w:tcPr>
            <w:tcW w:w="581" w:type="pct"/>
            <w:shd w:val="clear" w:color="auto" w:fill="F2F2F2" w:themeFill="background1" w:themeFillShade="F2"/>
          </w:tcPr>
          <w:p w14:paraId="09604A0D" w14:textId="7C1E6197" w:rsidR="005D2A4F" w:rsidRPr="00A36F5C" w:rsidRDefault="005D2A4F" w:rsidP="005D2A4F">
            <w:pPr>
              <w:jc w:val="right"/>
              <w:rPr>
                <w:rFonts w:asciiTheme="minorHAnsi" w:hAnsiTheme="minorHAnsi" w:cstheme="minorHAnsi"/>
                <w:bCs/>
                <w:sz w:val="20"/>
                <w:szCs w:val="20"/>
              </w:rPr>
            </w:pPr>
            <w:r>
              <w:rPr>
                <w:rFonts w:asciiTheme="minorHAnsi" w:hAnsiTheme="minorHAnsi" w:cstheme="minorHAnsi"/>
                <w:bCs/>
                <w:sz w:val="20"/>
                <w:szCs w:val="20"/>
              </w:rPr>
              <w:t>Second Charge Mortgages</w:t>
            </w:r>
          </w:p>
        </w:tc>
        <w:tc>
          <w:tcPr>
            <w:tcW w:w="612" w:type="pct"/>
            <w:shd w:val="clear" w:color="auto" w:fill="F2F2F2" w:themeFill="background1" w:themeFillShade="F2"/>
          </w:tcPr>
          <w:p w14:paraId="4DAE7080" w14:textId="02CB50E0" w:rsidR="005D2A4F" w:rsidRPr="00A36F5C" w:rsidRDefault="005D2A4F" w:rsidP="005D2A4F">
            <w:pPr>
              <w:jc w:val="right"/>
              <w:rPr>
                <w:rFonts w:asciiTheme="minorHAnsi" w:hAnsiTheme="minorHAnsi" w:cstheme="minorHAnsi"/>
                <w:bCs/>
                <w:sz w:val="20"/>
                <w:szCs w:val="20"/>
              </w:rPr>
            </w:pPr>
            <w:r w:rsidRPr="00A36F5C">
              <w:rPr>
                <w:rFonts w:asciiTheme="minorHAnsi" w:hAnsiTheme="minorHAnsi" w:cstheme="minorHAnsi"/>
                <w:bCs/>
                <w:sz w:val="20"/>
                <w:szCs w:val="20"/>
              </w:rPr>
              <w:t>Corporate Centre</w:t>
            </w:r>
          </w:p>
        </w:tc>
        <w:tc>
          <w:tcPr>
            <w:tcW w:w="660" w:type="pct"/>
            <w:shd w:val="clear" w:color="auto" w:fill="F2F2F2" w:themeFill="background1" w:themeFillShade="F2"/>
          </w:tcPr>
          <w:p w14:paraId="7773B2BD" w14:textId="27555577" w:rsidR="005D2A4F" w:rsidRPr="00B87A15" w:rsidRDefault="005D2A4F" w:rsidP="005D2A4F">
            <w:pPr>
              <w:jc w:val="right"/>
              <w:rPr>
                <w:rFonts w:asciiTheme="minorHAnsi" w:hAnsiTheme="minorHAnsi" w:cstheme="minorHAnsi"/>
                <w:bCs/>
                <w:sz w:val="20"/>
                <w:szCs w:val="20"/>
              </w:rPr>
            </w:pPr>
            <w:r w:rsidRPr="00B87A15">
              <w:rPr>
                <w:rFonts w:asciiTheme="minorHAnsi" w:hAnsiTheme="minorHAnsi" w:cstheme="minorHAnsi"/>
                <w:bCs/>
                <w:sz w:val="20"/>
                <w:szCs w:val="20"/>
              </w:rPr>
              <w:t>Total</w:t>
            </w:r>
          </w:p>
        </w:tc>
      </w:tr>
      <w:tr w:rsidR="00C82F35" w14:paraId="5AFC441F" w14:textId="77777777" w:rsidTr="003B7755">
        <w:trPr>
          <w:trHeight w:val="207"/>
        </w:trPr>
        <w:tc>
          <w:tcPr>
            <w:tcW w:w="1934" w:type="pct"/>
          </w:tcPr>
          <w:p w14:paraId="68E424ED" w14:textId="77777777" w:rsidR="005D2A4F" w:rsidRPr="00A36F5C" w:rsidRDefault="005D2A4F" w:rsidP="005D2A4F">
            <w:pPr>
              <w:rPr>
                <w:rFonts w:asciiTheme="minorHAnsi" w:hAnsiTheme="minorHAnsi" w:cstheme="minorHAnsi"/>
                <w:bCs/>
                <w:sz w:val="20"/>
                <w:szCs w:val="20"/>
              </w:rPr>
            </w:pPr>
          </w:p>
        </w:tc>
        <w:tc>
          <w:tcPr>
            <w:tcW w:w="607" w:type="pct"/>
            <w:tcBorders>
              <w:bottom w:val="single" w:sz="4" w:space="0" w:color="auto"/>
            </w:tcBorders>
            <w:shd w:val="clear" w:color="auto" w:fill="F2F2F2" w:themeFill="background1" w:themeFillShade="F2"/>
          </w:tcPr>
          <w:p w14:paraId="13697E74" w14:textId="77777777" w:rsidR="005D2A4F" w:rsidRPr="00A36F5C" w:rsidRDefault="005D2A4F" w:rsidP="005D2A4F">
            <w:pPr>
              <w:jc w:val="right"/>
              <w:rPr>
                <w:rFonts w:asciiTheme="minorHAnsi" w:hAnsiTheme="minorHAnsi" w:cstheme="minorHAnsi"/>
                <w:bCs/>
                <w:sz w:val="20"/>
                <w:szCs w:val="20"/>
              </w:rPr>
            </w:pPr>
            <w:r w:rsidRPr="00A36F5C">
              <w:rPr>
                <w:rFonts w:asciiTheme="minorHAnsi" w:hAnsiTheme="minorHAnsi" w:cstheme="minorHAnsi"/>
                <w:bCs/>
                <w:sz w:val="20"/>
                <w:szCs w:val="20"/>
              </w:rPr>
              <w:t>£m</w:t>
            </w:r>
          </w:p>
        </w:tc>
        <w:tc>
          <w:tcPr>
            <w:tcW w:w="607" w:type="pct"/>
            <w:tcBorders>
              <w:bottom w:val="single" w:sz="4" w:space="0" w:color="auto"/>
            </w:tcBorders>
            <w:shd w:val="clear" w:color="auto" w:fill="F2F2F2" w:themeFill="background1" w:themeFillShade="F2"/>
          </w:tcPr>
          <w:p w14:paraId="5124E043" w14:textId="77777777" w:rsidR="005D2A4F" w:rsidRPr="00A36F5C" w:rsidRDefault="005D2A4F" w:rsidP="005D2A4F">
            <w:pPr>
              <w:jc w:val="right"/>
              <w:rPr>
                <w:rFonts w:asciiTheme="minorHAnsi" w:hAnsiTheme="minorHAnsi" w:cstheme="minorHAnsi"/>
                <w:bCs/>
                <w:sz w:val="20"/>
                <w:szCs w:val="20"/>
              </w:rPr>
            </w:pPr>
            <w:r w:rsidRPr="00A36F5C">
              <w:rPr>
                <w:rFonts w:asciiTheme="minorHAnsi" w:hAnsiTheme="minorHAnsi" w:cstheme="minorHAnsi"/>
                <w:bCs/>
                <w:sz w:val="20"/>
                <w:szCs w:val="20"/>
              </w:rPr>
              <w:t>£m</w:t>
            </w:r>
          </w:p>
        </w:tc>
        <w:tc>
          <w:tcPr>
            <w:tcW w:w="581" w:type="pct"/>
            <w:tcBorders>
              <w:bottom w:val="single" w:sz="4" w:space="0" w:color="auto"/>
            </w:tcBorders>
            <w:shd w:val="clear" w:color="auto" w:fill="F2F2F2" w:themeFill="background1" w:themeFillShade="F2"/>
          </w:tcPr>
          <w:p w14:paraId="1E17D9D0" w14:textId="3AC62157" w:rsidR="005D2A4F" w:rsidRPr="00A36F5C" w:rsidRDefault="005D2A4F" w:rsidP="005D2A4F">
            <w:pPr>
              <w:jc w:val="right"/>
              <w:rPr>
                <w:rFonts w:asciiTheme="minorHAnsi" w:hAnsiTheme="minorHAnsi" w:cstheme="minorHAnsi"/>
                <w:bCs/>
                <w:sz w:val="20"/>
                <w:szCs w:val="20"/>
              </w:rPr>
            </w:pPr>
            <w:r w:rsidRPr="00A36F5C">
              <w:rPr>
                <w:rFonts w:asciiTheme="minorHAnsi" w:hAnsiTheme="minorHAnsi" w:cstheme="minorHAnsi"/>
                <w:bCs/>
                <w:sz w:val="20"/>
                <w:szCs w:val="20"/>
              </w:rPr>
              <w:t>£m</w:t>
            </w:r>
          </w:p>
        </w:tc>
        <w:tc>
          <w:tcPr>
            <w:tcW w:w="612" w:type="pct"/>
            <w:tcBorders>
              <w:bottom w:val="single" w:sz="4" w:space="0" w:color="auto"/>
            </w:tcBorders>
            <w:shd w:val="clear" w:color="auto" w:fill="F2F2F2" w:themeFill="background1" w:themeFillShade="F2"/>
          </w:tcPr>
          <w:p w14:paraId="617C5591" w14:textId="77777777" w:rsidR="005D2A4F" w:rsidRPr="00A36F5C" w:rsidRDefault="005D2A4F" w:rsidP="005D2A4F">
            <w:pPr>
              <w:jc w:val="right"/>
              <w:rPr>
                <w:rFonts w:asciiTheme="minorHAnsi" w:hAnsiTheme="minorHAnsi" w:cstheme="minorHAnsi"/>
                <w:bCs/>
                <w:sz w:val="20"/>
                <w:szCs w:val="20"/>
              </w:rPr>
            </w:pPr>
            <w:r w:rsidRPr="00A36F5C">
              <w:rPr>
                <w:rFonts w:asciiTheme="minorHAnsi" w:hAnsiTheme="minorHAnsi" w:cstheme="minorHAnsi"/>
                <w:bCs/>
                <w:sz w:val="20"/>
                <w:szCs w:val="20"/>
              </w:rPr>
              <w:t>£m</w:t>
            </w:r>
          </w:p>
        </w:tc>
        <w:tc>
          <w:tcPr>
            <w:tcW w:w="660" w:type="pct"/>
            <w:tcBorders>
              <w:bottom w:val="single" w:sz="4" w:space="0" w:color="auto"/>
            </w:tcBorders>
            <w:shd w:val="clear" w:color="auto" w:fill="F2F2F2" w:themeFill="background1" w:themeFillShade="F2"/>
          </w:tcPr>
          <w:p w14:paraId="79EB828D" w14:textId="77777777" w:rsidR="005D2A4F" w:rsidRPr="00B87A15" w:rsidRDefault="005D2A4F" w:rsidP="005D2A4F">
            <w:pPr>
              <w:jc w:val="right"/>
              <w:rPr>
                <w:rFonts w:asciiTheme="minorHAnsi" w:hAnsiTheme="minorHAnsi" w:cstheme="minorHAnsi"/>
                <w:bCs/>
                <w:sz w:val="20"/>
                <w:szCs w:val="20"/>
              </w:rPr>
            </w:pPr>
            <w:r w:rsidRPr="00B87A15">
              <w:rPr>
                <w:rFonts w:asciiTheme="minorHAnsi" w:hAnsiTheme="minorHAnsi" w:cstheme="minorHAnsi"/>
                <w:bCs/>
                <w:sz w:val="20"/>
                <w:szCs w:val="20"/>
              </w:rPr>
              <w:t>£m</w:t>
            </w:r>
          </w:p>
        </w:tc>
      </w:tr>
      <w:tr w:rsidR="00C82F35" w14:paraId="6E6F8BF3" w14:textId="77777777" w:rsidTr="003B7755">
        <w:trPr>
          <w:trHeight w:val="244"/>
        </w:trPr>
        <w:tc>
          <w:tcPr>
            <w:tcW w:w="1934" w:type="pct"/>
          </w:tcPr>
          <w:p w14:paraId="1ACE3E7E" w14:textId="77777777" w:rsidR="005D2A4F" w:rsidRPr="00A36F5C" w:rsidRDefault="005D2A4F" w:rsidP="005D2A4F">
            <w:pPr>
              <w:rPr>
                <w:rFonts w:asciiTheme="minorHAnsi" w:hAnsiTheme="minorHAnsi" w:cstheme="minorHAnsi"/>
                <w:bCs/>
                <w:sz w:val="20"/>
                <w:szCs w:val="20"/>
              </w:rPr>
            </w:pPr>
            <w:r w:rsidRPr="00A36F5C">
              <w:rPr>
                <w:rFonts w:asciiTheme="minorHAnsi" w:hAnsiTheme="minorHAnsi" w:cstheme="minorHAnsi"/>
                <w:bCs/>
                <w:sz w:val="20"/>
                <w:szCs w:val="20"/>
              </w:rPr>
              <w:t>Interest income</w:t>
            </w:r>
          </w:p>
        </w:tc>
        <w:tc>
          <w:tcPr>
            <w:tcW w:w="607" w:type="pct"/>
            <w:tcBorders>
              <w:top w:val="single" w:sz="4" w:space="0" w:color="auto"/>
            </w:tcBorders>
            <w:shd w:val="clear" w:color="auto" w:fill="F2F2F2" w:themeFill="background1" w:themeFillShade="F2"/>
            <w:vAlign w:val="bottom"/>
          </w:tcPr>
          <w:p w14:paraId="75402A75" w14:textId="7D851142"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179.0</w:t>
            </w:r>
          </w:p>
        </w:tc>
        <w:tc>
          <w:tcPr>
            <w:tcW w:w="607" w:type="pct"/>
            <w:tcBorders>
              <w:top w:val="single" w:sz="4" w:space="0" w:color="auto"/>
            </w:tcBorders>
            <w:shd w:val="clear" w:color="auto" w:fill="F2F2F2" w:themeFill="background1" w:themeFillShade="F2"/>
            <w:vAlign w:val="bottom"/>
          </w:tcPr>
          <w:p w14:paraId="39A9BDAB" w14:textId="74F41AFE"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62.9</w:t>
            </w:r>
          </w:p>
        </w:tc>
        <w:tc>
          <w:tcPr>
            <w:tcW w:w="581" w:type="pct"/>
            <w:tcBorders>
              <w:top w:val="single" w:sz="4" w:space="0" w:color="auto"/>
            </w:tcBorders>
            <w:shd w:val="clear" w:color="auto" w:fill="F2F2F2" w:themeFill="background1" w:themeFillShade="F2"/>
            <w:vAlign w:val="bottom"/>
          </w:tcPr>
          <w:p w14:paraId="13602684" w14:textId="53BC7297"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11.0</w:t>
            </w:r>
          </w:p>
        </w:tc>
        <w:tc>
          <w:tcPr>
            <w:tcW w:w="612" w:type="pct"/>
            <w:tcBorders>
              <w:top w:val="single" w:sz="4" w:space="0" w:color="auto"/>
            </w:tcBorders>
            <w:shd w:val="clear" w:color="auto" w:fill="F2F2F2" w:themeFill="background1" w:themeFillShade="F2"/>
            <w:vAlign w:val="bottom"/>
          </w:tcPr>
          <w:p w14:paraId="2F9B8D77" w14:textId="7F84EF7B"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22.0</w:t>
            </w:r>
          </w:p>
        </w:tc>
        <w:tc>
          <w:tcPr>
            <w:tcW w:w="660" w:type="pct"/>
            <w:tcBorders>
              <w:top w:val="single" w:sz="4" w:space="0" w:color="auto"/>
            </w:tcBorders>
            <w:shd w:val="clear" w:color="auto" w:fill="F2F2F2" w:themeFill="background1" w:themeFillShade="F2"/>
            <w:vAlign w:val="bottom"/>
          </w:tcPr>
          <w:p w14:paraId="7D8EE837" w14:textId="29E43FB7"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274.9</w:t>
            </w:r>
          </w:p>
        </w:tc>
      </w:tr>
      <w:tr w:rsidR="00C82F35" w14:paraId="32F6590C" w14:textId="77777777" w:rsidTr="003B7755">
        <w:trPr>
          <w:trHeight w:val="256"/>
        </w:trPr>
        <w:tc>
          <w:tcPr>
            <w:tcW w:w="1934" w:type="pct"/>
          </w:tcPr>
          <w:p w14:paraId="4858E0CA" w14:textId="77777777" w:rsidR="005D2A4F" w:rsidRPr="00A36F5C" w:rsidRDefault="005D2A4F" w:rsidP="005D2A4F">
            <w:pPr>
              <w:rPr>
                <w:rFonts w:asciiTheme="minorHAnsi" w:hAnsiTheme="minorHAnsi" w:cstheme="minorHAnsi"/>
                <w:bCs/>
                <w:sz w:val="20"/>
                <w:szCs w:val="20"/>
              </w:rPr>
            </w:pPr>
            <w:r w:rsidRPr="00A36F5C">
              <w:rPr>
                <w:rFonts w:asciiTheme="minorHAnsi" w:hAnsiTheme="minorHAnsi" w:cstheme="minorHAnsi"/>
                <w:bCs/>
                <w:sz w:val="20"/>
                <w:szCs w:val="20"/>
              </w:rPr>
              <w:t>Interest expense</w:t>
            </w:r>
          </w:p>
        </w:tc>
        <w:tc>
          <w:tcPr>
            <w:tcW w:w="607" w:type="pct"/>
            <w:tcBorders>
              <w:bottom w:val="single" w:sz="4" w:space="0" w:color="auto"/>
            </w:tcBorders>
            <w:shd w:val="clear" w:color="auto" w:fill="F2F2F2" w:themeFill="background1" w:themeFillShade="F2"/>
            <w:vAlign w:val="bottom"/>
          </w:tcPr>
          <w:p w14:paraId="14B4746F" w14:textId="6A1C9AEF" w:rsidR="005D2A4F" w:rsidRPr="007F7783" w:rsidRDefault="005D2A4F" w:rsidP="005D2A4F">
            <w:pPr>
              <w:jc w:val="right"/>
              <w:rPr>
                <w:rFonts w:asciiTheme="minorHAnsi" w:hAnsiTheme="minorHAnsi" w:cstheme="minorHAnsi"/>
                <w:b/>
                <w:sz w:val="20"/>
                <w:szCs w:val="20"/>
              </w:rPr>
            </w:pPr>
            <w:r w:rsidRPr="007F7783">
              <w:rPr>
                <w:rFonts w:ascii="Calibri" w:hAnsi="Calibri" w:cs="Calibri"/>
                <w:b/>
                <w:sz w:val="20"/>
                <w:szCs w:val="20"/>
              </w:rPr>
              <w:t>(</w:t>
            </w:r>
            <w:r w:rsidR="006B0FCE" w:rsidRPr="007F7783">
              <w:rPr>
                <w:rFonts w:ascii="Calibri" w:hAnsi="Calibri" w:cs="Calibri"/>
                <w:b/>
                <w:bCs/>
                <w:sz w:val="20"/>
                <w:szCs w:val="20"/>
              </w:rPr>
              <w:t>24.7</w:t>
            </w:r>
            <w:r w:rsidRPr="007F7783">
              <w:rPr>
                <w:rFonts w:ascii="Calibri" w:hAnsi="Calibri" w:cs="Calibri"/>
                <w:b/>
                <w:sz w:val="20"/>
                <w:szCs w:val="20"/>
              </w:rPr>
              <w:t>)</w:t>
            </w:r>
          </w:p>
        </w:tc>
        <w:tc>
          <w:tcPr>
            <w:tcW w:w="607" w:type="pct"/>
            <w:tcBorders>
              <w:bottom w:val="single" w:sz="4" w:space="0" w:color="auto"/>
            </w:tcBorders>
            <w:shd w:val="clear" w:color="auto" w:fill="F2F2F2" w:themeFill="background1" w:themeFillShade="F2"/>
            <w:vAlign w:val="bottom"/>
          </w:tcPr>
          <w:p w14:paraId="69E39200" w14:textId="6670A8BA" w:rsidR="005D2A4F" w:rsidRPr="007F7783" w:rsidRDefault="005D2A4F" w:rsidP="005D2A4F">
            <w:pPr>
              <w:jc w:val="right"/>
              <w:rPr>
                <w:rFonts w:asciiTheme="minorHAnsi" w:hAnsiTheme="minorHAnsi" w:cstheme="minorHAnsi"/>
                <w:b/>
                <w:sz w:val="20"/>
                <w:szCs w:val="20"/>
              </w:rPr>
            </w:pPr>
            <w:r w:rsidRPr="007F7783">
              <w:rPr>
                <w:rFonts w:ascii="Calibri" w:hAnsi="Calibri" w:cs="Calibri"/>
                <w:b/>
                <w:sz w:val="20"/>
                <w:szCs w:val="20"/>
              </w:rPr>
              <w:t>(</w:t>
            </w:r>
            <w:r w:rsidR="006B0FCE" w:rsidRPr="007F7783">
              <w:rPr>
                <w:rFonts w:ascii="Calibri" w:hAnsi="Calibri" w:cs="Calibri"/>
                <w:b/>
                <w:bCs/>
                <w:sz w:val="20"/>
                <w:szCs w:val="20"/>
              </w:rPr>
              <w:t>14.3</w:t>
            </w:r>
            <w:r w:rsidRPr="007F7783">
              <w:rPr>
                <w:rFonts w:ascii="Calibri" w:hAnsi="Calibri" w:cs="Calibri"/>
                <w:b/>
                <w:sz w:val="20"/>
                <w:szCs w:val="20"/>
              </w:rPr>
              <w:t>)</w:t>
            </w:r>
          </w:p>
        </w:tc>
        <w:tc>
          <w:tcPr>
            <w:tcW w:w="581" w:type="pct"/>
            <w:tcBorders>
              <w:bottom w:val="single" w:sz="4" w:space="0" w:color="auto"/>
            </w:tcBorders>
            <w:shd w:val="clear" w:color="auto" w:fill="F2F2F2" w:themeFill="background1" w:themeFillShade="F2"/>
            <w:vAlign w:val="bottom"/>
          </w:tcPr>
          <w:p w14:paraId="0174A3BB" w14:textId="7BE18B90" w:rsidR="005D2A4F" w:rsidRPr="007F7783" w:rsidRDefault="005D2A4F" w:rsidP="005D2A4F">
            <w:pPr>
              <w:jc w:val="right"/>
              <w:rPr>
                <w:rFonts w:asciiTheme="minorHAnsi" w:hAnsiTheme="minorHAnsi" w:cstheme="minorHAnsi"/>
                <w:b/>
                <w:sz w:val="20"/>
                <w:szCs w:val="20"/>
              </w:rPr>
            </w:pPr>
            <w:r w:rsidRPr="007F7783">
              <w:rPr>
                <w:rFonts w:ascii="Calibri" w:hAnsi="Calibri" w:cs="Calibri"/>
                <w:b/>
                <w:sz w:val="20"/>
                <w:szCs w:val="20"/>
              </w:rPr>
              <w:t>(</w:t>
            </w:r>
            <w:r w:rsidR="006B0FCE" w:rsidRPr="007F7783">
              <w:rPr>
                <w:rFonts w:ascii="Calibri" w:hAnsi="Calibri" w:cs="Calibri"/>
                <w:b/>
                <w:bCs/>
                <w:sz w:val="20"/>
                <w:szCs w:val="20"/>
              </w:rPr>
              <w:t>6.7</w:t>
            </w:r>
            <w:r w:rsidRPr="007F7783">
              <w:rPr>
                <w:rFonts w:ascii="Calibri" w:hAnsi="Calibri" w:cs="Calibri"/>
                <w:b/>
                <w:sz w:val="20"/>
                <w:szCs w:val="20"/>
              </w:rPr>
              <w:t>)</w:t>
            </w:r>
          </w:p>
        </w:tc>
        <w:tc>
          <w:tcPr>
            <w:tcW w:w="612" w:type="pct"/>
            <w:tcBorders>
              <w:bottom w:val="single" w:sz="4" w:space="0" w:color="auto"/>
            </w:tcBorders>
            <w:shd w:val="clear" w:color="auto" w:fill="F2F2F2" w:themeFill="background1" w:themeFillShade="F2"/>
            <w:vAlign w:val="bottom"/>
          </w:tcPr>
          <w:p w14:paraId="4E1BF652" w14:textId="5EC49779" w:rsidR="005D2A4F" w:rsidRPr="007F7783" w:rsidRDefault="005D2A4F" w:rsidP="005D2A4F">
            <w:pPr>
              <w:jc w:val="right"/>
              <w:rPr>
                <w:rFonts w:asciiTheme="minorHAnsi" w:hAnsiTheme="minorHAnsi" w:cstheme="minorHAnsi"/>
                <w:b/>
                <w:sz w:val="20"/>
                <w:szCs w:val="20"/>
              </w:rPr>
            </w:pPr>
            <w:r w:rsidRPr="007F7783">
              <w:rPr>
                <w:rFonts w:ascii="Calibri" w:hAnsi="Calibri" w:cs="Calibri"/>
                <w:b/>
                <w:sz w:val="20"/>
                <w:szCs w:val="20"/>
              </w:rPr>
              <w:t>(</w:t>
            </w:r>
            <w:r w:rsidR="006B0FCE" w:rsidRPr="007F7783">
              <w:rPr>
                <w:rFonts w:ascii="Calibri" w:hAnsi="Calibri" w:cs="Calibri"/>
                <w:b/>
                <w:bCs/>
                <w:sz w:val="20"/>
                <w:szCs w:val="20"/>
              </w:rPr>
              <w:t>27</w:t>
            </w:r>
            <w:r w:rsidRPr="007F7783">
              <w:rPr>
                <w:rFonts w:ascii="Calibri" w:hAnsi="Calibri" w:cs="Calibri"/>
                <w:b/>
                <w:sz w:val="20"/>
                <w:szCs w:val="20"/>
              </w:rPr>
              <w:t>.0)</w:t>
            </w:r>
          </w:p>
        </w:tc>
        <w:tc>
          <w:tcPr>
            <w:tcW w:w="660" w:type="pct"/>
            <w:tcBorders>
              <w:bottom w:val="single" w:sz="4" w:space="0" w:color="auto"/>
            </w:tcBorders>
            <w:shd w:val="clear" w:color="auto" w:fill="F2F2F2" w:themeFill="background1" w:themeFillShade="F2"/>
            <w:vAlign w:val="bottom"/>
          </w:tcPr>
          <w:p w14:paraId="21C58E71" w14:textId="01307681" w:rsidR="005D2A4F" w:rsidRPr="007F7783" w:rsidRDefault="005D2A4F" w:rsidP="005D2A4F">
            <w:pPr>
              <w:jc w:val="right"/>
              <w:rPr>
                <w:rFonts w:asciiTheme="minorHAnsi" w:hAnsiTheme="minorHAnsi" w:cstheme="minorHAnsi"/>
                <w:b/>
                <w:sz w:val="20"/>
                <w:szCs w:val="20"/>
              </w:rPr>
            </w:pPr>
            <w:r w:rsidRPr="007F7783">
              <w:rPr>
                <w:rFonts w:ascii="Calibri" w:hAnsi="Calibri" w:cs="Calibri"/>
                <w:b/>
                <w:sz w:val="20"/>
                <w:szCs w:val="20"/>
              </w:rPr>
              <w:t>(</w:t>
            </w:r>
            <w:r w:rsidR="006B0FCE" w:rsidRPr="007F7783">
              <w:rPr>
                <w:rFonts w:ascii="Calibri" w:hAnsi="Calibri" w:cs="Calibri"/>
                <w:b/>
                <w:bCs/>
                <w:sz w:val="20"/>
                <w:szCs w:val="20"/>
              </w:rPr>
              <w:t>72.7</w:t>
            </w:r>
            <w:r w:rsidRPr="007F7783">
              <w:rPr>
                <w:rFonts w:ascii="Calibri" w:hAnsi="Calibri" w:cs="Calibri"/>
                <w:b/>
                <w:sz w:val="20"/>
                <w:szCs w:val="20"/>
              </w:rPr>
              <w:t>)</w:t>
            </w:r>
          </w:p>
        </w:tc>
      </w:tr>
      <w:tr w:rsidR="00C82F35" w14:paraId="6E95BCEB" w14:textId="77777777" w:rsidTr="003B7755">
        <w:trPr>
          <w:trHeight w:val="244"/>
        </w:trPr>
        <w:tc>
          <w:tcPr>
            <w:tcW w:w="1934" w:type="pct"/>
          </w:tcPr>
          <w:p w14:paraId="2FC2EC97" w14:textId="77777777" w:rsidR="005D2A4F" w:rsidRPr="00A36F5C" w:rsidRDefault="005D2A4F" w:rsidP="005D2A4F">
            <w:pPr>
              <w:rPr>
                <w:rFonts w:asciiTheme="minorHAnsi" w:hAnsiTheme="minorHAnsi" w:cstheme="minorHAnsi"/>
                <w:b/>
                <w:sz w:val="20"/>
                <w:szCs w:val="20"/>
              </w:rPr>
            </w:pPr>
            <w:r w:rsidRPr="00A36F5C">
              <w:rPr>
                <w:rFonts w:asciiTheme="minorHAnsi" w:hAnsiTheme="minorHAnsi" w:cstheme="minorHAnsi"/>
                <w:b/>
                <w:sz w:val="20"/>
                <w:szCs w:val="20"/>
              </w:rPr>
              <w:t>Net interest income</w:t>
            </w:r>
          </w:p>
        </w:tc>
        <w:tc>
          <w:tcPr>
            <w:tcW w:w="607" w:type="pct"/>
            <w:tcBorders>
              <w:top w:val="single" w:sz="4" w:space="0" w:color="auto"/>
              <w:bottom w:val="single" w:sz="4" w:space="0" w:color="auto"/>
            </w:tcBorders>
            <w:shd w:val="clear" w:color="auto" w:fill="F2F2F2" w:themeFill="background1" w:themeFillShade="F2"/>
            <w:vAlign w:val="bottom"/>
          </w:tcPr>
          <w:p w14:paraId="63FB1E6A" w14:textId="4ABDC918"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154.3</w:t>
            </w:r>
          </w:p>
        </w:tc>
        <w:tc>
          <w:tcPr>
            <w:tcW w:w="607" w:type="pct"/>
            <w:tcBorders>
              <w:top w:val="single" w:sz="4" w:space="0" w:color="auto"/>
              <w:bottom w:val="single" w:sz="4" w:space="0" w:color="auto"/>
            </w:tcBorders>
            <w:shd w:val="clear" w:color="auto" w:fill="F2F2F2" w:themeFill="background1" w:themeFillShade="F2"/>
            <w:vAlign w:val="bottom"/>
          </w:tcPr>
          <w:p w14:paraId="33CAC63D" w14:textId="26FF43B1"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48.6</w:t>
            </w:r>
          </w:p>
        </w:tc>
        <w:tc>
          <w:tcPr>
            <w:tcW w:w="581" w:type="pct"/>
            <w:tcBorders>
              <w:top w:val="single" w:sz="4" w:space="0" w:color="auto"/>
              <w:bottom w:val="single" w:sz="4" w:space="0" w:color="auto"/>
            </w:tcBorders>
            <w:shd w:val="clear" w:color="auto" w:fill="F2F2F2" w:themeFill="background1" w:themeFillShade="F2"/>
            <w:vAlign w:val="bottom"/>
          </w:tcPr>
          <w:p w14:paraId="5A2B80C6" w14:textId="1439BF2A"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4.3</w:t>
            </w:r>
          </w:p>
        </w:tc>
        <w:tc>
          <w:tcPr>
            <w:tcW w:w="612" w:type="pct"/>
            <w:tcBorders>
              <w:top w:val="single" w:sz="4" w:space="0" w:color="auto"/>
              <w:bottom w:val="single" w:sz="4" w:space="0" w:color="auto"/>
            </w:tcBorders>
            <w:shd w:val="clear" w:color="auto" w:fill="F2F2F2" w:themeFill="background1" w:themeFillShade="F2"/>
            <w:vAlign w:val="bottom"/>
          </w:tcPr>
          <w:p w14:paraId="26A7A21C" w14:textId="0107CA60"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(5.0)</w:t>
            </w:r>
          </w:p>
        </w:tc>
        <w:tc>
          <w:tcPr>
            <w:tcW w:w="660" w:type="pct"/>
            <w:tcBorders>
              <w:top w:val="single" w:sz="4" w:space="0" w:color="auto"/>
              <w:bottom w:val="single" w:sz="4" w:space="0" w:color="auto"/>
            </w:tcBorders>
            <w:shd w:val="clear" w:color="auto" w:fill="F2F2F2" w:themeFill="background1" w:themeFillShade="F2"/>
            <w:vAlign w:val="bottom"/>
          </w:tcPr>
          <w:p w14:paraId="0802CD97" w14:textId="708A48B1"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202.2</w:t>
            </w:r>
          </w:p>
        </w:tc>
      </w:tr>
      <w:tr w:rsidR="00C82F35" w14:paraId="2B894F32" w14:textId="77777777" w:rsidTr="003B7755">
        <w:trPr>
          <w:trHeight w:val="256"/>
        </w:trPr>
        <w:tc>
          <w:tcPr>
            <w:tcW w:w="1934" w:type="pct"/>
          </w:tcPr>
          <w:p w14:paraId="017D83E1" w14:textId="77777777" w:rsidR="005D2A4F" w:rsidRPr="00A36F5C" w:rsidRDefault="005D2A4F" w:rsidP="005D2A4F">
            <w:pPr>
              <w:rPr>
                <w:rFonts w:asciiTheme="minorHAnsi" w:hAnsiTheme="minorHAnsi" w:cstheme="minorHAnsi"/>
                <w:bCs/>
                <w:sz w:val="20"/>
                <w:szCs w:val="20"/>
              </w:rPr>
            </w:pPr>
            <w:r w:rsidRPr="00A36F5C">
              <w:rPr>
                <w:rFonts w:asciiTheme="minorHAnsi" w:hAnsiTheme="minorHAnsi" w:cstheme="minorHAnsi"/>
                <w:bCs/>
                <w:sz w:val="20"/>
                <w:szCs w:val="20"/>
              </w:rPr>
              <w:t>Fee and commission income</w:t>
            </w:r>
          </w:p>
        </w:tc>
        <w:tc>
          <w:tcPr>
            <w:tcW w:w="607" w:type="pct"/>
            <w:tcBorders>
              <w:top w:val="single" w:sz="4" w:space="0" w:color="auto"/>
            </w:tcBorders>
            <w:shd w:val="clear" w:color="auto" w:fill="F2F2F2" w:themeFill="background1" w:themeFillShade="F2"/>
            <w:vAlign w:val="bottom"/>
          </w:tcPr>
          <w:p w14:paraId="4738EFA2" w14:textId="6DD86C64"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17.4</w:t>
            </w:r>
          </w:p>
        </w:tc>
        <w:tc>
          <w:tcPr>
            <w:tcW w:w="607" w:type="pct"/>
            <w:tcBorders>
              <w:top w:val="single" w:sz="4" w:space="0" w:color="auto"/>
            </w:tcBorders>
            <w:shd w:val="clear" w:color="auto" w:fill="F2F2F2" w:themeFill="background1" w:themeFillShade="F2"/>
          </w:tcPr>
          <w:p w14:paraId="6E4DE9B9" w14:textId="79B02F58" w:rsidR="005D2A4F" w:rsidRPr="007F7783" w:rsidRDefault="006B0FCE" w:rsidP="005D2A4F">
            <w:pPr>
              <w:jc w:val="right"/>
              <w:rPr>
                <w:rFonts w:asciiTheme="minorHAnsi" w:hAnsiTheme="minorHAnsi" w:cstheme="minorHAnsi"/>
                <w:b/>
                <w:sz w:val="20"/>
                <w:szCs w:val="20"/>
              </w:rPr>
            </w:pPr>
            <w:r w:rsidRPr="007F7783">
              <w:rPr>
                <w:rFonts w:asciiTheme="minorHAnsi" w:hAnsiTheme="minorHAnsi" w:cstheme="minorHAnsi"/>
                <w:b/>
                <w:bCs/>
                <w:sz w:val="20"/>
                <w:szCs w:val="20"/>
              </w:rPr>
              <w:t>-</w:t>
            </w:r>
          </w:p>
        </w:tc>
        <w:tc>
          <w:tcPr>
            <w:tcW w:w="581" w:type="pct"/>
            <w:tcBorders>
              <w:top w:val="single" w:sz="4" w:space="0" w:color="auto"/>
            </w:tcBorders>
            <w:shd w:val="clear" w:color="auto" w:fill="F2F2F2" w:themeFill="background1" w:themeFillShade="F2"/>
            <w:vAlign w:val="bottom"/>
          </w:tcPr>
          <w:p w14:paraId="29B6BEE7" w14:textId="0667646F"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0.2</w:t>
            </w:r>
          </w:p>
        </w:tc>
        <w:tc>
          <w:tcPr>
            <w:tcW w:w="612" w:type="pct"/>
            <w:tcBorders>
              <w:top w:val="single" w:sz="4" w:space="0" w:color="auto"/>
            </w:tcBorders>
            <w:shd w:val="clear" w:color="auto" w:fill="F2F2F2" w:themeFill="background1" w:themeFillShade="F2"/>
            <w:vAlign w:val="bottom"/>
          </w:tcPr>
          <w:p w14:paraId="553D5814" w14:textId="22EB80D2"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0.8</w:t>
            </w:r>
          </w:p>
        </w:tc>
        <w:tc>
          <w:tcPr>
            <w:tcW w:w="660" w:type="pct"/>
            <w:tcBorders>
              <w:top w:val="single" w:sz="4" w:space="0" w:color="auto"/>
            </w:tcBorders>
            <w:shd w:val="clear" w:color="auto" w:fill="F2F2F2" w:themeFill="background1" w:themeFillShade="F2"/>
            <w:vAlign w:val="bottom"/>
          </w:tcPr>
          <w:p w14:paraId="2D68E0EA" w14:textId="0413A943"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18.4</w:t>
            </w:r>
          </w:p>
        </w:tc>
      </w:tr>
      <w:tr w:rsidR="00C82F35" w14:paraId="50449218" w14:textId="77777777" w:rsidTr="003B7755">
        <w:trPr>
          <w:trHeight w:val="244"/>
        </w:trPr>
        <w:tc>
          <w:tcPr>
            <w:tcW w:w="1934" w:type="pct"/>
          </w:tcPr>
          <w:p w14:paraId="4DAFF101" w14:textId="77777777" w:rsidR="005D2A4F" w:rsidRPr="00A36F5C" w:rsidRDefault="005D2A4F" w:rsidP="005D2A4F">
            <w:pPr>
              <w:rPr>
                <w:rFonts w:asciiTheme="minorHAnsi" w:hAnsiTheme="minorHAnsi" w:cstheme="minorHAnsi"/>
                <w:bCs/>
                <w:sz w:val="20"/>
                <w:szCs w:val="20"/>
              </w:rPr>
            </w:pPr>
            <w:r w:rsidRPr="00A36F5C">
              <w:rPr>
                <w:rFonts w:asciiTheme="minorHAnsi" w:hAnsiTheme="minorHAnsi" w:cstheme="minorHAnsi"/>
                <w:bCs/>
                <w:sz w:val="20"/>
                <w:szCs w:val="20"/>
              </w:rPr>
              <w:t>Fee and commission expense</w:t>
            </w:r>
          </w:p>
        </w:tc>
        <w:tc>
          <w:tcPr>
            <w:tcW w:w="607" w:type="pct"/>
            <w:tcBorders>
              <w:bottom w:val="single" w:sz="4" w:space="0" w:color="auto"/>
            </w:tcBorders>
            <w:shd w:val="clear" w:color="auto" w:fill="F2F2F2" w:themeFill="background1" w:themeFillShade="F2"/>
            <w:vAlign w:val="bottom"/>
          </w:tcPr>
          <w:p w14:paraId="71BD83E9" w14:textId="22C32DE5"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(1.4)</w:t>
            </w:r>
          </w:p>
        </w:tc>
        <w:tc>
          <w:tcPr>
            <w:tcW w:w="607" w:type="pct"/>
            <w:tcBorders>
              <w:bottom w:val="single" w:sz="4" w:space="0" w:color="auto"/>
            </w:tcBorders>
            <w:shd w:val="clear" w:color="auto" w:fill="F2F2F2" w:themeFill="background1" w:themeFillShade="F2"/>
          </w:tcPr>
          <w:p w14:paraId="0E7A659A" w14:textId="634DC39C" w:rsidR="005D2A4F" w:rsidRPr="007F7783" w:rsidRDefault="006B0FCE" w:rsidP="005D2A4F">
            <w:pPr>
              <w:jc w:val="right"/>
              <w:rPr>
                <w:rFonts w:asciiTheme="minorHAnsi" w:hAnsiTheme="minorHAnsi" w:cstheme="minorHAnsi"/>
                <w:b/>
                <w:sz w:val="20"/>
                <w:szCs w:val="20"/>
              </w:rPr>
            </w:pPr>
            <w:r w:rsidRPr="007F7783">
              <w:rPr>
                <w:rFonts w:asciiTheme="minorHAnsi" w:hAnsiTheme="minorHAnsi" w:cstheme="minorHAnsi"/>
                <w:b/>
                <w:bCs/>
                <w:sz w:val="20"/>
                <w:szCs w:val="20"/>
              </w:rPr>
              <w:t>-</w:t>
            </w:r>
          </w:p>
        </w:tc>
        <w:tc>
          <w:tcPr>
            <w:tcW w:w="581" w:type="pct"/>
            <w:tcBorders>
              <w:bottom w:val="single" w:sz="4" w:space="0" w:color="auto"/>
            </w:tcBorders>
            <w:shd w:val="clear" w:color="auto" w:fill="F2F2F2" w:themeFill="background1" w:themeFillShade="F2"/>
          </w:tcPr>
          <w:p w14:paraId="5B6C7DF5" w14:textId="6DE93459" w:rsidR="005D2A4F" w:rsidRPr="007F7783" w:rsidRDefault="006B0FCE" w:rsidP="005D2A4F">
            <w:pPr>
              <w:jc w:val="right"/>
              <w:rPr>
                <w:rFonts w:asciiTheme="minorHAnsi" w:hAnsiTheme="minorHAnsi" w:cstheme="minorHAnsi"/>
                <w:b/>
                <w:sz w:val="20"/>
                <w:szCs w:val="20"/>
              </w:rPr>
            </w:pPr>
            <w:r w:rsidRPr="007F7783">
              <w:rPr>
                <w:rFonts w:asciiTheme="minorHAnsi" w:hAnsiTheme="minorHAnsi" w:cstheme="minorHAnsi"/>
                <w:b/>
                <w:bCs/>
                <w:sz w:val="20"/>
                <w:szCs w:val="20"/>
              </w:rPr>
              <w:t>-</w:t>
            </w:r>
          </w:p>
        </w:tc>
        <w:tc>
          <w:tcPr>
            <w:tcW w:w="612" w:type="pct"/>
            <w:tcBorders>
              <w:bottom w:val="single" w:sz="4" w:space="0" w:color="auto"/>
            </w:tcBorders>
            <w:shd w:val="clear" w:color="auto" w:fill="F2F2F2" w:themeFill="background1" w:themeFillShade="F2"/>
            <w:vAlign w:val="bottom"/>
          </w:tcPr>
          <w:p w14:paraId="7FF21626" w14:textId="3FB9B7C1"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(0.1)</w:t>
            </w:r>
          </w:p>
        </w:tc>
        <w:tc>
          <w:tcPr>
            <w:tcW w:w="660" w:type="pct"/>
            <w:tcBorders>
              <w:bottom w:val="single" w:sz="4" w:space="0" w:color="auto"/>
            </w:tcBorders>
            <w:shd w:val="clear" w:color="auto" w:fill="F2F2F2" w:themeFill="background1" w:themeFillShade="F2"/>
            <w:vAlign w:val="bottom"/>
          </w:tcPr>
          <w:p w14:paraId="0548ADEA" w14:textId="015125AB"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(1.5)</w:t>
            </w:r>
          </w:p>
        </w:tc>
      </w:tr>
      <w:tr w:rsidR="00C82F35" w14:paraId="136E7506" w14:textId="77777777" w:rsidTr="003B7755">
        <w:trPr>
          <w:trHeight w:val="244"/>
        </w:trPr>
        <w:tc>
          <w:tcPr>
            <w:tcW w:w="1934" w:type="pct"/>
          </w:tcPr>
          <w:p w14:paraId="71A58360" w14:textId="77777777" w:rsidR="005D2A4F" w:rsidRPr="00A36F5C" w:rsidRDefault="005D2A4F" w:rsidP="005D2A4F">
            <w:pPr>
              <w:rPr>
                <w:rFonts w:asciiTheme="minorHAnsi" w:hAnsiTheme="minorHAnsi" w:cstheme="minorHAnsi"/>
                <w:b/>
                <w:sz w:val="20"/>
                <w:szCs w:val="20"/>
              </w:rPr>
            </w:pPr>
            <w:r w:rsidRPr="00A36F5C">
              <w:rPr>
                <w:rFonts w:asciiTheme="minorHAnsi" w:hAnsiTheme="minorHAnsi" w:cstheme="minorHAnsi"/>
                <w:b/>
                <w:sz w:val="20"/>
                <w:szCs w:val="20"/>
              </w:rPr>
              <w:t>Net fee and commission income</w:t>
            </w:r>
          </w:p>
        </w:tc>
        <w:tc>
          <w:tcPr>
            <w:tcW w:w="607" w:type="pct"/>
            <w:tcBorders>
              <w:top w:val="single" w:sz="4" w:space="0" w:color="auto"/>
              <w:bottom w:val="single" w:sz="4" w:space="0" w:color="auto"/>
            </w:tcBorders>
            <w:shd w:val="clear" w:color="auto" w:fill="F2F2F2" w:themeFill="background1" w:themeFillShade="F2"/>
            <w:vAlign w:val="bottom"/>
          </w:tcPr>
          <w:p w14:paraId="75ADDFD9" w14:textId="34C45D85"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16.0</w:t>
            </w:r>
          </w:p>
        </w:tc>
        <w:tc>
          <w:tcPr>
            <w:tcW w:w="607" w:type="pct"/>
            <w:tcBorders>
              <w:top w:val="single" w:sz="4" w:space="0" w:color="auto"/>
              <w:bottom w:val="single" w:sz="4" w:space="0" w:color="auto"/>
            </w:tcBorders>
            <w:shd w:val="clear" w:color="auto" w:fill="F2F2F2" w:themeFill="background1" w:themeFillShade="F2"/>
          </w:tcPr>
          <w:p w14:paraId="2A719047" w14:textId="64BF243D" w:rsidR="005D2A4F" w:rsidRPr="00230F40" w:rsidRDefault="006B0FCE" w:rsidP="005D2A4F">
            <w:pPr>
              <w:jc w:val="right"/>
              <w:rPr>
                <w:rFonts w:asciiTheme="minorHAnsi" w:hAnsiTheme="minorHAnsi" w:cstheme="minorHAnsi"/>
                <w:b/>
                <w:sz w:val="20"/>
                <w:szCs w:val="20"/>
              </w:rPr>
            </w:pPr>
            <w:r w:rsidRPr="00250E8E">
              <w:rPr>
                <w:rFonts w:asciiTheme="minorHAnsi" w:hAnsiTheme="minorHAnsi" w:cstheme="minorHAnsi"/>
                <w:b/>
                <w:bCs/>
                <w:sz w:val="20"/>
                <w:szCs w:val="20"/>
              </w:rPr>
              <w:t>-</w:t>
            </w:r>
          </w:p>
        </w:tc>
        <w:tc>
          <w:tcPr>
            <w:tcW w:w="581" w:type="pct"/>
            <w:tcBorders>
              <w:top w:val="single" w:sz="4" w:space="0" w:color="auto"/>
              <w:bottom w:val="single" w:sz="4" w:space="0" w:color="auto"/>
            </w:tcBorders>
            <w:shd w:val="clear" w:color="auto" w:fill="F2F2F2" w:themeFill="background1" w:themeFillShade="F2"/>
          </w:tcPr>
          <w:p w14:paraId="029584DC" w14:textId="3701FB82" w:rsidR="005D2A4F" w:rsidRPr="00230F40" w:rsidRDefault="00B637FE" w:rsidP="005D2A4F">
            <w:pPr>
              <w:jc w:val="right"/>
              <w:rPr>
                <w:rFonts w:asciiTheme="minorHAnsi" w:hAnsiTheme="minorHAnsi" w:cstheme="minorHAnsi"/>
                <w:b/>
                <w:sz w:val="20"/>
                <w:szCs w:val="20"/>
              </w:rPr>
            </w:pPr>
            <w:r>
              <w:rPr>
                <w:rFonts w:asciiTheme="minorHAnsi" w:hAnsiTheme="minorHAnsi" w:cstheme="minorHAnsi"/>
                <w:b/>
                <w:bCs/>
                <w:sz w:val="20"/>
                <w:szCs w:val="20"/>
              </w:rPr>
              <w:t>0.2</w:t>
            </w:r>
          </w:p>
        </w:tc>
        <w:tc>
          <w:tcPr>
            <w:tcW w:w="612" w:type="pct"/>
            <w:tcBorders>
              <w:top w:val="single" w:sz="4" w:space="0" w:color="auto"/>
              <w:bottom w:val="single" w:sz="4" w:space="0" w:color="auto"/>
            </w:tcBorders>
            <w:shd w:val="clear" w:color="auto" w:fill="F2F2F2" w:themeFill="background1" w:themeFillShade="F2"/>
            <w:vAlign w:val="bottom"/>
          </w:tcPr>
          <w:p w14:paraId="2EC8D7D7" w14:textId="52CB46AF"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0.7</w:t>
            </w:r>
          </w:p>
        </w:tc>
        <w:tc>
          <w:tcPr>
            <w:tcW w:w="660" w:type="pct"/>
            <w:tcBorders>
              <w:top w:val="single" w:sz="4" w:space="0" w:color="auto"/>
              <w:bottom w:val="single" w:sz="4" w:space="0" w:color="auto"/>
            </w:tcBorders>
            <w:shd w:val="clear" w:color="auto" w:fill="F2F2F2" w:themeFill="background1" w:themeFillShade="F2"/>
            <w:vAlign w:val="bottom"/>
          </w:tcPr>
          <w:p w14:paraId="6A0D1869" w14:textId="211EB8AF"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16.9</w:t>
            </w:r>
          </w:p>
        </w:tc>
      </w:tr>
      <w:tr w:rsidR="00C82F35" w14:paraId="166F436B" w14:textId="77777777" w:rsidTr="003B7755">
        <w:trPr>
          <w:trHeight w:val="256"/>
        </w:trPr>
        <w:tc>
          <w:tcPr>
            <w:tcW w:w="1934" w:type="pct"/>
          </w:tcPr>
          <w:p w14:paraId="0F8C2AD8" w14:textId="77777777" w:rsidR="005D2A4F" w:rsidRPr="00A36F5C" w:rsidRDefault="005D2A4F" w:rsidP="005D2A4F">
            <w:pPr>
              <w:rPr>
                <w:rFonts w:asciiTheme="minorHAnsi" w:hAnsiTheme="minorHAnsi" w:cstheme="minorHAnsi"/>
                <w:bCs/>
                <w:sz w:val="20"/>
                <w:szCs w:val="20"/>
              </w:rPr>
            </w:pPr>
            <w:r w:rsidRPr="00A36F5C">
              <w:rPr>
                <w:rFonts w:asciiTheme="minorHAnsi" w:hAnsiTheme="minorHAnsi" w:cstheme="minorHAnsi"/>
                <w:bCs/>
                <w:sz w:val="20"/>
                <w:szCs w:val="20"/>
              </w:rPr>
              <w:lastRenderedPageBreak/>
              <w:t>Other income</w:t>
            </w:r>
          </w:p>
        </w:tc>
        <w:tc>
          <w:tcPr>
            <w:tcW w:w="607" w:type="pct"/>
            <w:tcBorders>
              <w:top w:val="single" w:sz="4" w:space="0" w:color="auto"/>
              <w:bottom w:val="single" w:sz="4" w:space="0" w:color="auto"/>
            </w:tcBorders>
            <w:shd w:val="clear" w:color="auto" w:fill="F2F2F2" w:themeFill="background1" w:themeFillShade="F2"/>
            <w:vAlign w:val="bottom"/>
          </w:tcPr>
          <w:p w14:paraId="0F5454C6" w14:textId="6C447B0D"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w:t>
            </w:r>
          </w:p>
        </w:tc>
        <w:tc>
          <w:tcPr>
            <w:tcW w:w="607" w:type="pct"/>
            <w:tcBorders>
              <w:top w:val="single" w:sz="4" w:space="0" w:color="auto"/>
              <w:bottom w:val="single" w:sz="4" w:space="0" w:color="auto"/>
            </w:tcBorders>
            <w:shd w:val="clear" w:color="auto" w:fill="F2F2F2" w:themeFill="background1" w:themeFillShade="F2"/>
          </w:tcPr>
          <w:p w14:paraId="3144DB2A" w14:textId="4E72D605" w:rsidR="005D2A4F" w:rsidRPr="007F7783" w:rsidRDefault="006B0FCE" w:rsidP="005D2A4F">
            <w:pPr>
              <w:jc w:val="right"/>
              <w:rPr>
                <w:rFonts w:asciiTheme="minorHAnsi" w:hAnsiTheme="minorHAnsi" w:cstheme="minorHAnsi"/>
                <w:b/>
                <w:sz w:val="20"/>
                <w:szCs w:val="20"/>
              </w:rPr>
            </w:pPr>
            <w:r w:rsidRPr="007F7783">
              <w:rPr>
                <w:rFonts w:asciiTheme="minorHAnsi" w:hAnsiTheme="minorHAnsi" w:cstheme="minorHAnsi"/>
                <w:b/>
                <w:bCs/>
                <w:sz w:val="20"/>
                <w:szCs w:val="20"/>
              </w:rPr>
              <w:t>-</w:t>
            </w:r>
          </w:p>
        </w:tc>
        <w:tc>
          <w:tcPr>
            <w:tcW w:w="581" w:type="pct"/>
            <w:tcBorders>
              <w:top w:val="single" w:sz="4" w:space="0" w:color="auto"/>
              <w:bottom w:val="single" w:sz="4" w:space="0" w:color="auto"/>
            </w:tcBorders>
            <w:shd w:val="clear" w:color="auto" w:fill="F2F2F2" w:themeFill="background1" w:themeFillShade="F2"/>
          </w:tcPr>
          <w:p w14:paraId="457C8EB2" w14:textId="428C68E7" w:rsidR="005D2A4F" w:rsidRPr="007F7783" w:rsidRDefault="006B0FCE" w:rsidP="005D2A4F">
            <w:pPr>
              <w:jc w:val="right"/>
              <w:rPr>
                <w:rFonts w:asciiTheme="minorHAnsi" w:hAnsiTheme="minorHAnsi" w:cstheme="minorHAnsi"/>
                <w:b/>
                <w:sz w:val="20"/>
                <w:szCs w:val="20"/>
              </w:rPr>
            </w:pPr>
            <w:r w:rsidRPr="007F7783">
              <w:rPr>
                <w:rFonts w:asciiTheme="minorHAnsi" w:hAnsiTheme="minorHAnsi" w:cstheme="minorHAnsi"/>
                <w:b/>
                <w:bCs/>
                <w:sz w:val="20"/>
                <w:szCs w:val="20"/>
              </w:rPr>
              <w:t>-</w:t>
            </w:r>
          </w:p>
        </w:tc>
        <w:tc>
          <w:tcPr>
            <w:tcW w:w="612" w:type="pct"/>
            <w:tcBorders>
              <w:top w:val="single" w:sz="4" w:space="0" w:color="auto"/>
              <w:bottom w:val="single" w:sz="4" w:space="0" w:color="auto"/>
            </w:tcBorders>
            <w:shd w:val="clear" w:color="auto" w:fill="F2F2F2" w:themeFill="background1" w:themeFillShade="F2"/>
            <w:vAlign w:val="bottom"/>
          </w:tcPr>
          <w:p w14:paraId="18F44404" w14:textId="5B638861"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0.6</w:t>
            </w:r>
          </w:p>
        </w:tc>
        <w:tc>
          <w:tcPr>
            <w:tcW w:w="660" w:type="pct"/>
            <w:tcBorders>
              <w:top w:val="single" w:sz="4" w:space="0" w:color="auto"/>
              <w:bottom w:val="single" w:sz="4" w:space="0" w:color="auto"/>
            </w:tcBorders>
            <w:shd w:val="clear" w:color="auto" w:fill="F2F2F2" w:themeFill="background1" w:themeFillShade="F2"/>
            <w:vAlign w:val="bottom"/>
          </w:tcPr>
          <w:p w14:paraId="6DE21C94" w14:textId="329FE7D2"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0.6</w:t>
            </w:r>
          </w:p>
        </w:tc>
      </w:tr>
      <w:tr w:rsidR="00C82F35" w14:paraId="0D8A7003" w14:textId="77777777" w:rsidTr="003B7755">
        <w:trPr>
          <w:trHeight w:val="244"/>
        </w:trPr>
        <w:tc>
          <w:tcPr>
            <w:tcW w:w="1934" w:type="pct"/>
          </w:tcPr>
          <w:p w14:paraId="457A17D8" w14:textId="77777777" w:rsidR="005D2A4F" w:rsidRPr="00A36F5C" w:rsidRDefault="005D2A4F" w:rsidP="005D2A4F">
            <w:pPr>
              <w:rPr>
                <w:rFonts w:asciiTheme="minorHAnsi" w:hAnsiTheme="minorHAnsi" w:cstheme="minorHAnsi"/>
                <w:b/>
                <w:sz w:val="20"/>
                <w:szCs w:val="20"/>
              </w:rPr>
            </w:pPr>
            <w:r w:rsidRPr="00A36F5C">
              <w:rPr>
                <w:rFonts w:asciiTheme="minorHAnsi" w:hAnsiTheme="minorHAnsi" w:cstheme="minorHAnsi"/>
                <w:b/>
                <w:sz w:val="20"/>
                <w:szCs w:val="20"/>
              </w:rPr>
              <w:t>Total income</w:t>
            </w:r>
          </w:p>
        </w:tc>
        <w:tc>
          <w:tcPr>
            <w:tcW w:w="607" w:type="pct"/>
            <w:tcBorders>
              <w:top w:val="single" w:sz="4" w:space="0" w:color="auto"/>
            </w:tcBorders>
            <w:shd w:val="clear" w:color="auto" w:fill="F2F2F2" w:themeFill="background1" w:themeFillShade="F2"/>
            <w:vAlign w:val="bottom"/>
          </w:tcPr>
          <w:p w14:paraId="77F1873E" w14:textId="01CD7D19"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170.3</w:t>
            </w:r>
          </w:p>
        </w:tc>
        <w:tc>
          <w:tcPr>
            <w:tcW w:w="607" w:type="pct"/>
            <w:tcBorders>
              <w:top w:val="single" w:sz="4" w:space="0" w:color="auto"/>
            </w:tcBorders>
            <w:shd w:val="clear" w:color="auto" w:fill="F2F2F2" w:themeFill="background1" w:themeFillShade="F2"/>
            <w:vAlign w:val="bottom"/>
          </w:tcPr>
          <w:p w14:paraId="07DE4432" w14:textId="46F00612"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48.6</w:t>
            </w:r>
          </w:p>
        </w:tc>
        <w:tc>
          <w:tcPr>
            <w:tcW w:w="581" w:type="pct"/>
            <w:tcBorders>
              <w:top w:val="single" w:sz="4" w:space="0" w:color="auto"/>
            </w:tcBorders>
            <w:shd w:val="clear" w:color="auto" w:fill="F2F2F2" w:themeFill="background1" w:themeFillShade="F2"/>
            <w:vAlign w:val="bottom"/>
          </w:tcPr>
          <w:p w14:paraId="4D9E42BF" w14:textId="04E7DD02"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4.5</w:t>
            </w:r>
          </w:p>
        </w:tc>
        <w:tc>
          <w:tcPr>
            <w:tcW w:w="612" w:type="pct"/>
            <w:tcBorders>
              <w:top w:val="single" w:sz="4" w:space="0" w:color="auto"/>
            </w:tcBorders>
            <w:shd w:val="clear" w:color="auto" w:fill="F2F2F2" w:themeFill="background1" w:themeFillShade="F2"/>
            <w:vAlign w:val="bottom"/>
          </w:tcPr>
          <w:p w14:paraId="79DD957B" w14:textId="524C389E"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(3.7)</w:t>
            </w:r>
          </w:p>
        </w:tc>
        <w:tc>
          <w:tcPr>
            <w:tcW w:w="660" w:type="pct"/>
            <w:tcBorders>
              <w:top w:val="single" w:sz="4" w:space="0" w:color="auto"/>
            </w:tcBorders>
            <w:shd w:val="clear" w:color="auto" w:fill="F2F2F2" w:themeFill="background1" w:themeFillShade="F2"/>
            <w:vAlign w:val="bottom"/>
          </w:tcPr>
          <w:p w14:paraId="44BC7968" w14:textId="4C2A530F"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219.7</w:t>
            </w:r>
          </w:p>
        </w:tc>
      </w:tr>
      <w:tr w:rsidR="00C82F35" w14:paraId="72064693" w14:textId="77777777" w:rsidTr="003B7755">
        <w:trPr>
          <w:trHeight w:val="244"/>
        </w:trPr>
        <w:tc>
          <w:tcPr>
            <w:tcW w:w="1934" w:type="pct"/>
          </w:tcPr>
          <w:p w14:paraId="12F7E5C7" w14:textId="77777777" w:rsidR="005D2A4F" w:rsidRPr="00A36F5C" w:rsidRDefault="005D2A4F" w:rsidP="005D2A4F">
            <w:pPr>
              <w:rPr>
                <w:rFonts w:asciiTheme="minorHAnsi" w:hAnsiTheme="minorHAnsi" w:cstheme="minorHAnsi"/>
                <w:bCs/>
                <w:sz w:val="20"/>
                <w:szCs w:val="20"/>
              </w:rPr>
            </w:pPr>
            <w:r w:rsidRPr="00A36F5C">
              <w:rPr>
                <w:rFonts w:asciiTheme="minorHAnsi" w:hAnsiTheme="minorHAnsi" w:cstheme="minorHAnsi"/>
                <w:bCs/>
                <w:sz w:val="20"/>
                <w:szCs w:val="20"/>
              </w:rPr>
              <w:t>Impairment charges</w:t>
            </w:r>
          </w:p>
        </w:tc>
        <w:tc>
          <w:tcPr>
            <w:tcW w:w="607" w:type="pct"/>
            <w:tcBorders>
              <w:bottom w:val="single" w:sz="4" w:space="0" w:color="auto"/>
            </w:tcBorders>
            <w:shd w:val="clear" w:color="auto" w:fill="F2F2F2" w:themeFill="background1" w:themeFillShade="F2"/>
            <w:vAlign w:val="bottom"/>
          </w:tcPr>
          <w:p w14:paraId="4B36D018" w14:textId="4344E3BA"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(64.0)</w:t>
            </w:r>
          </w:p>
        </w:tc>
        <w:tc>
          <w:tcPr>
            <w:tcW w:w="607" w:type="pct"/>
            <w:tcBorders>
              <w:bottom w:val="single" w:sz="4" w:space="0" w:color="auto"/>
            </w:tcBorders>
            <w:shd w:val="clear" w:color="auto" w:fill="F2F2F2" w:themeFill="background1" w:themeFillShade="F2"/>
            <w:vAlign w:val="bottom"/>
          </w:tcPr>
          <w:p w14:paraId="10DA0988" w14:textId="0125AA1F"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(12.7)</w:t>
            </w:r>
          </w:p>
        </w:tc>
        <w:tc>
          <w:tcPr>
            <w:tcW w:w="581" w:type="pct"/>
            <w:tcBorders>
              <w:bottom w:val="single" w:sz="4" w:space="0" w:color="auto"/>
            </w:tcBorders>
            <w:shd w:val="clear" w:color="auto" w:fill="F2F2F2" w:themeFill="background1" w:themeFillShade="F2"/>
            <w:vAlign w:val="bottom"/>
          </w:tcPr>
          <w:p w14:paraId="645AB6AE" w14:textId="4E16587D"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(0.2)</w:t>
            </w:r>
          </w:p>
        </w:tc>
        <w:tc>
          <w:tcPr>
            <w:tcW w:w="612" w:type="pct"/>
            <w:tcBorders>
              <w:bottom w:val="single" w:sz="4" w:space="0" w:color="auto"/>
            </w:tcBorders>
            <w:shd w:val="clear" w:color="auto" w:fill="F2F2F2" w:themeFill="background1" w:themeFillShade="F2"/>
            <w:vAlign w:val="bottom"/>
          </w:tcPr>
          <w:p w14:paraId="03262BC4" w14:textId="5124D62C"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0.8</w:t>
            </w:r>
          </w:p>
        </w:tc>
        <w:tc>
          <w:tcPr>
            <w:tcW w:w="660" w:type="pct"/>
            <w:tcBorders>
              <w:bottom w:val="single" w:sz="4" w:space="0" w:color="auto"/>
            </w:tcBorders>
            <w:shd w:val="clear" w:color="auto" w:fill="F2F2F2" w:themeFill="background1" w:themeFillShade="F2"/>
            <w:vAlign w:val="bottom"/>
          </w:tcPr>
          <w:p w14:paraId="6A69A5B0" w14:textId="0EC140D1"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(76.1)</w:t>
            </w:r>
          </w:p>
        </w:tc>
      </w:tr>
      <w:tr w:rsidR="00C82F35" w14:paraId="769BB70B" w14:textId="77777777" w:rsidTr="003B7755">
        <w:trPr>
          <w:trHeight w:val="256"/>
        </w:trPr>
        <w:tc>
          <w:tcPr>
            <w:tcW w:w="1934" w:type="pct"/>
          </w:tcPr>
          <w:p w14:paraId="75CE6CFC" w14:textId="77777777" w:rsidR="005D2A4F" w:rsidRPr="00A36F5C" w:rsidRDefault="005D2A4F" w:rsidP="005D2A4F">
            <w:pPr>
              <w:rPr>
                <w:rFonts w:asciiTheme="minorHAnsi" w:hAnsiTheme="minorHAnsi" w:cstheme="minorHAnsi"/>
                <w:b/>
                <w:sz w:val="20"/>
                <w:szCs w:val="20"/>
              </w:rPr>
            </w:pPr>
            <w:r w:rsidRPr="00A36F5C">
              <w:rPr>
                <w:rFonts w:asciiTheme="minorHAnsi" w:hAnsiTheme="minorHAnsi" w:cstheme="minorHAnsi"/>
                <w:b/>
                <w:sz w:val="20"/>
                <w:szCs w:val="20"/>
              </w:rPr>
              <w:t>Risk-adjusted income</w:t>
            </w:r>
          </w:p>
        </w:tc>
        <w:tc>
          <w:tcPr>
            <w:tcW w:w="607" w:type="pct"/>
            <w:tcBorders>
              <w:top w:val="single" w:sz="4" w:space="0" w:color="auto"/>
            </w:tcBorders>
            <w:shd w:val="clear" w:color="auto" w:fill="F2F2F2" w:themeFill="background1" w:themeFillShade="F2"/>
            <w:vAlign w:val="bottom"/>
          </w:tcPr>
          <w:p w14:paraId="0B37FBDB" w14:textId="44E12087"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106.3</w:t>
            </w:r>
          </w:p>
        </w:tc>
        <w:tc>
          <w:tcPr>
            <w:tcW w:w="607" w:type="pct"/>
            <w:tcBorders>
              <w:top w:val="single" w:sz="4" w:space="0" w:color="auto"/>
            </w:tcBorders>
            <w:shd w:val="clear" w:color="auto" w:fill="F2F2F2" w:themeFill="background1" w:themeFillShade="F2"/>
            <w:vAlign w:val="bottom"/>
          </w:tcPr>
          <w:p w14:paraId="7DC5C138" w14:textId="1CFC28FA"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35.9</w:t>
            </w:r>
          </w:p>
        </w:tc>
        <w:tc>
          <w:tcPr>
            <w:tcW w:w="581" w:type="pct"/>
            <w:tcBorders>
              <w:top w:val="single" w:sz="4" w:space="0" w:color="auto"/>
            </w:tcBorders>
            <w:shd w:val="clear" w:color="auto" w:fill="F2F2F2" w:themeFill="background1" w:themeFillShade="F2"/>
            <w:vAlign w:val="bottom"/>
          </w:tcPr>
          <w:p w14:paraId="67460102" w14:textId="4A4D872E"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4.3</w:t>
            </w:r>
          </w:p>
        </w:tc>
        <w:tc>
          <w:tcPr>
            <w:tcW w:w="612" w:type="pct"/>
            <w:tcBorders>
              <w:top w:val="single" w:sz="4" w:space="0" w:color="auto"/>
            </w:tcBorders>
            <w:shd w:val="clear" w:color="auto" w:fill="F2F2F2" w:themeFill="background1" w:themeFillShade="F2"/>
            <w:vAlign w:val="bottom"/>
          </w:tcPr>
          <w:p w14:paraId="22ECCDC6" w14:textId="0D39287C"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(2.9)</w:t>
            </w:r>
          </w:p>
        </w:tc>
        <w:tc>
          <w:tcPr>
            <w:tcW w:w="660" w:type="pct"/>
            <w:tcBorders>
              <w:top w:val="single" w:sz="4" w:space="0" w:color="auto"/>
            </w:tcBorders>
            <w:shd w:val="clear" w:color="auto" w:fill="F2F2F2" w:themeFill="background1" w:themeFillShade="F2"/>
            <w:vAlign w:val="bottom"/>
          </w:tcPr>
          <w:p w14:paraId="719EDD46" w14:textId="26E047A7"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143.6</w:t>
            </w:r>
          </w:p>
        </w:tc>
      </w:tr>
      <w:tr w:rsidR="00C82F35" w14:paraId="59B15B81" w14:textId="77777777" w:rsidTr="003B7755">
        <w:trPr>
          <w:trHeight w:val="244"/>
        </w:trPr>
        <w:tc>
          <w:tcPr>
            <w:tcW w:w="1934" w:type="pct"/>
          </w:tcPr>
          <w:p w14:paraId="4ECA217F" w14:textId="3B96B7D3" w:rsidR="005D2A4F" w:rsidRPr="00A36F5C" w:rsidRDefault="00F47A91" w:rsidP="005D2A4F">
            <w:pPr>
              <w:rPr>
                <w:rFonts w:asciiTheme="minorHAnsi" w:hAnsiTheme="minorHAnsi" w:cstheme="minorHAnsi"/>
                <w:bCs/>
                <w:sz w:val="20"/>
                <w:szCs w:val="20"/>
              </w:rPr>
            </w:pPr>
            <w:r>
              <w:rPr>
                <w:rFonts w:asciiTheme="minorHAnsi" w:hAnsiTheme="minorHAnsi" w:cstheme="minorHAnsi"/>
                <w:bCs/>
                <w:sz w:val="20"/>
                <w:szCs w:val="20"/>
              </w:rPr>
              <w:t>O</w:t>
            </w:r>
            <w:r w:rsidR="00027732" w:rsidRPr="00A36F5C">
              <w:rPr>
                <w:rFonts w:asciiTheme="minorHAnsi" w:hAnsiTheme="minorHAnsi" w:cstheme="minorHAnsi"/>
                <w:bCs/>
                <w:sz w:val="20"/>
                <w:szCs w:val="20"/>
              </w:rPr>
              <w:t>perating costs</w:t>
            </w:r>
          </w:p>
        </w:tc>
        <w:tc>
          <w:tcPr>
            <w:tcW w:w="607" w:type="pct"/>
            <w:tcBorders>
              <w:bottom w:val="single" w:sz="4" w:space="0" w:color="auto"/>
            </w:tcBorders>
            <w:shd w:val="clear" w:color="auto" w:fill="F2F2F2" w:themeFill="background1" w:themeFillShade="F2"/>
            <w:vAlign w:val="bottom"/>
          </w:tcPr>
          <w:p w14:paraId="3B73F2C2" w14:textId="0BA9B03D"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(93.7)</w:t>
            </w:r>
          </w:p>
        </w:tc>
        <w:tc>
          <w:tcPr>
            <w:tcW w:w="607" w:type="pct"/>
            <w:tcBorders>
              <w:bottom w:val="single" w:sz="4" w:space="0" w:color="auto"/>
            </w:tcBorders>
            <w:shd w:val="clear" w:color="auto" w:fill="F2F2F2" w:themeFill="background1" w:themeFillShade="F2"/>
            <w:vAlign w:val="bottom"/>
          </w:tcPr>
          <w:p w14:paraId="6A34CC59" w14:textId="10BCBDC4"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(34.5)</w:t>
            </w:r>
          </w:p>
        </w:tc>
        <w:tc>
          <w:tcPr>
            <w:tcW w:w="581" w:type="pct"/>
            <w:tcBorders>
              <w:bottom w:val="single" w:sz="4" w:space="0" w:color="auto"/>
            </w:tcBorders>
            <w:shd w:val="clear" w:color="auto" w:fill="F2F2F2" w:themeFill="background1" w:themeFillShade="F2"/>
            <w:vAlign w:val="bottom"/>
          </w:tcPr>
          <w:p w14:paraId="1294CFF2" w14:textId="1B47CC66"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(1.9)</w:t>
            </w:r>
          </w:p>
        </w:tc>
        <w:tc>
          <w:tcPr>
            <w:tcW w:w="612" w:type="pct"/>
            <w:tcBorders>
              <w:bottom w:val="single" w:sz="4" w:space="0" w:color="auto"/>
            </w:tcBorders>
            <w:shd w:val="clear" w:color="auto" w:fill="F2F2F2" w:themeFill="background1" w:themeFillShade="F2"/>
            <w:vAlign w:val="bottom"/>
          </w:tcPr>
          <w:p w14:paraId="30C1F9D4" w14:textId="64D2CFFF"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(7.3)</w:t>
            </w:r>
          </w:p>
        </w:tc>
        <w:tc>
          <w:tcPr>
            <w:tcW w:w="660" w:type="pct"/>
            <w:tcBorders>
              <w:bottom w:val="single" w:sz="4" w:space="0" w:color="auto"/>
            </w:tcBorders>
            <w:shd w:val="clear" w:color="auto" w:fill="F2F2F2" w:themeFill="background1" w:themeFillShade="F2"/>
            <w:vAlign w:val="bottom"/>
          </w:tcPr>
          <w:p w14:paraId="1C99F74F" w14:textId="05298E37" w:rsidR="005D2A4F" w:rsidRPr="007F7783" w:rsidRDefault="006B0FCE" w:rsidP="005D2A4F">
            <w:pPr>
              <w:jc w:val="right"/>
              <w:rPr>
                <w:rFonts w:asciiTheme="minorHAnsi" w:hAnsiTheme="minorHAnsi" w:cstheme="minorHAnsi"/>
                <w:b/>
                <w:sz w:val="20"/>
                <w:szCs w:val="20"/>
              </w:rPr>
            </w:pPr>
            <w:r w:rsidRPr="007F7783">
              <w:rPr>
                <w:rFonts w:ascii="Calibri" w:hAnsi="Calibri" w:cs="Calibri"/>
                <w:b/>
                <w:bCs/>
                <w:sz w:val="20"/>
                <w:szCs w:val="20"/>
              </w:rPr>
              <w:t>(137.4)</w:t>
            </w:r>
          </w:p>
        </w:tc>
      </w:tr>
      <w:tr w:rsidR="00C82F35" w14:paraId="69175F22" w14:textId="77777777" w:rsidTr="003B7755">
        <w:trPr>
          <w:trHeight w:val="244"/>
        </w:trPr>
        <w:tc>
          <w:tcPr>
            <w:tcW w:w="1934" w:type="pct"/>
          </w:tcPr>
          <w:p w14:paraId="04103A7C" w14:textId="15300E7B" w:rsidR="005D2A4F" w:rsidRPr="00A36F5C" w:rsidRDefault="005D2A4F" w:rsidP="005D2A4F">
            <w:pPr>
              <w:rPr>
                <w:rFonts w:asciiTheme="minorHAnsi" w:hAnsiTheme="minorHAnsi" w:cstheme="minorHAnsi"/>
                <w:b/>
                <w:sz w:val="20"/>
                <w:szCs w:val="20"/>
              </w:rPr>
            </w:pPr>
            <w:r w:rsidRPr="00A36F5C">
              <w:rPr>
                <w:rFonts w:asciiTheme="minorHAnsi" w:hAnsiTheme="minorHAnsi" w:cstheme="minorHAnsi"/>
                <w:b/>
                <w:sz w:val="20"/>
                <w:szCs w:val="20"/>
              </w:rPr>
              <w:t>PBT/(LBT)</w:t>
            </w:r>
            <w:r w:rsidR="005F382E">
              <w:rPr>
                <w:rFonts w:asciiTheme="minorHAnsi" w:hAnsiTheme="minorHAnsi" w:cstheme="minorHAnsi"/>
                <w:b/>
                <w:sz w:val="20"/>
                <w:szCs w:val="20"/>
              </w:rPr>
              <w:t xml:space="preserve"> from continuing operations</w:t>
            </w:r>
          </w:p>
        </w:tc>
        <w:tc>
          <w:tcPr>
            <w:tcW w:w="607" w:type="pct"/>
            <w:tcBorders>
              <w:top w:val="single" w:sz="4" w:space="0" w:color="auto"/>
              <w:bottom w:val="single" w:sz="4" w:space="0" w:color="auto"/>
            </w:tcBorders>
            <w:shd w:val="clear" w:color="auto" w:fill="F2F2F2" w:themeFill="background1" w:themeFillShade="F2"/>
            <w:vAlign w:val="bottom"/>
          </w:tcPr>
          <w:p w14:paraId="7DA0599F" w14:textId="7B109302" w:rsidR="005D2A4F" w:rsidRPr="00230F40" w:rsidRDefault="006B0FCE" w:rsidP="005D2A4F">
            <w:pPr>
              <w:jc w:val="right"/>
              <w:rPr>
                <w:rFonts w:asciiTheme="minorHAnsi" w:hAnsiTheme="minorHAnsi" w:cstheme="minorHAnsi"/>
                <w:b/>
                <w:sz w:val="20"/>
                <w:szCs w:val="20"/>
              </w:rPr>
            </w:pPr>
            <w:r w:rsidRPr="00250E8E">
              <w:rPr>
                <w:rFonts w:asciiTheme="minorHAnsi" w:hAnsiTheme="minorHAnsi" w:cstheme="minorHAnsi"/>
                <w:b/>
                <w:bCs/>
                <w:sz w:val="20"/>
                <w:szCs w:val="20"/>
              </w:rPr>
              <w:t>12.6</w:t>
            </w:r>
          </w:p>
        </w:tc>
        <w:tc>
          <w:tcPr>
            <w:tcW w:w="607" w:type="pct"/>
            <w:tcBorders>
              <w:top w:val="single" w:sz="4" w:space="0" w:color="auto"/>
              <w:bottom w:val="single" w:sz="4" w:space="0" w:color="auto"/>
            </w:tcBorders>
            <w:shd w:val="clear" w:color="auto" w:fill="F2F2F2" w:themeFill="background1" w:themeFillShade="F2"/>
            <w:vAlign w:val="bottom"/>
          </w:tcPr>
          <w:p w14:paraId="0B9B19E8" w14:textId="33C8B6FF"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1.4</w:t>
            </w:r>
          </w:p>
        </w:tc>
        <w:tc>
          <w:tcPr>
            <w:tcW w:w="581" w:type="pct"/>
            <w:tcBorders>
              <w:top w:val="single" w:sz="4" w:space="0" w:color="auto"/>
              <w:bottom w:val="single" w:sz="4" w:space="0" w:color="auto"/>
            </w:tcBorders>
            <w:shd w:val="clear" w:color="auto" w:fill="F2F2F2" w:themeFill="background1" w:themeFillShade="F2"/>
            <w:vAlign w:val="bottom"/>
          </w:tcPr>
          <w:p w14:paraId="4B3CB23E" w14:textId="2C7932FB"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2.4</w:t>
            </w:r>
          </w:p>
        </w:tc>
        <w:tc>
          <w:tcPr>
            <w:tcW w:w="612" w:type="pct"/>
            <w:tcBorders>
              <w:top w:val="single" w:sz="4" w:space="0" w:color="auto"/>
              <w:bottom w:val="single" w:sz="4" w:space="0" w:color="auto"/>
            </w:tcBorders>
            <w:shd w:val="clear" w:color="auto" w:fill="F2F2F2" w:themeFill="background1" w:themeFillShade="F2"/>
            <w:vAlign w:val="bottom"/>
          </w:tcPr>
          <w:p w14:paraId="1C2BA897" w14:textId="06825743"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(10.2)</w:t>
            </w:r>
          </w:p>
        </w:tc>
        <w:tc>
          <w:tcPr>
            <w:tcW w:w="660" w:type="pct"/>
            <w:tcBorders>
              <w:top w:val="single" w:sz="4" w:space="0" w:color="auto"/>
              <w:bottom w:val="single" w:sz="4" w:space="0" w:color="auto"/>
            </w:tcBorders>
            <w:shd w:val="clear" w:color="auto" w:fill="F2F2F2" w:themeFill="background1" w:themeFillShade="F2"/>
            <w:vAlign w:val="bottom"/>
          </w:tcPr>
          <w:p w14:paraId="51EF6C37" w14:textId="26417E77" w:rsidR="005D2A4F" w:rsidRPr="00230F40" w:rsidRDefault="006B0FCE" w:rsidP="005D2A4F">
            <w:pPr>
              <w:jc w:val="right"/>
              <w:rPr>
                <w:rFonts w:asciiTheme="minorHAnsi" w:hAnsiTheme="minorHAnsi" w:cstheme="minorHAnsi"/>
                <w:b/>
                <w:sz w:val="20"/>
                <w:szCs w:val="20"/>
              </w:rPr>
            </w:pPr>
            <w:r w:rsidRPr="00250E8E">
              <w:rPr>
                <w:rFonts w:ascii="Calibri" w:hAnsi="Calibri" w:cs="Calibri"/>
                <w:b/>
                <w:bCs/>
                <w:sz w:val="20"/>
                <w:szCs w:val="20"/>
              </w:rPr>
              <w:t>6.2</w:t>
            </w:r>
          </w:p>
        </w:tc>
      </w:tr>
    </w:tbl>
    <w:p w14:paraId="473DF35E" w14:textId="4DEC0F0A" w:rsidR="00CE7C98" w:rsidRPr="00701439" w:rsidRDefault="00CE7C98" w:rsidP="00CE7C98">
      <w:pPr>
        <w:rPr>
          <w:rFonts w:asciiTheme="minorHAnsi" w:hAnsiTheme="minorHAnsi" w:cs="Arial"/>
          <w:b/>
          <w:color w:val="4747FF"/>
          <w:sz w:val="22"/>
          <w:szCs w:val="22"/>
        </w:rPr>
      </w:pPr>
    </w:p>
    <w:p w14:paraId="3A8AC442" w14:textId="77777777" w:rsidR="00606E88" w:rsidRDefault="00606E88" w:rsidP="00A1425C">
      <w:pPr>
        <w:rPr>
          <w:rFonts w:asciiTheme="minorHAnsi" w:hAnsiTheme="minorHAnsi" w:cs="Arial"/>
          <w:b/>
          <w:sz w:val="20"/>
          <w:szCs w:val="20"/>
        </w:rPr>
      </w:pPr>
    </w:p>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167"/>
        <w:gridCol w:w="1167"/>
        <w:gridCol w:w="1200"/>
        <w:gridCol w:w="1167"/>
        <w:gridCol w:w="1272"/>
      </w:tblGrid>
      <w:tr w:rsidR="00A86232" w14:paraId="24FF99F3" w14:textId="77777777" w:rsidTr="003B7755">
        <w:trPr>
          <w:trHeight w:val="227"/>
        </w:trPr>
        <w:tc>
          <w:tcPr>
            <w:tcW w:w="1909" w:type="pct"/>
          </w:tcPr>
          <w:p w14:paraId="0D80355A" w14:textId="77777777" w:rsidR="00A86232" w:rsidRPr="00A36F5C" w:rsidRDefault="00A86232">
            <w:pPr>
              <w:rPr>
                <w:rFonts w:asciiTheme="minorHAnsi" w:hAnsiTheme="minorHAnsi" w:cstheme="minorHAnsi"/>
                <w:bCs/>
                <w:sz w:val="20"/>
                <w:szCs w:val="20"/>
              </w:rPr>
            </w:pPr>
          </w:p>
        </w:tc>
        <w:tc>
          <w:tcPr>
            <w:tcW w:w="3091" w:type="pct"/>
            <w:gridSpan w:val="5"/>
          </w:tcPr>
          <w:p w14:paraId="0A8B81CF" w14:textId="21EE9F2F" w:rsidR="00A86232" w:rsidRPr="00B87A15" w:rsidRDefault="00A86232">
            <w:pPr>
              <w:jc w:val="center"/>
              <w:rPr>
                <w:rFonts w:asciiTheme="minorHAnsi" w:hAnsiTheme="minorHAnsi" w:cstheme="minorHAnsi"/>
                <w:bCs/>
                <w:sz w:val="20"/>
                <w:szCs w:val="20"/>
              </w:rPr>
            </w:pPr>
            <w:r w:rsidRPr="007037A7">
              <w:rPr>
                <w:rFonts w:asciiTheme="minorHAnsi" w:hAnsiTheme="minorHAnsi" w:cstheme="minorHAnsi"/>
                <w:sz w:val="20"/>
                <w:szCs w:val="20"/>
              </w:rPr>
              <w:t>Six months ended 30 June 202</w:t>
            </w:r>
            <w:r>
              <w:rPr>
                <w:rFonts w:asciiTheme="minorHAnsi" w:hAnsiTheme="minorHAnsi" w:cstheme="minorHAnsi"/>
                <w:sz w:val="20"/>
                <w:szCs w:val="20"/>
              </w:rPr>
              <w:t>4</w:t>
            </w:r>
            <w:r w:rsidR="000C6DDD" w:rsidRPr="000C6DDD">
              <w:rPr>
                <w:rFonts w:asciiTheme="minorHAnsi" w:hAnsiTheme="minorHAnsi" w:cstheme="minorHAnsi"/>
                <w:sz w:val="20"/>
                <w:szCs w:val="20"/>
                <w:vertAlign w:val="superscript"/>
              </w:rPr>
              <w:t>1</w:t>
            </w:r>
            <w:r w:rsidR="000D3638">
              <w:rPr>
                <w:rFonts w:asciiTheme="minorHAnsi" w:hAnsiTheme="minorHAnsi" w:cstheme="minorHAnsi"/>
                <w:sz w:val="20"/>
                <w:szCs w:val="20"/>
              </w:rPr>
              <w:t xml:space="preserve"> </w:t>
            </w:r>
            <w:r w:rsidR="003C1CB3" w:rsidRPr="00CA3EDF">
              <w:rPr>
                <w:rFonts w:asciiTheme="minorHAnsi" w:hAnsiTheme="minorHAnsi" w:cs="Arial"/>
                <w:bCs/>
                <w:sz w:val="20"/>
                <w:szCs w:val="20"/>
              </w:rPr>
              <w:t>unaudited</w:t>
            </w:r>
          </w:p>
        </w:tc>
      </w:tr>
      <w:tr w:rsidR="00A86232" w14:paraId="13A56B46" w14:textId="77777777" w:rsidTr="003B7755">
        <w:trPr>
          <w:trHeight w:val="659"/>
        </w:trPr>
        <w:tc>
          <w:tcPr>
            <w:tcW w:w="1909" w:type="pct"/>
          </w:tcPr>
          <w:p w14:paraId="7CC1B825" w14:textId="77777777" w:rsidR="00A86232" w:rsidRPr="00A36F5C" w:rsidRDefault="00A86232">
            <w:pPr>
              <w:rPr>
                <w:rFonts w:asciiTheme="minorHAnsi" w:hAnsiTheme="minorHAnsi" w:cstheme="minorHAnsi"/>
                <w:bCs/>
                <w:sz w:val="20"/>
                <w:szCs w:val="20"/>
              </w:rPr>
            </w:pPr>
          </w:p>
        </w:tc>
        <w:tc>
          <w:tcPr>
            <w:tcW w:w="604" w:type="pct"/>
          </w:tcPr>
          <w:p w14:paraId="71AF2BAF" w14:textId="77777777" w:rsidR="00A86232" w:rsidRPr="00A36F5C" w:rsidRDefault="00A86232">
            <w:pPr>
              <w:jc w:val="right"/>
              <w:rPr>
                <w:rFonts w:asciiTheme="minorHAnsi" w:hAnsiTheme="minorHAnsi" w:cstheme="minorHAnsi"/>
                <w:bCs/>
                <w:sz w:val="20"/>
                <w:szCs w:val="20"/>
              </w:rPr>
            </w:pPr>
            <w:r>
              <w:rPr>
                <w:rFonts w:asciiTheme="minorHAnsi" w:hAnsiTheme="minorHAnsi" w:cstheme="minorHAnsi"/>
                <w:bCs/>
                <w:sz w:val="20"/>
                <w:szCs w:val="20"/>
              </w:rPr>
              <w:t>Credit Cards</w:t>
            </w:r>
          </w:p>
        </w:tc>
        <w:tc>
          <w:tcPr>
            <w:tcW w:w="604" w:type="pct"/>
          </w:tcPr>
          <w:p w14:paraId="73CC4BC3" w14:textId="77777777" w:rsidR="00A86232" w:rsidRPr="00A36F5C" w:rsidRDefault="00A86232">
            <w:pPr>
              <w:jc w:val="right"/>
              <w:rPr>
                <w:rFonts w:asciiTheme="minorHAnsi" w:hAnsiTheme="minorHAnsi" w:cstheme="minorHAnsi"/>
                <w:bCs/>
                <w:sz w:val="20"/>
                <w:szCs w:val="20"/>
              </w:rPr>
            </w:pPr>
            <w:r w:rsidRPr="00A36F5C">
              <w:rPr>
                <w:rFonts w:asciiTheme="minorHAnsi" w:hAnsiTheme="minorHAnsi" w:cstheme="minorHAnsi"/>
                <w:bCs/>
                <w:sz w:val="20"/>
                <w:szCs w:val="20"/>
              </w:rPr>
              <w:t>Vehicle Finance</w:t>
            </w:r>
          </w:p>
        </w:tc>
        <w:tc>
          <w:tcPr>
            <w:tcW w:w="621" w:type="pct"/>
          </w:tcPr>
          <w:p w14:paraId="6DE3DAE1" w14:textId="77777777" w:rsidR="00A86232" w:rsidRPr="00A36F5C" w:rsidRDefault="00A86232">
            <w:pPr>
              <w:jc w:val="right"/>
              <w:rPr>
                <w:rFonts w:asciiTheme="minorHAnsi" w:hAnsiTheme="minorHAnsi" w:cstheme="minorHAnsi"/>
                <w:bCs/>
                <w:sz w:val="20"/>
                <w:szCs w:val="20"/>
              </w:rPr>
            </w:pPr>
            <w:r>
              <w:rPr>
                <w:rFonts w:asciiTheme="minorHAnsi" w:hAnsiTheme="minorHAnsi" w:cstheme="minorHAnsi"/>
                <w:bCs/>
                <w:sz w:val="20"/>
                <w:szCs w:val="20"/>
              </w:rPr>
              <w:t>Second Charge Mortgages</w:t>
            </w:r>
          </w:p>
        </w:tc>
        <w:tc>
          <w:tcPr>
            <w:tcW w:w="604" w:type="pct"/>
          </w:tcPr>
          <w:p w14:paraId="10E38C06" w14:textId="77777777" w:rsidR="00A86232" w:rsidRPr="00A36F5C" w:rsidRDefault="00A86232">
            <w:pPr>
              <w:jc w:val="right"/>
              <w:rPr>
                <w:rFonts w:asciiTheme="minorHAnsi" w:hAnsiTheme="minorHAnsi" w:cstheme="minorHAnsi"/>
                <w:bCs/>
                <w:sz w:val="20"/>
                <w:szCs w:val="20"/>
              </w:rPr>
            </w:pPr>
            <w:r w:rsidRPr="00A36F5C">
              <w:rPr>
                <w:rFonts w:asciiTheme="minorHAnsi" w:hAnsiTheme="minorHAnsi" w:cstheme="minorHAnsi"/>
                <w:bCs/>
                <w:sz w:val="20"/>
                <w:szCs w:val="20"/>
              </w:rPr>
              <w:t>Corporate Centre</w:t>
            </w:r>
          </w:p>
        </w:tc>
        <w:tc>
          <w:tcPr>
            <w:tcW w:w="658" w:type="pct"/>
          </w:tcPr>
          <w:p w14:paraId="2A838C2D" w14:textId="77777777" w:rsidR="00A86232" w:rsidRPr="00B87A15" w:rsidRDefault="00A86232">
            <w:pPr>
              <w:jc w:val="right"/>
              <w:rPr>
                <w:rFonts w:asciiTheme="minorHAnsi" w:hAnsiTheme="minorHAnsi" w:cstheme="minorHAnsi"/>
                <w:bCs/>
                <w:sz w:val="20"/>
                <w:szCs w:val="20"/>
              </w:rPr>
            </w:pPr>
            <w:r w:rsidRPr="00B87A15">
              <w:rPr>
                <w:rFonts w:asciiTheme="minorHAnsi" w:hAnsiTheme="minorHAnsi" w:cstheme="minorHAnsi"/>
                <w:bCs/>
                <w:sz w:val="20"/>
                <w:szCs w:val="20"/>
              </w:rPr>
              <w:t>Total</w:t>
            </w:r>
          </w:p>
        </w:tc>
      </w:tr>
      <w:tr w:rsidR="00A86232" w14:paraId="6914237E" w14:textId="77777777" w:rsidTr="003B7755">
        <w:trPr>
          <w:trHeight w:val="220"/>
        </w:trPr>
        <w:tc>
          <w:tcPr>
            <w:tcW w:w="1909" w:type="pct"/>
          </w:tcPr>
          <w:p w14:paraId="4C111680" w14:textId="77777777" w:rsidR="00A86232" w:rsidRPr="00A36F5C" w:rsidRDefault="00A86232">
            <w:pPr>
              <w:rPr>
                <w:rFonts w:asciiTheme="minorHAnsi" w:hAnsiTheme="minorHAnsi" w:cstheme="minorHAnsi"/>
                <w:bCs/>
                <w:sz w:val="20"/>
                <w:szCs w:val="20"/>
              </w:rPr>
            </w:pPr>
          </w:p>
        </w:tc>
        <w:tc>
          <w:tcPr>
            <w:tcW w:w="604" w:type="pct"/>
            <w:tcBorders>
              <w:bottom w:val="single" w:sz="4" w:space="0" w:color="auto"/>
            </w:tcBorders>
          </w:tcPr>
          <w:p w14:paraId="4698FD93" w14:textId="77777777" w:rsidR="00A86232" w:rsidRPr="00A36F5C" w:rsidRDefault="00A86232">
            <w:pPr>
              <w:jc w:val="right"/>
              <w:rPr>
                <w:rFonts w:asciiTheme="minorHAnsi" w:hAnsiTheme="minorHAnsi" w:cstheme="minorHAnsi"/>
                <w:bCs/>
                <w:sz w:val="20"/>
                <w:szCs w:val="20"/>
              </w:rPr>
            </w:pPr>
            <w:r w:rsidRPr="00A36F5C">
              <w:rPr>
                <w:rFonts w:asciiTheme="minorHAnsi" w:hAnsiTheme="minorHAnsi" w:cstheme="minorHAnsi"/>
                <w:bCs/>
                <w:sz w:val="20"/>
                <w:szCs w:val="20"/>
              </w:rPr>
              <w:t>£m</w:t>
            </w:r>
          </w:p>
        </w:tc>
        <w:tc>
          <w:tcPr>
            <w:tcW w:w="604" w:type="pct"/>
            <w:tcBorders>
              <w:bottom w:val="single" w:sz="4" w:space="0" w:color="auto"/>
            </w:tcBorders>
          </w:tcPr>
          <w:p w14:paraId="7644B868" w14:textId="77777777" w:rsidR="00A86232" w:rsidRPr="00A36F5C" w:rsidRDefault="00A86232">
            <w:pPr>
              <w:jc w:val="right"/>
              <w:rPr>
                <w:rFonts w:asciiTheme="minorHAnsi" w:hAnsiTheme="minorHAnsi" w:cstheme="minorHAnsi"/>
                <w:bCs/>
                <w:sz w:val="20"/>
                <w:szCs w:val="20"/>
              </w:rPr>
            </w:pPr>
            <w:r w:rsidRPr="00A36F5C">
              <w:rPr>
                <w:rFonts w:asciiTheme="minorHAnsi" w:hAnsiTheme="minorHAnsi" w:cstheme="minorHAnsi"/>
                <w:bCs/>
                <w:sz w:val="20"/>
                <w:szCs w:val="20"/>
              </w:rPr>
              <w:t>£m</w:t>
            </w:r>
          </w:p>
        </w:tc>
        <w:tc>
          <w:tcPr>
            <w:tcW w:w="621" w:type="pct"/>
            <w:tcBorders>
              <w:bottom w:val="single" w:sz="4" w:space="0" w:color="auto"/>
            </w:tcBorders>
          </w:tcPr>
          <w:p w14:paraId="45635CFA" w14:textId="77777777" w:rsidR="00A86232" w:rsidRPr="00A36F5C" w:rsidRDefault="00A86232">
            <w:pPr>
              <w:jc w:val="right"/>
              <w:rPr>
                <w:rFonts w:asciiTheme="minorHAnsi" w:hAnsiTheme="minorHAnsi" w:cstheme="minorHAnsi"/>
                <w:bCs/>
                <w:sz w:val="20"/>
                <w:szCs w:val="20"/>
              </w:rPr>
            </w:pPr>
            <w:r w:rsidRPr="00A36F5C">
              <w:rPr>
                <w:rFonts w:asciiTheme="minorHAnsi" w:hAnsiTheme="minorHAnsi" w:cstheme="minorHAnsi"/>
                <w:bCs/>
                <w:sz w:val="20"/>
                <w:szCs w:val="20"/>
              </w:rPr>
              <w:t>£m</w:t>
            </w:r>
          </w:p>
        </w:tc>
        <w:tc>
          <w:tcPr>
            <w:tcW w:w="604" w:type="pct"/>
            <w:tcBorders>
              <w:bottom w:val="single" w:sz="4" w:space="0" w:color="auto"/>
            </w:tcBorders>
          </w:tcPr>
          <w:p w14:paraId="0FF2AB94" w14:textId="77777777" w:rsidR="00A86232" w:rsidRPr="00A36F5C" w:rsidRDefault="00A86232">
            <w:pPr>
              <w:jc w:val="right"/>
              <w:rPr>
                <w:rFonts w:asciiTheme="minorHAnsi" w:hAnsiTheme="minorHAnsi" w:cstheme="minorHAnsi"/>
                <w:bCs/>
                <w:sz w:val="20"/>
                <w:szCs w:val="20"/>
              </w:rPr>
            </w:pPr>
            <w:r w:rsidRPr="00A36F5C">
              <w:rPr>
                <w:rFonts w:asciiTheme="minorHAnsi" w:hAnsiTheme="minorHAnsi" w:cstheme="minorHAnsi"/>
                <w:bCs/>
                <w:sz w:val="20"/>
                <w:szCs w:val="20"/>
              </w:rPr>
              <w:t>£m</w:t>
            </w:r>
          </w:p>
        </w:tc>
        <w:tc>
          <w:tcPr>
            <w:tcW w:w="658" w:type="pct"/>
            <w:tcBorders>
              <w:bottom w:val="single" w:sz="4" w:space="0" w:color="auto"/>
            </w:tcBorders>
          </w:tcPr>
          <w:p w14:paraId="6BAD0E8D" w14:textId="77777777" w:rsidR="00A86232" w:rsidRPr="00B87A15" w:rsidRDefault="00A86232">
            <w:pPr>
              <w:jc w:val="right"/>
              <w:rPr>
                <w:rFonts w:asciiTheme="minorHAnsi" w:hAnsiTheme="minorHAnsi" w:cstheme="minorHAnsi"/>
                <w:bCs/>
                <w:sz w:val="20"/>
                <w:szCs w:val="20"/>
              </w:rPr>
            </w:pPr>
            <w:r w:rsidRPr="00B87A15">
              <w:rPr>
                <w:rFonts w:asciiTheme="minorHAnsi" w:hAnsiTheme="minorHAnsi" w:cstheme="minorHAnsi"/>
                <w:bCs/>
                <w:sz w:val="20"/>
                <w:szCs w:val="20"/>
              </w:rPr>
              <w:t>£m</w:t>
            </w:r>
          </w:p>
        </w:tc>
      </w:tr>
      <w:tr w:rsidR="00A86232" w14:paraId="3A8B42BD" w14:textId="77777777" w:rsidTr="003B7755">
        <w:trPr>
          <w:trHeight w:val="244"/>
        </w:trPr>
        <w:tc>
          <w:tcPr>
            <w:tcW w:w="1909" w:type="pct"/>
          </w:tcPr>
          <w:p w14:paraId="44A284BF" w14:textId="77777777" w:rsidR="00A86232" w:rsidRPr="00A36F5C" w:rsidRDefault="00A86232">
            <w:pPr>
              <w:rPr>
                <w:rFonts w:asciiTheme="minorHAnsi" w:hAnsiTheme="minorHAnsi" w:cstheme="minorHAnsi"/>
                <w:bCs/>
                <w:sz w:val="20"/>
                <w:szCs w:val="20"/>
              </w:rPr>
            </w:pPr>
            <w:r w:rsidRPr="00A36F5C">
              <w:rPr>
                <w:rFonts w:asciiTheme="minorHAnsi" w:hAnsiTheme="minorHAnsi" w:cstheme="minorHAnsi"/>
                <w:bCs/>
                <w:sz w:val="20"/>
                <w:szCs w:val="20"/>
              </w:rPr>
              <w:t>Interest income</w:t>
            </w:r>
          </w:p>
        </w:tc>
        <w:tc>
          <w:tcPr>
            <w:tcW w:w="604" w:type="pct"/>
            <w:tcBorders>
              <w:top w:val="single" w:sz="4" w:space="0" w:color="auto"/>
            </w:tcBorders>
            <w:vAlign w:val="bottom"/>
          </w:tcPr>
          <w:p w14:paraId="29CB6369" w14:textId="1F0D08EC"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183.6</w:t>
            </w:r>
          </w:p>
        </w:tc>
        <w:tc>
          <w:tcPr>
            <w:tcW w:w="604" w:type="pct"/>
            <w:tcBorders>
              <w:top w:val="single" w:sz="4" w:space="0" w:color="auto"/>
            </w:tcBorders>
            <w:vAlign w:val="bottom"/>
          </w:tcPr>
          <w:p w14:paraId="7AB18CAE" w14:textId="521BF803"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69.7</w:t>
            </w:r>
          </w:p>
        </w:tc>
        <w:tc>
          <w:tcPr>
            <w:tcW w:w="621" w:type="pct"/>
            <w:tcBorders>
              <w:top w:val="single" w:sz="4" w:space="0" w:color="auto"/>
            </w:tcBorders>
            <w:vAlign w:val="bottom"/>
          </w:tcPr>
          <w:p w14:paraId="086EF1BD" w14:textId="1606605C" w:rsidR="00A86232" w:rsidRPr="00230F40" w:rsidRDefault="006B0FCE">
            <w:pPr>
              <w:jc w:val="right"/>
              <w:rPr>
                <w:rFonts w:asciiTheme="minorHAnsi" w:hAnsiTheme="minorHAnsi" w:cstheme="minorHAnsi"/>
                <w:bCs/>
                <w:sz w:val="20"/>
                <w:szCs w:val="20"/>
              </w:rPr>
            </w:pPr>
            <w:r w:rsidRPr="00250E8E">
              <w:rPr>
                <w:rFonts w:ascii="Calibri" w:hAnsi="Calibri" w:cs="Calibri"/>
                <w:sz w:val="20"/>
                <w:szCs w:val="20"/>
              </w:rPr>
              <w:t>0.2</w:t>
            </w:r>
          </w:p>
        </w:tc>
        <w:tc>
          <w:tcPr>
            <w:tcW w:w="604" w:type="pct"/>
            <w:tcBorders>
              <w:top w:val="single" w:sz="4" w:space="0" w:color="auto"/>
            </w:tcBorders>
            <w:vAlign w:val="bottom"/>
          </w:tcPr>
          <w:p w14:paraId="233CA353" w14:textId="0DAB7806"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22.</w:t>
            </w:r>
            <w:r w:rsidR="00A86232" w:rsidRPr="00250E8E">
              <w:rPr>
                <w:rFonts w:ascii="Calibri" w:hAnsi="Calibri" w:cs="Calibri"/>
                <w:sz w:val="20"/>
                <w:szCs w:val="20"/>
              </w:rPr>
              <w:t>5</w:t>
            </w:r>
          </w:p>
        </w:tc>
        <w:tc>
          <w:tcPr>
            <w:tcW w:w="658" w:type="pct"/>
            <w:tcBorders>
              <w:top w:val="single" w:sz="4" w:space="0" w:color="auto"/>
            </w:tcBorders>
            <w:vAlign w:val="bottom"/>
          </w:tcPr>
          <w:p w14:paraId="68525B73" w14:textId="0628466A"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276.0</w:t>
            </w:r>
          </w:p>
        </w:tc>
      </w:tr>
      <w:tr w:rsidR="00A86232" w14:paraId="018AFC6D" w14:textId="77777777" w:rsidTr="003B7755">
        <w:trPr>
          <w:trHeight w:val="256"/>
        </w:trPr>
        <w:tc>
          <w:tcPr>
            <w:tcW w:w="1909" w:type="pct"/>
          </w:tcPr>
          <w:p w14:paraId="0B8C1F16" w14:textId="77777777" w:rsidR="00A86232" w:rsidRPr="00A36F5C" w:rsidRDefault="00A86232">
            <w:pPr>
              <w:rPr>
                <w:rFonts w:asciiTheme="minorHAnsi" w:hAnsiTheme="minorHAnsi" w:cstheme="minorHAnsi"/>
                <w:bCs/>
                <w:sz w:val="20"/>
                <w:szCs w:val="20"/>
              </w:rPr>
            </w:pPr>
            <w:r w:rsidRPr="00A36F5C">
              <w:rPr>
                <w:rFonts w:asciiTheme="minorHAnsi" w:hAnsiTheme="minorHAnsi" w:cstheme="minorHAnsi"/>
                <w:bCs/>
                <w:sz w:val="20"/>
                <w:szCs w:val="20"/>
              </w:rPr>
              <w:t>Interest expense</w:t>
            </w:r>
          </w:p>
        </w:tc>
        <w:tc>
          <w:tcPr>
            <w:tcW w:w="604" w:type="pct"/>
            <w:tcBorders>
              <w:bottom w:val="single" w:sz="4" w:space="0" w:color="auto"/>
            </w:tcBorders>
            <w:vAlign w:val="bottom"/>
          </w:tcPr>
          <w:p w14:paraId="19913AFA" w14:textId="3ACC3C0C" w:rsidR="00A86232" w:rsidRPr="00230F40" w:rsidRDefault="00A86232">
            <w:pPr>
              <w:jc w:val="right"/>
              <w:rPr>
                <w:rFonts w:asciiTheme="minorHAnsi" w:hAnsiTheme="minorHAnsi" w:cstheme="minorHAnsi"/>
                <w:sz w:val="20"/>
                <w:szCs w:val="20"/>
              </w:rPr>
            </w:pPr>
            <w:r w:rsidRPr="00250E8E">
              <w:rPr>
                <w:rFonts w:ascii="Calibri" w:hAnsi="Calibri" w:cs="Calibri"/>
                <w:sz w:val="20"/>
                <w:szCs w:val="20"/>
              </w:rPr>
              <w:t>(</w:t>
            </w:r>
            <w:r w:rsidR="006B0FCE" w:rsidRPr="00250E8E">
              <w:rPr>
                <w:rFonts w:ascii="Calibri" w:hAnsi="Calibri" w:cs="Calibri"/>
                <w:sz w:val="20"/>
                <w:szCs w:val="20"/>
              </w:rPr>
              <w:t>26.9</w:t>
            </w:r>
            <w:r w:rsidRPr="00250E8E">
              <w:rPr>
                <w:rFonts w:ascii="Calibri" w:hAnsi="Calibri" w:cs="Calibri"/>
                <w:sz w:val="20"/>
                <w:szCs w:val="20"/>
              </w:rPr>
              <w:t>)</w:t>
            </w:r>
          </w:p>
        </w:tc>
        <w:tc>
          <w:tcPr>
            <w:tcW w:w="604" w:type="pct"/>
            <w:tcBorders>
              <w:bottom w:val="single" w:sz="4" w:space="0" w:color="auto"/>
            </w:tcBorders>
            <w:vAlign w:val="bottom"/>
          </w:tcPr>
          <w:p w14:paraId="73905432" w14:textId="48287A24" w:rsidR="00A86232" w:rsidRPr="00230F40" w:rsidRDefault="00A86232">
            <w:pPr>
              <w:jc w:val="right"/>
              <w:rPr>
                <w:rFonts w:asciiTheme="minorHAnsi" w:hAnsiTheme="minorHAnsi" w:cstheme="minorHAnsi"/>
                <w:sz w:val="20"/>
                <w:szCs w:val="20"/>
              </w:rPr>
            </w:pPr>
            <w:r w:rsidRPr="00250E8E">
              <w:rPr>
                <w:rFonts w:ascii="Calibri" w:hAnsi="Calibri" w:cs="Calibri"/>
                <w:sz w:val="20"/>
                <w:szCs w:val="20"/>
              </w:rPr>
              <w:t>(</w:t>
            </w:r>
            <w:r w:rsidR="006B0FCE" w:rsidRPr="00250E8E">
              <w:rPr>
                <w:rFonts w:ascii="Calibri" w:hAnsi="Calibri" w:cs="Calibri"/>
                <w:sz w:val="20"/>
                <w:szCs w:val="20"/>
              </w:rPr>
              <w:t>15.7</w:t>
            </w:r>
            <w:r w:rsidRPr="00250E8E">
              <w:rPr>
                <w:rFonts w:ascii="Calibri" w:hAnsi="Calibri" w:cs="Calibri"/>
                <w:sz w:val="20"/>
                <w:szCs w:val="20"/>
              </w:rPr>
              <w:t>)</w:t>
            </w:r>
          </w:p>
        </w:tc>
        <w:tc>
          <w:tcPr>
            <w:tcW w:w="621" w:type="pct"/>
            <w:tcBorders>
              <w:bottom w:val="single" w:sz="4" w:space="0" w:color="auto"/>
            </w:tcBorders>
            <w:vAlign w:val="bottom"/>
          </w:tcPr>
          <w:p w14:paraId="02FAF808" w14:textId="39D18417" w:rsidR="00A86232" w:rsidRPr="00230F40" w:rsidRDefault="00A86232">
            <w:pPr>
              <w:jc w:val="right"/>
              <w:rPr>
                <w:rFonts w:asciiTheme="minorHAnsi" w:hAnsiTheme="minorHAnsi" w:cstheme="minorHAnsi"/>
                <w:sz w:val="20"/>
                <w:szCs w:val="20"/>
              </w:rPr>
            </w:pPr>
            <w:r w:rsidRPr="00250E8E">
              <w:rPr>
                <w:rFonts w:ascii="Calibri" w:hAnsi="Calibri" w:cs="Calibri"/>
                <w:sz w:val="20"/>
                <w:szCs w:val="20"/>
              </w:rPr>
              <w:t>(</w:t>
            </w:r>
            <w:r w:rsidR="006B0FCE" w:rsidRPr="00250E8E">
              <w:rPr>
                <w:rFonts w:ascii="Calibri" w:hAnsi="Calibri" w:cs="Calibri"/>
                <w:sz w:val="20"/>
                <w:szCs w:val="20"/>
              </w:rPr>
              <w:t>0.3</w:t>
            </w:r>
            <w:r w:rsidRPr="00250E8E">
              <w:rPr>
                <w:rFonts w:ascii="Calibri" w:hAnsi="Calibri" w:cs="Calibri"/>
                <w:sz w:val="20"/>
                <w:szCs w:val="20"/>
              </w:rPr>
              <w:t>)</w:t>
            </w:r>
          </w:p>
        </w:tc>
        <w:tc>
          <w:tcPr>
            <w:tcW w:w="604" w:type="pct"/>
            <w:tcBorders>
              <w:bottom w:val="single" w:sz="4" w:space="0" w:color="auto"/>
            </w:tcBorders>
            <w:vAlign w:val="bottom"/>
          </w:tcPr>
          <w:p w14:paraId="7109F3BD" w14:textId="03A62F9A" w:rsidR="00A86232" w:rsidRPr="00230F40" w:rsidRDefault="00A86232">
            <w:pPr>
              <w:jc w:val="right"/>
              <w:rPr>
                <w:rFonts w:asciiTheme="minorHAnsi" w:hAnsiTheme="minorHAnsi" w:cstheme="minorHAnsi"/>
                <w:sz w:val="20"/>
                <w:szCs w:val="20"/>
              </w:rPr>
            </w:pPr>
            <w:r w:rsidRPr="00250E8E">
              <w:rPr>
                <w:rFonts w:ascii="Calibri" w:hAnsi="Calibri" w:cs="Calibri"/>
                <w:sz w:val="20"/>
                <w:szCs w:val="20"/>
              </w:rPr>
              <w:t>(</w:t>
            </w:r>
            <w:r w:rsidR="006B0FCE" w:rsidRPr="00250E8E">
              <w:rPr>
                <w:rFonts w:ascii="Calibri" w:hAnsi="Calibri" w:cs="Calibri"/>
                <w:sz w:val="20"/>
                <w:szCs w:val="20"/>
              </w:rPr>
              <w:t>25.8</w:t>
            </w:r>
            <w:r w:rsidRPr="00250E8E">
              <w:rPr>
                <w:rFonts w:ascii="Calibri" w:hAnsi="Calibri" w:cs="Calibri"/>
                <w:sz w:val="20"/>
                <w:szCs w:val="20"/>
              </w:rPr>
              <w:t>)</w:t>
            </w:r>
          </w:p>
        </w:tc>
        <w:tc>
          <w:tcPr>
            <w:tcW w:w="658" w:type="pct"/>
            <w:tcBorders>
              <w:bottom w:val="single" w:sz="4" w:space="0" w:color="auto"/>
            </w:tcBorders>
            <w:vAlign w:val="bottom"/>
          </w:tcPr>
          <w:p w14:paraId="25D899A4" w14:textId="302009F9" w:rsidR="00A86232" w:rsidRPr="00230F40" w:rsidRDefault="00A86232">
            <w:pPr>
              <w:jc w:val="right"/>
              <w:rPr>
                <w:rFonts w:asciiTheme="minorHAnsi" w:hAnsiTheme="minorHAnsi" w:cstheme="minorHAnsi"/>
                <w:sz w:val="20"/>
                <w:szCs w:val="20"/>
              </w:rPr>
            </w:pPr>
            <w:r w:rsidRPr="00250E8E">
              <w:rPr>
                <w:rFonts w:ascii="Calibri" w:hAnsi="Calibri" w:cs="Calibri"/>
                <w:sz w:val="20"/>
                <w:szCs w:val="20"/>
              </w:rPr>
              <w:t>(</w:t>
            </w:r>
            <w:r w:rsidR="006B0FCE" w:rsidRPr="00250E8E">
              <w:rPr>
                <w:rFonts w:ascii="Calibri" w:hAnsi="Calibri" w:cs="Calibri"/>
                <w:sz w:val="20"/>
                <w:szCs w:val="20"/>
              </w:rPr>
              <w:t>68.7</w:t>
            </w:r>
            <w:r w:rsidRPr="00250E8E">
              <w:rPr>
                <w:rFonts w:ascii="Calibri" w:hAnsi="Calibri" w:cs="Calibri"/>
                <w:sz w:val="20"/>
                <w:szCs w:val="20"/>
              </w:rPr>
              <w:t>)</w:t>
            </w:r>
          </w:p>
        </w:tc>
      </w:tr>
      <w:tr w:rsidR="00A86232" w14:paraId="39D112F1" w14:textId="77777777" w:rsidTr="003B7755">
        <w:trPr>
          <w:trHeight w:val="244"/>
        </w:trPr>
        <w:tc>
          <w:tcPr>
            <w:tcW w:w="1909" w:type="pct"/>
          </w:tcPr>
          <w:p w14:paraId="4C029EE3" w14:textId="77777777" w:rsidR="00A86232" w:rsidRPr="00A36F5C" w:rsidRDefault="00A86232">
            <w:pPr>
              <w:rPr>
                <w:rFonts w:asciiTheme="minorHAnsi" w:hAnsiTheme="minorHAnsi" w:cstheme="minorHAnsi"/>
                <w:b/>
                <w:sz w:val="20"/>
                <w:szCs w:val="20"/>
              </w:rPr>
            </w:pPr>
            <w:r w:rsidRPr="00A36F5C">
              <w:rPr>
                <w:rFonts w:asciiTheme="minorHAnsi" w:hAnsiTheme="minorHAnsi" w:cstheme="minorHAnsi"/>
                <w:b/>
                <w:sz w:val="20"/>
                <w:szCs w:val="20"/>
              </w:rPr>
              <w:t>Net interest income</w:t>
            </w:r>
          </w:p>
        </w:tc>
        <w:tc>
          <w:tcPr>
            <w:tcW w:w="604" w:type="pct"/>
            <w:tcBorders>
              <w:top w:val="single" w:sz="4" w:space="0" w:color="auto"/>
              <w:bottom w:val="single" w:sz="4" w:space="0" w:color="auto"/>
            </w:tcBorders>
            <w:vAlign w:val="bottom"/>
          </w:tcPr>
          <w:p w14:paraId="1B965AA3" w14:textId="4CEC0D2F" w:rsidR="00A86232" w:rsidRPr="00230F40" w:rsidRDefault="006B0FCE">
            <w:pPr>
              <w:jc w:val="right"/>
              <w:rPr>
                <w:rFonts w:asciiTheme="minorHAnsi" w:hAnsiTheme="minorHAnsi" w:cstheme="minorHAnsi"/>
                <w:b/>
                <w:sz w:val="20"/>
                <w:szCs w:val="20"/>
              </w:rPr>
            </w:pPr>
            <w:r w:rsidRPr="00250E8E">
              <w:rPr>
                <w:rFonts w:ascii="Calibri" w:hAnsi="Calibri" w:cs="Calibri"/>
                <w:b/>
                <w:bCs/>
                <w:sz w:val="20"/>
                <w:szCs w:val="20"/>
              </w:rPr>
              <w:t>156.7</w:t>
            </w:r>
          </w:p>
        </w:tc>
        <w:tc>
          <w:tcPr>
            <w:tcW w:w="604" w:type="pct"/>
            <w:tcBorders>
              <w:top w:val="single" w:sz="4" w:space="0" w:color="auto"/>
              <w:bottom w:val="single" w:sz="4" w:space="0" w:color="auto"/>
            </w:tcBorders>
            <w:vAlign w:val="bottom"/>
          </w:tcPr>
          <w:p w14:paraId="721FDAEE" w14:textId="5DCDA439" w:rsidR="00A86232" w:rsidRPr="00230F40" w:rsidRDefault="006B0FCE">
            <w:pPr>
              <w:jc w:val="right"/>
              <w:rPr>
                <w:rFonts w:asciiTheme="minorHAnsi" w:hAnsiTheme="minorHAnsi" w:cstheme="minorHAnsi"/>
                <w:b/>
                <w:sz w:val="20"/>
                <w:szCs w:val="20"/>
              </w:rPr>
            </w:pPr>
            <w:r w:rsidRPr="00250E8E">
              <w:rPr>
                <w:rFonts w:ascii="Calibri" w:hAnsi="Calibri" w:cs="Calibri"/>
                <w:b/>
                <w:bCs/>
                <w:sz w:val="20"/>
                <w:szCs w:val="20"/>
              </w:rPr>
              <w:t>54.0</w:t>
            </w:r>
          </w:p>
        </w:tc>
        <w:tc>
          <w:tcPr>
            <w:tcW w:w="621" w:type="pct"/>
            <w:tcBorders>
              <w:top w:val="single" w:sz="4" w:space="0" w:color="auto"/>
              <w:bottom w:val="single" w:sz="4" w:space="0" w:color="auto"/>
            </w:tcBorders>
            <w:vAlign w:val="bottom"/>
          </w:tcPr>
          <w:p w14:paraId="4B1ED3BF" w14:textId="5D336213" w:rsidR="00A86232" w:rsidRPr="00230F40" w:rsidRDefault="006B0FCE">
            <w:pPr>
              <w:jc w:val="right"/>
              <w:rPr>
                <w:rFonts w:asciiTheme="minorHAnsi" w:hAnsiTheme="minorHAnsi" w:cstheme="minorHAnsi"/>
                <w:b/>
                <w:sz w:val="20"/>
                <w:szCs w:val="20"/>
              </w:rPr>
            </w:pPr>
            <w:r w:rsidRPr="00250E8E">
              <w:rPr>
                <w:rFonts w:ascii="Calibri" w:hAnsi="Calibri" w:cs="Calibri"/>
                <w:b/>
                <w:bCs/>
                <w:sz w:val="20"/>
                <w:szCs w:val="20"/>
              </w:rPr>
              <w:t>(0.1)</w:t>
            </w:r>
          </w:p>
        </w:tc>
        <w:tc>
          <w:tcPr>
            <w:tcW w:w="604" w:type="pct"/>
            <w:tcBorders>
              <w:top w:val="single" w:sz="4" w:space="0" w:color="auto"/>
              <w:bottom w:val="single" w:sz="4" w:space="0" w:color="auto"/>
            </w:tcBorders>
            <w:vAlign w:val="bottom"/>
          </w:tcPr>
          <w:p w14:paraId="78AE26D1" w14:textId="688E53BD" w:rsidR="00A86232" w:rsidRPr="00230F40" w:rsidRDefault="006B0FCE">
            <w:pPr>
              <w:jc w:val="right"/>
              <w:rPr>
                <w:rFonts w:asciiTheme="minorHAnsi" w:hAnsiTheme="minorHAnsi" w:cstheme="minorHAnsi"/>
                <w:b/>
                <w:sz w:val="20"/>
                <w:szCs w:val="20"/>
              </w:rPr>
            </w:pPr>
            <w:r w:rsidRPr="00250E8E">
              <w:rPr>
                <w:rFonts w:ascii="Calibri" w:hAnsi="Calibri" w:cs="Calibri"/>
                <w:b/>
                <w:bCs/>
                <w:sz w:val="20"/>
                <w:szCs w:val="20"/>
              </w:rPr>
              <w:t>(3.3)</w:t>
            </w:r>
          </w:p>
        </w:tc>
        <w:tc>
          <w:tcPr>
            <w:tcW w:w="658" w:type="pct"/>
            <w:tcBorders>
              <w:top w:val="single" w:sz="4" w:space="0" w:color="auto"/>
              <w:bottom w:val="single" w:sz="4" w:space="0" w:color="auto"/>
            </w:tcBorders>
            <w:vAlign w:val="bottom"/>
          </w:tcPr>
          <w:p w14:paraId="4C14175C" w14:textId="41B1BFC6" w:rsidR="00A86232" w:rsidRPr="00230F40" w:rsidRDefault="006B0FCE">
            <w:pPr>
              <w:jc w:val="right"/>
              <w:rPr>
                <w:rFonts w:asciiTheme="minorHAnsi" w:hAnsiTheme="minorHAnsi" w:cstheme="minorHAnsi"/>
                <w:b/>
                <w:sz w:val="20"/>
                <w:szCs w:val="20"/>
              </w:rPr>
            </w:pPr>
            <w:r w:rsidRPr="00250E8E">
              <w:rPr>
                <w:rFonts w:ascii="Calibri" w:hAnsi="Calibri" w:cs="Calibri"/>
                <w:b/>
                <w:bCs/>
                <w:sz w:val="20"/>
                <w:szCs w:val="20"/>
              </w:rPr>
              <w:t>207.3</w:t>
            </w:r>
          </w:p>
        </w:tc>
      </w:tr>
      <w:tr w:rsidR="00A86232" w14:paraId="61A9F0E4" w14:textId="77777777" w:rsidTr="003B7755">
        <w:trPr>
          <w:trHeight w:val="256"/>
        </w:trPr>
        <w:tc>
          <w:tcPr>
            <w:tcW w:w="1909" w:type="pct"/>
          </w:tcPr>
          <w:p w14:paraId="24D07E52" w14:textId="77777777" w:rsidR="00A86232" w:rsidRPr="00A36F5C" w:rsidRDefault="00A86232">
            <w:pPr>
              <w:rPr>
                <w:rFonts w:asciiTheme="minorHAnsi" w:hAnsiTheme="minorHAnsi" w:cstheme="minorHAnsi"/>
                <w:bCs/>
                <w:sz w:val="20"/>
                <w:szCs w:val="20"/>
              </w:rPr>
            </w:pPr>
            <w:r w:rsidRPr="00A36F5C">
              <w:rPr>
                <w:rFonts w:asciiTheme="minorHAnsi" w:hAnsiTheme="minorHAnsi" w:cstheme="minorHAnsi"/>
                <w:bCs/>
                <w:sz w:val="20"/>
                <w:szCs w:val="20"/>
              </w:rPr>
              <w:t>Fee and commission income</w:t>
            </w:r>
          </w:p>
        </w:tc>
        <w:tc>
          <w:tcPr>
            <w:tcW w:w="604" w:type="pct"/>
            <w:tcBorders>
              <w:top w:val="single" w:sz="4" w:space="0" w:color="auto"/>
            </w:tcBorders>
            <w:vAlign w:val="bottom"/>
          </w:tcPr>
          <w:p w14:paraId="6D8AD04D" w14:textId="16C2AA34"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19.3</w:t>
            </w:r>
          </w:p>
        </w:tc>
        <w:tc>
          <w:tcPr>
            <w:tcW w:w="604" w:type="pct"/>
            <w:tcBorders>
              <w:top w:val="single" w:sz="4" w:space="0" w:color="auto"/>
            </w:tcBorders>
          </w:tcPr>
          <w:p w14:paraId="016602E0" w14:textId="5672C08C" w:rsidR="00A86232" w:rsidRPr="00230F40" w:rsidRDefault="006B0FCE">
            <w:pPr>
              <w:jc w:val="right"/>
              <w:rPr>
                <w:rFonts w:asciiTheme="minorHAnsi" w:hAnsiTheme="minorHAnsi" w:cstheme="minorHAnsi"/>
                <w:sz w:val="20"/>
                <w:szCs w:val="20"/>
              </w:rPr>
            </w:pPr>
            <w:r w:rsidRPr="00250E8E">
              <w:rPr>
                <w:rFonts w:asciiTheme="minorHAnsi" w:hAnsiTheme="minorHAnsi" w:cstheme="minorHAnsi"/>
                <w:sz w:val="20"/>
                <w:szCs w:val="20"/>
              </w:rPr>
              <w:t>-</w:t>
            </w:r>
          </w:p>
        </w:tc>
        <w:tc>
          <w:tcPr>
            <w:tcW w:w="621" w:type="pct"/>
            <w:tcBorders>
              <w:top w:val="single" w:sz="4" w:space="0" w:color="auto"/>
            </w:tcBorders>
          </w:tcPr>
          <w:p w14:paraId="41890A3D" w14:textId="69A88ACC" w:rsidR="00A86232" w:rsidRPr="00230F40" w:rsidRDefault="006B0FCE">
            <w:pPr>
              <w:jc w:val="right"/>
              <w:rPr>
                <w:rFonts w:asciiTheme="minorHAnsi" w:hAnsiTheme="minorHAnsi" w:cstheme="minorHAnsi"/>
                <w:sz w:val="20"/>
                <w:szCs w:val="20"/>
              </w:rPr>
            </w:pPr>
            <w:r w:rsidRPr="00250E8E">
              <w:rPr>
                <w:rFonts w:asciiTheme="minorHAnsi" w:hAnsiTheme="minorHAnsi" w:cstheme="minorHAnsi"/>
                <w:sz w:val="20"/>
                <w:szCs w:val="20"/>
              </w:rPr>
              <w:t>-</w:t>
            </w:r>
          </w:p>
        </w:tc>
        <w:tc>
          <w:tcPr>
            <w:tcW w:w="604" w:type="pct"/>
            <w:tcBorders>
              <w:top w:val="single" w:sz="4" w:space="0" w:color="auto"/>
            </w:tcBorders>
            <w:vAlign w:val="bottom"/>
          </w:tcPr>
          <w:p w14:paraId="415AAF36" w14:textId="372F6363"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0.8</w:t>
            </w:r>
          </w:p>
        </w:tc>
        <w:tc>
          <w:tcPr>
            <w:tcW w:w="658" w:type="pct"/>
            <w:tcBorders>
              <w:top w:val="single" w:sz="4" w:space="0" w:color="auto"/>
            </w:tcBorders>
            <w:vAlign w:val="bottom"/>
          </w:tcPr>
          <w:p w14:paraId="4F0082E2" w14:textId="5B16F49B"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20.1</w:t>
            </w:r>
          </w:p>
        </w:tc>
      </w:tr>
      <w:tr w:rsidR="00A86232" w14:paraId="452EF040" w14:textId="77777777" w:rsidTr="003B7755">
        <w:trPr>
          <w:trHeight w:val="244"/>
        </w:trPr>
        <w:tc>
          <w:tcPr>
            <w:tcW w:w="1909" w:type="pct"/>
          </w:tcPr>
          <w:p w14:paraId="4F8B3E08" w14:textId="77777777" w:rsidR="00A86232" w:rsidRPr="00A36F5C" w:rsidRDefault="00A86232">
            <w:pPr>
              <w:rPr>
                <w:rFonts w:asciiTheme="minorHAnsi" w:hAnsiTheme="minorHAnsi" w:cstheme="minorHAnsi"/>
                <w:bCs/>
                <w:sz w:val="20"/>
                <w:szCs w:val="20"/>
              </w:rPr>
            </w:pPr>
            <w:r w:rsidRPr="00A36F5C">
              <w:rPr>
                <w:rFonts w:asciiTheme="minorHAnsi" w:hAnsiTheme="minorHAnsi" w:cstheme="minorHAnsi"/>
                <w:bCs/>
                <w:sz w:val="20"/>
                <w:szCs w:val="20"/>
              </w:rPr>
              <w:t>Fee and commission expense</w:t>
            </w:r>
          </w:p>
        </w:tc>
        <w:tc>
          <w:tcPr>
            <w:tcW w:w="604" w:type="pct"/>
            <w:tcBorders>
              <w:bottom w:val="single" w:sz="4" w:space="0" w:color="auto"/>
            </w:tcBorders>
            <w:vAlign w:val="bottom"/>
          </w:tcPr>
          <w:p w14:paraId="2BD7A5A1" w14:textId="45085678"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(0.7)</w:t>
            </w:r>
          </w:p>
        </w:tc>
        <w:tc>
          <w:tcPr>
            <w:tcW w:w="604" w:type="pct"/>
            <w:tcBorders>
              <w:bottom w:val="single" w:sz="4" w:space="0" w:color="auto"/>
            </w:tcBorders>
          </w:tcPr>
          <w:p w14:paraId="0AF9DA79" w14:textId="3E343642" w:rsidR="00A86232" w:rsidRPr="00230F40" w:rsidRDefault="006B0FCE">
            <w:pPr>
              <w:jc w:val="right"/>
              <w:rPr>
                <w:rFonts w:asciiTheme="minorHAnsi" w:hAnsiTheme="minorHAnsi" w:cstheme="minorHAnsi"/>
                <w:sz w:val="20"/>
                <w:szCs w:val="20"/>
              </w:rPr>
            </w:pPr>
            <w:r w:rsidRPr="00250E8E">
              <w:rPr>
                <w:rFonts w:asciiTheme="minorHAnsi" w:hAnsiTheme="minorHAnsi" w:cstheme="minorHAnsi"/>
                <w:sz w:val="20"/>
                <w:szCs w:val="20"/>
              </w:rPr>
              <w:t>-</w:t>
            </w:r>
          </w:p>
        </w:tc>
        <w:tc>
          <w:tcPr>
            <w:tcW w:w="621" w:type="pct"/>
            <w:tcBorders>
              <w:bottom w:val="single" w:sz="4" w:space="0" w:color="auto"/>
            </w:tcBorders>
          </w:tcPr>
          <w:p w14:paraId="2E3F044A" w14:textId="57EC7FAD" w:rsidR="00A86232" w:rsidRPr="00230F40" w:rsidRDefault="006B0FCE">
            <w:pPr>
              <w:jc w:val="right"/>
              <w:rPr>
                <w:rFonts w:asciiTheme="minorHAnsi" w:hAnsiTheme="minorHAnsi" w:cstheme="minorHAnsi"/>
                <w:sz w:val="20"/>
                <w:szCs w:val="20"/>
              </w:rPr>
            </w:pPr>
            <w:r w:rsidRPr="00250E8E">
              <w:rPr>
                <w:rFonts w:asciiTheme="minorHAnsi" w:hAnsiTheme="minorHAnsi" w:cstheme="minorHAnsi"/>
                <w:sz w:val="20"/>
                <w:szCs w:val="20"/>
              </w:rPr>
              <w:t>-</w:t>
            </w:r>
          </w:p>
        </w:tc>
        <w:tc>
          <w:tcPr>
            <w:tcW w:w="604" w:type="pct"/>
            <w:tcBorders>
              <w:bottom w:val="single" w:sz="4" w:space="0" w:color="auto"/>
            </w:tcBorders>
            <w:vAlign w:val="bottom"/>
          </w:tcPr>
          <w:p w14:paraId="4294446E" w14:textId="30048BC2"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(0.1)</w:t>
            </w:r>
          </w:p>
        </w:tc>
        <w:tc>
          <w:tcPr>
            <w:tcW w:w="658" w:type="pct"/>
            <w:tcBorders>
              <w:bottom w:val="single" w:sz="4" w:space="0" w:color="auto"/>
            </w:tcBorders>
            <w:vAlign w:val="bottom"/>
          </w:tcPr>
          <w:p w14:paraId="4D11F69E" w14:textId="1AB2CACF"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(0.8)</w:t>
            </w:r>
          </w:p>
        </w:tc>
      </w:tr>
      <w:tr w:rsidR="00A86232" w14:paraId="7D071A1A" w14:textId="77777777" w:rsidTr="003B7755">
        <w:trPr>
          <w:trHeight w:val="244"/>
        </w:trPr>
        <w:tc>
          <w:tcPr>
            <w:tcW w:w="1909" w:type="pct"/>
          </w:tcPr>
          <w:p w14:paraId="34C3B3D2" w14:textId="77777777" w:rsidR="00A86232" w:rsidRPr="00A36F5C" w:rsidRDefault="00A86232">
            <w:pPr>
              <w:rPr>
                <w:rFonts w:asciiTheme="minorHAnsi" w:hAnsiTheme="minorHAnsi" w:cstheme="minorHAnsi"/>
                <w:b/>
                <w:sz w:val="20"/>
                <w:szCs w:val="20"/>
              </w:rPr>
            </w:pPr>
            <w:r w:rsidRPr="00A36F5C">
              <w:rPr>
                <w:rFonts w:asciiTheme="minorHAnsi" w:hAnsiTheme="minorHAnsi" w:cstheme="minorHAnsi"/>
                <w:b/>
                <w:sz w:val="20"/>
                <w:szCs w:val="20"/>
              </w:rPr>
              <w:t>Net fee and commission income</w:t>
            </w:r>
          </w:p>
        </w:tc>
        <w:tc>
          <w:tcPr>
            <w:tcW w:w="604" w:type="pct"/>
            <w:tcBorders>
              <w:top w:val="single" w:sz="4" w:space="0" w:color="auto"/>
              <w:bottom w:val="single" w:sz="4" w:space="0" w:color="auto"/>
            </w:tcBorders>
            <w:vAlign w:val="bottom"/>
          </w:tcPr>
          <w:p w14:paraId="52D660B2" w14:textId="6BEA21AB" w:rsidR="00A86232" w:rsidRPr="00230F40" w:rsidRDefault="006B0FCE">
            <w:pPr>
              <w:jc w:val="right"/>
              <w:rPr>
                <w:rFonts w:asciiTheme="minorHAnsi" w:hAnsiTheme="minorHAnsi" w:cstheme="minorHAnsi"/>
                <w:b/>
                <w:sz w:val="20"/>
                <w:szCs w:val="20"/>
              </w:rPr>
            </w:pPr>
            <w:r w:rsidRPr="00250E8E">
              <w:rPr>
                <w:rFonts w:ascii="Calibri" w:hAnsi="Calibri" w:cs="Calibri"/>
                <w:b/>
                <w:bCs/>
                <w:sz w:val="20"/>
                <w:szCs w:val="20"/>
              </w:rPr>
              <w:t>18.6</w:t>
            </w:r>
          </w:p>
        </w:tc>
        <w:tc>
          <w:tcPr>
            <w:tcW w:w="604" w:type="pct"/>
            <w:tcBorders>
              <w:top w:val="single" w:sz="4" w:space="0" w:color="auto"/>
              <w:bottom w:val="single" w:sz="4" w:space="0" w:color="auto"/>
            </w:tcBorders>
          </w:tcPr>
          <w:p w14:paraId="05486B9A" w14:textId="7CF0238A" w:rsidR="00A86232" w:rsidRPr="00230F40" w:rsidRDefault="006B0FCE">
            <w:pPr>
              <w:jc w:val="right"/>
              <w:rPr>
                <w:rFonts w:asciiTheme="minorHAnsi" w:hAnsiTheme="minorHAnsi" w:cstheme="minorHAnsi"/>
                <w:b/>
                <w:sz w:val="20"/>
                <w:szCs w:val="20"/>
              </w:rPr>
            </w:pPr>
            <w:r w:rsidRPr="00250E8E">
              <w:rPr>
                <w:rFonts w:asciiTheme="minorHAnsi" w:hAnsiTheme="minorHAnsi" w:cstheme="minorHAnsi"/>
                <w:b/>
                <w:bCs/>
                <w:sz w:val="20"/>
                <w:szCs w:val="20"/>
              </w:rPr>
              <w:t>-</w:t>
            </w:r>
          </w:p>
        </w:tc>
        <w:tc>
          <w:tcPr>
            <w:tcW w:w="621" w:type="pct"/>
            <w:tcBorders>
              <w:top w:val="single" w:sz="4" w:space="0" w:color="auto"/>
              <w:bottom w:val="single" w:sz="4" w:space="0" w:color="auto"/>
            </w:tcBorders>
          </w:tcPr>
          <w:p w14:paraId="4654ABBE" w14:textId="4398FF6D" w:rsidR="00A86232" w:rsidRPr="00230F40" w:rsidRDefault="006B0FCE">
            <w:pPr>
              <w:jc w:val="right"/>
              <w:rPr>
                <w:rFonts w:asciiTheme="minorHAnsi" w:hAnsiTheme="minorHAnsi" w:cstheme="minorHAnsi"/>
                <w:b/>
                <w:sz w:val="20"/>
                <w:szCs w:val="20"/>
              </w:rPr>
            </w:pPr>
            <w:r w:rsidRPr="00250E8E">
              <w:rPr>
                <w:rFonts w:asciiTheme="minorHAnsi" w:hAnsiTheme="minorHAnsi" w:cstheme="minorHAnsi"/>
                <w:b/>
                <w:bCs/>
                <w:sz w:val="20"/>
                <w:szCs w:val="20"/>
              </w:rPr>
              <w:t>-</w:t>
            </w:r>
          </w:p>
        </w:tc>
        <w:tc>
          <w:tcPr>
            <w:tcW w:w="604" w:type="pct"/>
            <w:tcBorders>
              <w:top w:val="single" w:sz="4" w:space="0" w:color="auto"/>
              <w:bottom w:val="single" w:sz="4" w:space="0" w:color="auto"/>
            </w:tcBorders>
            <w:vAlign w:val="bottom"/>
          </w:tcPr>
          <w:p w14:paraId="394D65BA" w14:textId="39724D32" w:rsidR="00A86232" w:rsidRPr="00230F40" w:rsidRDefault="006B0FCE">
            <w:pPr>
              <w:jc w:val="right"/>
              <w:rPr>
                <w:rFonts w:asciiTheme="minorHAnsi" w:hAnsiTheme="minorHAnsi" w:cstheme="minorHAnsi"/>
                <w:b/>
                <w:sz w:val="20"/>
                <w:szCs w:val="20"/>
              </w:rPr>
            </w:pPr>
            <w:r w:rsidRPr="00250E8E">
              <w:rPr>
                <w:rFonts w:ascii="Calibri" w:hAnsi="Calibri" w:cs="Calibri"/>
                <w:b/>
                <w:bCs/>
                <w:sz w:val="20"/>
                <w:szCs w:val="20"/>
              </w:rPr>
              <w:t>0.7</w:t>
            </w:r>
          </w:p>
        </w:tc>
        <w:tc>
          <w:tcPr>
            <w:tcW w:w="658" w:type="pct"/>
            <w:tcBorders>
              <w:top w:val="single" w:sz="4" w:space="0" w:color="auto"/>
              <w:bottom w:val="single" w:sz="4" w:space="0" w:color="auto"/>
            </w:tcBorders>
            <w:vAlign w:val="bottom"/>
          </w:tcPr>
          <w:p w14:paraId="694451E8" w14:textId="581B1B46" w:rsidR="00A86232" w:rsidRPr="00230F40" w:rsidRDefault="006B0FCE">
            <w:pPr>
              <w:jc w:val="right"/>
              <w:rPr>
                <w:rFonts w:asciiTheme="minorHAnsi" w:hAnsiTheme="minorHAnsi" w:cstheme="minorHAnsi"/>
                <w:b/>
                <w:sz w:val="20"/>
                <w:szCs w:val="20"/>
              </w:rPr>
            </w:pPr>
            <w:r w:rsidRPr="00250E8E">
              <w:rPr>
                <w:rFonts w:ascii="Calibri" w:hAnsi="Calibri" w:cs="Calibri"/>
                <w:b/>
                <w:bCs/>
                <w:sz w:val="20"/>
                <w:szCs w:val="20"/>
              </w:rPr>
              <w:t>19.3</w:t>
            </w:r>
          </w:p>
        </w:tc>
      </w:tr>
      <w:tr w:rsidR="00A86232" w14:paraId="71C79024" w14:textId="77777777" w:rsidTr="003B7755">
        <w:trPr>
          <w:trHeight w:val="256"/>
        </w:trPr>
        <w:tc>
          <w:tcPr>
            <w:tcW w:w="1909" w:type="pct"/>
          </w:tcPr>
          <w:p w14:paraId="14815C12" w14:textId="77777777" w:rsidR="00A86232" w:rsidRPr="00A36F5C" w:rsidRDefault="00A86232">
            <w:pPr>
              <w:rPr>
                <w:rFonts w:asciiTheme="minorHAnsi" w:hAnsiTheme="minorHAnsi" w:cstheme="minorHAnsi"/>
                <w:bCs/>
                <w:sz w:val="20"/>
                <w:szCs w:val="20"/>
              </w:rPr>
            </w:pPr>
            <w:r w:rsidRPr="00A36F5C">
              <w:rPr>
                <w:rFonts w:asciiTheme="minorHAnsi" w:hAnsiTheme="minorHAnsi" w:cstheme="minorHAnsi"/>
                <w:bCs/>
                <w:sz w:val="20"/>
                <w:szCs w:val="20"/>
              </w:rPr>
              <w:t>Other income</w:t>
            </w:r>
          </w:p>
        </w:tc>
        <w:tc>
          <w:tcPr>
            <w:tcW w:w="604" w:type="pct"/>
            <w:tcBorders>
              <w:top w:val="single" w:sz="4" w:space="0" w:color="auto"/>
              <w:bottom w:val="single" w:sz="4" w:space="0" w:color="auto"/>
            </w:tcBorders>
            <w:vAlign w:val="bottom"/>
          </w:tcPr>
          <w:p w14:paraId="41B5E57F" w14:textId="101A826D"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w:t>
            </w:r>
          </w:p>
        </w:tc>
        <w:tc>
          <w:tcPr>
            <w:tcW w:w="604" w:type="pct"/>
            <w:tcBorders>
              <w:top w:val="single" w:sz="4" w:space="0" w:color="auto"/>
              <w:bottom w:val="single" w:sz="4" w:space="0" w:color="auto"/>
            </w:tcBorders>
          </w:tcPr>
          <w:p w14:paraId="7A32137F" w14:textId="323C9F6F" w:rsidR="00A86232" w:rsidRPr="00230F40" w:rsidRDefault="006B0FCE">
            <w:pPr>
              <w:jc w:val="right"/>
              <w:rPr>
                <w:rFonts w:asciiTheme="minorHAnsi" w:hAnsiTheme="minorHAnsi" w:cstheme="minorHAnsi"/>
                <w:sz w:val="20"/>
                <w:szCs w:val="20"/>
              </w:rPr>
            </w:pPr>
            <w:r w:rsidRPr="00250E8E">
              <w:rPr>
                <w:rFonts w:asciiTheme="minorHAnsi" w:hAnsiTheme="minorHAnsi" w:cstheme="minorHAnsi"/>
                <w:sz w:val="20"/>
                <w:szCs w:val="20"/>
              </w:rPr>
              <w:t>-</w:t>
            </w:r>
          </w:p>
        </w:tc>
        <w:tc>
          <w:tcPr>
            <w:tcW w:w="621" w:type="pct"/>
            <w:tcBorders>
              <w:top w:val="single" w:sz="4" w:space="0" w:color="auto"/>
              <w:bottom w:val="single" w:sz="4" w:space="0" w:color="auto"/>
            </w:tcBorders>
          </w:tcPr>
          <w:p w14:paraId="6E22F196" w14:textId="6CCA551C" w:rsidR="00A86232" w:rsidRPr="00230F40" w:rsidRDefault="006B0FCE">
            <w:pPr>
              <w:jc w:val="right"/>
              <w:rPr>
                <w:rFonts w:asciiTheme="minorHAnsi" w:hAnsiTheme="minorHAnsi" w:cstheme="minorHAnsi"/>
                <w:sz w:val="20"/>
                <w:szCs w:val="20"/>
              </w:rPr>
            </w:pPr>
            <w:r w:rsidRPr="00250E8E">
              <w:rPr>
                <w:rFonts w:asciiTheme="minorHAnsi" w:hAnsiTheme="minorHAnsi" w:cstheme="minorHAnsi"/>
                <w:sz w:val="20"/>
                <w:szCs w:val="20"/>
              </w:rPr>
              <w:t>-</w:t>
            </w:r>
          </w:p>
        </w:tc>
        <w:tc>
          <w:tcPr>
            <w:tcW w:w="604" w:type="pct"/>
            <w:tcBorders>
              <w:top w:val="single" w:sz="4" w:space="0" w:color="auto"/>
              <w:bottom w:val="single" w:sz="4" w:space="0" w:color="auto"/>
            </w:tcBorders>
            <w:vAlign w:val="bottom"/>
          </w:tcPr>
          <w:p w14:paraId="4D9AEA79" w14:textId="71084815"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0.2</w:t>
            </w:r>
          </w:p>
        </w:tc>
        <w:tc>
          <w:tcPr>
            <w:tcW w:w="658" w:type="pct"/>
            <w:tcBorders>
              <w:top w:val="single" w:sz="4" w:space="0" w:color="auto"/>
              <w:bottom w:val="single" w:sz="4" w:space="0" w:color="auto"/>
            </w:tcBorders>
            <w:vAlign w:val="bottom"/>
          </w:tcPr>
          <w:p w14:paraId="4B21FBD9" w14:textId="22F22F7D" w:rsidR="00A86232" w:rsidRPr="00230F40" w:rsidRDefault="006B0FCE">
            <w:pPr>
              <w:jc w:val="right"/>
              <w:rPr>
                <w:rFonts w:asciiTheme="minorHAnsi" w:hAnsiTheme="minorHAnsi" w:cstheme="minorHAnsi"/>
                <w:sz w:val="20"/>
                <w:szCs w:val="20"/>
              </w:rPr>
            </w:pPr>
            <w:r w:rsidRPr="00250E8E">
              <w:rPr>
                <w:rFonts w:ascii="Calibri" w:hAnsi="Calibri" w:cs="Calibri"/>
                <w:sz w:val="20"/>
                <w:szCs w:val="20"/>
              </w:rPr>
              <w:t>0.2</w:t>
            </w:r>
          </w:p>
        </w:tc>
      </w:tr>
      <w:tr w:rsidR="00A86232" w14:paraId="1B726DE3" w14:textId="77777777" w:rsidTr="003B7755">
        <w:trPr>
          <w:trHeight w:val="244"/>
        </w:trPr>
        <w:tc>
          <w:tcPr>
            <w:tcW w:w="1909" w:type="pct"/>
          </w:tcPr>
          <w:p w14:paraId="0FF1ACE4" w14:textId="77777777" w:rsidR="00A86232" w:rsidRPr="00A36F5C" w:rsidRDefault="00A86232">
            <w:pPr>
              <w:rPr>
                <w:rFonts w:asciiTheme="minorHAnsi" w:hAnsiTheme="minorHAnsi" w:cstheme="minorHAnsi"/>
                <w:b/>
                <w:sz w:val="20"/>
                <w:szCs w:val="20"/>
              </w:rPr>
            </w:pPr>
            <w:r w:rsidRPr="00A36F5C">
              <w:rPr>
                <w:rFonts w:asciiTheme="minorHAnsi" w:hAnsiTheme="minorHAnsi" w:cstheme="minorHAnsi"/>
                <w:b/>
                <w:sz w:val="20"/>
                <w:szCs w:val="20"/>
              </w:rPr>
              <w:t>Total income</w:t>
            </w:r>
          </w:p>
        </w:tc>
        <w:tc>
          <w:tcPr>
            <w:tcW w:w="604" w:type="pct"/>
            <w:tcBorders>
              <w:top w:val="single" w:sz="4" w:space="0" w:color="auto"/>
            </w:tcBorders>
            <w:vAlign w:val="bottom"/>
          </w:tcPr>
          <w:p w14:paraId="45826B63" w14:textId="1A920C5A"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175.3</w:t>
            </w:r>
          </w:p>
        </w:tc>
        <w:tc>
          <w:tcPr>
            <w:tcW w:w="604" w:type="pct"/>
            <w:tcBorders>
              <w:top w:val="single" w:sz="4" w:space="0" w:color="auto"/>
            </w:tcBorders>
            <w:vAlign w:val="bottom"/>
          </w:tcPr>
          <w:p w14:paraId="375E9686" w14:textId="47D18DB7"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54.0</w:t>
            </w:r>
          </w:p>
        </w:tc>
        <w:tc>
          <w:tcPr>
            <w:tcW w:w="621" w:type="pct"/>
            <w:tcBorders>
              <w:top w:val="single" w:sz="4" w:space="0" w:color="auto"/>
            </w:tcBorders>
            <w:vAlign w:val="bottom"/>
          </w:tcPr>
          <w:p w14:paraId="42C15930" w14:textId="040863AD"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(0.1)</w:t>
            </w:r>
          </w:p>
        </w:tc>
        <w:tc>
          <w:tcPr>
            <w:tcW w:w="604" w:type="pct"/>
            <w:tcBorders>
              <w:top w:val="single" w:sz="4" w:space="0" w:color="auto"/>
            </w:tcBorders>
            <w:vAlign w:val="bottom"/>
          </w:tcPr>
          <w:p w14:paraId="0E875D5C" w14:textId="13C7E62A"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(2.4)</w:t>
            </w:r>
          </w:p>
        </w:tc>
        <w:tc>
          <w:tcPr>
            <w:tcW w:w="658" w:type="pct"/>
            <w:tcBorders>
              <w:top w:val="single" w:sz="4" w:space="0" w:color="auto"/>
            </w:tcBorders>
            <w:vAlign w:val="bottom"/>
          </w:tcPr>
          <w:p w14:paraId="7A153A81" w14:textId="7F89F5DA"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226.8</w:t>
            </w:r>
          </w:p>
        </w:tc>
      </w:tr>
      <w:tr w:rsidR="00A86232" w14:paraId="4E5FB90F" w14:textId="77777777" w:rsidTr="003B7755">
        <w:trPr>
          <w:trHeight w:val="244"/>
        </w:trPr>
        <w:tc>
          <w:tcPr>
            <w:tcW w:w="1909" w:type="pct"/>
          </w:tcPr>
          <w:p w14:paraId="0FEE5D3B" w14:textId="77777777" w:rsidR="00A86232" w:rsidRPr="00A36F5C" w:rsidRDefault="00A86232">
            <w:pPr>
              <w:rPr>
                <w:rFonts w:asciiTheme="minorHAnsi" w:hAnsiTheme="minorHAnsi" w:cstheme="minorHAnsi"/>
                <w:bCs/>
                <w:sz w:val="20"/>
                <w:szCs w:val="20"/>
              </w:rPr>
            </w:pPr>
            <w:r w:rsidRPr="00A36F5C">
              <w:rPr>
                <w:rFonts w:asciiTheme="minorHAnsi" w:hAnsiTheme="minorHAnsi" w:cstheme="minorHAnsi"/>
                <w:bCs/>
                <w:sz w:val="20"/>
                <w:szCs w:val="20"/>
              </w:rPr>
              <w:t>Impairment charges</w:t>
            </w:r>
          </w:p>
        </w:tc>
        <w:tc>
          <w:tcPr>
            <w:tcW w:w="604" w:type="pct"/>
            <w:tcBorders>
              <w:bottom w:val="single" w:sz="4" w:space="0" w:color="auto"/>
            </w:tcBorders>
            <w:vAlign w:val="bottom"/>
          </w:tcPr>
          <w:p w14:paraId="467B6A03" w14:textId="6FF0AA4A"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(63.5)</w:t>
            </w:r>
          </w:p>
        </w:tc>
        <w:tc>
          <w:tcPr>
            <w:tcW w:w="604" w:type="pct"/>
            <w:tcBorders>
              <w:bottom w:val="single" w:sz="4" w:space="0" w:color="auto"/>
            </w:tcBorders>
            <w:vAlign w:val="bottom"/>
          </w:tcPr>
          <w:p w14:paraId="079EDD2B" w14:textId="4D367055"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(29.5)</w:t>
            </w:r>
          </w:p>
        </w:tc>
        <w:tc>
          <w:tcPr>
            <w:tcW w:w="621" w:type="pct"/>
            <w:tcBorders>
              <w:bottom w:val="single" w:sz="4" w:space="0" w:color="auto"/>
            </w:tcBorders>
            <w:vAlign w:val="bottom"/>
          </w:tcPr>
          <w:p w14:paraId="7497798F" w14:textId="50E4936D"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w:t>
            </w:r>
          </w:p>
        </w:tc>
        <w:tc>
          <w:tcPr>
            <w:tcW w:w="604" w:type="pct"/>
            <w:tcBorders>
              <w:bottom w:val="single" w:sz="4" w:space="0" w:color="auto"/>
            </w:tcBorders>
            <w:vAlign w:val="bottom"/>
          </w:tcPr>
          <w:p w14:paraId="721F52F7" w14:textId="76D59187"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w:t>
            </w:r>
          </w:p>
        </w:tc>
        <w:tc>
          <w:tcPr>
            <w:tcW w:w="658" w:type="pct"/>
            <w:tcBorders>
              <w:bottom w:val="single" w:sz="4" w:space="0" w:color="auto"/>
            </w:tcBorders>
            <w:vAlign w:val="bottom"/>
          </w:tcPr>
          <w:p w14:paraId="36BEBCDA" w14:textId="6AA9BA55"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(93.0)</w:t>
            </w:r>
          </w:p>
        </w:tc>
      </w:tr>
      <w:tr w:rsidR="00A86232" w14:paraId="7B35F2BF" w14:textId="77777777" w:rsidTr="003B7755">
        <w:trPr>
          <w:trHeight w:val="256"/>
        </w:trPr>
        <w:tc>
          <w:tcPr>
            <w:tcW w:w="1909" w:type="pct"/>
          </w:tcPr>
          <w:p w14:paraId="494B4153" w14:textId="77777777" w:rsidR="00A86232" w:rsidRPr="00A36F5C" w:rsidRDefault="00A86232">
            <w:pPr>
              <w:rPr>
                <w:rFonts w:asciiTheme="minorHAnsi" w:hAnsiTheme="minorHAnsi" w:cstheme="minorHAnsi"/>
                <w:b/>
                <w:sz w:val="20"/>
                <w:szCs w:val="20"/>
              </w:rPr>
            </w:pPr>
            <w:r w:rsidRPr="00A36F5C">
              <w:rPr>
                <w:rFonts w:asciiTheme="minorHAnsi" w:hAnsiTheme="minorHAnsi" w:cstheme="minorHAnsi"/>
                <w:b/>
                <w:sz w:val="20"/>
                <w:szCs w:val="20"/>
              </w:rPr>
              <w:t>Risk-adjusted income</w:t>
            </w:r>
          </w:p>
        </w:tc>
        <w:tc>
          <w:tcPr>
            <w:tcW w:w="604" w:type="pct"/>
            <w:tcBorders>
              <w:top w:val="single" w:sz="4" w:space="0" w:color="auto"/>
            </w:tcBorders>
            <w:vAlign w:val="bottom"/>
          </w:tcPr>
          <w:p w14:paraId="6715F4ED" w14:textId="7EC1D1AA"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111.8</w:t>
            </w:r>
          </w:p>
        </w:tc>
        <w:tc>
          <w:tcPr>
            <w:tcW w:w="604" w:type="pct"/>
            <w:tcBorders>
              <w:top w:val="single" w:sz="4" w:space="0" w:color="auto"/>
            </w:tcBorders>
            <w:vAlign w:val="bottom"/>
          </w:tcPr>
          <w:p w14:paraId="506217E4" w14:textId="3C805854"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24.5</w:t>
            </w:r>
          </w:p>
        </w:tc>
        <w:tc>
          <w:tcPr>
            <w:tcW w:w="621" w:type="pct"/>
            <w:tcBorders>
              <w:top w:val="single" w:sz="4" w:space="0" w:color="auto"/>
            </w:tcBorders>
            <w:vAlign w:val="bottom"/>
          </w:tcPr>
          <w:p w14:paraId="5E3B5FF7" w14:textId="6BF8A38C"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(0.1)</w:t>
            </w:r>
          </w:p>
        </w:tc>
        <w:tc>
          <w:tcPr>
            <w:tcW w:w="604" w:type="pct"/>
            <w:tcBorders>
              <w:top w:val="single" w:sz="4" w:space="0" w:color="auto"/>
            </w:tcBorders>
            <w:vAlign w:val="bottom"/>
          </w:tcPr>
          <w:p w14:paraId="26DD7447" w14:textId="7A3CD1B0"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(2.4)</w:t>
            </w:r>
          </w:p>
        </w:tc>
        <w:tc>
          <w:tcPr>
            <w:tcW w:w="658" w:type="pct"/>
            <w:tcBorders>
              <w:top w:val="single" w:sz="4" w:space="0" w:color="auto"/>
            </w:tcBorders>
            <w:vAlign w:val="bottom"/>
          </w:tcPr>
          <w:p w14:paraId="18C290B3" w14:textId="0C5E3EC0"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133.8</w:t>
            </w:r>
          </w:p>
        </w:tc>
      </w:tr>
      <w:tr w:rsidR="00A86232" w14:paraId="50404C1E" w14:textId="77777777" w:rsidTr="003B7755">
        <w:trPr>
          <w:trHeight w:val="124"/>
        </w:trPr>
        <w:tc>
          <w:tcPr>
            <w:tcW w:w="1909" w:type="pct"/>
          </w:tcPr>
          <w:p w14:paraId="5FAE93C7" w14:textId="5703FD65" w:rsidR="00A86232" w:rsidRPr="00A36F5C" w:rsidRDefault="00F47A91">
            <w:pPr>
              <w:rPr>
                <w:rFonts w:asciiTheme="minorHAnsi" w:hAnsiTheme="minorHAnsi" w:cstheme="minorHAnsi"/>
                <w:bCs/>
                <w:sz w:val="20"/>
                <w:szCs w:val="20"/>
              </w:rPr>
            </w:pPr>
            <w:r>
              <w:rPr>
                <w:rFonts w:asciiTheme="minorHAnsi" w:hAnsiTheme="minorHAnsi" w:cstheme="minorHAnsi"/>
                <w:bCs/>
                <w:sz w:val="20"/>
                <w:szCs w:val="20"/>
              </w:rPr>
              <w:t>O</w:t>
            </w:r>
            <w:r w:rsidR="00A86232" w:rsidRPr="00A36F5C">
              <w:rPr>
                <w:rFonts w:asciiTheme="minorHAnsi" w:hAnsiTheme="minorHAnsi" w:cstheme="minorHAnsi"/>
                <w:bCs/>
                <w:sz w:val="20"/>
                <w:szCs w:val="20"/>
              </w:rPr>
              <w:t>perating costs</w:t>
            </w:r>
          </w:p>
        </w:tc>
        <w:tc>
          <w:tcPr>
            <w:tcW w:w="604" w:type="pct"/>
            <w:tcBorders>
              <w:bottom w:val="single" w:sz="4" w:space="0" w:color="auto"/>
            </w:tcBorders>
            <w:vAlign w:val="bottom"/>
          </w:tcPr>
          <w:p w14:paraId="47682604" w14:textId="6C955F77"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(100.5)</w:t>
            </w:r>
          </w:p>
        </w:tc>
        <w:tc>
          <w:tcPr>
            <w:tcW w:w="604" w:type="pct"/>
            <w:tcBorders>
              <w:bottom w:val="single" w:sz="4" w:space="0" w:color="auto"/>
            </w:tcBorders>
            <w:vAlign w:val="bottom"/>
          </w:tcPr>
          <w:p w14:paraId="01873070" w14:textId="22C95420"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(42.8)</w:t>
            </w:r>
          </w:p>
        </w:tc>
        <w:tc>
          <w:tcPr>
            <w:tcW w:w="621" w:type="pct"/>
            <w:tcBorders>
              <w:bottom w:val="single" w:sz="4" w:space="0" w:color="auto"/>
            </w:tcBorders>
            <w:vAlign w:val="bottom"/>
          </w:tcPr>
          <w:p w14:paraId="3A59E904" w14:textId="3CA721BA"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(0.2)</w:t>
            </w:r>
          </w:p>
        </w:tc>
        <w:tc>
          <w:tcPr>
            <w:tcW w:w="604" w:type="pct"/>
            <w:tcBorders>
              <w:bottom w:val="single" w:sz="4" w:space="0" w:color="auto"/>
            </w:tcBorders>
            <w:vAlign w:val="bottom"/>
          </w:tcPr>
          <w:p w14:paraId="264D1E5D" w14:textId="0A4551A4"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(36.4)</w:t>
            </w:r>
          </w:p>
        </w:tc>
        <w:tc>
          <w:tcPr>
            <w:tcW w:w="658" w:type="pct"/>
            <w:tcBorders>
              <w:bottom w:val="single" w:sz="4" w:space="0" w:color="auto"/>
            </w:tcBorders>
            <w:vAlign w:val="bottom"/>
          </w:tcPr>
          <w:p w14:paraId="7792A7E7" w14:textId="169A067F" w:rsidR="00A86232" w:rsidRPr="00230F40" w:rsidRDefault="00250E8E">
            <w:pPr>
              <w:jc w:val="right"/>
              <w:rPr>
                <w:rFonts w:asciiTheme="minorHAnsi" w:hAnsiTheme="minorHAnsi" w:cstheme="minorHAnsi"/>
                <w:sz w:val="20"/>
                <w:szCs w:val="20"/>
              </w:rPr>
            </w:pPr>
            <w:r w:rsidRPr="00250E8E">
              <w:rPr>
                <w:rFonts w:ascii="Calibri" w:hAnsi="Calibri" w:cs="Calibri"/>
                <w:sz w:val="20"/>
                <w:szCs w:val="20"/>
              </w:rPr>
              <w:t>(179.9)</w:t>
            </w:r>
          </w:p>
        </w:tc>
      </w:tr>
      <w:tr w:rsidR="00A86232" w14:paraId="01CE8308" w14:textId="77777777" w:rsidTr="003B7755">
        <w:trPr>
          <w:trHeight w:val="244"/>
        </w:trPr>
        <w:tc>
          <w:tcPr>
            <w:tcW w:w="1909" w:type="pct"/>
          </w:tcPr>
          <w:p w14:paraId="4DB4F6D6" w14:textId="77777777" w:rsidR="00A86232" w:rsidRPr="00A36F5C" w:rsidRDefault="00A86232">
            <w:pPr>
              <w:rPr>
                <w:rFonts w:asciiTheme="minorHAnsi" w:hAnsiTheme="minorHAnsi" w:cstheme="minorHAnsi"/>
                <w:b/>
                <w:sz w:val="20"/>
                <w:szCs w:val="20"/>
              </w:rPr>
            </w:pPr>
            <w:r w:rsidRPr="00A36F5C">
              <w:rPr>
                <w:rFonts w:asciiTheme="minorHAnsi" w:hAnsiTheme="minorHAnsi" w:cstheme="minorHAnsi"/>
                <w:b/>
                <w:sz w:val="20"/>
                <w:szCs w:val="20"/>
              </w:rPr>
              <w:t>PBT/(LBT)</w:t>
            </w:r>
            <w:r>
              <w:rPr>
                <w:rFonts w:asciiTheme="minorHAnsi" w:hAnsiTheme="minorHAnsi" w:cstheme="minorHAnsi"/>
                <w:b/>
                <w:sz w:val="20"/>
                <w:szCs w:val="20"/>
              </w:rPr>
              <w:t xml:space="preserve"> from continuing operations</w:t>
            </w:r>
          </w:p>
        </w:tc>
        <w:tc>
          <w:tcPr>
            <w:tcW w:w="604" w:type="pct"/>
            <w:tcBorders>
              <w:top w:val="single" w:sz="4" w:space="0" w:color="auto"/>
              <w:bottom w:val="single" w:sz="4" w:space="0" w:color="auto"/>
            </w:tcBorders>
            <w:vAlign w:val="bottom"/>
          </w:tcPr>
          <w:p w14:paraId="326E44B6" w14:textId="397C4A0C"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11.3</w:t>
            </w:r>
          </w:p>
        </w:tc>
        <w:tc>
          <w:tcPr>
            <w:tcW w:w="604" w:type="pct"/>
            <w:tcBorders>
              <w:top w:val="single" w:sz="4" w:space="0" w:color="auto"/>
              <w:bottom w:val="single" w:sz="4" w:space="0" w:color="auto"/>
            </w:tcBorders>
            <w:vAlign w:val="bottom"/>
          </w:tcPr>
          <w:p w14:paraId="4B4ED335" w14:textId="20AD1FA7"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(18.3)</w:t>
            </w:r>
          </w:p>
        </w:tc>
        <w:tc>
          <w:tcPr>
            <w:tcW w:w="621" w:type="pct"/>
            <w:tcBorders>
              <w:top w:val="single" w:sz="4" w:space="0" w:color="auto"/>
              <w:bottom w:val="single" w:sz="4" w:space="0" w:color="auto"/>
            </w:tcBorders>
            <w:vAlign w:val="bottom"/>
          </w:tcPr>
          <w:p w14:paraId="2A0970F8" w14:textId="72C5BDC0"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(0.3)</w:t>
            </w:r>
          </w:p>
        </w:tc>
        <w:tc>
          <w:tcPr>
            <w:tcW w:w="604" w:type="pct"/>
            <w:tcBorders>
              <w:top w:val="single" w:sz="4" w:space="0" w:color="auto"/>
              <w:bottom w:val="single" w:sz="4" w:space="0" w:color="auto"/>
            </w:tcBorders>
            <w:vAlign w:val="bottom"/>
          </w:tcPr>
          <w:p w14:paraId="473FB655" w14:textId="2059A811"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(38.8)</w:t>
            </w:r>
          </w:p>
        </w:tc>
        <w:tc>
          <w:tcPr>
            <w:tcW w:w="658" w:type="pct"/>
            <w:tcBorders>
              <w:top w:val="single" w:sz="4" w:space="0" w:color="auto"/>
              <w:bottom w:val="single" w:sz="4" w:space="0" w:color="auto"/>
            </w:tcBorders>
            <w:vAlign w:val="bottom"/>
          </w:tcPr>
          <w:p w14:paraId="7242A55B" w14:textId="2DF7F933" w:rsidR="00A86232" w:rsidRPr="00230F40" w:rsidRDefault="00250E8E">
            <w:pPr>
              <w:jc w:val="right"/>
              <w:rPr>
                <w:rFonts w:asciiTheme="minorHAnsi" w:hAnsiTheme="minorHAnsi" w:cstheme="minorHAnsi"/>
                <w:b/>
                <w:sz w:val="20"/>
                <w:szCs w:val="20"/>
              </w:rPr>
            </w:pPr>
            <w:r w:rsidRPr="00250E8E">
              <w:rPr>
                <w:rFonts w:ascii="Calibri" w:hAnsi="Calibri" w:cs="Calibri"/>
                <w:b/>
                <w:bCs/>
                <w:sz w:val="20"/>
                <w:szCs w:val="20"/>
              </w:rPr>
              <w:t>(46.1)</w:t>
            </w:r>
          </w:p>
        </w:tc>
      </w:tr>
    </w:tbl>
    <w:p w14:paraId="01EB723D" w14:textId="77777777" w:rsidR="009B7F08" w:rsidRDefault="009B7F08" w:rsidP="00A1425C">
      <w:pPr>
        <w:rPr>
          <w:rFonts w:asciiTheme="minorHAnsi" w:hAnsiTheme="minorHAnsi" w:cs="Arial"/>
          <w:b/>
          <w:sz w:val="20"/>
          <w:szCs w:val="20"/>
        </w:rPr>
      </w:pPr>
    </w:p>
    <w:p w14:paraId="71E80508" w14:textId="77777777" w:rsidR="000C6DDD" w:rsidRPr="00642155" w:rsidRDefault="000C6DDD" w:rsidP="000C6DDD">
      <w:pPr>
        <w:rPr>
          <w:rFonts w:asciiTheme="minorHAnsi" w:hAnsiTheme="minorHAnsi" w:cs="Arial"/>
          <w:bCs/>
          <w:sz w:val="20"/>
          <w:szCs w:val="20"/>
          <w:lang w:val="en-US"/>
        </w:rPr>
      </w:pPr>
      <w:r w:rsidRPr="00642155">
        <w:rPr>
          <w:rFonts w:asciiTheme="minorHAnsi" w:hAnsiTheme="minorHAnsi" w:cs="Arial"/>
          <w:bCs/>
          <w:sz w:val="20"/>
          <w:szCs w:val="20"/>
          <w:vertAlign w:val="superscript"/>
          <w:lang w:val="en-US"/>
        </w:rPr>
        <w:t>1</w:t>
      </w:r>
      <w:r>
        <w:rPr>
          <w:rFonts w:asciiTheme="minorHAnsi" w:hAnsiTheme="minorHAnsi" w:cs="Arial"/>
          <w:bCs/>
          <w:sz w:val="20"/>
          <w:szCs w:val="20"/>
          <w:lang w:val="en-US"/>
        </w:rPr>
        <w:t xml:space="preserve"> Refer to accounting policies for details of representation</w:t>
      </w:r>
    </w:p>
    <w:p w14:paraId="4B387BAA" w14:textId="77777777" w:rsidR="00A1425C" w:rsidRDefault="00A1425C" w:rsidP="00A1425C">
      <w:pPr>
        <w:rPr>
          <w:rFonts w:asciiTheme="minorHAnsi" w:hAnsiTheme="minorHAnsi" w:cs="Arial"/>
          <w:b/>
          <w:sz w:val="20"/>
          <w:szCs w:val="20"/>
        </w:rPr>
      </w:pPr>
    </w:p>
    <w:p w14:paraId="4E2A05C3" w14:textId="77777777" w:rsidR="00CD4301" w:rsidRDefault="00CD4301" w:rsidP="00A1425C">
      <w:pPr>
        <w:jc w:val="both"/>
        <w:rPr>
          <w:rFonts w:ascii="Calibri" w:hAnsi="Calibri" w:cs="Arial"/>
          <w:sz w:val="20"/>
          <w:szCs w:val="20"/>
        </w:rPr>
      </w:pPr>
    </w:p>
    <w:p w14:paraId="2ABB8068" w14:textId="1A83D25D" w:rsidR="00A1425C" w:rsidRPr="00A36F5C" w:rsidRDefault="00A1425C" w:rsidP="00A1425C">
      <w:pPr>
        <w:jc w:val="both"/>
        <w:rPr>
          <w:rFonts w:ascii="Calibri" w:hAnsi="Calibri" w:cs="Arial"/>
          <w:sz w:val="20"/>
          <w:szCs w:val="20"/>
        </w:rPr>
      </w:pPr>
      <w:r w:rsidRPr="00A36F5C">
        <w:rPr>
          <w:rFonts w:ascii="Calibri" w:hAnsi="Calibri" w:cs="Arial"/>
          <w:sz w:val="20"/>
          <w:szCs w:val="20"/>
        </w:rPr>
        <w:t>Revenue between business segments is not material.</w:t>
      </w:r>
    </w:p>
    <w:p w14:paraId="17899E92" w14:textId="77777777" w:rsidR="006045D6" w:rsidRDefault="006045D6" w:rsidP="00A1425C">
      <w:pPr>
        <w:jc w:val="both"/>
        <w:rPr>
          <w:rFonts w:ascii="Calibri" w:hAnsi="Calibri" w:cs="Arial"/>
          <w:sz w:val="20"/>
          <w:szCs w:val="20"/>
        </w:rPr>
      </w:pPr>
    </w:p>
    <w:tbl>
      <w:tblPr>
        <w:tblW w:w="5248" w:type="pct"/>
        <w:tblLayout w:type="fixed"/>
        <w:tblLook w:val="0000" w:firstRow="0" w:lastRow="0" w:firstColumn="0" w:lastColumn="0" w:noHBand="0" w:noVBand="0"/>
      </w:tblPr>
      <w:tblGrid>
        <w:gridCol w:w="2477"/>
        <w:gridCol w:w="241"/>
        <w:gridCol w:w="1147"/>
        <w:gridCol w:w="1429"/>
        <w:gridCol w:w="1147"/>
        <w:gridCol w:w="1143"/>
        <w:gridCol w:w="1433"/>
        <w:gridCol w:w="1188"/>
      </w:tblGrid>
      <w:tr w:rsidR="009E7E26" w:rsidRPr="00A36F5C" w14:paraId="0EA28BAD" w14:textId="77777777" w:rsidTr="00135155">
        <w:trPr>
          <w:trHeight w:val="506"/>
        </w:trPr>
        <w:tc>
          <w:tcPr>
            <w:tcW w:w="1214" w:type="pct"/>
          </w:tcPr>
          <w:p w14:paraId="142D7373" w14:textId="77777777" w:rsidR="009E7E26" w:rsidRPr="00BE1C48" w:rsidRDefault="009E7E26">
            <w:pPr>
              <w:rPr>
                <w:rFonts w:asciiTheme="minorHAnsi" w:hAnsiTheme="minorHAnsi" w:cs="Arial"/>
                <w:sz w:val="20"/>
                <w:szCs w:val="20"/>
                <w:highlight w:val="green"/>
              </w:rPr>
            </w:pPr>
          </w:p>
        </w:tc>
        <w:tc>
          <w:tcPr>
            <w:tcW w:w="118" w:type="pct"/>
          </w:tcPr>
          <w:p w14:paraId="2EB2C936" w14:textId="77777777" w:rsidR="009E7E26" w:rsidRPr="00A36F5C" w:rsidRDefault="009E7E26">
            <w:pPr>
              <w:jc w:val="center"/>
              <w:rPr>
                <w:rFonts w:asciiTheme="minorHAnsi" w:hAnsiTheme="minorHAnsi" w:cs="Arial"/>
                <w:sz w:val="20"/>
                <w:szCs w:val="20"/>
              </w:rPr>
            </w:pPr>
          </w:p>
        </w:tc>
        <w:tc>
          <w:tcPr>
            <w:tcW w:w="1824" w:type="pct"/>
            <w:gridSpan w:val="3"/>
          </w:tcPr>
          <w:p w14:paraId="1BDDEC91" w14:textId="77777777" w:rsidR="009E7E26" w:rsidRPr="00A36F5C" w:rsidRDefault="009E7E26">
            <w:pPr>
              <w:jc w:val="center"/>
              <w:rPr>
                <w:rFonts w:asciiTheme="minorHAnsi" w:hAnsiTheme="minorHAnsi" w:cs="Arial"/>
                <w:sz w:val="20"/>
                <w:szCs w:val="20"/>
              </w:rPr>
            </w:pPr>
            <w:r w:rsidRPr="00A36F5C">
              <w:rPr>
                <w:rFonts w:asciiTheme="minorHAnsi" w:hAnsiTheme="minorHAnsi" w:cs="Arial"/>
                <w:sz w:val="20"/>
                <w:szCs w:val="20"/>
              </w:rPr>
              <w:t xml:space="preserve">        </w:t>
            </w:r>
          </w:p>
          <w:p w14:paraId="2BC94940" w14:textId="77777777" w:rsidR="009E7E26" w:rsidRPr="00A36F5C" w:rsidRDefault="009E7E26">
            <w:pPr>
              <w:jc w:val="center"/>
              <w:rPr>
                <w:rFonts w:asciiTheme="minorHAnsi" w:hAnsiTheme="minorHAnsi" w:cs="Arial"/>
                <w:sz w:val="20"/>
                <w:szCs w:val="20"/>
              </w:rPr>
            </w:pPr>
            <w:r w:rsidRPr="00A36F5C">
              <w:rPr>
                <w:rFonts w:asciiTheme="minorHAnsi" w:hAnsiTheme="minorHAnsi" w:cs="Arial"/>
                <w:sz w:val="20"/>
                <w:szCs w:val="20"/>
              </w:rPr>
              <w:t xml:space="preserve">              Segment assets</w:t>
            </w:r>
          </w:p>
        </w:tc>
        <w:tc>
          <w:tcPr>
            <w:tcW w:w="560" w:type="pct"/>
          </w:tcPr>
          <w:p w14:paraId="640BD62B" w14:textId="77777777" w:rsidR="009E7E26" w:rsidRPr="00A36F5C" w:rsidRDefault="009E7E26">
            <w:pPr>
              <w:jc w:val="center"/>
              <w:rPr>
                <w:rFonts w:asciiTheme="minorHAnsi" w:hAnsiTheme="minorHAnsi" w:cs="Arial"/>
                <w:sz w:val="20"/>
                <w:szCs w:val="20"/>
              </w:rPr>
            </w:pPr>
          </w:p>
        </w:tc>
        <w:tc>
          <w:tcPr>
            <w:tcW w:w="1284" w:type="pct"/>
            <w:gridSpan w:val="2"/>
          </w:tcPr>
          <w:p w14:paraId="3524191F" w14:textId="77777777" w:rsidR="009E7E26" w:rsidRPr="00A36F5C" w:rsidRDefault="009E7E26">
            <w:pPr>
              <w:jc w:val="center"/>
              <w:rPr>
                <w:rFonts w:asciiTheme="minorHAnsi" w:hAnsiTheme="minorHAnsi" w:cs="Arial"/>
                <w:sz w:val="20"/>
                <w:szCs w:val="20"/>
              </w:rPr>
            </w:pPr>
            <w:r w:rsidRPr="00A36F5C">
              <w:rPr>
                <w:rFonts w:asciiTheme="minorHAnsi" w:hAnsiTheme="minorHAnsi" w:cs="Arial"/>
                <w:sz w:val="20"/>
                <w:szCs w:val="20"/>
              </w:rPr>
              <w:t>Net</w:t>
            </w:r>
          </w:p>
          <w:p w14:paraId="44E48A83" w14:textId="77777777" w:rsidR="009E7E26" w:rsidRPr="00A36F5C" w:rsidRDefault="009E7E26">
            <w:pPr>
              <w:jc w:val="center"/>
              <w:rPr>
                <w:rFonts w:asciiTheme="minorHAnsi" w:hAnsiTheme="minorHAnsi" w:cs="Arial"/>
                <w:sz w:val="20"/>
                <w:szCs w:val="20"/>
              </w:rPr>
            </w:pPr>
            <w:r w:rsidRPr="00A36F5C">
              <w:rPr>
                <w:rFonts w:asciiTheme="minorHAnsi" w:hAnsiTheme="minorHAnsi" w:cs="Arial"/>
                <w:sz w:val="20"/>
                <w:szCs w:val="20"/>
              </w:rPr>
              <w:t>assets/(liabilities)</w:t>
            </w:r>
          </w:p>
        </w:tc>
      </w:tr>
      <w:tr w:rsidR="00327A1E" w:rsidRPr="00A36F5C" w14:paraId="1793F645" w14:textId="77777777" w:rsidTr="00135155">
        <w:trPr>
          <w:trHeight w:val="237"/>
        </w:trPr>
        <w:tc>
          <w:tcPr>
            <w:tcW w:w="1332" w:type="pct"/>
            <w:gridSpan w:val="2"/>
          </w:tcPr>
          <w:p w14:paraId="0CD51549" w14:textId="77777777" w:rsidR="009E7E26" w:rsidRPr="00A36F5C" w:rsidRDefault="009E7E26">
            <w:pPr>
              <w:rPr>
                <w:rFonts w:asciiTheme="minorHAnsi" w:hAnsiTheme="minorHAnsi" w:cs="Arial"/>
                <w:sz w:val="20"/>
                <w:szCs w:val="20"/>
              </w:rPr>
            </w:pPr>
          </w:p>
        </w:tc>
        <w:tc>
          <w:tcPr>
            <w:tcW w:w="562" w:type="pct"/>
            <w:shd w:val="clear" w:color="auto" w:fill="F2F2F2" w:themeFill="background1" w:themeFillShade="F2"/>
          </w:tcPr>
          <w:p w14:paraId="587CB83B" w14:textId="77777777" w:rsidR="009E7E26" w:rsidRDefault="009E7E26">
            <w:pPr>
              <w:jc w:val="right"/>
              <w:rPr>
                <w:rFonts w:asciiTheme="minorHAnsi" w:hAnsiTheme="minorHAnsi" w:cs="Arial"/>
                <w:b/>
                <w:sz w:val="20"/>
                <w:szCs w:val="20"/>
              </w:rPr>
            </w:pPr>
            <w:r>
              <w:rPr>
                <w:rFonts w:asciiTheme="minorHAnsi" w:hAnsiTheme="minorHAnsi" w:cs="Arial"/>
                <w:b/>
                <w:sz w:val="20"/>
                <w:szCs w:val="20"/>
              </w:rPr>
              <w:t xml:space="preserve">30 June </w:t>
            </w:r>
            <w:r w:rsidRPr="00C77A50">
              <w:rPr>
                <w:rFonts w:asciiTheme="minorHAnsi" w:hAnsiTheme="minorHAnsi" w:cs="Arial"/>
                <w:b/>
                <w:sz w:val="20"/>
                <w:szCs w:val="20"/>
              </w:rPr>
              <w:t>202</w:t>
            </w:r>
            <w:r>
              <w:rPr>
                <w:rFonts w:asciiTheme="minorHAnsi" w:hAnsiTheme="minorHAnsi" w:cs="Arial"/>
                <w:b/>
                <w:sz w:val="20"/>
                <w:szCs w:val="20"/>
              </w:rPr>
              <w:t>5</w:t>
            </w:r>
          </w:p>
          <w:p w14:paraId="065BFEB2" w14:textId="14D2BC00" w:rsidR="009E7E26" w:rsidRPr="00C77A50" w:rsidRDefault="003C1CB3">
            <w:pPr>
              <w:jc w:val="right"/>
              <w:rPr>
                <w:rFonts w:asciiTheme="minorHAnsi" w:hAnsiTheme="minorHAnsi" w:cs="Arial"/>
                <w:b/>
                <w:sz w:val="20"/>
                <w:szCs w:val="20"/>
              </w:rPr>
            </w:pPr>
            <w:r w:rsidRPr="007F7783">
              <w:rPr>
                <w:rFonts w:asciiTheme="minorHAnsi" w:hAnsiTheme="minorHAnsi" w:cs="Arial"/>
                <w:b/>
                <w:sz w:val="20"/>
                <w:szCs w:val="20"/>
              </w:rPr>
              <w:t>unaudited</w:t>
            </w:r>
          </w:p>
        </w:tc>
        <w:tc>
          <w:tcPr>
            <w:tcW w:w="700" w:type="pct"/>
          </w:tcPr>
          <w:p w14:paraId="3D9588D3" w14:textId="77777777" w:rsidR="009E7E26" w:rsidRDefault="009E7E26">
            <w:pPr>
              <w:jc w:val="right"/>
              <w:rPr>
                <w:rFonts w:asciiTheme="minorHAnsi" w:hAnsiTheme="minorHAnsi" w:cs="Arial"/>
                <w:sz w:val="20"/>
                <w:szCs w:val="20"/>
              </w:rPr>
            </w:pPr>
            <w:r>
              <w:rPr>
                <w:rFonts w:asciiTheme="minorHAnsi" w:hAnsiTheme="minorHAnsi" w:cs="Arial"/>
                <w:sz w:val="20"/>
                <w:szCs w:val="20"/>
              </w:rPr>
              <w:t>31 December 2024</w:t>
            </w:r>
          </w:p>
          <w:p w14:paraId="398DE362" w14:textId="75EB693F" w:rsidR="009E7E26" w:rsidRDefault="003C1CB3">
            <w:pPr>
              <w:jc w:val="right"/>
              <w:rPr>
                <w:rFonts w:asciiTheme="minorHAnsi" w:hAnsiTheme="minorHAnsi" w:cs="Arial"/>
                <w:sz w:val="20"/>
                <w:szCs w:val="20"/>
              </w:rPr>
            </w:pPr>
            <w:r w:rsidRPr="00CA3EDF">
              <w:rPr>
                <w:rFonts w:asciiTheme="minorHAnsi" w:hAnsiTheme="minorHAnsi" w:cs="Arial"/>
                <w:bCs/>
                <w:sz w:val="20"/>
                <w:szCs w:val="20"/>
              </w:rPr>
              <w:t>audited</w:t>
            </w:r>
          </w:p>
        </w:tc>
        <w:tc>
          <w:tcPr>
            <w:tcW w:w="562" w:type="pct"/>
          </w:tcPr>
          <w:p w14:paraId="7733784F" w14:textId="77777777" w:rsidR="009E7E26" w:rsidRDefault="009E7E26">
            <w:pPr>
              <w:jc w:val="right"/>
              <w:rPr>
                <w:rFonts w:asciiTheme="minorHAnsi" w:hAnsiTheme="minorHAnsi" w:cs="Arial"/>
                <w:sz w:val="20"/>
                <w:szCs w:val="20"/>
              </w:rPr>
            </w:pPr>
            <w:r>
              <w:rPr>
                <w:rFonts w:asciiTheme="minorHAnsi" w:hAnsiTheme="minorHAnsi" w:cs="Arial"/>
                <w:sz w:val="20"/>
                <w:szCs w:val="20"/>
              </w:rPr>
              <w:t xml:space="preserve">30 June </w:t>
            </w:r>
            <w:r w:rsidRPr="00A36F5C">
              <w:rPr>
                <w:rFonts w:asciiTheme="minorHAnsi" w:hAnsiTheme="minorHAnsi" w:cs="Arial"/>
                <w:sz w:val="20"/>
                <w:szCs w:val="20"/>
              </w:rPr>
              <w:t>202</w:t>
            </w:r>
            <w:r>
              <w:rPr>
                <w:rFonts w:asciiTheme="minorHAnsi" w:hAnsiTheme="minorHAnsi" w:cs="Arial"/>
                <w:sz w:val="20"/>
                <w:szCs w:val="20"/>
              </w:rPr>
              <w:t>4</w:t>
            </w:r>
          </w:p>
          <w:p w14:paraId="02BC36B8" w14:textId="53672966" w:rsidR="009E7E26" w:rsidRPr="00A36F5C" w:rsidRDefault="003C1CB3">
            <w:pPr>
              <w:jc w:val="right"/>
              <w:rPr>
                <w:rFonts w:asciiTheme="minorHAnsi" w:hAnsiTheme="minorHAnsi" w:cs="Arial"/>
                <w:sz w:val="20"/>
                <w:szCs w:val="20"/>
              </w:rPr>
            </w:pPr>
            <w:r w:rsidRPr="00CA3EDF">
              <w:rPr>
                <w:rFonts w:asciiTheme="minorHAnsi" w:hAnsiTheme="minorHAnsi" w:cs="Arial"/>
                <w:bCs/>
                <w:sz w:val="20"/>
                <w:szCs w:val="20"/>
              </w:rPr>
              <w:t>unaudited</w:t>
            </w:r>
          </w:p>
        </w:tc>
        <w:tc>
          <w:tcPr>
            <w:tcW w:w="560" w:type="pct"/>
            <w:shd w:val="clear" w:color="auto" w:fill="F2F2F2" w:themeFill="background1" w:themeFillShade="F2"/>
          </w:tcPr>
          <w:p w14:paraId="7E4FE76F" w14:textId="77777777" w:rsidR="009E7E26" w:rsidRDefault="009E7E26">
            <w:pPr>
              <w:jc w:val="right"/>
              <w:rPr>
                <w:rFonts w:asciiTheme="minorHAnsi" w:hAnsiTheme="minorHAnsi" w:cs="Arial"/>
                <w:b/>
                <w:sz w:val="20"/>
                <w:szCs w:val="20"/>
              </w:rPr>
            </w:pPr>
            <w:r>
              <w:rPr>
                <w:rFonts w:asciiTheme="minorHAnsi" w:hAnsiTheme="minorHAnsi" w:cs="Arial"/>
                <w:b/>
                <w:sz w:val="20"/>
                <w:szCs w:val="20"/>
              </w:rPr>
              <w:t xml:space="preserve">30 June </w:t>
            </w:r>
            <w:r w:rsidRPr="00C77A50">
              <w:rPr>
                <w:rFonts w:asciiTheme="minorHAnsi" w:hAnsiTheme="minorHAnsi" w:cs="Arial"/>
                <w:b/>
                <w:sz w:val="20"/>
                <w:szCs w:val="20"/>
              </w:rPr>
              <w:t>202</w:t>
            </w:r>
            <w:r w:rsidR="00EC36DD">
              <w:rPr>
                <w:rFonts w:asciiTheme="minorHAnsi" w:hAnsiTheme="minorHAnsi" w:cs="Arial"/>
                <w:b/>
                <w:sz w:val="20"/>
                <w:szCs w:val="20"/>
              </w:rPr>
              <w:t>5</w:t>
            </w:r>
          </w:p>
          <w:p w14:paraId="5630560F" w14:textId="51A48178" w:rsidR="009E7E26" w:rsidRPr="00C77A50" w:rsidRDefault="003C1CB3">
            <w:pPr>
              <w:jc w:val="right"/>
              <w:rPr>
                <w:rFonts w:asciiTheme="minorHAnsi" w:hAnsiTheme="minorHAnsi" w:cs="Arial"/>
                <w:b/>
                <w:sz w:val="20"/>
                <w:szCs w:val="20"/>
              </w:rPr>
            </w:pPr>
            <w:r w:rsidRPr="007F7783">
              <w:rPr>
                <w:rFonts w:asciiTheme="minorHAnsi" w:hAnsiTheme="minorHAnsi" w:cs="Arial"/>
                <w:b/>
                <w:sz w:val="20"/>
                <w:szCs w:val="20"/>
              </w:rPr>
              <w:t>unaudited</w:t>
            </w:r>
          </w:p>
        </w:tc>
        <w:tc>
          <w:tcPr>
            <w:tcW w:w="702" w:type="pct"/>
          </w:tcPr>
          <w:p w14:paraId="2A045676" w14:textId="77777777" w:rsidR="009E7E26" w:rsidRDefault="009E7E26">
            <w:pPr>
              <w:jc w:val="right"/>
              <w:rPr>
                <w:rFonts w:asciiTheme="minorHAnsi" w:hAnsiTheme="minorHAnsi" w:cs="Arial"/>
                <w:sz w:val="20"/>
                <w:szCs w:val="20"/>
              </w:rPr>
            </w:pPr>
            <w:r>
              <w:rPr>
                <w:rFonts w:asciiTheme="minorHAnsi" w:hAnsiTheme="minorHAnsi" w:cs="Arial"/>
                <w:sz w:val="20"/>
                <w:szCs w:val="20"/>
              </w:rPr>
              <w:t>31 December 202</w:t>
            </w:r>
            <w:r w:rsidR="00EC36DD">
              <w:rPr>
                <w:rFonts w:asciiTheme="minorHAnsi" w:hAnsiTheme="minorHAnsi" w:cs="Arial"/>
                <w:sz w:val="20"/>
                <w:szCs w:val="20"/>
              </w:rPr>
              <w:t>4</w:t>
            </w:r>
          </w:p>
          <w:p w14:paraId="7642E711" w14:textId="7326A42D" w:rsidR="009E7E26" w:rsidRDefault="003C1CB3">
            <w:pPr>
              <w:jc w:val="right"/>
              <w:rPr>
                <w:rFonts w:asciiTheme="minorHAnsi" w:hAnsiTheme="minorHAnsi" w:cs="Arial"/>
                <w:sz w:val="20"/>
                <w:szCs w:val="20"/>
              </w:rPr>
            </w:pPr>
            <w:r w:rsidRPr="00CA3EDF">
              <w:rPr>
                <w:rFonts w:asciiTheme="minorHAnsi" w:hAnsiTheme="minorHAnsi" w:cs="Arial"/>
                <w:bCs/>
                <w:sz w:val="20"/>
                <w:szCs w:val="20"/>
              </w:rPr>
              <w:t>audited</w:t>
            </w:r>
          </w:p>
        </w:tc>
        <w:tc>
          <w:tcPr>
            <w:tcW w:w="582" w:type="pct"/>
          </w:tcPr>
          <w:p w14:paraId="6F888980" w14:textId="77777777" w:rsidR="009E7E26" w:rsidRDefault="009E7E26">
            <w:pPr>
              <w:jc w:val="right"/>
              <w:rPr>
                <w:rFonts w:asciiTheme="minorHAnsi" w:hAnsiTheme="minorHAnsi" w:cs="Arial"/>
                <w:sz w:val="20"/>
                <w:szCs w:val="20"/>
              </w:rPr>
            </w:pPr>
            <w:r>
              <w:rPr>
                <w:rFonts w:asciiTheme="minorHAnsi" w:hAnsiTheme="minorHAnsi" w:cs="Arial"/>
                <w:sz w:val="20"/>
                <w:szCs w:val="20"/>
              </w:rPr>
              <w:t xml:space="preserve">30 June </w:t>
            </w:r>
            <w:r w:rsidRPr="00A36F5C">
              <w:rPr>
                <w:rFonts w:asciiTheme="minorHAnsi" w:hAnsiTheme="minorHAnsi" w:cs="Arial"/>
                <w:sz w:val="20"/>
                <w:szCs w:val="20"/>
              </w:rPr>
              <w:t>202</w:t>
            </w:r>
            <w:r w:rsidR="00EC36DD">
              <w:rPr>
                <w:rFonts w:asciiTheme="minorHAnsi" w:hAnsiTheme="minorHAnsi" w:cs="Arial"/>
                <w:sz w:val="20"/>
                <w:szCs w:val="20"/>
              </w:rPr>
              <w:t>4</w:t>
            </w:r>
          </w:p>
          <w:p w14:paraId="2BDEA606" w14:textId="77B53603" w:rsidR="009E7E26" w:rsidRPr="00A36F5C" w:rsidRDefault="003C1CB3">
            <w:pPr>
              <w:jc w:val="right"/>
              <w:rPr>
                <w:rFonts w:asciiTheme="minorHAnsi" w:hAnsiTheme="minorHAnsi" w:cs="Arial"/>
                <w:sz w:val="20"/>
                <w:szCs w:val="20"/>
              </w:rPr>
            </w:pPr>
            <w:r w:rsidRPr="00CA3EDF">
              <w:rPr>
                <w:rFonts w:asciiTheme="minorHAnsi" w:hAnsiTheme="minorHAnsi" w:cs="Arial"/>
                <w:bCs/>
                <w:sz w:val="20"/>
                <w:szCs w:val="20"/>
              </w:rPr>
              <w:t>unaudited</w:t>
            </w:r>
          </w:p>
        </w:tc>
      </w:tr>
      <w:tr w:rsidR="00497782" w:rsidRPr="00A36F5C" w14:paraId="6BF6A98C" w14:textId="77777777" w:rsidTr="00135155">
        <w:trPr>
          <w:trHeight w:val="80"/>
        </w:trPr>
        <w:tc>
          <w:tcPr>
            <w:tcW w:w="1332" w:type="pct"/>
            <w:gridSpan w:val="2"/>
          </w:tcPr>
          <w:p w14:paraId="225B707D" w14:textId="77777777" w:rsidR="009E7E26" w:rsidRPr="00A36F5C" w:rsidRDefault="009E7E26">
            <w:pPr>
              <w:rPr>
                <w:rFonts w:asciiTheme="minorHAnsi" w:hAnsiTheme="minorHAnsi" w:cs="Arial"/>
                <w:sz w:val="20"/>
                <w:szCs w:val="20"/>
              </w:rPr>
            </w:pPr>
          </w:p>
        </w:tc>
        <w:tc>
          <w:tcPr>
            <w:tcW w:w="562" w:type="pct"/>
            <w:tcBorders>
              <w:bottom w:val="single" w:sz="4" w:space="0" w:color="auto"/>
            </w:tcBorders>
            <w:shd w:val="clear" w:color="auto" w:fill="F2F2F2" w:themeFill="background1" w:themeFillShade="F2"/>
          </w:tcPr>
          <w:p w14:paraId="28F72076" w14:textId="77777777" w:rsidR="009E7E26" w:rsidRPr="00C77A50" w:rsidRDefault="009E7E26">
            <w:pPr>
              <w:jc w:val="right"/>
              <w:rPr>
                <w:rFonts w:asciiTheme="minorHAnsi" w:hAnsiTheme="minorHAnsi" w:cs="Arial"/>
                <w:b/>
                <w:sz w:val="20"/>
                <w:szCs w:val="20"/>
              </w:rPr>
            </w:pPr>
            <w:r w:rsidRPr="00C77A50">
              <w:rPr>
                <w:rFonts w:asciiTheme="minorHAnsi" w:hAnsiTheme="minorHAnsi" w:cs="Arial"/>
                <w:b/>
                <w:sz w:val="20"/>
                <w:szCs w:val="20"/>
              </w:rPr>
              <w:t>£m </w:t>
            </w:r>
          </w:p>
        </w:tc>
        <w:tc>
          <w:tcPr>
            <w:tcW w:w="700" w:type="pct"/>
            <w:tcBorders>
              <w:bottom w:val="single" w:sz="4" w:space="0" w:color="auto"/>
            </w:tcBorders>
          </w:tcPr>
          <w:p w14:paraId="2BA5196C" w14:textId="77777777" w:rsidR="009E7E26" w:rsidRPr="00A36F5C" w:rsidRDefault="009E7E26">
            <w:pPr>
              <w:jc w:val="right"/>
              <w:rPr>
                <w:rFonts w:asciiTheme="minorHAnsi" w:hAnsiTheme="minorHAnsi" w:cs="Arial"/>
                <w:sz w:val="20"/>
                <w:szCs w:val="20"/>
              </w:rPr>
            </w:pPr>
            <w:r w:rsidRPr="00A36F5C">
              <w:rPr>
                <w:rFonts w:asciiTheme="minorHAnsi" w:hAnsiTheme="minorHAnsi" w:cs="Arial"/>
                <w:sz w:val="20"/>
                <w:szCs w:val="20"/>
              </w:rPr>
              <w:t>£m </w:t>
            </w:r>
          </w:p>
        </w:tc>
        <w:tc>
          <w:tcPr>
            <w:tcW w:w="562" w:type="pct"/>
            <w:tcBorders>
              <w:bottom w:val="single" w:sz="4" w:space="0" w:color="auto"/>
            </w:tcBorders>
          </w:tcPr>
          <w:p w14:paraId="77CD13CE" w14:textId="77777777" w:rsidR="009E7E26" w:rsidRPr="00A36F5C" w:rsidRDefault="009E7E26">
            <w:pPr>
              <w:jc w:val="right"/>
              <w:rPr>
                <w:rFonts w:asciiTheme="minorHAnsi" w:hAnsiTheme="minorHAnsi" w:cs="Arial"/>
                <w:sz w:val="20"/>
                <w:szCs w:val="20"/>
              </w:rPr>
            </w:pPr>
            <w:r w:rsidRPr="00A36F5C">
              <w:rPr>
                <w:rFonts w:asciiTheme="minorHAnsi" w:hAnsiTheme="minorHAnsi" w:cs="Arial"/>
                <w:sz w:val="20"/>
                <w:szCs w:val="20"/>
              </w:rPr>
              <w:t>£m </w:t>
            </w:r>
          </w:p>
        </w:tc>
        <w:tc>
          <w:tcPr>
            <w:tcW w:w="560" w:type="pct"/>
            <w:tcBorders>
              <w:top w:val="nil"/>
              <w:left w:val="nil"/>
              <w:bottom w:val="single" w:sz="4" w:space="0" w:color="auto"/>
              <w:right w:val="nil"/>
            </w:tcBorders>
            <w:shd w:val="clear" w:color="auto" w:fill="F2F2F2" w:themeFill="background1" w:themeFillShade="F2"/>
          </w:tcPr>
          <w:p w14:paraId="117DC24C" w14:textId="77777777" w:rsidR="009E7E26" w:rsidRPr="00C77A50" w:rsidRDefault="009E7E26">
            <w:pPr>
              <w:jc w:val="right"/>
              <w:rPr>
                <w:rFonts w:asciiTheme="minorHAnsi" w:hAnsiTheme="minorHAnsi" w:cs="Arial"/>
                <w:b/>
                <w:sz w:val="20"/>
                <w:szCs w:val="20"/>
              </w:rPr>
            </w:pPr>
            <w:r w:rsidRPr="00C77A50">
              <w:rPr>
                <w:rFonts w:asciiTheme="minorHAnsi" w:hAnsiTheme="minorHAnsi" w:cs="Arial"/>
                <w:b/>
                <w:sz w:val="20"/>
                <w:szCs w:val="20"/>
              </w:rPr>
              <w:t>£m </w:t>
            </w:r>
          </w:p>
        </w:tc>
        <w:tc>
          <w:tcPr>
            <w:tcW w:w="702" w:type="pct"/>
            <w:tcBorders>
              <w:top w:val="nil"/>
              <w:left w:val="nil"/>
              <w:bottom w:val="single" w:sz="4" w:space="0" w:color="auto"/>
              <w:right w:val="nil"/>
            </w:tcBorders>
          </w:tcPr>
          <w:p w14:paraId="209385D9" w14:textId="77777777" w:rsidR="009E7E26" w:rsidRPr="00A36F5C" w:rsidRDefault="009E7E26">
            <w:pPr>
              <w:jc w:val="right"/>
              <w:rPr>
                <w:rFonts w:asciiTheme="minorHAnsi" w:hAnsiTheme="minorHAnsi" w:cs="Arial"/>
                <w:sz w:val="20"/>
                <w:szCs w:val="20"/>
              </w:rPr>
            </w:pPr>
            <w:r w:rsidRPr="00A36F5C">
              <w:rPr>
                <w:rFonts w:asciiTheme="minorHAnsi" w:hAnsiTheme="minorHAnsi" w:cs="Arial"/>
                <w:sz w:val="20"/>
                <w:szCs w:val="20"/>
              </w:rPr>
              <w:t>£m </w:t>
            </w:r>
          </w:p>
        </w:tc>
        <w:tc>
          <w:tcPr>
            <w:tcW w:w="582" w:type="pct"/>
            <w:tcBorders>
              <w:top w:val="nil"/>
              <w:left w:val="nil"/>
              <w:bottom w:val="single" w:sz="4" w:space="0" w:color="auto"/>
              <w:right w:val="nil"/>
            </w:tcBorders>
          </w:tcPr>
          <w:p w14:paraId="56829E10" w14:textId="77777777" w:rsidR="009E7E26" w:rsidRPr="00A36F5C" w:rsidRDefault="009E7E26">
            <w:pPr>
              <w:jc w:val="right"/>
              <w:rPr>
                <w:rFonts w:asciiTheme="minorHAnsi" w:hAnsiTheme="minorHAnsi" w:cs="Arial"/>
                <w:sz w:val="20"/>
                <w:szCs w:val="20"/>
              </w:rPr>
            </w:pPr>
            <w:r w:rsidRPr="00A36F5C">
              <w:rPr>
                <w:rFonts w:asciiTheme="minorHAnsi" w:hAnsiTheme="minorHAnsi" w:cs="Arial"/>
                <w:sz w:val="20"/>
                <w:szCs w:val="20"/>
              </w:rPr>
              <w:t>£m </w:t>
            </w:r>
          </w:p>
        </w:tc>
      </w:tr>
      <w:tr w:rsidR="00497782" w:rsidRPr="00A36F5C" w14:paraId="4A500831" w14:textId="77777777" w:rsidTr="00135155">
        <w:trPr>
          <w:trHeight w:val="139"/>
        </w:trPr>
        <w:tc>
          <w:tcPr>
            <w:tcW w:w="1332" w:type="pct"/>
            <w:gridSpan w:val="2"/>
            <w:vAlign w:val="bottom"/>
          </w:tcPr>
          <w:p w14:paraId="70D3429D" w14:textId="65B4BFA0" w:rsidR="009E7E26" w:rsidRPr="00A36F5C" w:rsidRDefault="009E7E26">
            <w:pPr>
              <w:rPr>
                <w:rFonts w:asciiTheme="minorHAnsi" w:hAnsiTheme="minorHAnsi" w:cs="Arial"/>
                <w:sz w:val="20"/>
                <w:szCs w:val="20"/>
              </w:rPr>
            </w:pPr>
            <w:r w:rsidRPr="00A36F5C">
              <w:rPr>
                <w:rFonts w:asciiTheme="minorHAnsi" w:hAnsiTheme="minorHAnsi" w:cs="Arial"/>
                <w:sz w:val="20"/>
                <w:szCs w:val="20"/>
              </w:rPr>
              <w:t>Credit cards</w:t>
            </w:r>
            <w:r w:rsidR="005C3449">
              <w:rPr>
                <w:rFonts w:asciiTheme="minorHAnsi" w:hAnsiTheme="minorHAnsi" w:cs="Arial"/>
                <w:sz w:val="20"/>
                <w:szCs w:val="20"/>
              </w:rPr>
              <w:t>, personal loans</w:t>
            </w:r>
            <w:r w:rsidRPr="00A36F5C">
              <w:rPr>
                <w:rFonts w:asciiTheme="minorHAnsi" w:hAnsiTheme="minorHAnsi" w:cs="Arial"/>
                <w:sz w:val="20"/>
                <w:szCs w:val="20"/>
              </w:rPr>
              <w:t xml:space="preserve"> and second charge mortgages</w:t>
            </w:r>
          </w:p>
        </w:tc>
        <w:tc>
          <w:tcPr>
            <w:tcW w:w="562" w:type="pct"/>
            <w:shd w:val="clear" w:color="auto" w:fill="F2F2F2" w:themeFill="background1" w:themeFillShade="F2"/>
            <w:vAlign w:val="bottom"/>
          </w:tcPr>
          <w:p w14:paraId="73AF6A75" w14:textId="78D83981" w:rsidR="009E7E26" w:rsidRPr="006D4208" w:rsidRDefault="004977B6">
            <w:pPr>
              <w:jc w:val="right"/>
              <w:rPr>
                <w:rFonts w:asciiTheme="minorHAnsi" w:hAnsiTheme="minorHAnsi" w:cstheme="minorHAnsi"/>
                <w:b/>
                <w:sz w:val="20"/>
                <w:szCs w:val="20"/>
              </w:rPr>
            </w:pPr>
            <w:r w:rsidRPr="00180150">
              <w:rPr>
                <w:rFonts w:asciiTheme="minorHAnsi" w:hAnsiTheme="minorHAnsi" w:cstheme="minorHAnsi"/>
                <w:b/>
                <w:bCs/>
                <w:color w:val="000000"/>
                <w:sz w:val="20"/>
                <w:szCs w:val="20"/>
              </w:rPr>
              <w:t>2,628.2</w:t>
            </w:r>
          </w:p>
        </w:tc>
        <w:tc>
          <w:tcPr>
            <w:tcW w:w="700" w:type="pct"/>
            <w:vAlign w:val="bottom"/>
          </w:tcPr>
          <w:p w14:paraId="1A8375EA" w14:textId="4CE9E774" w:rsidR="009E7E26" w:rsidRPr="00327A1E" w:rsidRDefault="00E4534C">
            <w:pPr>
              <w:jc w:val="right"/>
              <w:rPr>
                <w:rFonts w:asciiTheme="minorHAnsi" w:hAnsiTheme="minorHAnsi" w:cstheme="minorHAnsi"/>
                <w:sz w:val="20"/>
                <w:szCs w:val="20"/>
              </w:rPr>
            </w:pPr>
            <w:r>
              <w:rPr>
                <w:rFonts w:asciiTheme="minorHAnsi" w:hAnsiTheme="minorHAnsi" w:cstheme="minorHAnsi"/>
                <w:sz w:val="20"/>
                <w:szCs w:val="20"/>
              </w:rPr>
              <w:t>2,</w:t>
            </w:r>
            <w:r w:rsidR="00A6413E">
              <w:rPr>
                <w:rFonts w:asciiTheme="minorHAnsi" w:hAnsiTheme="minorHAnsi" w:cstheme="minorHAnsi"/>
                <w:sz w:val="20"/>
                <w:szCs w:val="20"/>
              </w:rPr>
              <w:t>514.8</w:t>
            </w:r>
          </w:p>
        </w:tc>
        <w:tc>
          <w:tcPr>
            <w:tcW w:w="562" w:type="pct"/>
            <w:vAlign w:val="bottom"/>
          </w:tcPr>
          <w:p w14:paraId="404F566B" w14:textId="2CC77D33" w:rsidR="009E7E26" w:rsidRPr="00327A1E" w:rsidRDefault="00E4534C">
            <w:pPr>
              <w:jc w:val="right"/>
              <w:rPr>
                <w:rFonts w:asciiTheme="minorHAnsi" w:hAnsiTheme="minorHAnsi" w:cstheme="minorHAnsi"/>
                <w:sz w:val="20"/>
                <w:szCs w:val="20"/>
              </w:rPr>
            </w:pPr>
            <w:r>
              <w:rPr>
                <w:rFonts w:asciiTheme="minorHAnsi" w:hAnsiTheme="minorHAnsi" w:cstheme="minorHAnsi"/>
                <w:sz w:val="20"/>
                <w:szCs w:val="20"/>
              </w:rPr>
              <w:t>2,</w:t>
            </w:r>
            <w:r w:rsidR="00A6413E">
              <w:rPr>
                <w:rFonts w:asciiTheme="minorHAnsi" w:hAnsiTheme="minorHAnsi" w:cstheme="minorHAnsi"/>
                <w:sz w:val="20"/>
                <w:szCs w:val="20"/>
              </w:rPr>
              <w:t>101.6</w:t>
            </w:r>
          </w:p>
        </w:tc>
        <w:tc>
          <w:tcPr>
            <w:tcW w:w="560" w:type="pct"/>
            <w:shd w:val="clear" w:color="auto" w:fill="F2F2F2" w:themeFill="background1" w:themeFillShade="F2"/>
            <w:vAlign w:val="bottom"/>
          </w:tcPr>
          <w:p w14:paraId="3EB31A7E" w14:textId="3FC6125B" w:rsidR="009E7E26" w:rsidRPr="00180150" w:rsidRDefault="004977B6">
            <w:pPr>
              <w:jc w:val="right"/>
              <w:rPr>
                <w:rFonts w:asciiTheme="minorHAnsi" w:hAnsiTheme="minorHAnsi" w:cstheme="minorHAnsi"/>
                <w:b/>
                <w:color w:val="000000"/>
                <w:sz w:val="20"/>
                <w:szCs w:val="20"/>
              </w:rPr>
            </w:pPr>
            <w:r w:rsidRPr="00180150">
              <w:rPr>
                <w:rFonts w:asciiTheme="minorHAnsi" w:hAnsiTheme="minorHAnsi" w:cstheme="minorHAnsi"/>
                <w:b/>
                <w:bCs/>
                <w:color w:val="000000"/>
                <w:sz w:val="20"/>
                <w:szCs w:val="20"/>
              </w:rPr>
              <w:t>358.6</w:t>
            </w:r>
          </w:p>
        </w:tc>
        <w:tc>
          <w:tcPr>
            <w:tcW w:w="702" w:type="pct"/>
          </w:tcPr>
          <w:p w14:paraId="04E2465F" w14:textId="77777777" w:rsidR="00E4139F" w:rsidRDefault="00E4139F" w:rsidP="00556738">
            <w:pPr>
              <w:jc w:val="right"/>
              <w:rPr>
                <w:rFonts w:asciiTheme="minorHAnsi" w:hAnsiTheme="minorHAnsi" w:cstheme="minorHAnsi"/>
                <w:sz w:val="20"/>
                <w:szCs w:val="20"/>
              </w:rPr>
            </w:pPr>
          </w:p>
          <w:p w14:paraId="6D7F0E79" w14:textId="79C85DF3" w:rsidR="009E7E26" w:rsidRPr="00556738" w:rsidRDefault="00A6413E" w:rsidP="00556738">
            <w:pPr>
              <w:jc w:val="right"/>
              <w:rPr>
                <w:rFonts w:asciiTheme="minorHAnsi" w:hAnsiTheme="minorHAnsi" w:cstheme="minorHAnsi"/>
                <w:sz w:val="20"/>
                <w:szCs w:val="20"/>
              </w:rPr>
            </w:pPr>
            <w:r>
              <w:rPr>
                <w:rFonts w:asciiTheme="minorHAnsi" w:hAnsiTheme="minorHAnsi" w:cstheme="minorHAnsi"/>
                <w:sz w:val="20"/>
                <w:szCs w:val="20"/>
              </w:rPr>
              <w:t>353</w:t>
            </w:r>
            <w:r w:rsidR="00556738" w:rsidRPr="00E4139F">
              <w:rPr>
                <w:rFonts w:asciiTheme="minorHAnsi" w:hAnsiTheme="minorHAnsi" w:cstheme="minorHAnsi"/>
                <w:sz w:val="20"/>
                <w:szCs w:val="20"/>
              </w:rPr>
              <w:t>.0</w:t>
            </w:r>
          </w:p>
        </w:tc>
        <w:tc>
          <w:tcPr>
            <w:tcW w:w="582" w:type="pct"/>
            <w:vAlign w:val="bottom"/>
          </w:tcPr>
          <w:p w14:paraId="3E5B2966" w14:textId="6E524A5E" w:rsidR="009E7E26" w:rsidRPr="00556738" w:rsidRDefault="00A6413E" w:rsidP="00556738">
            <w:pPr>
              <w:jc w:val="right"/>
              <w:rPr>
                <w:rFonts w:asciiTheme="minorHAnsi" w:hAnsiTheme="minorHAnsi" w:cstheme="minorHAnsi"/>
                <w:sz w:val="20"/>
                <w:szCs w:val="20"/>
              </w:rPr>
            </w:pPr>
            <w:r>
              <w:rPr>
                <w:rFonts w:asciiTheme="minorHAnsi" w:hAnsiTheme="minorHAnsi" w:cstheme="minorHAnsi"/>
                <w:sz w:val="20"/>
                <w:szCs w:val="20"/>
              </w:rPr>
              <w:t>360.6</w:t>
            </w:r>
          </w:p>
        </w:tc>
      </w:tr>
      <w:tr w:rsidR="00497782" w:rsidRPr="00A36F5C" w14:paraId="5638F2B9" w14:textId="77777777">
        <w:trPr>
          <w:trHeight w:val="260"/>
        </w:trPr>
        <w:tc>
          <w:tcPr>
            <w:tcW w:w="1332" w:type="pct"/>
            <w:gridSpan w:val="2"/>
            <w:vAlign w:val="bottom"/>
          </w:tcPr>
          <w:p w14:paraId="7B572D58" w14:textId="77777777" w:rsidR="009E7E26" w:rsidRPr="00A36F5C" w:rsidRDefault="009E7E26">
            <w:pPr>
              <w:rPr>
                <w:rFonts w:asciiTheme="minorHAnsi" w:hAnsiTheme="minorHAnsi" w:cs="Arial"/>
                <w:sz w:val="20"/>
                <w:szCs w:val="20"/>
              </w:rPr>
            </w:pPr>
            <w:r w:rsidRPr="00A36F5C">
              <w:rPr>
                <w:rFonts w:asciiTheme="minorHAnsi" w:hAnsiTheme="minorHAnsi" w:cs="Arial"/>
                <w:sz w:val="20"/>
                <w:szCs w:val="20"/>
              </w:rPr>
              <w:t>Vehicle finance</w:t>
            </w:r>
          </w:p>
        </w:tc>
        <w:tc>
          <w:tcPr>
            <w:tcW w:w="562" w:type="pct"/>
            <w:shd w:val="clear" w:color="auto" w:fill="F2F2F2" w:themeFill="background1" w:themeFillShade="F2"/>
            <w:vAlign w:val="bottom"/>
          </w:tcPr>
          <w:p w14:paraId="5A73783C" w14:textId="1A23002D" w:rsidR="009E7E26" w:rsidRPr="006D4208" w:rsidRDefault="004977B6">
            <w:pPr>
              <w:jc w:val="right"/>
              <w:rPr>
                <w:rFonts w:asciiTheme="minorHAnsi" w:hAnsiTheme="minorHAnsi" w:cstheme="minorHAnsi"/>
                <w:b/>
                <w:sz w:val="20"/>
                <w:szCs w:val="20"/>
              </w:rPr>
            </w:pPr>
            <w:r w:rsidRPr="00180150">
              <w:rPr>
                <w:rFonts w:asciiTheme="minorHAnsi" w:hAnsiTheme="minorHAnsi" w:cstheme="minorHAnsi"/>
                <w:b/>
                <w:bCs/>
                <w:color w:val="000000"/>
                <w:sz w:val="20"/>
                <w:szCs w:val="20"/>
              </w:rPr>
              <w:t>749.3</w:t>
            </w:r>
          </w:p>
        </w:tc>
        <w:tc>
          <w:tcPr>
            <w:tcW w:w="700" w:type="pct"/>
            <w:vAlign w:val="bottom"/>
          </w:tcPr>
          <w:p w14:paraId="1AD88BF6" w14:textId="5CF1A857" w:rsidR="009E7E26" w:rsidRDefault="00556738">
            <w:pPr>
              <w:jc w:val="right"/>
              <w:rPr>
                <w:rFonts w:asciiTheme="minorHAnsi" w:hAnsiTheme="minorHAnsi" w:cstheme="minorHAnsi"/>
                <w:sz w:val="20"/>
                <w:szCs w:val="20"/>
              </w:rPr>
            </w:pPr>
            <w:r>
              <w:rPr>
                <w:rFonts w:asciiTheme="minorHAnsi" w:hAnsiTheme="minorHAnsi" w:cstheme="minorHAnsi"/>
                <w:sz w:val="20"/>
                <w:szCs w:val="20"/>
              </w:rPr>
              <w:t>775.5</w:t>
            </w:r>
          </w:p>
        </w:tc>
        <w:tc>
          <w:tcPr>
            <w:tcW w:w="562" w:type="pct"/>
            <w:vAlign w:val="bottom"/>
          </w:tcPr>
          <w:p w14:paraId="007E2101" w14:textId="26D71E51" w:rsidR="009E7E26" w:rsidRPr="006D4208" w:rsidRDefault="00556738">
            <w:pPr>
              <w:jc w:val="right"/>
              <w:rPr>
                <w:rFonts w:asciiTheme="minorHAnsi" w:hAnsiTheme="minorHAnsi" w:cstheme="minorHAnsi"/>
                <w:sz w:val="20"/>
                <w:szCs w:val="20"/>
              </w:rPr>
            </w:pPr>
            <w:r>
              <w:rPr>
                <w:rFonts w:asciiTheme="minorHAnsi" w:hAnsiTheme="minorHAnsi" w:cstheme="minorHAnsi"/>
                <w:sz w:val="20"/>
                <w:szCs w:val="20"/>
              </w:rPr>
              <w:t>875.3</w:t>
            </w:r>
          </w:p>
        </w:tc>
        <w:tc>
          <w:tcPr>
            <w:tcW w:w="560" w:type="pct"/>
            <w:shd w:val="clear" w:color="auto" w:fill="F2F2F2" w:themeFill="background1" w:themeFillShade="F2"/>
            <w:vAlign w:val="bottom"/>
          </w:tcPr>
          <w:p w14:paraId="01C4E587" w14:textId="2CBB13DD" w:rsidR="009E7E26" w:rsidRPr="00180150" w:rsidRDefault="004977B6">
            <w:pPr>
              <w:jc w:val="right"/>
              <w:rPr>
                <w:rFonts w:asciiTheme="minorHAnsi" w:hAnsiTheme="minorHAnsi" w:cstheme="minorHAnsi"/>
                <w:b/>
                <w:color w:val="000000"/>
                <w:sz w:val="20"/>
                <w:szCs w:val="20"/>
              </w:rPr>
            </w:pPr>
            <w:r w:rsidRPr="00180150">
              <w:rPr>
                <w:rFonts w:asciiTheme="minorHAnsi" w:hAnsiTheme="minorHAnsi" w:cstheme="minorHAnsi"/>
                <w:b/>
                <w:bCs/>
                <w:color w:val="000000"/>
                <w:sz w:val="20"/>
                <w:szCs w:val="20"/>
              </w:rPr>
              <w:t>128.0</w:t>
            </w:r>
          </w:p>
        </w:tc>
        <w:tc>
          <w:tcPr>
            <w:tcW w:w="702" w:type="pct"/>
          </w:tcPr>
          <w:p w14:paraId="79A62E6D" w14:textId="44FC92F4" w:rsidR="009E7E26" w:rsidRDefault="00556738">
            <w:pPr>
              <w:jc w:val="right"/>
              <w:rPr>
                <w:rFonts w:asciiTheme="minorHAnsi" w:hAnsiTheme="minorHAnsi" w:cstheme="minorHAnsi"/>
                <w:sz w:val="20"/>
                <w:szCs w:val="20"/>
              </w:rPr>
            </w:pPr>
            <w:r w:rsidRPr="00556738">
              <w:rPr>
                <w:rFonts w:asciiTheme="minorHAnsi" w:hAnsiTheme="minorHAnsi" w:cstheme="minorHAnsi"/>
                <w:sz w:val="20"/>
                <w:szCs w:val="20"/>
              </w:rPr>
              <w:t>129.1</w:t>
            </w:r>
          </w:p>
        </w:tc>
        <w:tc>
          <w:tcPr>
            <w:tcW w:w="582" w:type="pct"/>
            <w:vAlign w:val="bottom"/>
          </w:tcPr>
          <w:p w14:paraId="775014C0" w14:textId="5105F237" w:rsidR="009E7E26" w:rsidRPr="006D4208" w:rsidRDefault="00556738">
            <w:pPr>
              <w:jc w:val="right"/>
              <w:rPr>
                <w:rFonts w:asciiTheme="minorHAnsi" w:hAnsiTheme="minorHAnsi" w:cstheme="minorHAnsi"/>
                <w:sz w:val="20"/>
                <w:szCs w:val="20"/>
              </w:rPr>
            </w:pPr>
            <w:r w:rsidRPr="00556738">
              <w:rPr>
                <w:rFonts w:asciiTheme="minorHAnsi" w:hAnsiTheme="minorHAnsi" w:cstheme="minorHAnsi"/>
                <w:sz w:val="20"/>
                <w:szCs w:val="20"/>
              </w:rPr>
              <w:t>189.3</w:t>
            </w:r>
          </w:p>
        </w:tc>
      </w:tr>
      <w:tr w:rsidR="00497782" w:rsidRPr="00A36F5C" w14:paraId="14B54E7A" w14:textId="77777777" w:rsidTr="00135155">
        <w:trPr>
          <w:trHeight w:val="245"/>
        </w:trPr>
        <w:tc>
          <w:tcPr>
            <w:tcW w:w="1332" w:type="pct"/>
            <w:gridSpan w:val="2"/>
            <w:vAlign w:val="bottom"/>
          </w:tcPr>
          <w:p w14:paraId="61C48F7A" w14:textId="77777777" w:rsidR="009E7E26" w:rsidRPr="00A36F5C" w:rsidRDefault="009E7E26">
            <w:pPr>
              <w:rPr>
                <w:rFonts w:asciiTheme="minorHAnsi" w:hAnsiTheme="minorHAnsi" w:cs="Arial"/>
                <w:sz w:val="20"/>
                <w:szCs w:val="20"/>
              </w:rPr>
            </w:pPr>
            <w:r w:rsidRPr="00A36F5C">
              <w:rPr>
                <w:rFonts w:asciiTheme="minorHAnsi" w:hAnsiTheme="minorHAnsi" w:cs="Arial"/>
                <w:sz w:val="20"/>
                <w:szCs w:val="20"/>
              </w:rPr>
              <w:t>Central</w:t>
            </w:r>
          </w:p>
        </w:tc>
        <w:tc>
          <w:tcPr>
            <w:tcW w:w="562" w:type="pct"/>
            <w:tcBorders>
              <w:bottom w:val="single" w:sz="4" w:space="0" w:color="auto"/>
            </w:tcBorders>
            <w:shd w:val="clear" w:color="auto" w:fill="F2F2F2" w:themeFill="background1" w:themeFillShade="F2"/>
            <w:vAlign w:val="bottom"/>
          </w:tcPr>
          <w:p w14:paraId="4CC12737" w14:textId="5DCFC87C" w:rsidR="009E7E26" w:rsidRPr="006D4208" w:rsidRDefault="004977B6">
            <w:pPr>
              <w:jc w:val="right"/>
              <w:rPr>
                <w:rFonts w:asciiTheme="minorHAnsi" w:hAnsiTheme="minorHAnsi" w:cstheme="minorHAnsi"/>
                <w:b/>
                <w:sz w:val="20"/>
                <w:szCs w:val="20"/>
              </w:rPr>
            </w:pPr>
            <w:r w:rsidRPr="00180150">
              <w:rPr>
                <w:rFonts w:asciiTheme="minorHAnsi" w:hAnsiTheme="minorHAnsi" w:cstheme="minorHAnsi"/>
                <w:b/>
                <w:bCs/>
                <w:color w:val="000000"/>
                <w:sz w:val="20"/>
                <w:szCs w:val="20"/>
              </w:rPr>
              <w:t>(54.2)</w:t>
            </w:r>
          </w:p>
        </w:tc>
        <w:tc>
          <w:tcPr>
            <w:tcW w:w="700" w:type="pct"/>
            <w:tcBorders>
              <w:bottom w:val="single" w:sz="4" w:space="0" w:color="auto"/>
            </w:tcBorders>
          </w:tcPr>
          <w:p w14:paraId="290A5867" w14:textId="25B2C91E" w:rsidR="009E7E26" w:rsidRDefault="00556738">
            <w:pPr>
              <w:jc w:val="right"/>
              <w:rPr>
                <w:rFonts w:asciiTheme="minorHAnsi" w:hAnsiTheme="minorHAnsi" w:cs="Arial"/>
                <w:sz w:val="20"/>
                <w:szCs w:val="20"/>
              </w:rPr>
            </w:pPr>
            <w:r>
              <w:rPr>
                <w:rFonts w:asciiTheme="minorHAnsi" w:hAnsiTheme="minorHAnsi" w:cs="Arial"/>
                <w:sz w:val="20"/>
                <w:szCs w:val="20"/>
              </w:rPr>
              <w:t>(2.6)</w:t>
            </w:r>
          </w:p>
        </w:tc>
        <w:tc>
          <w:tcPr>
            <w:tcW w:w="562" w:type="pct"/>
            <w:tcBorders>
              <w:bottom w:val="single" w:sz="4" w:space="0" w:color="auto"/>
            </w:tcBorders>
            <w:vAlign w:val="bottom"/>
          </w:tcPr>
          <w:p w14:paraId="0CEE1EB8" w14:textId="56DA4682" w:rsidR="009E7E26" w:rsidRPr="006D4208" w:rsidRDefault="00556738">
            <w:pPr>
              <w:jc w:val="right"/>
              <w:rPr>
                <w:rFonts w:asciiTheme="minorHAnsi" w:hAnsiTheme="minorHAnsi" w:cs="Arial"/>
                <w:sz w:val="20"/>
                <w:szCs w:val="20"/>
              </w:rPr>
            </w:pPr>
            <w:r>
              <w:rPr>
                <w:rFonts w:asciiTheme="minorHAnsi" w:hAnsiTheme="minorHAnsi" w:cs="Arial"/>
                <w:sz w:val="20"/>
                <w:szCs w:val="20"/>
              </w:rPr>
              <w:t>47.6</w:t>
            </w:r>
          </w:p>
        </w:tc>
        <w:tc>
          <w:tcPr>
            <w:tcW w:w="560" w:type="pct"/>
            <w:tcBorders>
              <w:bottom w:val="single" w:sz="4" w:space="0" w:color="auto"/>
            </w:tcBorders>
            <w:shd w:val="clear" w:color="auto" w:fill="F2F2F2" w:themeFill="background1" w:themeFillShade="F2"/>
            <w:vAlign w:val="bottom"/>
          </w:tcPr>
          <w:p w14:paraId="261D2E45" w14:textId="6AD5E4CD" w:rsidR="009E7E26" w:rsidRPr="00180150" w:rsidRDefault="004977B6">
            <w:pPr>
              <w:jc w:val="right"/>
              <w:rPr>
                <w:rFonts w:asciiTheme="minorHAnsi" w:hAnsiTheme="minorHAnsi" w:cstheme="minorHAnsi"/>
                <w:b/>
                <w:color w:val="000000"/>
                <w:sz w:val="20"/>
                <w:szCs w:val="20"/>
              </w:rPr>
            </w:pPr>
            <w:r w:rsidRPr="00180150">
              <w:rPr>
                <w:rFonts w:asciiTheme="minorHAnsi" w:hAnsiTheme="minorHAnsi" w:cstheme="minorHAnsi"/>
                <w:b/>
                <w:bCs/>
                <w:color w:val="000000"/>
                <w:sz w:val="20"/>
                <w:szCs w:val="20"/>
              </w:rPr>
              <w:t>(51.9)</w:t>
            </w:r>
          </w:p>
        </w:tc>
        <w:tc>
          <w:tcPr>
            <w:tcW w:w="702" w:type="pct"/>
            <w:tcBorders>
              <w:bottom w:val="single" w:sz="4" w:space="0" w:color="auto"/>
            </w:tcBorders>
          </w:tcPr>
          <w:p w14:paraId="4884D419" w14:textId="289E6EB6" w:rsidR="009E7E26" w:rsidRDefault="00556738">
            <w:pPr>
              <w:jc w:val="right"/>
              <w:rPr>
                <w:rFonts w:asciiTheme="minorHAnsi" w:hAnsiTheme="minorHAnsi" w:cs="Arial"/>
                <w:sz w:val="20"/>
                <w:szCs w:val="20"/>
              </w:rPr>
            </w:pPr>
            <w:r w:rsidRPr="00556738">
              <w:rPr>
                <w:rFonts w:asciiTheme="minorHAnsi" w:hAnsiTheme="minorHAnsi" w:cstheme="minorHAnsi"/>
                <w:sz w:val="20"/>
                <w:szCs w:val="20"/>
              </w:rPr>
              <w:t>(40.9)</w:t>
            </w:r>
          </w:p>
        </w:tc>
        <w:tc>
          <w:tcPr>
            <w:tcW w:w="582" w:type="pct"/>
            <w:tcBorders>
              <w:bottom w:val="single" w:sz="4" w:space="0" w:color="auto"/>
            </w:tcBorders>
            <w:vAlign w:val="bottom"/>
          </w:tcPr>
          <w:p w14:paraId="2AC9A46A" w14:textId="6C29F5C1" w:rsidR="009E7E26" w:rsidRPr="006D4208" w:rsidRDefault="00556738">
            <w:pPr>
              <w:jc w:val="right"/>
              <w:rPr>
                <w:rFonts w:asciiTheme="minorHAnsi" w:hAnsiTheme="minorHAnsi" w:cs="Arial"/>
                <w:sz w:val="20"/>
                <w:szCs w:val="20"/>
              </w:rPr>
            </w:pPr>
            <w:r w:rsidRPr="00556738">
              <w:rPr>
                <w:rFonts w:asciiTheme="minorHAnsi" w:hAnsiTheme="minorHAnsi" w:cstheme="minorHAnsi"/>
                <w:sz w:val="20"/>
                <w:szCs w:val="20"/>
              </w:rPr>
              <w:t>(20.2)</w:t>
            </w:r>
          </w:p>
        </w:tc>
      </w:tr>
      <w:tr w:rsidR="00497782" w:rsidRPr="00A36F5C" w14:paraId="3A839E8D" w14:textId="77777777" w:rsidTr="00135155">
        <w:trPr>
          <w:trHeight w:val="68"/>
        </w:trPr>
        <w:tc>
          <w:tcPr>
            <w:tcW w:w="1332" w:type="pct"/>
            <w:gridSpan w:val="2"/>
            <w:vAlign w:val="bottom"/>
          </w:tcPr>
          <w:p w14:paraId="7F8F34EC" w14:textId="77777777" w:rsidR="009E7E26" w:rsidRPr="00A36F5C" w:rsidRDefault="009E7E26">
            <w:pPr>
              <w:rPr>
                <w:rFonts w:asciiTheme="minorHAnsi" w:hAnsiTheme="minorHAnsi" w:cs="Arial"/>
                <w:sz w:val="20"/>
                <w:szCs w:val="20"/>
              </w:rPr>
            </w:pPr>
            <w:r w:rsidRPr="00A36F5C">
              <w:rPr>
                <w:rFonts w:asciiTheme="minorHAnsi" w:hAnsiTheme="minorHAnsi" w:cs="Arial"/>
                <w:sz w:val="20"/>
                <w:szCs w:val="20"/>
              </w:rPr>
              <w:t>Intra-group elimination</w:t>
            </w:r>
          </w:p>
        </w:tc>
        <w:tc>
          <w:tcPr>
            <w:tcW w:w="562" w:type="pct"/>
            <w:tcBorders>
              <w:bottom w:val="single" w:sz="4" w:space="0" w:color="auto"/>
            </w:tcBorders>
            <w:shd w:val="clear" w:color="auto" w:fill="F2F2F2" w:themeFill="background1" w:themeFillShade="F2"/>
            <w:vAlign w:val="bottom"/>
          </w:tcPr>
          <w:p w14:paraId="33EE33DA" w14:textId="23539424" w:rsidR="009E7E26" w:rsidRPr="006D4208" w:rsidRDefault="00180150">
            <w:pPr>
              <w:jc w:val="right"/>
              <w:rPr>
                <w:rFonts w:asciiTheme="minorHAnsi" w:hAnsiTheme="minorHAnsi" w:cstheme="minorHAnsi"/>
                <w:b/>
                <w:sz w:val="20"/>
                <w:szCs w:val="20"/>
              </w:rPr>
            </w:pPr>
            <w:r w:rsidRPr="00180150">
              <w:rPr>
                <w:rFonts w:asciiTheme="minorHAnsi" w:hAnsiTheme="minorHAnsi" w:cstheme="minorHAnsi"/>
                <w:b/>
                <w:bCs/>
                <w:color w:val="000000"/>
                <w:sz w:val="20"/>
                <w:szCs w:val="20"/>
              </w:rPr>
              <w:t>123.4</w:t>
            </w:r>
          </w:p>
        </w:tc>
        <w:tc>
          <w:tcPr>
            <w:tcW w:w="700" w:type="pct"/>
            <w:tcBorders>
              <w:bottom w:val="single" w:sz="4" w:space="0" w:color="auto"/>
            </w:tcBorders>
          </w:tcPr>
          <w:p w14:paraId="5447FE3F" w14:textId="0ECFD56D" w:rsidR="009E7E26" w:rsidRDefault="00556738">
            <w:pPr>
              <w:jc w:val="right"/>
              <w:rPr>
                <w:rFonts w:asciiTheme="minorHAnsi" w:hAnsiTheme="minorHAnsi" w:cstheme="minorHAnsi"/>
                <w:sz w:val="20"/>
                <w:szCs w:val="20"/>
              </w:rPr>
            </w:pPr>
            <w:r>
              <w:rPr>
                <w:rFonts w:asciiTheme="minorHAnsi" w:hAnsiTheme="minorHAnsi" w:cstheme="minorHAnsi"/>
                <w:sz w:val="20"/>
                <w:szCs w:val="20"/>
              </w:rPr>
              <w:t>87.6</w:t>
            </w:r>
          </w:p>
        </w:tc>
        <w:tc>
          <w:tcPr>
            <w:tcW w:w="562" w:type="pct"/>
            <w:tcBorders>
              <w:bottom w:val="single" w:sz="4" w:space="0" w:color="auto"/>
            </w:tcBorders>
            <w:vAlign w:val="bottom"/>
          </w:tcPr>
          <w:p w14:paraId="68F19EBC" w14:textId="29FC83FB" w:rsidR="009E7E26" w:rsidRPr="006D4208" w:rsidRDefault="00556738">
            <w:pPr>
              <w:jc w:val="right"/>
              <w:rPr>
                <w:rFonts w:asciiTheme="minorHAnsi" w:hAnsiTheme="minorHAnsi" w:cstheme="minorHAnsi"/>
                <w:sz w:val="20"/>
                <w:szCs w:val="20"/>
              </w:rPr>
            </w:pPr>
            <w:r>
              <w:rPr>
                <w:rFonts w:asciiTheme="minorHAnsi" w:hAnsiTheme="minorHAnsi" w:cstheme="minorHAnsi"/>
                <w:sz w:val="20"/>
                <w:szCs w:val="20"/>
              </w:rPr>
              <w:t>60.6</w:t>
            </w:r>
          </w:p>
        </w:tc>
        <w:tc>
          <w:tcPr>
            <w:tcW w:w="560" w:type="pct"/>
            <w:tcBorders>
              <w:left w:val="nil"/>
              <w:bottom w:val="single" w:sz="4" w:space="0" w:color="auto"/>
              <w:right w:val="nil"/>
            </w:tcBorders>
            <w:shd w:val="clear" w:color="auto" w:fill="F2F2F2" w:themeFill="background1" w:themeFillShade="F2"/>
            <w:vAlign w:val="bottom"/>
          </w:tcPr>
          <w:p w14:paraId="18638910" w14:textId="1AC85C2E" w:rsidR="009E7E26" w:rsidRPr="00180150" w:rsidRDefault="00180150">
            <w:pPr>
              <w:jc w:val="right"/>
              <w:rPr>
                <w:rFonts w:asciiTheme="minorHAnsi" w:hAnsiTheme="minorHAnsi" w:cstheme="minorHAnsi"/>
                <w:b/>
                <w:color w:val="000000"/>
                <w:sz w:val="20"/>
                <w:szCs w:val="20"/>
              </w:rPr>
            </w:pPr>
            <w:r w:rsidRPr="00180150">
              <w:rPr>
                <w:rFonts w:asciiTheme="minorHAnsi" w:hAnsiTheme="minorHAnsi" w:cstheme="minorHAnsi"/>
                <w:b/>
                <w:bCs/>
                <w:color w:val="000000"/>
                <w:sz w:val="20"/>
                <w:szCs w:val="20"/>
              </w:rPr>
              <w:t>-</w:t>
            </w:r>
          </w:p>
        </w:tc>
        <w:tc>
          <w:tcPr>
            <w:tcW w:w="702" w:type="pct"/>
            <w:tcBorders>
              <w:left w:val="nil"/>
              <w:bottom w:val="single" w:sz="4" w:space="0" w:color="auto"/>
              <w:right w:val="nil"/>
            </w:tcBorders>
          </w:tcPr>
          <w:p w14:paraId="3D8DDA78" w14:textId="33B27A64" w:rsidR="009E7E26" w:rsidRPr="00556738" w:rsidRDefault="00556738">
            <w:pPr>
              <w:jc w:val="right"/>
              <w:rPr>
                <w:rFonts w:asciiTheme="minorHAnsi" w:hAnsiTheme="minorHAnsi" w:cstheme="minorHAnsi"/>
                <w:sz w:val="20"/>
                <w:szCs w:val="20"/>
              </w:rPr>
            </w:pPr>
            <w:r w:rsidRPr="00556738">
              <w:rPr>
                <w:rFonts w:asciiTheme="minorHAnsi" w:hAnsiTheme="minorHAnsi" w:cstheme="minorHAnsi"/>
                <w:sz w:val="20"/>
                <w:szCs w:val="20"/>
              </w:rPr>
              <w:t>-</w:t>
            </w:r>
          </w:p>
        </w:tc>
        <w:tc>
          <w:tcPr>
            <w:tcW w:w="582" w:type="pct"/>
            <w:tcBorders>
              <w:left w:val="nil"/>
              <w:bottom w:val="single" w:sz="4" w:space="0" w:color="auto"/>
              <w:right w:val="nil"/>
            </w:tcBorders>
            <w:vAlign w:val="bottom"/>
          </w:tcPr>
          <w:p w14:paraId="0602F527" w14:textId="0985C3EE" w:rsidR="009E7E26" w:rsidRPr="00556738" w:rsidRDefault="00556738">
            <w:pPr>
              <w:jc w:val="right"/>
              <w:rPr>
                <w:rFonts w:asciiTheme="minorHAnsi" w:hAnsiTheme="minorHAnsi" w:cstheme="minorHAnsi"/>
                <w:sz w:val="20"/>
                <w:szCs w:val="20"/>
              </w:rPr>
            </w:pPr>
            <w:r w:rsidRPr="00556738">
              <w:rPr>
                <w:rFonts w:asciiTheme="minorHAnsi" w:hAnsiTheme="minorHAnsi" w:cstheme="minorHAnsi"/>
                <w:sz w:val="20"/>
                <w:szCs w:val="20"/>
              </w:rPr>
              <w:t>-</w:t>
            </w:r>
          </w:p>
        </w:tc>
      </w:tr>
      <w:tr w:rsidR="00497782" w:rsidRPr="00A36F5C" w14:paraId="50597854" w14:textId="77777777" w:rsidTr="00135155">
        <w:trPr>
          <w:trHeight w:val="245"/>
        </w:trPr>
        <w:tc>
          <w:tcPr>
            <w:tcW w:w="1332" w:type="pct"/>
            <w:gridSpan w:val="2"/>
            <w:vAlign w:val="bottom"/>
          </w:tcPr>
          <w:p w14:paraId="666668B4" w14:textId="77777777" w:rsidR="009E7E26" w:rsidRPr="00A36F5C" w:rsidRDefault="009E7E26">
            <w:pPr>
              <w:rPr>
                <w:rFonts w:asciiTheme="minorHAnsi" w:hAnsiTheme="minorHAnsi" w:cs="Arial"/>
                <w:b/>
                <w:sz w:val="20"/>
                <w:szCs w:val="20"/>
              </w:rPr>
            </w:pPr>
            <w:r w:rsidRPr="00A36F5C">
              <w:rPr>
                <w:rFonts w:asciiTheme="minorHAnsi" w:hAnsiTheme="minorHAnsi" w:cs="Arial"/>
                <w:b/>
                <w:sz w:val="20"/>
                <w:szCs w:val="20"/>
              </w:rPr>
              <w:t>Total Group</w:t>
            </w:r>
          </w:p>
        </w:tc>
        <w:tc>
          <w:tcPr>
            <w:tcW w:w="562" w:type="pct"/>
            <w:tcBorders>
              <w:top w:val="single" w:sz="4" w:space="0" w:color="auto"/>
              <w:bottom w:val="single" w:sz="12" w:space="0" w:color="auto"/>
            </w:tcBorders>
            <w:shd w:val="clear" w:color="auto" w:fill="F2F2F2" w:themeFill="background1" w:themeFillShade="F2"/>
            <w:vAlign w:val="bottom"/>
          </w:tcPr>
          <w:p w14:paraId="01CBA74C" w14:textId="5866E22C" w:rsidR="009E7E26" w:rsidRPr="006D4208" w:rsidRDefault="00180150">
            <w:pPr>
              <w:jc w:val="right"/>
              <w:rPr>
                <w:rFonts w:asciiTheme="minorHAnsi" w:hAnsiTheme="minorHAnsi" w:cstheme="minorHAnsi"/>
                <w:b/>
                <w:sz w:val="20"/>
                <w:szCs w:val="20"/>
              </w:rPr>
            </w:pPr>
            <w:r w:rsidRPr="00180150">
              <w:rPr>
                <w:rFonts w:asciiTheme="minorHAnsi" w:hAnsiTheme="minorHAnsi" w:cstheme="minorHAnsi"/>
                <w:b/>
                <w:bCs/>
                <w:color w:val="000000"/>
                <w:sz w:val="20"/>
                <w:szCs w:val="20"/>
              </w:rPr>
              <w:t>3,446.7</w:t>
            </w:r>
          </w:p>
        </w:tc>
        <w:tc>
          <w:tcPr>
            <w:tcW w:w="700" w:type="pct"/>
            <w:tcBorders>
              <w:top w:val="single" w:sz="4" w:space="0" w:color="auto"/>
              <w:bottom w:val="single" w:sz="12" w:space="0" w:color="auto"/>
            </w:tcBorders>
          </w:tcPr>
          <w:p w14:paraId="7CDDC348" w14:textId="1B4BCAC0" w:rsidR="009E7E26" w:rsidRPr="00D36B5D" w:rsidRDefault="00556738">
            <w:pPr>
              <w:jc w:val="right"/>
              <w:rPr>
                <w:rFonts w:asciiTheme="minorHAnsi" w:hAnsiTheme="minorHAnsi" w:cstheme="minorHAnsi"/>
                <w:bCs/>
                <w:sz w:val="20"/>
                <w:szCs w:val="20"/>
              </w:rPr>
            </w:pPr>
            <w:r>
              <w:rPr>
                <w:rFonts w:asciiTheme="minorHAnsi" w:hAnsiTheme="minorHAnsi" w:cstheme="minorHAnsi"/>
                <w:bCs/>
                <w:sz w:val="20"/>
                <w:szCs w:val="20"/>
              </w:rPr>
              <w:t>3,375.3</w:t>
            </w:r>
          </w:p>
        </w:tc>
        <w:tc>
          <w:tcPr>
            <w:tcW w:w="562" w:type="pct"/>
            <w:tcBorders>
              <w:top w:val="single" w:sz="4" w:space="0" w:color="auto"/>
              <w:bottom w:val="single" w:sz="12" w:space="0" w:color="auto"/>
            </w:tcBorders>
            <w:vAlign w:val="bottom"/>
          </w:tcPr>
          <w:p w14:paraId="62999598" w14:textId="3C1BB696" w:rsidR="009E7E26" w:rsidRPr="00D36B5D" w:rsidRDefault="00556738">
            <w:pPr>
              <w:jc w:val="right"/>
              <w:rPr>
                <w:rFonts w:asciiTheme="minorHAnsi" w:hAnsiTheme="minorHAnsi" w:cstheme="minorHAnsi"/>
                <w:sz w:val="20"/>
                <w:szCs w:val="20"/>
              </w:rPr>
            </w:pPr>
            <w:r>
              <w:rPr>
                <w:rFonts w:asciiTheme="minorHAnsi" w:hAnsiTheme="minorHAnsi" w:cstheme="minorHAnsi"/>
                <w:sz w:val="20"/>
                <w:szCs w:val="20"/>
              </w:rPr>
              <w:t>3,085.1</w:t>
            </w:r>
          </w:p>
        </w:tc>
        <w:tc>
          <w:tcPr>
            <w:tcW w:w="560" w:type="pct"/>
            <w:tcBorders>
              <w:top w:val="single" w:sz="4" w:space="0" w:color="auto"/>
              <w:left w:val="nil"/>
              <w:bottom w:val="single" w:sz="12" w:space="0" w:color="auto"/>
              <w:right w:val="nil"/>
            </w:tcBorders>
            <w:shd w:val="clear" w:color="auto" w:fill="F2F2F2" w:themeFill="background1" w:themeFillShade="F2"/>
            <w:vAlign w:val="bottom"/>
          </w:tcPr>
          <w:p w14:paraId="390CE37A" w14:textId="138504CA" w:rsidR="009E7E26" w:rsidRPr="00180150" w:rsidRDefault="00180150">
            <w:pPr>
              <w:jc w:val="right"/>
              <w:rPr>
                <w:rFonts w:asciiTheme="minorHAnsi" w:hAnsiTheme="minorHAnsi" w:cstheme="minorHAnsi"/>
                <w:b/>
                <w:color w:val="000000"/>
                <w:sz w:val="20"/>
                <w:szCs w:val="20"/>
              </w:rPr>
            </w:pPr>
            <w:r w:rsidRPr="00180150">
              <w:rPr>
                <w:rFonts w:asciiTheme="minorHAnsi" w:hAnsiTheme="minorHAnsi" w:cstheme="minorHAnsi"/>
                <w:b/>
                <w:bCs/>
                <w:color w:val="000000"/>
                <w:sz w:val="20"/>
                <w:szCs w:val="20"/>
              </w:rPr>
              <w:t>434.7</w:t>
            </w:r>
          </w:p>
        </w:tc>
        <w:tc>
          <w:tcPr>
            <w:tcW w:w="702" w:type="pct"/>
            <w:tcBorders>
              <w:top w:val="single" w:sz="4" w:space="0" w:color="auto"/>
              <w:left w:val="nil"/>
              <w:bottom w:val="single" w:sz="12" w:space="0" w:color="auto"/>
              <w:right w:val="nil"/>
            </w:tcBorders>
          </w:tcPr>
          <w:p w14:paraId="3E7F9171" w14:textId="610E1CB4" w:rsidR="009E7E26" w:rsidRPr="00556738" w:rsidRDefault="00556738">
            <w:pPr>
              <w:jc w:val="right"/>
              <w:rPr>
                <w:rFonts w:asciiTheme="minorHAnsi" w:hAnsiTheme="minorHAnsi" w:cstheme="minorHAnsi"/>
                <w:sz w:val="20"/>
                <w:szCs w:val="20"/>
              </w:rPr>
            </w:pPr>
            <w:r w:rsidRPr="00556738">
              <w:rPr>
                <w:rFonts w:asciiTheme="minorHAnsi" w:hAnsiTheme="minorHAnsi" w:cstheme="minorHAnsi"/>
                <w:sz w:val="20"/>
                <w:szCs w:val="20"/>
              </w:rPr>
              <w:t>441.2</w:t>
            </w:r>
          </w:p>
        </w:tc>
        <w:tc>
          <w:tcPr>
            <w:tcW w:w="582" w:type="pct"/>
            <w:tcBorders>
              <w:top w:val="single" w:sz="4" w:space="0" w:color="auto"/>
              <w:left w:val="nil"/>
              <w:bottom w:val="single" w:sz="12" w:space="0" w:color="auto"/>
              <w:right w:val="nil"/>
            </w:tcBorders>
            <w:vAlign w:val="bottom"/>
          </w:tcPr>
          <w:p w14:paraId="3EFB78E3" w14:textId="6BBA40A0" w:rsidR="009E7E26" w:rsidRPr="00556738" w:rsidRDefault="00556738">
            <w:pPr>
              <w:jc w:val="right"/>
              <w:rPr>
                <w:rFonts w:asciiTheme="minorHAnsi" w:hAnsiTheme="minorHAnsi" w:cstheme="minorHAnsi"/>
                <w:sz w:val="20"/>
                <w:szCs w:val="20"/>
              </w:rPr>
            </w:pPr>
            <w:r w:rsidRPr="00556738">
              <w:rPr>
                <w:rFonts w:asciiTheme="minorHAnsi" w:hAnsiTheme="minorHAnsi" w:cstheme="minorHAnsi"/>
                <w:sz w:val="20"/>
                <w:szCs w:val="20"/>
              </w:rPr>
              <w:t>529.7</w:t>
            </w:r>
          </w:p>
        </w:tc>
      </w:tr>
    </w:tbl>
    <w:p w14:paraId="0C578246" w14:textId="77777777" w:rsidR="009E7E26" w:rsidRDefault="009E7E26" w:rsidP="00EC4B1F">
      <w:pPr>
        <w:rPr>
          <w:rFonts w:asciiTheme="minorHAnsi" w:hAnsiTheme="minorHAnsi" w:cs="Arial"/>
          <w:b/>
          <w:color w:val="4747FF"/>
          <w:sz w:val="22"/>
          <w:szCs w:val="22"/>
        </w:rPr>
      </w:pPr>
    </w:p>
    <w:p w14:paraId="5C5B642C" w14:textId="77777777" w:rsidR="00A1425C" w:rsidRDefault="00A1425C" w:rsidP="00A1425C">
      <w:pPr>
        <w:rPr>
          <w:rFonts w:asciiTheme="minorHAnsi" w:hAnsiTheme="minorHAnsi" w:cs="Arial"/>
          <w:b/>
          <w:sz w:val="20"/>
          <w:szCs w:val="20"/>
        </w:rPr>
      </w:pPr>
    </w:p>
    <w:p w14:paraId="647D4F7C" w14:textId="0706C2BF" w:rsidR="00CE7C98"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r w:rsidRPr="00A36F5C">
        <w:rPr>
          <w:rFonts w:asciiTheme="minorHAnsi" w:hAnsiTheme="minorHAnsi" w:cs="Arial"/>
          <w:sz w:val="20"/>
          <w:szCs w:val="20"/>
        </w:rPr>
        <w:t xml:space="preserve">The presentation of segment net assets reflects the statutory assets, liabilities and net assets of each of the Group’s divisions. This results in an intra-group elimination reflecting the difference between the central intercompany funding provided to the divisions and the external funding raised centrally. Credit </w:t>
      </w:r>
      <w:r w:rsidR="00E42329">
        <w:rPr>
          <w:rFonts w:asciiTheme="minorHAnsi" w:hAnsiTheme="minorHAnsi" w:cs="Arial"/>
          <w:sz w:val="20"/>
          <w:szCs w:val="20"/>
        </w:rPr>
        <w:t>c</w:t>
      </w:r>
      <w:r w:rsidR="007C4E46">
        <w:rPr>
          <w:rFonts w:asciiTheme="minorHAnsi" w:hAnsiTheme="minorHAnsi" w:cs="Arial"/>
          <w:sz w:val="20"/>
          <w:szCs w:val="20"/>
        </w:rPr>
        <w:t>ards</w:t>
      </w:r>
      <w:r w:rsidR="0086061E">
        <w:rPr>
          <w:rFonts w:asciiTheme="minorHAnsi" w:hAnsiTheme="minorHAnsi" w:cs="Arial"/>
          <w:sz w:val="20"/>
          <w:szCs w:val="20"/>
        </w:rPr>
        <w:t xml:space="preserve">, </w:t>
      </w:r>
      <w:r w:rsidR="005C3449">
        <w:rPr>
          <w:rFonts w:asciiTheme="minorHAnsi" w:hAnsiTheme="minorHAnsi" w:cs="Arial"/>
          <w:sz w:val="20"/>
          <w:szCs w:val="20"/>
        </w:rPr>
        <w:t>personal loans</w:t>
      </w:r>
      <w:r w:rsidRPr="00A36F5C">
        <w:rPr>
          <w:rFonts w:asciiTheme="minorHAnsi" w:hAnsiTheme="minorHAnsi" w:cs="Arial"/>
          <w:sz w:val="20"/>
          <w:szCs w:val="20"/>
        </w:rPr>
        <w:t xml:space="preserve"> and </w:t>
      </w:r>
      <w:r w:rsidR="00E42329">
        <w:rPr>
          <w:rFonts w:asciiTheme="minorHAnsi" w:hAnsiTheme="minorHAnsi" w:cs="Arial"/>
          <w:sz w:val="20"/>
          <w:szCs w:val="20"/>
        </w:rPr>
        <w:t>s</w:t>
      </w:r>
      <w:r w:rsidR="007C4E46">
        <w:rPr>
          <w:rFonts w:asciiTheme="minorHAnsi" w:hAnsiTheme="minorHAnsi" w:cs="Arial"/>
          <w:sz w:val="20"/>
          <w:szCs w:val="20"/>
        </w:rPr>
        <w:t xml:space="preserve">econd </w:t>
      </w:r>
      <w:r w:rsidR="0091118E">
        <w:rPr>
          <w:rFonts w:asciiTheme="minorHAnsi" w:hAnsiTheme="minorHAnsi" w:cs="Arial"/>
          <w:sz w:val="20"/>
          <w:szCs w:val="20"/>
        </w:rPr>
        <w:t>c</w:t>
      </w:r>
      <w:r w:rsidR="007C4E46">
        <w:rPr>
          <w:rFonts w:asciiTheme="minorHAnsi" w:hAnsiTheme="minorHAnsi" w:cs="Arial"/>
          <w:sz w:val="20"/>
          <w:szCs w:val="20"/>
        </w:rPr>
        <w:t xml:space="preserve">harge </w:t>
      </w:r>
      <w:r w:rsidR="00E42329">
        <w:rPr>
          <w:rFonts w:asciiTheme="minorHAnsi" w:hAnsiTheme="minorHAnsi" w:cs="Arial"/>
          <w:sz w:val="20"/>
          <w:szCs w:val="20"/>
        </w:rPr>
        <w:t>m</w:t>
      </w:r>
      <w:r w:rsidR="007C4E46">
        <w:rPr>
          <w:rFonts w:asciiTheme="minorHAnsi" w:hAnsiTheme="minorHAnsi" w:cs="Arial"/>
          <w:sz w:val="20"/>
          <w:szCs w:val="20"/>
        </w:rPr>
        <w:t>ortgages</w:t>
      </w:r>
      <w:r w:rsidRPr="00A36F5C">
        <w:rPr>
          <w:rFonts w:asciiTheme="minorHAnsi" w:hAnsiTheme="minorHAnsi" w:cs="Arial"/>
          <w:sz w:val="20"/>
          <w:szCs w:val="20"/>
        </w:rPr>
        <w:t xml:space="preserve"> are recognised within Vanquis Bank Limited and are therefore combined for balance sheet reporting purposes.</w:t>
      </w:r>
    </w:p>
    <w:p w14:paraId="138334EF" w14:textId="77777777" w:rsidR="00CE7C98" w:rsidRDefault="00CE7C98"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p>
    <w:p w14:paraId="29200731" w14:textId="30C007BA" w:rsidR="00A86232" w:rsidRPr="00A86232" w:rsidRDefault="00A86232"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r w:rsidRPr="00A86232">
        <w:rPr>
          <w:rFonts w:asciiTheme="minorHAnsi" w:hAnsiTheme="minorHAnsi" w:cs="Arial"/>
          <w:b/>
          <w:color w:val="4747FF"/>
          <w:sz w:val="22"/>
          <w:szCs w:val="22"/>
        </w:rPr>
        <w:t xml:space="preserve">5.  Discontinued operations </w:t>
      </w:r>
    </w:p>
    <w:p w14:paraId="21AD702E" w14:textId="77777777" w:rsidR="005620C2" w:rsidRDefault="005620C2"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p>
    <w:p w14:paraId="735FDC0A" w14:textId="11B83DD2" w:rsidR="00AC1605" w:rsidRPr="00B43B2D" w:rsidRDefault="00AC1605" w:rsidP="00AC1605">
      <w:pPr>
        <w:autoSpaceDE w:val="0"/>
        <w:autoSpaceDN w:val="0"/>
        <w:adjustRightInd w:val="0"/>
        <w:jc w:val="both"/>
        <w:rPr>
          <w:rFonts w:asciiTheme="minorHAnsi" w:hAnsiTheme="minorHAnsi" w:cs="Poppins-Light"/>
          <w:sz w:val="20"/>
          <w:szCs w:val="20"/>
        </w:rPr>
      </w:pPr>
      <w:r w:rsidRPr="00B43B2D">
        <w:rPr>
          <w:rFonts w:asciiTheme="minorHAnsi" w:hAnsiTheme="minorHAnsi" w:cs="Poppins-Light"/>
          <w:sz w:val="20"/>
          <w:szCs w:val="20"/>
        </w:rPr>
        <w:t xml:space="preserve">The </w:t>
      </w:r>
      <w:r>
        <w:rPr>
          <w:rFonts w:asciiTheme="minorHAnsi" w:hAnsiTheme="minorHAnsi" w:cs="Poppins-Light"/>
          <w:sz w:val="20"/>
          <w:szCs w:val="20"/>
        </w:rPr>
        <w:t xml:space="preserve">Group </w:t>
      </w:r>
      <w:r w:rsidR="00C0377B" w:rsidRPr="00B43B2D">
        <w:rPr>
          <w:rFonts w:asciiTheme="minorHAnsi" w:hAnsiTheme="minorHAnsi" w:cs="Poppins-Light"/>
          <w:sz w:val="20"/>
          <w:szCs w:val="20"/>
        </w:rPr>
        <w:t xml:space="preserve">sold its Loan portfolio </w:t>
      </w:r>
      <w:r w:rsidR="001D256F">
        <w:rPr>
          <w:rFonts w:asciiTheme="minorHAnsi" w:hAnsiTheme="minorHAnsi" w:cs="Poppins-Light"/>
          <w:sz w:val="20"/>
          <w:szCs w:val="20"/>
        </w:rPr>
        <w:t>in March 2025</w:t>
      </w:r>
      <w:r w:rsidR="00B43B2D">
        <w:rPr>
          <w:rFonts w:asciiTheme="minorHAnsi" w:hAnsiTheme="minorHAnsi" w:cs="Poppins-Light"/>
          <w:sz w:val="20"/>
          <w:szCs w:val="20"/>
        </w:rPr>
        <w:t>,</w:t>
      </w:r>
      <w:r w:rsidRPr="00B43B2D">
        <w:rPr>
          <w:rFonts w:asciiTheme="minorHAnsi" w:hAnsiTheme="minorHAnsi" w:cs="Poppins-Light"/>
          <w:sz w:val="20"/>
          <w:szCs w:val="20"/>
        </w:rPr>
        <w:t xml:space="preserve"> in accordance with IFRS 5 ‘Non-current Assets Held for Sale and Discontinued Operations’ th</w:t>
      </w:r>
      <w:r w:rsidR="00B43B2D" w:rsidRPr="00B43B2D">
        <w:rPr>
          <w:rFonts w:asciiTheme="minorHAnsi" w:hAnsiTheme="minorHAnsi" w:cs="Poppins-Light"/>
          <w:sz w:val="20"/>
          <w:szCs w:val="20"/>
        </w:rPr>
        <w:t xml:space="preserve">is </w:t>
      </w:r>
      <w:r w:rsidRPr="00B43B2D">
        <w:rPr>
          <w:rFonts w:asciiTheme="minorHAnsi" w:hAnsiTheme="minorHAnsi" w:cs="Poppins-Light"/>
          <w:sz w:val="20"/>
          <w:szCs w:val="20"/>
        </w:rPr>
        <w:t>business</w:t>
      </w:r>
      <w:r w:rsidR="00B43B2D" w:rsidRPr="00B43B2D">
        <w:rPr>
          <w:rFonts w:asciiTheme="minorHAnsi" w:hAnsiTheme="minorHAnsi" w:cs="Poppins-Light"/>
          <w:sz w:val="20"/>
          <w:szCs w:val="20"/>
        </w:rPr>
        <w:t xml:space="preserve"> segment is now</w:t>
      </w:r>
      <w:r w:rsidRPr="00B43B2D">
        <w:rPr>
          <w:rFonts w:asciiTheme="minorHAnsi" w:hAnsiTheme="minorHAnsi" w:cs="Poppins-Light"/>
          <w:sz w:val="20"/>
          <w:szCs w:val="20"/>
        </w:rPr>
        <w:t xml:space="preserve"> presented as discontinued operations.</w:t>
      </w:r>
    </w:p>
    <w:p w14:paraId="0449C1DC" w14:textId="77777777" w:rsidR="003E285D" w:rsidRDefault="003E285D" w:rsidP="00876B2D">
      <w:pPr>
        <w:pStyle w:val="NoSpacing"/>
        <w:jc w:val="both"/>
        <w:rPr>
          <w:rFonts w:eastAsia="Times New Roman" w:cs="Poppins-Light"/>
          <w:sz w:val="20"/>
          <w:szCs w:val="20"/>
          <w:lang w:eastAsia="en-GB"/>
        </w:rPr>
      </w:pPr>
    </w:p>
    <w:p w14:paraId="66AD7E24" w14:textId="16CE52C3" w:rsidR="00876B2D" w:rsidRPr="00876B2D" w:rsidRDefault="00876B2D" w:rsidP="00876B2D">
      <w:pPr>
        <w:pStyle w:val="NoSpacing"/>
        <w:jc w:val="both"/>
        <w:rPr>
          <w:rFonts w:eastAsia="Times New Roman" w:cs="Poppins-Light"/>
          <w:sz w:val="20"/>
          <w:szCs w:val="20"/>
          <w:lang w:eastAsia="en-GB"/>
        </w:rPr>
      </w:pPr>
      <w:r w:rsidRPr="00876B2D">
        <w:rPr>
          <w:rFonts w:eastAsia="Times New Roman" w:cs="Poppins-Light"/>
          <w:sz w:val="20"/>
          <w:szCs w:val="20"/>
          <w:lang w:eastAsia="en-GB"/>
        </w:rPr>
        <w:lastRenderedPageBreak/>
        <w:t>The 1H24 results have been re-presented to reflect this change:</w:t>
      </w:r>
    </w:p>
    <w:p w14:paraId="28CD0B96" w14:textId="77777777" w:rsidR="00876B2D" w:rsidRPr="00876B2D" w:rsidRDefault="00876B2D" w:rsidP="00876B2D">
      <w:pPr>
        <w:pStyle w:val="NoSpacing"/>
        <w:jc w:val="both"/>
        <w:rPr>
          <w:rFonts w:eastAsia="Times New Roman" w:cs="Poppins-Light"/>
          <w:sz w:val="20"/>
          <w:szCs w:val="20"/>
          <w:lang w:eastAsia="en-GB"/>
        </w:rPr>
      </w:pPr>
    </w:p>
    <w:p w14:paraId="5D425188" w14:textId="77777777" w:rsidR="00876B2D" w:rsidRPr="00876B2D" w:rsidRDefault="00876B2D" w:rsidP="00BE3BAD">
      <w:pPr>
        <w:pStyle w:val="NoSpacing"/>
        <w:numPr>
          <w:ilvl w:val="0"/>
          <w:numId w:val="49"/>
        </w:numPr>
        <w:jc w:val="both"/>
        <w:rPr>
          <w:rFonts w:eastAsia="Times New Roman" w:cs="Poppins-Light"/>
          <w:sz w:val="20"/>
          <w:szCs w:val="20"/>
          <w:lang w:eastAsia="en-GB"/>
        </w:rPr>
      </w:pPr>
      <w:r w:rsidRPr="00876B2D">
        <w:rPr>
          <w:rFonts w:eastAsia="Times New Roman" w:cs="Poppins-Light"/>
          <w:sz w:val="20"/>
          <w:szCs w:val="20"/>
          <w:lang w:eastAsia="en-GB"/>
        </w:rPr>
        <w:t>The operating costs included in the profit or loss after tax from discontinued operations reflect only those costs directly attributable to the Personal Loans business.</w:t>
      </w:r>
    </w:p>
    <w:p w14:paraId="543EB8A7" w14:textId="77777777" w:rsidR="00876B2D" w:rsidRPr="00876B2D" w:rsidRDefault="00876B2D" w:rsidP="00BE3BAD">
      <w:pPr>
        <w:pStyle w:val="NoSpacing"/>
        <w:numPr>
          <w:ilvl w:val="0"/>
          <w:numId w:val="49"/>
        </w:numPr>
        <w:jc w:val="both"/>
        <w:rPr>
          <w:rFonts w:eastAsia="Times New Roman" w:cs="Poppins-Light"/>
          <w:sz w:val="20"/>
          <w:szCs w:val="20"/>
          <w:lang w:eastAsia="en-GB"/>
        </w:rPr>
      </w:pPr>
      <w:r w:rsidRPr="00876B2D">
        <w:rPr>
          <w:rFonts w:eastAsia="Times New Roman" w:cs="Poppins-Light"/>
          <w:sz w:val="20"/>
          <w:szCs w:val="20"/>
          <w:lang w:eastAsia="en-GB"/>
        </w:rPr>
        <w:t>The business continued to be reported as discontinued in 1Q25 until the sale completed.</w:t>
      </w:r>
    </w:p>
    <w:p w14:paraId="053ECE3D" w14:textId="1874CFD2" w:rsidR="00876B2D" w:rsidRPr="00876B2D" w:rsidRDefault="00876B2D" w:rsidP="00BE3BAD">
      <w:pPr>
        <w:pStyle w:val="NoSpacing"/>
        <w:numPr>
          <w:ilvl w:val="0"/>
          <w:numId w:val="49"/>
        </w:numPr>
        <w:jc w:val="both"/>
        <w:rPr>
          <w:rFonts w:eastAsia="Times New Roman" w:cs="Poppins-Light"/>
          <w:sz w:val="20"/>
          <w:szCs w:val="20"/>
          <w:lang w:eastAsia="en-GB"/>
        </w:rPr>
      </w:pPr>
      <w:r w:rsidRPr="00876B2D">
        <w:rPr>
          <w:rFonts w:eastAsia="Times New Roman" w:cs="Poppins-Light"/>
          <w:sz w:val="20"/>
          <w:szCs w:val="20"/>
          <w:lang w:eastAsia="en-GB"/>
        </w:rPr>
        <w:t>The 1H25 result</w:t>
      </w:r>
      <w:r w:rsidR="003E285D">
        <w:rPr>
          <w:rFonts w:eastAsia="Times New Roman" w:cs="Poppins-Light"/>
          <w:sz w:val="20"/>
          <w:szCs w:val="20"/>
          <w:lang w:eastAsia="en-GB"/>
        </w:rPr>
        <w:t xml:space="preserve">s includes a gain on sale of </w:t>
      </w:r>
      <w:r w:rsidR="003E285D" w:rsidRPr="00306312">
        <w:rPr>
          <w:rFonts w:eastAsia="Times New Roman" w:cs="Poppins-Light"/>
          <w:sz w:val="20"/>
          <w:szCs w:val="20"/>
          <w:lang w:eastAsia="en-GB"/>
        </w:rPr>
        <w:t>£</w:t>
      </w:r>
      <w:r w:rsidR="00CE6387">
        <w:rPr>
          <w:rFonts w:eastAsia="Times New Roman" w:cs="Poppins-Light"/>
          <w:sz w:val="20"/>
          <w:szCs w:val="20"/>
          <w:lang w:eastAsia="en-GB"/>
        </w:rPr>
        <w:t>0.5</w:t>
      </w:r>
      <w:r w:rsidR="003E285D" w:rsidRPr="00306312">
        <w:rPr>
          <w:rFonts w:eastAsia="Times New Roman" w:cs="Poppins-Light"/>
          <w:sz w:val="20"/>
          <w:szCs w:val="20"/>
          <w:lang w:eastAsia="en-GB"/>
        </w:rPr>
        <w:t>m</w:t>
      </w:r>
      <w:r w:rsidR="007D7454">
        <w:rPr>
          <w:rFonts w:eastAsia="Times New Roman" w:cs="Poppins-Light"/>
          <w:sz w:val="20"/>
          <w:szCs w:val="20"/>
          <w:lang w:eastAsia="en-GB"/>
        </w:rPr>
        <w:t>.</w:t>
      </w:r>
    </w:p>
    <w:p w14:paraId="3F897234" w14:textId="77777777" w:rsidR="00AC1605" w:rsidRPr="00AC1605" w:rsidRDefault="00AC1605" w:rsidP="00AC1605">
      <w:pPr>
        <w:autoSpaceDE w:val="0"/>
        <w:autoSpaceDN w:val="0"/>
        <w:adjustRightInd w:val="0"/>
        <w:jc w:val="both"/>
        <w:rPr>
          <w:rFonts w:asciiTheme="minorHAnsi" w:hAnsiTheme="minorHAnsi" w:cs="Poppins-Light"/>
          <w:color w:val="FF0000"/>
          <w:sz w:val="20"/>
          <w:szCs w:val="20"/>
        </w:rPr>
      </w:pPr>
    </w:p>
    <w:p w14:paraId="16EF176D" w14:textId="77777777" w:rsidR="00AC1605" w:rsidRPr="0098172C" w:rsidRDefault="00AC1605" w:rsidP="00AC1605">
      <w:pPr>
        <w:jc w:val="both"/>
        <w:rPr>
          <w:rFonts w:asciiTheme="minorHAnsi" w:hAnsiTheme="minorHAnsi" w:cs="Poppins-Light"/>
          <w:sz w:val="20"/>
          <w:szCs w:val="20"/>
        </w:rPr>
      </w:pPr>
      <w:r w:rsidRPr="0098172C">
        <w:rPr>
          <w:rFonts w:asciiTheme="minorHAnsi" w:hAnsiTheme="minorHAnsi" w:cs="Poppins-Light"/>
          <w:sz w:val="20"/>
          <w:szCs w:val="20"/>
        </w:rPr>
        <w:t>The results from discontinued operations, which are included in the Group income statement, are set out below.</w:t>
      </w:r>
    </w:p>
    <w:p w14:paraId="6D625E9A" w14:textId="77777777" w:rsidR="00AC1605" w:rsidRPr="0098172C" w:rsidRDefault="00AC1605" w:rsidP="00AC1605">
      <w:pPr>
        <w:rPr>
          <w:rFonts w:asciiTheme="minorHAnsi" w:hAnsiTheme="minorHAnsi" w:cs="Poppins-Light"/>
          <w:sz w:val="20"/>
          <w:szCs w:val="20"/>
        </w:rPr>
      </w:pPr>
    </w:p>
    <w:tbl>
      <w:tblPr>
        <w:tblW w:w="9923" w:type="dxa"/>
        <w:tblLayout w:type="fixed"/>
        <w:tblLook w:val="0000" w:firstRow="0" w:lastRow="0" w:firstColumn="0" w:lastColumn="0" w:noHBand="0" w:noVBand="0"/>
      </w:tblPr>
      <w:tblGrid>
        <w:gridCol w:w="6938"/>
        <w:gridCol w:w="631"/>
        <w:gridCol w:w="1177"/>
        <w:gridCol w:w="1177"/>
      </w:tblGrid>
      <w:tr w:rsidR="00AC1605" w:rsidRPr="0098172C" w14:paraId="12271A45" w14:textId="77777777">
        <w:tc>
          <w:tcPr>
            <w:tcW w:w="6938" w:type="dxa"/>
          </w:tcPr>
          <w:p w14:paraId="7D6439BF" w14:textId="77777777" w:rsidR="00AC1605" w:rsidRPr="0098172C" w:rsidRDefault="00AC1605" w:rsidP="00AC1605">
            <w:pPr>
              <w:rPr>
                <w:rFonts w:asciiTheme="minorHAnsi" w:hAnsiTheme="minorHAnsi" w:cs="Arial"/>
                <w:sz w:val="20"/>
                <w:szCs w:val="20"/>
              </w:rPr>
            </w:pPr>
          </w:p>
        </w:tc>
        <w:tc>
          <w:tcPr>
            <w:tcW w:w="631" w:type="dxa"/>
          </w:tcPr>
          <w:p w14:paraId="09084502" w14:textId="77777777" w:rsidR="00AC1605" w:rsidRPr="0098172C" w:rsidRDefault="00AC1605" w:rsidP="00AC1605">
            <w:pPr>
              <w:jc w:val="right"/>
              <w:rPr>
                <w:rFonts w:asciiTheme="minorHAnsi" w:hAnsiTheme="minorHAnsi" w:cs="Arial"/>
                <w:sz w:val="20"/>
                <w:szCs w:val="20"/>
              </w:rPr>
            </w:pPr>
          </w:p>
        </w:tc>
        <w:tc>
          <w:tcPr>
            <w:tcW w:w="2354" w:type="dxa"/>
            <w:gridSpan w:val="2"/>
          </w:tcPr>
          <w:p w14:paraId="0A48490C" w14:textId="30C77D5D" w:rsidR="00AC1605" w:rsidRPr="0098172C" w:rsidRDefault="00AC1605" w:rsidP="00AC1605">
            <w:pPr>
              <w:jc w:val="right"/>
              <w:rPr>
                <w:rFonts w:asciiTheme="minorHAnsi" w:hAnsiTheme="minorHAnsi" w:cs="Arial"/>
                <w:sz w:val="20"/>
                <w:szCs w:val="20"/>
              </w:rPr>
            </w:pPr>
            <w:r w:rsidRPr="7ACEA165">
              <w:rPr>
                <w:rFonts w:asciiTheme="minorHAnsi" w:eastAsiaTheme="minorEastAsia" w:hAnsiTheme="minorHAnsi" w:cstheme="minorBidi"/>
                <w:sz w:val="20"/>
                <w:szCs w:val="20"/>
              </w:rPr>
              <w:t>Six months ended 30 June</w:t>
            </w:r>
          </w:p>
        </w:tc>
      </w:tr>
      <w:tr w:rsidR="00AC1605" w:rsidRPr="0098172C" w14:paraId="07471464" w14:textId="77777777" w:rsidTr="004359AD">
        <w:tc>
          <w:tcPr>
            <w:tcW w:w="6938" w:type="dxa"/>
          </w:tcPr>
          <w:p w14:paraId="71D42803" w14:textId="77777777" w:rsidR="00AC1605" w:rsidRPr="0098172C" w:rsidRDefault="00AC1605" w:rsidP="00AC1605">
            <w:pPr>
              <w:rPr>
                <w:rFonts w:asciiTheme="minorHAnsi" w:hAnsiTheme="minorHAnsi" w:cs="Arial"/>
                <w:sz w:val="20"/>
                <w:szCs w:val="20"/>
              </w:rPr>
            </w:pPr>
          </w:p>
        </w:tc>
        <w:tc>
          <w:tcPr>
            <w:tcW w:w="631" w:type="dxa"/>
          </w:tcPr>
          <w:p w14:paraId="730FF4D8" w14:textId="77777777" w:rsidR="00AC1605" w:rsidRPr="0098172C" w:rsidRDefault="00AC1605" w:rsidP="00AC1605">
            <w:pPr>
              <w:jc w:val="right"/>
              <w:rPr>
                <w:rFonts w:asciiTheme="minorHAnsi" w:hAnsiTheme="minorHAnsi" w:cs="Arial"/>
                <w:sz w:val="20"/>
                <w:szCs w:val="20"/>
              </w:rPr>
            </w:pPr>
          </w:p>
        </w:tc>
        <w:tc>
          <w:tcPr>
            <w:tcW w:w="1177" w:type="dxa"/>
            <w:shd w:val="clear" w:color="auto" w:fill="F2F2F2" w:themeFill="background1" w:themeFillShade="F2"/>
          </w:tcPr>
          <w:p w14:paraId="48D3A298" w14:textId="77777777" w:rsidR="00FB17B0" w:rsidRDefault="0059067F" w:rsidP="00AC1605">
            <w:pPr>
              <w:jc w:val="right"/>
              <w:rPr>
                <w:rFonts w:asciiTheme="minorHAnsi" w:hAnsiTheme="minorHAnsi" w:cs="Arial"/>
                <w:b/>
                <w:sz w:val="20"/>
                <w:szCs w:val="20"/>
              </w:rPr>
            </w:pPr>
            <w:r w:rsidRPr="004359AD">
              <w:rPr>
                <w:rFonts w:asciiTheme="minorHAnsi" w:hAnsiTheme="minorHAnsi" w:cs="Arial"/>
                <w:b/>
                <w:sz w:val="20"/>
                <w:szCs w:val="20"/>
              </w:rPr>
              <w:t>2025</w:t>
            </w:r>
          </w:p>
          <w:p w14:paraId="4631091D" w14:textId="76141F94" w:rsidR="00AC1605" w:rsidRPr="004359AD" w:rsidRDefault="00FB17B0" w:rsidP="00AC1605">
            <w:pPr>
              <w:jc w:val="right"/>
              <w:rPr>
                <w:rFonts w:asciiTheme="minorHAnsi" w:hAnsiTheme="minorHAnsi" w:cs="Arial"/>
                <w:b/>
                <w:sz w:val="20"/>
                <w:szCs w:val="20"/>
              </w:rPr>
            </w:pPr>
            <w:r w:rsidRPr="007F7783">
              <w:rPr>
                <w:rFonts w:asciiTheme="minorHAnsi" w:hAnsiTheme="minorHAnsi" w:cs="Arial"/>
                <w:b/>
                <w:sz w:val="20"/>
                <w:szCs w:val="20"/>
              </w:rPr>
              <w:t>unaudited</w:t>
            </w:r>
            <w:r w:rsidR="00AC1605" w:rsidRPr="004359AD">
              <w:rPr>
                <w:rFonts w:asciiTheme="minorHAnsi" w:hAnsiTheme="minorHAnsi" w:cs="Arial"/>
                <w:b/>
                <w:sz w:val="20"/>
                <w:szCs w:val="20"/>
              </w:rPr>
              <w:t> </w:t>
            </w:r>
          </w:p>
        </w:tc>
        <w:tc>
          <w:tcPr>
            <w:tcW w:w="1177" w:type="dxa"/>
          </w:tcPr>
          <w:p w14:paraId="3F136B35" w14:textId="77777777" w:rsidR="00AC1605" w:rsidRDefault="0059067F" w:rsidP="00AC1605">
            <w:pPr>
              <w:jc w:val="right"/>
              <w:rPr>
                <w:rFonts w:asciiTheme="minorHAnsi" w:hAnsiTheme="minorHAnsi" w:cs="Arial"/>
                <w:sz w:val="20"/>
                <w:szCs w:val="20"/>
              </w:rPr>
            </w:pPr>
            <w:r>
              <w:rPr>
                <w:rFonts w:asciiTheme="minorHAnsi" w:hAnsiTheme="minorHAnsi" w:cs="Arial"/>
                <w:sz w:val="20"/>
                <w:szCs w:val="20"/>
              </w:rPr>
              <w:t>2024</w:t>
            </w:r>
          </w:p>
          <w:p w14:paraId="6237871B" w14:textId="20C5393C" w:rsidR="00AC1605" w:rsidRPr="0098172C" w:rsidRDefault="00FB17B0" w:rsidP="00AC1605">
            <w:pPr>
              <w:jc w:val="right"/>
              <w:rPr>
                <w:rFonts w:asciiTheme="minorHAnsi" w:hAnsiTheme="minorHAnsi" w:cs="Arial"/>
                <w:sz w:val="20"/>
                <w:szCs w:val="20"/>
              </w:rPr>
            </w:pPr>
            <w:r w:rsidRPr="00CA3EDF">
              <w:rPr>
                <w:rFonts w:asciiTheme="minorHAnsi" w:hAnsiTheme="minorHAnsi" w:cs="Arial"/>
                <w:bCs/>
                <w:sz w:val="20"/>
                <w:szCs w:val="20"/>
              </w:rPr>
              <w:t>unaudited</w:t>
            </w:r>
          </w:p>
        </w:tc>
      </w:tr>
      <w:tr w:rsidR="00AC1605" w:rsidRPr="0098172C" w14:paraId="5021510E" w14:textId="77777777" w:rsidTr="004359AD">
        <w:tc>
          <w:tcPr>
            <w:tcW w:w="6938" w:type="dxa"/>
          </w:tcPr>
          <w:p w14:paraId="4CE6044A" w14:textId="77777777" w:rsidR="00AC1605" w:rsidRPr="0098172C" w:rsidRDefault="00AC1605" w:rsidP="00AC1605">
            <w:pPr>
              <w:rPr>
                <w:rFonts w:asciiTheme="minorHAnsi" w:hAnsiTheme="minorHAnsi" w:cs="Arial"/>
                <w:b/>
                <w:sz w:val="20"/>
                <w:szCs w:val="20"/>
              </w:rPr>
            </w:pPr>
          </w:p>
        </w:tc>
        <w:tc>
          <w:tcPr>
            <w:tcW w:w="631" w:type="dxa"/>
          </w:tcPr>
          <w:p w14:paraId="2F3F5B0F" w14:textId="77777777" w:rsidR="00AC1605" w:rsidRPr="0098172C" w:rsidRDefault="00AC1605" w:rsidP="00AC1605">
            <w:pPr>
              <w:jc w:val="right"/>
              <w:rPr>
                <w:rFonts w:asciiTheme="minorHAnsi" w:hAnsiTheme="minorHAnsi" w:cs="Arial"/>
                <w:sz w:val="20"/>
                <w:szCs w:val="20"/>
              </w:rPr>
            </w:pPr>
          </w:p>
        </w:tc>
        <w:tc>
          <w:tcPr>
            <w:tcW w:w="1177" w:type="dxa"/>
            <w:tcBorders>
              <w:top w:val="nil"/>
              <w:left w:val="nil"/>
              <w:bottom w:val="single" w:sz="4" w:space="0" w:color="auto"/>
              <w:right w:val="nil"/>
            </w:tcBorders>
            <w:shd w:val="clear" w:color="auto" w:fill="F2F2F2" w:themeFill="background1" w:themeFillShade="F2"/>
          </w:tcPr>
          <w:p w14:paraId="2C950F90" w14:textId="77777777" w:rsidR="00AC1605" w:rsidRPr="004359AD" w:rsidRDefault="00AC1605" w:rsidP="00AC1605">
            <w:pPr>
              <w:jc w:val="right"/>
              <w:rPr>
                <w:rFonts w:asciiTheme="minorHAnsi" w:hAnsiTheme="minorHAnsi" w:cs="Arial"/>
                <w:b/>
                <w:sz w:val="20"/>
                <w:szCs w:val="20"/>
              </w:rPr>
            </w:pPr>
            <w:r w:rsidRPr="004359AD">
              <w:rPr>
                <w:rFonts w:asciiTheme="minorHAnsi" w:hAnsiTheme="minorHAnsi" w:cs="Arial"/>
                <w:b/>
                <w:sz w:val="20"/>
                <w:szCs w:val="20"/>
              </w:rPr>
              <w:t>£m </w:t>
            </w:r>
          </w:p>
        </w:tc>
        <w:tc>
          <w:tcPr>
            <w:tcW w:w="1177" w:type="dxa"/>
            <w:tcBorders>
              <w:top w:val="nil"/>
              <w:left w:val="nil"/>
              <w:bottom w:val="single" w:sz="4" w:space="0" w:color="auto"/>
              <w:right w:val="nil"/>
            </w:tcBorders>
          </w:tcPr>
          <w:p w14:paraId="6D82DB3B" w14:textId="77777777" w:rsidR="00AC1605" w:rsidRPr="0098172C" w:rsidRDefault="00AC1605" w:rsidP="00AC1605">
            <w:pPr>
              <w:jc w:val="right"/>
              <w:rPr>
                <w:rFonts w:asciiTheme="minorHAnsi" w:hAnsiTheme="minorHAnsi" w:cs="Arial"/>
                <w:sz w:val="20"/>
                <w:szCs w:val="20"/>
              </w:rPr>
            </w:pPr>
            <w:r w:rsidRPr="0098172C">
              <w:rPr>
                <w:rFonts w:asciiTheme="minorHAnsi" w:hAnsiTheme="minorHAnsi" w:cs="Arial"/>
                <w:sz w:val="20"/>
                <w:szCs w:val="20"/>
              </w:rPr>
              <w:t>£m </w:t>
            </w:r>
          </w:p>
        </w:tc>
      </w:tr>
      <w:tr w:rsidR="00AC1605" w:rsidRPr="0098172C" w14:paraId="4D074038" w14:textId="77777777" w:rsidTr="004359AD">
        <w:tc>
          <w:tcPr>
            <w:tcW w:w="6938" w:type="dxa"/>
            <w:vAlign w:val="bottom"/>
          </w:tcPr>
          <w:p w14:paraId="292F7236" w14:textId="77777777" w:rsidR="00AC1605" w:rsidRPr="0098172C" w:rsidRDefault="00AC1605" w:rsidP="00AC1605">
            <w:pPr>
              <w:rPr>
                <w:rFonts w:asciiTheme="minorHAnsi" w:hAnsiTheme="minorHAnsi" w:cs="Arial"/>
                <w:sz w:val="20"/>
                <w:szCs w:val="20"/>
              </w:rPr>
            </w:pPr>
            <w:r w:rsidRPr="0098172C">
              <w:rPr>
                <w:rFonts w:asciiTheme="minorHAnsi" w:hAnsiTheme="minorHAnsi" w:cs="Arial"/>
                <w:sz w:val="20"/>
                <w:szCs w:val="20"/>
              </w:rPr>
              <w:t>Interest income</w:t>
            </w:r>
          </w:p>
        </w:tc>
        <w:tc>
          <w:tcPr>
            <w:tcW w:w="631" w:type="dxa"/>
            <w:vAlign w:val="bottom"/>
          </w:tcPr>
          <w:p w14:paraId="1C3D3937" w14:textId="77777777" w:rsidR="00AC1605" w:rsidRPr="0098172C" w:rsidRDefault="00AC1605" w:rsidP="00AC1605">
            <w:pPr>
              <w:jc w:val="right"/>
              <w:rPr>
                <w:rFonts w:asciiTheme="minorHAnsi" w:hAnsiTheme="minorHAnsi" w:cs="Arial"/>
                <w:sz w:val="20"/>
                <w:szCs w:val="20"/>
              </w:rPr>
            </w:pPr>
          </w:p>
        </w:tc>
        <w:tc>
          <w:tcPr>
            <w:tcW w:w="1177" w:type="dxa"/>
            <w:tcBorders>
              <w:top w:val="single" w:sz="4" w:space="0" w:color="auto"/>
              <w:left w:val="nil"/>
              <w:right w:val="nil"/>
            </w:tcBorders>
            <w:shd w:val="clear" w:color="auto" w:fill="F2F2F2" w:themeFill="background1" w:themeFillShade="F2"/>
            <w:vAlign w:val="bottom"/>
          </w:tcPr>
          <w:p w14:paraId="73C8C446" w14:textId="146CF6C8" w:rsidR="00AC1605" w:rsidRPr="004359AD" w:rsidRDefault="001A158C" w:rsidP="00AC1605">
            <w:pPr>
              <w:jc w:val="right"/>
              <w:rPr>
                <w:rFonts w:asciiTheme="minorHAnsi" w:hAnsiTheme="minorHAnsi" w:cs="Arial"/>
                <w:b/>
                <w:sz w:val="20"/>
                <w:szCs w:val="20"/>
              </w:rPr>
            </w:pPr>
            <w:r>
              <w:rPr>
                <w:rFonts w:asciiTheme="minorHAnsi" w:hAnsiTheme="minorHAnsi" w:cs="Arial"/>
                <w:b/>
                <w:sz w:val="20"/>
                <w:szCs w:val="20"/>
              </w:rPr>
              <w:t>1.4</w:t>
            </w:r>
          </w:p>
        </w:tc>
        <w:tc>
          <w:tcPr>
            <w:tcW w:w="1177" w:type="dxa"/>
            <w:tcBorders>
              <w:top w:val="single" w:sz="4" w:space="0" w:color="auto"/>
              <w:left w:val="nil"/>
              <w:right w:val="nil"/>
            </w:tcBorders>
            <w:vAlign w:val="bottom"/>
          </w:tcPr>
          <w:p w14:paraId="781EB4B3" w14:textId="7D549AEC" w:rsidR="00AC1605" w:rsidRPr="0098172C" w:rsidRDefault="009C6990" w:rsidP="00AC1605">
            <w:pPr>
              <w:jc w:val="right"/>
              <w:rPr>
                <w:rFonts w:asciiTheme="minorHAnsi" w:hAnsiTheme="minorHAnsi" w:cs="Arial"/>
                <w:sz w:val="20"/>
                <w:szCs w:val="20"/>
              </w:rPr>
            </w:pPr>
            <w:r>
              <w:rPr>
                <w:rFonts w:asciiTheme="minorHAnsi" w:hAnsiTheme="minorHAnsi" w:cs="Arial"/>
                <w:sz w:val="20"/>
                <w:szCs w:val="20"/>
              </w:rPr>
              <w:t>9.1</w:t>
            </w:r>
          </w:p>
        </w:tc>
      </w:tr>
      <w:tr w:rsidR="00AC1605" w:rsidRPr="0098172C" w14:paraId="75439EC4" w14:textId="77777777" w:rsidTr="004359AD">
        <w:tc>
          <w:tcPr>
            <w:tcW w:w="6938" w:type="dxa"/>
            <w:vAlign w:val="bottom"/>
          </w:tcPr>
          <w:p w14:paraId="2A3794AA" w14:textId="6E4E3051" w:rsidR="00AC1605" w:rsidRPr="0098172C" w:rsidRDefault="00D10BF7" w:rsidP="00AC1605">
            <w:pPr>
              <w:rPr>
                <w:rFonts w:asciiTheme="minorHAnsi" w:hAnsiTheme="minorHAnsi" w:cs="Arial"/>
                <w:sz w:val="20"/>
                <w:szCs w:val="20"/>
              </w:rPr>
            </w:pPr>
            <w:r>
              <w:rPr>
                <w:rFonts w:asciiTheme="minorHAnsi" w:hAnsiTheme="minorHAnsi" w:cs="Arial"/>
                <w:sz w:val="20"/>
                <w:szCs w:val="20"/>
              </w:rPr>
              <w:t>Interest expense</w:t>
            </w:r>
          </w:p>
        </w:tc>
        <w:tc>
          <w:tcPr>
            <w:tcW w:w="631" w:type="dxa"/>
            <w:vAlign w:val="bottom"/>
          </w:tcPr>
          <w:p w14:paraId="314EFBF3" w14:textId="77777777" w:rsidR="00AC1605" w:rsidRPr="0098172C" w:rsidRDefault="00AC1605" w:rsidP="00AC1605">
            <w:pPr>
              <w:jc w:val="right"/>
              <w:rPr>
                <w:rFonts w:asciiTheme="minorHAnsi" w:hAnsiTheme="minorHAnsi" w:cs="Arial"/>
                <w:sz w:val="20"/>
                <w:szCs w:val="20"/>
              </w:rPr>
            </w:pPr>
          </w:p>
        </w:tc>
        <w:tc>
          <w:tcPr>
            <w:tcW w:w="1177" w:type="dxa"/>
            <w:tcBorders>
              <w:top w:val="nil"/>
              <w:left w:val="nil"/>
              <w:bottom w:val="single" w:sz="4" w:space="0" w:color="auto"/>
              <w:right w:val="nil"/>
            </w:tcBorders>
            <w:shd w:val="clear" w:color="auto" w:fill="F2F2F2" w:themeFill="background1" w:themeFillShade="F2"/>
            <w:vAlign w:val="bottom"/>
          </w:tcPr>
          <w:p w14:paraId="3E2469FA" w14:textId="6C603CC7" w:rsidR="00AC1605" w:rsidRPr="004359AD" w:rsidRDefault="001A158C" w:rsidP="00AC1605">
            <w:pPr>
              <w:jc w:val="right"/>
              <w:rPr>
                <w:rFonts w:asciiTheme="minorHAnsi" w:hAnsiTheme="minorHAnsi" w:cs="Arial"/>
                <w:b/>
                <w:sz w:val="20"/>
                <w:szCs w:val="20"/>
              </w:rPr>
            </w:pPr>
            <w:r>
              <w:rPr>
                <w:rFonts w:asciiTheme="minorHAnsi" w:hAnsiTheme="minorHAnsi" w:cs="Arial"/>
                <w:b/>
                <w:sz w:val="20"/>
                <w:szCs w:val="20"/>
              </w:rPr>
              <w:t>(0.3)</w:t>
            </w:r>
          </w:p>
        </w:tc>
        <w:tc>
          <w:tcPr>
            <w:tcW w:w="1177" w:type="dxa"/>
            <w:tcBorders>
              <w:top w:val="nil"/>
              <w:left w:val="nil"/>
              <w:bottom w:val="single" w:sz="4" w:space="0" w:color="auto"/>
              <w:right w:val="nil"/>
            </w:tcBorders>
            <w:vAlign w:val="bottom"/>
          </w:tcPr>
          <w:p w14:paraId="1602675A" w14:textId="220EAF77" w:rsidR="00AC1605" w:rsidRPr="0098172C" w:rsidRDefault="009C6990" w:rsidP="00AC1605">
            <w:pPr>
              <w:jc w:val="right"/>
              <w:rPr>
                <w:rFonts w:asciiTheme="minorHAnsi" w:hAnsiTheme="minorHAnsi" w:cs="Arial"/>
                <w:sz w:val="20"/>
                <w:szCs w:val="20"/>
              </w:rPr>
            </w:pPr>
            <w:r>
              <w:rPr>
                <w:rFonts w:asciiTheme="minorHAnsi" w:hAnsiTheme="minorHAnsi" w:cs="Arial"/>
                <w:sz w:val="20"/>
                <w:szCs w:val="20"/>
              </w:rPr>
              <w:t>(1.9)</w:t>
            </w:r>
          </w:p>
        </w:tc>
      </w:tr>
      <w:tr w:rsidR="00AC1605" w:rsidRPr="0098172C" w14:paraId="509418A7" w14:textId="77777777" w:rsidTr="00E75542">
        <w:tc>
          <w:tcPr>
            <w:tcW w:w="6938" w:type="dxa"/>
            <w:vAlign w:val="bottom"/>
          </w:tcPr>
          <w:p w14:paraId="3E2EB273" w14:textId="5F594E5F" w:rsidR="00AC1605" w:rsidRPr="0098172C" w:rsidRDefault="00AC1605" w:rsidP="00AC1605">
            <w:pPr>
              <w:rPr>
                <w:rFonts w:asciiTheme="minorHAnsi" w:hAnsiTheme="minorHAnsi" w:cs="Arial"/>
                <w:b/>
                <w:bCs/>
                <w:sz w:val="20"/>
                <w:szCs w:val="20"/>
              </w:rPr>
            </w:pPr>
            <w:r w:rsidRPr="0098172C">
              <w:rPr>
                <w:rFonts w:asciiTheme="minorHAnsi" w:hAnsiTheme="minorHAnsi" w:cs="Arial"/>
                <w:b/>
                <w:bCs/>
                <w:sz w:val="20"/>
                <w:szCs w:val="20"/>
              </w:rPr>
              <w:t xml:space="preserve">Net interest </w:t>
            </w:r>
            <w:r w:rsidR="00D10BF7">
              <w:rPr>
                <w:rFonts w:asciiTheme="minorHAnsi" w:hAnsiTheme="minorHAnsi" w:cs="Arial"/>
                <w:b/>
                <w:bCs/>
                <w:sz w:val="20"/>
                <w:szCs w:val="20"/>
              </w:rPr>
              <w:t>income</w:t>
            </w:r>
          </w:p>
        </w:tc>
        <w:tc>
          <w:tcPr>
            <w:tcW w:w="631" w:type="dxa"/>
            <w:vAlign w:val="bottom"/>
          </w:tcPr>
          <w:p w14:paraId="2080B953" w14:textId="77777777" w:rsidR="00AC1605" w:rsidRPr="0098172C" w:rsidRDefault="00AC1605" w:rsidP="00AC1605">
            <w:pPr>
              <w:jc w:val="right"/>
              <w:rPr>
                <w:rFonts w:asciiTheme="minorHAnsi" w:hAnsiTheme="minorHAnsi" w:cs="Arial"/>
                <w:sz w:val="20"/>
                <w:szCs w:val="20"/>
              </w:rPr>
            </w:pPr>
          </w:p>
        </w:tc>
        <w:tc>
          <w:tcPr>
            <w:tcW w:w="1177" w:type="dxa"/>
            <w:tcBorders>
              <w:top w:val="single" w:sz="4" w:space="0" w:color="auto"/>
              <w:left w:val="nil"/>
              <w:bottom w:val="single" w:sz="4" w:space="0" w:color="auto"/>
              <w:right w:val="nil"/>
            </w:tcBorders>
            <w:shd w:val="clear" w:color="auto" w:fill="F2F2F2" w:themeFill="background1" w:themeFillShade="F2"/>
            <w:vAlign w:val="bottom"/>
          </w:tcPr>
          <w:p w14:paraId="05526CF0" w14:textId="36587DB1" w:rsidR="00AC1605" w:rsidRPr="004359AD" w:rsidRDefault="001A158C" w:rsidP="00AC1605">
            <w:pPr>
              <w:jc w:val="right"/>
              <w:rPr>
                <w:rFonts w:asciiTheme="minorHAnsi" w:hAnsiTheme="minorHAnsi" w:cs="Arial"/>
                <w:b/>
                <w:sz w:val="20"/>
                <w:szCs w:val="20"/>
              </w:rPr>
            </w:pPr>
            <w:r>
              <w:rPr>
                <w:rFonts w:asciiTheme="minorHAnsi" w:hAnsiTheme="minorHAnsi" w:cs="Arial"/>
                <w:b/>
                <w:sz w:val="20"/>
                <w:szCs w:val="20"/>
              </w:rPr>
              <w:t>1.1</w:t>
            </w:r>
          </w:p>
        </w:tc>
        <w:tc>
          <w:tcPr>
            <w:tcW w:w="1177" w:type="dxa"/>
            <w:tcBorders>
              <w:top w:val="single" w:sz="4" w:space="0" w:color="auto"/>
              <w:left w:val="nil"/>
              <w:bottom w:val="single" w:sz="4" w:space="0" w:color="auto"/>
              <w:right w:val="nil"/>
            </w:tcBorders>
            <w:vAlign w:val="bottom"/>
          </w:tcPr>
          <w:p w14:paraId="4629E71D" w14:textId="79F75BF8" w:rsidR="00AC1605" w:rsidRPr="0098172C" w:rsidRDefault="009C6990" w:rsidP="00AC1605">
            <w:pPr>
              <w:jc w:val="right"/>
              <w:rPr>
                <w:rFonts w:asciiTheme="minorHAnsi" w:hAnsiTheme="minorHAnsi" w:cs="Arial"/>
                <w:sz w:val="20"/>
                <w:szCs w:val="20"/>
              </w:rPr>
            </w:pPr>
            <w:r>
              <w:rPr>
                <w:rFonts w:asciiTheme="minorHAnsi" w:hAnsiTheme="minorHAnsi" w:cs="Arial"/>
                <w:sz w:val="20"/>
                <w:szCs w:val="20"/>
              </w:rPr>
              <w:t>7.2</w:t>
            </w:r>
          </w:p>
        </w:tc>
      </w:tr>
      <w:tr w:rsidR="00E75542" w:rsidRPr="0098172C" w14:paraId="0585D2F1" w14:textId="77777777" w:rsidTr="00E75542">
        <w:tc>
          <w:tcPr>
            <w:tcW w:w="6938" w:type="dxa"/>
            <w:vAlign w:val="bottom"/>
          </w:tcPr>
          <w:p w14:paraId="0D8717B4" w14:textId="684481D4" w:rsidR="00E75542" w:rsidRPr="0098172C" w:rsidRDefault="00E75542" w:rsidP="00E75542">
            <w:pPr>
              <w:rPr>
                <w:rFonts w:asciiTheme="minorHAnsi" w:hAnsiTheme="minorHAnsi" w:cs="Arial"/>
                <w:b/>
                <w:bCs/>
                <w:sz w:val="20"/>
                <w:szCs w:val="20"/>
              </w:rPr>
            </w:pPr>
            <w:r>
              <w:rPr>
                <w:rFonts w:asciiTheme="minorHAnsi" w:hAnsiTheme="minorHAnsi" w:cs="Arial"/>
                <w:b/>
                <w:bCs/>
                <w:sz w:val="20"/>
                <w:szCs w:val="20"/>
              </w:rPr>
              <w:t>Total income</w:t>
            </w:r>
          </w:p>
        </w:tc>
        <w:tc>
          <w:tcPr>
            <w:tcW w:w="631" w:type="dxa"/>
            <w:vAlign w:val="bottom"/>
          </w:tcPr>
          <w:p w14:paraId="12A507DF" w14:textId="77777777" w:rsidR="00E75542" w:rsidRPr="0098172C" w:rsidRDefault="00E75542" w:rsidP="00E75542">
            <w:pPr>
              <w:jc w:val="right"/>
              <w:rPr>
                <w:rFonts w:asciiTheme="minorHAnsi" w:hAnsiTheme="minorHAnsi" w:cs="Arial"/>
                <w:sz w:val="20"/>
                <w:szCs w:val="20"/>
              </w:rPr>
            </w:pPr>
          </w:p>
        </w:tc>
        <w:tc>
          <w:tcPr>
            <w:tcW w:w="1177" w:type="dxa"/>
            <w:tcBorders>
              <w:top w:val="single" w:sz="4" w:space="0" w:color="auto"/>
              <w:left w:val="nil"/>
              <w:bottom w:val="single" w:sz="4" w:space="0" w:color="auto"/>
              <w:right w:val="nil"/>
            </w:tcBorders>
            <w:shd w:val="clear" w:color="auto" w:fill="F2F2F2" w:themeFill="background1" w:themeFillShade="F2"/>
            <w:vAlign w:val="bottom"/>
          </w:tcPr>
          <w:p w14:paraId="602BA152" w14:textId="0C17F0F3" w:rsidR="00E75542" w:rsidRDefault="00E75542" w:rsidP="00E75542">
            <w:pPr>
              <w:jc w:val="right"/>
              <w:rPr>
                <w:rFonts w:asciiTheme="minorHAnsi" w:hAnsiTheme="minorHAnsi" w:cs="Arial"/>
                <w:b/>
                <w:sz w:val="20"/>
                <w:szCs w:val="20"/>
              </w:rPr>
            </w:pPr>
            <w:r>
              <w:rPr>
                <w:rFonts w:asciiTheme="minorHAnsi" w:hAnsiTheme="minorHAnsi" w:cs="Arial"/>
                <w:b/>
                <w:sz w:val="20"/>
                <w:szCs w:val="20"/>
              </w:rPr>
              <w:t>1.1</w:t>
            </w:r>
          </w:p>
        </w:tc>
        <w:tc>
          <w:tcPr>
            <w:tcW w:w="1177" w:type="dxa"/>
            <w:tcBorders>
              <w:top w:val="single" w:sz="4" w:space="0" w:color="auto"/>
              <w:left w:val="nil"/>
              <w:bottom w:val="single" w:sz="4" w:space="0" w:color="auto"/>
              <w:right w:val="nil"/>
            </w:tcBorders>
            <w:vAlign w:val="bottom"/>
          </w:tcPr>
          <w:p w14:paraId="04D8A02F" w14:textId="0D83424B" w:rsidR="00E75542" w:rsidRDefault="00E75542" w:rsidP="00E75542">
            <w:pPr>
              <w:jc w:val="right"/>
              <w:rPr>
                <w:rFonts w:asciiTheme="minorHAnsi" w:hAnsiTheme="minorHAnsi" w:cs="Arial"/>
                <w:sz w:val="20"/>
                <w:szCs w:val="20"/>
              </w:rPr>
            </w:pPr>
            <w:r>
              <w:rPr>
                <w:rFonts w:asciiTheme="minorHAnsi" w:hAnsiTheme="minorHAnsi" w:cs="Arial"/>
                <w:sz w:val="20"/>
                <w:szCs w:val="20"/>
              </w:rPr>
              <w:t>7.2</w:t>
            </w:r>
          </w:p>
        </w:tc>
      </w:tr>
      <w:tr w:rsidR="00AC1605" w:rsidRPr="0098172C" w14:paraId="42232FC6" w14:textId="77777777" w:rsidTr="00E75542">
        <w:trPr>
          <w:trHeight w:val="195"/>
        </w:trPr>
        <w:tc>
          <w:tcPr>
            <w:tcW w:w="6938" w:type="dxa"/>
            <w:vAlign w:val="bottom"/>
          </w:tcPr>
          <w:p w14:paraId="5C82A5B1" w14:textId="77777777" w:rsidR="00AC1605" w:rsidRPr="0098172C" w:rsidRDefault="00AC1605" w:rsidP="00AC1605">
            <w:pPr>
              <w:rPr>
                <w:rFonts w:asciiTheme="minorHAnsi" w:hAnsiTheme="minorHAnsi" w:cs="Arial"/>
                <w:sz w:val="20"/>
                <w:szCs w:val="20"/>
              </w:rPr>
            </w:pPr>
            <w:r w:rsidRPr="0098172C">
              <w:rPr>
                <w:rFonts w:asciiTheme="minorHAnsi" w:hAnsiTheme="minorHAnsi" w:cs="Arial"/>
                <w:sz w:val="20"/>
                <w:szCs w:val="20"/>
              </w:rPr>
              <w:t>Impairment</w:t>
            </w:r>
          </w:p>
        </w:tc>
        <w:tc>
          <w:tcPr>
            <w:tcW w:w="631" w:type="dxa"/>
            <w:vAlign w:val="bottom"/>
          </w:tcPr>
          <w:p w14:paraId="1B1B6E24" w14:textId="77777777" w:rsidR="00AC1605" w:rsidRPr="0098172C" w:rsidRDefault="00AC1605" w:rsidP="00AC1605">
            <w:pPr>
              <w:jc w:val="right"/>
              <w:rPr>
                <w:rFonts w:asciiTheme="minorHAnsi" w:hAnsiTheme="minorHAnsi" w:cs="Arial"/>
                <w:sz w:val="20"/>
                <w:szCs w:val="20"/>
              </w:rPr>
            </w:pPr>
          </w:p>
        </w:tc>
        <w:tc>
          <w:tcPr>
            <w:tcW w:w="1177" w:type="dxa"/>
            <w:tcBorders>
              <w:top w:val="single" w:sz="4" w:space="0" w:color="auto"/>
              <w:left w:val="nil"/>
              <w:bottom w:val="nil"/>
              <w:right w:val="nil"/>
            </w:tcBorders>
            <w:shd w:val="clear" w:color="auto" w:fill="F2F2F2" w:themeFill="background1" w:themeFillShade="F2"/>
            <w:vAlign w:val="bottom"/>
          </w:tcPr>
          <w:p w14:paraId="065D11B4" w14:textId="46C5EC77" w:rsidR="00AC1605" w:rsidRPr="004359AD" w:rsidRDefault="00E75542" w:rsidP="00AC1605">
            <w:pPr>
              <w:jc w:val="right"/>
              <w:rPr>
                <w:rFonts w:asciiTheme="minorHAnsi" w:hAnsiTheme="minorHAnsi" w:cs="Arial"/>
                <w:b/>
                <w:sz w:val="20"/>
                <w:szCs w:val="20"/>
              </w:rPr>
            </w:pPr>
            <w:r>
              <w:rPr>
                <w:rFonts w:asciiTheme="minorHAnsi" w:hAnsiTheme="minorHAnsi" w:cs="Arial"/>
                <w:b/>
                <w:sz w:val="20"/>
                <w:szCs w:val="20"/>
              </w:rPr>
              <w:t>3.1</w:t>
            </w:r>
          </w:p>
        </w:tc>
        <w:tc>
          <w:tcPr>
            <w:tcW w:w="1177" w:type="dxa"/>
            <w:tcBorders>
              <w:top w:val="single" w:sz="4" w:space="0" w:color="auto"/>
              <w:left w:val="nil"/>
              <w:bottom w:val="nil"/>
              <w:right w:val="nil"/>
            </w:tcBorders>
            <w:vAlign w:val="bottom"/>
          </w:tcPr>
          <w:p w14:paraId="3B7CE9D4" w14:textId="315D3ACB" w:rsidR="00AC1605" w:rsidRPr="0098172C" w:rsidRDefault="00E75542" w:rsidP="00AC1605">
            <w:pPr>
              <w:jc w:val="right"/>
              <w:rPr>
                <w:rFonts w:asciiTheme="minorHAnsi" w:hAnsiTheme="minorHAnsi" w:cs="Arial"/>
                <w:sz w:val="20"/>
                <w:szCs w:val="20"/>
              </w:rPr>
            </w:pPr>
            <w:r>
              <w:rPr>
                <w:rFonts w:asciiTheme="minorHAnsi" w:hAnsiTheme="minorHAnsi" w:cs="Arial"/>
                <w:sz w:val="20"/>
                <w:szCs w:val="20"/>
              </w:rPr>
              <w:t>(4.8)</w:t>
            </w:r>
          </w:p>
        </w:tc>
      </w:tr>
      <w:tr w:rsidR="00AC1605" w:rsidRPr="0098172C" w14:paraId="6CA28FE6" w14:textId="77777777" w:rsidTr="004359AD">
        <w:tc>
          <w:tcPr>
            <w:tcW w:w="6938" w:type="dxa"/>
            <w:vAlign w:val="bottom"/>
          </w:tcPr>
          <w:p w14:paraId="5AEC9CE3" w14:textId="7BEBE3AA" w:rsidR="00AC1605" w:rsidRPr="0098172C" w:rsidRDefault="00AC1605" w:rsidP="00AC1605">
            <w:pPr>
              <w:rPr>
                <w:rFonts w:asciiTheme="minorHAnsi" w:hAnsiTheme="minorHAnsi" w:cs="Arial"/>
                <w:b/>
                <w:bCs/>
                <w:sz w:val="20"/>
                <w:szCs w:val="20"/>
              </w:rPr>
            </w:pPr>
            <w:r w:rsidRPr="0098172C">
              <w:rPr>
                <w:rFonts w:asciiTheme="minorHAnsi" w:hAnsiTheme="minorHAnsi" w:cs="Arial"/>
                <w:b/>
                <w:bCs/>
                <w:sz w:val="20"/>
                <w:szCs w:val="20"/>
              </w:rPr>
              <w:t xml:space="preserve">Risk-adjusted </w:t>
            </w:r>
            <w:r w:rsidR="00E75542">
              <w:rPr>
                <w:rFonts w:asciiTheme="minorHAnsi" w:hAnsiTheme="minorHAnsi" w:cs="Arial"/>
                <w:b/>
                <w:bCs/>
                <w:sz w:val="20"/>
                <w:szCs w:val="20"/>
              </w:rPr>
              <w:t>income</w:t>
            </w:r>
          </w:p>
        </w:tc>
        <w:tc>
          <w:tcPr>
            <w:tcW w:w="631" w:type="dxa"/>
            <w:vAlign w:val="bottom"/>
          </w:tcPr>
          <w:p w14:paraId="424BA820" w14:textId="77777777" w:rsidR="00AC1605" w:rsidRPr="0098172C" w:rsidRDefault="00AC1605" w:rsidP="00AC1605">
            <w:pPr>
              <w:jc w:val="right"/>
              <w:rPr>
                <w:rFonts w:asciiTheme="minorHAnsi" w:hAnsiTheme="minorHAnsi" w:cs="Arial"/>
                <w:sz w:val="20"/>
                <w:szCs w:val="20"/>
              </w:rPr>
            </w:pPr>
          </w:p>
        </w:tc>
        <w:tc>
          <w:tcPr>
            <w:tcW w:w="1177" w:type="dxa"/>
            <w:tcBorders>
              <w:top w:val="single" w:sz="4" w:space="0" w:color="auto"/>
            </w:tcBorders>
            <w:shd w:val="clear" w:color="auto" w:fill="F2F2F2" w:themeFill="background1" w:themeFillShade="F2"/>
            <w:vAlign w:val="bottom"/>
          </w:tcPr>
          <w:p w14:paraId="6B7DB089" w14:textId="56349086" w:rsidR="00AC1605" w:rsidRPr="004359AD" w:rsidRDefault="00E75542" w:rsidP="00AC1605">
            <w:pPr>
              <w:jc w:val="right"/>
              <w:rPr>
                <w:rFonts w:asciiTheme="minorHAnsi" w:hAnsiTheme="minorHAnsi" w:cs="Arial"/>
                <w:b/>
                <w:sz w:val="20"/>
                <w:szCs w:val="20"/>
              </w:rPr>
            </w:pPr>
            <w:r>
              <w:rPr>
                <w:rFonts w:asciiTheme="minorHAnsi" w:hAnsiTheme="minorHAnsi" w:cs="Arial"/>
                <w:b/>
                <w:sz w:val="20"/>
                <w:szCs w:val="20"/>
              </w:rPr>
              <w:t>4.2</w:t>
            </w:r>
          </w:p>
        </w:tc>
        <w:tc>
          <w:tcPr>
            <w:tcW w:w="1177" w:type="dxa"/>
            <w:tcBorders>
              <w:top w:val="single" w:sz="4" w:space="0" w:color="auto"/>
            </w:tcBorders>
            <w:vAlign w:val="bottom"/>
          </w:tcPr>
          <w:p w14:paraId="4FEA5A99" w14:textId="7BD17030" w:rsidR="00AC1605" w:rsidRPr="0098172C" w:rsidRDefault="00E75542" w:rsidP="00AC1605">
            <w:pPr>
              <w:jc w:val="right"/>
              <w:rPr>
                <w:rFonts w:asciiTheme="minorHAnsi" w:hAnsiTheme="minorHAnsi" w:cs="Arial"/>
                <w:sz w:val="20"/>
                <w:szCs w:val="20"/>
              </w:rPr>
            </w:pPr>
            <w:r>
              <w:rPr>
                <w:rFonts w:asciiTheme="minorHAnsi" w:hAnsiTheme="minorHAnsi" w:cs="Arial"/>
                <w:sz w:val="20"/>
                <w:szCs w:val="20"/>
              </w:rPr>
              <w:t>2.4</w:t>
            </w:r>
          </w:p>
        </w:tc>
      </w:tr>
      <w:tr w:rsidR="00AC1605" w:rsidRPr="0098172C" w14:paraId="12C8CD55" w14:textId="77777777" w:rsidTr="004359AD">
        <w:tc>
          <w:tcPr>
            <w:tcW w:w="6938" w:type="dxa"/>
            <w:vAlign w:val="bottom"/>
          </w:tcPr>
          <w:p w14:paraId="33774F1C" w14:textId="1EAA653D" w:rsidR="00AC1605" w:rsidRPr="0098172C" w:rsidRDefault="00AC1605" w:rsidP="00AC1605">
            <w:pPr>
              <w:rPr>
                <w:rFonts w:asciiTheme="minorHAnsi" w:hAnsiTheme="minorHAnsi" w:cs="Arial"/>
                <w:sz w:val="20"/>
                <w:szCs w:val="20"/>
              </w:rPr>
            </w:pPr>
            <w:r w:rsidRPr="0098172C">
              <w:rPr>
                <w:rFonts w:asciiTheme="minorHAnsi" w:hAnsiTheme="minorHAnsi" w:cs="Arial"/>
                <w:sz w:val="20"/>
                <w:szCs w:val="20"/>
              </w:rPr>
              <w:t>Operating costs</w:t>
            </w:r>
          </w:p>
        </w:tc>
        <w:tc>
          <w:tcPr>
            <w:tcW w:w="631" w:type="dxa"/>
            <w:vAlign w:val="bottom"/>
          </w:tcPr>
          <w:p w14:paraId="0322B606" w14:textId="77777777" w:rsidR="00AC1605" w:rsidRPr="0098172C" w:rsidRDefault="00AC1605" w:rsidP="00AC1605">
            <w:pPr>
              <w:jc w:val="right"/>
              <w:rPr>
                <w:rFonts w:asciiTheme="minorHAnsi" w:hAnsiTheme="minorHAnsi" w:cs="Arial"/>
                <w:sz w:val="20"/>
                <w:szCs w:val="20"/>
              </w:rPr>
            </w:pPr>
          </w:p>
        </w:tc>
        <w:tc>
          <w:tcPr>
            <w:tcW w:w="1177" w:type="dxa"/>
            <w:tcBorders>
              <w:top w:val="nil"/>
              <w:left w:val="nil"/>
              <w:right w:val="nil"/>
            </w:tcBorders>
            <w:shd w:val="clear" w:color="auto" w:fill="F2F2F2" w:themeFill="background1" w:themeFillShade="F2"/>
            <w:vAlign w:val="bottom"/>
          </w:tcPr>
          <w:p w14:paraId="65ADB747" w14:textId="3E0C6896" w:rsidR="00AC1605" w:rsidRPr="004359AD" w:rsidRDefault="00E75542" w:rsidP="00AC1605">
            <w:pPr>
              <w:jc w:val="right"/>
              <w:rPr>
                <w:rFonts w:asciiTheme="minorHAnsi" w:hAnsiTheme="minorHAnsi" w:cs="Arial"/>
                <w:b/>
                <w:sz w:val="20"/>
                <w:szCs w:val="20"/>
              </w:rPr>
            </w:pPr>
            <w:r>
              <w:rPr>
                <w:rFonts w:asciiTheme="minorHAnsi" w:hAnsiTheme="minorHAnsi" w:cs="Arial"/>
                <w:b/>
                <w:sz w:val="20"/>
                <w:szCs w:val="20"/>
              </w:rPr>
              <w:t>(3.3)</w:t>
            </w:r>
          </w:p>
        </w:tc>
        <w:tc>
          <w:tcPr>
            <w:tcW w:w="1177" w:type="dxa"/>
            <w:tcBorders>
              <w:top w:val="nil"/>
              <w:left w:val="nil"/>
              <w:right w:val="nil"/>
            </w:tcBorders>
            <w:vAlign w:val="bottom"/>
          </w:tcPr>
          <w:p w14:paraId="545D1A5A" w14:textId="7D6F64D5" w:rsidR="00AC1605" w:rsidRPr="0098172C" w:rsidRDefault="00E75542" w:rsidP="00AC1605">
            <w:pPr>
              <w:jc w:val="right"/>
              <w:rPr>
                <w:rFonts w:asciiTheme="minorHAnsi" w:hAnsiTheme="minorHAnsi" w:cs="Arial"/>
                <w:sz w:val="20"/>
                <w:szCs w:val="20"/>
              </w:rPr>
            </w:pPr>
            <w:r>
              <w:rPr>
                <w:rFonts w:asciiTheme="minorHAnsi" w:hAnsiTheme="minorHAnsi" w:cs="Arial"/>
                <w:sz w:val="20"/>
                <w:szCs w:val="20"/>
              </w:rPr>
              <w:t>(2.8)</w:t>
            </w:r>
          </w:p>
        </w:tc>
      </w:tr>
      <w:tr w:rsidR="00AC1605" w:rsidRPr="0098172C" w14:paraId="085DBAC7" w14:textId="77777777" w:rsidTr="004359AD">
        <w:tc>
          <w:tcPr>
            <w:tcW w:w="6938" w:type="dxa"/>
            <w:vAlign w:val="bottom"/>
          </w:tcPr>
          <w:p w14:paraId="4D7FBE75" w14:textId="53F13258" w:rsidR="00AC1605" w:rsidRPr="0098172C" w:rsidRDefault="00CE35CD" w:rsidP="00AC1605">
            <w:pPr>
              <w:rPr>
                <w:rFonts w:asciiTheme="minorHAnsi" w:hAnsiTheme="minorHAnsi" w:cs="Arial"/>
                <w:b/>
                <w:bCs/>
                <w:sz w:val="20"/>
                <w:szCs w:val="20"/>
              </w:rPr>
            </w:pPr>
            <w:r>
              <w:rPr>
                <w:rFonts w:asciiTheme="minorHAnsi" w:hAnsiTheme="minorHAnsi" w:cs="Arial"/>
                <w:b/>
                <w:bCs/>
                <w:sz w:val="20"/>
                <w:szCs w:val="20"/>
              </w:rPr>
              <w:t>Profit/</w:t>
            </w:r>
            <w:r w:rsidR="00D32387">
              <w:rPr>
                <w:rFonts w:asciiTheme="minorHAnsi" w:hAnsiTheme="minorHAnsi" w:cs="Arial"/>
                <w:b/>
                <w:bCs/>
                <w:sz w:val="20"/>
                <w:szCs w:val="20"/>
              </w:rPr>
              <w:t>(</w:t>
            </w:r>
            <w:r>
              <w:rPr>
                <w:rFonts w:asciiTheme="minorHAnsi" w:hAnsiTheme="minorHAnsi" w:cs="Arial"/>
                <w:b/>
                <w:bCs/>
                <w:sz w:val="20"/>
                <w:szCs w:val="20"/>
              </w:rPr>
              <w:t>l</w:t>
            </w:r>
            <w:r w:rsidR="00AC1605" w:rsidRPr="0098172C">
              <w:rPr>
                <w:rFonts w:asciiTheme="minorHAnsi" w:hAnsiTheme="minorHAnsi" w:cs="Arial"/>
                <w:b/>
                <w:bCs/>
                <w:sz w:val="20"/>
                <w:szCs w:val="20"/>
              </w:rPr>
              <w:t>oss</w:t>
            </w:r>
            <w:r w:rsidR="00D32387">
              <w:rPr>
                <w:rFonts w:asciiTheme="minorHAnsi" w:hAnsiTheme="minorHAnsi" w:cs="Arial"/>
                <w:b/>
                <w:bCs/>
                <w:sz w:val="20"/>
                <w:szCs w:val="20"/>
              </w:rPr>
              <w:t>)</w:t>
            </w:r>
            <w:r w:rsidR="00AC1605" w:rsidRPr="0098172C">
              <w:rPr>
                <w:rFonts w:asciiTheme="minorHAnsi" w:hAnsiTheme="minorHAnsi" w:cs="Arial"/>
                <w:b/>
                <w:bCs/>
                <w:sz w:val="20"/>
                <w:szCs w:val="20"/>
              </w:rPr>
              <w:t xml:space="preserve"> before taxation</w:t>
            </w:r>
          </w:p>
        </w:tc>
        <w:tc>
          <w:tcPr>
            <w:tcW w:w="631" w:type="dxa"/>
            <w:vAlign w:val="bottom"/>
          </w:tcPr>
          <w:p w14:paraId="38BA6473" w14:textId="77777777" w:rsidR="00AC1605" w:rsidRPr="0098172C" w:rsidRDefault="00AC1605" w:rsidP="00AC1605">
            <w:pPr>
              <w:jc w:val="right"/>
              <w:rPr>
                <w:rFonts w:asciiTheme="minorHAnsi" w:hAnsiTheme="minorHAnsi" w:cs="Arial"/>
                <w:sz w:val="20"/>
                <w:szCs w:val="20"/>
              </w:rPr>
            </w:pPr>
          </w:p>
        </w:tc>
        <w:tc>
          <w:tcPr>
            <w:tcW w:w="1177" w:type="dxa"/>
            <w:tcBorders>
              <w:top w:val="single" w:sz="4" w:space="0" w:color="auto"/>
              <w:left w:val="nil"/>
              <w:right w:val="nil"/>
            </w:tcBorders>
            <w:shd w:val="clear" w:color="auto" w:fill="F2F2F2" w:themeFill="background1" w:themeFillShade="F2"/>
            <w:vAlign w:val="bottom"/>
          </w:tcPr>
          <w:p w14:paraId="61AC505D" w14:textId="610F82F0" w:rsidR="00AC1605" w:rsidRPr="004359AD" w:rsidRDefault="00E75542" w:rsidP="00AC1605">
            <w:pPr>
              <w:jc w:val="right"/>
              <w:rPr>
                <w:rFonts w:asciiTheme="minorHAnsi" w:hAnsiTheme="minorHAnsi" w:cs="Arial"/>
                <w:b/>
                <w:sz w:val="20"/>
                <w:szCs w:val="20"/>
              </w:rPr>
            </w:pPr>
            <w:r>
              <w:rPr>
                <w:rFonts w:asciiTheme="minorHAnsi" w:hAnsiTheme="minorHAnsi" w:cs="Arial"/>
                <w:b/>
                <w:sz w:val="20"/>
                <w:szCs w:val="20"/>
              </w:rPr>
              <w:t>0.9</w:t>
            </w:r>
          </w:p>
        </w:tc>
        <w:tc>
          <w:tcPr>
            <w:tcW w:w="1177" w:type="dxa"/>
            <w:tcBorders>
              <w:top w:val="single" w:sz="4" w:space="0" w:color="auto"/>
              <w:left w:val="nil"/>
              <w:right w:val="nil"/>
            </w:tcBorders>
            <w:vAlign w:val="bottom"/>
          </w:tcPr>
          <w:p w14:paraId="2A93EFA8" w14:textId="128268A6" w:rsidR="00AC1605" w:rsidRPr="0098172C" w:rsidRDefault="00E75542" w:rsidP="00AC1605">
            <w:pPr>
              <w:jc w:val="right"/>
              <w:rPr>
                <w:rFonts w:asciiTheme="minorHAnsi" w:hAnsiTheme="minorHAnsi" w:cs="Arial"/>
                <w:sz w:val="20"/>
                <w:szCs w:val="20"/>
              </w:rPr>
            </w:pPr>
            <w:r>
              <w:rPr>
                <w:rFonts w:asciiTheme="minorHAnsi" w:hAnsiTheme="minorHAnsi" w:cs="Arial"/>
                <w:sz w:val="20"/>
                <w:szCs w:val="20"/>
              </w:rPr>
              <w:t>(0.4)</w:t>
            </w:r>
          </w:p>
        </w:tc>
      </w:tr>
      <w:tr w:rsidR="00AC1605" w:rsidRPr="0098172C" w14:paraId="5F09F648" w14:textId="77777777" w:rsidTr="004359AD">
        <w:tc>
          <w:tcPr>
            <w:tcW w:w="6938" w:type="dxa"/>
            <w:vAlign w:val="bottom"/>
          </w:tcPr>
          <w:p w14:paraId="0ED3275B" w14:textId="5345848E" w:rsidR="00AC1605" w:rsidRPr="0098172C" w:rsidRDefault="00AC1605" w:rsidP="00AC1605">
            <w:pPr>
              <w:rPr>
                <w:rFonts w:asciiTheme="minorHAnsi" w:hAnsiTheme="minorHAnsi" w:cs="Arial"/>
                <w:sz w:val="20"/>
                <w:szCs w:val="20"/>
              </w:rPr>
            </w:pPr>
            <w:r w:rsidRPr="0098172C">
              <w:rPr>
                <w:rFonts w:asciiTheme="minorHAnsi" w:hAnsiTheme="minorHAnsi" w:cs="Arial"/>
                <w:sz w:val="20"/>
                <w:szCs w:val="20"/>
              </w:rPr>
              <w:t xml:space="preserve">Tax </w:t>
            </w:r>
            <w:r w:rsidR="008A722A">
              <w:rPr>
                <w:rFonts w:asciiTheme="minorHAnsi" w:hAnsiTheme="minorHAnsi" w:cs="Arial"/>
                <w:sz w:val="20"/>
                <w:szCs w:val="20"/>
              </w:rPr>
              <w:t>(</w:t>
            </w:r>
            <w:r w:rsidRPr="0098172C">
              <w:rPr>
                <w:rFonts w:asciiTheme="minorHAnsi" w:hAnsiTheme="minorHAnsi" w:cs="Arial"/>
                <w:sz w:val="20"/>
                <w:szCs w:val="20"/>
              </w:rPr>
              <w:t>charge</w:t>
            </w:r>
            <w:r w:rsidR="008A722A">
              <w:rPr>
                <w:rFonts w:asciiTheme="minorHAnsi" w:hAnsiTheme="minorHAnsi" w:cs="Arial"/>
                <w:sz w:val="20"/>
                <w:szCs w:val="20"/>
              </w:rPr>
              <w:t>)/credit</w:t>
            </w:r>
          </w:p>
        </w:tc>
        <w:tc>
          <w:tcPr>
            <w:tcW w:w="631" w:type="dxa"/>
            <w:vAlign w:val="bottom"/>
          </w:tcPr>
          <w:p w14:paraId="55999756" w14:textId="77777777" w:rsidR="00AC1605" w:rsidRPr="0098172C" w:rsidRDefault="00AC1605" w:rsidP="00AC1605">
            <w:pPr>
              <w:jc w:val="right"/>
              <w:rPr>
                <w:rFonts w:asciiTheme="minorHAnsi" w:hAnsiTheme="minorHAnsi" w:cs="Arial"/>
                <w:sz w:val="20"/>
                <w:szCs w:val="20"/>
              </w:rPr>
            </w:pPr>
          </w:p>
        </w:tc>
        <w:tc>
          <w:tcPr>
            <w:tcW w:w="1177" w:type="dxa"/>
            <w:tcBorders>
              <w:left w:val="nil"/>
              <w:bottom w:val="single" w:sz="4" w:space="0" w:color="auto"/>
              <w:right w:val="nil"/>
            </w:tcBorders>
            <w:shd w:val="clear" w:color="auto" w:fill="F2F2F2" w:themeFill="background1" w:themeFillShade="F2"/>
            <w:vAlign w:val="bottom"/>
          </w:tcPr>
          <w:p w14:paraId="004FB0D0" w14:textId="5099B9CA" w:rsidR="00AC1605" w:rsidRPr="004359AD" w:rsidRDefault="00E75542" w:rsidP="00AC1605">
            <w:pPr>
              <w:jc w:val="right"/>
              <w:rPr>
                <w:rFonts w:asciiTheme="minorHAnsi" w:hAnsiTheme="minorHAnsi" w:cs="Arial"/>
                <w:b/>
                <w:sz w:val="20"/>
                <w:szCs w:val="20"/>
              </w:rPr>
            </w:pPr>
            <w:r>
              <w:rPr>
                <w:rFonts w:asciiTheme="minorHAnsi" w:hAnsiTheme="minorHAnsi" w:cs="Arial"/>
                <w:b/>
                <w:sz w:val="20"/>
                <w:szCs w:val="20"/>
              </w:rPr>
              <w:t>(0.2)</w:t>
            </w:r>
          </w:p>
        </w:tc>
        <w:tc>
          <w:tcPr>
            <w:tcW w:w="1177" w:type="dxa"/>
            <w:tcBorders>
              <w:left w:val="nil"/>
              <w:bottom w:val="single" w:sz="4" w:space="0" w:color="auto"/>
              <w:right w:val="nil"/>
            </w:tcBorders>
            <w:vAlign w:val="bottom"/>
          </w:tcPr>
          <w:p w14:paraId="0C3EC4A0" w14:textId="25BE9917" w:rsidR="00AC1605" w:rsidRPr="0098172C" w:rsidRDefault="00E75542" w:rsidP="00AC1605">
            <w:pPr>
              <w:jc w:val="right"/>
              <w:rPr>
                <w:rFonts w:asciiTheme="minorHAnsi" w:hAnsiTheme="minorHAnsi" w:cs="Arial"/>
                <w:sz w:val="20"/>
                <w:szCs w:val="20"/>
              </w:rPr>
            </w:pPr>
            <w:r>
              <w:rPr>
                <w:rFonts w:asciiTheme="minorHAnsi" w:hAnsiTheme="minorHAnsi" w:cs="Arial"/>
                <w:sz w:val="20"/>
                <w:szCs w:val="20"/>
              </w:rPr>
              <w:t>0.1</w:t>
            </w:r>
          </w:p>
        </w:tc>
      </w:tr>
      <w:tr w:rsidR="00AC1605" w:rsidRPr="0098172C" w14:paraId="40ABD89A" w14:textId="77777777" w:rsidTr="004359AD">
        <w:tc>
          <w:tcPr>
            <w:tcW w:w="6938" w:type="dxa"/>
            <w:vAlign w:val="bottom"/>
          </w:tcPr>
          <w:p w14:paraId="1C3A0D4D" w14:textId="6546BDFC" w:rsidR="00AC1605" w:rsidRPr="0098172C" w:rsidRDefault="00CE35CD" w:rsidP="00AC1605">
            <w:pPr>
              <w:rPr>
                <w:rFonts w:asciiTheme="minorHAnsi" w:hAnsiTheme="minorHAnsi" w:cs="Arial"/>
                <w:b/>
                <w:bCs/>
                <w:sz w:val="20"/>
                <w:szCs w:val="20"/>
                <w:lang w:val="en-US"/>
              </w:rPr>
            </w:pPr>
            <w:r>
              <w:rPr>
                <w:rFonts w:asciiTheme="minorHAnsi" w:hAnsiTheme="minorHAnsi" w:cs="Arial"/>
                <w:b/>
                <w:bCs/>
                <w:sz w:val="20"/>
                <w:szCs w:val="20"/>
                <w:lang w:val="en-US"/>
              </w:rPr>
              <w:t>Profit/(l</w:t>
            </w:r>
            <w:r w:rsidR="00AC1605" w:rsidRPr="0098172C">
              <w:rPr>
                <w:rFonts w:asciiTheme="minorHAnsi" w:hAnsiTheme="minorHAnsi" w:cs="Arial"/>
                <w:b/>
                <w:bCs/>
                <w:sz w:val="20"/>
                <w:szCs w:val="20"/>
                <w:lang w:val="en-US"/>
              </w:rPr>
              <w:t>oss</w:t>
            </w:r>
            <w:r>
              <w:rPr>
                <w:rFonts w:asciiTheme="minorHAnsi" w:hAnsiTheme="minorHAnsi" w:cs="Arial"/>
                <w:b/>
                <w:bCs/>
                <w:sz w:val="20"/>
                <w:szCs w:val="20"/>
                <w:lang w:val="en-US"/>
              </w:rPr>
              <w:t>)</w:t>
            </w:r>
            <w:r w:rsidR="00AC1605" w:rsidRPr="0098172C">
              <w:rPr>
                <w:rFonts w:asciiTheme="minorHAnsi" w:hAnsiTheme="minorHAnsi" w:cs="Arial"/>
                <w:b/>
                <w:bCs/>
                <w:sz w:val="20"/>
                <w:szCs w:val="20"/>
                <w:lang w:val="en-US"/>
              </w:rPr>
              <w:t xml:space="preserve"> from discontinued operations</w:t>
            </w:r>
          </w:p>
        </w:tc>
        <w:tc>
          <w:tcPr>
            <w:tcW w:w="631" w:type="dxa"/>
            <w:vAlign w:val="bottom"/>
          </w:tcPr>
          <w:p w14:paraId="7A1D15C4" w14:textId="77777777" w:rsidR="00AC1605" w:rsidRPr="0098172C" w:rsidRDefault="00AC1605" w:rsidP="00AC1605">
            <w:pPr>
              <w:jc w:val="right"/>
              <w:rPr>
                <w:rFonts w:asciiTheme="minorHAnsi" w:hAnsiTheme="minorHAnsi" w:cs="Arial"/>
                <w:sz w:val="20"/>
                <w:szCs w:val="20"/>
                <w:lang w:val="en-US"/>
              </w:rPr>
            </w:pPr>
          </w:p>
        </w:tc>
        <w:tc>
          <w:tcPr>
            <w:tcW w:w="1177" w:type="dxa"/>
            <w:tcBorders>
              <w:top w:val="single" w:sz="4" w:space="0" w:color="auto"/>
              <w:left w:val="nil"/>
              <w:bottom w:val="single" w:sz="12" w:space="0" w:color="auto"/>
              <w:right w:val="nil"/>
            </w:tcBorders>
            <w:shd w:val="clear" w:color="auto" w:fill="F2F2F2" w:themeFill="background1" w:themeFillShade="F2"/>
            <w:vAlign w:val="bottom"/>
          </w:tcPr>
          <w:p w14:paraId="48D8F564" w14:textId="7A207895" w:rsidR="00AC1605" w:rsidRPr="004359AD" w:rsidRDefault="00E75542" w:rsidP="00AC1605">
            <w:pPr>
              <w:jc w:val="right"/>
              <w:rPr>
                <w:rFonts w:asciiTheme="minorHAnsi" w:hAnsiTheme="minorHAnsi" w:cs="Arial"/>
                <w:b/>
                <w:sz w:val="20"/>
                <w:szCs w:val="20"/>
                <w:lang w:val="en-US"/>
              </w:rPr>
            </w:pPr>
            <w:r>
              <w:rPr>
                <w:rFonts w:asciiTheme="minorHAnsi" w:hAnsiTheme="minorHAnsi" w:cs="Arial"/>
                <w:b/>
                <w:sz w:val="20"/>
                <w:szCs w:val="20"/>
                <w:lang w:val="en-US"/>
              </w:rPr>
              <w:t>0.7</w:t>
            </w:r>
          </w:p>
        </w:tc>
        <w:tc>
          <w:tcPr>
            <w:tcW w:w="1177" w:type="dxa"/>
            <w:tcBorders>
              <w:top w:val="single" w:sz="4" w:space="0" w:color="auto"/>
              <w:left w:val="nil"/>
              <w:bottom w:val="single" w:sz="12" w:space="0" w:color="auto"/>
              <w:right w:val="nil"/>
            </w:tcBorders>
            <w:vAlign w:val="bottom"/>
          </w:tcPr>
          <w:p w14:paraId="464ADA77" w14:textId="07F33A0E" w:rsidR="00AC1605" w:rsidRPr="0098172C" w:rsidRDefault="00E75542" w:rsidP="00AC1605">
            <w:pPr>
              <w:jc w:val="right"/>
              <w:rPr>
                <w:rFonts w:asciiTheme="minorHAnsi" w:hAnsiTheme="minorHAnsi" w:cs="Arial"/>
                <w:sz w:val="20"/>
                <w:szCs w:val="20"/>
                <w:lang w:val="en-US"/>
              </w:rPr>
            </w:pPr>
            <w:r>
              <w:rPr>
                <w:rFonts w:asciiTheme="minorHAnsi" w:hAnsiTheme="minorHAnsi" w:cs="Arial"/>
                <w:sz w:val="20"/>
                <w:szCs w:val="20"/>
                <w:lang w:val="en-US"/>
              </w:rPr>
              <w:t>(0.3)</w:t>
            </w:r>
          </w:p>
        </w:tc>
      </w:tr>
      <w:tr w:rsidR="00AC1605" w:rsidRPr="0098172C" w14:paraId="0CDD023F" w14:textId="77777777" w:rsidTr="004359AD">
        <w:tc>
          <w:tcPr>
            <w:tcW w:w="6938" w:type="dxa"/>
            <w:vAlign w:val="bottom"/>
          </w:tcPr>
          <w:p w14:paraId="1BA16FD4" w14:textId="5A382A82" w:rsidR="00AC1605" w:rsidRPr="0098172C" w:rsidRDefault="00AC1605" w:rsidP="00AC1605">
            <w:pPr>
              <w:rPr>
                <w:rFonts w:asciiTheme="minorHAnsi" w:hAnsiTheme="minorHAnsi" w:cs="Arial"/>
                <w:b/>
                <w:bCs/>
                <w:sz w:val="20"/>
                <w:szCs w:val="20"/>
                <w:lang w:val="en-US"/>
              </w:rPr>
            </w:pPr>
            <w:r w:rsidRPr="0098172C">
              <w:rPr>
                <w:rFonts w:asciiTheme="minorHAnsi" w:hAnsiTheme="minorHAnsi" w:cs="Arial"/>
                <w:b/>
                <w:bCs/>
                <w:sz w:val="20"/>
                <w:szCs w:val="20"/>
                <w:lang w:val="en-US"/>
              </w:rPr>
              <w:t xml:space="preserve">Basic </w:t>
            </w:r>
            <w:r w:rsidR="00D32387">
              <w:rPr>
                <w:rFonts w:asciiTheme="minorHAnsi" w:hAnsiTheme="minorHAnsi" w:cs="Arial"/>
                <w:b/>
                <w:bCs/>
                <w:sz w:val="20"/>
                <w:szCs w:val="20"/>
                <w:lang w:val="en-US"/>
              </w:rPr>
              <w:t>earnings/(</w:t>
            </w:r>
            <w:r w:rsidRPr="0098172C">
              <w:rPr>
                <w:rFonts w:asciiTheme="minorHAnsi" w:hAnsiTheme="minorHAnsi" w:cs="Arial"/>
                <w:b/>
                <w:bCs/>
                <w:sz w:val="20"/>
                <w:szCs w:val="20"/>
                <w:lang w:val="en-US"/>
              </w:rPr>
              <w:t>loss</w:t>
            </w:r>
            <w:r w:rsidR="00D32387">
              <w:rPr>
                <w:rFonts w:asciiTheme="minorHAnsi" w:hAnsiTheme="minorHAnsi" w:cs="Arial"/>
                <w:b/>
                <w:bCs/>
                <w:sz w:val="20"/>
                <w:szCs w:val="20"/>
                <w:lang w:val="en-US"/>
              </w:rPr>
              <w:t>)</w:t>
            </w:r>
            <w:r w:rsidRPr="0098172C">
              <w:rPr>
                <w:rFonts w:asciiTheme="minorHAnsi" w:hAnsiTheme="minorHAnsi" w:cs="Arial"/>
                <w:b/>
                <w:bCs/>
                <w:sz w:val="20"/>
                <w:szCs w:val="20"/>
                <w:lang w:val="en-US"/>
              </w:rPr>
              <w:t xml:space="preserve"> per share (p)</w:t>
            </w:r>
          </w:p>
        </w:tc>
        <w:tc>
          <w:tcPr>
            <w:tcW w:w="631" w:type="dxa"/>
            <w:vAlign w:val="bottom"/>
          </w:tcPr>
          <w:p w14:paraId="1B4BD05D" w14:textId="77777777" w:rsidR="00AC1605" w:rsidRPr="0098172C" w:rsidRDefault="00AC1605" w:rsidP="00AC1605">
            <w:pPr>
              <w:jc w:val="right"/>
              <w:rPr>
                <w:rFonts w:asciiTheme="minorHAnsi" w:hAnsiTheme="minorHAnsi" w:cs="Arial"/>
                <w:sz w:val="20"/>
                <w:szCs w:val="20"/>
                <w:lang w:val="en-US"/>
              </w:rPr>
            </w:pPr>
          </w:p>
        </w:tc>
        <w:tc>
          <w:tcPr>
            <w:tcW w:w="1177" w:type="dxa"/>
            <w:tcBorders>
              <w:top w:val="single" w:sz="12" w:space="0" w:color="auto"/>
              <w:left w:val="nil"/>
              <w:bottom w:val="single" w:sz="12" w:space="0" w:color="auto"/>
              <w:right w:val="nil"/>
            </w:tcBorders>
            <w:shd w:val="clear" w:color="auto" w:fill="F2F2F2" w:themeFill="background1" w:themeFillShade="F2"/>
            <w:vAlign w:val="bottom"/>
          </w:tcPr>
          <w:p w14:paraId="46854A0A" w14:textId="57017BBA" w:rsidR="00AC1605" w:rsidRPr="004359AD" w:rsidRDefault="004E2DBD" w:rsidP="00AC1605">
            <w:pPr>
              <w:jc w:val="right"/>
              <w:rPr>
                <w:rFonts w:asciiTheme="minorHAnsi" w:hAnsiTheme="minorHAnsi" w:cs="Arial"/>
                <w:b/>
                <w:sz w:val="20"/>
                <w:szCs w:val="20"/>
                <w:lang w:val="en-US"/>
              </w:rPr>
            </w:pPr>
            <w:r w:rsidRPr="00820AB2">
              <w:rPr>
                <w:rFonts w:asciiTheme="minorHAnsi" w:hAnsiTheme="minorHAnsi" w:cs="Arial"/>
                <w:b/>
                <w:sz w:val="20"/>
                <w:szCs w:val="20"/>
                <w:lang w:val="en-US"/>
              </w:rPr>
              <w:t>0.3</w:t>
            </w:r>
          </w:p>
        </w:tc>
        <w:tc>
          <w:tcPr>
            <w:tcW w:w="1177" w:type="dxa"/>
            <w:tcBorders>
              <w:top w:val="single" w:sz="12" w:space="0" w:color="auto"/>
              <w:left w:val="nil"/>
              <w:bottom w:val="single" w:sz="12" w:space="0" w:color="auto"/>
              <w:right w:val="nil"/>
            </w:tcBorders>
            <w:vAlign w:val="bottom"/>
          </w:tcPr>
          <w:p w14:paraId="02763BB3" w14:textId="22C39E42" w:rsidR="00AC1605" w:rsidRPr="0098172C" w:rsidRDefault="005B51C0" w:rsidP="00AC1605">
            <w:pPr>
              <w:jc w:val="right"/>
              <w:rPr>
                <w:rFonts w:asciiTheme="minorHAnsi" w:hAnsiTheme="minorHAnsi" w:cs="Arial"/>
                <w:sz w:val="20"/>
                <w:szCs w:val="20"/>
                <w:lang w:val="en-US"/>
              </w:rPr>
            </w:pPr>
            <w:r w:rsidRPr="00820AB2">
              <w:rPr>
                <w:rFonts w:asciiTheme="minorHAnsi" w:hAnsiTheme="minorHAnsi" w:cs="Arial"/>
                <w:sz w:val="20"/>
                <w:szCs w:val="20"/>
                <w:lang w:val="en-US"/>
              </w:rPr>
              <w:t>(0.1)</w:t>
            </w:r>
          </w:p>
        </w:tc>
      </w:tr>
      <w:tr w:rsidR="00AC1605" w:rsidRPr="0098172C" w14:paraId="6EB148EB" w14:textId="77777777" w:rsidTr="004359AD">
        <w:tc>
          <w:tcPr>
            <w:tcW w:w="6938" w:type="dxa"/>
            <w:vAlign w:val="bottom"/>
          </w:tcPr>
          <w:p w14:paraId="15ABD18E" w14:textId="1ADE38DD" w:rsidR="00AC1605" w:rsidRPr="0098172C" w:rsidRDefault="00AC1605" w:rsidP="00AC1605">
            <w:pPr>
              <w:rPr>
                <w:rFonts w:asciiTheme="minorHAnsi" w:hAnsiTheme="minorHAnsi" w:cs="Arial"/>
                <w:b/>
                <w:bCs/>
                <w:sz w:val="20"/>
                <w:szCs w:val="20"/>
                <w:lang w:val="en-US"/>
              </w:rPr>
            </w:pPr>
            <w:r w:rsidRPr="0098172C">
              <w:rPr>
                <w:rFonts w:asciiTheme="minorHAnsi" w:hAnsiTheme="minorHAnsi" w:cs="Arial"/>
                <w:b/>
                <w:bCs/>
                <w:sz w:val="20"/>
                <w:szCs w:val="20"/>
                <w:lang w:val="en-US"/>
              </w:rPr>
              <w:t xml:space="preserve">Diluted </w:t>
            </w:r>
            <w:r w:rsidR="00D32387">
              <w:rPr>
                <w:rFonts w:asciiTheme="minorHAnsi" w:hAnsiTheme="minorHAnsi" w:cs="Arial"/>
                <w:b/>
                <w:bCs/>
                <w:sz w:val="20"/>
                <w:szCs w:val="20"/>
                <w:lang w:val="en-US"/>
              </w:rPr>
              <w:t>earnings/(</w:t>
            </w:r>
            <w:r w:rsidRPr="0098172C">
              <w:rPr>
                <w:rFonts w:asciiTheme="minorHAnsi" w:hAnsiTheme="minorHAnsi" w:cs="Arial"/>
                <w:b/>
                <w:bCs/>
                <w:sz w:val="20"/>
                <w:szCs w:val="20"/>
                <w:lang w:val="en-US"/>
              </w:rPr>
              <w:t>loss</w:t>
            </w:r>
            <w:r w:rsidR="00D32387">
              <w:rPr>
                <w:rFonts w:asciiTheme="minorHAnsi" w:hAnsiTheme="minorHAnsi" w:cs="Arial"/>
                <w:b/>
                <w:bCs/>
                <w:sz w:val="20"/>
                <w:szCs w:val="20"/>
                <w:lang w:val="en-US"/>
              </w:rPr>
              <w:t>)</w:t>
            </w:r>
            <w:r w:rsidRPr="0098172C">
              <w:rPr>
                <w:rFonts w:asciiTheme="minorHAnsi" w:hAnsiTheme="minorHAnsi" w:cs="Arial"/>
                <w:b/>
                <w:bCs/>
                <w:sz w:val="20"/>
                <w:szCs w:val="20"/>
                <w:lang w:val="en-US"/>
              </w:rPr>
              <w:t xml:space="preserve"> per share (p)</w:t>
            </w:r>
          </w:p>
        </w:tc>
        <w:tc>
          <w:tcPr>
            <w:tcW w:w="631" w:type="dxa"/>
            <w:vAlign w:val="bottom"/>
          </w:tcPr>
          <w:p w14:paraId="7B92F490" w14:textId="77777777" w:rsidR="00AC1605" w:rsidRPr="0098172C" w:rsidRDefault="00AC1605" w:rsidP="00AC1605">
            <w:pPr>
              <w:jc w:val="right"/>
              <w:rPr>
                <w:rFonts w:asciiTheme="minorHAnsi" w:hAnsiTheme="minorHAnsi" w:cs="Arial"/>
                <w:sz w:val="20"/>
                <w:szCs w:val="20"/>
                <w:lang w:val="en-US"/>
              </w:rPr>
            </w:pPr>
          </w:p>
        </w:tc>
        <w:tc>
          <w:tcPr>
            <w:tcW w:w="1177" w:type="dxa"/>
            <w:tcBorders>
              <w:top w:val="single" w:sz="12" w:space="0" w:color="auto"/>
              <w:left w:val="nil"/>
              <w:bottom w:val="single" w:sz="12" w:space="0" w:color="auto"/>
              <w:right w:val="nil"/>
            </w:tcBorders>
            <w:shd w:val="clear" w:color="auto" w:fill="F2F2F2" w:themeFill="background1" w:themeFillShade="F2"/>
            <w:vAlign w:val="bottom"/>
          </w:tcPr>
          <w:p w14:paraId="4FBD2DE9" w14:textId="44998102" w:rsidR="00AC1605" w:rsidRPr="004359AD" w:rsidRDefault="004B6690" w:rsidP="00AC1605">
            <w:pPr>
              <w:jc w:val="right"/>
              <w:rPr>
                <w:rFonts w:asciiTheme="minorHAnsi" w:hAnsiTheme="minorHAnsi" w:cs="Arial"/>
                <w:b/>
                <w:sz w:val="20"/>
                <w:szCs w:val="20"/>
                <w:lang w:val="en-US"/>
              </w:rPr>
            </w:pPr>
            <w:r>
              <w:rPr>
                <w:rFonts w:asciiTheme="minorHAnsi" w:hAnsiTheme="minorHAnsi" w:cs="Arial"/>
                <w:b/>
                <w:sz w:val="20"/>
                <w:szCs w:val="20"/>
                <w:lang w:val="en-US"/>
              </w:rPr>
              <w:t>0.3</w:t>
            </w:r>
          </w:p>
        </w:tc>
        <w:tc>
          <w:tcPr>
            <w:tcW w:w="1177" w:type="dxa"/>
            <w:tcBorders>
              <w:top w:val="single" w:sz="12" w:space="0" w:color="auto"/>
              <w:left w:val="nil"/>
              <w:bottom w:val="single" w:sz="12" w:space="0" w:color="auto"/>
              <w:right w:val="nil"/>
            </w:tcBorders>
            <w:vAlign w:val="bottom"/>
          </w:tcPr>
          <w:p w14:paraId="279733F7" w14:textId="56663CDE" w:rsidR="00AC1605" w:rsidRPr="007F7783" w:rsidRDefault="005B51C0" w:rsidP="00AC1605">
            <w:pPr>
              <w:jc w:val="right"/>
              <w:rPr>
                <w:rFonts w:asciiTheme="minorHAnsi" w:hAnsiTheme="minorHAnsi" w:cs="Arial"/>
                <w:color w:val="FF0000"/>
                <w:sz w:val="20"/>
                <w:szCs w:val="20"/>
                <w:lang w:val="en-US"/>
              </w:rPr>
            </w:pPr>
            <w:r w:rsidRPr="00820AB2">
              <w:rPr>
                <w:rFonts w:asciiTheme="minorHAnsi" w:hAnsiTheme="minorHAnsi" w:cs="Arial"/>
                <w:sz w:val="20"/>
                <w:szCs w:val="20"/>
                <w:lang w:val="en-US"/>
              </w:rPr>
              <w:t>(0.1)</w:t>
            </w:r>
          </w:p>
        </w:tc>
      </w:tr>
    </w:tbl>
    <w:p w14:paraId="51B85059" w14:textId="77777777" w:rsidR="000635DC" w:rsidRDefault="000635DC" w:rsidP="0077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p>
    <w:p w14:paraId="6472EACE" w14:textId="77777777" w:rsidR="000635DC" w:rsidRDefault="000635DC" w:rsidP="0077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42B32C40" w14:textId="77777777" w:rsidR="00D358E2" w:rsidRDefault="00D358E2"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7CDE3C9B" w14:textId="1C43E418" w:rsidR="00A1425C" w:rsidRPr="00701439" w:rsidRDefault="0059067F" w:rsidP="00BC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bodycopynumber"/>
          <w:rFonts w:asciiTheme="minorHAnsi" w:hAnsiTheme="minorHAnsi" w:cs="Arial"/>
          <w:b/>
          <w:color w:val="4747FF"/>
          <w:sz w:val="22"/>
          <w:szCs w:val="22"/>
        </w:rPr>
      </w:pPr>
      <w:r w:rsidRPr="00601CD9">
        <w:rPr>
          <w:rFonts w:asciiTheme="minorHAnsi" w:hAnsiTheme="minorHAnsi" w:cs="Arial"/>
          <w:b/>
          <w:color w:val="4747FF"/>
          <w:sz w:val="22"/>
          <w:szCs w:val="22"/>
        </w:rPr>
        <w:t>6</w:t>
      </w:r>
      <w:r w:rsidR="00A1425C" w:rsidRPr="00601CD9">
        <w:rPr>
          <w:rFonts w:asciiTheme="minorHAnsi" w:hAnsiTheme="minorHAnsi" w:cs="Arial"/>
          <w:b/>
          <w:color w:val="4747FF"/>
          <w:sz w:val="22"/>
          <w:szCs w:val="22"/>
        </w:rPr>
        <w:t>.</w:t>
      </w:r>
      <w:r w:rsidR="00072E53" w:rsidRPr="00701439">
        <w:rPr>
          <w:rFonts w:asciiTheme="minorHAnsi" w:hAnsiTheme="minorHAnsi" w:cs="Arial"/>
          <w:b/>
          <w:color w:val="4747FF"/>
          <w:sz w:val="22"/>
          <w:szCs w:val="22"/>
        </w:rPr>
        <w:t xml:space="preserve"> </w:t>
      </w:r>
      <w:r w:rsidR="0040085C">
        <w:rPr>
          <w:rFonts w:asciiTheme="minorHAnsi" w:hAnsiTheme="minorHAnsi" w:cs="Arial"/>
          <w:b/>
          <w:color w:val="4747FF"/>
          <w:sz w:val="22"/>
          <w:szCs w:val="22"/>
        </w:rPr>
        <w:tab/>
      </w:r>
      <w:r w:rsidR="00A1425C" w:rsidRPr="00701439">
        <w:rPr>
          <w:rStyle w:val="bodycopynumber"/>
          <w:rFonts w:asciiTheme="minorHAnsi" w:hAnsiTheme="minorHAnsi" w:cs="Arial"/>
          <w:b/>
          <w:color w:val="4747FF"/>
          <w:sz w:val="22"/>
          <w:szCs w:val="22"/>
        </w:rPr>
        <w:t xml:space="preserve">Tax </w:t>
      </w:r>
      <w:r w:rsidR="00BD7026">
        <w:rPr>
          <w:rStyle w:val="bodycopynumber"/>
          <w:rFonts w:asciiTheme="minorHAnsi" w:hAnsiTheme="minorHAnsi" w:cs="Arial"/>
          <w:b/>
          <w:color w:val="4747FF"/>
          <w:sz w:val="22"/>
          <w:szCs w:val="22"/>
        </w:rPr>
        <w:t>(</w:t>
      </w:r>
      <w:r w:rsidR="00CE35CD">
        <w:rPr>
          <w:rStyle w:val="bodycopynumber"/>
          <w:rFonts w:asciiTheme="minorHAnsi" w:hAnsiTheme="minorHAnsi" w:cs="Arial"/>
          <w:b/>
          <w:color w:val="4747FF"/>
          <w:sz w:val="22"/>
          <w:szCs w:val="22"/>
        </w:rPr>
        <w:t>charge</w:t>
      </w:r>
      <w:r w:rsidR="00BD7026">
        <w:rPr>
          <w:rStyle w:val="bodycopynumber"/>
          <w:rFonts w:asciiTheme="minorHAnsi" w:hAnsiTheme="minorHAnsi" w:cs="Arial"/>
          <w:b/>
          <w:color w:val="4747FF"/>
          <w:sz w:val="22"/>
          <w:szCs w:val="22"/>
        </w:rPr>
        <w:t>)</w:t>
      </w:r>
      <w:r w:rsidR="00EA718F">
        <w:rPr>
          <w:rStyle w:val="bodycopynumber"/>
          <w:rFonts w:asciiTheme="minorHAnsi" w:hAnsiTheme="minorHAnsi" w:cs="Arial"/>
          <w:b/>
          <w:color w:val="4747FF"/>
          <w:sz w:val="22"/>
          <w:szCs w:val="22"/>
        </w:rPr>
        <w:t>/</w:t>
      </w:r>
      <w:r w:rsidR="00BD7026">
        <w:rPr>
          <w:rStyle w:val="bodycopynumber"/>
          <w:rFonts w:asciiTheme="minorHAnsi" w:hAnsiTheme="minorHAnsi" w:cs="Arial"/>
          <w:b/>
          <w:color w:val="4747FF"/>
          <w:sz w:val="22"/>
          <w:szCs w:val="22"/>
        </w:rPr>
        <w:t>credit</w:t>
      </w:r>
    </w:p>
    <w:p w14:paraId="74C808AF" w14:textId="77777777" w:rsidR="00A1425C" w:rsidRPr="00701439" w:rsidRDefault="00A1425C" w:rsidP="00A1425C">
      <w:pPr>
        <w:jc w:val="both"/>
        <w:rPr>
          <w:rStyle w:val="bodycopynumber"/>
          <w:rFonts w:asciiTheme="minorHAnsi" w:hAnsiTheme="minorHAnsi" w:cs="Arial"/>
          <w:b/>
          <w:bCs/>
          <w:sz w:val="20"/>
        </w:rPr>
      </w:pPr>
    </w:p>
    <w:p w14:paraId="39021497" w14:textId="1BA57C12" w:rsidR="00A1425C" w:rsidRDefault="00A1425C" w:rsidP="00A1425C">
      <w:pPr>
        <w:ind w:left="180" w:hanging="180"/>
        <w:rPr>
          <w:rFonts w:asciiTheme="minorHAnsi" w:hAnsiTheme="minorHAnsi" w:cs="Arial"/>
          <w:sz w:val="20"/>
          <w:szCs w:val="20"/>
        </w:rPr>
      </w:pPr>
      <w:bookmarkStart w:id="9" w:name="_Hlk30751975"/>
      <w:r w:rsidRPr="00A36F5C">
        <w:rPr>
          <w:rFonts w:asciiTheme="minorHAnsi" w:hAnsiTheme="minorHAnsi" w:cs="Arial"/>
          <w:sz w:val="20"/>
          <w:szCs w:val="20"/>
        </w:rPr>
        <w:t xml:space="preserve">The tax </w:t>
      </w:r>
      <w:r w:rsidR="005D6883">
        <w:rPr>
          <w:rFonts w:asciiTheme="minorHAnsi" w:hAnsiTheme="minorHAnsi" w:cs="Arial"/>
          <w:sz w:val="20"/>
          <w:szCs w:val="20"/>
        </w:rPr>
        <w:t>(</w:t>
      </w:r>
      <w:r w:rsidR="00CE35CD">
        <w:rPr>
          <w:rFonts w:asciiTheme="minorHAnsi" w:hAnsiTheme="minorHAnsi" w:cs="Arial"/>
          <w:sz w:val="20"/>
          <w:szCs w:val="20"/>
        </w:rPr>
        <w:t>charge</w:t>
      </w:r>
      <w:r w:rsidR="005D6883">
        <w:rPr>
          <w:rFonts w:asciiTheme="minorHAnsi" w:hAnsiTheme="minorHAnsi" w:cs="Arial"/>
          <w:sz w:val="20"/>
          <w:szCs w:val="20"/>
        </w:rPr>
        <w:t>)/</w:t>
      </w:r>
      <w:r w:rsidR="00BF7880">
        <w:rPr>
          <w:rFonts w:asciiTheme="minorHAnsi" w:hAnsiTheme="minorHAnsi" w:cs="Arial"/>
          <w:sz w:val="20"/>
          <w:szCs w:val="20"/>
        </w:rPr>
        <w:t>credit</w:t>
      </w:r>
      <w:r w:rsidRPr="00A36F5C">
        <w:rPr>
          <w:rFonts w:asciiTheme="minorHAnsi" w:hAnsiTheme="minorHAnsi" w:cs="Arial"/>
          <w:sz w:val="20"/>
          <w:szCs w:val="20"/>
        </w:rPr>
        <w:t xml:space="preserve"> in the income statement is as follows:</w:t>
      </w:r>
    </w:p>
    <w:p w14:paraId="629B498D" w14:textId="77777777" w:rsidR="00573ADD" w:rsidRDefault="00573ADD" w:rsidP="00A1425C">
      <w:pPr>
        <w:ind w:left="180" w:hanging="180"/>
        <w:rPr>
          <w:rFonts w:asciiTheme="minorHAnsi" w:hAnsiTheme="minorHAnsi" w:cs="Arial"/>
          <w:sz w:val="20"/>
          <w:szCs w:val="20"/>
        </w:rPr>
      </w:pPr>
    </w:p>
    <w:tbl>
      <w:tblPr>
        <w:tblW w:w="9723" w:type="dxa"/>
        <w:tblLook w:val="0000" w:firstRow="0" w:lastRow="0" w:firstColumn="0" w:lastColumn="0" w:noHBand="0" w:noVBand="0"/>
      </w:tblPr>
      <w:tblGrid>
        <w:gridCol w:w="7260"/>
        <w:gridCol w:w="1304"/>
        <w:gridCol w:w="1159"/>
      </w:tblGrid>
      <w:tr w:rsidR="00573ADD" w:rsidRPr="00A36F5C" w14:paraId="7C4E6593" w14:textId="77777777" w:rsidTr="003B7755">
        <w:tc>
          <w:tcPr>
            <w:tcW w:w="7260" w:type="dxa"/>
            <w:tcBorders>
              <w:top w:val="nil"/>
              <w:left w:val="nil"/>
              <w:bottom w:val="nil"/>
              <w:right w:val="nil"/>
            </w:tcBorders>
            <w:vAlign w:val="bottom"/>
          </w:tcPr>
          <w:p w14:paraId="5EFAD6E8" w14:textId="77777777" w:rsidR="00573ADD" w:rsidRPr="00A36F5C" w:rsidRDefault="00573ADD">
            <w:pPr>
              <w:rPr>
                <w:rFonts w:asciiTheme="minorHAnsi" w:hAnsiTheme="minorHAnsi" w:cs="Arial"/>
                <w:sz w:val="20"/>
                <w:szCs w:val="20"/>
              </w:rPr>
            </w:pPr>
          </w:p>
        </w:tc>
        <w:tc>
          <w:tcPr>
            <w:tcW w:w="2463" w:type="dxa"/>
            <w:gridSpan w:val="2"/>
            <w:tcBorders>
              <w:top w:val="nil"/>
              <w:left w:val="nil"/>
              <w:right w:val="nil"/>
            </w:tcBorders>
            <w:vAlign w:val="bottom"/>
          </w:tcPr>
          <w:p w14:paraId="58136D21" w14:textId="77777777" w:rsidR="00573ADD" w:rsidRPr="002C53D8" w:rsidRDefault="00573ADD">
            <w:pPr>
              <w:jc w:val="center"/>
              <w:rPr>
                <w:rFonts w:asciiTheme="minorHAnsi" w:hAnsiTheme="minorHAnsi" w:cs="Arial"/>
                <w:bCs/>
                <w:sz w:val="20"/>
                <w:szCs w:val="20"/>
              </w:rPr>
            </w:pPr>
            <w:r w:rsidRPr="002C53D8">
              <w:rPr>
                <w:rFonts w:asciiTheme="minorHAnsi" w:hAnsiTheme="minorHAnsi" w:cs="Arial"/>
                <w:bCs/>
                <w:sz w:val="20"/>
                <w:szCs w:val="20"/>
              </w:rPr>
              <w:t>Six months ended 30 June</w:t>
            </w:r>
          </w:p>
        </w:tc>
      </w:tr>
      <w:tr w:rsidR="00573ADD" w:rsidRPr="00A36F5C" w14:paraId="7EE77645" w14:textId="77777777" w:rsidTr="003B7755">
        <w:tc>
          <w:tcPr>
            <w:tcW w:w="7260" w:type="dxa"/>
            <w:tcBorders>
              <w:top w:val="nil"/>
              <w:left w:val="nil"/>
              <w:bottom w:val="nil"/>
              <w:right w:val="nil"/>
            </w:tcBorders>
            <w:vAlign w:val="bottom"/>
          </w:tcPr>
          <w:p w14:paraId="669BA964" w14:textId="77777777" w:rsidR="00573ADD" w:rsidRPr="00A36F5C" w:rsidRDefault="00573ADD">
            <w:pPr>
              <w:rPr>
                <w:rFonts w:asciiTheme="minorHAnsi" w:hAnsiTheme="minorHAnsi" w:cs="Arial"/>
                <w:sz w:val="20"/>
                <w:szCs w:val="20"/>
              </w:rPr>
            </w:pPr>
          </w:p>
        </w:tc>
        <w:tc>
          <w:tcPr>
            <w:tcW w:w="1304" w:type="dxa"/>
            <w:tcBorders>
              <w:top w:val="nil"/>
              <w:left w:val="nil"/>
              <w:right w:val="nil"/>
            </w:tcBorders>
            <w:shd w:val="clear" w:color="auto" w:fill="F2F2F2" w:themeFill="background1" w:themeFillShade="F2"/>
            <w:vAlign w:val="bottom"/>
          </w:tcPr>
          <w:p w14:paraId="229A45E0" w14:textId="77777777" w:rsidR="00FB17B0" w:rsidRDefault="00573ADD" w:rsidP="00573ADD">
            <w:pPr>
              <w:jc w:val="right"/>
              <w:rPr>
                <w:rFonts w:asciiTheme="minorHAnsi" w:hAnsiTheme="minorHAnsi" w:cs="Arial"/>
                <w:b/>
                <w:sz w:val="20"/>
                <w:szCs w:val="20"/>
              </w:rPr>
            </w:pPr>
            <w:r w:rsidRPr="00C77A50">
              <w:rPr>
                <w:rFonts w:asciiTheme="minorHAnsi" w:hAnsiTheme="minorHAnsi" w:cs="Arial"/>
                <w:b/>
                <w:sz w:val="20"/>
                <w:szCs w:val="20"/>
              </w:rPr>
              <w:t>202</w:t>
            </w:r>
            <w:r>
              <w:rPr>
                <w:rFonts w:asciiTheme="minorHAnsi" w:hAnsiTheme="minorHAnsi" w:cs="Arial"/>
                <w:b/>
                <w:sz w:val="20"/>
                <w:szCs w:val="20"/>
              </w:rPr>
              <w:t>5</w:t>
            </w:r>
          </w:p>
          <w:p w14:paraId="2E31F5C5" w14:textId="3FB36ABA" w:rsidR="00573ADD" w:rsidRPr="00C77A50" w:rsidRDefault="00FB17B0" w:rsidP="00573ADD">
            <w:pPr>
              <w:jc w:val="right"/>
              <w:rPr>
                <w:rFonts w:asciiTheme="minorHAnsi" w:hAnsiTheme="minorHAnsi" w:cs="Arial"/>
                <w:b/>
                <w:sz w:val="20"/>
                <w:szCs w:val="20"/>
              </w:rPr>
            </w:pPr>
            <w:r w:rsidRPr="007F7783">
              <w:rPr>
                <w:rFonts w:asciiTheme="minorHAnsi" w:hAnsiTheme="minorHAnsi" w:cs="Arial"/>
                <w:b/>
                <w:sz w:val="20"/>
                <w:szCs w:val="20"/>
              </w:rPr>
              <w:t>unaudited</w:t>
            </w:r>
            <w:r w:rsidR="00573ADD" w:rsidRPr="00C77A50">
              <w:rPr>
                <w:rFonts w:asciiTheme="minorHAnsi" w:hAnsiTheme="minorHAnsi" w:cs="Arial"/>
                <w:b/>
                <w:sz w:val="20"/>
                <w:szCs w:val="20"/>
              </w:rPr>
              <w:t> </w:t>
            </w:r>
          </w:p>
        </w:tc>
        <w:tc>
          <w:tcPr>
            <w:tcW w:w="1159" w:type="dxa"/>
            <w:tcBorders>
              <w:top w:val="nil"/>
              <w:left w:val="nil"/>
              <w:right w:val="nil"/>
            </w:tcBorders>
            <w:vAlign w:val="bottom"/>
          </w:tcPr>
          <w:p w14:paraId="16D16BC0" w14:textId="77777777" w:rsidR="00FB17B0" w:rsidRDefault="00573ADD" w:rsidP="00573ADD">
            <w:pPr>
              <w:jc w:val="right"/>
              <w:rPr>
                <w:rFonts w:asciiTheme="minorHAnsi" w:hAnsiTheme="minorHAnsi" w:cs="Arial"/>
                <w:sz w:val="20"/>
                <w:szCs w:val="20"/>
              </w:rPr>
            </w:pPr>
            <w:r w:rsidRPr="00A36F5C">
              <w:rPr>
                <w:rFonts w:asciiTheme="minorHAnsi" w:hAnsiTheme="minorHAnsi" w:cs="Arial"/>
                <w:sz w:val="20"/>
                <w:szCs w:val="20"/>
              </w:rPr>
              <w:t>202</w:t>
            </w:r>
            <w:r>
              <w:rPr>
                <w:rFonts w:asciiTheme="minorHAnsi" w:hAnsiTheme="minorHAnsi" w:cs="Arial"/>
                <w:sz w:val="20"/>
                <w:szCs w:val="20"/>
              </w:rPr>
              <w:t>4</w:t>
            </w:r>
          </w:p>
          <w:p w14:paraId="34175A14" w14:textId="7A5059DD" w:rsidR="00573ADD" w:rsidRPr="00A36F5C" w:rsidRDefault="00FB17B0" w:rsidP="00573ADD">
            <w:pPr>
              <w:jc w:val="right"/>
              <w:rPr>
                <w:rFonts w:asciiTheme="minorHAnsi" w:hAnsiTheme="minorHAnsi" w:cs="Arial"/>
                <w:sz w:val="20"/>
                <w:szCs w:val="20"/>
              </w:rPr>
            </w:pPr>
            <w:r w:rsidRPr="00CA3EDF">
              <w:rPr>
                <w:rFonts w:asciiTheme="minorHAnsi" w:hAnsiTheme="minorHAnsi" w:cs="Arial"/>
                <w:bCs/>
                <w:sz w:val="20"/>
                <w:szCs w:val="20"/>
              </w:rPr>
              <w:t>unaudited</w:t>
            </w:r>
            <w:r w:rsidR="00573ADD" w:rsidRPr="00A36F5C">
              <w:rPr>
                <w:rFonts w:asciiTheme="minorHAnsi" w:hAnsiTheme="minorHAnsi" w:cs="Arial"/>
                <w:sz w:val="20"/>
                <w:szCs w:val="20"/>
              </w:rPr>
              <w:t> </w:t>
            </w:r>
          </w:p>
        </w:tc>
      </w:tr>
      <w:tr w:rsidR="00573ADD" w:rsidRPr="00A36F5C" w14:paraId="2A8ADC50" w14:textId="77777777" w:rsidTr="003B7755">
        <w:tc>
          <w:tcPr>
            <w:tcW w:w="7260" w:type="dxa"/>
            <w:tcBorders>
              <w:top w:val="nil"/>
              <w:left w:val="nil"/>
              <w:bottom w:val="nil"/>
              <w:right w:val="nil"/>
            </w:tcBorders>
            <w:vAlign w:val="bottom"/>
          </w:tcPr>
          <w:p w14:paraId="10B14070" w14:textId="77777777" w:rsidR="00573ADD" w:rsidRPr="00A36F5C" w:rsidRDefault="00573ADD">
            <w:pPr>
              <w:rPr>
                <w:rFonts w:asciiTheme="minorHAnsi" w:hAnsiTheme="minorHAnsi" w:cs="Arial"/>
                <w:sz w:val="20"/>
                <w:szCs w:val="20"/>
              </w:rPr>
            </w:pPr>
          </w:p>
        </w:tc>
        <w:tc>
          <w:tcPr>
            <w:tcW w:w="1304" w:type="dxa"/>
            <w:tcBorders>
              <w:top w:val="nil"/>
              <w:left w:val="nil"/>
              <w:bottom w:val="single" w:sz="4" w:space="0" w:color="auto"/>
              <w:right w:val="nil"/>
            </w:tcBorders>
            <w:shd w:val="clear" w:color="auto" w:fill="F2F2F2" w:themeFill="background1" w:themeFillShade="F2"/>
            <w:vAlign w:val="bottom"/>
          </w:tcPr>
          <w:p w14:paraId="7B01B677" w14:textId="77777777" w:rsidR="00573ADD" w:rsidRPr="00C77A50" w:rsidRDefault="00573ADD">
            <w:pPr>
              <w:jc w:val="right"/>
              <w:rPr>
                <w:rFonts w:asciiTheme="minorHAnsi" w:hAnsiTheme="minorHAnsi" w:cs="Arial"/>
                <w:b/>
                <w:sz w:val="20"/>
                <w:szCs w:val="20"/>
              </w:rPr>
            </w:pPr>
            <w:r w:rsidRPr="00C77A50">
              <w:rPr>
                <w:rFonts w:asciiTheme="minorHAnsi" w:hAnsiTheme="minorHAnsi" w:cs="Arial"/>
                <w:b/>
                <w:sz w:val="20"/>
                <w:szCs w:val="20"/>
              </w:rPr>
              <w:t>£m </w:t>
            </w:r>
          </w:p>
        </w:tc>
        <w:tc>
          <w:tcPr>
            <w:tcW w:w="1159" w:type="dxa"/>
            <w:tcBorders>
              <w:top w:val="nil"/>
              <w:left w:val="nil"/>
              <w:bottom w:val="single" w:sz="4" w:space="0" w:color="auto"/>
              <w:right w:val="nil"/>
            </w:tcBorders>
            <w:vAlign w:val="bottom"/>
          </w:tcPr>
          <w:p w14:paraId="0BC1F2C3" w14:textId="77777777" w:rsidR="00573ADD" w:rsidRPr="00A36F5C" w:rsidRDefault="00573ADD">
            <w:pPr>
              <w:jc w:val="right"/>
              <w:rPr>
                <w:rFonts w:asciiTheme="minorHAnsi" w:hAnsiTheme="minorHAnsi" w:cs="Arial"/>
                <w:sz w:val="20"/>
                <w:szCs w:val="20"/>
              </w:rPr>
            </w:pPr>
            <w:r w:rsidRPr="00A36F5C">
              <w:rPr>
                <w:rFonts w:asciiTheme="minorHAnsi" w:hAnsiTheme="minorHAnsi" w:cs="Arial"/>
                <w:sz w:val="20"/>
                <w:szCs w:val="20"/>
              </w:rPr>
              <w:t>£m </w:t>
            </w:r>
          </w:p>
        </w:tc>
      </w:tr>
      <w:tr w:rsidR="00573ADD" w:rsidRPr="00A36F5C" w14:paraId="54CB2B58" w14:textId="77777777" w:rsidTr="003B7755">
        <w:tc>
          <w:tcPr>
            <w:tcW w:w="7260" w:type="dxa"/>
            <w:tcBorders>
              <w:top w:val="nil"/>
              <w:left w:val="nil"/>
              <w:bottom w:val="nil"/>
              <w:right w:val="nil"/>
            </w:tcBorders>
            <w:vAlign w:val="bottom"/>
          </w:tcPr>
          <w:p w14:paraId="2C32A8C1" w14:textId="0E385C75" w:rsidR="00573ADD" w:rsidRPr="00A36F5C" w:rsidRDefault="00AE1B19">
            <w:pPr>
              <w:rPr>
                <w:rFonts w:asciiTheme="minorHAnsi" w:hAnsiTheme="minorHAnsi" w:cs="Poppins-Light"/>
                <w:sz w:val="20"/>
                <w:szCs w:val="20"/>
              </w:rPr>
            </w:pPr>
            <w:r>
              <w:rPr>
                <w:rFonts w:asciiTheme="minorHAnsi" w:hAnsiTheme="minorHAnsi" w:cs="Poppins-Light"/>
                <w:sz w:val="20"/>
                <w:szCs w:val="20"/>
              </w:rPr>
              <w:t>Tax (charge)/credit on p</w:t>
            </w:r>
            <w:r w:rsidR="00AB4F89">
              <w:rPr>
                <w:rFonts w:asciiTheme="minorHAnsi" w:hAnsiTheme="minorHAnsi" w:cs="Poppins-Light"/>
                <w:sz w:val="20"/>
                <w:szCs w:val="20"/>
              </w:rPr>
              <w:t>rofit/(loss) from continuing operations</w:t>
            </w:r>
          </w:p>
        </w:tc>
        <w:tc>
          <w:tcPr>
            <w:tcW w:w="1304" w:type="dxa"/>
            <w:tcBorders>
              <w:left w:val="nil"/>
              <w:right w:val="nil"/>
            </w:tcBorders>
            <w:shd w:val="clear" w:color="auto" w:fill="F2F2F2" w:themeFill="background1" w:themeFillShade="F2"/>
            <w:vAlign w:val="bottom"/>
          </w:tcPr>
          <w:p w14:paraId="2E80B6BA" w14:textId="07D94E79" w:rsidR="00573ADD" w:rsidRPr="006D4208" w:rsidRDefault="006D6D7D">
            <w:pPr>
              <w:jc w:val="right"/>
              <w:rPr>
                <w:rFonts w:asciiTheme="minorHAnsi" w:hAnsiTheme="minorHAnsi" w:cs="Arial"/>
                <w:b/>
                <w:sz w:val="20"/>
                <w:szCs w:val="20"/>
              </w:rPr>
            </w:pPr>
            <w:r>
              <w:rPr>
                <w:rFonts w:asciiTheme="minorHAnsi" w:hAnsiTheme="minorHAnsi" w:cs="Arial"/>
                <w:b/>
                <w:sz w:val="20"/>
                <w:szCs w:val="20"/>
              </w:rPr>
              <w:t>(</w:t>
            </w:r>
            <w:r w:rsidR="008B0DFF">
              <w:rPr>
                <w:rFonts w:asciiTheme="minorHAnsi" w:hAnsiTheme="minorHAnsi" w:cs="Arial"/>
                <w:b/>
                <w:sz w:val="20"/>
                <w:szCs w:val="20"/>
              </w:rPr>
              <w:t>1.3</w:t>
            </w:r>
            <w:r>
              <w:rPr>
                <w:rFonts w:asciiTheme="minorHAnsi" w:hAnsiTheme="minorHAnsi" w:cs="Arial"/>
                <w:b/>
                <w:sz w:val="20"/>
                <w:szCs w:val="20"/>
              </w:rPr>
              <w:t>)</w:t>
            </w:r>
          </w:p>
        </w:tc>
        <w:tc>
          <w:tcPr>
            <w:tcW w:w="1159" w:type="dxa"/>
            <w:tcBorders>
              <w:left w:val="nil"/>
              <w:right w:val="nil"/>
            </w:tcBorders>
            <w:vAlign w:val="bottom"/>
          </w:tcPr>
          <w:p w14:paraId="1AEEC368" w14:textId="15FA94AF" w:rsidR="00573ADD" w:rsidRPr="006D6D7D" w:rsidRDefault="00A63302">
            <w:pPr>
              <w:spacing w:line="259" w:lineRule="auto"/>
              <w:jc w:val="right"/>
              <w:rPr>
                <w:rFonts w:asciiTheme="minorHAnsi" w:hAnsiTheme="minorHAnsi" w:cs="Arial"/>
                <w:sz w:val="20"/>
                <w:szCs w:val="20"/>
              </w:rPr>
            </w:pPr>
            <w:r w:rsidRPr="006D6D7D">
              <w:rPr>
                <w:rFonts w:asciiTheme="minorHAnsi" w:hAnsiTheme="minorHAnsi" w:cs="Arial"/>
                <w:sz w:val="20"/>
                <w:szCs w:val="20"/>
              </w:rPr>
              <w:t>10.6</w:t>
            </w:r>
          </w:p>
        </w:tc>
      </w:tr>
      <w:tr w:rsidR="00573ADD" w:rsidRPr="00A36F5C" w14:paraId="6FA89802" w14:textId="77777777" w:rsidTr="003B7755">
        <w:tc>
          <w:tcPr>
            <w:tcW w:w="7260" w:type="dxa"/>
            <w:tcBorders>
              <w:top w:val="nil"/>
              <w:left w:val="nil"/>
              <w:bottom w:val="nil"/>
              <w:right w:val="nil"/>
            </w:tcBorders>
            <w:vAlign w:val="bottom"/>
          </w:tcPr>
          <w:p w14:paraId="1313F843" w14:textId="233F9E51" w:rsidR="00573ADD" w:rsidRPr="00A36F5C" w:rsidRDefault="00AE1B19">
            <w:pPr>
              <w:rPr>
                <w:rFonts w:asciiTheme="minorHAnsi" w:hAnsiTheme="minorHAnsi" w:cs="Poppins-Light"/>
                <w:sz w:val="20"/>
                <w:szCs w:val="20"/>
              </w:rPr>
            </w:pPr>
            <w:r>
              <w:rPr>
                <w:rFonts w:asciiTheme="minorHAnsi" w:hAnsiTheme="minorHAnsi" w:cs="Poppins-Light"/>
                <w:sz w:val="20"/>
                <w:szCs w:val="20"/>
              </w:rPr>
              <w:t xml:space="preserve">Tax (charge)/credit </w:t>
            </w:r>
            <w:r w:rsidR="00F57133">
              <w:rPr>
                <w:rFonts w:asciiTheme="minorHAnsi" w:hAnsiTheme="minorHAnsi" w:cs="Poppins-Light"/>
                <w:sz w:val="20"/>
                <w:szCs w:val="20"/>
              </w:rPr>
              <w:t xml:space="preserve">on </w:t>
            </w:r>
            <w:r>
              <w:rPr>
                <w:rFonts w:asciiTheme="minorHAnsi" w:hAnsiTheme="minorHAnsi" w:cs="Poppins-Light"/>
                <w:sz w:val="20"/>
                <w:szCs w:val="20"/>
              </w:rPr>
              <w:t>p</w:t>
            </w:r>
            <w:r w:rsidR="001E00A6" w:rsidRPr="00050064">
              <w:rPr>
                <w:rFonts w:asciiTheme="minorHAnsi" w:hAnsiTheme="minorHAnsi" w:cs="Poppins-Light"/>
                <w:sz w:val="20"/>
                <w:szCs w:val="20"/>
              </w:rPr>
              <w:t>rofit/(loss</w:t>
            </w:r>
            <w:r w:rsidR="001E00A6">
              <w:rPr>
                <w:rFonts w:asciiTheme="minorHAnsi" w:hAnsiTheme="minorHAnsi" w:cs="Poppins-Light"/>
                <w:sz w:val="20"/>
                <w:szCs w:val="20"/>
              </w:rPr>
              <w:t>) from discontinued operations</w:t>
            </w:r>
          </w:p>
        </w:tc>
        <w:tc>
          <w:tcPr>
            <w:tcW w:w="1304" w:type="dxa"/>
            <w:tcBorders>
              <w:left w:val="nil"/>
              <w:right w:val="nil"/>
            </w:tcBorders>
            <w:shd w:val="clear" w:color="auto" w:fill="F2F2F2" w:themeFill="background1" w:themeFillShade="F2"/>
            <w:vAlign w:val="bottom"/>
          </w:tcPr>
          <w:p w14:paraId="0027E58E" w14:textId="51BBC329" w:rsidR="00573ADD" w:rsidRPr="006D4208" w:rsidRDefault="006D6D7D">
            <w:pPr>
              <w:jc w:val="right"/>
              <w:rPr>
                <w:rFonts w:asciiTheme="minorHAnsi" w:hAnsiTheme="minorHAnsi" w:cs="Arial"/>
                <w:b/>
                <w:sz w:val="20"/>
                <w:szCs w:val="20"/>
              </w:rPr>
            </w:pPr>
            <w:r>
              <w:rPr>
                <w:rFonts w:asciiTheme="minorHAnsi" w:hAnsiTheme="minorHAnsi" w:cs="Arial"/>
                <w:b/>
                <w:sz w:val="20"/>
                <w:szCs w:val="20"/>
              </w:rPr>
              <w:t>(</w:t>
            </w:r>
            <w:r w:rsidR="008B0DFF">
              <w:rPr>
                <w:rFonts w:asciiTheme="minorHAnsi" w:hAnsiTheme="minorHAnsi" w:cs="Arial"/>
                <w:b/>
                <w:sz w:val="20"/>
                <w:szCs w:val="20"/>
              </w:rPr>
              <w:t>0.2</w:t>
            </w:r>
            <w:r>
              <w:rPr>
                <w:rFonts w:asciiTheme="minorHAnsi" w:hAnsiTheme="minorHAnsi" w:cs="Arial"/>
                <w:b/>
                <w:sz w:val="20"/>
                <w:szCs w:val="20"/>
              </w:rPr>
              <w:t>)</w:t>
            </w:r>
          </w:p>
        </w:tc>
        <w:tc>
          <w:tcPr>
            <w:tcW w:w="1159" w:type="dxa"/>
            <w:tcBorders>
              <w:left w:val="nil"/>
              <w:right w:val="nil"/>
            </w:tcBorders>
            <w:vAlign w:val="bottom"/>
          </w:tcPr>
          <w:p w14:paraId="159E2971" w14:textId="7F00F9E1" w:rsidR="00573ADD" w:rsidRPr="006D6D7D" w:rsidRDefault="00A63302">
            <w:pPr>
              <w:jc w:val="right"/>
              <w:rPr>
                <w:rFonts w:asciiTheme="minorHAnsi" w:hAnsiTheme="minorHAnsi" w:cs="Arial"/>
                <w:sz w:val="20"/>
                <w:szCs w:val="20"/>
              </w:rPr>
            </w:pPr>
            <w:r w:rsidRPr="006D6D7D">
              <w:rPr>
                <w:rFonts w:asciiTheme="minorHAnsi" w:hAnsiTheme="minorHAnsi" w:cs="Arial"/>
                <w:sz w:val="20"/>
                <w:szCs w:val="20"/>
              </w:rPr>
              <w:t>0.1</w:t>
            </w:r>
          </w:p>
        </w:tc>
      </w:tr>
      <w:tr w:rsidR="00573ADD" w:rsidRPr="00701439" w14:paraId="084C717D" w14:textId="77777777" w:rsidTr="003B7755">
        <w:tc>
          <w:tcPr>
            <w:tcW w:w="7260" w:type="dxa"/>
            <w:tcBorders>
              <w:top w:val="nil"/>
              <w:left w:val="nil"/>
              <w:bottom w:val="nil"/>
              <w:right w:val="nil"/>
            </w:tcBorders>
            <w:vAlign w:val="bottom"/>
          </w:tcPr>
          <w:p w14:paraId="31DC89A2" w14:textId="1B4E49C0" w:rsidR="00573ADD" w:rsidRPr="00A36F5C" w:rsidRDefault="00573ADD">
            <w:pPr>
              <w:rPr>
                <w:rFonts w:asciiTheme="minorHAnsi" w:hAnsiTheme="minorHAnsi" w:cs="Arial"/>
                <w:b/>
                <w:sz w:val="20"/>
                <w:szCs w:val="20"/>
              </w:rPr>
            </w:pPr>
            <w:r w:rsidRPr="00A36F5C">
              <w:rPr>
                <w:rFonts w:asciiTheme="minorHAnsi" w:hAnsiTheme="minorHAnsi" w:cs="Arial"/>
                <w:b/>
                <w:sz w:val="20"/>
                <w:szCs w:val="20"/>
              </w:rPr>
              <w:t xml:space="preserve">Total </w:t>
            </w:r>
            <w:r>
              <w:rPr>
                <w:rFonts w:asciiTheme="minorHAnsi" w:hAnsiTheme="minorHAnsi" w:cs="Arial"/>
                <w:b/>
                <w:sz w:val="20"/>
                <w:szCs w:val="20"/>
              </w:rPr>
              <w:t xml:space="preserve">tax </w:t>
            </w:r>
            <w:r w:rsidR="001E00A6">
              <w:rPr>
                <w:rFonts w:asciiTheme="minorHAnsi" w:hAnsiTheme="minorHAnsi" w:cs="Arial"/>
                <w:b/>
                <w:sz w:val="20"/>
                <w:szCs w:val="20"/>
              </w:rPr>
              <w:t>(charge)/</w:t>
            </w:r>
            <w:r>
              <w:rPr>
                <w:rFonts w:asciiTheme="minorHAnsi" w:hAnsiTheme="minorHAnsi" w:cs="Arial"/>
                <w:b/>
                <w:sz w:val="20"/>
                <w:szCs w:val="20"/>
              </w:rPr>
              <w:t>credit</w:t>
            </w:r>
          </w:p>
        </w:tc>
        <w:tc>
          <w:tcPr>
            <w:tcW w:w="1304" w:type="dxa"/>
            <w:tcBorders>
              <w:top w:val="single" w:sz="4" w:space="0" w:color="auto"/>
              <w:left w:val="nil"/>
              <w:bottom w:val="single" w:sz="12" w:space="0" w:color="auto"/>
              <w:right w:val="nil"/>
            </w:tcBorders>
            <w:shd w:val="clear" w:color="auto" w:fill="F2F2F2" w:themeFill="background1" w:themeFillShade="F2"/>
            <w:vAlign w:val="bottom"/>
          </w:tcPr>
          <w:p w14:paraId="7498D01C" w14:textId="0D8AA36D" w:rsidR="00573ADD" w:rsidRPr="006D4208" w:rsidRDefault="006D6D7D">
            <w:pPr>
              <w:jc w:val="right"/>
              <w:rPr>
                <w:rFonts w:asciiTheme="minorHAnsi" w:hAnsiTheme="minorHAnsi" w:cs="Arial"/>
                <w:b/>
                <w:sz w:val="20"/>
                <w:szCs w:val="20"/>
              </w:rPr>
            </w:pPr>
            <w:r>
              <w:rPr>
                <w:rFonts w:asciiTheme="minorHAnsi" w:hAnsiTheme="minorHAnsi" w:cs="Arial"/>
                <w:b/>
                <w:sz w:val="20"/>
                <w:szCs w:val="20"/>
              </w:rPr>
              <w:t>(</w:t>
            </w:r>
            <w:r w:rsidR="008B0DFF">
              <w:rPr>
                <w:rFonts w:asciiTheme="minorHAnsi" w:hAnsiTheme="minorHAnsi" w:cs="Arial"/>
                <w:b/>
                <w:sz w:val="20"/>
                <w:szCs w:val="20"/>
              </w:rPr>
              <w:t>1.5</w:t>
            </w:r>
            <w:r>
              <w:rPr>
                <w:rFonts w:asciiTheme="minorHAnsi" w:hAnsiTheme="minorHAnsi" w:cs="Arial"/>
                <w:b/>
                <w:sz w:val="20"/>
                <w:szCs w:val="20"/>
              </w:rPr>
              <w:t>)</w:t>
            </w:r>
          </w:p>
        </w:tc>
        <w:tc>
          <w:tcPr>
            <w:tcW w:w="1159" w:type="dxa"/>
            <w:tcBorders>
              <w:top w:val="single" w:sz="4" w:space="0" w:color="auto"/>
              <w:left w:val="nil"/>
              <w:bottom w:val="single" w:sz="12" w:space="0" w:color="auto"/>
              <w:right w:val="nil"/>
            </w:tcBorders>
            <w:vAlign w:val="bottom"/>
          </w:tcPr>
          <w:p w14:paraId="2574AE38" w14:textId="5F805CC2" w:rsidR="00573ADD" w:rsidRPr="006D4208" w:rsidRDefault="0036060D">
            <w:pPr>
              <w:spacing w:line="259" w:lineRule="auto"/>
              <w:jc w:val="right"/>
              <w:rPr>
                <w:rFonts w:ascii="Calibri" w:eastAsia="Calibri" w:hAnsi="Calibri" w:cs="Calibri"/>
                <w:sz w:val="20"/>
                <w:szCs w:val="20"/>
              </w:rPr>
            </w:pPr>
            <w:r>
              <w:rPr>
                <w:rFonts w:ascii="Calibri" w:eastAsia="Calibri" w:hAnsi="Calibri" w:cs="Calibri"/>
                <w:sz w:val="20"/>
                <w:szCs w:val="20"/>
              </w:rPr>
              <w:t>10.7</w:t>
            </w:r>
          </w:p>
        </w:tc>
      </w:tr>
    </w:tbl>
    <w:p w14:paraId="0C3817EF" w14:textId="77777777" w:rsidR="00573ADD" w:rsidRDefault="00573ADD" w:rsidP="00A1425C">
      <w:pPr>
        <w:ind w:left="180" w:hanging="180"/>
        <w:rPr>
          <w:rFonts w:asciiTheme="minorHAnsi" w:hAnsiTheme="minorHAnsi" w:cs="Arial"/>
          <w:sz w:val="20"/>
          <w:szCs w:val="20"/>
        </w:rPr>
      </w:pPr>
    </w:p>
    <w:p w14:paraId="38212C95" w14:textId="79006E5A" w:rsidR="00CA52E1" w:rsidRPr="005059BF" w:rsidRDefault="00CA52E1" w:rsidP="00CA52E1">
      <w:pPr>
        <w:autoSpaceDE w:val="0"/>
        <w:autoSpaceDN w:val="0"/>
        <w:adjustRightInd w:val="0"/>
        <w:jc w:val="both"/>
        <w:rPr>
          <w:rFonts w:asciiTheme="minorHAnsi" w:hAnsiTheme="minorHAnsi" w:cstheme="minorHAnsi"/>
          <w:sz w:val="20"/>
          <w:szCs w:val="20"/>
        </w:rPr>
      </w:pPr>
      <w:r w:rsidRPr="005059BF">
        <w:rPr>
          <w:rFonts w:asciiTheme="minorHAnsi" w:hAnsiTheme="minorHAnsi" w:cstheme="minorHAnsi"/>
          <w:sz w:val="20"/>
          <w:szCs w:val="20"/>
        </w:rPr>
        <w:t xml:space="preserve">The tax </w:t>
      </w:r>
      <w:r w:rsidR="005059BF" w:rsidRPr="005059BF">
        <w:rPr>
          <w:rFonts w:asciiTheme="minorHAnsi" w:hAnsiTheme="minorHAnsi" w:cstheme="minorHAnsi"/>
          <w:sz w:val="20"/>
          <w:szCs w:val="20"/>
        </w:rPr>
        <w:t>(</w:t>
      </w:r>
      <w:r w:rsidRPr="005059BF">
        <w:rPr>
          <w:rFonts w:asciiTheme="minorHAnsi" w:hAnsiTheme="minorHAnsi" w:cstheme="minorHAnsi"/>
          <w:sz w:val="20"/>
          <w:szCs w:val="20"/>
        </w:rPr>
        <w:t>charge</w:t>
      </w:r>
      <w:r w:rsidR="005059BF" w:rsidRPr="005059BF">
        <w:rPr>
          <w:rFonts w:asciiTheme="minorHAnsi" w:hAnsiTheme="minorHAnsi" w:cstheme="minorHAnsi"/>
          <w:sz w:val="20"/>
          <w:szCs w:val="20"/>
        </w:rPr>
        <w:t xml:space="preserve">)/credit </w:t>
      </w:r>
      <w:r w:rsidRPr="005059BF">
        <w:rPr>
          <w:rFonts w:asciiTheme="minorHAnsi" w:hAnsiTheme="minorHAnsi" w:cstheme="minorHAnsi"/>
          <w:sz w:val="20"/>
          <w:szCs w:val="20"/>
        </w:rPr>
        <w:t>on profit</w:t>
      </w:r>
      <w:r w:rsidR="005059BF" w:rsidRPr="005059BF">
        <w:rPr>
          <w:rFonts w:asciiTheme="minorHAnsi" w:hAnsiTheme="minorHAnsi" w:cstheme="minorHAnsi"/>
          <w:sz w:val="20"/>
          <w:szCs w:val="20"/>
        </w:rPr>
        <w:t>/(loss)</w:t>
      </w:r>
      <w:r w:rsidRPr="005059BF">
        <w:rPr>
          <w:rFonts w:asciiTheme="minorHAnsi" w:hAnsiTheme="minorHAnsi" w:cstheme="minorHAnsi"/>
          <w:sz w:val="20"/>
          <w:szCs w:val="20"/>
        </w:rPr>
        <w:t xml:space="preserve"> before tax has been calculated by:</w:t>
      </w:r>
    </w:p>
    <w:p w14:paraId="6BB82EFC" w14:textId="77777777" w:rsidR="00CA52E1" w:rsidRPr="005059BF" w:rsidRDefault="00CA52E1" w:rsidP="00CA52E1">
      <w:pPr>
        <w:pStyle w:val="ListParagraph"/>
        <w:autoSpaceDE w:val="0"/>
        <w:autoSpaceDN w:val="0"/>
        <w:adjustRightInd w:val="0"/>
        <w:jc w:val="both"/>
        <w:rPr>
          <w:rFonts w:asciiTheme="minorHAnsi" w:hAnsiTheme="minorHAnsi" w:cstheme="minorHAnsi"/>
          <w:sz w:val="20"/>
          <w:szCs w:val="20"/>
        </w:rPr>
      </w:pPr>
    </w:p>
    <w:p w14:paraId="13EF781B" w14:textId="77777777" w:rsidR="00CA52E1" w:rsidRPr="005059BF" w:rsidRDefault="00CA52E1" w:rsidP="00CA52E1">
      <w:pPr>
        <w:pStyle w:val="ListParagraph"/>
        <w:numPr>
          <w:ilvl w:val="0"/>
          <w:numId w:val="40"/>
        </w:numPr>
        <w:autoSpaceDE w:val="0"/>
        <w:autoSpaceDN w:val="0"/>
        <w:adjustRightInd w:val="0"/>
        <w:jc w:val="both"/>
        <w:rPr>
          <w:rFonts w:asciiTheme="minorHAnsi" w:hAnsiTheme="minorHAnsi" w:cstheme="minorHAnsi"/>
          <w:sz w:val="20"/>
          <w:szCs w:val="20"/>
        </w:rPr>
      </w:pPr>
      <w:r w:rsidRPr="005059BF">
        <w:rPr>
          <w:rFonts w:asciiTheme="minorHAnsi" w:hAnsiTheme="minorHAnsi" w:cstheme="minorHAnsi"/>
          <w:sz w:val="20"/>
          <w:szCs w:val="20"/>
        </w:rPr>
        <w:t xml:space="preserve">calculating the best estimate of the effective tax rate for each business for the financial year, excluding revaluations of deferred tax assets; </w:t>
      </w:r>
    </w:p>
    <w:p w14:paraId="64DF4F57" w14:textId="77777777" w:rsidR="00CA52E1" w:rsidRPr="005059BF" w:rsidRDefault="00CA52E1" w:rsidP="00CA52E1">
      <w:pPr>
        <w:pStyle w:val="ListParagraph"/>
        <w:numPr>
          <w:ilvl w:val="0"/>
          <w:numId w:val="40"/>
        </w:numPr>
        <w:autoSpaceDE w:val="0"/>
        <w:autoSpaceDN w:val="0"/>
        <w:adjustRightInd w:val="0"/>
        <w:jc w:val="both"/>
        <w:rPr>
          <w:rFonts w:asciiTheme="minorHAnsi" w:hAnsiTheme="minorHAnsi" w:cstheme="minorHAnsi"/>
          <w:sz w:val="20"/>
          <w:szCs w:val="20"/>
        </w:rPr>
      </w:pPr>
      <w:r w:rsidRPr="005059BF">
        <w:rPr>
          <w:rFonts w:asciiTheme="minorHAnsi" w:hAnsiTheme="minorHAnsi" w:cstheme="minorHAnsi"/>
          <w:sz w:val="20"/>
          <w:szCs w:val="20"/>
        </w:rPr>
        <w:t>applying this to the profit/(loss) before tax for the relevant business for the period and aggregating the resultant amount; and</w:t>
      </w:r>
    </w:p>
    <w:p w14:paraId="1C6CDB92" w14:textId="76A50156" w:rsidR="00CE7C98" w:rsidRPr="00B5640B" w:rsidRDefault="00CA52E1" w:rsidP="00CA52E1">
      <w:pPr>
        <w:pStyle w:val="ListParagraph"/>
        <w:numPr>
          <w:ilvl w:val="0"/>
          <w:numId w:val="40"/>
        </w:numPr>
        <w:autoSpaceDE w:val="0"/>
        <w:autoSpaceDN w:val="0"/>
        <w:adjustRightInd w:val="0"/>
        <w:jc w:val="both"/>
        <w:rPr>
          <w:rFonts w:asciiTheme="minorHAnsi" w:hAnsiTheme="minorHAnsi" w:cstheme="minorHAnsi"/>
          <w:sz w:val="20"/>
          <w:szCs w:val="20"/>
        </w:rPr>
      </w:pPr>
      <w:r w:rsidRPr="005059BF">
        <w:rPr>
          <w:rFonts w:asciiTheme="minorHAnsi" w:hAnsiTheme="minorHAnsi" w:cstheme="minorHAnsi"/>
          <w:sz w:val="20"/>
          <w:szCs w:val="20"/>
        </w:rPr>
        <w:t>adding to this the revaluations of deferred tax assets in respect of share scheme awards where tax deductions are expected to be higher than (1H24: lower than) previously expected.</w:t>
      </w:r>
    </w:p>
    <w:p w14:paraId="309B4779" w14:textId="77777777" w:rsidR="00CE7C98" w:rsidRDefault="00CE7C98" w:rsidP="00CA52E1">
      <w:pPr>
        <w:autoSpaceDE w:val="0"/>
        <w:autoSpaceDN w:val="0"/>
        <w:adjustRightInd w:val="0"/>
        <w:jc w:val="both"/>
        <w:rPr>
          <w:rFonts w:asciiTheme="minorHAnsi" w:hAnsiTheme="minorHAnsi" w:cstheme="minorBidi"/>
          <w:sz w:val="20"/>
          <w:szCs w:val="20"/>
        </w:rPr>
      </w:pPr>
    </w:p>
    <w:p w14:paraId="4A4CC288" w14:textId="4DAF5E54" w:rsidR="00CA52E1" w:rsidRPr="005059BF" w:rsidRDefault="00CA52E1" w:rsidP="00CA52E1">
      <w:pPr>
        <w:autoSpaceDE w:val="0"/>
        <w:autoSpaceDN w:val="0"/>
        <w:adjustRightInd w:val="0"/>
        <w:jc w:val="both"/>
        <w:rPr>
          <w:rFonts w:asciiTheme="minorHAnsi" w:hAnsiTheme="minorHAnsi" w:cstheme="minorBidi"/>
          <w:sz w:val="20"/>
          <w:szCs w:val="20"/>
        </w:rPr>
      </w:pPr>
      <w:r w:rsidRPr="005059BF">
        <w:rPr>
          <w:rFonts w:asciiTheme="minorHAnsi" w:hAnsiTheme="minorHAnsi" w:cstheme="minorBidi"/>
          <w:sz w:val="20"/>
          <w:szCs w:val="20"/>
        </w:rPr>
        <w:t xml:space="preserve">The tax </w:t>
      </w:r>
      <w:r w:rsidR="001E4553">
        <w:rPr>
          <w:rFonts w:asciiTheme="minorHAnsi" w:hAnsiTheme="minorHAnsi" w:cstheme="minorBidi"/>
          <w:sz w:val="20"/>
          <w:szCs w:val="20"/>
        </w:rPr>
        <w:t>(</w:t>
      </w:r>
      <w:r w:rsidRPr="005059BF">
        <w:rPr>
          <w:rFonts w:asciiTheme="minorHAnsi" w:hAnsiTheme="minorHAnsi" w:cstheme="minorBidi"/>
          <w:sz w:val="20"/>
          <w:szCs w:val="20"/>
        </w:rPr>
        <w:t>charge</w:t>
      </w:r>
      <w:r w:rsidR="001E4553">
        <w:rPr>
          <w:rFonts w:asciiTheme="minorHAnsi" w:hAnsiTheme="minorHAnsi" w:cstheme="minorBidi"/>
          <w:sz w:val="20"/>
          <w:szCs w:val="20"/>
        </w:rPr>
        <w:t>)</w:t>
      </w:r>
      <w:r w:rsidRPr="005059BF">
        <w:rPr>
          <w:rFonts w:asciiTheme="minorHAnsi" w:hAnsiTheme="minorHAnsi" w:cstheme="minorBidi"/>
          <w:sz w:val="20"/>
          <w:szCs w:val="20"/>
        </w:rPr>
        <w:t>/credit reflects:</w:t>
      </w:r>
    </w:p>
    <w:p w14:paraId="7DCFC32E" w14:textId="77777777" w:rsidR="00CA52E1" w:rsidRPr="005059BF" w:rsidRDefault="00CA52E1" w:rsidP="00CA52E1">
      <w:pPr>
        <w:autoSpaceDE w:val="0"/>
        <w:autoSpaceDN w:val="0"/>
        <w:adjustRightInd w:val="0"/>
        <w:jc w:val="both"/>
        <w:rPr>
          <w:rFonts w:asciiTheme="minorHAnsi" w:hAnsiTheme="minorHAnsi" w:cstheme="minorHAnsi"/>
          <w:sz w:val="20"/>
          <w:szCs w:val="20"/>
        </w:rPr>
      </w:pPr>
    </w:p>
    <w:p w14:paraId="267FAB81" w14:textId="77777777" w:rsidR="00CA52E1" w:rsidRPr="005059BF" w:rsidRDefault="00CA52E1" w:rsidP="00CA52E1">
      <w:pPr>
        <w:pStyle w:val="ListParagraph"/>
        <w:numPr>
          <w:ilvl w:val="0"/>
          <w:numId w:val="39"/>
        </w:numPr>
        <w:jc w:val="both"/>
        <w:rPr>
          <w:rFonts w:asciiTheme="minorHAnsi" w:hAnsiTheme="minorHAnsi" w:cstheme="minorHAnsi"/>
          <w:sz w:val="20"/>
          <w:szCs w:val="20"/>
        </w:rPr>
      </w:pPr>
      <w:r w:rsidRPr="005059BF">
        <w:rPr>
          <w:rFonts w:asciiTheme="minorHAnsi" w:hAnsiTheme="minorHAnsi" w:cstheme="minorHAnsi"/>
          <w:sz w:val="20"/>
          <w:szCs w:val="20"/>
        </w:rPr>
        <w:t>the beneficial (1H24: adverse) impact of revaluing deferred tax assets in respect of share scheme awards where tax deductions are expected to be higher than (1H24: lower than) previously expected; and</w:t>
      </w:r>
    </w:p>
    <w:p w14:paraId="0AE34E01" w14:textId="77777777" w:rsidR="00CA52E1" w:rsidRPr="005059BF" w:rsidRDefault="00CA52E1" w:rsidP="00CA52E1">
      <w:pPr>
        <w:pStyle w:val="ListParagraph"/>
        <w:numPr>
          <w:ilvl w:val="0"/>
          <w:numId w:val="39"/>
        </w:numPr>
        <w:autoSpaceDE w:val="0"/>
        <w:autoSpaceDN w:val="0"/>
        <w:adjustRightInd w:val="0"/>
        <w:jc w:val="both"/>
        <w:rPr>
          <w:rFonts w:asciiTheme="minorHAnsi" w:hAnsiTheme="minorHAnsi" w:cstheme="minorHAnsi"/>
          <w:sz w:val="20"/>
          <w:szCs w:val="20"/>
        </w:rPr>
      </w:pPr>
      <w:r w:rsidRPr="005059BF">
        <w:rPr>
          <w:rFonts w:asciiTheme="minorHAnsi" w:hAnsiTheme="minorHAnsi" w:cstheme="minorHAnsi"/>
          <w:sz w:val="20"/>
          <w:szCs w:val="20"/>
        </w:rPr>
        <w:t>the recognition of deferred tax assets in respect of carried forward tax losses, apart from pre-acquisition losses in Snoop, and other temporary differences on the basis the Group expects to have sufficient taxable profits in the future to enable such deferred tax assets to be recovered.</w:t>
      </w:r>
    </w:p>
    <w:bookmarkEnd w:id="9"/>
    <w:p w14:paraId="0F0A7B63" w14:textId="77777777" w:rsidR="00D91A3D" w:rsidRDefault="00D91A3D" w:rsidP="00A1425C">
      <w:pPr>
        <w:pStyle w:val="sectionheaderwithintext"/>
        <w:spacing w:before="0"/>
        <w:jc w:val="both"/>
        <w:rPr>
          <w:rFonts w:asciiTheme="minorHAnsi" w:hAnsiTheme="minorHAnsi" w:cs="Arial"/>
          <w:b/>
          <w:color w:val="4747FF"/>
          <w:sz w:val="22"/>
          <w:szCs w:val="22"/>
        </w:rPr>
      </w:pPr>
    </w:p>
    <w:p w14:paraId="5CB48AC1" w14:textId="77777777" w:rsidR="00D91A3D" w:rsidRDefault="00D91A3D" w:rsidP="00A1425C">
      <w:pPr>
        <w:pStyle w:val="sectionheaderwithintext"/>
        <w:spacing w:before="0"/>
        <w:jc w:val="both"/>
        <w:rPr>
          <w:rFonts w:asciiTheme="minorHAnsi" w:hAnsiTheme="minorHAnsi" w:cs="Arial"/>
          <w:b/>
          <w:color w:val="4747FF"/>
          <w:sz w:val="22"/>
          <w:szCs w:val="22"/>
        </w:rPr>
      </w:pPr>
    </w:p>
    <w:p w14:paraId="11A12D80" w14:textId="3F9F0535" w:rsidR="00A1425C" w:rsidRPr="00701439" w:rsidRDefault="00307557" w:rsidP="00A1425C">
      <w:pPr>
        <w:pStyle w:val="sectionheaderwithintext"/>
        <w:spacing w:before="0"/>
        <w:jc w:val="both"/>
        <w:rPr>
          <w:rFonts w:asciiTheme="minorHAnsi" w:hAnsiTheme="minorHAnsi" w:cs="Arial"/>
          <w:color w:val="4747FF"/>
          <w:sz w:val="22"/>
          <w:szCs w:val="22"/>
        </w:rPr>
      </w:pPr>
      <w:r>
        <w:rPr>
          <w:rFonts w:asciiTheme="minorHAnsi" w:hAnsiTheme="minorHAnsi" w:cs="Arial"/>
          <w:b/>
          <w:color w:val="4747FF"/>
          <w:sz w:val="22"/>
          <w:szCs w:val="22"/>
        </w:rPr>
        <w:t>7</w:t>
      </w:r>
      <w:r w:rsidR="00A1425C" w:rsidRPr="00701439">
        <w:rPr>
          <w:rStyle w:val="bodycopynumber"/>
          <w:rFonts w:asciiTheme="minorHAnsi" w:hAnsiTheme="minorHAnsi" w:cs="Arial"/>
          <w:b/>
          <w:bCs/>
          <w:color w:val="4747FF"/>
          <w:sz w:val="22"/>
          <w:szCs w:val="22"/>
        </w:rPr>
        <w:t>.</w:t>
      </w:r>
      <w:r w:rsidR="00A1425C" w:rsidRPr="00701439">
        <w:rPr>
          <w:rStyle w:val="bodycopynumber"/>
          <w:rFonts w:asciiTheme="minorHAnsi" w:hAnsiTheme="minorHAnsi" w:cs="Arial"/>
          <w:b/>
          <w:bCs/>
          <w:color w:val="4747FF"/>
          <w:sz w:val="22"/>
          <w:szCs w:val="22"/>
        </w:rPr>
        <w:tab/>
      </w:r>
      <w:r>
        <w:rPr>
          <w:rStyle w:val="bodycopynumber"/>
          <w:rFonts w:asciiTheme="minorHAnsi" w:hAnsiTheme="minorHAnsi" w:cs="Arial"/>
          <w:b/>
          <w:bCs/>
          <w:color w:val="4747FF"/>
          <w:sz w:val="22"/>
          <w:szCs w:val="22"/>
        </w:rPr>
        <w:t>Earnings/</w:t>
      </w:r>
      <w:r w:rsidR="00A1425C">
        <w:rPr>
          <w:rStyle w:val="bodycopynumber"/>
          <w:rFonts w:asciiTheme="minorHAnsi" w:hAnsiTheme="minorHAnsi" w:cs="Arial"/>
          <w:b/>
          <w:bCs/>
          <w:color w:val="4747FF"/>
          <w:sz w:val="22"/>
          <w:szCs w:val="22"/>
        </w:rPr>
        <w:t>(L</w:t>
      </w:r>
      <w:r w:rsidR="00A1425C" w:rsidRPr="00701439">
        <w:rPr>
          <w:rStyle w:val="bodycopynumber"/>
          <w:rFonts w:asciiTheme="minorHAnsi" w:hAnsiTheme="minorHAnsi" w:cs="Arial"/>
          <w:b/>
          <w:bCs/>
          <w:color w:val="4747FF"/>
          <w:sz w:val="22"/>
          <w:szCs w:val="22"/>
        </w:rPr>
        <w:t>oss) per share</w:t>
      </w:r>
    </w:p>
    <w:p w14:paraId="6F5B350E" w14:textId="77777777" w:rsidR="00A1425C" w:rsidRDefault="00A1425C" w:rsidP="00A1425C">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Poppins-Light"/>
          <w:color w:val="auto"/>
          <w:sz w:val="20"/>
          <w:lang w:eastAsia="en-GB"/>
        </w:rPr>
      </w:pPr>
    </w:p>
    <w:p w14:paraId="190F44B6" w14:textId="2522E566" w:rsidR="00A1425C" w:rsidRDefault="00A1425C" w:rsidP="006677D7">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Poppins-Light"/>
          <w:color w:val="auto"/>
          <w:sz w:val="20"/>
          <w:lang w:eastAsia="en-GB"/>
        </w:rPr>
      </w:pPr>
      <w:r w:rsidRPr="00A36F5C">
        <w:rPr>
          <w:rFonts w:asciiTheme="minorHAnsi" w:hAnsiTheme="minorHAnsi" w:cs="Poppins-Light"/>
          <w:color w:val="auto"/>
          <w:sz w:val="20"/>
          <w:lang w:eastAsia="en-GB"/>
        </w:rPr>
        <w:t xml:space="preserve">Basic </w:t>
      </w:r>
      <w:r w:rsidR="005D6883">
        <w:rPr>
          <w:rFonts w:asciiTheme="minorHAnsi" w:hAnsiTheme="minorHAnsi" w:cs="Poppins-Light"/>
          <w:color w:val="auto"/>
          <w:sz w:val="20"/>
          <w:lang w:eastAsia="en-GB"/>
        </w:rPr>
        <w:t>earnings</w:t>
      </w:r>
      <w:r w:rsidR="00307557">
        <w:rPr>
          <w:rFonts w:asciiTheme="minorHAnsi" w:hAnsiTheme="minorHAnsi" w:cs="Poppins-Light"/>
          <w:color w:val="auto"/>
          <w:sz w:val="20"/>
          <w:lang w:eastAsia="en-GB"/>
        </w:rPr>
        <w:t>/</w:t>
      </w:r>
      <w:r w:rsidRPr="00A36F5C">
        <w:rPr>
          <w:rFonts w:asciiTheme="minorHAnsi" w:hAnsiTheme="minorHAnsi" w:cs="Poppins-Light"/>
          <w:color w:val="auto"/>
          <w:sz w:val="20"/>
          <w:lang w:eastAsia="en-GB"/>
        </w:rPr>
        <w:t>(loss) per share EPS</w:t>
      </w:r>
      <w:r w:rsidR="00307557">
        <w:rPr>
          <w:rFonts w:asciiTheme="minorHAnsi" w:hAnsiTheme="minorHAnsi" w:cs="Poppins-Light"/>
          <w:color w:val="auto"/>
          <w:sz w:val="20"/>
          <w:lang w:eastAsia="en-GB"/>
        </w:rPr>
        <w:t>/</w:t>
      </w:r>
      <w:r w:rsidRPr="00A36F5C">
        <w:rPr>
          <w:rFonts w:asciiTheme="minorHAnsi" w:hAnsiTheme="minorHAnsi" w:cs="Poppins-Light"/>
          <w:color w:val="auto"/>
          <w:sz w:val="20"/>
          <w:lang w:eastAsia="en-GB"/>
        </w:rPr>
        <w:t>(L</w:t>
      </w:r>
      <w:r w:rsidR="00856AAE">
        <w:rPr>
          <w:rFonts w:asciiTheme="minorHAnsi" w:hAnsiTheme="minorHAnsi" w:cs="Poppins-Light"/>
          <w:color w:val="auto"/>
          <w:sz w:val="20"/>
          <w:lang w:eastAsia="en-GB"/>
        </w:rPr>
        <w:t>PS</w:t>
      </w:r>
      <w:r w:rsidRPr="00A36F5C">
        <w:rPr>
          <w:rFonts w:asciiTheme="minorHAnsi" w:hAnsiTheme="minorHAnsi" w:cs="Poppins-Light"/>
          <w:color w:val="auto"/>
          <w:sz w:val="20"/>
          <w:lang w:eastAsia="en-GB"/>
        </w:rPr>
        <w:t>) is calculated by dividing the profit</w:t>
      </w:r>
      <w:r w:rsidR="00307557">
        <w:rPr>
          <w:rFonts w:asciiTheme="minorHAnsi" w:hAnsiTheme="minorHAnsi" w:cs="Poppins-Light"/>
          <w:color w:val="auto"/>
          <w:sz w:val="20"/>
          <w:lang w:eastAsia="en-GB"/>
        </w:rPr>
        <w:t>/</w:t>
      </w:r>
      <w:r w:rsidRPr="00A36F5C">
        <w:rPr>
          <w:rFonts w:asciiTheme="minorHAnsi" w:hAnsiTheme="minorHAnsi" w:cs="Poppins-Light"/>
          <w:color w:val="auto"/>
          <w:sz w:val="20"/>
          <w:lang w:eastAsia="en-GB"/>
        </w:rPr>
        <w:t xml:space="preserve">(loss) for the year attributable to equity shareholders by the weighted average number of ordinary shares outstanding during the year less the number of shares held by the Employee Benefit Trust which are used to satisfy the </w:t>
      </w:r>
      <w:r w:rsidR="00BE0F0E">
        <w:rPr>
          <w:rFonts w:asciiTheme="minorHAnsi" w:hAnsiTheme="minorHAnsi" w:cs="Poppins-Light"/>
          <w:color w:val="auto"/>
          <w:sz w:val="20"/>
          <w:lang w:eastAsia="en-GB"/>
        </w:rPr>
        <w:t xml:space="preserve">Groups </w:t>
      </w:r>
      <w:r w:rsidRPr="00A36F5C">
        <w:rPr>
          <w:rFonts w:asciiTheme="minorHAnsi" w:hAnsiTheme="minorHAnsi" w:cs="Poppins-Light"/>
          <w:color w:val="auto"/>
          <w:sz w:val="20"/>
          <w:lang w:eastAsia="en-GB"/>
        </w:rPr>
        <w:t>share award</w:t>
      </w:r>
      <w:r w:rsidR="00BE0F0E">
        <w:rPr>
          <w:rFonts w:asciiTheme="minorHAnsi" w:hAnsiTheme="minorHAnsi" w:cs="Poppins-Light"/>
          <w:color w:val="auto"/>
          <w:sz w:val="20"/>
          <w:lang w:eastAsia="en-GB"/>
        </w:rPr>
        <w:t>s</w:t>
      </w:r>
      <w:r w:rsidRPr="00A36F5C">
        <w:rPr>
          <w:rFonts w:asciiTheme="minorHAnsi" w:hAnsiTheme="minorHAnsi" w:cs="Poppins-Light"/>
          <w:color w:val="auto"/>
          <w:sz w:val="20"/>
          <w:lang w:eastAsia="en-GB"/>
        </w:rPr>
        <w:t>.</w:t>
      </w:r>
      <w:r>
        <w:rPr>
          <w:rFonts w:asciiTheme="minorHAnsi" w:hAnsiTheme="minorHAnsi" w:cs="Poppins-Light"/>
          <w:color w:val="auto"/>
          <w:sz w:val="20"/>
          <w:lang w:eastAsia="en-GB"/>
        </w:rPr>
        <w:t xml:space="preserve"> </w:t>
      </w:r>
    </w:p>
    <w:p w14:paraId="6D6DFEB0" w14:textId="4953C18F" w:rsidR="00A1425C" w:rsidRDefault="00A1425C" w:rsidP="00C7102D">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Poppins-Light"/>
          <w:color w:val="auto"/>
          <w:sz w:val="20"/>
          <w:lang w:eastAsia="en-GB"/>
        </w:rPr>
      </w:pPr>
      <w:r w:rsidRPr="00A36F5C">
        <w:rPr>
          <w:rFonts w:asciiTheme="minorHAnsi" w:hAnsiTheme="minorHAnsi" w:cs="Poppins-Light"/>
          <w:color w:val="auto"/>
          <w:sz w:val="20"/>
          <w:lang w:eastAsia="en-GB"/>
        </w:rPr>
        <w:t>Diluted EPS</w:t>
      </w:r>
      <w:r w:rsidR="00BE0F0E">
        <w:rPr>
          <w:rFonts w:asciiTheme="minorHAnsi" w:hAnsiTheme="minorHAnsi" w:cs="Poppins-Light"/>
          <w:color w:val="auto"/>
          <w:sz w:val="20"/>
          <w:lang w:eastAsia="en-GB"/>
        </w:rPr>
        <w:t>/</w:t>
      </w:r>
      <w:r w:rsidRPr="00A36F5C">
        <w:rPr>
          <w:rFonts w:asciiTheme="minorHAnsi" w:hAnsiTheme="minorHAnsi" w:cs="Poppins-Light"/>
          <w:color w:val="auto"/>
          <w:sz w:val="20"/>
          <w:lang w:eastAsia="en-GB"/>
        </w:rPr>
        <w:t>(L</w:t>
      </w:r>
      <w:r w:rsidR="00856AAE">
        <w:rPr>
          <w:rFonts w:asciiTheme="minorHAnsi" w:hAnsiTheme="minorHAnsi" w:cs="Poppins-Light"/>
          <w:color w:val="auto"/>
          <w:sz w:val="20"/>
          <w:lang w:eastAsia="en-GB"/>
        </w:rPr>
        <w:t>PS</w:t>
      </w:r>
      <w:r w:rsidRPr="00A36F5C">
        <w:rPr>
          <w:rFonts w:asciiTheme="minorHAnsi" w:hAnsiTheme="minorHAnsi" w:cs="Poppins-Light"/>
          <w:color w:val="auto"/>
          <w:sz w:val="20"/>
          <w:lang w:eastAsia="en-GB"/>
        </w:rPr>
        <w:t>) calculates the effect on EPS</w:t>
      </w:r>
      <w:r w:rsidR="00282613">
        <w:rPr>
          <w:rFonts w:asciiTheme="minorHAnsi" w:hAnsiTheme="minorHAnsi" w:cs="Poppins-Light"/>
          <w:color w:val="auto"/>
          <w:sz w:val="20"/>
          <w:lang w:eastAsia="en-GB"/>
        </w:rPr>
        <w:t>/(LPS)</w:t>
      </w:r>
      <w:r w:rsidRPr="00A36F5C">
        <w:rPr>
          <w:rFonts w:asciiTheme="minorHAnsi" w:hAnsiTheme="minorHAnsi" w:cs="Poppins-Light"/>
          <w:color w:val="auto"/>
          <w:sz w:val="20"/>
          <w:lang w:eastAsia="en-GB"/>
        </w:rPr>
        <w:t xml:space="preserve"> assuming conversion of all dilutive potential ordinary shares. Dilutive potential ordinary shares are calculated as follows:</w:t>
      </w:r>
    </w:p>
    <w:p w14:paraId="2FD090C9" w14:textId="514EA940" w:rsidR="00A1425C" w:rsidRPr="00BA5F10" w:rsidRDefault="00A1425C" w:rsidP="006677D7">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Poppins-Light"/>
          <w:color w:val="auto"/>
          <w:sz w:val="20"/>
          <w:lang w:eastAsia="en-GB"/>
        </w:rPr>
      </w:pPr>
      <w:r w:rsidRPr="008924D7">
        <w:rPr>
          <w:rFonts w:asciiTheme="minorHAnsi" w:hAnsiTheme="minorHAnsi" w:cs="Poppins-Light"/>
          <w:color w:val="000000" w:themeColor="text1"/>
          <w:sz w:val="20"/>
          <w:lang w:eastAsia="en-GB"/>
        </w:rPr>
        <w:t>(</w:t>
      </w:r>
      <w:proofErr w:type="spellStart"/>
      <w:r w:rsidRPr="008924D7">
        <w:rPr>
          <w:rFonts w:asciiTheme="minorHAnsi" w:hAnsiTheme="minorHAnsi" w:cs="Poppins-Light"/>
          <w:color w:val="000000" w:themeColor="text1"/>
          <w:sz w:val="20"/>
          <w:lang w:eastAsia="en-GB"/>
        </w:rPr>
        <w:t>i</w:t>
      </w:r>
      <w:proofErr w:type="spellEnd"/>
      <w:r w:rsidRPr="008924D7">
        <w:rPr>
          <w:rFonts w:asciiTheme="minorHAnsi" w:hAnsiTheme="minorHAnsi" w:cs="Poppins-Light"/>
          <w:color w:val="000000" w:themeColor="text1"/>
          <w:sz w:val="20"/>
          <w:lang w:eastAsia="en-GB"/>
        </w:rPr>
        <w:t>) For share awards outstanding under performance-related share incentive schemes such as the Deferred Bonus Plan (DBP)</w:t>
      </w:r>
      <w:r w:rsidR="002939C0" w:rsidRPr="008924D7">
        <w:rPr>
          <w:rFonts w:asciiTheme="minorHAnsi" w:hAnsiTheme="minorHAnsi" w:cs="Poppins-Light"/>
          <w:color w:val="000000" w:themeColor="text1"/>
          <w:sz w:val="20"/>
          <w:lang w:eastAsia="en-GB"/>
        </w:rPr>
        <w:t>,</w:t>
      </w:r>
      <w:r w:rsidRPr="008924D7">
        <w:rPr>
          <w:rFonts w:asciiTheme="minorHAnsi" w:hAnsiTheme="minorHAnsi" w:cs="Poppins-Light"/>
          <w:color w:val="000000" w:themeColor="text1"/>
          <w:sz w:val="20"/>
          <w:lang w:eastAsia="en-GB"/>
        </w:rPr>
        <w:t xml:space="preserve"> the Long Term Incentive Scheme (LTIS), the Restricted Share Plan (RSP) </w:t>
      </w:r>
      <w:r w:rsidRPr="00BA5F10">
        <w:rPr>
          <w:rFonts w:asciiTheme="minorHAnsi" w:hAnsiTheme="minorHAnsi" w:cs="Poppins-Light"/>
          <w:color w:val="auto"/>
          <w:sz w:val="20"/>
          <w:lang w:eastAsia="en-GB"/>
        </w:rPr>
        <w:t>and the Company Share Option Plan (CSOP), the number of dilutive potential ordinary shares is calculated based on the number of shares which would be issuable if: (</w:t>
      </w:r>
      <w:proofErr w:type="spellStart"/>
      <w:r w:rsidRPr="00BA5F10">
        <w:rPr>
          <w:rFonts w:asciiTheme="minorHAnsi" w:hAnsiTheme="minorHAnsi" w:cs="Poppins-Light"/>
          <w:color w:val="auto"/>
          <w:sz w:val="20"/>
          <w:lang w:eastAsia="en-GB"/>
        </w:rPr>
        <w:t>i</w:t>
      </w:r>
      <w:proofErr w:type="spellEnd"/>
      <w:r w:rsidRPr="00BA5F10">
        <w:rPr>
          <w:rFonts w:asciiTheme="minorHAnsi" w:hAnsiTheme="minorHAnsi" w:cs="Poppins-Light"/>
          <w:color w:val="auto"/>
          <w:sz w:val="20"/>
          <w:lang w:eastAsia="en-GB"/>
        </w:rPr>
        <w:t>) the end of the reporting period is assumed to be the end of the schemes’ performance period; and (ii) the performance targets have been met as at that date.</w:t>
      </w:r>
    </w:p>
    <w:p w14:paraId="6F4F49C1" w14:textId="1E7073C4" w:rsidR="00A1425C" w:rsidRPr="00A36F5C" w:rsidRDefault="00A1425C" w:rsidP="006677D7">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Poppins-Light"/>
          <w:color w:val="auto"/>
          <w:sz w:val="20"/>
          <w:lang w:eastAsia="en-GB"/>
        </w:rPr>
      </w:pPr>
      <w:r w:rsidRPr="00A36F5C">
        <w:rPr>
          <w:rFonts w:asciiTheme="minorHAnsi" w:hAnsiTheme="minorHAnsi" w:cs="Poppins-Light"/>
          <w:color w:val="auto"/>
          <w:sz w:val="20"/>
          <w:lang w:eastAsia="en-GB"/>
        </w:rPr>
        <w:t>(</w:t>
      </w:r>
      <w:r w:rsidRPr="008924D7">
        <w:rPr>
          <w:rFonts w:asciiTheme="minorHAnsi" w:hAnsiTheme="minorHAnsi" w:cs="Poppins-Light"/>
          <w:color w:val="auto"/>
          <w:sz w:val="20"/>
          <w:lang w:eastAsia="en-GB"/>
        </w:rPr>
        <w:t>ii) For share options outstanding under non-performance-related schemes such as the Save As You Earn scheme (SAYE), a calculation is performed to determine the number of shares that could have been acquired at fair value (determined as the average annual market share price of the Company’s shares) based on the monetary value of the subscription rights attached to outstanding share options. The number of shares calculated is compared with the number of share options outstanding, with the difference being the dilutive potential ordinary shares.</w:t>
      </w:r>
    </w:p>
    <w:p w14:paraId="294DA93B" w14:textId="49CF6EF5" w:rsidR="009663D8" w:rsidRDefault="00A1425C" w:rsidP="00F72D4F">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rPr>
      </w:pPr>
      <w:r w:rsidRPr="00A36F5C">
        <w:rPr>
          <w:rFonts w:asciiTheme="minorHAnsi" w:hAnsiTheme="minorHAnsi" w:cs="Poppins-Light"/>
          <w:color w:val="auto"/>
          <w:sz w:val="20"/>
          <w:lang w:eastAsia="en-GB"/>
        </w:rPr>
        <w:t>Potential ordinary shares are treated as dilutive when, and only when, their conversion to ordinary shares would decrease earnings per share or increase loss per share.</w:t>
      </w:r>
    </w:p>
    <w:p w14:paraId="17502473" w14:textId="4CC20203" w:rsidR="00A1425C" w:rsidRPr="00A36F5C" w:rsidRDefault="00A1425C" w:rsidP="006677D7">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Poppins-Light"/>
          <w:color w:val="auto"/>
          <w:sz w:val="20"/>
          <w:lang w:eastAsia="en-GB"/>
        </w:rPr>
      </w:pPr>
      <w:r w:rsidRPr="00A36F5C">
        <w:rPr>
          <w:rFonts w:asciiTheme="minorHAnsi" w:hAnsiTheme="minorHAnsi" w:cs="Poppins-Light"/>
          <w:color w:val="auto"/>
          <w:sz w:val="20"/>
          <w:lang w:eastAsia="en-GB"/>
        </w:rPr>
        <w:t>Reconciliations of basic and diluted EPS</w:t>
      </w:r>
      <w:r w:rsidR="007E4B67">
        <w:rPr>
          <w:rFonts w:asciiTheme="minorHAnsi" w:hAnsiTheme="minorHAnsi" w:cs="Poppins-Light"/>
          <w:color w:val="auto"/>
          <w:sz w:val="20"/>
          <w:lang w:eastAsia="en-GB"/>
        </w:rPr>
        <w:t>/(LPS)</w:t>
      </w:r>
      <w:r w:rsidRPr="00A36F5C">
        <w:rPr>
          <w:rFonts w:asciiTheme="minorHAnsi" w:hAnsiTheme="minorHAnsi" w:cs="Poppins-Light"/>
          <w:color w:val="auto"/>
          <w:sz w:val="20"/>
          <w:lang w:eastAsia="en-GB"/>
        </w:rPr>
        <w:t xml:space="preserve"> for the </w:t>
      </w:r>
      <w:r w:rsidR="007E4B67">
        <w:rPr>
          <w:rFonts w:asciiTheme="minorHAnsi" w:hAnsiTheme="minorHAnsi" w:cs="Poppins-Light"/>
          <w:color w:val="auto"/>
          <w:sz w:val="20"/>
          <w:lang w:eastAsia="en-GB"/>
        </w:rPr>
        <w:t xml:space="preserve">continuing operations and the </w:t>
      </w:r>
      <w:r w:rsidRPr="00A36F5C">
        <w:rPr>
          <w:rFonts w:asciiTheme="minorHAnsi" w:hAnsiTheme="minorHAnsi" w:cs="Poppins-Light"/>
          <w:color w:val="auto"/>
          <w:sz w:val="20"/>
          <w:lang w:eastAsia="en-GB"/>
        </w:rPr>
        <w:t>Group are set out below:</w:t>
      </w:r>
    </w:p>
    <w:tbl>
      <w:tblPr>
        <w:tblW w:w="9976" w:type="dxa"/>
        <w:tblLayout w:type="fixed"/>
        <w:tblLook w:val="0000" w:firstRow="0" w:lastRow="0" w:firstColumn="0" w:lastColumn="0" w:noHBand="0" w:noVBand="0"/>
      </w:tblPr>
      <w:tblGrid>
        <w:gridCol w:w="3560"/>
        <w:gridCol w:w="1138"/>
        <w:gridCol w:w="995"/>
        <w:gridCol w:w="1002"/>
        <w:gridCol w:w="995"/>
        <w:gridCol w:w="1138"/>
        <w:gridCol w:w="1148"/>
      </w:tblGrid>
      <w:tr w:rsidR="00B55C0A" w:rsidRPr="00A36F5C" w14:paraId="6B460E05" w14:textId="77777777">
        <w:trPr>
          <w:trHeight w:val="207"/>
        </w:trPr>
        <w:tc>
          <w:tcPr>
            <w:tcW w:w="3560" w:type="dxa"/>
          </w:tcPr>
          <w:p w14:paraId="3E496854" w14:textId="77777777" w:rsidR="00B55C0A" w:rsidRPr="00A36F5C" w:rsidRDefault="00B55C0A">
            <w:pPr>
              <w:jc w:val="right"/>
              <w:rPr>
                <w:rFonts w:asciiTheme="minorHAnsi" w:hAnsiTheme="minorHAnsi" w:cs="Arial"/>
                <w:sz w:val="20"/>
                <w:szCs w:val="20"/>
              </w:rPr>
            </w:pPr>
          </w:p>
        </w:tc>
        <w:tc>
          <w:tcPr>
            <w:tcW w:w="6416" w:type="dxa"/>
            <w:gridSpan w:val="6"/>
          </w:tcPr>
          <w:p w14:paraId="2134379C" w14:textId="1D273648" w:rsidR="00B55C0A" w:rsidRPr="00A36F5C" w:rsidRDefault="00B55C0A">
            <w:pPr>
              <w:jc w:val="center"/>
              <w:rPr>
                <w:rFonts w:asciiTheme="minorHAnsi" w:hAnsiTheme="minorHAnsi" w:cs="Arial"/>
                <w:sz w:val="20"/>
                <w:szCs w:val="20"/>
              </w:rPr>
            </w:pPr>
            <w:r>
              <w:rPr>
                <w:rFonts w:asciiTheme="minorHAnsi" w:hAnsiTheme="minorHAnsi" w:cs="Arial"/>
                <w:sz w:val="20"/>
                <w:szCs w:val="20"/>
              </w:rPr>
              <w:t>Six months ended 30 June</w:t>
            </w:r>
            <w:r w:rsidR="00321008">
              <w:rPr>
                <w:rFonts w:asciiTheme="minorHAnsi" w:hAnsiTheme="minorHAnsi" w:cs="Arial"/>
                <w:sz w:val="20"/>
                <w:szCs w:val="20"/>
              </w:rPr>
              <w:t xml:space="preserve"> unaudited</w:t>
            </w:r>
          </w:p>
        </w:tc>
      </w:tr>
      <w:tr w:rsidR="00B55C0A" w:rsidRPr="00A36F5C" w14:paraId="773BA1F2" w14:textId="77777777">
        <w:trPr>
          <w:trHeight w:val="300"/>
        </w:trPr>
        <w:tc>
          <w:tcPr>
            <w:tcW w:w="3560" w:type="dxa"/>
          </w:tcPr>
          <w:p w14:paraId="7994D86A" w14:textId="77777777" w:rsidR="00B55C0A" w:rsidRPr="00A36F5C" w:rsidRDefault="00B55C0A">
            <w:pPr>
              <w:jc w:val="right"/>
              <w:rPr>
                <w:rFonts w:asciiTheme="minorHAnsi" w:hAnsiTheme="minorHAnsi" w:cs="Arial"/>
                <w:sz w:val="20"/>
                <w:szCs w:val="20"/>
              </w:rPr>
            </w:pPr>
          </w:p>
        </w:tc>
        <w:tc>
          <w:tcPr>
            <w:tcW w:w="3135" w:type="dxa"/>
            <w:gridSpan w:val="3"/>
            <w:shd w:val="clear" w:color="auto" w:fill="F2F2F2" w:themeFill="background1" w:themeFillShade="F2"/>
          </w:tcPr>
          <w:p w14:paraId="5E3F4B6C" w14:textId="05FFF5CD" w:rsidR="00B55C0A" w:rsidRPr="00BA7829" w:rsidRDefault="00B55C0A">
            <w:pPr>
              <w:jc w:val="center"/>
              <w:rPr>
                <w:rFonts w:asciiTheme="minorHAnsi" w:hAnsiTheme="minorHAnsi" w:cs="Arial"/>
                <w:b/>
                <w:sz w:val="20"/>
                <w:szCs w:val="20"/>
              </w:rPr>
            </w:pPr>
            <w:r w:rsidRPr="00BA7829">
              <w:rPr>
                <w:rFonts w:asciiTheme="minorHAnsi" w:hAnsiTheme="minorHAnsi" w:cs="Arial"/>
                <w:b/>
                <w:sz w:val="20"/>
                <w:szCs w:val="20"/>
              </w:rPr>
              <w:t>202</w:t>
            </w:r>
            <w:r>
              <w:rPr>
                <w:rFonts w:asciiTheme="minorHAnsi" w:hAnsiTheme="minorHAnsi" w:cs="Arial"/>
                <w:b/>
                <w:sz w:val="20"/>
                <w:szCs w:val="20"/>
              </w:rPr>
              <w:t>5</w:t>
            </w:r>
          </w:p>
        </w:tc>
        <w:tc>
          <w:tcPr>
            <w:tcW w:w="3281" w:type="dxa"/>
            <w:gridSpan w:val="3"/>
          </w:tcPr>
          <w:p w14:paraId="3D3D643F" w14:textId="67560DA6" w:rsidR="00B55C0A" w:rsidRPr="00A36F5C" w:rsidRDefault="00B55C0A">
            <w:pPr>
              <w:jc w:val="center"/>
              <w:rPr>
                <w:rFonts w:asciiTheme="minorHAnsi" w:hAnsiTheme="minorHAnsi" w:cs="Arial"/>
                <w:sz w:val="20"/>
                <w:szCs w:val="20"/>
              </w:rPr>
            </w:pPr>
            <w:r w:rsidRPr="00A36F5C">
              <w:rPr>
                <w:rFonts w:asciiTheme="minorHAnsi" w:hAnsiTheme="minorHAnsi" w:cs="Arial"/>
                <w:sz w:val="20"/>
                <w:szCs w:val="20"/>
              </w:rPr>
              <w:t>202</w:t>
            </w:r>
            <w:r>
              <w:rPr>
                <w:rFonts w:asciiTheme="minorHAnsi" w:hAnsiTheme="minorHAnsi" w:cs="Arial"/>
                <w:sz w:val="20"/>
                <w:szCs w:val="20"/>
              </w:rPr>
              <w:t>4</w:t>
            </w:r>
          </w:p>
        </w:tc>
      </w:tr>
      <w:tr w:rsidR="00B55C0A" w:rsidRPr="00A36F5C" w14:paraId="5354FE7C" w14:textId="77777777">
        <w:trPr>
          <w:trHeight w:val="854"/>
        </w:trPr>
        <w:tc>
          <w:tcPr>
            <w:tcW w:w="3560" w:type="dxa"/>
          </w:tcPr>
          <w:p w14:paraId="45C0B1AE" w14:textId="77777777" w:rsidR="00B55C0A" w:rsidRPr="00A36F5C" w:rsidRDefault="00B55C0A">
            <w:pPr>
              <w:jc w:val="right"/>
              <w:rPr>
                <w:rFonts w:asciiTheme="minorHAnsi" w:hAnsiTheme="minorHAnsi" w:cs="Arial"/>
                <w:sz w:val="20"/>
                <w:szCs w:val="20"/>
              </w:rPr>
            </w:pPr>
          </w:p>
        </w:tc>
        <w:tc>
          <w:tcPr>
            <w:tcW w:w="1138" w:type="dxa"/>
            <w:shd w:val="clear" w:color="auto" w:fill="F2F2F2" w:themeFill="background1" w:themeFillShade="F2"/>
          </w:tcPr>
          <w:p w14:paraId="0C6D484A" w14:textId="77777777" w:rsidR="00B55C0A" w:rsidRPr="00BA7829" w:rsidRDefault="00B55C0A">
            <w:pPr>
              <w:jc w:val="right"/>
              <w:rPr>
                <w:rFonts w:asciiTheme="minorHAnsi" w:hAnsiTheme="minorHAnsi" w:cs="Arial"/>
                <w:b/>
                <w:sz w:val="20"/>
                <w:szCs w:val="20"/>
              </w:rPr>
            </w:pPr>
          </w:p>
          <w:p w14:paraId="577AFDD2" w14:textId="77777777" w:rsidR="00B55C0A" w:rsidRPr="00BA7829" w:rsidRDefault="00B55C0A">
            <w:pPr>
              <w:jc w:val="right"/>
              <w:rPr>
                <w:rFonts w:asciiTheme="minorHAnsi" w:hAnsiTheme="minorHAnsi" w:cs="Arial"/>
                <w:b/>
                <w:sz w:val="20"/>
                <w:szCs w:val="20"/>
              </w:rPr>
            </w:pPr>
          </w:p>
          <w:p w14:paraId="2468514F" w14:textId="77777777" w:rsidR="00B55C0A" w:rsidRPr="00BA7829" w:rsidRDefault="00B55C0A">
            <w:pPr>
              <w:jc w:val="right"/>
              <w:rPr>
                <w:rFonts w:asciiTheme="minorHAnsi" w:hAnsiTheme="minorHAnsi" w:cs="Arial"/>
                <w:b/>
                <w:sz w:val="20"/>
                <w:szCs w:val="20"/>
              </w:rPr>
            </w:pPr>
          </w:p>
          <w:p w14:paraId="51040C61" w14:textId="77777777" w:rsidR="00B55C0A" w:rsidRPr="00BA7829" w:rsidRDefault="00B55C0A">
            <w:pPr>
              <w:jc w:val="right"/>
              <w:rPr>
                <w:rFonts w:asciiTheme="minorHAnsi" w:hAnsiTheme="minorHAnsi" w:cs="Arial"/>
                <w:b/>
                <w:sz w:val="20"/>
                <w:szCs w:val="20"/>
              </w:rPr>
            </w:pPr>
            <w:r w:rsidRPr="00BA7829">
              <w:rPr>
                <w:rFonts w:asciiTheme="minorHAnsi" w:hAnsiTheme="minorHAnsi" w:cs="Arial"/>
                <w:b/>
                <w:sz w:val="20"/>
                <w:szCs w:val="20"/>
              </w:rPr>
              <w:t>Earnings </w:t>
            </w:r>
          </w:p>
        </w:tc>
        <w:tc>
          <w:tcPr>
            <w:tcW w:w="995" w:type="dxa"/>
            <w:shd w:val="clear" w:color="auto" w:fill="F2F2F2" w:themeFill="background1" w:themeFillShade="F2"/>
          </w:tcPr>
          <w:p w14:paraId="235BC66C" w14:textId="77777777" w:rsidR="00B55C0A" w:rsidRPr="00BA7829" w:rsidRDefault="00B55C0A">
            <w:pPr>
              <w:ind w:left="-108"/>
              <w:jc w:val="right"/>
              <w:rPr>
                <w:rFonts w:asciiTheme="minorHAnsi" w:hAnsiTheme="minorHAnsi" w:cs="Arial"/>
                <w:b/>
                <w:sz w:val="20"/>
                <w:szCs w:val="20"/>
              </w:rPr>
            </w:pPr>
            <w:r w:rsidRPr="00BA7829">
              <w:rPr>
                <w:rFonts w:asciiTheme="minorHAnsi" w:hAnsiTheme="minorHAnsi" w:cs="Arial"/>
                <w:b/>
                <w:sz w:val="20"/>
                <w:szCs w:val="20"/>
              </w:rPr>
              <w:t xml:space="preserve">Weighted average  </w:t>
            </w:r>
          </w:p>
          <w:p w14:paraId="12D7E744" w14:textId="77777777" w:rsidR="00B55C0A" w:rsidRPr="00BA7829" w:rsidRDefault="00B55C0A">
            <w:pPr>
              <w:ind w:left="-108"/>
              <w:jc w:val="right"/>
              <w:rPr>
                <w:rFonts w:asciiTheme="minorHAnsi" w:hAnsiTheme="minorHAnsi" w:cs="Arial"/>
                <w:b/>
                <w:sz w:val="20"/>
                <w:szCs w:val="20"/>
              </w:rPr>
            </w:pPr>
            <w:r w:rsidRPr="00BA7829">
              <w:rPr>
                <w:rFonts w:asciiTheme="minorHAnsi" w:hAnsiTheme="minorHAnsi" w:cs="Arial"/>
                <w:b/>
                <w:sz w:val="20"/>
                <w:szCs w:val="20"/>
              </w:rPr>
              <w:t xml:space="preserve">number  </w:t>
            </w:r>
          </w:p>
          <w:p w14:paraId="7FCFE0DC" w14:textId="77777777" w:rsidR="00B55C0A" w:rsidRPr="00BA7829" w:rsidRDefault="00B55C0A">
            <w:pPr>
              <w:ind w:left="-108"/>
              <w:jc w:val="right"/>
              <w:rPr>
                <w:rFonts w:asciiTheme="minorHAnsi" w:hAnsiTheme="minorHAnsi" w:cs="Arial"/>
                <w:b/>
                <w:sz w:val="20"/>
                <w:szCs w:val="20"/>
              </w:rPr>
            </w:pPr>
            <w:r w:rsidRPr="00BA7829">
              <w:rPr>
                <w:rFonts w:asciiTheme="minorHAnsi" w:hAnsiTheme="minorHAnsi" w:cs="Arial"/>
                <w:b/>
                <w:sz w:val="20"/>
                <w:szCs w:val="20"/>
              </w:rPr>
              <w:t>of shares </w:t>
            </w:r>
          </w:p>
        </w:tc>
        <w:tc>
          <w:tcPr>
            <w:tcW w:w="1002" w:type="dxa"/>
            <w:shd w:val="clear" w:color="auto" w:fill="F2F2F2" w:themeFill="background1" w:themeFillShade="F2"/>
          </w:tcPr>
          <w:p w14:paraId="64F24ADC" w14:textId="77777777" w:rsidR="00B55C0A" w:rsidRPr="00BA7829" w:rsidRDefault="00B55C0A">
            <w:pPr>
              <w:jc w:val="right"/>
              <w:rPr>
                <w:rFonts w:asciiTheme="minorHAnsi" w:hAnsiTheme="minorHAnsi" w:cs="Arial"/>
                <w:b/>
                <w:sz w:val="20"/>
                <w:szCs w:val="20"/>
              </w:rPr>
            </w:pPr>
          </w:p>
          <w:p w14:paraId="3E2ECC56" w14:textId="77777777" w:rsidR="00B55C0A" w:rsidRPr="00BA7829" w:rsidRDefault="00B55C0A">
            <w:pPr>
              <w:jc w:val="right"/>
              <w:rPr>
                <w:rFonts w:asciiTheme="minorHAnsi" w:hAnsiTheme="minorHAnsi" w:cs="Arial"/>
                <w:b/>
                <w:sz w:val="20"/>
                <w:szCs w:val="20"/>
              </w:rPr>
            </w:pPr>
            <w:r w:rsidRPr="00BA7829">
              <w:rPr>
                <w:rFonts w:asciiTheme="minorHAnsi" w:hAnsiTheme="minorHAnsi" w:cs="Arial"/>
                <w:b/>
                <w:sz w:val="20"/>
                <w:szCs w:val="20"/>
              </w:rPr>
              <w:t xml:space="preserve">Per  </w:t>
            </w:r>
          </w:p>
          <w:p w14:paraId="2461E718" w14:textId="77777777" w:rsidR="00B55C0A" w:rsidRPr="00BA7829" w:rsidRDefault="00B55C0A">
            <w:pPr>
              <w:jc w:val="right"/>
              <w:rPr>
                <w:rFonts w:asciiTheme="minorHAnsi" w:hAnsiTheme="minorHAnsi" w:cs="Arial"/>
                <w:b/>
                <w:sz w:val="20"/>
                <w:szCs w:val="20"/>
              </w:rPr>
            </w:pPr>
            <w:r w:rsidRPr="00BA7829">
              <w:rPr>
                <w:rFonts w:asciiTheme="minorHAnsi" w:hAnsiTheme="minorHAnsi" w:cs="Arial"/>
                <w:b/>
                <w:sz w:val="20"/>
                <w:szCs w:val="20"/>
              </w:rPr>
              <w:t xml:space="preserve">share  </w:t>
            </w:r>
          </w:p>
          <w:p w14:paraId="5AEB541E" w14:textId="77777777" w:rsidR="00B55C0A" w:rsidRPr="00BA7829" w:rsidRDefault="00B55C0A">
            <w:pPr>
              <w:jc w:val="right"/>
              <w:rPr>
                <w:rFonts w:asciiTheme="minorHAnsi" w:hAnsiTheme="minorHAnsi" w:cs="Arial"/>
                <w:b/>
                <w:sz w:val="20"/>
                <w:szCs w:val="20"/>
              </w:rPr>
            </w:pPr>
            <w:r w:rsidRPr="00BA7829">
              <w:rPr>
                <w:rFonts w:asciiTheme="minorHAnsi" w:hAnsiTheme="minorHAnsi" w:cs="Arial"/>
                <w:b/>
                <w:sz w:val="20"/>
                <w:szCs w:val="20"/>
              </w:rPr>
              <w:t>amount </w:t>
            </w:r>
          </w:p>
        </w:tc>
        <w:tc>
          <w:tcPr>
            <w:tcW w:w="995" w:type="dxa"/>
          </w:tcPr>
          <w:p w14:paraId="1106D8EB" w14:textId="77777777" w:rsidR="00B55C0A" w:rsidRPr="00A36F5C" w:rsidRDefault="00B55C0A">
            <w:pPr>
              <w:jc w:val="right"/>
              <w:rPr>
                <w:rFonts w:asciiTheme="minorHAnsi" w:hAnsiTheme="minorHAnsi" w:cs="Arial"/>
                <w:sz w:val="20"/>
                <w:szCs w:val="20"/>
              </w:rPr>
            </w:pPr>
          </w:p>
          <w:p w14:paraId="4EBC76ED" w14:textId="77777777" w:rsidR="00B55C0A" w:rsidRPr="00A36F5C" w:rsidRDefault="00B55C0A">
            <w:pPr>
              <w:jc w:val="right"/>
              <w:rPr>
                <w:rFonts w:asciiTheme="minorHAnsi" w:hAnsiTheme="minorHAnsi" w:cs="Arial"/>
                <w:sz w:val="20"/>
                <w:szCs w:val="20"/>
              </w:rPr>
            </w:pPr>
          </w:p>
          <w:p w14:paraId="2F2B4DD9" w14:textId="77777777" w:rsidR="00B55C0A" w:rsidRPr="00A36F5C" w:rsidRDefault="00B55C0A">
            <w:pPr>
              <w:jc w:val="right"/>
              <w:rPr>
                <w:rFonts w:asciiTheme="minorHAnsi" w:hAnsiTheme="minorHAnsi" w:cs="Arial"/>
                <w:sz w:val="20"/>
                <w:szCs w:val="20"/>
              </w:rPr>
            </w:pPr>
          </w:p>
          <w:p w14:paraId="2B5638F4" w14:textId="64333DB9" w:rsidR="00B55C0A" w:rsidRPr="00A36F5C" w:rsidRDefault="00315B3F">
            <w:pPr>
              <w:jc w:val="right"/>
              <w:rPr>
                <w:rFonts w:asciiTheme="minorHAnsi" w:hAnsiTheme="minorHAnsi" w:cs="Arial"/>
                <w:sz w:val="20"/>
                <w:szCs w:val="20"/>
              </w:rPr>
            </w:pPr>
            <w:r>
              <w:rPr>
                <w:rFonts w:asciiTheme="minorHAnsi" w:hAnsiTheme="minorHAnsi" w:cs="Arial"/>
                <w:sz w:val="20"/>
                <w:szCs w:val="20"/>
              </w:rPr>
              <w:t>Loss</w:t>
            </w:r>
          </w:p>
        </w:tc>
        <w:tc>
          <w:tcPr>
            <w:tcW w:w="1138" w:type="dxa"/>
          </w:tcPr>
          <w:p w14:paraId="25D3A82F" w14:textId="77777777" w:rsidR="00B55C0A" w:rsidRPr="00A36F5C" w:rsidRDefault="00B55C0A">
            <w:pPr>
              <w:jc w:val="right"/>
              <w:rPr>
                <w:rFonts w:asciiTheme="minorHAnsi" w:hAnsiTheme="minorHAnsi" w:cs="Arial"/>
                <w:sz w:val="20"/>
                <w:szCs w:val="20"/>
              </w:rPr>
            </w:pPr>
            <w:r w:rsidRPr="00A36F5C">
              <w:rPr>
                <w:rFonts w:asciiTheme="minorHAnsi" w:hAnsiTheme="minorHAnsi" w:cs="Arial"/>
                <w:sz w:val="20"/>
                <w:szCs w:val="20"/>
              </w:rPr>
              <w:t xml:space="preserve">Weighted average  </w:t>
            </w:r>
          </w:p>
          <w:p w14:paraId="43E7C7C0" w14:textId="77777777" w:rsidR="00B55C0A" w:rsidRPr="00A36F5C" w:rsidRDefault="00B55C0A">
            <w:pPr>
              <w:jc w:val="right"/>
              <w:rPr>
                <w:rFonts w:asciiTheme="minorHAnsi" w:hAnsiTheme="minorHAnsi" w:cs="Arial"/>
                <w:sz w:val="20"/>
                <w:szCs w:val="20"/>
              </w:rPr>
            </w:pPr>
            <w:r w:rsidRPr="00A36F5C">
              <w:rPr>
                <w:rFonts w:asciiTheme="minorHAnsi" w:hAnsiTheme="minorHAnsi" w:cs="Arial"/>
                <w:sz w:val="20"/>
                <w:szCs w:val="20"/>
              </w:rPr>
              <w:t xml:space="preserve">number  </w:t>
            </w:r>
          </w:p>
          <w:p w14:paraId="2DE6DED4" w14:textId="77777777" w:rsidR="00B55C0A" w:rsidRPr="00A36F5C" w:rsidRDefault="00B55C0A">
            <w:pPr>
              <w:jc w:val="right"/>
              <w:rPr>
                <w:rFonts w:asciiTheme="minorHAnsi" w:hAnsiTheme="minorHAnsi" w:cs="Arial"/>
                <w:sz w:val="20"/>
                <w:szCs w:val="20"/>
              </w:rPr>
            </w:pPr>
            <w:r w:rsidRPr="00A36F5C">
              <w:rPr>
                <w:rFonts w:asciiTheme="minorHAnsi" w:hAnsiTheme="minorHAnsi" w:cs="Arial"/>
                <w:sz w:val="20"/>
                <w:szCs w:val="20"/>
              </w:rPr>
              <w:t>of shares </w:t>
            </w:r>
          </w:p>
        </w:tc>
        <w:tc>
          <w:tcPr>
            <w:tcW w:w="1148" w:type="dxa"/>
          </w:tcPr>
          <w:p w14:paraId="0CFF28D6" w14:textId="77777777" w:rsidR="00B55C0A" w:rsidRPr="00A36F5C" w:rsidRDefault="00B55C0A">
            <w:pPr>
              <w:jc w:val="right"/>
              <w:rPr>
                <w:rFonts w:asciiTheme="minorHAnsi" w:hAnsiTheme="minorHAnsi" w:cs="Arial"/>
                <w:sz w:val="20"/>
                <w:szCs w:val="20"/>
              </w:rPr>
            </w:pPr>
          </w:p>
          <w:p w14:paraId="33CE4799" w14:textId="77777777" w:rsidR="00B55C0A" w:rsidRPr="00A36F5C" w:rsidRDefault="00B55C0A">
            <w:pPr>
              <w:jc w:val="right"/>
              <w:rPr>
                <w:rFonts w:asciiTheme="minorHAnsi" w:hAnsiTheme="minorHAnsi" w:cs="Arial"/>
                <w:sz w:val="20"/>
                <w:szCs w:val="20"/>
              </w:rPr>
            </w:pPr>
            <w:r w:rsidRPr="00A36F5C">
              <w:rPr>
                <w:rFonts w:asciiTheme="minorHAnsi" w:hAnsiTheme="minorHAnsi" w:cs="Arial"/>
                <w:sz w:val="20"/>
                <w:szCs w:val="20"/>
              </w:rPr>
              <w:t xml:space="preserve">Per  </w:t>
            </w:r>
          </w:p>
          <w:p w14:paraId="0B9D98B8" w14:textId="77777777" w:rsidR="00B55C0A" w:rsidRPr="00A36F5C" w:rsidRDefault="00B55C0A">
            <w:pPr>
              <w:jc w:val="right"/>
              <w:rPr>
                <w:rFonts w:asciiTheme="minorHAnsi" w:hAnsiTheme="minorHAnsi" w:cs="Arial"/>
                <w:sz w:val="20"/>
                <w:szCs w:val="20"/>
              </w:rPr>
            </w:pPr>
            <w:r w:rsidRPr="00A36F5C">
              <w:rPr>
                <w:rFonts w:asciiTheme="minorHAnsi" w:hAnsiTheme="minorHAnsi" w:cs="Arial"/>
                <w:sz w:val="20"/>
                <w:szCs w:val="20"/>
              </w:rPr>
              <w:t xml:space="preserve">share  </w:t>
            </w:r>
          </w:p>
          <w:p w14:paraId="37F8800B" w14:textId="77777777" w:rsidR="00B55C0A" w:rsidRPr="00A36F5C" w:rsidRDefault="00B55C0A">
            <w:pPr>
              <w:jc w:val="right"/>
              <w:rPr>
                <w:rFonts w:asciiTheme="minorHAnsi" w:hAnsiTheme="minorHAnsi" w:cs="Arial"/>
                <w:sz w:val="20"/>
                <w:szCs w:val="20"/>
              </w:rPr>
            </w:pPr>
            <w:r w:rsidRPr="00A36F5C">
              <w:rPr>
                <w:rFonts w:asciiTheme="minorHAnsi" w:hAnsiTheme="minorHAnsi" w:cs="Arial"/>
                <w:sz w:val="20"/>
                <w:szCs w:val="20"/>
              </w:rPr>
              <w:t>amount </w:t>
            </w:r>
          </w:p>
        </w:tc>
      </w:tr>
      <w:tr w:rsidR="00B55C0A" w:rsidRPr="00A36F5C" w14:paraId="7BA0548D" w14:textId="77777777">
        <w:trPr>
          <w:trHeight w:val="218"/>
        </w:trPr>
        <w:tc>
          <w:tcPr>
            <w:tcW w:w="3560" w:type="dxa"/>
            <w:tcBorders>
              <w:bottom w:val="single" w:sz="4" w:space="0" w:color="auto"/>
            </w:tcBorders>
          </w:tcPr>
          <w:p w14:paraId="7EB3C8BD" w14:textId="72E4EAC0" w:rsidR="00B55C0A" w:rsidRPr="00484AAE" w:rsidRDefault="00B55C0A">
            <w:pPr>
              <w:rPr>
                <w:rFonts w:asciiTheme="minorHAnsi" w:hAnsiTheme="minorHAnsi" w:cs="Arial"/>
                <w:b/>
                <w:sz w:val="20"/>
                <w:szCs w:val="20"/>
              </w:rPr>
            </w:pPr>
            <w:r w:rsidRPr="00484AAE">
              <w:rPr>
                <w:rFonts w:asciiTheme="minorHAnsi" w:hAnsiTheme="minorHAnsi" w:cs="Arial"/>
                <w:b/>
                <w:sz w:val="20"/>
                <w:szCs w:val="20"/>
              </w:rPr>
              <w:t>Continuing operations</w:t>
            </w:r>
          </w:p>
        </w:tc>
        <w:tc>
          <w:tcPr>
            <w:tcW w:w="1138" w:type="dxa"/>
            <w:tcBorders>
              <w:top w:val="nil"/>
              <w:left w:val="nil"/>
              <w:bottom w:val="single" w:sz="4" w:space="0" w:color="auto"/>
              <w:right w:val="nil"/>
            </w:tcBorders>
            <w:shd w:val="clear" w:color="auto" w:fill="F2F2F2" w:themeFill="background1" w:themeFillShade="F2"/>
          </w:tcPr>
          <w:p w14:paraId="5228F7DD" w14:textId="77777777" w:rsidR="00B55C0A" w:rsidRPr="00BA7829" w:rsidRDefault="00B55C0A">
            <w:pPr>
              <w:jc w:val="right"/>
              <w:rPr>
                <w:rFonts w:asciiTheme="minorHAnsi" w:hAnsiTheme="minorHAnsi" w:cs="Arial"/>
                <w:b/>
                <w:sz w:val="20"/>
                <w:szCs w:val="20"/>
                <w:lang w:val="fr-FR"/>
              </w:rPr>
            </w:pPr>
            <w:r w:rsidRPr="00BA7829">
              <w:rPr>
                <w:rFonts w:asciiTheme="minorHAnsi" w:hAnsiTheme="minorHAnsi" w:cs="Arial"/>
                <w:b/>
                <w:sz w:val="20"/>
                <w:szCs w:val="20"/>
                <w:lang w:val="fr-FR"/>
              </w:rPr>
              <w:t>£m </w:t>
            </w:r>
          </w:p>
        </w:tc>
        <w:tc>
          <w:tcPr>
            <w:tcW w:w="995" w:type="dxa"/>
            <w:tcBorders>
              <w:top w:val="nil"/>
              <w:left w:val="nil"/>
              <w:bottom w:val="single" w:sz="4" w:space="0" w:color="auto"/>
              <w:right w:val="nil"/>
            </w:tcBorders>
            <w:shd w:val="clear" w:color="auto" w:fill="F2F2F2" w:themeFill="background1" w:themeFillShade="F2"/>
          </w:tcPr>
          <w:p w14:paraId="08B9C735" w14:textId="77777777" w:rsidR="00B55C0A" w:rsidRPr="00BA7829" w:rsidRDefault="00B55C0A">
            <w:pPr>
              <w:ind w:left="-108"/>
              <w:jc w:val="right"/>
              <w:rPr>
                <w:rFonts w:asciiTheme="minorHAnsi" w:hAnsiTheme="minorHAnsi" w:cs="Arial"/>
                <w:b/>
                <w:sz w:val="20"/>
                <w:szCs w:val="20"/>
                <w:lang w:val="fr-FR"/>
              </w:rPr>
            </w:pPr>
            <w:r w:rsidRPr="00BA7829">
              <w:rPr>
                <w:rFonts w:asciiTheme="minorHAnsi" w:hAnsiTheme="minorHAnsi" w:cs="Arial"/>
                <w:b/>
                <w:sz w:val="20"/>
                <w:szCs w:val="20"/>
                <w:lang w:val="fr-FR"/>
              </w:rPr>
              <w:t>m </w:t>
            </w:r>
          </w:p>
        </w:tc>
        <w:tc>
          <w:tcPr>
            <w:tcW w:w="1002" w:type="dxa"/>
            <w:tcBorders>
              <w:top w:val="nil"/>
              <w:left w:val="nil"/>
              <w:bottom w:val="single" w:sz="4" w:space="0" w:color="auto"/>
              <w:right w:val="nil"/>
            </w:tcBorders>
            <w:shd w:val="clear" w:color="auto" w:fill="F2F2F2" w:themeFill="background1" w:themeFillShade="F2"/>
          </w:tcPr>
          <w:p w14:paraId="5A1C01A3" w14:textId="77777777" w:rsidR="00B55C0A" w:rsidRPr="00BA7829" w:rsidRDefault="00B55C0A">
            <w:pPr>
              <w:jc w:val="right"/>
              <w:rPr>
                <w:rFonts w:asciiTheme="minorHAnsi" w:hAnsiTheme="minorHAnsi" w:cs="Arial"/>
                <w:b/>
                <w:sz w:val="20"/>
                <w:szCs w:val="20"/>
                <w:lang w:val="fr-FR"/>
              </w:rPr>
            </w:pPr>
            <w:r w:rsidRPr="00BA7829">
              <w:rPr>
                <w:rFonts w:asciiTheme="minorHAnsi" w:hAnsiTheme="minorHAnsi" w:cs="Arial"/>
                <w:b/>
                <w:sz w:val="20"/>
                <w:szCs w:val="20"/>
                <w:lang w:val="fr-FR"/>
              </w:rPr>
              <w:t>pence </w:t>
            </w:r>
          </w:p>
        </w:tc>
        <w:tc>
          <w:tcPr>
            <w:tcW w:w="995" w:type="dxa"/>
            <w:tcBorders>
              <w:top w:val="nil"/>
              <w:left w:val="nil"/>
              <w:bottom w:val="single" w:sz="4" w:space="0" w:color="auto"/>
              <w:right w:val="nil"/>
            </w:tcBorders>
          </w:tcPr>
          <w:p w14:paraId="7F77ABB1" w14:textId="77777777" w:rsidR="00B55C0A" w:rsidRPr="00A36F5C" w:rsidRDefault="00B55C0A">
            <w:pPr>
              <w:jc w:val="right"/>
              <w:rPr>
                <w:rFonts w:asciiTheme="minorHAnsi" w:hAnsiTheme="minorHAnsi" w:cs="Arial"/>
                <w:sz w:val="20"/>
                <w:szCs w:val="20"/>
                <w:lang w:val="fr-FR"/>
              </w:rPr>
            </w:pPr>
            <w:r w:rsidRPr="00A36F5C">
              <w:rPr>
                <w:rFonts w:asciiTheme="minorHAnsi" w:hAnsiTheme="minorHAnsi" w:cs="Arial"/>
                <w:sz w:val="20"/>
                <w:szCs w:val="20"/>
                <w:lang w:val="fr-FR"/>
              </w:rPr>
              <w:t>£m </w:t>
            </w:r>
          </w:p>
        </w:tc>
        <w:tc>
          <w:tcPr>
            <w:tcW w:w="1138" w:type="dxa"/>
            <w:tcBorders>
              <w:top w:val="nil"/>
              <w:left w:val="nil"/>
              <w:bottom w:val="single" w:sz="4" w:space="0" w:color="auto"/>
              <w:right w:val="nil"/>
            </w:tcBorders>
          </w:tcPr>
          <w:p w14:paraId="2D02B191" w14:textId="77777777" w:rsidR="00B55C0A" w:rsidRPr="00A36F5C" w:rsidRDefault="00B55C0A">
            <w:pPr>
              <w:jc w:val="right"/>
              <w:rPr>
                <w:rFonts w:asciiTheme="minorHAnsi" w:hAnsiTheme="minorHAnsi" w:cs="Arial"/>
                <w:sz w:val="20"/>
                <w:szCs w:val="20"/>
                <w:lang w:val="fr-FR"/>
              </w:rPr>
            </w:pPr>
            <w:r w:rsidRPr="00A36F5C">
              <w:rPr>
                <w:rFonts w:asciiTheme="minorHAnsi" w:hAnsiTheme="minorHAnsi" w:cs="Arial"/>
                <w:sz w:val="20"/>
                <w:szCs w:val="20"/>
                <w:lang w:val="fr-FR"/>
              </w:rPr>
              <w:t>m </w:t>
            </w:r>
          </w:p>
        </w:tc>
        <w:tc>
          <w:tcPr>
            <w:tcW w:w="1148" w:type="dxa"/>
            <w:tcBorders>
              <w:top w:val="nil"/>
              <w:left w:val="nil"/>
              <w:bottom w:val="single" w:sz="4" w:space="0" w:color="auto"/>
              <w:right w:val="nil"/>
            </w:tcBorders>
          </w:tcPr>
          <w:p w14:paraId="5B62E2B6" w14:textId="77777777" w:rsidR="00B55C0A" w:rsidRPr="00A36F5C" w:rsidRDefault="00B55C0A">
            <w:pPr>
              <w:jc w:val="right"/>
              <w:rPr>
                <w:rFonts w:asciiTheme="minorHAnsi" w:hAnsiTheme="minorHAnsi" w:cs="Arial"/>
                <w:sz w:val="20"/>
                <w:szCs w:val="20"/>
                <w:lang w:val="fr-FR"/>
              </w:rPr>
            </w:pPr>
            <w:r w:rsidRPr="00A36F5C">
              <w:rPr>
                <w:rFonts w:asciiTheme="minorHAnsi" w:hAnsiTheme="minorHAnsi" w:cs="Arial"/>
                <w:sz w:val="20"/>
                <w:szCs w:val="20"/>
                <w:lang w:val="fr-FR"/>
              </w:rPr>
              <w:t>pence </w:t>
            </w:r>
          </w:p>
        </w:tc>
      </w:tr>
      <w:tr w:rsidR="00B55C0A" w:rsidRPr="00A36F5C" w14:paraId="73CD39D5" w14:textId="77777777" w:rsidTr="007E6333">
        <w:trPr>
          <w:trHeight w:val="207"/>
        </w:trPr>
        <w:tc>
          <w:tcPr>
            <w:tcW w:w="3560" w:type="dxa"/>
            <w:tcBorders>
              <w:top w:val="single" w:sz="4" w:space="0" w:color="auto"/>
            </w:tcBorders>
            <w:vAlign w:val="bottom"/>
          </w:tcPr>
          <w:p w14:paraId="50D8AFC4" w14:textId="616E0493" w:rsidR="00B55C0A" w:rsidRPr="00A36F5C" w:rsidRDefault="00B55C0A">
            <w:pPr>
              <w:rPr>
                <w:rFonts w:asciiTheme="minorHAnsi" w:hAnsiTheme="minorHAnsi" w:cs="Arial"/>
                <w:b/>
                <w:sz w:val="20"/>
                <w:szCs w:val="20"/>
              </w:rPr>
            </w:pPr>
            <w:r w:rsidRPr="00A36F5C">
              <w:rPr>
                <w:rFonts w:asciiTheme="minorHAnsi" w:hAnsiTheme="minorHAnsi" w:cs="Arial"/>
                <w:b/>
                <w:sz w:val="20"/>
                <w:szCs w:val="20"/>
              </w:rPr>
              <w:t xml:space="preserve">Basic </w:t>
            </w:r>
            <w:r w:rsidR="003874FE" w:rsidRPr="003874FE">
              <w:rPr>
                <w:rFonts w:asciiTheme="minorHAnsi" w:hAnsiTheme="minorHAnsi" w:cs="Arial"/>
                <w:b/>
                <w:sz w:val="20"/>
                <w:szCs w:val="20"/>
              </w:rPr>
              <w:t>earnings/(</w:t>
            </w:r>
            <w:r w:rsidRPr="003874FE">
              <w:rPr>
                <w:rFonts w:asciiTheme="minorHAnsi" w:hAnsiTheme="minorHAnsi" w:cs="Arial"/>
                <w:b/>
                <w:sz w:val="20"/>
                <w:szCs w:val="20"/>
              </w:rPr>
              <w:t>loss</w:t>
            </w:r>
            <w:r w:rsidR="003874FE" w:rsidRPr="003874FE">
              <w:rPr>
                <w:rFonts w:asciiTheme="minorHAnsi" w:hAnsiTheme="minorHAnsi" w:cs="Arial"/>
                <w:b/>
                <w:sz w:val="20"/>
                <w:szCs w:val="20"/>
              </w:rPr>
              <w:t>)</w:t>
            </w:r>
            <w:r w:rsidRPr="00A36F5C">
              <w:rPr>
                <w:rFonts w:asciiTheme="minorHAnsi" w:hAnsiTheme="minorHAnsi" w:cs="Arial"/>
                <w:b/>
                <w:sz w:val="20"/>
                <w:szCs w:val="20"/>
              </w:rPr>
              <w:t xml:space="preserve"> per share </w:t>
            </w:r>
          </w:p>
        </w:tc>
        <w:tc>
          <w:tcPr>
            <w:tcW w:w="1138" w:type="dxa"/>
            <w:tcBorders>
              <w:left w:val="nil"/>
              <w:bottom w:val="nil"/>
              <w:right w:val="nil"/>
            </w:tcBorders>
            <w:shd w:val="clear" w:color="auto" w:fill="F2F2F2" w:themeFill="background1" w:themeFillShade="F2"/>
            <w:vAlign w:val="bottom"/>
          </w:tcPr>
          <w:p w14:paraId="23DBC680" w14:textId="0545929B" w:rsidR="00B55C0A" w:rsidRPr="006D4208" w:rsidRDefault="000A2816">
            <w:pPr>
              <w:jc w:val="right"/>
              <w:rPr>
                <w:rFonts w:asciiTheme="minorHAnsi" w:hAnsiTheme="minorHAnsi" w:cstheme="minorHAnsi"/>
                <w:b/>
                <w:sz w:val="20"/>
                <w:szCs w:val="20"/>
              </w:rPr>
            </w:pPr>
            <w:r>
              <w:rPr>
                <w:rFonts w:asciiTheme="minorHAnsi" w:hAnsiTheme="minorHAnsi" w:cstheme="minorHAnsi"/>
                <w:b/>
                <w:sz w:val="20"/>
                <w:szCs w:val="20"/>
              </w:rPr>
              <w:t>4.9</w:t>
            </w:r>
          </w:p>
        </w:tc>
        <w:tc>
          <w:tcPr>
            <w:tcW w:w="995" w:type="dxa"/>
            <w:tcBorders>
              <w:left w:val="nil"/>
              <w:bottom w:val="nil"/>
              <w:right w:val="nil"/>
            </w:tcBorders>
            <w:shd w:val="clear" w:color="auto" w:fill="F2F2F2" w:themeFill="background1" w:themeFillShade="F2"/>
            <w:vAlign w:val="bottom"/>
          </w:tcPr>
          <w:p w14:paraId="415ADD3D" w14:textId="3C741CF7" w:rsidR="00B55C0A" w:rsidRPr="006D4208" w:rsidRDefault="000A2816">
            <w:pPr>
              <w:ind w:left="-108"/>
              <w:jc w:val="right"/>
              <w:rPr>
                <w:rFonts w:asciiTheme="minorHAnsi" w:hAnsiTheme="minorHAnsi" w:cstheme="minorHAnsi"/>
                <w:b/>
                <w:sz w:val="20"/>
                <w:szCs w:val="20"/>
              </w:rPr>
            </w:pPr>
            <w:r>
              <w:rPr>
                <w:rFonts w:asciiTheme="minorHAnsi" w:hAnsiTheme="minorHAnsi" w:cstheme="minorHAnsi"/>
                <w:b/>
                <w:sz w:val="20"/>
                <w:szCs w:val="20"/>
              </w:rPr>
              <w:t>254.5</w:t>
            </w:r>
          </w:p>
        </w:tc>
        <w:tc>
          <w:tcPr>
            <w:tcW w:w="1002" w:type="dxa"/>
            <w:tcBorders>
              <w:left w:val="nil"/>
              <w:bottom w:val="nil"/>
              <w:right w:val="nil"/>
            </w:tcBorders>
            <w:shd w:val="clear" w:color="auto" w:fill="F2F2F2" w:themeFill="background1" w:themeFillShade="F2"/>
            <w:vAlign w:val="bottom"/>
          </w:tcPr>
          <w:p w14:paraId="55E6449A" w14:textId="648B5948" w:rsidR="00B55C0A" w:rsidRPr="006D4208" w:rsidRDefault="000A2816">
            <w:pPr>
              <w:jc w:val="right"/>
              <w:rPr>
                <w:rFonts w:asciiTheme="minorHAnsi" w:hAnsiTheme="minorHAnsi" w:cstheme="minorHAnsi"/>
                <w:b/>
                <w:sz w:val="20"/>
                <w:szCs w:val="20"/>
              </w:rPr>
            </w:pPr>
            <w:r>
              <w:rPr>
                <w:rFonts w:asciiTheme="minorHAnsi" w:hAnsiTheme="minorHAnsi" w:cstheme="minorHAnsi"/>
                <w:b/>
                <w:sz w:val="20"/>
                <w:szCs w:val="20"/>
              </w:rPr>
              <w:t>1.9</w:t>
            </w:r>
          </w:p>
        </w:tc>
        <w:tc>
          <w:tcPr>
            <w:tcW w:w="995" w:type="dxa"/>
            <w:tcBorders>
              <w:left w:val="nil"/>
              <w:bottom w:val="nil"/>
              <w:right w:val="nil"/>
            </w:tcBorders>
            <w:shd w:val="clear" w:color="auto" w:fill="FFFFFF" w:themeFill="background1"/>
            <w:vAlign w:val="bottom"/>
          </w:tcPr>
          <w:p w14:paraId="7DE2A0CF" w14:textId="1A75A10C" w:rsidR="00B55C0A" w:rsidRPr="006D4208" w:rsidRDefault="006836BF">
            <w:pPr>
              <w:jc w:val="right"/>
              <w:rPr>
                <w:rFonts w:asciiTheme="minorHAnsi" w:hAnsiTheme="minorHAnsi" w:cstheme="minorHAnsi"/>
                <w:sz w:val="20"/>
                <w:szCs w:val="20"/>
              </w:rPr>
            </w:pPr>
            <w:r w:rsidRPr="007E6333">
              <w:rPr>
                <w:rFonts w:asciiTheme="minorHAnsi" w:hAnsiTheme="minorHAnsi" w:cstheme="minorHAnsi"/>
                <w:sz w:val="20"/>
                <w:szCs w:val="20"/>
              </w:rPr>
              <w:t>(35.5)</w:t>
            </w:r>
          </w:p>
        </w:tc>
        <w:tc>
          <w:tcPr>
            <w:tcW w:w="1138" w:type="dxa"/>
            <w:tcBorders>
              <w:left w:val="nil"/>
              <w:bottom w:val="nil"/>
              <w:right w:val="nil"/>
            </w:tcBorders>
            <w:shd w:val="clear" w:color="auto" w:fill="FFFFFF" w:themeFill="background1"/>
            <w:vAlign w:val="bottom"/>
          </w:tcPr>
          <w:p w14:paraId="7A400F5F" w14:textId="7F02660C" w:rsidR="00B55C0A" w:rsidRPr="006D4208" w:rsidRDefault="00A42E14">
            <w:pPr>
              <w:ind w:left="-108"/>
              <w:jc w:val="right"/>
              <w:rPr>
                <w:rFonts w:asciiTheme="minorHAnsi" w:hAnsiTheme="minorHAnsi" w:cstheme="minorHAnsi"/>
                <w:sz w:val="20"/>
                <w:szCs w:val="20"/>
              </w:rPr>
            </w:pPr>
            <w:r w:rsidRPr="00080207">
              <w:rPr>
                <w:rFonts w:asciiTheme="minorHAnsi" w:hAnsiTheme="minorHAnsi" w:cstheme="minorHAnsi"/>
                <w:bCs/>
                <w:sz w:val="20"/>
                <w:szCs w:val="20"/>
              </w:rPr>
              <w:t>254.7</w:t>
            </w:r>
          </w:p>
        </w:tc>
        <w:tc>
          <w:tcPr>
            <w:tcW w:w="1148" w:type="dxa"/>
            <w:tcBorders>
              <w:left w:val="nil"/>
              <w:bottom w:val="nil"/>
              <w:right w:val="nil"/>
            </w:tcBorders>
            <w:shd w:val="clear" w:color="auto" w:fill="FFFFFF" w:themeFill="background1"/>
            <w:vAlign w:val="bottom"/>
          </w:tcPr>
          <w:p w14:paraId="069A9831" w14:textId="0FF07651" w:rsidR="00B55C0A" w:rsidRPr="006D4208" w:rsidRDefault="007E6333">
            <w:pPr>
              <w:jc w:val="right"/>
              <w:rPr>
                <w:rFonts w:asciiTheme="minorHAnsi" w:hAnsiTheme="minorHAnsi" w:cstheme="minorHAnsi"/>
                <w:sz w:val="20"/>
                <w:szCs w:val="20"/>
              </w:rPr>
            </w:pPr>
            <w:r w:rsidRPr="007E6333">
              <w:rPr>
                <w:rFonts w:asciiTheme="minorHAnsi" w:hAnsiTheme="minorHAnsi" w:cstheme="minorHAnsi"/>
                <w:sz w:val="20"/>
                <w:szCs w:val="20"/>
              </w:rPr>
              <w:t>(13.9)</w:t>
            </w:r>
          </w:p>
        </w:tc>
      </w:tr>
      <w:tr w:rsidR="00B55C0A" w:rsidRPr="00A36F5C" w14:paraId="71DEC16B" w14:textId="77777777" w:rsidTr="007E6333">
        <w:trPr>
          <w:trHeight w:val="426"/>
        </w:trPr>
        <w:tc>
          <w:tcPr>
            <w:tcW w:w="3560" w:type="dxa"/>
            <w:tcBorders>
              <w:bottom w:val="single" w:sz="4" w:space="0" w:color="auto"/>
            </w:tcBorders>
            <w:vAlign w:val="bottom"/>
          </w:tcPr>
          <w:p w14:paraId="23309CC3" w14:textId="77777777" w:rsidR="00B55C0A" w:rsidRPr="00A36F5C" w:rsidRDefault="00B55C0A">
            <w:pPr>
              <w:rPr>
                <w:rFonts w:asciiTheme="minorHAnsi" w:hAnsiTheme="minorHAnsi" w:cs="Arial"/>
                <w:sz w:val="20"/>
                <w:szCs w:val="20"/>
              </w:rPr>
            </w:pPr>
            <w:r w:rsidRPr="00A36F5C">
              <w:rPr>
                <w:rFonts w:asciiTheme="minorHAnsi" w:hAnsiTheme="minorHAnsi" w:cs="Arial"/>
                <w:sz w:val="20"/>
                <w:szCs w:val="20"/>
              </w:rPr>
              <w:t>Dilutive effect of share options and awards</w:t>
            </w:r>
          </w:p>
        </w:tc>
        <w:tc>
          <w:tcPr>
            <w:tcW w:w="1138" w:type="dxa"/>
            <w:tcBorders>
              <w:top w:val="nil"/>
              <w:left w:val="nil"/>
              <w:bottom w:val="single" w:sz="4" w:space="0" w:color="auto"/>
              <w:right w:val="nil"/>
            </w:tcBorders>
            <w:shd w:val="clear" w:color="auto" w:fill="F2F2F2" w:themeFill="background1" w:themeFillShade="F2"/>
            <w:vAlign w:val="bottom"/>
          </w:tcPr>
          <w:p w14:paraId="1AFAAC66" w14:textId="6C8D8BA3" w:rsidR="00B55C0A" w:rsidRPr="006D4208" w:rsidRDefault="000A2816">
            <w:pPr>
              <w:jc w:val="right"/>
              <w:rPr>
                <w:rFonts w:asciiTheme="minorHAnsi" w:hAnsiTheme="minorHAnsi" w:cstheme="minorHAnsi"/>
                <w:b/>
                <w:sz w:val="20"/>
                <w:szCs w:val="20"/>
              </w:rPr>
            </w:pPr>
            <w:r>
              <w:rPr>
                <w:rFonts w:asciiTheme="minorHAnsi" w:hAnsiTheme="minorHAnsi" w:cstheme="minorHAnsi"/>
                <w:b/>
                <w:sz w:val="20"/>
                <w:szCs w:val="20"/>
              </w:rPr>
              <w:t>-</w:t>
            </w:r>
          </w:p>
        </w:tc>
        <w:tc>
          <w:tcPr>
            <w:tcW w:w="995" w:type="dxa"/>
            <w:tcBorders>
              <w:top w:val="nil"/>
              <w:left w:val="nil"/>
              <w:bottom w:val="single" w:sz="4" w:space="0" w:color="auto"/>
              <w:right w:val="nil"/>
            </w:tcBorders>
            <w:shd w:val="clear" w:color="auto" w:fill="F2F2F2" w:themeFill="background1" w:themeFillShade="F2"/>
            <w:vAlign w:val="bottom"/>
          </w:tcPr>
          <w:p w14:paraId="1DB48A71" w14:textId="390F500B" w:rsidR="00B55C0A" w:rsidRPr="006D4208" w:rsidRDefault="00904175">
            <w:pPr>
              <w:ind w:left="-108"/>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7</w:t>
            </w:r>
            <w:r w:rsidR="00BB7CA8">
              <w:rPr>
                <w:rFonts w:asciiTheme="minorHAnsi" w:hAnsiTheme="minorHAnsi" w:cstheme="minorHAnsi"/>
                <w:b/>
                <w:color w:val="000000" w:themeColor="text1"/>
                <w:sz w:val="20"/>
                <w:szCs w:val="20"/>
              </w:rPr>
              <w:t>.</w:t>
            </w:r>
            <w:r w:rsidR="00B21A27">
              <w:rPr>
                <w:rFonts w:asciiTheme="minorHAnsi" w:hAnsiTheme="minorHAnsi" w:cstheme="minorHAnsi"/>
                <w:b/>
                <w:color w:val="000000" w:themeColor="text1"/>
                <w:sz w:val="20"/>
                <w:szCs w:val="20"/>
              </w:rPr>
              <w:t>7</w:t>
            </w:r>
          </w:p>
        </w:tc>
        <w:tc>
          <w:tcPr>
            <w:tcW w:w="1002" w:type="dxa"/>
            <w:tcBorders>
              <w:top w:val="nil"/>
              <w:left w:val="nil"/>
              <w:bottom w:val="single" w:sz="4" w:space="0" w:color="auto"/>
              <w:right w:val="nil"/>
            </w:tcBorders>
            <w:shd w:val="clear" w:color="auto" w:fill="F2F2F2" w:themeFill="background1" w:themeFillShade="F2"/>
            <w:vAlign w:val="bottom"/>
          </w:tcPr>
          <w:p w14:paraId="322FCC2C" w14:textId="0F9F765E" w:rsidR="00B55C0A" w:rsidRPr="006D4208" w:rsidRDefault="00364F66">
            <w:pPr>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w:t>
            </w:r>
          </w:p>
        </w:tc>
        <w:tc>
          <w:tcPr>
            <w:tcW w:w="995" w:type="dxa"/>
            <w:tcBorders>
              <w:top w:val="nil"/>
              <w:left w:val="nil"/>
              <w:bottom w:val="single" w:sz="4" w:space="0" w:color="auto"/>
              <w:right w:val="nil"/>
            </w:tcBorders>
            <w:shd w:val="clear" w:color="auto" w:fill="FFFFFF" w:themeFill="background1"/>
            <w:vAlign w:val="bottom"/>
          </w:tcPr>
          <w:p w14:paraId="6EB87385" w14:textId="7ABA65FE" w:rsidR="00B55C0A" w:rsidRPr="006D4208" w:rsidRDefault="003874FE">
            <w:pPr>
              <w:jc w:val="right"/>
              <w:rPr>
                <w:rFonts w:asciiTheme="minorHAnsi" w:hAnsiTheme="minorHAnsi" w:cstheme="minorHAnsi"/>
                <w:sz w:val="20"/>
                <w:szCs w:val="20"/>
              </w:rPr>
            </w:pPr>
            <w:r>
              <w:rPr>
                <w:rFonts w:asciiTheme="minorHAnsi" w:hAnsiTheme="minorHAnsi" w:cstheme="minorHAnsi"/>
                <w:sz w:val="20"/>
                <w:szCs w:val="20"/>
              </w:rPr>
              <w:t>-</w:t>
            </w:r>
          </w:p>
        </w:tc>
        <w:tc>
          <w:tcPr>
            <w:tcW w:w="1138" w:type="dxa"/>
            <w:tcBorders>
              <w:top w:val="nil"/>
              <w:left w:val="nil"/>
              <w:bottom w:val="single" w:sz="4" w:space="0" w:color="auto"/>
              <w:right w:val="nil"/>
            </w:tcBorders>
            <w:shd w:val="clear" w:color="auto" w:fill="FFFFFF" w:themeFill="background1"/>
            <w:vAlign w:val="bottom"/>
          </w:tcPr>
          <w:p w14:paraId="3534B6B8" w14:textId="1A11D41F" w:rsidR="00B55C0A" w:rsidRPr="006D4208" w:rsidRDefault="00A42E14">
            <w:pPr>
              <w:ind w:left="-108"/>
              <w:jc w:val="right"/>
              <w:rPr>
                <w:rFonts w:asciiTheme="minorHAnsi" w:hAnsiTheme="minorHAnsi" w:cstheme="minorHAnsi"/>
                <w:sz w:val="20"/>
                <w:szCs w:val="20"/>
              </w:rPr>
            </w:pPr>
            <w:r w:rsidRPr="00080207">
              <w:rPr>
                <w:rFonts w:asciiTheme="minorHAnsi" w:hAnsiTheme="minorHAnsi" w:cstheme="minorHAnsi"/>
                <w:bCs/>
                <w:color w:val="000000" w:themeColor="text1"/>
                <w:sz w:val="20"/>
                <w:szCs w:val="20"/>
              </w:rPr>
              <w:t>-</w:t>
            </w:r>
          </w:p>
        </w:tc>
        <w:tc>
          <w:tcPr>
            <w:tcW w:w="1148" w:type="dxa"/>
            <w:tcBorders>
              <w:top w:val="nil"/>
              <w:left w:val="nil"/>
              <w:bottom w:val="single" w:sz="4" w:space="0" w:color="auto"/>
              <w:right w:val="nil"/>
            </w:tcBorders>
            <w:shd w:val="clear" w:color="auto" w:fill="FFFFFF" w:themeFill="background1"/>
            <w:vAlign w:val="bottom"/>
          </w:tcPr>
          <w:p w14:paraId="42527EFF" w14:textId="5BE7C42C" w:rsidR="00B55C0A" w:rsidRPr="006D4208" w:rsidRDefault="003874FE">
            <w:pPr>
              <w:jc w:val="right"/>
              <w:rPr>
                <w:rFonts w:asciiTheme="minorHAnsi" w:hAnsiTheme="minorHAnsi" w:cstheme="minorHAnsi"/>
                <w:sz w:val="20"/>
                <w:szCs w:val="20"/>
              </w:rPr>
            </w:pPr>
            <w:r>
              <w:rPr>
                <w:rFonts w:asciiTheme="minorHAnsi" w:hAnsiTheme="minorHAnsi" w:cstheme="minorHAnsi"/>
                <w:sz w:val="20"/>
                <w:szCs w:val="20"/>
              </w:rPr>
              <w:t>-</w:t>
            </w:r>
          </w:p>
        </w:tc>
      </w:tr>
      <w:tr w:rsidR="00B55C0A" w:rsidRPr="00A36F5C" w14:paraId="23AD1A1E" w14:textId="77777777" w:rsidTr="007E6333">
        <w:trPr>
          <w:trHeight w:val="194"/>
        </w:trPr>
        <w:tc>
          <w:tcPr>
            <w:tcW w:w="3560" w:type="dxa"/>
            <w:tcBorders>
              <w:top w:val="single" w:sz="4" w:space="0" w:color="auto"/>
              <w:bottom w:val="single" w:sz="12" w:space="0" w:color="auto"/>
            </w:tcBorders>
            <w:vAlign w:val="bottom"/>
          </w:tcPr>
          <w:p w14:paraId="09AF1C56" w14:textId="1CFEDC77" w:rsidR="00B55C0A" w:rsidRPr="00A36F5C" w:rsidRDefault="00B55C0A">
            <w:pPr>
              <w:rPr>
                <w:rFonts w:asciiTheme="minorHAnsi" w:hAnsiTheme="minorHAnsi" w:cs="Arial"/>
                <w:b/>
                <w:sz w:val="20"/>
                <w:szCs w:val="20"/>
              </w:rPr>
            </w:pPr>
            <w:r w:rsidRPr="003874FE">
              <w:rPr>
                <w:rFonts w:asciiTheme="minorHAnsi" w:hAnsiTheme="minorHAnsi" w:cs="Arial"/>
                <w:b/>
                <w:sz w:val="20"/>
                <w:szCs w:val="20"/>
              </w:rPr>
              <w:t xml:space="preserve">Diluted </w:t>
            </w:r>
            <w:r w:rsidR="003874FE" w:rsidRPr="003874FE">
              <w:rPr>
                <w:rFonts w:asciiTheme="minorHAnsi" w:hAnsiTheme="minorHAnsi" w:cs="Arial"/>
                <w:b/>
                <w:sz w:val="20"/>
                <w:szCs w:val="20"/>
              </w:rPr>
              <w:t>earnings/(</w:t>
            </w:r>
            <w:r w:rsidRPr="003874FE">
              <w:rPr>
                <w:rFonts w:asciiTheme="minorHAnsi" w:hAnsiTheme="minorHAnsi" w:cs="Arial"/>
                <w:b/>
                <w:sz w:val="20"/>
                <w:szCs w:val="20"/>
              </w:rPr>
              <w:t>loss</w:t>
            </w:r>
            <w:r w:rsidR="003874FE" w:rsidRPr="003874FE">
              <w:rPr>
                <w:rFonts w:asciiTheme="minorHAnsi" w:hAnsiTheme="minorHAnsi" w:cs="Arial"/>
                <w:b/>
                <w:sz w:val="20"/>
                <w:szCs w:val="20"/>
              </w:rPr>
              <w:t>)</w:t>
            </w:r>
            <w:r w:rsidRPr="00A36F5C">
              <w:rPr>
                <w:rFonts w:asciiTheme="minorHAnsi" w:hAnsiTheme="minorHAnsi" w:cs="Arial"/>
                <w:b/>
                <w:sz w:val="20"/>
                <w:szCs w:val="20"/>
              </w:rPr>
              <w:t xml:space="preserve"> per share </w:t>
            </w:r>
          </w:p>
        </w:tc>
        <w:tc>
          <w:tcPr>
            <w:tcW w:w="1138" w:type="dxa"/>
            <w:tcBorders>
              <w:top w:val="single" w:sz="4" w:space="0" w:color="auto"/>
              <w:left w:val="nil"/>
              <w:bottom w:val="single" w:sz="12" w:space="0" w:color="auto"/>
              <w:right w:val="nil"/>
            </w:tcBorders>
            <w:shd w:val="clear" w:color="auto" w:fill="F2F2F2" w:themeFill="background1" w:themeFillShade="F2"/>
          </w:tcPr>
          <w:p w14:paraId="1DDEC977" w14:textId="5F1439A7" w:rsidR="00B55C0A" w:rsidRPr="006D4208" w:rsidRDefault="00642155">
            <w:pPr>
              <w:jc w:val="right"/>
              <w:rPr>
                <w:rFonts w:asciiTheme="minorHAnsi" w:hAnsiTheme="minorHAnsi" w:cstheme="minorHAnsi"/>
                <w:b/>
                <w:sz w:val="20"/>
                <w:szCs w:val="20"/>
              </w:rPr>
            </w:pPr>
            <w:r>
              <w:rPr>
                <w:rFonts w:asciiTheme="minorHAnsi" w:hAnsiTheme="minorHAnsi" w:cstheme="minorHAnsi"/>
                <w:b/>
                <w:sz w:val="20"/>
                <w:szCs w:val="20"/>
              </w:rPr>
              <w:t>4.9</w:t>
            </w:r>
          </w:p>
        </w:tc>
        <w:tc>
          <w:tcPr>
            <w:tcW w:w="995" w:type="dxa"/>
            <w:tcBorders>
              <w:top w:val="single" w:sz="4" w:space="0" w:color="auto"/>
              <w:left w:val="nil"/>
              <w:bottom w:val="single" w:sz="12" w:space="0" w:color="auto"/>
              <w:right w:val="nil"/>
            </w:tcBorders>
            <w:shd w:val="clear" w:color="auto" w:fill="F2F2F2" w:themeFill="background1" w:themeFillShade="F2"/>
          </w:tcPr>
          <w:p w14:paraId="06E392E1" w14:textId="204EB014" w:rsidR="00B55C0A" w:rsidRPr="006D4208" w:rsidRDefault="00B21A27">
            <w:pPr>
              <w:ind w:left="-108"/>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262.2</w:t>
            </w:r>
          </w:p>
        </w:tc>
        <w:tc>
          <w:tcPr>
            <w:tcW w:w="1002" w:type="dxa"/>
            <w:tcBorders>
              <w:top w:val="single" w:sz="4" w:space="0" w:color="auto"/>
              <w:left w:val="nil"/>
              <w:bottom w:val="single" w:sz="12" w:space="0" w:color="auto"/>
              <w:right w:val="nil"/>
            </w:tcBorders>
            <w:shd w:val="clear" w:color="auto" w:fill="F2F2F2" w:themeFill="background1" w:themeFillShade="F2"/>
          </w:tcPr>
          <w:p w14:paraId="63868180" w14:textId="32F45AB4" w:rsidR="00B55C0A" w:rsidRPr="006D4208" w:rsidRDefault="00A9052E">
            <w:pPr>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1.9</w:t>
            </w:r>
          </w:p>
        </w:tc>
        <w:tc>
          <w:tcPr>
            <w:tcW w:w="995" w:type="dxa"/>
            <w:tcBorders>
              <w:top w:val="single" w:sz="4" w:space="0" w:color="auto"/>
              <w:left w:val="nil"/>
              <w:bottom w:val="single" w:sz="12" w:space="0" w:color="auto"/>
              <w:right w:val="nil"/>
            </w:tcBorders>
            <w:shd w:val="clear" w:color="auto" w:fill="FFFFFF" w:themeFill="background1"/>
          </w:tcPr>
          <w:p w14:paraId="3A22FB72" w14:textId="1C9980B9" w:rsidR="00B55C0A" w:rsidRPr="006D4208" w:rsidRDefault="007E6333">
            <w:pPr>
              <w:jc w:val="right"/>
              <w:rPr>
                <w:rFonts w:asciiTheme="minorHAnsi" w:hAnsiTheme="minorHAnsi" w:cstheme="minorHAnsi"/>
                <w:sz w:val="20"/>
                <w:szCs w:val="20"/>
              </w:rPr>
            </w:pPr>
            <w:r w:rsidRPr="007E6333">
              <w:rPr>
                <w:rFonts w:asciiTheme="minorHAnsi" w:hAnsiTheme="minorHAnsi" w:cstheme="minorHAnsi"/>
                <w:sz w:val="20"/>
                <w:szCs w:val="20"/>
              </w:rPr>
              <w:t>(35.5)</w:t>
            </w:r>
          </w:p>
        </w:tc>
        <w:tc>
          <w:tcPr>
            <w:tcW w:w="1138" w:type="dxa"/>
            <w:tcBorders>
              <w:top w:val="single" w:sz="4" w:space="0" w:color="auto"/>
              <w:left w:val="nil"/>
              <w:bottom w:val="single" w:sz="12" w:space="0" w:color="auto"/>
              <w:right w:val="nil"/>
            </w:tcBorders>
            <w:shd w:val="clear" w:color="auto" w:fill="FFFFFF" w:themeFill="background1"/>
          </w:tcPr>
          <w:p w14:paraId="6B150620" w14:textId="3903632F" w:rsidR="00B55C0A" w:rsidRPr="006D4208" w:rsidRDefault="00A42E14">
            <w:pPr>
              <w:ind w:left="-108"/>
              <w:jc w:val="right"/>
              <w:rPr>
                <w:rFonts w:asciiTheme="minorHAnsi" w:hAnsiTheme="minorHAnsi" w:cstheme="minorHAnsi"/>
                <w:sz w:val="20"/>
                <w:szCs w:val="20"/>
              </w:rPr>
            </w:pPr>
            <w:r w:rsidRPr="00080207">
              <w:rPr>
                <w:rFonts w:asciiTheme="minorHAnsi" w:hAnsiTheme="minorHAnsi" w:cstheme="minorHAnsi"/>
                <w:bCs/>
                <w:color w:val="000000" w:themeColor="text1"/>
                <w:sz w:val="20"/>
                <w:szCs w:val="20"/>
              </w:rPr>
              <w:t>254.7</w:t>
            </w:r>
          </w:p>
        </w:tc>
        <w:tc>
          <w:tcPr>
            <w:tcW w:w="1148" w:type="dxa"/>
            <w:tcBorders>
              <w:top w:val="single" w:sz="4" w:space="0" w:color="auto"/>
              <w:left w:val="nil"/>
              <w:bottom w:val="single" w:sz="12" w:space="0" w:color="auto"/>
              <w:right w:val="nil"/>
            </w:tcBorders>
            <w:shd w:val="clear" w:color="auto" w:fill="FFFFFF" w:themeFill="background1"/>
          </w:tcPr>
          <w:p w14:paraId="2098DEEE" w14:textId="225121AB" w:rsidR="00B55C0A" w:rsidRPr="006D4208" w:rsidRDefault="007E6333">
            <w:pPr>
              <w:jc w:val="right"/>
              <w:rPr>
                <w:rFonts w:asciiTheme="minorHAnsi" w:hAnsiTheme="minorHAnsi" w:cstheme="minorHAnsi"/>
                <w:sz w:val="20"/>
                <w:szCs w:val="20"/>
              </w:rPr>
            </w:pPr>
            <w:r w:rsidRPr="007E6333">
              <w:rPr>
                <w:rFonts w:asciiTheme="minorHAnsi" w:hAnsiTheme="minorHAnsi" w:cstheme="minorHAnsi"/>
                <w:sz w:val="20"/>
                <w:szCs w:val="20"/>
              </w:rPr>
              <w:t>(13.9)</w:t>
            </w:r>
          </w:p>
        </w:tc>
      </w:tr>
    </w:tbl>
    <w:p w14:paraId="0D06E20C" w14:textId="77777777" w:rsidR="00B858A9" w:rsidRDefault="00B858A9" w:rsidP="006677D7">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Poppins-Light"/>
          <w:color w:val="auto"/>
          <w:sz w:val="20"/>
          <w:lang w:eastAsia="en-GB"/>
        </w:rPr>
      </w:pPr>
    </w:p>
    <w:tbl>
      <w:tblPr>
        <w:tblW w:w="9976" w:type="dxa"/>
        <w:tblLayout w:type="fixed"/>
        <w:tblLook w:val="0000" w:firstRow="0" w:lastRow="0" w:firstColumn="0" w:lastColumn="0" w:noHBand="0" w:noVBand="0"/>
      </w:tblPr>
      <w:tblGrid>
        <w:gridCol w:w="3560"/>
        <w:gridCol w:w="1138"/>
        <w:gridCol w:w="995"/>
        <w:gridCol w:w="1002"/>
        <w:gridCol w:w="995"/>
        <w:gridCol w:w="1138"/>
        <w:gridCol w:w="1148"/>
      </w:tblGrid>
      <w:tr w:rsidR="00080207" w:rsidRPr="00A36F5C" w14:paraId="32009E1C" w14:textId="77777777">
        <w:trPr>
          <w:trHeight w:val="207"/>
        </w:trPr>
        <w:tc>
          <w:tcPr>
            <w:tcW w:w="3560" w:type="dxa"/>
          </w:tcPr>
          <w:p w14:paraId="734CB58C" w14:textId="77777777" w:rsidR="00080207" w:rsidRPr="00A36F5C" w:rsidRDefault="00080207" w:rsidP="00003556">
            <w:pPr>
              <w:rPr>
                <w:rFonts w:asciiTheme="minorHAnsi" w:hAnsiTheme="minorHAnsi" w:cs="Arial"/>
                <w:sz w:val="20"/>
                <w:szCs w:val="20"/>
              </w:rPr>
            </w:pPr>
          </w:p>
        </w:tc>
        <w:tc>
          <w:tcPr>
            <w:tcW w:w="6416" w:type="dxa"/>
            <w:gridSpan w:val="6"/>
          </w:tcPr>
          <w:p w14:paraId="60DDA49A" w14:textId="31375FDC" w:rsidR="00080207" w:rsidRPr="00A36F5C" w:rsidRDefault="00080207">
            <w:pPr>
              <w:jc w:val="center"/>
              <w:rPr>
                <w:rFonts w:asciiTheme="minorHAnsi" w:hAnsiTheme="minorHAnsi" w:cs="Arial"/>
                <w:sz w:val="20"/>
                <w:szCs w:val="20"/>
              </w:rPr>
            </w:pPr>
            <w:r>
              <w:rPr>
                <w:rFonts w:asciiTheme="minorHAnsi" w:hAnsiTheme="minorHAnsi" w:cs="Arial"/>
                <w:sz w:val="20"/>
                <w:szCs w:val="20"/>
              </w:rPr>
              <w:t>Six months ended 30 June</w:t>
            </w:r>
            <w:r w:rsidR="00321008">
              <w:rPr>
                <w:rFonts w:asciiTheme="minorHAnsi" w:hAnsiTheme="minorHAnsi" w:cs="Arial"/>
                <w:sz w:val="20"/>
                <w:szCs w:val="20"/>
              </w:rPr>
              <w:t xml:space="preserve"> unaudited</w:t>
            </w:r>
          </w:p>
        </w:tc>
      </w:tr>
      <w:tr w:rsidR="00080207" w:rsidRPr="00A36F5C" w14:paraId="66142446" w14:textId="77777777">
        <w:trPr>
          <w:trHeight w:val="300"/>
        </w:trPr>
        <w:tc>
          <w:tcPr>
            <w:tcW w:w="3560" w:type="dxa"/>
          </w:tcPr>
          <w:p w14:paraId="5CBE5CCE" w14:textId="77777777" w:rsidR="00080207" w:rsidRPr="00A36F5C" w:rsidRDefault="00080207">
            <w:pPr>
              <w:jc w:val="right"/>
              <w:rPr>
                <w:rFonts w:asciiTheme="minorHAnsi" w:hAnsiTheme="minorHAnsi" w:cs="Arial"/>
                <w:sz w:val="20"/>
                <w:szCs w:val="20"/>
              </w:rPr>
            </w:pPr>
          </w:p>
        </w:tc>
        <w:tc>
          <w:tcPr>
            <w:tcW w:w="3135" w:type="dxa"/>
            <w:gridSpan w:val="3"/>
            <w:shd w:val="clear" w:color="auto" w:fill="F2F2F2" w:themeFill="background1" w:themeFillShade="F2"/>
          </w:tcPr>
          <w:p w14:paraId="0DFB335D" w14:textId="69E51ED6" w:rsidR="00080207" w:rsidRPr="00BA7829" w:rsidRDefault="00080207">
            <w:pPr>
              <w:jc w:val="center"/>
              <w:rPr>
                <w:rFonts w:asciiTheme="minorHAnsi" w:hAnsiTheme="minorHAnsi" w:cs="Arial"/>
                <w:b/>
                <w:sz w:val="20"/>
                <w:szCs w:val="20"/>
              </w:rPr>
            </w:pPr>
            <w:r w:rsidRPr="00BA7829">
              <w:rPr>
                <w:rFonts w:asciiTheme="minorHAnsi" w:hAnsiTheme="minorHAnsi" w:cs="Arial"/>
                <w:b/>
                <w:sz w:val="20"/>
                <w:szCs w:val="20"/>
              </w:rPr>
              <w:t>202</w:t>
            </w:r>
            <w:r>
              <w:rPr>
                <w:rFonts w:asciiTheme="minorHAnsi" w:hAnsiTheme="minorHAnsi" w:cs="Arial"/>
                <w:b/>
                <w:sz w:val="20"/>
                <w:szCs w:val="20"/>
              </w:rPr>
              <w:t>5</w:t>
            </w:r>
          </w:p>
        </w:tc>
        <w:tc>
          <w:tcPr>
            <w:tcW w:w="3281" w:type="dxa"/>
            <w:gridSpan w:val="3"/>
          </w:tcPr>
          <w:p w14:paraId="78EE392B" w14:textId="68910634" w:rsidR="00080207" w:rsidRPr="00A36F5C" w:rsidRDefault="00080207">
            <w:pPr>
              <w:jc w:val="center"/>
              <w:rPr>
                <w:rFonts w:asciiTheme="minorHAnsi" w:hAnsiTheme="minorHAnsi" w:cs="Arial"/>
                <w:sz w:val="20"/>
                <w:szCs w:val="20"/>
              </w:rPr>
            </w:pPr>
            <w:r w:rsidRPr="00A36F5C">
              <w:rPr>
                <w:rFonts w:asciiTheme="minorHAnsi" w:hAnsiTheme="minorHAnsi" w:cs="Arial"/>
                <w:sz w:val="20"/>
                <w:szCs w:val="20"/>
              </w:rPr>
              <w:t>202</w:t>
            </w:r>
            <w:r>
              <w:rPr>
                <w:rFonts w:asciiTheme="minorHAnsi" w:hAnsiTheme="minorHAnsi" w:cs="Arial"/>
                <w:sz w:val="20"/>
                <w:szCs w:val="20"/>
              </w:rPr>
              <w:t>4</w:t>
            </w:r>
          </w:p>
        </w:tc>
      </w:tr>
      <w:tr w:rsidR="00080207" w:rsidRPr="00A36F5C" w14:paraId="61DCCED0" w14:textId="77777777">
        <w:trPr>
          <w:trHeight w:val="854"/>
        </w:trPr>
        <w:tc>
          <w:tcPr>
            <w:tcW w:w="3560" w:type="dxa"/>
          </w:tcPr>
          <w:p w14:paraId="2DC082CC" w14:textId="77777777" w:rsidR="00080207" w:rsidRPr="00A36F5C" w:rsidRDefault="00080207">
            <w:pPr>
              <w:jc w:val="right"/>
              <w:rPr>
                <w:rFonts w:asciiTheme="minorHAnsi" w:hAnsiTheme="minorHAnsi" w:cs="Arial"/>
                <w:sz w:val="20"/>
                <w:szCs w:val="20"/>
              </w:rPr>
            </w:pPr>
          </w:p>
        </w:tc>
        <w:tc>
          <w:tcPr>
            <w:tcW w:w="1138" w:type="dxa"/>
            <w:shd w:val="clear" w:color="auto" w:fill="F2F2F2" w:themeFill="background1" w:themeFillShade="F2"/>
          </w:tcPr>
          <w:p w14:paraId="4D669F21" w14:textId="77777777" w:rsidR="00080207" w:rsidRPr="00BA7829" w:rsidRDefault="00080207">
            <w:pPr>
              <w:jc w:val="right"/>
              <w:rPr>
                <w:rFonts w:asciiTheme="minorHAnsi" w:hAnsiTheme="minorHAnsi" w:cs="Arial"/>
                <w:b/>
                <w:sz w:val="20"/>
                <w:szCs w:val="20"/>
              </w:rPr>
            </w:pPr>
          </w:p>
          <w:p w14:paraId="74F398B7" w14:textId="77777777" w:rsidR="00080207" w:rsidRPr="00BA7829" w:rsidRDefault="00080207">
            <w:pPr>
              <w:jc w:val="right"/>
              <w:rPr>
                <w:rFonts w:asciiTheme="minorHAnsi" w:hAnsiTheme="minorHAnsi" w:cs="Arial"/>
                <w:b/>
                <w:sz w:val="20"/>
                <w:szCs w:val="20"/>
              </w:rPr>
            </w:pPr>
          </w:p>
          <w:p w14:paraId="40369B9E" w14:textId="77777777" w:rsidR="00080207" w:rsidRPr="00BA7829" w:rsidRDefault="00080207">
            <w:pPr>
              <w:jc w:val="right"/>
              <w:rPr>
                <w:rFonts w:asciiTheme="minorHAnsi" w:hAnsiTheme="minorHAnsi" w:cs="Arial"/>
                <w:b/>
                <w:sz w:val="20"/>
                <w:szCs w:val="20"/>
              </w:rPr>
            </w:pPr>
          </w:p>
          <w:p w14:paraId="09FCCF0C" w14:textId="77777777" w:rsidR="00080207" w:rsidRPr="00BA7829" w:rsidRDefault="00080207">
            <w:pPr>
              <w:jc w:val="right"/>
              <w:rPr>
                <w:rFonts w:asciiTheme="minorHAnsi" w:hAnsiTheme="minorHAnsi" w:cs="Arial"/>
                <w:b/>
                <w:sz w:val="20"/>
                <w:szCs w:val="20"/>
              </w:rPr>
            </w:pPr>
            <w:r w:rsidRPr="00BA7829">
              <w:rPr>
                <w:rFonts w:asciiTheme="minorHAnsi" w:hAnsiTheme="minorHAnsi" w:cs="Arial"/>
                <w:b/>
                <w:sz w:val="20"/>
                <w:szCs w:val="20"/>
              </w:rPr>
              <w:t>Earnings </w:t>
            </w:r>
          </w:p>
        </w:tc>
        <w:tc>
          <w:tcPr>
            <w:tcW w:w="995" w:type="dxa"/>
            <w:shd w:val="clear" w:color="auto" w:fill="F2F2F2" w:themeFill="background1" w:themeFillShade="F2"/>
          </w:tcPr>
          <w:p w14:paraId="429FC03F" w14:textId="77777777" w:rsidR="00080207" w:rsidRPr="00BA7829" w:rsidRDefault="00080207">
            <w:pPr>
              <w:ind w:left="-108"/>
              <w:jc w:val="right"/>
              <w:rPr>
                <w:rFonts w:asciiTheme="minorHAnsi" w:hAnsiTheme="minorHAnsi" w:cs="Arial"/>
                <w:b/>
                <w:sz w:val="20"/>
                <w:szCs w:val="20"/>
              </w:rPr>
            </w:pPr>
            <w:r w:rsidRPr="00BA7829">
              <w:rPr>
                <w:rFonts w:asciiTheme="minorHAnsi" w:hAnsiTheme="minorHAnsi" w:cs="Arial"/>
                <w:b/>
                <w:sz w:val="20"/>
                <w:szCs w:val="20"/>
              </w:rPr>
              <w:t xml:space="preserve">Weighted average  </w:t>
            </w:r>
          </w:p>
          <w:p w14:paraId="059F1645" w14:textId="77777777" w:rsidR="00080207" w:rsidRPr="00BA7829" w:rsidRDefault="00080207">
            <w:pPr>
              <w:ind w:left="-108"/>
              <w:jc w:val="right"/>
              <w:rPr>
                <w:rFonts w:asciiTheme="minorHAnsi" w:hAnsiTheme="minorHAnsi" w:cs="Arial"/>
                <w:b/>
                <w:sz w:val="20"/>
                <w:szCs w:val="20"/>
              </w:rPr>
            </w:pPr>
            <w:r w:rsidRPr="00BA7829">
              <w:rPr>
                <w:rFonts w:asciiTheme="minorHAnsi" w:hAnsiTheme="minorHAnsi" w:cs="Arial"/>
                <w:b/>
                <w:sz w:val="20"/>
                <w:szCs w:val="20"/>
              </w:rPr>
              <w:t xml:space="preserve">number  </w:t>
            </w:r>
          </w:p>
          <w:p w14:paraId="4325FF53" w14:textId="77777777" w:rsidR="00080207" w:rsidRPr="00BA7829" w:rsidRDefault="00080207">
            <w:pPr>
              <w:ind w:left="-108"/>
              <w:jc w:val="right"/>
              <w:rPr>
                <w:rFonts w:asciiTheme="minorHAnsi" w:hAnsiTheme="minorHAnsi" w:cs="Arial"/>
                <w:b/>
                <w:sz w:val="20"/>
                <w:szCs w:val="20"/>
              </w:rPr>
            </w:pPr>
            <w:r w:rsidRPr="00BA7829">
              <w:rPr>
                <w:rFonts w:asciiTheme="minorHAnsi" w:hAnsiTheme="minorHAnsi" w:cs="Arial"/>
                <w:b/>
                <w:sz w:val="20"/>
                <w:szCs w:val="20"/>
              </w:rPr>
              <w:t>of shares </w:t>
            </w:r>
          </w:p>
        </w:tc>
        <w:tc>
          <w:tcPr>
            <w:tcW w:w="1002" w:type="dxa"/>
            <w:shd w:val="clear" w:color="auto" w:fill="F2F2F2" w:themeFill="background1" w:themeFillShade="F2"/>
          </w:tcPr>
          <w:p w14:paraId="23C0FE14" w14:textId="77777777" w:rsidR="00080207" w:rsidRPr="00BA7829" w:rsidRDefault="00080207">
            <w:pPr>
              <w:jc w:val="right"/>
              <w:rPr>
                <w:rFonts w:asciiTheme="minorHAnsi" w:hAnsiTheme="minorHAnsi" w:cs="Arial"/>
                <w:b/>
                <w:sz w:val="20"/>
                <w:szCs w:val="20"/>
              </w:rPr>
            </w:pPr>
          </w:p>
          <w:p w14:paraId="3DE00076" w14:textId="77777777" w:rsidR="00080207" w:rsidRPr="00BA7829" w:rsidRDefault="00080207">
            <w:pPr>
              <w:jc w:val="right"/>
              <w:rPr>
                <w:rFonts w:asciiTheme="minorHAnsi" w:hAnsiTheme="minorHAnsi" w:cs="Arial"/>
                <w:b/>
                <w:sz w:val="20"/>
                <w:szCs w:val="20"/>
              </w:rPr>
            </w:pPr>
            <w:r w:rsidRPr="00BA7829">
              <w:rPr>
                <w:rFonts w:asciiTheme="minorHAnsi" w:hAnsiTheme="minorHAnsi" w:cs="Arial"/>
                <w:b/>
                <w:sz w:val="20"/>
                <w:szCs w:val="20"/>
              </w:rPr>
              <w:t xml:space="preserve">Per  </w:t>
            </w:r>
          </w:p>
          <w:p w14:paraId="557E7560" w14:textId="77777777" w:rsidR="00080207" w:rsidRPr="00BA7829" w:rsidRDefault="00080207">
            <w:pPr>
              <w:jc w:val="right"/>
              <w:rPr>
                <w:rFonts w:asciiTheme="minorHAnsi" w:hAnsiTheme="minorHAnsi" w:cs="Arial"/>
                <w:b/>
                <w:sz w:val="20"/>
                <w:szCs w:val="20"/>
              </w:rPr>
            </w:pPr>
            <w:r w:rsidRPr="00BA7829">
              <w:rPr>
                <w:rFonts w:asciiTheme="minorHAnsi" w:hAnsiTheme="minorHAnsi" w:cs="Arial"/>
                <w:b/>
                <w:sz w:val="20"/>
                <w:szCs w:val="20"/>
              </w:rPr>
              <w:t xml:space="preserve">share  </w:t>
            </w:r>
          </w:p>
          <w:p w14:paraId="6F69BACA" w14:textId="77777777" w:rsidR="00080207" w:rsidRPr="00BA7829" w:rsidRDefault="00080207">
            <w:pPr>
              <w:jc w:val="right"/>
              <w:rPr>
                <w:rFonts w:asciiTheme="minorHAnsi" w:hAnsiTheme="minorHAnsi" w:cs="Arial"/>
                <w:b/>
                <w:sz w:val="20"/>
                <w:szCs w:val="20"/>
              </w:rPr>
            </w:pPr>
            <w:r w:rsidRPr="00BA7829">
              <w:rPr>
                <w:rFonts w:asciiTheme="minorHAnsi" w:hAnsiTheme="minorHAnsi" w:cs="Arial"/>
                <w:b/>
                <w:sz w:val="20"/>
                <w:szCs w:val="20"/>
              </w:rPr>
              <w:t>amount </w:t>
            </w:r>
          </w:p>
        </w:tc>
        <w:tc>
          <w:tcPr>
            <w:tcW w:w="995" w:type="dxa"/>
          </w:tcPr>
          <w:p w14:paraId="462FCC32" w14:textId="77777777" w:rsidR="00080207" w:rsidRPr="00A36F5C" w:rsidRDefault="00080207">
            <w:pPr>
              <w:jc w:val="right"/>
              <w:rPr>
                <w:rFonts w:asciiTheme="minorHAnsi" w:hAnsiTheme="minorHAnsi" w:cs="Arial"/>
                <w:sz w:val="20"/>
                <w:szCs w:val="20"/>
              </w:rPr>
            </w:pPr>
          </w:p>
          <w:p w14:paraId="32B97AE6" w14:textId="77777777" w:rsidR="00080207" w:rsidRPr="00A36F5C" w:rsidRDefault="00080207">
            <w:pPr>
              <w:jc w:val="right"/>
              <w:rPr>
                <w:rFonts w:asciiTheme="minorHAnsi" w:hAnsiTheme="minorHAnsi" w:cs="Arial"/>
                <w:sz w:val="20"/>
                <w:szCs w:val="20"/>
              </w:rPr>
            </w:pPr>
          </w:p>
          <w:p w14:paraId="10AC9024" w14:textId="77777777" w:rsidR="00080207" w:rsidRPr="00A36F5C" w:rsidRDefault="00080207">
            <w:pPr>
              <w:jc w:val="right"/>
              <w:rPr>
                <w:rFonts w:asciiTheme="minorHAnsi" w:hAnsiTheme="minorHAnsi" w:cs="Arial"/>
                <w:sz w:val="20"/>
                <w:szCs w:val="20"/>
              </w:rPr>
            </w:pPr>
          </w:p>
          <w:p w14:paraId="47226C9A" w14:textId="34577B47" w:rsidR="00080207" w:rsidRPr="00A36F5C" w:rsidRDefault="00315B3F">
            <w:pPr>
              <w:jc w:val="right"/>
              <w:rPr>
                <w:rFonts w:asciiTheme="minorHAnsi" w:hAnsiTheme="minorHAnsi" w:cs="Arial"/>
                <w:sz w:val="20"/>
                <w:szCs w:val="20"/>
              </w:rPr>
            </w:pPr>
            <w:r>
              <w:rPr>
                <w:rFonts w:asciiTheme="minorHAnsi" w:hAnsiTheme="minorHAnsi" w:cs="Arial"/>
                <w:sz w:val="20"/>
                <w:szCs w:val="20"/>
              </w:rPr>
              <w:t>Loss</w:t>
            </w:r>
          </w:p>
        </w:tc>
        <w:tc>
          <w:tcPr>
            <w:tcW w:w="1138" w:type="dxa"/>
          </w:tcPr>
          <w:p w14:paraId="0EAD1A47" w14:textId="77777777" w:rsidR="00080207" w:rsidRPr="00A36F5C" w:rsidRDefault="00080207">
            <w:pPr>
              <w:jc w:val="right"/>
              <w:rPr>
                <w:rFonts w:asciiTheme="minorHAnsi" w:hAnsiTheme="minorHAnsi" w:cs="Arial"/>
                <w:sz w:val="20"/>
                <w:szCs w:val="20"/>
              </w:rPr>
            </w:pPr>
            <w:r w:rsidRPr="00A36F5C">
              <w:rPr>
                <w:rFonts w:asciiTheme="minorHAnsi" w:hAnsiTheme="minorHAnsi" w:cs="Arial"/>
                <w:sz w:val="20"/>
                <w:szCs w:val="20"/>
              </w:rPr>
              <w:t xml:space="preserve">Weighted average  </w:t>
            </w:r>
          </w:p>
          <w:p w14:paraId="21D5D077" w14:textId="77777777" w:rsidR="00080207" w:rsidRPr="00A36F5C" w:rsidRDefault="00080207">
            <w:pPr>
              <w:jc w:val="right"/>
              <w:rPr>
                <w:rFonts w:asciiTheme="minorHAnsi" w:hAnsiTheme="minorHAnsi" w:cs="Arial"/>
                <w:sz w:val="20"/>
                <w:szCs w:val="20"/>
              </w:rPr>
            </w:pPr>
            <w:r w:rsidRPr="00A36F5C">
              <w:rPr>
                <w:rFonts w:asciiTheme="minorHAnsi" w:hAnsiTheme="minorHAnsi" w:cs="Arial"/>
                <w:sz w:val="20"/>
                <w:szCs w:val="20"/>
              </w:rPr>
              <w:t xml:space="preserve">number  </w:t>
            </w:r>
          </w:p>
          <w:p w14:paraId="22AB2153" w14:textId="77777777" w:rsidR="00080207" w:rsidRPr="00A36F5C" w:rsidRDefault="00080207">
            <w:pPr>
              <w:jc w:val="right"/>
              <w:rPr>
                <w:rFonts w:asciiTheme="minorHAnsi" w:hAnsiTheme="minorHAnsi" w:cs="Arial"/>
                <w:sz w:val="20"/>
                <w:szCs w:val="20"/>
              </w:rPr>
            </w:pPr>
            <w:r w:rsidRPr="00A36F5C">
              <w:rPr>
                <w:rFonts w:asciiTheme="minorHAnsi" w:hAnsiTheme="minorHAnsi" w:cs="Arial"/>
                <w:sz w:val="20"/>
                <w:szCs w:val="20"/>
              </w:rPr>
              <w:t>of shares </w:t>
            </w:r>
          </w:p>
        </w:tc>
        <w:tc>
          <w:tcPr>
            <w:tcW w:w="1148" w:type="dxa"/>
          </w:tcPr>
          <w:p w14:paraId="1A2A3A8E" w14:textId="77777777" w:rsidR="00080207" w:rsidRPr="00A36F5C" w:rsidRDefault="00080207">
            <w:pPr>
              <w:jc w:val="right"/>
              <w:rPr>
                <w:rFonts w:asciiTheme="minorHAnsi" w:hAnsiTheme="minorHAnsi" w:cs="Arial"/>
                <w:sz w:val="20"/>
                <w:szCs w:val="20"/>
              </w:rPr>
            </w:pPr>
          </w:p>
          <w:p w14:paraId="61152569" w14:textId="77777777" w:rsidR="00080207" w:rsidRPr="00A36F5C" w:rsidRDefault="00080207">
            <w:pPr>
              <w:jc w:val="right"/>
              <w:rPr>
                <w:rFonts w:asciiTheme="minorHAnsi" w:hAnsiTheme="minorHAnsi" w:cs="Arial"/>
                <w:sz w:val="20"/>
                <w:szCs w:val="20"/>
              </w:rPr>
            </w:pPr>
            <w:r w:rsidRPr="00A36F5C">
              <w:rPr>
                <w:rFonts w:asciiTheme="minorHAnsi" w:hAnsiTheme="minorHAnsi" w:cs="Arial"/>
                <w:sz w:val="20"/>
                <w:szCs w:val="20"/>
              </w:rPr>
              <w:t xml:space="preserve">Per  </w:t>
            </w:r>
          </w:p>
          <w:p w14:paraId="03492675" w14:textId="77777777" w:rsidR="00080207" w:rsidRPr="00A36F5C" w:rsidRDefault="00080207">
            <w:pPr>
              <w:jc w:val="right"/>
              <w:rPr>
                <w:rFonts w:asciiTheme="minorHAnsi" w:hAnsiTheme="minorHAnsi" w:cs="Arial"/>
                <w:sz w:val="20"/>
                <w:szCs w:val="20"/>
              </w:rPr>
            </w:pPr>
            <w:r w:rsidRPr="00A36F5C">
              <w:rPr>
                <w:rFonts w:asciiTheme="minorHAnsi" w:hAnsiTheme="minorHAnsi" w:cs="Arial"/>
                <w:sz w:val="20"/>
                <w:szCs w:val="20"/>
              </w:rPr>
              <w:t xml:space="preserve">share  </w:t>
            </w:r>
          </w:p>
          <w:p w14:paraId="28550CE7" w14:textId="77777777" w:rsidR="00080207" w:rsidRPr="00A36F5C" w:rsidRDefault="00080207">
            <w:pPr>
              <w:jc w:val="right"/>
              <w:rPr>
                <w:rFonts w:asciiTheme="minorHAnsi" w:hAnsiTheme="minorHAnsi" w:cs="Arial"/>
                <w:sz w:val="20"/>
                <w:szCs w:val="20"/>
              </w:rPr>
            </w:pPr>
            <w:r w:rsidRPr="00A36F5C">
              <w:rPr>
                <w:rFonts w:asciiTheme="minorHAnsi" w:hAnsiTheme="minorHAnsi" w:cs="Arial"/>
                <w:sz w:val="20"/>
                <w:szCs w:val="20"/>
              </w:rPr>
              <w:t>amount </w:t>
            </w:r>
          </w:p>
        </w:tc>
      </w:tr>
      <w:tr w:rsidR="00080207" w:rsidRPr="00A36F5C" w14:paraId="35AF47FB" w14:textId="77777777">
        <w:trPr>
          <w:trHeight w:val="218"/>
        </w:trPr>
        <w:tc>
          <w:tcPr>
            <w:tcW w:w="3560" w:type="dxa"/>
            <w:tcBorders>
              <w:bottom w:val="single" w:sz="4" w:space="0" w:color="auto"/>
            </w:tcBorders>
          </w:tcPr>
          <w:p w14:paraId="6EF6EAAF" w14:textId="2BAF534B" w:rsidR="00080207" w:rsidRPr="00484AAE" w:rsidRDefault="00080207">
            <w:pPr>
              <w:rPr>
                <w:rFonts w:asciiTheme="minorHAnsi" w:hAnsiTheme="minorHAnsi" w:cs="Arial"/>
                <w:b/>
                <w:sz w:val="20"/>
                <w:szCs w:val="20"/>
              </w:rPr>
            </w:pPr>
            <w:r w:rsidRPr="00484AAE">
              <w:rPr>
                <w:rFonts w:asciiTheme="minorHAnsi" w:hAnsiTheme="minorHAnsi" w:cs="Arial"/>
                <w:b/>
                <w:sz w:val="20"/>
                <w:szCs w:val="20"/>
              </w:rPr>
              <w:t>Group</w:t>
            </w:r>
          </w:p>
        </w:tc>
        <w:tc>
          <w:tcPr>
            <w:tcW w:w="1138" w:type="dxa"/>
            <w:tcBorders>
              <w:top w:val="nil"/>
              <w:left w:val="nil"/>
              <w:bottom w:val="single" w:sz="4" w:space="0" w:color="auto"/>
              <w:right w:val="nil"/>
            </w:tcBorders>
            <w:shd w:val="clear" w:color="auto" w:fill="F2F2F2" w:themeFill="background1" w:themeFillShade="F2"/>
          </w:tcPr>
          <w:p w14:paraId="119635B6" w14:textId="77777777" w:rsidR="00080207" w:rsidRPr="00BA7829" w:rsidRDefault="00080207">
            <w:pPr>
              <w:jc w:val="right"/>
              <w:rPr>
                <w:rFonts w:asciiTheme="minorHAnsi" w:hAnsiTheme="minorHAnsi" w:cs="Arial"/>
                <w:b/>
                <w:sz w:val="20"/>
                <w:szCs w:val="20"/>
                <w:lang w:val="fr-FR"/>
              </w:rPr>
            </w:pPr>
            <w:r w:rsidRPr="00BA7829">
              <w:rPr>
                <w:rFonts w:asciiTheme="minorHAnsi" w:hAnsiTheme="minorHAnsi" w:cs="Arial"/>
                <w:b/>
                <w:sz w:val="20"/>
                <w:szCs w:val="20"/>
                <w:lang w:val="fr-FR"/>
              </w:rPr>
              <w:t>£m </w:t>
            </w:r>
          </w:p>
        </w:tc>
        <w:tc>
          <w:tcPr>
            <w:tcW w:w="995" w:type="dxa"/>
            <w:tcBorders>
              <w:top w:val="nil"/>
              <w:left w:val="nil"/>
              <w:bottom w:val="single" w:sz="4" w:space="0" w:color="auto"/>
              <w:right w:val="nil"/>
            </w:tcBorders>
            <w:shd w:val="clear" w:color="auto" w:fill="F2F2F2" w:themeFill="background1" w:themeFillShade="F2"/>
          </w:tcPr>
          <w:p w14:paraId="4A973D97" w14:textId="77777777" w:rsidR="00080207" w:rsidRPr="00BA7829" w:rsidRDefault="00080207">
            <w:pPr>
              <w:ind w:left="-108"/>
              <w:jc w:val="right"/>
              <w:rPr>
                <w:rFonts w:asciiTheme="minorHAnsi" w:hAnsiTheme="minorHAnsi" w:cs="Arial"/>
                <w:b/>
                <w:sz w:val="20"/>
                <w:szCs w:val="20"/>
                <w:lang w:val="fr-FR"/>
              </w:rPr>
            </w:pPr>
            <w:r w:rsidRPr="00BA7829">
              <w:rPr>
                <w:rFonts w:asciiTheme="minorHAnsi" w:hAnsiTheme="minorHAnsi" w:cs="Arial"/>
                <w:b/>
                <w:sz w:val="20"/>
                <w:szCs w:val="20"/>
                <w:lang w:val="fr-FR"/>
              </w:rPr>
              <w:t>m </w:t>
            </w:r>
          </w:p>
        </w:tc>
        <w:tc>
          <w:tcPr>
            <w:tcW w:w="1002" w:type="dxa"/>
            <w:tcBorders>
              <w:top w:val="nil"/>
              <w:left w:val="nil"/>
              <w:bottom w:val="single" w:sz="4" w:space="0" w:color="auto"/>
              <w:right w:val="nil"/>
            </w:tcBorders>
            <w:shd w:val="clear" w:color="auto" w:fill="F2F2F2" w:themeFill="background1" w:themeFillShade="F2"/>
          </w:tcPr>
          <w:p w14:paraId="2722A5B8" w14:textId="77777777" w:rsidR="00080207" w:rsidRPr="00BA7829" w:rsidRDefault="00080207">
            <w:pPr>
              <w:jc w:val="right"/>
              <w:rPr>
                <w:rFonts w:asciiTheme="minorHAnsi" w:hAnsiTheme="minorHAnsi" w:cs="Arial"/>
                <w:b/>
                <w:sz w:val="20"/>
                <w:szCs w:val="20"/>
                <w:lang w:val="fr-FR"/>
              </w:rPr>
            </w:pPr>
            <w:r w:rsidRPr="00BA7829">
              <w:rPr>
                <w:rFonts w:asciiTheme="minorHAnsi" w:hAnsiTheme="minorHAnsi" w:cs="Arial"/>
                <w:b/>
                <w:sz w:val="20"/>
                <w:szCs w:val="20"/>
                <w:lang w:val="fr-FR"/>
              </w:rPr>
              <w:t>pence </w:t>
            </w:r>
          </w:p>
        </w:tc>
        <w:tc>
          <w:tcPr>
            <w:tcW w:w="995" w:type="dxa"/>
            <w:tcBorders>
              <w:top w:val="nil"/>
              <w:left w:val="nil"/>
              <w:bottom w:val="single" w:sz="4" w:space="0" w:color="auto"/>
              <w:right w:val="nil"/>
            </w:tcBorders>
          </w:tcPr>
          <w:p w14:paraId="773C51D7" w14:textId="77777777" w:rsidR="00080207" w:rsidRPr="00A36F5C" w:rsidRDefault="00080207">
            <w:pPr>
              <w:jc w:val="right"/>
              <w:rPr>
                <w:rFonts w:asciiTheme="minorHAnsi" w:hAnsiTheme="minorHAnsi" w:cs="Arial"/>
                <w:sz w:val="20"/>
                <w:szCs w:val="20"/>
                <w:lang w:val="fr-FR"/>
              </w:rPr>
            </w:pPr>
            <w:r w:rsidRPr="00A36F5C">
              <w:rPr>
                <w:rFonts w:asciiTheme="minorHAnsi" w:hAnsiTheme="minorHAnsi" w:cs="Arial"/>
                <w:sz w:val="20"/>
                <w:szCs w:val="20"/>
                <w:lang w:val="fr-FR"/>
              </w:rPr>
              <w:t>£m </w:t>
            </w:r>
          </w:p>
        </w:tc>
        <w:tc>
          <w:tcPr>
            <w:tcW w:w="1138" w:type="dxa"/>
            <w:tcBorders>
              <w:top w:val="nil"/>
              <w:left w:val="nil"/>
              <w:bottom w:val="single" w:sz="4" w:space="0" w:color="auto"/>
              <w:right w:val="nil"/>
            </w:tcBorders>
          </w:tcPr>
          <w:p w14:paraId="601CA8AE" w14:textId="77777777" w:rsidR="00080207" w:rsidRPr="00A36F5C" w:rsidRDefault="00080207">
            <w:pPr>
              <w:jc w:val="right"/>
              <w:rPr>
                <w:rFonts w:asciiTheme="minorHAnsi" w:hAnsiTheme="minorHAnsi" w:cs="Arial"/>
                <w:sz w:val="20"/>
                <w:szCs w:val="20"/>
                <w:lang w:val="fr-FR"/>
              </w:rPr>
            </w:pPr>
            <w:r w:rsidRPr="00A36F5C">
              <w:rPr>
                <w:rFonts w:asciiTheme="minorHAnsi" w:hAnsiTheme="minorHAnsi" w:cs="Arial"/>
                <w:sz w:val="20"/>
                <w:szCs w:val="20"/>
                <w:lang w:val="fr-FR"/>
              </w:rPr>
              <w:t>m </w:t>
            </w:r>
          </w:p>
        </w:tc>
        <w:tc>
          <w:tcPr>
            <w:tcW w:w="1148" w:type="dxa"/>
            <w:tcBorders>
              <w:top w:val="nil"/>
              <w:left w:val="nil"/>
              <w:bottom w:val="single" w:sz="4" w:space="0" w:color="auto"/>
              <w:right w:val="nil"/>
            </w:tcBorders>
          </w:tcPr>
          <w:p w14:paraId="467FF38D" w14:textId="77777777" w:rsidR="00080207" w:rsidRPr="00A36F5C" w:rsidRDefault="00080207">
            <w:pPr>
              <w:jc w:val="right"/>
              <w:rPr>
                <w:rFonts w:asciiTheme="minorHAnsi" w:hAnsiTheme="minorHAnsi" w:cs="Arial"/>
                <w:sz w:val="20"/>
                <w:szCs w:val="20"/>
                <w:lang w:val="fr-FR"/>
              </w:rPr>
            </w:pPr>
            <w:r w:rsidRPr="00A36F5C">
              <w:rPr>
                <w:rFonts w:asciiTheme="minorHAnsi" w:hAnsiTheme="minorHAnsi" w:cs="Arial"/>
                <w:sz w:val="20"/>
                <w:szCs w:val="20"/>
                <w:lang w:val="fr-FR"/>
              </w:rPr>
              <w:t>pence </w:t>
            </w:r>
          </w:p>
        </w:tc>
      </w:tr>
      <w:tr w:rsidR="00080207" w:rsidRPr="00A36F5C" w14:paraId="77FBF707" w14:textId="77777777">
        <w:trPr>
          <w:trHeight w:val="207"/>
        </w:trPr>
        <w:tc>
          <w:tcPr>
            <w:tcW w:w="3560" w:type="dxa"/>
            <w:tcBorders>
              <w:top w:val="single" w:sz="4" w:space="0" w:color="auto"/>
            </w:tcBorders>
            <w:vAlign w:val="bottom"/>
          </w:tcPr>
          <w:p w14:paraId="20694745" w14:textId="00079B09" w:rsidR="00080207" w:rsidRPr="00A36F5C" w:rsidRDefault="00080207" w:rsidP="00080207">
            <w:pPr>
              <w:rPr>
                <w:rFonts w:asciiTheme="minorHAnsi" w:hAnsiTheme="minorHAnsi" w:cs="Arial"/>
                <w:b/>
                <w:sz w:val="20"/>
                <w:szCs w:val="20"/>
              </w:rPr>
            </w:pPr>
            <w:r w:rsidRPr="003874FE">
              <w:rPr>
                <w:rFonts w:asciiTheme="minorHAnsi" w:hAnsiTheme="minorHAnsi" w:cs="Arial"/>
                <w:b/>
                <w:sz w:val="20"/>
                <w:szCs w:val="20"/>
              </w:rPr>
              <w:t xml:space="preserve">Basic </w:t>
            </w:r>
            <w:r w:rsidR="003874FE" w:rsidRPr="003874FE">
              <w:rPr>
                <w:rFonts w:asciiTheme="minorHAnsi" w:hAnsiTheme="minorHAnsi" w:cs="Arial"/>
                <w:b/>
                <w:sz w:val="20"/>
                <w:szCs w:val="20"/>
              </w:rPr>
              <w:t>earnings/(</w:t>
            </w:r>
            <w:r w:rsidRPr="003874FE">
              <w:rPr>
                <w:rFonts w:asciiTheme="minorHAnsi" w:hAnsiTheme="minorHAnsi" w:cs="Arial"/>
                <w:b/>
                <w:sz w:val="20"/>
                <w:szCs w:val="20"/>
              </w:rPr>
              <w:t>loss</w:t>
            </w:r>
            <w:r w:rsidR="003874FE" w:rsidRPr="003874FE">
              <w:rPr>
                <w:rFonts w:asciiTheme="minorHAnsi" w:hAnsiTheme="minorHAnsi" w:cs="Arial"/>
                <w:b/>
                <w:sz w:val="20"/>
                <w:szCs w:val="20"/>
              </w:rPr>
              <w:t>)</w:t>
            </w:r>
            <w:r w:rsidRPr="00A36F5C">
              <w:rPr>
                <w:rFonts w:asciiTheme="minorHAnsi" w:hAnsiTheme="minorHAnsi" w:cs="Arial"/>
                <w:b/>
                <w:sz w:val="20"/>
                <w:szCs w:val="20"/>
              </w:rPr>
              <w:t xml:space="preserve"> per share </w:t>
            </w:r>
          </w:p>
        </w:tc>
        <w:tc>
          <w:tcPr>
            <w:tcW w:w="1138" w:type="dxa"/>
            <w:tcBorders>
              <w:left w:val="nil"/>
              <w:bottom w:val="nil"/>
              <w:right w:val="nil"/>
            </w:tcBorders>
            <w:shd w:val="clear" w:color="auto" w:fill="F2F2F2" w:themeFill="background1" w:themeFillShade="F2"/>
            <w:vAlign w:val="bottom"/>
          </w:tcPr>
          <w:p w14:paraId="01DFE8CE" w14:textId="3B1E91EE" w:rsidR="00080207" w:rsidRPr="006D4208" w:rsidRDefault="00364F66" w:rsidP="00080207">
            <w:pPr>
              <w:jc w:val="right"/>
              <w:rPr>
                <w:rFonts w:asciiTheme="minorHAnsi" w:hAnsiTheme="minorHAnsi" w:cstheme="minorHAnsi"/>
                <w:b/>
                <w:sz w:val="20"/>
                <w:szCs w:val="20"/>
              </w:rPr>
            </w:pPr>
            <w:r>
              <w:rPr>
                <w:rFonts w:asciiTheme="minorHAnsi" w:hAnsiTheme="minorHAnsi" w:cstheme="minorHAnsi"/>
                <w:b/>
                <w:sz w:val="20"/>
                <w:szCs w:val="20"/>
              </w:rPr>
              <w:t>5.6</w:t>
            </w:r>
          </w:p>
        </w:tc>
        <w:tc>
          <w:tcPr>
            <w:tcW w:w="995" w:type="dxa"/>
            <w:tcBorders>
              <w:left w:val="nil"/>
              <w:bottom w:val="nil"/>
              <w:right w:val="nil"/>
            </w:tcBorders>
            <w:shd w:val="clear" w:color="auto" w:fill="F2F2F2" w:themeFill="background1" w:themeFillShade="F2"/>
            <w:vAlign w:val="bottom"/>
          </w:tcPr>
          <w:p w14:paraId="05F2C5EF" w14:textId="19F03A79" w:rsidR="00080207" w:rsidRPr="006D4208" w:rsidRDefault="00364F66" w:rsidP="00080207">
            <w:pPr>
              <w:ind w:left="-108"/>
              <w:jc w:val="right"/>
              <w:rPr>
                <w:rFonts w:asciiTheme="minorHAnsi" w:hAnsiTheme="minorHAnsi" w:cstheme="minorHAnsi"/>
                <w:b/>
                <w:sz w:val="20"/>
                <w:szCs w:val="20"/>
              </w:rPr>
            </w:pPr>
            <w:r>
              <w:rPr>
                <w:rFonts w:asciiTheme="minorHAnsi" w:hAnsiTheme="minorHAnsi" w:cstheme="minorHAnsi"/>
                <w:b/>
                <w:sz w:val="20"/>
                <w:szCs w:val="20"/>
              </w:rPr>
              <w:t>254.5</w:t>
            </w:r>
          </w:p>
        </w:tc>
        <w:tc>
          <w:tcPr>
            <w:tcW w:w="1002" w:type="dxa"/>
            <w:tcBorders>
              <w:left w:val="nil"/>
              <w:bottom w:val="nil"/>
              <w:right w:val="nil"/>
            </w:tcBorders>
            <w:shd w:val="clear" w:color="auto" w:fill="F2F2F2" w:themeFill="background1" w:themeFillShade="F2"/>
            <w:vAlign w:val="bottom"/>
          </w:tcPr>
          <w:p w14:paraId="4DA023EA" w14:textId="31D96583" w:rsidR="00080207" w:rsidRPr="006D4208" w:rsidRDefault="00364F66" w:rsidP="00080207">
            <w:pPr>
              <w:jc w:val="right"/>
              <w:rPr>
                <w:rFonts w:asciiTheme="minorHAnsi" w:hAnsiTheme="minorHAnsi" w:cstheme="minorHAnsi"/>
                <w:b/>
                <w:sz w:val="20"/>
                <w:szCs w:val="20"/>
              </w:rPr>
            </w:pPr>
            <w:r>
              <w:rPr>
                <w:rFonts w:asciiTheme="minorHAnsi" w:hAnsiTheme="minorHAnsi" w:cstheme="minorHAnsi"/>
                <w:b/>
                <w:sz w:val="20"/>
                <w:szCs w:val="20"/>
              </w:rPr>
              <w:t>2.2</w:t>
            </w:r>
          </w:p>
        </w:tc>
        <w:tc>
          <w:tcPr>
            <w:tcW w:w="995" w:type="dxa"/>
            <w:tcBorders>
              <w:left w:val="nil"/>
              <w:bottom w:val="nil"/>
              <w:right w:val="nil"/>
            </w:tcBorders>
            <w:vAlign w:val="bottom"/>
          </w:tcPr>
          <w:p w14:paraId="138E9A6C" w14:textId="02597F26" w:rsidR="00080207" w:rsidRPr="00080207" w:rsidRDefault="00080207" w:rsidP="00080207">
            <w:pPr>
              <w:jc w:val="right"/>
              <w:rPr>
                <w:rFonts w:asciiTheme="minorHAnsi" w:hAnsiTheme="minorHAnsi" w:cstheme="minorHAnsi"/>
                <w:bCs/>
                <w:sz w:val="20"/>
                <w:szCs w:val="20"/>
              </w:rPr>
            </w:pPr>
            <w:r w:rsidRPr="00080207">
              <w:rPr>
                <w:rFonts w:asciiTheme="minorHAnsi" w:hAnsiTheme="minorHAnsi" w:cstheme="minorHAnsi"/>
                <w:bCs/>
                <w:sz w:val="20"/>
                <w:szCs w:val="20"/>
              </w:rPr>
              <w:t>(35.8)</w:t>
            </w:r>
          </w:p>
        </w:tc>
        <w:tc>
          <w:tcPr>
            <w:tcW w:w="1138" w:type="dxa"/>
            <w:tcBorders>
              <w:left w:val="nil"/>
              <w:bottom w:val="nil"/>
              <w:right w:val="nil"/>
            </w:tcBorders>
            <w:vAlign w:val="bottom"/>
          </w:tcPr>
          <w:p w14:paraId="60C6E44B" w14:textId="5608CF21" w:rsidR="00080207" w:rsidRPr="00080207" w:rsidRDefault="00080207" w:rsidP="00080207">
            <w:pPr>
              <w:ind w:left="-108"/>
              <w:jc w:val="right"/>
              <w:rPr>
                <w:rFonts w:asciiTheme="minorHAnsi" w:hAnsiTheme="minorHAnsi" w:cstheme="minorHAnsi"/>
                <w:bCs/>
                <w:sz w:val="20"/>
                <w:szCs w:val="20"/>
              </w:rPr>
            </w:pPr>
            <w:r w:rsidRPr="00080207">
              <w:rPr>
                <w:rFonts w:asciiTheme="minorHAnsi" w:hAnsiTheme="minorHAnsi" w:cstheme="minorHAnsi"/>
                <w:bCs/>
                <w:sz w:val="20"/>
                <w:szCs w:val="20"/>
              </w:rPr>
              <w:t>254.7</w:t>
            </w:r>
          </w:p>
        </w:tc>
        <w:tc>
          <w:tcPr>
            <w:tcW w:w="1148" w:type="dxa"/>
            <w:tcBorders>
              <w:left w:val="nil"/>
              <w:bottom w:val="nil"/>
              <w:right w:val="nil"/>
            </w:tcBorders>
            <w:vAlign w:val="bottom"/>
          </w:tcPr>
          <w:p w14:paraId="493100E4" w14:textId="15EA0104" w:rsidR="00080207" w:rsidRPr="00080207" w:rsidRDefault="00080207" w:rsidP="00080207">
            <w:pPr>
              <w:jc w:val="right"/>
              <w:rPr>
                <w:rFonts w:asciiTheme="minorHAnsi" w:hAnsiTheme="minorHAnsi" w:cstheme="minorHAnsi"/>
                <w:bCs/>
                <w:sz w:val="20"/>
                <w:szCs w:val="20"/>
              </w:rPr>
            </w:pPr>
            <w:r w:rsidRPr="00080207">
              <w:rPr>
                <w:rFonts w:asciiTheme="minorHAnsi" w:hAnsiTheme="minorHAnsi" w:cstheme="minorHAnsi"/>
                <w:bCs/>
                <w:sz w:val="20"/>
                <w:szCs w:val="20"/>
              </w:rPr>
              <w:t>(14.1)</w:t>
            </w:r>
          </w:p>
        </w:tc>
      </w:tr>
      <w:tr w:rsidR="00080207" w:rsidRPr="00A36F5C" w14:paraId="09E19CC4" w14:textId="77777777">
        <w:trPr>
          <w:trHeight w:val="426"/>
        </w:trPr>
        <w:tc>
          <w:tcPr>
            <w:tcW w:w="3560" w:type="dxa"/>
            <w:tcBorders>
              <w:bottom w:val="single" w:sz="4" w:space="0" w:color="auto"/>
            </w:tcBorders>
            <w:vAlign w:val="bottom"/>
          </w:tcPr>
          <w:p w14:paraId="1840BD55" w14:textId="77777777" w:rsidR="00080207" w:rsidRPr="00A36F5C" w:rsidRDefault="00080207" w:rsidP="00080207">
            <w:pPr>
              <w:rPr>
                <w:rFonts w:asciiTheme="minorHAnsi" w:hAnsiTheme="minorHAnsi" w:cs="Arial"/>
                <w:sz w:val="20"/>
                <w:szCs w:val="20"/>
              </w:rPr>
            </w:pPr>
            <w:r w:rsidRPr="00A36F5C">
              <w:rPr>
                <w:rFonts w:asciiTheme="minorHAnsi" w:hAnsiTheme="minorHAnsi" w:cs="Arial"/>
                <w:sz w:val="20"/>
                <w:szCs w:val="20"/>
              </w:rPr>
              <w:t>Dilutive effect of share options and awards</w:t>
            </w:r>
          </w:p>
        </w:tc>
        <w:tc>
          <w:tcPr>
            <w:tcW w:w="1138" w:type="dxa"/>
            <w:tcBorders>
              <w:top w:val="nil"/>
              <w:left w:val="nil"/>
              <w:bottom w:val="single" w:sz="4" w:space="0" w:color="auto"/>
              <w:right w:val="nil"/>
            </w:tcBorders>
            <w:shd w:val="clear" w:color="auto" w:fill="F2F2F2" w:themeFill="background1" w:themeFillShade="F2"/>
            <w:vAlign w:val="bottom"/>
          </w:tcPr>
          <w:p w14:paraId="06AC2E0A" w14:textId="079ABC49" w:rsidR="00080207" w:rsidRPr="006D4208" w:rsidRDefault="00364F66" w:rsidP="00080207">
            <w:pPr>
              <w:jc w:val="right"/>
              <w:rPr>
                <w:rFonts w:asciiTheme="minorHAnsi" w:hAnsiTheme="minorHAnsi" w:cstheme="minorHAnsi"/>
                <w:b/>
                <w:sz w:val="20"/>
                <w:szCs w:val="20"/>
              </w:rPr>
            </w:pPr>
            <w:r>
              <w:rPr>
                <w:rFonts w:asciiTheme="minorHAnsi" w:hAnsiTheme="minorHAnsi" w:cstheme="minorHAnsi"/>
                <w:b/>
                <w:sz w:val="20"/>
                <w:szCs w:val="20"/>
              </w:rPr>
              <w:t>-</w:t>
            </w:r>
          </w:p>
        </w:tc>
        <w:tc>
          <w:tcPr>
            <w:tcW w:w="995" w:type="dxa"/>
            <w:tcBorders>
              <w:top w:val="nil"/>
              <w:left w:val="nil"/>
              <w:bottom w:val="single" w:sz="4" w:space="0" w:color="auto"/>
              <w:right w:val="nil"/>
            </w:tcBorders>
            <w:shd w:val="clear" w:color="auto" w:fill="F2F2F2" w:themeFill="background1" w:themeFillShade="F2"/>
            <w:vAlign w:val="bottom"/>
          </w:tcPr>
          <w:p w14:paraId="166EE60A" w14:textId="5DCEBF8A" w:rsidR="00080207" w:rsidRPr="006D4208" w:rsidRDefault="00904175" w:rsidP="00080207">
            <w:pPr>
              <w:ind w:left="-108"/>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7</w:t>
            </w:r>
            <w:r w:rsidR="008546E5">
              <w:rPr>
                <w:rFonts w:asciiTheme="minorHAnsi" w:hAnsiTheme="minorHAnsi" w:cstheme="minorHAnsi"/>
                <w:b/>
                <w:color w:val="000000" w:themeColor="text1"/>
                <w:sz w:val="20"/>
                <w:szCs w:val="20"/>
              </w:rPr>
              <w:t>.7</w:t>
            </w:r>
          </w:p>
        </w:tc>
        <w:tc>
          <w:tcPr>
            <w:tcW w:w="1002" w:type="dxa"/>
            <w:tcBorders>
              <w:top w:val="nil"/>
              <w:left w:val="nil"/>
              <w:bottom w:val="single" w:sz="4" w:space="0" w:color="auto"/>
              <w:right w:val="nil"/>
            </w:tcBorders>
            <w:shd w:val="clear" w:color="auto" w:fill="F2F2F2" w:themeFill="background1" w:themeFillShade="F2"/>
            <w:vAlign w:val="bottom"/>
          </w:tcPr>
          <w:p w14:paraId="377BCE26" w14:textId="1A8B3EA5" w:rsidR="00080207" w:rsidRPr="006D4208" w:rsidRDefault="008546E5" w:rsidP="00080207">
            <w:pPr>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(0.1)</w:t>
            </w:r>
          </w:p>
        </w:tc>
        <w:tc>
          <w:tcPr>
            <w:tcW w:w="995" w:type="dxa"/>
            <w:tcBorders>
              <w:top w:val="nil"/>
              <w:left w:val="nil"/>
              <w:bottom w:val="single" w:sz="4" w:space="0" w:color="auto"/>
              <w:right w:val="nil"/>
            </w:tcBorders>
            <w:vAlign w:val="bottom"/>
          </w:tcPr>
          <w:p w14:paraId="23A04A58" w14:textId="1EC4E123" w:rsidR="00080207" w:rsidRPr="00080207" w:rsidRDefault="00080207" w:rsidP="00080207">
            <w:pPr>
              <w:jc w:val="right"/>
              <w:rPr>
                <w:rFonts w:asciiTheme="minorHAnsi" w:hAnsiTheme="minorHAnsi" w:cstheme="minorHAnsi"/>
                <w:bCs/>
                <w:sz w:val="20"/>
                <w:szCs w:val="20"/>
              </w:rPr>
            </w:pPr>
            <w:r w:rsidRPr="00080207">
              <w:rPr>
                <w:rFonts w:asciiTheme="minorHAnsi" w:hAnsiTheme="minorHAnsi" w:cstheme="minorHAnsi"/>
                <w:bCs/>
                <w:sz w:val="20"/>
                <w:szCs w:val="20"/>
              </w:rPr>
              <w:t>-</w:t>
            </w:r>
          </w:p>
        </w:tc>
        <w:tc>
          <w:tcPr>
            <w:tcW w:w="1138" w:type="dxa"/>
            <w:tcBorders>
              <w:top w:val="nil"/>
              <w:left w:val="nil"/>
              <w:bottom w:val="single" w:sz="4" w:space="0" w:color="auto"/>
              <w:right w:val="nil"/>
            </w:tcBorders>
            <w:vAlign w:val="bottom"/>
          </w:tcPr>
          <w:p w14:paraId="5750D0D5" w14:textId="7C257D3F" w:rsidR="00080207" w:rsidRPr="00080207" w:rsidRDefault="00080207" w:rsidP="00080207">
            <w:pPr>
              <w:ind w:left="-108"/>
              <w:jc w:val="right"/>
              <w:rPr>
                <w:rFonts w:asciiTheme="minorHAnsi" w:hAnsiTheme="minorHAnsi" w:cstheme="minorHAnsi"/>
                <w:bCs/>
                <w:sz w:val="20"/>
                <w:szCs w:val="20"/>
              </w:rPr>
            </w:pPr>
            <w:r w:rsidRPr="00080207">
              <w:rPr>
                <w:rFonts w:asciiTheme="minorHAnsi" w:hAnsiTheme="minorHAnsi" w:cstheme="minorHAnsi"/>
                <w:bCs/>
                <w:color w:val="000000" w:themeColor="text1"/>
                <w:sz w:val="20"/>
                <w:szCs w:val="20"/>
              </w:rPr>
              <w:t>-</w:t>
            </w:r>
          </w:p>
        </w:tc>
        <w:tc>
          <w:tcPr>
            <w:tcW w:w="1148" w:type="dxa"/>
            <w:tcBorders>
              <w:top w:val="nil"/>
              <w:left w:val="nil"/>
              <w:bottom w:val="single" w:sz="4" w:space="0" w:color="auto"/>
              <w:right w:val="nil"/>
            </w:tcBorders>
            <w:vAlign w:val="bottom"/>
          </w:tcPr>
          <w:p w14:paraId="5268646D" w14:textId="2E992558" w:rsidR="00080207" w:rsidRPr="00080207" w:rsidRDefault="00080207" w:rsidP="00080207">
            <w:pPr>
              <w:jc w:val="right"/>
              <w:rPr>
                <w:rFonts w:asciiTheme="minorHAnsi" w:hAnsiTheme="minorHAnsi" w:cstheme="minorHAnsi"/>
                <w:bCs/>
                <w:sz w:val="20"/>
                <w:szCs w:val="20"/>
              </w:rPr>
            </w:pPr>
            <w:r w:rsidRPr="00080207">
              <w:rPr>
                <w:rFonts w:asciiTheme="minorHAnsi" w:hAnsiTheme="minorHAnsi" w:cstheme="minorHAnsi"/>
                <w:bCs/>
                <w:color w:val="000000" w:themeColor="text1"/>
                <w:sz w:val="20"/>
                <w:szCs w:val="20"/>
              </w:rPr>
              <w:t>-</w:t>
            </w:r>
          </w:p>
        </w:tc>
      </w:tr>
      <w:tr w:rsidR="00080207" w:rsidRPr="00A36F5C" w14:paraId="65A0E422" w14:textId="77777777">
        <w:trPr>
          <w:trHeight w:val="194"/>
        </w:trPr>
        <w:tc>
          <w:tcPr>
            <w:tcW w:w="3560" w:type="dxa"/>
            <w:tcBorders>
              <w:top w:val="single" w:sz="4" w:space="0" w:color="auto"/>
              <w:bottom w:val="single" w:sz="12" w:space="0" w:color="auto"/>
            </w:tcBorders>
            <w:vAlign w:val="bottom"/>
          </w:tcPr>
          <w:p w14:paraId="2F47C5A6" w14:textId="4086DEAF" w:rsidR="00080207" w:rsidRPr="00A36F5C" w:rsidRDefault="00080207" w:rsidP="00080207">
            <w:pPr>
              <w:rPr>
                <w:rFonts w:asciiTheme="minorHAnsi" w:hAnsiTheme="minorHAnsi" w:cs="Arial"/>
                <w:b/>
                <w:sz w:val="20"/>
                <w:szCs w:val="20"/>
              </w:rPr>
            </w:pPr>
            <w:r w:rsidRPr="003874FE">
              <w:rPr>
                <w:rFonts w:asciiTheme="minorHAnsi" w:hAnsiTheme="minorHAnsi" w:cs="Arial"/>
                <w:b/>
                <w:sz w:val="20"/>
                <w:szCs w:val="20"/>
              </w:rPr>
              <w:t xml:space="preserve">Diluted </w:t>
            </w:r>
            <w:r w:rsidR="003874FE" w:rsidRPr="003874FE">
              <w:rPr>
                <w:rFonts w:asciiTheme="minorHAnsi" w:hAnsiTheme="minorHAnsi" w:cs="Arial"/>
                <w:b/>
                <w:sz w:val="20"/>
                <w:szCs w:val="20"/>
              </w:rPr>
              <w:t>earnings/(</w:t>
            </w:r>
            <w:r w:rsidRPr="003874FE">
              <w:rPr>
                <w:rFonts w:asciiTheme="minorHAnsi" w:hAnsiTheme="minorHAnsi" w:cs="Arial"/>
                <w:b/>
                <w:sz w:val="20"/>
                <w:szCs w:val="20"/>
              </w:rPr>
              <w:t>loss</w:t>
            </w:r>
            <w:r w:rsidR="003874FE" w:rsidRPr="003874FE">
              <w:rPr>
                <w:rFonts w:asciiTheme="minorHAnsi" w:hAnsiTheme="minorHAnsi" w:cs="Arial"/>
                <w:b/>
                <w:sz w:val="20"/>
                <w:szCs w:val="20"/>
              </w:rPr>
              <w:t>)</w:t>
            </w:r>
            <w:r w:rsidRPr="00A36F5C">
              <w:rPr>
                <w:rFonts w:asciiTheme="minorHAnsi" w:hAnsiTheme="minorHAnsi" w:cs="Arial"/>
                <w:b/>
                <w:sz w:val="20"/>
                <w:szCs w:val="20"/>
              </w:rPr>
              <w:t xml:space="preserve"> per share </w:t>
            </w:r>
          </w:p>
        </w:tc>
        <w:tc>
          <w:tcPr>
            <w:tcW w:w="1138" w:type="dxa"/>
            <w:tcBorders>
              <w:top w:val="single" w:sz="4" w:space="0" w:color="auto"/>
              <w:left w:val="nil"/>
              <w:bottom w:val="single" w:sz="12" w:space="0" w:color="auto"/>
              <w:right w:val="nil"/>
            </w:tcBorders>
            <w:shd w:val="clear" w:color="auto" w:fill="F2F2F2" w:themeFill="background1" w:themeFillShade="F2"/>
          </w:tcPr>
          <w:p w14:paraId="6F763EDA" w14:textId="4943CB6F" w:rsidR="00080207" w:rsidRPr="006D4208" w:rsidRDefault="00642155" w:rsidP="00080207">
            <w:pPr>
              <w:jc w:val="right"/>
              <w:rPr>
                <w:rFonts w:asciiTheme="minorHAnsi" w:hAnsiTheme="minorHAnsi" w:cstheme="minorHAnsi"/>
                <w:b/>
                <w:sz w:val="20"/>
                <w:szCs w:val="20"/>
              </w:rPr>
            </w:pPr>
            <w:r>
              <w:rPr>
                <w:rFonts w:asciiTheme="minorHAnsi" w:hAnsiTheme="minorHAnsi" w:cstheme="minorHAnsi"/>
                <w:b/>
                <w:sz w:val="20"/>
                <w:szCs w:val="20"/>
              </w:rPr>
              <w:t>5.6</w:t>
            </w:r>
          </w:p>
        </w:tc>
        <w:tc>
          <w:tcPr>
            <w:tcW w:w="995" w:type="dxa"/>
            <w:tcBorders>
              <w:top w:val="single" w:sz="4" w:space="0" w:color="auto"/>
              <w:left w:val="nil"/>
              <w:bottom w:val="single" w:sz="12" w:space="0" w:color="auto"/>
              <w:right w:val="nil"/>
            </w:tcBorders>
            <w:shd w:val="clear" w:color="auto" w:fill="F2F2F2" w:themeFill="background1" w:themeFillShade="F2"/>
          </w:tcPr>
          <w:p w14:paraId="26563153" w14:textId="27F373D6" w:rsidR="00080207" w:rsidRPr="006D4208" w:rsidRDefault="008546E5" w:rsidP="00080207">
            <w:pPr>
              <w:ind w:left="-108"/>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262.2</w:t>
            </w:r>
          </w:p>
        </w:tc>
        <w:tc>
          <w:tcPr>
            <w:tcW w:w="1002" w:type="dxa"/>
            <w:tcBorders>
              <w:top w:val="single" w:sz="4" w:space="0" w:color="auto"/>
              <w:left w:val="nil"/>
              <w:bottom w:val="single" w:sz="12" w:space="0" w:color="auto"/>
              <w:right w:val="nil"/>
            </w:tcBorders>
            <w:shd w:val="clear" w:color="auto" w:fill="F2F2F2" w:themeFill="background1" w:themeFillShade="F2"/>
          </w:tcPr>
          <w:p w14:paraId="53AF0801" w14:textId="3B0AA768" w:rsidR="00080207" w:rsidRPr="006D4208" w:rsidRDefault="008546E5" w:rsidP="00080207">
            <w:pPr>
              <w:jc w:val="righ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2.1</w:t>
            </w:r>
          </w:p>
        </w:tc>
        <w:tc>
          <w:tcPr>
            <w:tcW w:w="995" w:type="dxa"/>
            <w:tcBorders>
              <w:top w:val="single" w:sz="4" w:space="0" w:color="auto"/>
              <w:left w:val="nil"/>
              <w:bottom w:val="single" w:sz="12" w:space="0" w:color="auto"/>
              <w:right w:val="nil"/>
            </w:tcBorders>
          </w:tcPr>
          <w:p w14:paraId="7CD2F9CF" w14:textId="12388C5E" w:rsidR="00080207" w:rsidRPr="00080207" w:rsidRDefault="00080207" w:rsidP="00080207">
            <w:pPr>
              <w:jc w:val="right"/>
              <w:rPr>
                <w:rFonts w:asciiTheme="minorHAnsi" w:hAnsiTheme="minorHAnsi" w:cstheme="minorHAnsi"/>
                <w:bCs/>
                <w:sz w:val="20"/>
                <w:szCs w:val="20"/>
              </w:rPr>
            </w:pPr>
            <w:r w:rsidRPr="00080207">
              <w:rPr>
                <w:rFonts w:asciiTheme="minorHAnsi" w:hAnsiTheme="minorHAnsi" w:cstheme="minorHAnsi"/>
                <w:bCs/>
                <w:sz w:val="20"/>
                <w:szCs w:val="20"/>
              </w:rPr>
              <w:t>(35.8)</w:t>
            </w:r>
          </w:p>
        </w:tc>
        <w:tc>
          <w:tcPr>
            <w:tcW w:w="1138" w:type="dxa"/>
            <w:tcBorders>
              <w:top w:val="single" w:sz="4" w:space="0" w:color="auto"/>
              <w:left w:val="nil"/>
              <w:bottom w:val="single" w:sz="12" w:space="0" w:color="auto"/>
              <w:right w:val="nil"/>
            </w:tcBorders>
          </w:tcPr>
          <w:p w14:paraId="44C6662C" w14:textId="6ED3E42A" w:rsidR="00080207" w:rsidRPr="00080207" w:rsidRDefault="00080207" w:rsidP="00080207">
            <w:pPr>
              <w:ind w:left="-108"/>
              <w:jc w:val="right"/>
              <w:rPr>
                <w:rFonts w:asciiTheme="minorHAnsi" w:hAnsiTheme="minorHAnsi" w:cstheme="minorHAnsi"/>
                <w:bCs/>
                <w:sz w:val="20"/>
                <w:szCs w:val="20"/>
              </w:rPr>
            </w:pPr>
            <w:r w:rsidRPr="00080207">
              <w:rPr>
                <w:rFonts w:asciiTheme="minorHAnsi" w:hAnsiTheme="minorHAnsi" w:cstheme="minorHAnsi"/>
                <w:bCs/>
                <w:color w:val="000000" w:themeColor="text1"/>
                <w:sz w:val="20"/>
                <w:szCs w:val="20"/>
              </w:rPr>
              <w:t>254.7</w:t>
            </w:r>
          </w:p>
        </w:tc>
        <w:tc>
          <w:tcPr>
            <w:tcW w:w="1148" w:type="dxa"/>
            <w:tcBorders>
              <w:top w:val="single" w:sz="4" w:space="0" w:color="auto"/>
              <w:left w:val="nil"/>
              <w:bottom w:val="single" w:sz="12" w:space="0" w:color="auto"/>
              <w:right w:val="nil"/>
            </w:tcBorders>
          </w:tcPr>
          <w:p w14:paraId="0A4A7616" w14:textId="5E989C2A" w:rsidR="00080207" w:rsidRPr="00080207" w:rsidRDefault="00080207" w:rsidP="00080207">
            <w:pPr>
              <w:jc w:val="right"/>
              <w:rPr>
                <w:rFonts w:asciiTheme="minorHAnsi" w:hAnsiTheme="minorHAnsi" w:cstheme="minorHAnsi"/>
                <w:bCs/>
                <w:sz w:val="20"/>
                <w:szCs w:val="20"/>
              </w:rPr>
            </w:pPr>
            <w:r w:rsidRPr="00080207">
              <w:rPr>
                <w:rFonts w:asciiTheme="minorHAnsi" w:hAnsiTheme="minorHAnsi" w:cstheme="minorHAnsi"/>
                <w:bCs/>
                <w:color w:val="000000" w:themeColor="text1"/>
                <w:sz w:val="20"/>
                <w:szCs w:val="20"/>
              </w:rPr>
              <w:t>(14.1)</w:t>
            </w:r>
          </w:p>
        </w:tc>
      </w:tr>
    </w:tbl>
    <w:p w14:paraId="2A41FF77" w14:textId="77777777" w:rsidR="00003556" w:rsidRDefault="00003556" w:rsidP="000236D8">
      <w:pPr>
        <w:pStyle w:val="bodycopy"/>
        <w:spacing w:after="0" w:line="240" w:lineRule="auto"/>
        <w:jc w:val="both"/>
        <w:rPr>
          <w:rStyle w:val="bodycopynumber"/>
          <w:rFonts w:asciiTheme="minorHAnsi" w:hAnsiTheme="minorHAnsi" w:cs="Arial"/>
          <w:b/>
          <w:bCs/>
          <w:color w:val="4747FF"/>
          <w:sz w:val="22"/>
          <w:szCs w:val="22"/>
        </w:rPr>
      </w:pPr>
    </w:p>
    <w:p w14:paraId="03BBA494" w14:textId="77777777" w:rsidR="00B5640B" w:rsidRDefault="00B5640B" w:rsidP="000236D8">
      <w:pPr>
        <w:pStyle w:val="bodycopy"/>
        <w:spacing w:after="0" w:line="240" w:lineRule="auto"/>
        <w:jc w:val="both"/>
        <w:rPr>
          <w:rStyle w:val="bodycopynumber"/>
          <w:rFonts w:asciiTheme="minorHAnsi" w:hAnsiTheme="minorHAnsi" w:cs="Arial"/>
          <w:b/>
          <w:bCs/>
          <w:color w:val="4747FF"/>
          <w:sz w:val="22"/>
          <w:szCs w:val="22"/>
        </w:rPr>
      </w:pPr>
    </w:p>
    <w:p w14:paraId="3C02066B" w14:textId="019AC9F2" w:rsidR="00A1425C" w:rsidRPr="00701439" w:rsidRDefault="0038335F" w:rsidP="00A1425C">
      <w:pPr>
        <w:pStyle w:val="bodycopy"/>
        <w:spacing w:after="0" w:line="240" w:lineRule="auto"/>
        <w:ind w:left="567" w:hanging="567"/>
        <w:jc w:val="both"/>
        <w:rPr>
          <w:rFonts w:asciiTheme="minorHAnsi" w:hAnsiTheme="minorHAnsi" w:cs="Arial"/>
          <w:b/>
          <w:color w:val="4747FF"/>
          <w:sz w:val="22"/>
          <w:szCs w:val="22"/>
        </w:rPr>
      </w:pPr>
      <w:r>
        <w:rPr>
          <w:rStyle w:val="bodycopynumber"/>
          <w:rFonts w:asciiTheme="minorHAnsi" w:hAnsiTheme="minorHAnsi" w:cs="Arial"/>
          <w:b/>
          <w:bCs/>
          <w:color w:val="4747FF"/>
          <w:sz w:val="22"/>
          <w:szCs w:val="22"/>
        </w:rPr>
        <w:t>8</w:t>
      </w:r>
      <w:r w:rsidR="00A1425C" w:rsidRPr="00701439">
        <w:rPr>
          <w:rStyle w:val="bodycopynumber"/>
          <w:rFonts w:asciiTheme="minorHAnsi" w:hAnsiTheme="minorHAnsi" w:cs="Arial"/>
          <w:b/>
          <w:bCs/>
          <w:color w:val="4747FF"/>
          <w:sz w:val="22"/>
          <w:szCs w:val="22"/>
        </w:rPr>
        <w:t>.</w:t>
      </w:r>
      <w:r w:rsidR="00A1425C" w:rsidRPr="00701439">
        <w:rPr>
          <w:rStyle w:val="bodycopynumber"/>
          <w:rFonts w:asciiTheme="minorHAnsi" w:hAnsiTheme="minorHAnsi" w:cs="Arial"/>
          <w:b/>
          <w:bCs/>
          <w:color w:val="4747FF"/>
          <w:sz w:val="22"/>
          <w:szCs w:val="22"/>
        </w:rPr>
        <w:tab/>
        <w:t xml:space="preserve">Dividends </w:t>
      </w:r>
    </w:p>
    <w:p w14:paraId="34BD0579" w14:textId="77777777" w:rsidR="00A1425C" w:rsidRPr="00701439" w:rsidRDefault="00A1425C" w:rsidP="00A1425C">
      <w:pPr>
        <w:jc w:val="both"/>
        <w:rPr>
          <w:rFonts w:asciiTheme="minorHAnsi" w:hAnsiTheme="minorHAnsi" w:cs="Poppins-Light"/>
          <w:sz w:val="20"/>
          <w:szCs w:val="20"/>
        </w:rPr>
      </w:pPr>
    </w:p>
    <w:tbl>
      <w:tblPr>
        <w:tblW w:w="5000" w:type="pct"/>
        <w:tblLook w:val="0000" w:firstRow="0" w:lastRow="0" w:firstColumn="0" w:lastColumn="0" w:noHBand="0" w:noVBand="0"/>
      </w:tblPr>
      <w:tblGrid>
        <w:gridCol w:w="6363"/>
        <w:gridCol w:w="1064"/>
        <w:gridCol w:w="1149"/>
        <w:gridCol w:w="1147"/>
      </w:tblGrid>
      <w:tr w:rsidR="00AD4847" w:rsidRPr="00701439" w14:paraId="13561EFD" w14:textId="77777777" w:rsidTr="003B7755">
        <w:tc>
          <w:tcPr>
            <w:tcW w:w="3272" w:type="pct"/>
            <w:vAlign w:val="bottom"/>
          </w:tcPr>
          <w:p w14:paraId="77CDD92D" w14:textId="77777777" w:rsidR="00AD4847" w:rsidRPr="00701439" w:rsidRDefault="00AD4847">
            <w:pPr>
              <w:rPr>
                <w:rFonts w:asciiTheme="minorHAnsi" w:hAnsiTheme="minorHAnsi" w:cs="Arial"/>
                <w:b/>
                <w:sz w:val="20"/>
                <w:szCs w:val="20"/>
              </w:rPr>
            </w:pPr>
          </w:p>
        </w:tc>
        <w:tc>
          <w:tcPr>
            <w:tcW w:w="547" w:type="pct"/>
            <w:vAlign w:val="bottom"/>
          </w:tcPr>
          <w:p w14:paraId="2F1181B8" w14:textId="77777777" w:rsidR="00AD4847" w:rsidRPr="00701439" w:rsidRDefault="00AD4847">
            <w:pPr>
              <w:jc w:val="right"/>
              <w:rPr>
                <w:rFonts w:asciiTheme="minorHAnsi" w:hAnsiTheme="minorHAnsi" w:cs="Arial"/>
                <w:sz w:val="20"/>
                <w:szCs w:val="20"/>
              </w:rPr>
            </w:pPr>
          </w:p>
        </w:tc>
        <w:tc>
          <w:tcPr>
            <w:tcW w:w="1181" w:type="pct"/>
            <w:gridSpan w:val="2"/>
          </w:tcPr>
          <w:p w14:paraId="164FED7A" w14:textId="273D5A9E" w:rsidR="00AD4847" w:rsidRPr="00701439" w:rsidRDefault="00B532B6" w:rsidP="00B532B6">
            <w:pPr>
              <w:jc w:val="center"/>
              <w:rPr>
                <w:rFonts w:asciiTheme="minorHAnsi" w:hAnsiTheme="minorHAnsi" w:cs="Arial"/>
                <w:sz w:val="20"/>
                <w:szCs w:val="20"/>
              </w:rPr>
            </w:pPr>
            <w:r>
              <w:rPr>
                <w:rFonts w:asciiTheme="minorHAnsi" w:hAnsiTheme="minorHAnsi" w:cs="Arial"/>
                <w:sz w:val="20"/>
                <w:szCs w:val="20"/>
              </w:rPr>
              <w:t>Six months ending</w:t>
            </w:r>
          </w:p>
        </w:tc>
      </w:tr>
      <w:tr w:rsidR="00A1425C" w:rsidRPr="00701439" w14:paraId="2E72E19B" w14:textId="77777777" w:rsidTr="003B7755">
        <w:tc>
          <w:tcPr>
            <w:tcW w:w="3272" w:type="pct"/>
            <w:vAlign w:val="bottom"/>
          </w:tcPr>
          <w:p w14:paraId="5287BB30" w14:textId="77777777" w:rsidR="00A1425C" w:rsidRPr="00701439" w:rsidRDefault="00A1425C">
            <w:pPr>
              <w:rPr>
                <w:rFonts w:asciiTheme="minorHAnsi" w:hAnsiTheme="minorHAnsi" w:cs="Arial"/>
                <w:b/>
                <w:sz w:val="20"/>
                <w:szCs w:val="20"/>
              </w:rPr>
            </w:pPr>
          </w:p>
        </w:tc>
        <w:tc>
          <w:tcPr>
            <w:tcW w:w="547" w:type="pct"/>
            <w:vAlign w:val="bottom"/>
          </w:tcPr>
          <w:p w14:paraId="3C24FE2C" w14:textId="77777777" w:rsidR="00A1425C" w:rsidRPr="00701439" w:rsidRDefault="00A1425C">
            <w:pPr>
              <w:jc w:val="right"/>
              <w:rPr>
                <w:rFonts w:asciiTheme="minorHAnsi" w:hAnsiTheme="minorHAnsi" w:cs="Arial"/>
                <w:sz w:val="20"/>
                <w:szCs w:val="20"/>
              </w:rPr>
            </w:pPr>
          </w:p>
        </w:tc>
        <w:tc>
          <w:tcPr>
            <w:tcW w:w="591" w:type="pct"/>
            <w:shd w:val="clear" w:color="auto" w:fill="F2F2F2" w:themeFill="background1" w:themeFillShade="F2"/>
          </w:tcPr>
          <w:p w14:paraId="43F912EF" w14:textId="0FBDE6CE" w:rsidR="00A1425C" w:rsidRDefault="00A1425C">
            <w:pPr>
              <w:jc w:val="right"/>
              <w:rPr>
                <w:rFonts w:asciiTheme="minorHAnsi" w:hAnsiTheme="minorHAnsi" w:cs="Arial"/>
                <w:b/>
                <w:sz w:val="20"/>
                <w:szCs w:val="20"/>
              </w:rPr>
            </w:pPr>
            <w:r w:rsidRPr="0036588C">
              <w:rPr>
                <w:rFonts w:asciiTheme="minorHAnsi" w:hAnsiTheme="minorHAnsi" w:cs="Arial"/>
                <w:b/>
                <w:sz w:val="20"/>
                <w:szCs w:val="20"/>
              </w:rPr>
              <w:t>202</w:t>
            </w:r>
            <w:r w:rsidR="00AD4847">
              <w:rPr>
                <w:rFonts w:asciiTheme="minorHAnsi" w:hAnsiTheme="minorHAnsi" w:cs="Arial"/>
                <w:b/>
                <w:sz w:val="20"/>
                <w:szCs w:val="20"/>
              </w:rPr>
              <w:t>5</w:t>
            </w:r>
          </w:p>
          <w:p w14:paraId="7237C0BD" w14:textId="627988CD" w:rsidR="00A1425C" w:rsidRPr="0036588C" w:rsidRDefault="00A93B17">
            <w:pPr>
              <w:jc w:val="right"/>
              <w:rPr>
                <w:rFonts w:asciiTheme="minorHAnsi" w:hAnsiTheme="minorHAnsi" w:cs="Arial"/>
                <w:b/>
                <w:sz w:val="20"/>
                <w:szCs w:val="20"/>
              </w:rPr>
            </w:pPr>
            <w:r>
              <w:rPr>
                <w:rFonts w:asciiTheme="minorHAnsi" w:hAnsiTheme="minorHAnsi" w:cs="Arial"/>
                <w:b/>
                <w:sz w:val="20"/>
                <w:szCs w:val="20"/>
              </w:rPr>
              <w:t>unaudited</w:t>
            </w:r>
          </w:p>
        </w:tc>
        <w:tc>
          <w:tcPr>
            <w:tcW w:w="590" w:type="pct"/>
          </w:tcPr>
          <w:p w14:paraId="3F9A2CAA" w14:textId="77777777" w:rsidR="00A1425C" w:rsidRDefault="00A1425C">
            <w:pPr>
              <w:jc w:val="right"/>
              <w:rPr>
                <w:rFonts w:asciiTheme="minorHAnsi" w:hAnsiTheme="minorHAnsi" w:cs="Arial"/>
                <w:sz w:val="20"/>
                <w:szCs w:val="20"/>
              </w:rPr>
            </w:pPr>
            <w:r w:rsidRPr="00701439">
              <w:rPr>
                <w:rFonts w:asciiTheme="minorHAnsi" w:hAnsiTheme="minorHAnsi" w:cs="Arial"/>
                <w:sz w:val="20"/>
                <w:szCs w:val="20"/>
              </w:rPr>
              <w:t>202</w:t>
            </w:r>
            <w:r w:rsidR="00AD4847">
              <w:rPr>
                <w:rFonts w:asciiTheme="minorHAnsi" w:hAnsiTheme="minorHAnsi" w:cs="Arial"/>
                <w:sz w:val="20"/>
                <w:szCs w:val="20"/>
              </w:rPr>
              <w:t>4</w:t>
            </w:r>
          </w:p>
          <w:p w14:paraId="5FE9FBEF" w14:textId="6149D8F2" w:rsidR="00A1425C" w:rsidRPr="00701439" w:rsidRDefault="00A93B17">
            <w:pPr>
              <w:jc w:val="right"/>
              <w:rPr>
                <w:rFonts w:asciiTheme="minorHAnsi" w:hAnsiTheme="minorHAnsi" w:cs="Arial"/>
                <w:sz w:val="20"/>
                <w:szCs w:val="20"/>
              </w:rPr>
            </w:pPr>
            <w:r>
              <w:rPr>
                <w:rFonts w:asciiTheme="minorHAnsi" w:hAnsiTheme="minorHAnsi" w:cs="Arial"/>
                <w:sz w:val="20"/>
                <w:szCs w:val="20"/>
              </w:rPr>
              <w:t>unaudited</w:t>
            </w:r>
          </w:p>
        </w:tc>
      </w:tr>
      <w:tr w:rsidR="00A1425C" w:rsidRPr="00A36F5C" w14:paraId="4B71C336" w14:textId="77777777" w:rsidTr="003B7755">
        <w:tc>
          <w:tcPr>
            <w:tcW w:w="3272" w:type="pct"/>
            <w:vAlign w:val="bottom"/>
          </w:tcPr>
          <w:p w14:paraId="0845D2BA" w14:textId="77777777" w:rsidR="00A1425C" w:rsidRPr="0017081A" w:rsidRDefault="00A1425C">
            <w:pPr>
              <w:rPr>
                <w:rFonts w:asciiTheme="minorHAnsi" w:hAnsiTheme="minorHAnsi" w:cs="Arial"/>
                <w:b/>
                <w:sz w:val="20"/>
                <w:szCs w:val="20"/>
                <w:highlight w:val="green"/>
              </w:rPr>
            </w:pPr>
          </w:p>
        </w:tc>
        <w:tc>
          <w:tcPr>
            <w:tcW w:w="547" w:type="pct"/>
            <w:vAlign w:val="bottom"/>
          </w:tcPr>
          <w:p w14:paraId="79B1CDC2" w14:textId="77777777" w:rsidR="00A1425C" w:rsidRPr="0017081A" w:rsidRDefault="00A1425C">
            <w:pPr>
              <w:jc w:val="right"/>
              <w:rPr>
                <w:rFonts w:asciiTheme="minorHAnsi" w:hAnsiTheme="minorHAnsi" w:cs="Arial"/>
                <w:sz w:val="20"/>
                <w:szCs w:val="20"/>
                <w:highlight w:val="green"/>
              </w:rPr>
            </w:pPr>
          </w:p>
        </w:tc>
        <w:tc>
          <w:tcPr>
            <w:tcW w:w="591" w:type="pct"/>
            <w:tcBorders>
              <w:bottom w:val="single" w:sz="4" w:space="0" w:color="auto"/>
            </w:tcBorders>
            <w:shd w:val="clear" w:color="auto" w:fill="F2F2F2" w:themeFill="background1" w:themeFillShade="F2"/>
          </w:tcPr>
          <w:p w14:paraId="352F816A" w14:textId="77777777" w:rsidR="00A1425C" w:rsidRPr="0036588C" w:rsidRDefault="00A1425C">
            <w:pPr>
              <w:jc w:val="right"/>
              <w:rPr>
                <w:rFonts w:asciiTheme="minorHAnsi" w:hAnsiTheme="minorHAnsi" w:cs="Arial"/>
                <w:b/>
                <w:sz w:val="20"/>
                <w:szCs w:val="20"/>
              </w:rPr>
            </w:pPr>
            <w:r w:rsidRPr="0036588C">
              <w:rPr>
                <w:rFonts w:asciiTheme="minorHAnsi" w:hAnsiTheme="minorHAnsi" w:cs="Arial"/>
                <w:b/>
                <w:sz w:val="20"/>
                <w:szCs w:val="20"/>
              </w:rPr>
              <w:t>£m </w:t>
            </w:r>
          </w:p>
        </w:tc>
        <w:tc>
          <w:tcPr>
            <w:tcW w:w="590" w:type="pct"/>
            <w:tcBorders>
              <w:bottom w:val="single" w:sz="4" w:space="0" w:color="auto"/>
            </w:tcBorders>
          </w:tcPr>
          <w:p w14:paraId="7A8495BF" w14:textId="77777777" w:rsidR="00A1425C" w:rsidRPr="00A36F5C" w:rsidRDefault="00A1425C">
            <w:pPr>
              <w:jc w:val="right"/>
              <w:rPr>
                <w:rFonts w:asciiTheme="minorHAnsi" w:hAnsiTheme="minorHAnsi" w:cs="Arial"/>
                <w:sz w:val="20"/>
                <w:szCs w:val="20"/>
              </w:rPr>
            </w:pPr>
            <w:r w:rsidRPr="00A36F5C">
              <w:rPr>
                <w:rFonts w:asciiTheme="minorHAnsi" w:hAnsiTheme="minorHAnsi" w:cs="Arial"/>
                <w:sz w:val="20"/>
                <w:szCs w:val="20"/>
              </w:rPr>
              <w:t>£m </w:t>
            </w:r>
          </w:p>
        </w:tc>
      </w:tr>
      <w:tr w:rsidR="00B94980" w:rsidRPr="00A36F5C" w14:paraId="22502043" w14:textId="77777777" w:rsidTr="003B7755">
        <w:tc>
          <w:tcPr>
            <w:tcW w:w="3272" w:type="pct"/>
            <w:vAlign w:val="bottom"/>
          </w:tcPr>
          <w:p w14:paraId="2F2D9F4B" w14:textId="430CD068" w:rsidR="00B94980" w:rsidRPr="00A36F5C" w:rsidRDefault="00AD4847">
            <w:pPr>
              <w:rPr>
                <w:rFonts w:asciiTheme="minorHAnsi" w:hAnsiTheme="minorHAnsi" w:cs="Arial"/>
                <w:sz w:val="20"/>
                <w:szCs w:val="20"/>
              </w:rPr>
            </w:pPr>
            <w:r w:rsidRPr="00A36F5C">
              <w:rPr>
                <w:rFonts w:asciiTheme="minorHAnsi" w:hAnsiTheme="minorHAnsi" w:cs="Arial"/>
                <w:sz w:val="20"/>
                <w:szCs w:val="20"/>
              </w:rPr>
              <w:t>202</w:t>
            </w:r>
            <w:r>
              <w:rPr>
                <w:rFonts w:asciiTheme="minorHAnsi" w:hAnsiTheme="minorHAnsi" w:cs="Arial"/>
                <w:sz w:val="20"/>
                <w:szCs w:val="20"/>
              </w:rPr>
              <w:t>3</w:t>
            </w:r>
            <w:r w:rsidRPr="00A36F5C">
              <w:rPr>
                <w:rFonts w:asciiTheme="minorHAnsi" w:hAnsiTheme="minorHAnsi" w:cs="Arial"/>
                <w:sz w:val="20"/>
                <w:szCs w:val="20"/>
              </w:rPr>
              <w:t xml:space="preserve"> </w:t>
            </w:r>
            <w:r>
              <w:rPr>
                <w:rFonts w:asciiTheme="minorHAnsi" w:hAnsiTheme="minorHAnsi" w:cs="Arial"/>
                <w:sz w:val="20"/>
                <w:szCs w:val="20"/>
              </w:rPr>
              <w:t>final</w:t>
            </w:r>
            <w:r w:rsidRPr="00A36F5C">
              <w:rPr>
                <w:rFonts w:asciiTheme="minorHAnsi" w:hAnsiTheme="minorHAnsi" w:cs="Arial"/>
                <w:sz w:val="20"/>
                <w:szCs w:val="20"/>
              </w:rPr>
              <w:t xml:space="preserve"> – </w:t>
            </w:r>
            <w:r>
              <w:rPr>
                <w:rFonts w:asciiTheme="minorHAnsi" w:hAnsiTheme="minorHAnsi" w:cs="Arial"/>
                <w:sz w:val="20"/>
                <w:szCs w:val="20"/>
              </w:rPr>
              <w:t>1.0</w:t>
            </w:r>
            <w:r w:rsidRPr="00A36F5C">
              <w:rPr>
                <w:rFonts w:asciiTheme="minorHAnsi" w:hAnsiTheme="minorHAnsi" w:cs="Arial"/>
                <w:sz w:val="20"/>
                <w:szCs w:val="20"/>
              </w:rPr>
              <w:t>p per share</w:t>
            </w:r>
          </w:p>
        </w:tc>
        <w:tc>
          <w:tcPr>
            <w:tcW w:w="547" w:type="pct"/>
            <w:vAlign w:val="bottom"/>
          </w:tcPr>
          <w:p w14:paraId="0444DAEA" w14:textId="77777777" w:rsidR="00B94980" w:rsidRPr="00A36F5C" w:rsidRDefault="00B94980">
            <w:pPr>
              <w:jc w:val="right"/>
              <w:rPr>
                <w:rFonts w:asciiTheme="minorHAnsi" w:hAnsiTheme="minorHAnsi" w:cs="Arial"/>
                <w:sz w:val="20"/>
                <w:szCs w:val="20"/>
              </w:rPr>
            </w:pPr>
          </w:p>
        </w:tc>
        <w:tc>
          <w:tcPr>
            <w:tcW w:w="591" w:type="pct"/>
            <w:tcBorders>
              <w:top w:val="single" w:sz="4" w:space="0" w:color="auto"/>
              <w:left w:val="nil"/>
              <w:right w:val="nil"/>
            </w:tcBorders>
            <w:shd w:val="clear" w:color="auto" w:fill="F2F2F2" w:themeFill="background1" w:themeFillShade="F2"/>
            <w:vAlign w:val="bottom"/>
          </w:tcPr>
          <w:p w14:paraId="608EEE3D" w14:textId="6F78D2BB" w:rsidR="00B94980" w:rsidRPr="00802F2E" w:rsidRDefault="007E2DAB">
            <w:pPr>
              <w:jc w:val="right"/>
              <w:rPr>
                <w:rFonts w:asciiTheme="minorHAnsi" w:hAnsiTheme="minorHAnsi" w:cs="Arial"/>
                <w:b/>
                <w:sz w:val="20"/>
                <w:szCs w:val="20"/>
              </w:rPr>
            </w:pPr>
            <w:r>
              <w:rPr>
                <w:rFonts w:asciiTheme="minorHAnsi" w:hAnsiTheme="minorHAnsi" w:cs="Arial"/>
                <w:b/>
                <w:sz w:val="20"/>
                <w:szCs w:val="20"/>
              </w:rPr>
              <w:t>-</w:t>
            </w:r>
          </w:p>
        </w:tc>
        <w:tc>
          <w:tcPr>
            <w:tcW w:w="590" w:type="pct"/>
            <w:tcBorders>
              <w:top w:val="single" w:sz="4" w:space="0" w:color="auto"/>
              <w:left w:val="nil"/>
              <w:right w:val="nil"/>
            </w:tcBorders>
            <w:vAlign w:val="bottom"/>
          </w:tcPr>
          <w:p w14:paraId="665692F1" w14:textId="1ECFB441" w:rsidR="00B94980" w:rsidRPr="00802F2E" w:rsidRDefault="00AD4847">
            <w:pPr>
              <w:jc w:val="right"/>
              <w:rPr>
                <w:rFonts w:asciiTheme="minorHAnsi" w:hAnsiTheme="minorHAnsi" w:cs="Arial"/>
                <w:sz w:val="20"/>
                <w:szCs w:val="20"/>
              </w:rPr>
            </w:pPr>
            <w:r w:rsidRPr="00D975D1">
              <w:rPr>
                <w:rFonts w:asciiTheme="minorHAnsi" w:hAnsiTheme="minorHAnsi" w:cs="Arial"/>
                <w:sz w:val="20"/>
                <w:szCs w:val="20"/>
              </w:rPr>
              <w:t>2.5</w:t>
            </w:r>
          </w:p>
        </w:tc>
      </w:tr>
      <w:tr w:rsidR="00A1425C" w:rsidRPr="00A36F5C" w14:paraId="4C20B479" w14:textId="77777777" w:rsidTr="003B7755">
        <w:tc>
          <w:tcPr>
            <w:tcW w:w="3272" w:type="pct"/>
            <w:vAlign w:val="bottom"/>
          </w:tcPr>
          <w:p w14:paraId="1EE6F884" w14:textId="0917BB07" w:rsidR="00A1425C" w:rsidRPr="00A36F5C" w:rsidRDefault="00F019CE">
            <w:pPr>
              <w:rPr>
                <w:rFonts w:asciiTheme="minorHAnsi" w:hAnsiTheme="minorHAnsi" w:cs="Arial"/>
                <w:sz w:val="20"/>
                <w:szCs w:val="20"/>
              </w:rPr>
            </w:pPr>
            <w:r>
              <w:rPr>
                <w:rFonts w:asciiTheme="minorHAnsi" w:hAnsiTheme="minorHAnsi" w:cs="Arial"/>
                <w:sz w:val="20"/>
                <w:szCs w:val="20"/>
              </w:rPr>
              <w:t>Total dividends paid</w:t>
            </w:r>
          </w:p>
        </w:tc>
        <w:tc>
          <w:tcPr>
            <w:tcW w:w="547" w:type="pct"/>
            <w:vAlign w:val="bottom"/>
          </w:tcPr>
          <w:p w14:paraId="1DD89C33" w14:textId="77777777" w:rsidR="00A1425C" w:rsidRPr="00A36F5C" w:rsidRDefault="00A1425C">
            <w:pPr>
              <w:jc w:val="right"/>
              <w:rPr>
                <w:rFonts w:asciiTheme="minorHAnsi" w:hAnsiTheme="minorHAnsi" w:cs="Arial"/>
                <w:sz w:val="20"/>
                <w:szCs w:val="20"/>
              </w:rPr>
            </w:pPr>
          </w:p>
        </w:tc>
        <w:tc>
          <w:tcPr>
            <w:tcW w:w="591" w:type="pct"/>
            <w:tcBorders>
              <w:top w:val="single" w:sz="4" w:space="0" w:color="auto"/>
              <w:left w:val="nil"/>
              <w:bottom w:val="single" w:sz="12" w:space="0" w:color="auto"/>
              <w:right w:val="nil"/>
            </w:tcBorders>
            <w:shd w:val="clear" w:color="auto" w:fill="F2F2F2" w:themeFill="background1" w:themeFillShade="F2"/>
          </w:tcPr>
          <w:p w14:paraId="19ED0581" w14:textId="09394A25" w:rsidR="00A1425C" w:rsidRPr="00802F2E" w:rsidRDefault="007E2DAB">
            <w:pPr>
              <w:jc w:val="right"/>
              <w:rPr>
                <w:rFonts w:asciiTheme="minorHAnsi" w:hAnsiTheme="minorHAnsi" w:cs="Arial"/>
                <w:b/>
                <w:sz w:val="20"/>
                <w:szCs w:val="20"/>
              </w:rPr>
            </w:pPr>
            <w:r>
              <w:rPr>
                <w:rFonts w:asciiTheme="minorHAnsi" w:hAnsiTheme="minorHAnsi" w:cs="Arial"/>
                <w:b/>
                <w:sz w:val="20"/>
                <w:szCs w:val="20"/>
              </w:rPr>
              <w:t>-</w:t>
            </w:r>
          </w:p>
        </w:tc>
        <w:tc>
          <w:tcPr>
            <w:tcW w:w="590" w:type="pct"/>
            <w:tcBorders>
              <w:top w:val="single" w:sz="4" w:space="0" w:color="auto"/>
              <w:left w:val="nil"/>
              <w:bottom w:val="single" w:sz="12" w:space="0" w:color="auto"/>
              <w:right w:val="nil"/>
            </w:tcBorders>
            <w:vAlign w:val="bottom"/>
          </w:tcPr>
          <w:p w14:paraId="34F8E973" w14:textId="2E570231" w:rsidR="00A1425C" w:rsidRPr="00802F2E" w:rsidRDefault="00B532B6">
            <w:pPr>
              <w:jc w:val="right"/>
              <w:rPr>
                <w:rFonts w:asciiTheme="minorHAnsi" w:hAnsiTheme="minorHAnsi" w:cs="Arial"/>
                <w:sz w:val="20"/>
                <w:szCs w:val="20"/>
              </w:rPr>
            </w:pPr>
            <w:r>
              <w:rPr>
                <w:rFonts w:asciiTheme="minorHAnsi" w:hAnsiTheme="minorHAnsi" w:cs="Arial"/>
                <w:sz w:val="20"/>
                <w:szCs w:val="20"/>
              </w:rPr>
              <w:t>2.5</w:t>
            </w:r>
          </w:p>
        </w:tc>
      </w:tr>
    </w:tbl>
    <w:p w14:paraId="44A1CDE5" w14:textId="77777777" w:rsidR="00A1425C" w:rsidRPr="00701439" w:rsidRDefault="00A1425C" w:rsidP="00A1425C">
      <w:pPr>
        <w:ind w:left="567" w:hanging="567"/>
        <w:rPr>
          <w:rFonts w:asciiTheme="minorHAnsi" w:hAnsiTheme="minorHAnsi" w:cs="Arial"/>
          <w:sz w:val="20"/>
          <w:szCs w:val="20"/>
        </w:rPr>
      </w:pPr>
    </w:p>
    <w:p w14:paraId="455D3F6F" w14:textId="3B94ED5A" w:rsidR="00A1425C" w:rsidRPr="00701439" w:rsidRDefault="00A1425C" w:rsidP="00B5640B">
      <w:pPr>
        <w:autoSpaceDE w:val="0"/>
        <w:autoSpaceDN w:val="0"/>
        <w:adjustRightInd w:val="0"/>
        <w:jc w:val="both"/>
        <w:rPr>
          <w:rFonts w:asciiTheme="minorHAnsi" w:hAnsiTheme="minorHAnsi" w:cs="Arial"/>
          <w:sz w:val="20"/>
          <w:szCs w:val="20"/>
        </w:rPr>
      </w:pPr>
      <w:r w:rsidRPr="00327A1E">
        <w:rPr>
          <w:rFonts w:asciiTheme="minorHAnsi" w:hAnsiTheme="minorHAnsi" w:cstheme="minorHAnsi"/>
          <w:sz w:val="20"/>
          <w:szCs w:val="20"/>
        </w:rPr>
        <w:t xml:space="preserve">The directors are </w:t>
      </w:r>
      <w:r w:rsidR="00D2068A" w:rsidRPr="00327A1E">
        <w:rPr>
          <w:rFonts w:asciiTheme="minorHAnsi" w:hAnsiTheme="minorHAnsi" w:cstheme="minorHAnsi"/>
          <w:sz w:val="20"/>
          <w:szCs w:val="20"/>
        </w:rPr>
        <w:t xml:space="preserve">not </w:t>
      </w:r>
      <w:r w:rsidRPr="00327A1E">
        <w:rPr>
          <w:rFonts w:asciiTheme="minorHAnsi" w:hAnsiTheme="minorHAnsi" w:cstheme="minorHAnsi"/>
          <w:sz w:val="20"/>
          <w:szCs w:val="20"/>
        </w:rPr>
        <w:t xml:space="preserve">recommending </w:t>
      </w:r>
      <w:r w:rsidR="0038335F" w:rsidRPr="00327A1E">
        <w:rPr>
          <w:rFonts w:asciiTheme="minorHAnsi" w:hAnsiTheme="minorHAnsi" w:cstheme="minorBidi"/>
          <w:sz w:val="20"/>
          <w:szCs w:val="20"/>
        </w:rPr>
        <w:t>an interim</w:t>
      </w:r>
      <w:r w:rsidRPr="00327A1E">
        <w:rPr>
          <w:rFonts w:asciiTheme="minorHAnsi" w:hAnsiTheme="minorHAnsi" w:cstheme="minorHAnsi"/>
          <w:sz w:val="20"/>
          <w:szCs w:val="20"/>
        </w:rPr>
        <w:t xml:space="preserve"> dividend in respect of the </w:t>
      </w:r>
      <w:r w:rsidR="0038335F" w:rsidRPr="00327A1E">
        <w:rPr>
          <w:rFonts w:asciiTheme="minorHAnsi" w:hAnsiTheme="minorHAnsi" w:cstheme="minorBidi"/>
          <w:sz w:val="20"/>
          <w:szCs w:val="20"/>
        </w:rPr>
        <w:t>period</w:t>
      </w:r>
      <w:r w:rsidRPr="00327A1E">
        <w:rPr>
          <w:rFonts w:asciiTheme="minorHAnsi" w:hAnsiTheme="minorHAnsi" w:cstheme="minorHAnsi"/>
          <w:sz w:val="20"/>
          <w:szCs w:val="20"/>
        </w:rPr>
        <w:t xml:space="preserve"> ended </w:t>
      </w:r>
      <w:r w:rsidR="0038335F" w:rsidRPr="00327A1E">
        <w:rPr>
          <w:rFonts w:asciiTheme="minorHAnsi" w:hAnsiTheme="minorHAnsi" w:cstheme="minorBidi"/>
          <w:sz w:val="20"/>
          <w:szCs w:val="20"/>
        </w:rPr>
        <w:t>30 June 2025</w:t>
      </w:r>
      <w:r w:rsidR="0038335F" w:rsidRPr="002725AC">
        <w:rPr>
          <w:rFonts w:asciiTheme="minorHAnsi" w:hAnsiTheme="minorHAnsi" w:cstheme="minorBidi"/>
          <w:sz w:val="20"/>
          <w:szCs w:val="20"/>
        </w:rPr>
        <w:t xml:space="preserve"> (1H2</w:t>
      </w:r>
      <w:r w:rsidR="0038335F">
        <w:rPr>
          <w:rFonts w:asciiTheme="minorHAnsi" w:hAnsiTheme="minorHAnsi" w:cstheme="minorBidi"/>
          <w:sz w:val="20"/>
          <w:szCs w:val="20"/>
        </w:rPr>
        <w:t>4</w:t>
      </w:r>
      <w:r w:rsidR="0038335F" w:rsidRPr="002725AC">
        <w:rPr>
          <w:rFonts w:asciiTheme="minorHAnsi" w:hAnsiTheme="minorHAnsi" w:cstheme="minorBidi"/>
          <w:sz w:val="20"/>
          <w:szCs w:val="20"/>
        </w:rPr>
        <w:t xml:space="preserve">: </w:t>
      </w:r>
      <w:r w:rsidR="0038335F">
        <w:rPr>
          <w:rFonts w:asciiTheme="minorHAnsi" w:hAnsiTheme="minorHAnsi" w:cstheme="minorBidi"/>
          <w:sz w:val="20"/>
          <w:szCs w:val="20"/>
        </w:rPr>
        <w:t>nil</w:t>
      </w:r>
      <w:r w:rsidR="0038335F" w:rsidRPr="002725AC">
        <w:rPr>
          <w:rFonts w:asciiTheme="minorHAnsi" w:hAnsiTheme="minorHAnsi" w:cstheme="minorBidi"/>
          <w:sz w:val="20"/>
          <w:szCs w:val="20"/>
        </w:rPr>
        <w:t>).</w:t>
      </w:r>
    </w:p>
    <w:p w14:paraId="1B774960" w14:textId="77777777" w:rsidR="00773195" w:rsidRDefault="00773195" w:rsidP="00A1425C">
      <w:pPr>
        <w:ind w:left="567" w:hanging="567"/>
        <w:rPr>
          <w:rFonts w:asciiTheme="minorHAnsi" w:hAnsiTheme="minorHAnsi" w:cs="Arial"/>
          <w:b/>
          <w:color w:val="4747FF"/>
          <w:sz w:val="22"/>
          <w:szCs w:val="22"/>
        </w:rPr>
      </w:pPr>
    </w:p>
    <w:p w14:paraId="22161503" w14:textId="52838AF9" w:rsidR="00A1425C" w:rsidRDefault="0038335F" w:rsidP="00A1425C">
      <w:pPr>
        <w:ind w:left="567" w:hanging="567"/>
        <w:rPr>
          <w:rFonts w:asciiTheme="minorHAnsi" w:hAnsiTheme="minorHAnsi" w:cs="Arial"/>
          <w:b/>
          <w:color w:val="4747FF"/>
          <w:sz w:val="22"/>
          <w:szCs w:val="22"/>
        </w:rPr>
      </w:pPr>
      <w:r>
        <w:rPr>
          <w:rFonts w:asciiTheme="minorHAnsi" w:hAnsiTheme="minorHAnsi" w:cs="Arial"/>
          <w:b/>
          <w:color w:val="4747FF"/>
          <w:sz w:val="22"/>
          <w:szCs w:val="22"/>
        </w:rPr>
        <w:t>9</w:t>
      </w:r>
      <w:r w:rsidR="00A1425C" w:rsidRPr="00701439">
        <w:rPr>
          <w:rFonts w:asciiTheme="minorHAnsi" w:hAnsiTheme="minorHAnsi" w:cs="Arial"/>
          <w:b/>
          <w:color w:val="4747FF"/>
          <w:sz w:val="22"/>
          <w:szCs w:val="22"/>
        </w:rPr>
        <w:t>.</w:t>
      </w:r>
      <w:r w:rsidR="00A1425C" w:rsidRPr="00701439">
        <w:rPr>
          <w:rFonts w:asciiTheme="minorHAnsi" w:hAnsiTheme="minorHAnsi" w:cs="Arial"/>
          <w:b/>
          <w:color w:val="4747FF"/>
          <w:sz w:val="22"/>
          <w:szCs w:val="22"/>
        </w:rPr>
        <w:tab/>
        <w:t>Amounts receivable from customers</w:t>
      </w:r>
    </w:p>
    <w:p w14:paraId="7EA910BF" w14:textId="77777777" w:rsidR="00DF10FD" w:rsidRDefault="00DF10FD" w:rsidP="00A1425C">
      <w:pPr>
        <w:ind w:left="567" w:hanging="567"/>
        <w:rPr>
          <w:rFonts w:asciiTheme="minorHAnsi" w:hAnsiTheme="minorHAnsi" w:cs="Arial"/>
          <w:b/>
          <w:color w:val="4747FF"/>
          <w:sz w:val="22"/>
          <w:szCs w:val="22"/>
        </w:rPr>
      </w:pPr>
    </w:p>
    <w:tbl>
      <w:tblPr>
        <w:tblW w:w="5000" w:type="pct"/>
        <w:tblLook w:val="0000" w:firstRow="0" w:lastRow="0" w:firstColumn="0" w:lastColumn="0" w:noHBand="0" w:noVBand="0"/>
      </w:tblPr>
      <w:tblGrid>
        <w:gridCol w:w="4686"/>
        <w:gridCol w:w="1705"/>
        <w:gridCol w:w="1842"/>
        <w:gridCol w:w="1490"/>
      </w:tblGrid>
      <w:tr w:rsidR="00F45C8E" w:rsidRPr="00F203CC" w14:paraId="774C5DCF" w14:textId="77777777" w:rsidTr="003B7755">
        <w:trPr>
          <w:trHeight w:val="257"/>
        </w:trPr>
        <w:tc>
          <w:tcPr>
            <w:tcW w:w="2410" w:type="pct"/>
          </w:tcPr>
          <w:p w14:paraId="637D93C0" w14:textId="77777777" w:rsidR="00F45C8E" w:rsidRPr="00701439" w:rsidRDefault="00F45C8E" w:rsidP="00F45C8E">
            <w:pPr>
              <w:rPr>
                <w:rFonts w:asciiTheme="minorHAnsi" w:eastAsiaTheme="minorEastAsia" w:hAnsiTheme="minorHAnsi" w:cstheme="minorBidi"/>
                <w:sz w:val="20"/>
                <w:szCs w:val="20"/>
              </w:rPr>
            </w:pPr>
          </w:p>
        </w:tc>
        <w:tc>
          <w:tcPr>
            <w:tcW w:w="877" w:type="pct"/>
            <w:shd w:val="clear" w:color="auto" w:fill="F2F2F2" w:themeFill="background1" w:themeFillShade="F2"/>
          </w:tcPr>
          <w:p w14:paraId="6555C6FD" w14:textId="77777777" w:rsidR="00F45C8E" w:rsidRDefault="00F45C8E" w:rsidP="00F45C8E">
            <w:pPr>
              <w:jc w:val="right"/>
              <w:rPr>
                <w:rFonts w:asciiTheme="minorHAnsi" w:eastAsiaTheme="minorEastAsia" w:hAnsiTheme="minorHAnsi" w:cstheme="minorBidi"/>
                <w:b/>
                <w:sz w:val="20"/>
                <w:szCs w:val="20"/>
              </w:rPr>
            </w:pPr>
            <w:r w:rsidRPr="7ACEA165">
              <w:rPr>
                <w:rFonts w:asciiTheme="minorHAnsi" w:eastAsiaTheme="minorEastAsia" w:hAnsiTheme="minorHAnsi" w:cstheme="minorBidi"/>
                <w:b/>
                <w:sz w:val="20"/>
                <w:szCs w:val="20"/>
              </w:rPr>
              <w:t>30 June 202</w:t>
            </w:r>
            <w:r w:rsidR="007E2DAB">
              <w:rPr>
                <w:rFonts w:asciiTheme="minorHAnsi" w:eastAsiaTheme="minorEastAsia" w:hAnsiTheme="minorHAnsi" w:cstheme="minorBidi"/>
                <w:b/>
                <w:sz w:val="20"/>
                <w:szCs w:val="20"/>
              </w:rPr>
              <w:t>5</w:t>
            </w:r>
          </w:p>
          <w:p w14:paraId="639A1832" w14:textId="3E122D30" w:rsidR="00F45C8E" w:rsidRPr="001A05BB" w:rsidRDefault="00A93B17" w:rsidP="00F45C8E">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unaudited</w:t>
            </w:r>
          </w:p>
        </w:tc>
        <w:tc>
          <w:tcPr>
            <w:tcW w:w="947" w:type="pct"/>
          </w:tcPr>
          <w:p w14:paraId="07A082EA" w14:textId="77777777" w:rsidR="00F45C8E" w:rsidRDefault="00F45C8E" w:rsidP="00F45C8E">
            <w:pPr>
              <w:jc w:val="right"/>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31 December 202</w:t>
            </w:r>
            <w:r w:rsidR="007E2DAB">
              <w:rPr>
                <w:rFonts w:asciiTheme="minorHAnsi" w:eastAsiaTheme="minorEastAsia" w:hAnsiTheme="minorHAnsi" w:cstheme="minorBidi"/>
                <w:sz w:val="20"/>
                <w:szCs w:val="20"/>
              </w:rPr>
              <w:t>4</w:t>
            </w:r>
          </w:p>
          <w:p w14:paraId="58ED68BD" w14:textId="2F51F772" w:rsidR="00F45C8E" w:rsidRDefault="00A93B17" w:rsidP="00F45C8E">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audited</w:t>
            </w:r>
          </w:p>
        </w:tc>
        <w:tc>
          <w:tcPr>
            <w:tcW w:w="766" w:type="pct"/>
          </w:tcPr>
          <w:p w14:paraId="6D08B562" w14:textId="4838CE19" w:rsidR="00A93B17" w:rsidRDefault="00F45C8E" w:rsidP="00F45C8E">
            <w:pPr>
              <w:jc w:val="right"/>
              <w:rPr>
                <w:rFonts w:asciiTheme="minorHAnsi" w:eastAsiaTheme="minorEastAsia" w:hAnsiTheme="minorHAnsi" w:cstheme="minorBidi"/>
                <w:sz w:val="20"/>
                <w:szCs w:val="20"/>
              </w:rPr>
            </w:pPr>
            <w:r w:rsidRPr="00B61918">
              <w:rPr>
                <w:rFonts w:asciiTheme="minorHAnsi" w:eastAsiaTheme="minorEastAsia" w:hAnsiTheme="minorHAnsi" w:cstheme="minorBidi"/>
                <w:sz w:val="20"/>
                <w:szCs w:val="20"/>
              </w:rPr>
              <w:t>30 June 2024</w:t>
            </w:r>
            <w:r w:rsidR="000C6DDD" w:rsidRPr="000C6DDD">
              <w:rPr>
                <w:rFonts w:asciiTheme="minorHAnsi" w:eastAsiaTheme="minorEastAsia" w:hAnsiTheme="minorHAnsi" w:cstheme="minorBidi"/>
                <w:sz w:val="20"/>
                <w:szCs w:val="20"/>
                <w:vertAlign w:val="superscript"/>
              </w:rPr>
              <w:t>1</w:t>
            </w:r>
          </w:p>
          <w:p w14:paraId="68BE38EC" w14:textId="04D5661B" w:rsidR="00F45C8E" w:rsidRPr="00F203CC" w:rsidRDefault="00765752" w:rsidP="00F45C8E">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unaudited</w:t>
            </w:r>
            <w:r w:rsidR="00F45C8E" w:rsidRPr="00B61918">
              <w:rPr>
                <w:rFonts w:asciiTheme="minorHAnsi" w:eastAsiaTheme="minorEastAsia" w:hAnsiTheme="minorHAnsi" w:cstheme="minorBidi"/>
                <w:sz w:val="20"/>
                <w:szCs w:val="20"/>
              </w:rPr>
              <w:t> </w:t>
            </w:r>
          </w:p>
        </w:tc>
      </w:tr>
      <w:tr w:rsidR="00F45C8E" w:rsidRPr="00F203CC" w14:paraId="41E1C808" w14:textId="77777777" w:rsidTr="003B7755">
        <w:trPr>
          <w:trHeight w:val="247"/>
        </w:trPr>
        <w:tc>
          <w:tcPr>
            <w:tcW w:w="2410" w:type="pct"/>
          </w:tcPr>
          <w:p w14:paraId="47B7C14A" w14:textId="77777777" w:rsidR="00F45C8E" w:rsidRPr="008B3AA6" w:rsidRDefault="00F45C8E" w:rsidP="00F45C8E">
            <w:pPr>
              <w:rPr>
                <w:rFonts w:asciiTheme="minorHAnsi" w:eastAsiaTheme="minorEastAsia" w:hAnsiTheme="minorHAnsi" w:cstheme="minorBidi"/>
                <w:sz w:val="20"/>
                <w:szCs w:val="20"/>
                <w:highlight w:val="green"/>
              </w:rPr>
            </w:pPr>
          </w:p>
        </w:tc>
        <w:tc>
          <w:tcPr>
            <w:tcW w:w="877" w:type="pct"/>
            <w:tcBorders>
              <w:top w:val="nil"/>
              <w:left w:val="nil"/>
              <w:bottom w:val="single" w:sz="4" w:space="0" w:color="auto"/>
              <w:right w:val="nil"/>
            </w:tcBorders>
            <w:shd w:val="clear" w:color="auto" w:fill="F2F2F2" w:themeFill="background1" w:themeFillShade="F2"/>
          </w:tcPr>
          <w:p w14:paraId="6F7F0DB8" w14:textId="77777777" w:rsidR="00F45C8E" w:rsidRPr="001A05BB" w:rsidRDefault="00F45C8E" w:rsidP="00F45C8E">
            <w:pPr>
              <w:jc w:val="right"/>
              <w:rPr>
                <w:rFonts w:asciiTheme="minorHAnsi" w:eastAsiaTheme="minorEastAsia" w:hAnsiTheme="minorHAnsi" w:cstheme="minorBidi"/>
                <w:b/>
                <w:sz w:val="20"/>
                <w:szCs w:val="20"/>
              </w:rPr>
            </w:pPr>
            <w:r w:rsidRPr="7ACEA165">
              <w:rPr>
                <w:rFonts w:asciiTheme="minorHAnsi" w:eastAsiaTheme="minorEastAsia" w:hAnsiTheme="minorHAnsi" w:cstheme="minorBidi"/>
                <w:b/>
                <w:sz w:val="20"/>
                <w:szCs w:val="20"/>
              </w:rPr>
              <w:t>£m </w:t>
            </w:r>
          </w:p>
        </w:tc>
        <w:tc>
          <w:tcPr>
            <w:tcW w:w="947" w:type="pct"/>
            <w:tcBorders>
              <w:top w:val="nil"/>
              <w:left w:val="nil"/>
              <w:bottom w:val="single" w:sz="4" w:space="0" w:color="auto"/>
              <w:right w:val="nil"/>
            </w:tcBorders>
          </w:tcPr>
          <w:p w14:paraId="783E43E0" w14:textId="77777777" w:rsidR="00F45C8E" w:rsidRDefault="00F45C8E" w:rsidP="00F45C8E">
            <w:pPr>
              <w:jc w:val="right"/>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£m</w:t>
            </w:r>
          </w:p>
        </w:tc>
        <w:tc>
          <w:tcPr>
            <w:tcW w:w="766" w:type="pct"/>
            <w:tcBorders>
              <w:top w:val="nil"/>
              <w:left w:val="nil"/>
              <w:bottom w:val="single" w:sz="4" w:space="0" w:color="auto"/>
              <w:right w:val="nil"/>
            </w:tcBorders>
          </w:tcPr>
          <w:p w14:paraId="354636A7" w14:textId="4092B5F0" w:rsidR="00F45C8E" w:rsidRPr="00F203CC" w:rsidRDefault="00F45C8E" w:rsidP="00F45C8E">
            <w:pPr>
              <w:jc w:val="right"/>
              <w:rPr>
                <w:rFonts w:asciiTheme="minorHAnsi" w:eastAsiaTheme="minorEastAsia" w:hAnsiTheme="minorHAnsi" w:cstheme="minorBidi"/>
                <w:sz w:val="20"/>
                <w:szCs w:val="20"/>
              </w:rPr>
            </w:pPr>
            <w:r w:rsidRPr="00B61918">
              <w:rPr>
                <w:rFonts w:asciiTheme="minorHAnsi" w:eastAsiaTheme="minorEastAsia" w:hAnsiTheme="minorHAnsi" w:cstheme="minorBidi"/>
                <w:sz w:val="20"/>
                <w:szCs w:val="20"/>
              </w:rPr>
              <w:t>£m </w:t>
            </w:r>
          </w:p>
        </w:tc>
      </w:tr>
      <w:tr w:rsidR="00F45C8E" w:rsidRPr="00F203CC" w14:paraId="3D71407B" w14:textId="77777777" w:rsidTr="003B7755">
        <w:trPr>
          <w:trHeight w:val="247"/>
        </w:trPr>
        <w:tc>
          <w:tcPr>
            <w:tcW w:w="2410" w:type="pct"/>
            <w:vAlign w:val="bottom"/>
          </w:tcPr>
          <w:p w14:paraId="3334FA02" w14:textId="77777777" w:rsidR="00F45C8E" w:rsidRPr="006D4208" w:rsidRDefault="00F45C8E" w:rsidP="00F45C8E">
            <w:pPr>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Credit cards</w:t>
            </w:r>
          </w:p>
        </w:tc>
        <w:tc>
          <w:tcPr>
            <w:tcW w:w="877" w:type="pct"/>
            <w:shd w:val="clear" w:color="auto" w:fill="F2F2F2" w:themeFill="background1" w:themeFillShade="F2"/>
            <w:vAlign w:val="center"/>
          </w:tcPr>
          <w:p w14:paraId="1267FF3D" w14:textId="338E220E" w:rsidR="00F45C8E" w:rsidRPr="006D4208" w:rsidRDefault="0056743D" w:rsidP="00F45C8E">
            <w:pPr>
              <w:jc w:val="right"/>
              <w:rPr>
                <w:rFonts w:asciiTheme="minorHAnsi" w:eastAsiaTheme="minorEastAsia" w:hAnsiTheme="minorHAnsi" w:cstheme="minorBidi"/>
                <w:b/>
                <w:color w:val="000000"/>
                <w:sz w:val="20"/>
                <w:szCs w:val="20"/>
              </w:rPr>
            </w:pPr>
            <w:r>
              <w:rPr>
                <w:rFonts w:ascii="Calibri" w:hAnsi="Calibri" w:cs="Calibri"/>
                <w:b/>
                <w:bCs/>
                <w:color w:val="000000"/>
                <w:sz w:val="20"/>
                <w:szCs w:val="20"/>
              </w:rPr>
              <w:t xml:space="preserve">      1,231.9 </w:t>
            </w:r>
          </w:p>
        </w:tc>
        <w:tc>
          <w:tcPr>
            <w:tcW w:w="947" w:type="pct"/>
          </w:tcPr>
          <w:p w14:paraId="3AB778D7" w14:textId="516A5C36" w:rsidR="00F45C8E" w:rsidRPr="006D4208" w:rsidRDefault="009D3943" w:rsidP="00F45C8E">
            <w:pPr>
              <w:jc w:val="right"/>
              <w:rPr>
                <w:rFonts w:asciiTheme="minorHAnsi" w:eastAsiaTheme="minorEastAsia" w:hAnsiTheme="minorHAnsi" w:cstheme="minorBidi"/>
                <w:color w:val="000000"/>
                <w:sz w:val="20"/>
                <w:szCs w:val="20"/>
              </w:rPr>
            </w:pPr>
            <w:r>
              <w:rPr>
                <w:rFonts w:asciiTheme="minorHAnsi" w:eastAsiaTheme="minorEastAsia" w:hAnsiTheme="minorHAnsi" w:cstheme="minorBidi"/>
                <w:sz w:val="20"/>
                <w:szCs w:val="20"/>
              </w:rPr>
              <w:t>1,149.9</w:t>
            </w:r>
          </w:p>
        </w:tc>
        <w:tc>
          <w:tcPr>
            <w:tcW w:w="766" w:type="pct"/>
            <w:vAlign w:val="bottom"/>
          </w:tcPr>
          <w:p w14:paraId="202561B3" w14:textId="78605DD4" w:rsidR="00F45C8E" w:rsidRPr="006D4208" w:rsidRDefault="009D3943" w:rsidP="00F45C8E">
            <w:pPr>
              <w:jc w:val="right"/>
              <w:rPr>
                <w:rFonts w:asciiTheme="minorHAnsi" w:eastAsiaTheme="minorEastAsia" w:hAnsiTheme="minorHAnsi" w:cstheme="minorBidi"/>
                <w:sz w:val="20"/>
                <w:szCs w:val="20"/>
              </w:rPr>
            </w:pPr>
            <w:r w:rsidRPr="00B61918">
              <w:rPr>
                <w:rFonts w:asciiTheme="minorHAnsi" w:eastAsiaTheme="minorEastAsia" w:hAnsiTheme="minorHAnsi" w:cstheme="minorBidi"/>
                <w:bCs/>
                <w:sz w:val="20"/>
                <w:szCs w:val="20"/>
              </w:rPr>
              <w:t>1,150.6</w:t>
            </w:r>
          </w:p>
        </w:tc>
      </w:tr>
      <w:tr w:rsidR="00F45C8E" w:rsidRPr="00A36F5C" w14:paraId="2CDD53B3" w14:textId="77777777" w:rsidTr="003B7755">
        <w:trPr>
          <w:trHeight w:val="247"/>
        </w:trPr>
        <w:tc>
          <w:tcPr>
            <w:tcW w:w="2410" w:type="pct"/>
            <w:vAlign w:val="bottom"/>
          </w:tcPr>
          <w:p w14:paraId="3CC373EB" w14:textId="77777777" w:rsidR="00F45C8E" w:rsidRPr="00A36F5C" w:rsidRDefault="00F45C8E" w:rsidP="00F45C8E">
            <w:pPr>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Vehicle finance</w:t>
            </w:r>
          </w:p>
        </w:tc>
        <w:tc>
          <w:tcPr>
            <w:tcW w:w="877" w:type="pct"/>
            <w:shd w:val="clear" w:color="auto" w:fill="F2F2F2" w:themeFill="background1" w:themeFillShade="F2"/>
            <w:vAlign w:val="center"/>
          </w:tcPr>
          <w:p w14:paraId="3142D1EB" w14:textId="6EBD4CC6" w:rsidR="00F45C8E" w:rsidRPr="006D4208" w:rsidRDefault="0056743D" w:rsidP="00F45C8E">
            <w:pPr>
              <w:jc w:val="right"/>
              <w:rPr>
                <w:rFonts w:asciiTheme="minorHAnsi" w:eastAsiaTheme="minorEastAsia" w:hAnsiTheme="minorHAnsi" w:cstheme="minorBidi"/>
                <w:b/>
                <w:color w:val="000000"/>
                <w:sz w:val="20"/>
                <w:szCs w:val="20"/>
              </w:rPr>
            </w:pPr>
            <w:r>
              <w:rPr>
                <w:rFonts w:ascii="Calibri" w:hAnsi="Calibri" w:cs="Calibri"/>
                <w:b/>
                <w:bCs/>
                <w:color w:val="000000"/>
                <w:sz w:val="20"/>
                <w:szCs w:val="20"/>
              </w:rPr>
              <w:t xml:space="preserve">         709.0 </w:t>
            </w:r>
          </w:p>
        </w:tc>
        <w:tc>
          <w:tcPr>
            <w:tcW w:w="947" w:type="pct"/>
          </w:tcPr>
          <w:p w14:paraId="6B7BEC26" w14:textId="23FC8288" w:rsidR="00F45C8E" w:rsidRPr="006D4208" w:rsidRDefault="009D3943" w:rsidP="00F45C8E">
            <w:pPr>
              <w:jc w:val="right"/>
              <w:rPr>
                <w:rFonts w:asciiTheme="minorHAnsi" w:eastAsiaTheme="minorEastAsia" w:hAnsiTheme="minorHAnsi" w:cstheme="minorBidi"/>
                <w:sz w:val="20"/>
                <w:szCs w:val="20"/>
              </w:rPr>
            </w:pPr>
            <w:r>
              <w:rPr>
                <w:rFonts w:asciiTheme="minorHAnsi" w:eastAsiaTheme="minorEastAsia" w:hAnsiTheme="minorHAnsi" w:cstheme="minorBidi"/>
                <w:color w:val="000000"/>
                <w:sz w:val="20"/>
                <w:szCs w:val="20"/>
              </w:rPr>
              <w:t>735.4</w:t>
            </w:r>
          </w:p>
        </w:tc>
        <w:tc>
          <w:tcPr>
            <w:tcW w:w="766" w:type="pct"/>
            <w:vAlign w:val="bottom"/>
          </w:tcPr>
          <w:p w14:paraId="0F459D37" w14:textId="29286044" w:rsidR="00F45C8E" w:rsidRPr="006D4208" w:rsidRDefault="009D3943" w:rsidP="00F45C8E">
            <w:pPr>
              <w:jc w:val="right"/>
              <w:rPr>
                <w:rFonts w:asciiTheme="minorHAnsi" w:eastAsiaTheme="minorEastAsia" w:hAnsiTheme="minorHAnsi" w:cstheme="minorBidi"/>
                <w:sz w:val="20"/>
                <w:szCs w:val="20"/>
              </w:rPr>
            </w:pPr>
            <w:r w:rsidRPr="00B61918">
              <w:rPr>
                <w:rFonts w:asciiTheme="minorHAnsi" w:eastAsiaTheme="minorEastAsia" w:hAnsiTheme="minorHAnsi" w:cstheme="minorBidi"/>
                <w:bCs/>
                <w:sz w:val="20"/>
                <w:szCs w:val="20"/>
              </w:rPr>
              <w:t>760.5</w:t>
            </w:r>
          </w:p>
        </w:tc>
      </w:tr>
      <w:tr w:rsidR="00F45C8E" w:rsidRPr="00A36F5C" w14:paraId="4E332A46" w14:textId="77777777" w:rsidTr="003B7755">
        <w:trPr>
          <w:trHeight w:val="263"/>
        </w:trPr>
        <w:tc>
          <w:tcPr>
            <w:tcW w:w="2410" w:type="pct"/>
            <w:vAlign w:val="bottom"/>
          </w:tcPr>
          <w:p w14:paraId="41E0C1A9" w14:textId="2CA9CD96" w:rsidR="00F45C8E" w:rsidRPr="00A36F5C" w:rsidRDefault="00DB5266" w:rsidP="00F45C8E">
            <w:pPr>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Second charge mortgages</w:t>
            </w:r>
          </w:p>
        </w:tc>
        <w:tc>
          <w:tcPr>
            <w:tcW w:w="877" w:type="pct"/>
            <w:shd w:val="clear" w:color="auto" w:fill="F2F2F2" w:themeFill="background1" w:themeFillShade="F2"/>
            <w:vAlign w:val="center"/>
          </w:tcPr>
          <w:p w14:paraId="66723CBF" w14:textId="6F373207" w:rsidR="00F45C8E" w:rsidRPr="006D4208" w:rsidRDefault="0056743D" w:rsidP="00F45C8E">
            <w:pPr>
              <w:jc w:val="right"/>
              <w:rPr>
                <w:rFonts w:asciiTheme="minorHAnsi" w:eastAsiaTheme="minorEastAsia" w:hAnsiTheme="minorHAnsi" w:cstheme="minorBidi"/>
                <w:b/>
                <w:color w:val="000000"/>
                <w:sz w:val="20"/>
                <w:szCs w:val="20"/>
              </w:rPr>
            </w:pPr>
            <w:r>
              <w:rPr>
                <w:rFonts w:ascii="Calibri" w:hAnsi="Calibri" w:cs="Calibri"/>
                <w:b/>
                <w:bCs/>
                <w:color w:val="000000"/>
                <w:sz w:val="20"/>
                <w:szCs w:val="20"/>
              </w:rPr>
              <w:t xml:space="preserve">         384.5 </w:t>
            </w:r>
          </w:p>
        </w:tc>
        <w:tc>
          <w:tcPr>
            <w:tcW w:w="947" w:type="pct"/>
          </w:tcPr>
          <w:p w14:paraId="479148BF" w14:textId="0D01E7C6" w:rsidR="00F45C8E" w:rsidRPr="006D4208" w:rsidRDefault="009D3943" w:rsidP="00F45C8E">
            <w:pPr>
              <w:jc w:val="right"/>
              <w:rPr>
                <w:rFonts w:asciiTheme="minorHAnsi" w:eastAsiaTheme="minorEastAsia" w:hAnsiTheme="minorHAnsi" w:cstheme="minorBidi"/>
                <w:color w:val="000000"/>
                <w:sz w:val="20"/>
                <w:szCs w:val="20"/>
              </w:rPr>
            </w:pPr>
            <w:r>
              <w:rPr>
                <w:rFonts w:asciiTheme="minorHAnsi" w:eastAsiaTheme="minorEastAsia" w:hAnsiTheme="minorHAnsi" w:cstheme="minorBidi"/>
                <w:sz w:val="20"/>
                <w:szCs w:val="20"/>
              </w:rPr>
              <w:t>225.3</w:t>
            </w:r>
          </w:p>
        </w:tc>
        <w:tc>
          <w:tcPr>
            <w:tcW w:w="766" w:type="pct"/>
          </w:tcPr>
          <w:p w14:paraId="3B298DDC" w14:textId="1D254CF5" w:rsidR="00F45C8E" w:rsidRPr="006D4208" w:rsidRDefault="009D3943" w:rsidP="00F45C8E">
            <w:pPr>
              <w:jc w:val="right"/>
              <w:rPr>
                <w:rFonts w:asciiTheme="minorHAnsi" w:eastAsiaTheme="minorEastAsia" w:hAnsiTheme="minorHAnsi" w:cstheme="minorBidi"/>
                <w:sz w:val="20"/>
                <w:szCs w:val="20"/>
              </w:rPr>
            </w:pPr>
            <w:r w:rsidRPr="00B61918">
              <w:rPr>
                <w:rFonts w:asciiTheme="minorHAnsi" w:eastAsiaTheme="minorEastAsia" w:hAnsiTheme="minorHAnsi" w:cstheme="minorBidi"/>
                <w:bCs/>
                <w:sz w:val="20"/>
                <w:szCs w:val="20"/>
              </w:rPr>
              <w:t>31.5</w:t>
            </w:r>
          </w:p>
        </w:tc>
      </w:tr>
      <w:tr w:rsidR="00F45C8E" w:rsidRPr="00A36F5C" w14:paraId="1A6295C5" w14:textId="77777777" w:rsidTr="003B7755">
        <w:trPr>
          <w:trHeight w:val="247"/>
        </w:trPr>
        <w:tc>
          <w:tcPr>
            <w:tcW w:w="2410" w:type="pct"/>
            <w:vAlign w:val="bottom"/>
          </w:tcPr>
          <w:p w14:paraId="014ED84B" w14:textId="2F8370E3" w:rsidR="00F45C8E" w:rsidRPr="009D3943" w:rsidRDefault="00F45C8E" w:rsidP="00F45C8E">
            <w:pPr>
              <w:rPr>
                <w:rFonts w:asciiTheme="minorHAnsi" w:eastAsiaTheme="minorEastAsia" w:hAnsiTheme="minorHAnsi" w:cstheme="minorBidi"/>
                <w:b/>
                <w:sz w:val="20"/>
                <w:szCs w:val="20"/>
              </w:rPr>
            </w:pPr>
            <w:r w:rsidRPr="009D3943">
              <w:rPr>
                <w:rFonts w:asciiTheme="minorHAnsi" w:eastAsiaTheme="minorEastAsia" w:hAnsiTheme="minorHAnsi" w:cstheme="minorBidi"/>
                <w:b/>
                <w:sz w:val="20"/>
                <w:szCs w:val="20"/>
              </w:rPr>
              <w:t>Total</w:t>
            </w:r>
            <w:r w:rsidR="00DB5266" w:rsidRPr="009D3943">
              <w:rPr>
                <w:rFonts w:asciiTheme="minorHAnsi" w:eastAsiaTheme="minorEastAsia" w:hAnsiTheme="minorHAnsi" w:cstheme="minorBidi"/>
                <w:b/>
                <w:sz w:val="20"/>
                <w:szCs w:val="20"/>
              </w:rPr>
              <w:t xml:space="preserve"> – continuing operations</w:t>
            </w:r>
          </w:p>
        </w:tc>
        <w:tc>
          <w:tcPr>
            <w:tcW w:w="877" w:type="pct"/>
            <w:tcBorders>
              <w:top w:val="single" w:sz="4" w:space="0" w:color="auto"/>
            </w:tcBorders>
            <w:shd w:val="clear" w:color="auto" w:fill="F2F2F2" w:themeFill="background1" w:themeFillShade="F2"/>
            <w:vAlign w:val="center"/>
          </w:tcPr>
          <w:p w14:paraId="48CC6C8B" w14:textId="3387182D" w:rsidR="00F45C8E" w:rsidRPr="006D4208" w:rsidRDefault="0056743D" w:rsidP="00F45C8E">
            <w:pPr>
              <w:jc w:val="right"/>
              <w:rPr>
                <w:rFonts w:asciiTheme="minorHAnsi" w:eastAsiaTheme="minorEastAsia" w:hAnsiTheme="minorHAnsi" w:cstheme="minorBidi"/>
                <w:b/>
                <w:color w:val="000000"/>
                <w:sz w:val="20"/>
                <w:szCs w:val="20"/>
              </w:rPr>
            </w:pPr>
            <w:r>
              <w:rPr>
                <w:rFonts w:ascii="Calibri" w:hAnsi="Calibri" w:cs="Calibri"/>
                <w:b/>
                <w:bCs/>
                <w:color w:val="000000"/>
                <w:sz w:val="20"/>
                <w:szCs w:val="20"/>
              </w:rPr>
              <w:t xml:space="preserve">      2,325.4 </w:t>
            </w:r>
          </w:p>
        </w:tc>
        <w:tc>
          <w:tcPr>
            <w:tcW w:w="947" w:type="pct"/>
            <w:tcBorders>
              <w:top w:val="single" w:sz="4" w:space="0" w:color="auto"/>
            </w:tcBorders>
          </w:tcPr>
          <w:p w14:paraId="656CEC48" w14:textId="153C1913" w:rsidR="00F45C8E" w:rsidRPr="009D3943" w:rsidRDefault="00F662AD" w:rsidP="00F45C8E">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2,110.6</w:t>
            </w:r>
          </w:p>
        </w:tc>
        <w:tc>
          <w:tcPr>
            <w:tcW w:w="766" w:type="pct"/>
            <w:tcBorders>
              <w:top w:val="single" w:sz="4" w:space="0" w:color="auto"/>
            </w:tcBorders>
          </w:tcPr>
          <w:p w14:paraId="7CF71164" w14:textId="5CE8539A" w:rsidR="00F45C8E" w:rsidRPr="006D4208" w:rsidRDefault="00261325" w:rsidP="00F45C8E">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1,942.6</w:t>
            </w:r>
          </w:p>
        </w:tc>
      </w:tr>
      <w:tr w:rsidR="00DB5266" w:rsidRPr="00A36F5C" w14:paraId="30FD03C5" w14:textId="77777777" w:rsidTr="003B7755">
        <w:trPr>
          <w:trHeight w:val="247"/>
        </w:trPr>
        <w:tc>
          <w:tcPr>
            <w:tcW w:w="2410" w:type="pct"/>
            <w:vAlign w:val="bottom"/>
          </w:tcPr>
          <w:p w14:paraId="39F82E29" w14:textId="44518592" w:rsidR="00DB5266" w:rsidRPr="7ACEA165" w:rsidRDefault="00DB5266" w:rsidP="00F45C8E">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Discontinued operations</w:t>
            </w:r>
          </w:p>
        </w:tc>
        <w:tc>
          <w:tcPr>
            <w:tcW w:w="877" w:type="pct"/>
            <w:tcBorders>
              <w:top w:val="single" w:sz="4" w:space="0" w:color="auto"/>
            </w:tcBorders>
            <w:shd w:val="clear" w:color="auto" w:fill="F2F2F2" w:themeFill="background1" w:themeFillShade="F2"/>
          </w:tcPr>
          <w:p w14:paraId="010FAAC6" w14:textId="632A217E" w:rsidR="00DB5266" w:rsidRPr="7ACEA165" w:rsidRDefault="008B74AE" w:rsidP="00F45C8E">
            <w:pPr>
              <w:jc w:val="right"/>
              <w:rPr>
                <w:rFonts w:asciiTheme="minorHAnsi" w:eastAsiaTheme="minorEastAsia" w:hAnsiTheme="minorHAnsi" w:cstheme="minorBidi"/>
                <w:b/>
                <w:color w:val="000000" w:themeColor="text1"/>
                <w:sz w:val="20"/>
                <w:szCs w:val="20"/>
              </w:rPr>
            </w:pPr>
            <w:r>
              <w:rPr>
                <w:rFonts w:asciiTheme="minorHAnsi" w:eastAsiaTheme="minorEastAsia" w:hAnsiTheme="minorHAnsi" w:cstheme="minorBidi"/>
                <w:b/>
                <w:color w:val="000000" w:themeColor="text1"/>
                <w:sz w:val="20"/>
                <w:szCs w:val="20"/>
              </w:rPr>
              <w:t>-</w:t>
            </w:r>
          </w:p>
        </w:tc>
        <w:tc>
          <w:tcPr>
            <w:tcW w:w="947" w:type="pct"/>
            <w:tcBorders>
              <w:top w:val="single" w:sz="4" w:space="0" w:color="auto"/>
            </w:tcBorders>
          </w:tcPr>
          <w:p w14:paraId="5117132B" w14:textId="52F7A56F" w:rsidR="00DB5266" w:rsidRPr="7ACEA165" w:rsidRDefault="00B92C2A" w:rsidP="00F45C8E">
            <w:pPr>
              <w:jc w:val="right"/>
              <w:rPr>
                <w:rFonts w:asciiTheme="minorHAnsi" w:eastAsiaTheme="minorEastAsia" w:hAnsiTheme="minorHAnsi" w:cstheme="minorBidi"/>
                <w:sz w:val="20"/>
                <w:szCs w:val="20"/>
              </w:rPr>
            </w:pPr>
            <w:r w:rsidRPr="00D952CE">
              <w:rPr>
                <w:rFonts w:asciiTheme="minorHAnsi" w:eastAsiaTheme="minorEastAsia" w:hAnsiTheme="minorHAnsi" w:cstheme="minorBidi"/>
                <w:sz w:val="20"/>
                <w:szCs w:val="20"/>
              </w:rPr>
              <w:t>44.0</w:t>
            </w:r>
          </w:p>
        </w:tc>
        <w:tc>
          <w:tcPr>
            <w:tcW w:w="766" w:type="pct"/>
            <w:tcBorders>
              <w:top w:val="single" w:sz="4" w:space="0" w:color="auto"/>
            </w:tcBorders>
          </w:tcPr>
          <w:p w14:paraId="7D473D06" w14:textId="7935696E" w:rsidR="00DB5266" w:rsidRPr="00D952CE" w:rsidRDefault="0038697C" w:rsidP="00F45C8E">
            <w:pPr>
              <w:jc w:val="right"/>
              <w:rPr>
                <w:rFonts w:asciiTheme="minorHAnsi" w:eastAsiaTheme="minorEastAsia" w:hAnsiTheme="minorHAnsi" w:cstheme="minorBidi"/>
                <w:color w:val="000000" w:themeColor="text1"/>
                <w:sz w:val="20"/>
                <w:szCs w:val="20"/>
              </w:rPr>
            </w:pPr>
            <w:r w:rsidRPr="00D952CE">
              <w:rPr>
                <w:rFonts w:asciiTheme="minorHAnsi" w:eastAsiaTheme="minorEastAsia" w:hAnsiTheme="minorHAnsi" w:cstheme="minorBidi"/>
                <w:color w:val="000000" w:themeColor="text1"/>
                <w:sz w:val="20"/>
                <w:szCs w:val="20"/>
              </w:rPr>
              <w:t>67.8</w:t>
            </w:r>
          </w:p>
        </w:tc>
      </w:tr>
      <w:tr w:rsidR="00F45C8E" w:rsidRPr="00A36F5C" w14:paraId="683137F6" w14:textId="77777777" w:rsidTr="003B7755">
        <w:trPr>
          <w:trHeight w:val="247"/>
        </w:trPr>
        <w:tc>
          <w:tcPr>
            <w:tcW w:w="2410" w:type="pct"/>
            <w:vAlign w:val="bottom"/>
          </w:tcPr>
          <w:p w14:paraId="53186DD3" w14:textId="77777777" w:rsidR="00F45C8E" w:rsidRPr="00A36F5C" w:rsidRDefault="00F45C8E" w:rsidP="00F45C8E">
            <w:pPr>
              <w:rPr>
                <w:rFonts w:asciiTheme="minorHAnsi" w:eastAsiaTheme="minorEastAsia" w:hAnsiTheme="minorHAnsi" w:cstheme="minorBidi"/>
                <w:sz w:val="20"/>
                <w:szCs w:val="20"/>
              </w:rPr>
            </w:pPr>
            <w:r w:rsidRPr="7ACEA165">
              <w:rPr>
                <w:rFonts w:asciiTheme="minorHAnsi" w:eastAsiaTheme="minorEastAsia" w:hAnsiTheme="minorHAnsi" w:cstheme="minorBidi"/>
                <w:sz w:val="20"/>
                <w:szCs w:val="20"/>
              </w:rPr>
              <w:t>Fair value adjustment for portfolio hedged risk</w:t>
            </w:r>
          </w:p>
        </w:tc>
        <w:tc>
          <w:tcPr>
            <w:tcW w:w="877" w:type="pct"/>
            <w:tcBorders>
              <w:top w:val="single" w:sz="4" w:space="0" w:color="auto"/>
              <w:bottom w:val="single" w:sz="4" w:space="0" w:color="auto"/>
            </w:tcBorders>
            <w:shd w:val="clear" w:color="auto" w:fill="F2F2F2" w:themeFill="background1" w:themeFillShade="F2"/>
          </w:tcPr>
          <w:p w14:paraId="6B3A0786" w14:textId="2A0B0799" w:rsidR="00F45C8E" w:rsidRPr="00CA6156" w:rsidRDefault="00CA6156" w:rsidP="00F45C8E">
            <w:pPr>
              <w:jc w:val="right"/>
              <w:rPr>
                <w:rFonts w:asciiTheme="minorHAnsi" w:eastAsiaTheme="minorEastAsia" w:hAnsiTheme="minorHAnsi" w:cstheme="minorBidi"/>
                <w:b/>
                <w:sz w:val="20"/>
                <w:szCs w:val="20"/>
              </w:rPr>
            </w:pPr>
            <w:r w:rsidRPr="00CA6156">
              <w:rPr>
                <w:rFonts w:asciiTheme="minorHAnsi" w:eastAsiaTheme="minorEastAsia" w:hAnsiTheme="minorHAnsi" w:cstheme="minorBidi"/>
                <w:b/>
                <w:sz w:val="20"/>
                <w:szCs w:val="20"/>
              </w:rPr>
              <w:t>(0.3)</w:t>
            </w:r>
          </w:p>
        </w:tc>
        <w:tc>
          <w:tcPr>
            <w:tcW w:w="947" w:type="pct"/>
            <w:tcBorders>
              <w:top w:val="single" w:sz="4" w:space="0" w:color="auto"/>
              <w:bottom w:val="single" w:sz="4" w:space="0" w:color="auto"/>
            </w:tcBorders>
          </w:tcPr>
          <w:p w14:paraId="2C3F91A6" w14:textId="2EEF1143" w:rsidR="00F45C8E" w:rsidRPr="006D4208" w:rsidRDefault="00B92C2A" w:rsidP="00F45C8E">
            <w:pPr>
              <w:jc w:val="right"/>
              <w:rPr>
                <w:rFonts w:asciiTheme="minorHAnsi" w:eastAsiaTheme="minorEastAsia" w:hAnsiTheme="minorHAnsi" w:cstheme="minorBidi"/>
                <w:color w:val="000000"/>
                <w:sz w:val="20"/>
                <w:szCs w:val="20"/>
              </w:rPr>
            </w:pPr>
            <w:r>
              <w:rPr>
                <w:rFonts w:asciiTheme="minorHAnsi" w:eastAsiaTheme="minorEastAsia" w:hAnsiTheme="minorHAnsi" w:cstheme="minorBidi"/>
                <w:color w:val="000000"/>
                <w:sz w:val="20"/>
                <w:szCs w:val="20"/>
              </w:rPr>
              <w:t>(0.9)</w:t>
            </w:r>
          </w:p>
        </w:tc>
        <w:tc>
          <w:tcPr>
            <w:tcW w:w="766" w:type="pct"/>
            <w:tcBorders>
              <w:top w:val="single" w:sz="4" w:space="0" w:color="auto"/>
              <w:bottom w:val="single" w:sz="4" w:space="0" w:color="auto"/>
            </w:tcBorders>
          </w:tcPr>
          <w:p w14:paraId="4AFAB1A3" w14:textId="74C761CA" w:rsidR="00F45C8E" w:rsidRPr="006D4208" w:rsidRDefault="0038697C" w:rsidP="00F45C8E">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(1.9)</w:t>
            </w:r>
          </w:p>
        </w:tc>
      </w:tr>
      <w:tr w:rsidR="00F45C8E" w:rsidRPr="00A36F5C" w14:paraId="05F171B7" w14:textId="77777777" w:rsidTr="003B7755">
        <w:trPr>
          <w:trHeight w:val="247"/>
        </w:trPr>
        <w:tc>
          <w:tcPr>
            <w:tcW w:w="2410" w:type="pct"/>
            <w:vAlign w:val="bottom"/>
          </w:tcPr>
          <w:p w14:paraId="433CCE61" w14:textId="77777777" w:rsidR="00F45C8E" w:rsidRPr="00A36F5C" w:rsidRDefault="00F45C8E" w:rsidP="00F45C8E">
            <w:pPr>
              <w:rPr>
                <w:rFonts w:asciiTheme="minorHAnsi" w:eastAsiaTheme="minorEastAsia" w:hAnsiTheme="minorHAnsi" w:cstheme="minorBidi"/>
                <w:b/>
                <w:sz w:val="20"/>
                <w:szCs w:val="20"/>
              </w:rPr>
            </w:pPr>
            <w:r w:rsidRPr="7ACEA165">
              <w:rPr>
                <w:rFonts w:asciiTheme="minorHAnsi" w:eastAsiaTheme="minorEastAsia" w:hAnsiTheme="minorHAnsi" w:cstheme="minorBidi"/>
                <w:b/>
                <w:sz w:val="20"/>
                <w:szCs w:val="20"/>
              </w:rPr>
              <w:t>Total group</w:t>
            </w:r>
          </w:p>
        </w:tc>
        <w:tc>
          <w:tcPr>
            <w:tcW w:w="877" w:type="pct"/>
            <w:tcBorders>
              <w:top w:val="single" w:sz="4" w:space="0" w:color="auto"/>
              <w:left w:val="nil"/>
              <w:bottom w:val="single" w:sz="12" w:space="0" w:color="auto"/>
              <w:right w:val="nil"/>
            </w:tcBorders>
            <w:shd w:val="clear" w:color="auto" w:fill="F2F2F2" w:themeFill="background1" w:themeFillShade="F2"/>
          </w:tcPr>
          <w:p w14:paraId="0EC63C4D" w14:textId="2D63AC72" w:rsidR="00F45C8E" w:rsidRPr="006D4208" w:rsidRDefault="00CA6156" w:rsidP="00F45C8E">
            <w:pPr>
              <w:jc w:val="right"/>
              <w:rPr>
                <w:rFonts w:asciiTheme="minorHAnsi" w:eastAsiaTheme="minorEastAsia" w:hAnsiTheme="minorHAnsi" w:cstheme="minorBidi"/>
                <w:b/>
                <w:sz w:val="20"/>
                <w:szCs w:val="20"/>
              </w:rPr>
            </w:pPr>
            <w:r w:rsidRPr="00CA6156">
              <w:rPr>
                <w:rFonts w:asciiTheme="minorHAnsi" w:eastAsiaTheme="minorEastAsia" w:hAnsiTheme="minorHAnsi" w:cstheme="minorBidi"/>
                <w:b/>
                <w:sz w:val="20"/>
                <w:szCs w:val="20"/>
              </w:rPr>
              <w:t>2,325.1</w:t>
            </w:r>
          </w:p>
        </w:tc>
        <w:tc>
          <w:tcPr>
            <w:tcW w:w="947" w:type="pct"/>
            <w:tcBorders>
              <w:top w:val="single" w:sz="4" w:space="0" w:color="auto"/>
              <w:left w:val="nil"/>
              <w:bottom w:val="single" w:sz="12" w:space="0" w:color="auto"/>
              <w:right w:val="nil"/>
            </w:tcBorders>
          </w:tcPr>
          <w:p w14:paraId="66042060" w14:textId="6EDD001C" w:rsidR="00F45C8E" w:rsidRPr="00D952CE" w:rsidRDefault="00B92C2A" w:rsidP="00F45C8E">
            <w:pPr>
              <w:jc w:val="right"/>
              <w:rPr>
                <w:rFonts w:asciiTheme="minorHAnsi" w:eastAsiaTheme="minorEastAsia" w:hAnsiTheme="minorHAnsi" w:cstheme="minorBidi"/>
                <w:b/>
                <w:sz w:val="20"/>
                <w:szCs w:val="20"/>
              </w:rPr>
            </w:pPr>
            <w:r w:rsidRPr="00D952CE">
              <w:rPr>
                <w:rFonts w:asciiTheme="minorHAnsi" w:eastAsiaTheme="minorEastAsia" w:hAnsiTheme="minorHAnsi" w:cstheme="minorBidi"/>
                <w:b/>
                <w:bCs/>
                <w:sz w:val="20"/>
                <w:szCs w:val="20"/>
              </w:rPr>
              <w:t>2,153.7</w:t>
            </w:r>
          </w:p>
        </w:tc>
        <w:tc>
          <w:tcPr>
            <w:tcW w:w="766" w:type="pct"/>
            <w:tcBorders>
              <w:top w:val="single" w:sz="4" w:space="0" w:color="auto"/>
              <w:left w:val="nil"/>
              <w:bottom w:val="single" w:sz="12" w:space="0" w:color="auto"/>
              <w:right w:val="nil"/>
            </w:tcBorders>
          </w:tcPr>
          <w:p w14:paraId="2B2C1C06" w14:textId="2ACDDD02" w:rsidR="00F45C8E" w:rsidRPr="00D952CE" w:rsidRDefault="0038697C" w:rsidP="00F45C8E">
            <w:pPr>
              <w:jc w:val="right"/>
              <w:rPr>
                <w:rFonts w:asciiTheme="minorHAnsi" w:eastAsiaTheme="minorEastAsia" w:hAnsiTheme="minorHAnsi" w:cstheme="minorBidi"/>
                <w:b/>
                <w:sz w:val="20"/>
                <w:szCs w:val="20"/>
              </w:rPr>
            </w:pPr>
            <w:r w:rsidRPr="00D952CE">
              <w:rPr>
                <w:rFonts w:asciiTheme="minorHAnsi" w:eastAsiaTheme="minorEastAsia" w:hAnsiTheme="minorHAnsi" w:cstheme="minorBidi"/>
                <w:b/>
                <w:bCs/>
                <w:sz w:val="20"/>
                <w:szCs w:val="20"/>
              </w:rPr>
              <w:t>2,008.5</w:t>
            </w:r>
          </w:p>
        </w:tc>
      </w:tr>
    </w:tbl>
    <w:p w14:paraId="2260DF12" w14:textId="77777777" w:rsidR="009B7F08" w:rsidRPr="00701439" w:rsidRDefault="009B7F08" w:rsidP="00A1425C">
      <w:pPr>
        <w:ind w:left="567" w:hanging="567"/>
        <w:rPr>
          <w:rFonts w:asciiTheme="minorHAnsi" w:hAnsiTheme="minorHAnsi" w:cs="Arial"/>
          <w:b/>
          <w:color w:val="4747FF"/>
          <w:sz w:val="22"/>
          <w:szCs w:val="22"/>
        </w:rPr>
      </w:pPr>
    </w:p>
    <w:p w14:paraId="17B0A8F9" w14:textId="77777777" w:rsidR="000C6DDD" w:rsidRPr="00642155" w:rsidRDefault="000C6DDD" w:rsidP="000C6DDD">
      <w:pPr>
        <w:rPr>
          <w:rFonts w:asciiTheme="minorHAnsi" w:hAnsiTheme="minorHAnsi" w:cs="Arial"/>
          <w:bCs/>
          <w:sz w:val="20"/>
          <w:szCs w:val="20"/>
          <w:lang w:val="en-US"/>
        </w:rPr>
      </w:pPr>
      <w:r w:rsidRPr="00642155">
        <w:rPr>
          <w:rFonts w:asciiTheme="minorHAnsi" w:hAnsiTheme="minorHAnsi" w:cs="Arial"/>
          <w:bCs/>
          <w:sz w:val="20"/>
          <w:szCs w:val="20"/>
          <w:vertAlign w:val="superscript"/>
          <w:lang w:val="en-US"/>
        </w:rPr>
        <w:t>1</w:t>
      </w:r>
      <w:r>
        <w:rPr>
          <w:rFonts w:asciiTheme="minorHAnsi" w:hAnsiTheme="minorHAnsi" w:cs="Arial"/>
          <w:bCs/>
          <w:sz w:val="20"/>
          <w:szCs w:val="20"/>
          <w:lang w:val="en-US"/>
        </w:rPr>
        <w:t xml:space="preserve"> Refer to accounting policies for details of representation</w:t>
      </w:r>
    </w:p>
    <w:p w14:paraId="0504795D" w14:textId="77777777" w:rsidR="000C6DDD" w:rsidRPr="00701439" w:rsidRDefault="000C6DDD" w:rsidP="00A1425C">
      <w:pPr>
        <w:ind w:left="567" w:hanging="567"/>
        <w:rPr>
          <w:rFonts w:asciiTheme="minorHAnsi" w:hAnsiTheme="minorHAnsi" w:cs="Arial"/>
          <w:b/>
          <w:color w:val="4747FF"/>
          <w:sz w:val="22"/>
          <w:szCs w:val="22"/>
        </w:rPr>
      </w:pPr>
    </w:p>
    <w:p w14:paraId="649AA24D" w14:textId="4922A359" w:rsidR="00A1425C"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A36F5C">
        <w:rPr>
          <w:rFonts w:asciiTheme="minorHAnsi" w:hAnsiTheme="minorHAnsi" w:cs="Arial"/>
          <w:sz w:val="20"/>
          <w:szCs w:val="20"/>
        </w:rPr>
        <w:t xml:space="preserve">The fair value adjustment for the portfolio hedge risk relates to the </w:t>
      </w:r>
      <w:r w:rsidRPr="007A0B95">
        <w:rPr>
          <w:rFonts w:asciiTheme="minorHAnsi" w:hAnsiTheme="minorHAnsi" w:cs="Arial"/>
          <w:sz w:val="20"/>
          <w:szCs w:val="20"/>
        </w:rPr>
        <w:t xml:space="preserve">unamortised hedge accounting adjustment in relation to </w:t>
      </w:r>
      <w:r w:rsidR="00EB2D2E" w:rsidRPr="007A0B95">
        <w:rPr>
          <w:rFonts w:asciiTheme="minorHAnsi" w:hAnsiTheme="minorHAnsi" w:cs="Arial"/>
          <w:sz w:val="20"/>
          <w:szCs w:val="20"/>
        </w:rPr>
        <w:t xml:space="preserve">the </w:t>
      </w:r>
      <w:r w:rsidRPr="007A0B95">
        <w:rPr>
          <w:rFonts w:asciiTheme="minorHAnsi" w:hAnsiTheme="minorHAnsi" w:cs="Arial"/>
          <w:sz w:val="20"/>
          <w:szCs w:val="20"/>
        </w:rPr>
        <w:t>balance guaranteed swap</w:t>
      </w:r>
      <w:r w:rsidR="00756A0B" w:rsidRPr="007A0B95">
        <w:rPr>
          <w:rFonts w:asciiTheme="minorHAnsi" w:hAnsiTheme="minorHAnsi" w:cs="Arial"/>
          <w:sz w:val="20"/>
          <w:szCs w:val="20"/>
        </w:rPr>
        <w:t xml:space="preserve">, </w:t>
      </w:r>
      <w:r w:rsidR="00B814DD" w:rsidRPr="007A0B95">
        <w:rPr>
          <w:rFonts w:asciiTheme="minorHAnsi" w:hAnsiTheme="minorHAnsi" w:cs="Arial"/>
          <w:sz w:val="20"/>
          <w:szCs w:val="20"/>
        </w:rPr>
        <w:t>where hedge</w:t>
      </w:r>
      <w:r w:rsidR="003F6371" w:rsidRPr="007A0B95">
        <w:rPr>
          <w:rFonts w:asciiTheme="minorHAnsi" w:hAnsiTheme="minorHAnsi" w:cs="Arial"/>
          <w:sz w:val="20"/>
          <w:szCs w:val="20"/>
        </w:rPr>
        <w:t xml:space="preserve"> accounting has been discontinued</w:t>
      </w:r>
      <w:r w:rsidR="00BA285A" w:rsidRPr="007A0B95">
        <w:rPr>
          <w:rFonts w:asciiTheme="minorHAnsi" w:hAnsiTheme="minorHAnsi" w:cs="Arial"/>
          <w:sz w:val="20"/>
          <w:szCs w:val="20"/>
        </w:rPr>
        <w:t xml:space="preserve"> and </w:t>
      </w:r>
      <w:r w:rsidR="007A0B95" w:rsidRPr="007A0B95">
        <w:rPr>
          <w:rFonts w:asciiTheme="minorHAnsi" w:hAnsiTheme="minorHAnsi" w:cs="Arial"/>
          <w:sz w:val="20"/>
          <w:szCs w:val="20"/>
        </w:rPr>
        <w:t>in 1H25, the hedge accounting adjustment in relation to second charge mortgages.</w:t>
      </w:r>
      <w:r w:rsidR="007A0B95">
        <w:rPr>
          <w:rFonts w:asciiTheme="minorHAnsi" w:hAnsiTheme="minorHAnsi" w:cs="Arial"/>
          <w:sz w:val="20"/>
          <w:szCs w:val="20"/>
        </w:rPr>
        <w:t xml:space="preserve"> </w:t>
      </w:r>
    </w:p>
    <w:p w14:paraId="09F992E2" w14:textId="77777777" w:rsidR="00444959" w:rsidRDefault="00444959"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61409BD2" w14:textId="1091B2E4" w:rsidR="00A1425C" w:rsidRPr="00A36F5C"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bookmarkStart w:id="10" w:name="OLE_LINK3"/>
      <w:bookmarkStart w:id="11" w:name="OLE_LINK10"/>
      <w:r w:rsidRPr="00A36F5C">
        <w:rPr>
          <w:rFonts w:asciiTheme="minorHAnsi" w:hAnsiTheme="minorHAnsi" w:cs="Arial"/>
          <w:sz w:val="20"/>
          <w:szCs w:val="20"/>
        </w:rPr>
        <w:t xml:space="preserve">An analysis of </w:t>
      </w:r>
      <w:r w:rsidR="004056E4">
        <w:rPr>
          <w:rFonts w:asciiTheme="minorHAnsi" w:hAnsiTheme="minorHAnsi" w:cs="Arial"/>
          <w:sz w:val="20"/>
          <w:szCs w:val="20"/>
        </w:rPr>
        <w:t>continuing operations</w:t>
      </w:r>
      <w:r w:rsidRPr="00A36F5C">
        <w:rPr>
          <w:rFonts w:asciiTheme="minorHAnsi" w:hAnsiTheme="minorHAnsi" w:cs="Arial"/>
          <w:sz w:val="20"/>
          <w:szCs w:val="20"/>
        </w:rPr>
        <w:t xml:space="preserve"> receivables by IFRS 9 stages is set out below:</w:t>
      </w:r>
    </w:p>
    <w:p w14:paraId="5BB5D6DC" w14:textId="795A7BE5" w:rsidR="00C362E4" w:rsidRDefault="00C362E4">
      <w:pPr>
        <w:rPr>
          <w:rFonts w:asciiTheme="minorHAnsi" w:hAnsiTheme="minorHAnsi" w:cs="Arial"/>
          <w:b/>
          <w:color w:val="4747FF"/>
          <w:sz w:val="22"/>
          <w:szCs w:val="22"/>
        </w:rPr>
      </w:pPr>
    </w:p>
    <w:tbl>
      <w:tblPr>
        <w:tblW w:w="5000" w:type="pct"/>
        <w:tblLook w:val="04A0" w:firstRow="1" w:lastRow="0" w:firstColumn="1" w:lastColumn="0" w:noHBand="0" w:noVBand="1"/>
      </w:tblPr>
      <w:tblGrid>
        <w:gridCol w:w="1399"/>
        <w:gridCol w:w="1398"/>
        <w:gridCol w:w="1340"/>
        <w:gridCol w:w="1398"/>
        <w:gridCol w:w="1398"/>
        <w:gridCol w:w="1398"/>
        <w:gridCol w:w="1392"/>
      </w:tblGrid>
      <w:tr w:rsidR="00E53444" w14:paraId="20188D47" w14:textId="77777777" w:rsidTr="003B7755">
        <w:trPr>
          <w:trHeight w:val="315"/>
        </w:trPr>
        <w:tc>
          <w:tcPr>
            <w:tcW w:w="719" w:type="pct"/>
            <w:tcBorders>
              <w:top w:val="nil"/>
              <w:left w:val="nil"/>
              <w:bottom w:val="nil"/>
              <w:right w:val="nil"/>
            </w:tcBorders>
            <w:vAlign w:val="center"/>
            <w:hideMark/>
          </w:tcPr>
          <w:p w14:paraId="71362E86" w14:textId="77777777" w:rsidR="00E53444" w:rsidRDefault="00E53444">
            <w:pPr>
              <w:rPr>
                <w:sz w:val="20"/>
                <w:szCs w:val="20"/>
              </w:rPr>
            </w:pPr>
          </w:p>
        </w:tc>
        <w:tc>
          <w:tcPr>
            <w:tcW w:w="719" w:type="pct"/>
            <w:tcBorders>
              <w:top w:val="nil"/>
              <w:left w:val="nil"/>
              <w:bottom w:val="nil"/>
              <w:right w:val="nil"/>
            </w:tcBorders>
            <w:vAlign w:val="center"/>
            <w:hideMark/>
          </w:tcPr>
          <w:p w14:paraId="46A3B17B" w14:textId="77777777" w:rsidR="00E53444" w:rsidRDefault="00E53444">
            <w:pPr>
              <w:rPr>
                <w:sz w:val="20"/>
                <w:szCs w:val="20"/>
              </w:rPr>
            </w:pPr>
          </w:p>
        </w:tc>
        <w:tc>
          <w:tcPr>
            <w:tcW w:w="689" w:type="pct"/>
            <w:tcBorders>
              <w:top w:val="nil"/>
              <w:left w:val="nil"/>
              <w:bottom w:val="nil"/>
              <w:right w:val="nil"/>
            </w:tcBorders>
            <w:noWrap/>
            <w:vAlign w:val="bottom"/>
            <w:hideMark/>
          </w:tcPr>
          <w:p w14:paraId="10DC9D9E" w14:textId="77777777" w:rsidR="00E53444" w:rsidRDefault="00E53444">
            <w:pPr>
              <w:rPr>
                <w:sz w:val="20"/>
                <w:szCs w:val="20"/>
              </w:rPr>
            </w:pPr>
          </w:p>
        </w:tc>
        <w:tc>
          <w:tcPr>
            <w:tcW w:w="2873" w:type="pct"/>
            <w:gridSpan w:val="4"/>
            <w:tcBorders>
              <w:top w:val="nil"/>
              <w:left w:val="nil"/>
              <w:bottom w:val="nil"/>
              <w:right w:val="nil"/>
            </w:tcBorders>
            <w:shd w:val="clear" w:color="000000" w:fill="F2F2F2"/>
            <w:vAlign w:val="center"/>
            <w:hideMark/>
          </w:tcPr>
          <w:p w14:paraId="7A977962" w14:textId="4AACA62D" w:rsidR="00E53444" w:rsidRDefault="00E53444">
            <w:pPr>
              <w:jc w:val="center"/>
              <w:rPr>
                <w:rFonts w:ascii="Calibri" w:hAnsi="Calibri" w:cs="Calibri"/>
                <w:b/>
                <w:bCs/>
                <w:color w:val="000000"/>
                <w:sz w:val="20"/>
                <w:szCs w:val="20"/>
              </w:rPr>
            </w:pPr>
            <w:r>
              <w:rPr>
                <w:rFonts w:ascii="Calibri" w:hAnsi="Calibri" w:cs="Calibri"/>
                <w:b/>
                <w:bCs/>
                <w:color w:val="000000"/>
                <w:sz w:val="20"/>
                <w:szCs w:val="20"/>
              </w:rPr>
              <w:t>30 June 202</w:t>
            </w:r>
            <w:r w:rsidR="00421D79">
              <w:rPr>
                <w:rFonts w:ascii="Calibri" w:hAnsi="Calibri" w:cs="Calibri"/>
                <w:b/>
                <w:bCs/>
                <w:color w:val="000000"/>
                <w:sz w:val="20"/>
                <w:szCs w:val="20"/>
              </w:rPr>
              <w:t>5</w:t>
            </w:r>
            <w:r w:rsidR="00A93B17">
              <w:rPr>
                <w:rFonts w:ascii="Calibri" w:hAnsi="Calibri" w:cs="Calibri"/>
                <w:b/>
                <w:bCs/>
                <w:color w:val="000000"/>
                <w:sz w:val="20"/>
                <w:szCs w:val="20"/>
              </w:rPr>
              <w:t xml:space="preserve"> unaudited</w:t>
            </w:r>
          </w:p>
        </w:tc>
      </w:tr>
      <w:tr w:rsidR="00E53444" w14:paraId="5A617CCF" w14:textId="77777777" w:rsidTr="003B7755">
        <w:trPr>
          <w:trHeight w:val="300"/>
        </w:trPr>
        <w:tc>
          <w:tcPr>
            <w:tcW w:w="2127" w:type="pct"/>
            <w:gridSpan w:val="3"/>
            <w:tcBorders>
              <w:top w:val="nil"/>
              <w:left w:val="nil"/>
              <w:bottom w:val="nil"/>
              <w:right w:val="nil"/>
            </w:tcBorders>
            <w:vAlign w:val="center"/>
            <w:hideMark/>
          </w:tcPr>
          <w:p w14:paraId="68F0AD30" w14:textId="77777777" w:rsidR="00E53444" w:rsidRDefault="00E53444">
            <w:pPr>
              <w:jc w:val="center"/>
              <w:rPr>
                <w:rFonts w:ascii="Calibri" w:hAnsi="Calibri" w:cs="Calibri"/>
                <w:b/>
                <w:bCs/>
                <w:color w:val="000000"/>
                <w:sz w:val="20"/>
                <w:szCs w:val="20"/>
              </w:rPr>
            </w:pPr>
          </w:p>
        </w:tc>
        <w:tc>
          <w:tcPr>
            <w:tcW w:w="719" w:type="pct"/>
            <w:tcBorders>
              <w:top w:val="nil"/>
              <w:left w:val="nil"/>
              <w:bottom w:val="nil"/>
              <w:right w:val="nil"/>
            </w:tcBorders>
            <w:shd w:val="clear" w:color="000000" w:fill="F2F2F2"/>
            <w:vAlign w:val="center"/>
            <w:hideMark/>
          </w:tcPr>
          <w:p w14:paraId="743106D1"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Stage 1 </w:t>
            </w:r>
          </w:p>
        </w:tc>
        <w:tc>
          <w:tcPr>
            <w:tcW w:w="719" w:type="pct"/>
            <w:tcBorders>
              <w:top w:val="nil"/>
              <w:left w:val="nil"/>
              <w:bottom w:val="nil"/>
              <w:right w:val="nil"/>
            </w:tcBorders>
            <w:shd w:val="clear" w:color="000000" w:fill="F2F2F2"/>
            <w:vAlign w:val="center"/>
            <w:hideMark/>
          </w:tcPr>
          <w:p w14:paraId="17DF6DD9"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Stage 2  </w:t>
            </w:r>
          </w:p>
        </w:tc>
        <w:tc>
          <w:tcPr>
            <w:tcW w:w="719" w:type="pct"/>
            <w:tcBorders>
              <w:top w:val="nil"/>
              <w:left w:val="nil"/>
              <w:bottom w:val="nil"/>
              <w:right w:val="nil"/>
            </w:tcBorders>
            <w:shd w:val="clear" w:color="000000" w:fill="F2F2F2"/>
            <w:vAlign w:val="center"/>
            <w:hideMark/>
          </w:tcPr>
          <w:p w14:paraId="7185E34A"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Stage 3 </w:t>
            </w:r>
          </w:p>
        </w:tc>
        <w:tc>
          <w:tcPr>
            <w:tcW w:w="716" w:type="pct"/>
            <w:tcBorders>
              <w:top w:val="nil"/>
              <w:left w:val="nil"/>
              <w:bottom w:val="nil"/>
              <w:right w:val="nil"/>
            </w:tcBorders>
            <w:shd w:val="clear" w:color="000000" w:fill="F2F2F2"/>
            <w:vAlign w:val="center"/>
            <w:hideMark/>
          </w:tcPr>
          <w:p w14:paraId="386D7655"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Total </w:t>
            </w:r>
          </w:p>
        </w:tc>
      </w:tr>
      <w:tr w:rsidR="00E53444" w14:paraId="5E88DEC4" w14:textId="77777777" w:rsidTr="003B7755">
        <w:trPr>
          <w:trHeight w:val="315"/>
        </w:trPr>
        <w:tc>
          <w:tcPr>
            <w:tcW w:w="2127" w:type="pct"/>
            <w:gridSpan w:val="3"/>
            <w:tcBorders>
              <w:top w:val="nil"/>
              <w:left w:val="nil"/>
              <w:bottom w:val="nil"/>
              <w:right w:val="nil"/>
            </w:tcBorders>
            <w:vAlign w:val="center"/>
            <w:hideMark/>
          </w:tcPr>
          <w:p w14:paraId="68FDFA8C" w14:textId="77777777" w:rsidR="00E53444" w:rsidRDefault="00E53444">
            <w:pPr>
              <w:jc w:val="right"/>
              <w:rPr>
                <w:rFonts w:ascii="Calibri" w:hAnsi="Calibri" w:cs="Calibri"/>
                <w:b/>
                <w:bCs/>
                <w:color w:val="000000"/>
                <w:sz w:val="20"/>
                <w:szCs w:val="20"/>
              </w:rPr>
            </w:pPr>
          </w:p>
        </w:tc>
        <w:tc>
          <w:tcPr>
            <w:tcW w:w="719" w:type="pct"/>
            <w:tcBorders>
              <w:top w:val="nil"/>
              <w:left w:val="nil"/>
              <w:bottom w:val="single" w:sz="8" w:space="0" w:color="auto"/>
              <w:right w:val="nil"/>
            </w:tcBorders>
            <w:shd w:val="clear" w:color="000000" w:fill="F2F2F2"/>
            <w:vAlign w:val="center"/>
            <w:hideMark/>
          </w:tcPr>
          <w:p w14:paraId="7281B588"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£m </w:t>
            </w:r>
          </w:p>
        </w:tc>
        <w:tc>
          <w:tcPr>
            <w:tcW w:w="719" w:type="pct"/>
            <w:tcBorders>
              <w:top w:val="nil"/>
              <w:left w:val="nil"/>
              <w:bottom w:val="single" w:sz="8" w:space="0" w:color="auto"/>
              <w:right w:val="nil"/>
            </w:tcBorders>
            <w:shd w:val="clear" w:color="000000" w:fill="F2F2F2"/>
            <w:vAlign w:val="center"/>
            <w:hideMark/>
          </w:tcPr>
          <w:p w14:paraId="751E1917"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£m  </w:t>
            </w:r>
          </w:p>
        </w:tc>
        <w:tc>
          <w:tcPr>
            <w:tcW w:w="719" w:type="pct"/>
            <w:tcBorders>
              <w:top w:val="nil"/>
              <w:left w:val="nil"/>
              <w:bottom w:val="single" w:sz="8" w:space="0" w:color="auto"/>
              <w:right w:val="nil"/>
            </w:tcBorders>
            <w:shd w:val="clear" w:color="000000" w:fill="F2F2F2"/>
            <w:vAlign w:val="center"/>
            <w:hideMark/>
          </w:tcPr>
          <w:p w14:paraId="1EB57CC5"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£m </w:t>
            </w:r>
          </w:p>
        </w:tc>
        <w:tc>
          <w:tcPr>
            <w:tcW w:w="716" w:type="pct"/>
            <w:tcBorders>
              <w:top w:val="nil"/>
              <w:left w:val="nil"/>
              <w:bottom w:val="single" w:sz="8" w:space="0" w:color="auto"/>
              <w:right w:val="nil"/>
            </w:tcBorders>
            <w:shd w:val="clear" w:color="000000" w:fill="F2F2F2"/>
            <w:vAlign w:val="center"/>
            <w:hideMark/>
          </w:tcPr>
          <w:p w14:paraId="33805D52"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£m </w:t>
            </w:r>
          </w:p>
        </w:tc>
      </w:tr>
      <w:tr w:rsidR="00E53444" w14:paraId="711B1764" w14:textId="77777777" w:rsidTr="003B7755">
        <w:trPr>
          <w:trHeight w:val="300"/>
        </w:trPr>
        <w:tc>
          <w:tcPr>
            <w:tcW w:w="2127" w:type="pct"/>
            <w:gridSpan w:val="3"/>
            <w:tcBorders>
              <w:top w:val="nil"/>
              <w:left w:val="nil"/>
              <w:bottom w:val="nil"/>
              <w:right w:val="nil"/>
            </w:tcBorders>
            <w:vAlign w:val="center"/>
            <w:hideMark/>
          </w:tcPr>
          <w:p w14:paraId="43D6E616" w14:textId="77777777" w:rsidR="00E53444" w:rsidRDefault="00E53444">
            <w:pPr>
              <w:rPr>
                <w:rFonts w:ascii="Calibri" w:hAnsi="Calibri" w:cs="Calibri"/>
                <w:b/>
                <w:bCs/>
                <w:color w:val="000000"/>
                <w:sz w:val="20"/>
                <w:szCs w:val="20"/>
              </w:rPr>
            </w:pPr>
            <w:r>
              <w:rPr>
                <w:rFonts w:ascii="Calibri" w:hAnsi="Calibri" w:cs="Calibri"/>
                <w:b/>
                <w:bCs/>
                <w:color w:val="000000"/>
                <w:sz w:val="20"/>
                <w:szCs w:val="20"/>
              </w:rPr>
              <w:t>Gross receivables</w:t>
            </w:r>
          </w:p>
        </w:tc>
        <w:tc>
          <w:tcPr>
            <w:tcW w:w="719" w:type="pct"/>
            <w:tcBorders>
              <w:top w:val="nil"/>
              <w:left w:val="nil"/>
              <w:bottom w:val="nil"/>
              <w:right w:val="nil"/>
            </w:tcBorders>
            <w:shd w:val="clear" w:color="000000" w:fill="F2F2F2"/>
            <w:vAlign w:val="center"/>
            <w:hideMark/>
          </w:tcPr>
          <w:p w14:paraId="2645AE83"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 </w:t>
            </w:r>
          </w:p>
        </w:tc>
        <w:tc>
          <w:tcPr>
            <w:tcW w:w="719" w:type="pct"/>
            <w:tcBorders>
              <w:top w:val="nil"/>
              <w:left w:val="nil"/>
              <w:bottom w:val="nil"/>
              <w:right w:val="nil"/>
            </w:tcBorders>
            <w:shd w:val="clear" w:color="000000" w:fill="F2F2F2"/>
            <w:vAlign w:val="center"/>
            <w:hideMark/>
          </w:tcPr>
          <w:p w14:paraId="5A44AD3B"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 </w:t>
            </w:r>
          </w:p>
        </w:tc>
        <w:tc>
          <w:tcPr>
            <w:tcW w:w="719" w:type="pct"/>
            <w:tcBorders>
              <w:top w:val="nil"/>
              <w:left w:val="nil"/>
              <w:bottom w:val="nil"/>
              <w:right w:val="nil"/>
            </w:tcBorders>
            <w:shd w:val="clear" w:color="000000" w:fill="F2F2F2"/>
            <w:vAlign w:val="center"/>
            <w:hideMark/>
          </w:tcPr>
          <w:p w14:paraId="17B6A1E1"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 </w:t>
            </w:r>
          </w:p>
        </w:tc>
        <w:tc>
          <w:tcPr>
            <w:tcW w:w="716" w:type="pct"/>
            <w:tcBorders>
              <w:top w:val="nil"/>
              <w:left w:val="nil"/>
              <w:bottom w:val="nil"/>
              <w:right w:val="nil"/>
            </w:tcBorders>
            <w:shd w:val="clear" w:color="000000" w:fill="F2F2F2"/>
            <w:vAlign w:val="center"/>
            <w:hideMark/>
          </w:tcPr>
          <w:p w14:paraId="546CE85D" w14:textId="77777777" w:rsidR="00E53444" w:rsidRDefault="00E53444">
            <w:pPr>
              <w:jc w:val="right"/>
              <w:rPr>
                <w:rFonts w:ascii="Calibri" w:hAnsi="Calibri" w:cs="Calibri"/>
                <w:b/>
                <w:bCs/>
                <w:color w:val="000000"/>
                <w:sz w:val="20"/>
                <w:szCs w:val="20"/>
              </w:rPr>
            </w:pPr>
            <w:r>
              <w:rPr>
                <w:rFonts w:ascii="Calibri" w:hAnsi="Calibri" w:cs="Calibri"/>
                <w:b/>
                <w:bCs/>
                <w:color w:val="000000"/>
                <w:sz w:val="20"/>
                <w:szCs w:val="20"/>
              </w:rPr>
              <w:t> </w:t>
            </w:r>
          </w:p>
        </w:tc>
      </w:tr>
      <w:tr w:rsidR="00E53444" w14:paraId="69C86421" w14:textId="77777777" w:rsidTr="003B7755">
        <w:trPr>
          <w:trHeight w:val="300"/>
        </w:trPr>
        <w:tc>
          <w:tcPr>
            <w:tcW w:w="2127" w:type="pct"/>
            <w:gridSpan w:val="3"/>
            <w:tcBorders>
              <w:top w:val="nil"/>
              <w:left w:val="nil"/>
              <w:bottom w:val="nil"/>
              <w:right w:val="nil"/>
            </w:tcBorders>
            <w:vAlign w:val="center"/>
            <w:hideMark/>
          </w:tcPr>
          <w:p w14:paraId="375D4ED7" w14:textId="77777777" w:rsidR="00E53444" w:rsidRDefault="00E53444">
            <w:pPr>
              <w:rPr>
                <w:rFonts w:ascii="Calibri" w:hAnsi="Calibri" w:cs="Calibri"/>
                <w:color w:val="000000"/>
                <w:sz w:val="20"/>
                <w:szCs w:val="20"/>
              </w:rPr>
            </w:pPr>
            <w:r>
              <w:rPr>
                <w:rFonts w:ascii="Calibri" w:hAnsi="Calibri" w:cs="Calibri"/>
                <w:color w:val="000000"/>
                <w:sz w:val="20"/>
                <w:szCs w:val="20"/>
              </w:rPr>
              <w:t>Credit cards</w:t>
            </w:r>
          </w:p>
        </w:tc>
        <w:tc>
          <w:tcPr>
            <w:tcW w:w="719" w:type="pct"/>
            <w:tcBorders>
              <w:top w:val="nil"/>
              <w:left w:val="nil"/>
              <w:bottom w:val="nil"/>
              <w:right w:val="nil"/>
            </w:tcBorders>
            <w:shd w:val="clear" w:color="000000" w:fill="F2F2F2"/>
            <w:vAlign w:val="center"/>
          </w:tcPr>
          <w:p w14:paraId="11A65D28" w14:textId="6D166A65"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1,219.2</w:t>
            </w:r>
          </w:p>
        </w:tc>
        <w:tc>
          <w:tcPr>
            <w:tcW w:w="719" w:type="pct"/>
            <w:tcBorders>
              <w:top w:val="nil"/>
              <w:left w:val="nil"/>
              <w:bottom w:val="nil"/>
              <w:right w:val="nil"/>
            </w:tcBorders>
            <w:shd w:val="clear" w:color="000000" w:fill="F2F2F2"/>
            <w:vAlign w:val="center"/>
          </w:tcPr>
          <w:p w14:paraId="36509336" w14:textId="0FFC8C52"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109.5</w:t>
            </w:r>
          </w:p>
        </w:tc>
        <w:tc>
          <w:tcPr>
            <w:tcW w:w="719" w:type="pct"/>
            <w:tcBorders>
              <w:top w:val="nil"/>
              <w:left w:val="nil"/>
              <w:bottom w:val="nil"/>
              <w:right w:val="nil"/>
            </w:tcBorders>
            <w:shd w:val="clear" w:color="000000" w:fill="F2F2F2"/>
            <w:vAlign w:val="center"/>
          </w:tcPr>
          <w:p w14:paraId="4C2C43A0" w14:textId="669FE15B"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61.6</w:t>
            </w:r>
          </w:p>
        </w:tc>
        <w:tc>
          <w:tcPr>
            <w:tcW w:w="716" w:type="pct"/>
            <w:tcBorders>
              <w:top w:val="nil"/>
              <w:left w:val="nil"/>
              <w:bottom w:val="nil"/>
              <w:right w:val="nil"/>
            </w:tcBorders>
            <w:shd w:val="clear" w:color="000000" w:fill="F2F2F2"/>
            <w:vAlign w:val="center"/>
          </w:tcPr>
          <w:p w14:paraId="592B3621" w14:textId="1E954969"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1,390.3</w:t>
            </w:r>
          </w:p>
        </w:tc>
      </w:tr>
      <w:tr w:rsidR="00E53444" w14:paraId="375C9236" w14:textId="77777777" w:rsidTr="003B7755">
        <w:trPr>
          <w:trHeight w:val="300"/>
        </w:trPr>
        <w:tc>
          <w:tcPr>
            <w:tcW w:w="2127" w:type="pct"/>
            <w:gridSpan w:val="3"/>
            <w:tcBorders>
              <w:top w:val="nil"/>
              <w:left w:val="nil"/>
              <w:bottom w:val="nil"/>
              <w:right w:val="nil"/>
            </w:tcBorders>
            <w:vAlign w:val="center"/>
            <w:hideMark/>
          </w:tcPr>
          <w:p w14:paraId="47B64584" w14:textId="77777777" w:rsidR="00E53444" w:rsidRDefault="00E53444">
            <w:pPr>
              <w:rPr>
                <w:rFonts w:ascii="Calibri" w:hAnsi="Calibri" w:cs="Calibri"/>
                <w:color w:val="000000"/>
                <w:sz w:val="20"/>
                <w:szCs w:val="20"/>
              </w:rPr>
            </w:pPr>
            <w:r>
              <w:rPr>
                <w:rFonts w:ascii="Calibri" w:hAnsi="Calibri" w:cs="Calibri"/>
                <w:color w:val="000000"/>
                <w:sz w:val="20"/>
                <w:szCs w:val="20"/>
              </w:rPr>
              <w:t>Vehicle finance</w:t>
            </w:r>
          </w:p>
        </w:tc>
        <w:tc>
          <w:tcPr>
            <w:tcW w:w="719" w:type="pct"/>
            <w:tcBorders>
              <w:top w:val="nil"/>
              <w:left w:val="nil"/>
              <w:bottom w:val="nil"/>
              <w:right w:val="nil"/>
            </w:tcBorders>
            <w:shd w:val="clear" w:color="000000" w:fill="F2F2F2"/>
            <w:vAlign w:val="center"/>
          </w:tcPr>
          <w:p w14:paraId="3695B8A3" w14:textId="602E0374"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579.0</w:t>
            </w:r>
          </w:p>
        </w:tc>
        <w:tc>
          <w:tcPr>
            <w:tcW w:w="719" w:type="pct"/>
            <w:tcBorders>
              <w:top w:val="nil"/>
              <w:left w:val="nil"/>
              <w:bottom w:val="nil"/>
              <w:right w:val="nil"/>
            </w:tcBorders>
            <w:shd w:val="clear" w:color="000000" w:fill="F2F2F2"/>
            <w:vAlign w:val="center"/>
          </w:tcPr>
          <w:p w14:paraId="28D91D55" w14:textId="60476FD3"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117.1</w:t>
            </w:r>
          </w:p>
        </w:tc>
        <w:tc>
          <w:tcPr>
            <w:tcW w:w="719" w:type="pct"/>
            <w:tcBorders>
              <w:top w:val="nil"/>
              <w:left w:val="nil"/>
              <w:bottom w:val="nil"/>
              <w:right w:val="nil"/>
            </w:tcBorders>
            <w:shd w:val="clear" w:color="000000" w:fill="F2F2F2"/>
            <w:vAlign w:val="center"/>
          </w:tcPr>
          <w:p w14:paraId="2C4710BC" w14:textId="2F99E711"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98.8</w:t>
            </w:r>
          </w:p>
        </w:tc>
        <w:tc>
          <w:tcPr>
            <w:tcW w:w="716" w:type="pct"/>
            <w:tcBorders>
              <w:top w:val="nil"/>
              <w:left w:val="nil"/>
              <w:bottom w:val="nil"/>
              <w:right w:val="nil"/>
            </w:tcBorders>
            <w:shd w:val="clear" w:color="000000" w:fill="F2F2F2"/>
            <w:vAlign w:val="center"/>
          </w:tcPr>
          <w:p w14:paraId="3D59C162" w14:textId="3E4242DB"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794.9</w:t>
            </w:r>
          </w:p>
        </w:tc>
      </w:tr>
      <w:tr w:rsidR="00E53444" w14:paraId="306AFA2D" w14:textId="77777777" w:rsidTr="003B7755">
        <w:trPr>
          <w:trHeight w:val="315"/>
        </w:trPr>
        <w:tc>
          <w:tcPr>
            <w:tcW w:w="2127" w:type="pct"/>
            <w:gridSpan w:val="3"/>
            <w:tcBorders>
              <w:top w:val="nil"/>
              <w:left w:val="nil"/>
              <w:bottom w:val="nil"/>
              <w:right w:val="nil"/>
            </w:tcBorders>
            <w:vAlign w:val="center"/>
            <w:hideMark/>
          </w:tcPr>
          <w:p w14:paraId="297F29CF" w14:textId="77777777" w:rsidR="00E53444" w:rsidRDefault="00E53444">
            <w:pPr>
              <w:rPr>
                <w:rFonts w:ascii="Calibri" w:hAnsi="Calibri" w:cs="Calibri"/>
                <w:color w:val="000000"/>
                <w:sz w:val="20"/>
                <w:szCs w:val="20"/>
              </w:rPr>
            </w:pPr>
            <w:r>
              <w:rPr>
                <w:rFonts w:ascii="Calibri" w:hAnsi="Calibri" w:cs="Calibri"/>
                <w:color w:val="000000"/>
                <w:sz w:val="20"/>
                <w:szCs w:val="20"/>
              </w:rPr>
              <w:t>Second charge mortgages</w:t>
            </w:r>
          </w:p>
        </w:tc>
        <w:tc>
          <w:tcPr>
            <w:tcW w:w="719" w:type="pct"/>
            <w:tcBorders>
              <w:top w:val="nil"/>
              <w:left w:val="nil"/>
              <w:bottom w:val="nil"/>
              <w:right w:val="nil"/>
            </w:tcBorders>
            <w:shd w:val="clear" w:color="000000" w:fill="F2F2F2"/>
            <w:vAlign w:val="center"/>
          </w:tcPr>
          <w:p w14:paraId="0E73AEFD" w14:textId="0F0B9092"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381.5</w:t>
            </w:r>
          </w:p>
        </w:tc>
        <w:tc>
          <w:tcPr>
            <w:tcW w:w="719" w:type="pct"/>
            <w:tcBorders>
              <w:top w:val="nil"/>
              <w:left w:val="nil"/>
              <w:bottom w:val="nil"/>
              <w:right w:val="nil"/>
            </w:tcBorders>
            <w:shd w:val="clear" w:color="000000" w:fill="F2F2F2"/>
            <w:vAlign w:val="center"/>
          </w:tcPr>
          <w:p w14:paraId="070CC9A6" w14:textId="49B5EFAE"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2.9</w:t>
            </w:r>
          </w:p>
        </w:tc>
        <w:tc>
          <w:tcPr>
            <w:tcW w:w="719" w:type="pct"/>
            <w:tcBorders>
              <w:top w:val="nil"/>
              <w:left w:val="nil"/>
              <w:bottom w:val="nil"/>
              <w:right w:val="nil"/>
            </w:tcBorders>
            <w:shd w:val="clear" w:color="000000" w:fill="F2F2F2"/>
            <w:vAlign w:val="center"/>
          </w:tcPr>
          <w:p w14:paraId="10A09F74" w14:textId="63B8BA5B"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0.5</w:t>
            </w:r>
          </w:p>
        </w:tc>
        <w:tc>
          <w:tcPr>
            <w:tcW w:w="716" w:type="pct"/>
            <w:tcBorders>
              <w:top w:val="nil"/>
              <w:left w:val="nil"/>
              <w:bottom w:val="nil"/>
              <w:right w:val="nil"/>
            </w:tcBorders>
            <w:shd w:val="clear" w:color="000000" w:fill="F2F2F2"/>
            <w:vAlign w:val="center"/>
          </w:tcPr>
          <w:p w14:paraId="7D11D6D1" w14:textId="40D20E39"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384.9</w:t>
            </w:r>
          </w:p>
        </w:tc>
      </w:tr>
      <w:tr w:rsidR="00E53444" w14:paraId="42940406" w14:textId="77777777" w:rsidTr="003B7755">
        <w:trPr>
          <w:trHeight w:val="315"/>
        </w:trPr>
        <w:tc>
          <w:tcPr>
            <w:tcW w:w="2127" w:type="pct"/>
            <w:gridSpan w:val="3"/>
            <w:tcBorders>
              <w:top w:val="nil"/>
              <w:left w:val="nil"/>
              <w:bottom w:val="nil"/>
              <w:right w:val="nil"/>
            </w:tcBorders>
            <w:vAlign w:val="center"/>
            <w:hideMark/>
          </w:tcPr>
          <w:p w14:paraId="130C59B5" w14:textId="77E8672C" w:rsidR="00E53444" w:rsidRDefault="00E53444">
            <w:pPr>
              <w:rPr>
                <w:rFonts w:ascii="Calibri" w:hAnsi="Calibri" w:cs="Calibri"/>
                <w:b/>
                <w:bCs/>
                <w:color w:val="000000"/>
                <w:sz w:val="20"/>
                <w:szCs w:val="20"/>
              </w:rPr>
            </w:pPr>
            <w:r>
              <w:rPr>
                <w:rFonts w:ascii="Calibri" w:hAnsi="Calibri" w:cs="Calibri"/>
                <w:b/>
                <w:bCs/>
                <w:color w:val="000000"/>
                <w:sz w:val="20"/>
                <w:szCs w:val="20"/>
              </w:rPr>
              <w:t>Total</w:t>
            </w:r>
          </w:p>
        </w:tc>
        <w:tc>
          <w:tcPr>
            <w:tcW w:w="719" w:type="pct"/>
            <w:tcBorders>
              <w:top w:val="single" w:sz="8" w:space="0" w:color="auto"/>
              <w:left w:val="nil"/>
              <w:bottom w:val="single" w:sz="8" w:space="0" w:color="auto"/>
              <w:right w:val="nil"/>
            </w:tcBorders>
            <w:shd w:val="clear" w:color="000000" w:fill="F2F2F2"/>
            <w:vAlign w:val="center"/>
          </w:tcPr>
          <w:p w14:paraId="5BDA218F" w14:textId="55788064"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2,179.7</w:t>
            </w:r>
          </w:p>
        </w:tc>
        <w:tc>
          <w:tcPr>
            <w:tcW w:w="719" w:type="pct"/>
            <w:tcBorders>
              <w:top w:val="single" w:sz="8" w:space="0" w:color="auto"/>
              <w:left w:val="nil"/>
              <w:bottom w:val="single" w:sz="8" w:space="0" w:color="auto"/>
              <w:right w:val="nil"/>
            </w:tcBorders>
            <w:shd w:val="clear" w:color="000000" w:fill="F2F2F2"/>
            <w:vAlign w:val="center"/>
          </w:tcPr>
          <w:p w14:paraId="5A465C9D" w14:textId="0AE25473"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229.5</w:t>
            </w:r>
          </w:p>
        </w:tc>
        <w:tc>
          <w:tcPr>
            <w:tcW w:w="719" w:type="pct"/>
            <w:tcBorders>
              <w:top w:val="single" w:sz="8" w:space="0" w:color="auto"/>
              <w:left w:val="nil"/>
              <w:bottom w:val="single" w:sz="8" w:space="0" w:color="auto"/>
              <w:right w:val="nil"/>
            </w:tcBorders>
            <w:shd w:val="clear" w:color="000000" w:fill="F2F2F2"/>
            <w:vAlign w:val="center"/>
          </w:tcPr>
          <w:p w14:paraId="585BE1EE" w14:textId="27CE6445"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160.9</w:t>
            </w:r>
          </w:p>
        </w:tc>
        <w:tc>
          <w:tcPr>
            <w:tcW w:w="716" w:type="pct"/>
            <w:tcBorders>
              <w:top w:val="single" w:sz="8" w:space="0" w:color="auto"/>
              <w:left w:val="nil"/>
              <w:bottom w:val="single" w:sz="8" w:space="0" w:color="auto"/>
              <w:right w:val="nil"/>
            </w:tcBorders>
            <w:shd w:val="clear" w:color="000000" w:fill="F2F2F2"/>
            <w:vAlign w:val="center"/>
          </w:tcPr>
          <w:p w14:paraId="57F73AB5" w14:textId="33E97027"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2,570.1</w:t>
            </w:r>
          </w:p>
        </w:tc>
      </w:tr>
      <w:tr w:rsidR="00E53444" w14:paraId="7C4E2494" w14:textId="77777777" w:rsidTr="003B7755">
        <w:trPr>
          <w:trHeight w:val="300"/>
        </w:trPr>
        <w:tc>
          <w:tcPr>
            <w:tcW w:w="2127" w:type="pct"/>
            <w:gridSpan w:val="3"/>
            <w:tcBorders>
              <w:top w:val="nil"/>
              <w:left w:val="nil"/>
              <w:bottom w:val="nil"/>
              <w:right w:val="nil"/>
            </w:tcBorders>
            <w:vAlign w:val="center"/>
            <w:hideMark/>
          </w:tcPr>
          <w:p w14:paraId="067CAF84" w14:textId="77777777" w:rsidR="00E53444" w:rsidRDefault="00E53444">
            <w:pPr>
              <w:rPr>
                <w:rFonts w:ascii="Calibri" w:hAnsi="Calibri" w:cs="Calibri"/>
                <w:b/>
                <w:bCs/>
                <w:color w:val="000000"/>
                <w:sz w:val="20"/>
                <w:szCs w:val="20"/>
              </w:rPr>
            </w:pPr>
            <w:r>
              <w:rPr>
                <w:rFonts w:ascii="Calibri" w:hAnsi="Calibri" w:cs="Calibri"/>
                <w:b/>
                <w:bCs/>
                <w:color w:val="000000"/>
                <w:sz w:val="20"/>
                <w:szCs w:val="20"/>
              </w:rPr>
              <w:t>Allowance account</w:t>
            </w:r>
          </w:p>
        </w:tc>
        <w:tc>
          <w:tcPr>
            <w:tcW w:w="719" w:type="pct"/>
            <w:tcBorders>
              <w:top w:val="nil"/>
              <w:left w:val="nil"/>
              <w:bottom w:val="nil"/>
              <w:right w:val="nil"/>
            </w:tcBorders>
            <w:shd w:val="clear" w:color="000000" w:fill="F2F2F2"/>
            <w:vAlign w:val="center"/>
          </w:tcPr>
          <w:p w14:paraId="78660F53" w14:textId="1590773E" w:rsidR="00E53444" w:rsidRDefault="00E53444">
            <w:pPr>
              <w:jc w:val="right"/>
              <w:rPr>
                <w:rFonts w:ascii="Calibri" w:hAnsi="Calibri" w:cs="Calibri"/>
                <w:b/>
                <w:bCs/>
                <w:color w:val="000000"/>
                <w:sz w:val="20"/>
                <w:szCs w:val="20"/>
              </w:rPr>
            </w:pPr>
          </w:p>
        </w:tc>
        <w:tc>
          <w:tcPr>
            <w:tcW w:w="719" w:type="pct"/>
            <w:tcBorders>
              <w:top w:val="nil"/>
              <w:left w:val="nil"/>
              <w:bottom w:val="nil"/>
              <w:right w:val="nil"/>
            </w:tcBorders>
            <w:shd w:val="clear" w:color="000000" w:fill="F2F2F2"/>
            <w:vAlign w:val="center"/>
          </w:tcPr>
          <w:p w14:paraId="7E66E214" w14:textId="091C164F" w:rsidR="00E53444" w:rsidRDefault="00E53444">
            <w:pPr>
              <w:jc w:val="right"/>
              <w:rPr>
                <w:rFonts w:ascii="Calibri" w:hAnsi="Calibri" w:cs="Calibri"/>
                <w:b/>
                <w:bCs/>
                <w:color w:val="000000"/>
                <w:sz w:val="20"/>
                <w:szCs w:val="20"/>
              </w:rPr>
            </w:pPr>
          </w:p>
        </w:tc>
        <w:tc>
          <w:tcPr>
            <w:tcW w:w="719" w:type="pct"/>
            <w:tcBorders>
              <w:top w:val="nil"/>
              <w:left w:val="nil"/>
              <w:bottom w:val="nil"/>
              <w:right w:val="nil"/>
            </w:tcBorders>
            <w:shd w:val="clear" w:color="000000" w:fill="F2F2F2"/>
            <w:vAlign w:val="center"/>
          </w:tcPr>
          <w:p w14:paraId="4BFC0E14" w14:textId="23337BAB" w:rsidR="00E53444" w:rsidRDefault="00E53444">
            <w:pPr>
              <w:jc w:val="right"/>
              <w:rPr>
                <w:rFonts w:ascii="Calibri" w:hAnsi="Calibri" w:cs="Calibri"/>
                <w:b/>
                <w:bCs/>
                <w:color w:val="000000"/>
                <w:sz w:val="20"/>
                <w:szCs w:val="20"/>
              </w:rPr>
            </w:pPr>
          </w:p>
        </w:tc>
        <w:tc>
          <w:tcPr>
            <w:tcW w:w="716" w:type="pct"/>
            <w:tcBorders>
              <w:top w:val="nil"/>
              <w:left w:val="nil"/>
              <w:bottom w:val="nil"/>
              <w:right w:val="nil"/>
            </w:tcBorders>
            <w:shd w:val="clear" w:color="000000" w:fill="F2F2F2"/>
            <w:vAlign w:val="center"/>
          </w:tcPr>
          <w:p w14:paraId="1FB4F600" w14:textId="63112133" w:rsidR="00E53444" w:rsidRDefault="00E53444">
            <w:pPr>
              <w:jc w:val="right"/>
              <w:rPr>
                <w:rFonts w:ascii="Calibri" w:hAnsi="Calibri" w:cs="Calibri"/>
                <w:b/>
                <w:bCs/>
                <w:color w:val="000000"/>
                <w:sz w:val="20"/>
                <w:szCs w:val="20"/>
              </w:rPr>
            </w:pPr>
          </w:p>
        </w:tc>
      </w:tr>
      <w:tr w:rsidR="00E53444" w14:paraId="2A541BEB" w14:textId="77777777" w:rsidTr="003B7755">
        <w:trPr>
          <w:trHeight w:val="300"/>
        </w:trPr>
        <w:tc>
          <w:tcPr>
            <w:tcW w:w="2127" w:type="pct"/>
            <w:gridSpan w:val="3"/>
            <w:tcBorders>
              <w:top w:val="nil"/>
              <w:left w:val="nil"/>
              <w:bottom w:val="nil"/>
              <w:right w:val="nil"/>
            </w:tcBorders>
            <w:vAlign w:val="center"/>
            <w:hideMark/>
          </w:tcPr>
          <w:p w14:paraId="5CDE4603" w14:textId="77777777" w:rsidR="00E53444" w:rsidRDefault="00E53444">
            <w:pPr>
              <w:rPr>
                <w:rFonts w:ascii="Calibri" w:hAnsi="Calibri" w:cs="Calibri"/>
                <w:color w:val="000000"/>
                <w:sz w:val="20"/>
                <w:szCs w:val="20"/>
              </w:rPr>
            </w:pPr>
            <w:r>
              <w:rPr>
                <w:rFonts w:ascii="Calibri" w:hAnsi="Calibri" w:cs="Calibri"/>
                <w:color w:val="000000"/>
                <w:sz w:val="20"/>
                <w:szCs w:val="20"/>
              </w:rPr>
              <w:t>Credit cards</w:t>
            </w:r>
          </w:p>
        </w:tc>
        <w:tc>
          <w:tcPr>
            <w:tcW w:w="719" w:type="pct"/>
            <w:tcBorders>
              <w:top w:val="nil"/>
              <w:left w:val="nil"/>
              <w:bottom w:val="nil"/>
              <w:right w:val="nil"/>
            </w:tcBorders>
            <w:shd w:val="clear" w:color="000000" w:fill="F2F2F2"/>
            <w:vAlign w:val="center"/>
          </w:tcPr>
          <w:p w14:paraId="5630D1DB" w14:textId="512FFAB3"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(81.9)</w:t>
            </w:r>
          </w:p>
        </w:tc>
        <w:tc>
          <w:tcPr>
            <w:tcW w:w="719" w:type="pct"/>
            <w:tcBorders>
              <w:top w:val="nil"/>
              <w:left w:val="nil"/>
              <w:bottom w:val="nil"/>
              <w:right w:val="nil"/>
            </w:tcBorders>
            <w:shd w:val="clear" w:color="000000" w:fill="F2F2F2"/>
            <w:vAlign w:val="center"/>
          </w:tcPr>
          <w:p w14:paraId="29EFA690" w14:textId="38B1981E"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(41.8)</w:t>
            </w:r>
          </w:p>
        </w:tc>
        <w:tc>
          <w:tcPr>
            <w:tcW w:w="719" w:type="pct"/>
            <w:tcBorders>
              <w:top w:val="nil"/>
              <w:left w:val="nil"/>
              <w:bottom w:val="nil"/>
              <w:right w:val="nil"/>
            </w:tcBorders>
            <w:shd w:val="clear" w:color="000000" w:fill="F2F2F2"/>
            <w:vAlign w:val="center"/>
          </w:tcPr>
          <w:p w14:paraId="69D59A48" w14:textId="102590BE"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(34.7)</w:t>
            </w:r>
          </w:p>
        </w:tc>
        <w:tc>
          <w:tcPr>
            <w:tcW w:w="716" w:type="pct"/>
            <w:tcBorders>
              <w:top w:val="nil"/>
              <w:left w:val="nil"/>
              <w:bottom w:val="nil"/>
              <w:right w:val="nil"/>
            </w:tcBorders>
            <w:shd w:val="clear" w:color="000000" w:fill="F2F2F2"/>
            <w:vAlign w:val="center"/>
          </w:tcPr>
          <w:p w14:paraId="428CB04C" w14:textId="0C2E7456"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(158.4)</w:t>
            </w:r>
          </w:p>
        </w:tc>
      </w:tr>
      <w:tr w:rsidR="00E53444" w14:paraId="760C9488" w14:textId="77777777" w:rsidTr="003B7755">
        <w:trPr>
          <w:trHeight w:val="300"/>
        </w:trPr>
        <w:tc>
          <w:tcPr>
            <w:tcW w:w="2127" w:type="pct"/>
            <w:gridSpan w:val="3"/>
            <w:tcBorders>
              <w:top w:val="nil"/>
              <w:left w:val="nil"/>
              <w:bottom w:val="nil"/>
              <w:right w:val="nil"/>
            </w:tcBorders>
            <w:vAlign w:val="center"/>
            <w:hideMark/>
          </w:tcPr>
          <w:p w14:paraId="77BFC4B5" w14:textId="77777777" w:rsidR="00E53444" w:rsidRDefault="00E53444">
            <w:pPr>
              <w:rPr>
                <w:rFonts w:ascii="Calibri" w:hAnsi="Calibri" w:cs="Calibri"/>
                <w:color w:val="000000"/>
                <w:sz w:val="20"/>
                <w:szCs w:val="20"/>
              </w:rPr>
            </w:pPr>
            <w:r>
              <w:rPr>
                <w:rFonts w:ascii="Calibri" w:hAnsi="Calibri" w:cs="Calibri"/>
                <w:color w:val="000000"/>
                <w:sz w:val="20"/>
                <w:szCs w:val="20"/>
              </w:rPr>
              <w:t>Vehicle finance</w:t>
            </w:r>
          </w:p>
        </w:tc>
        <w:tc>
          <w:tcPr>
            <w:tcW w:w="719" w:type="pct"/>
            <w:tcBorders>
              <w:top w:val="nil"/>
              <w:left w:val="nil"/>
              <w:bottom w:val="nil"/>
              <w:right w:val="nil"/>
            </w:tcBorders>
            <w:shd w:val="clear" w:color="000000" w:fill="F2F2F2"/>
            <w:vAlign w:val="center"/>
          </w:tcPr>
          <w:p w14:paraId="12EA58C1" w14:textId="6D31BA44"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(14.3)</w:t>
            </w:r>
          </w:p>
        </w:tc>
        <w:tc>
          <w:tcPr>
            <w:tcW w:w="719" w:type="pct"/>
            <w:tcBorders>
              <w:top w:val="nil"/>
              <w:left w:val="nil"/>
              <w:bottom w:val="nil"/>
              <w:right w:val="nil"/>
            </w:tcBorders>
            <w:shd w:val="clear" w:color="000000" w:fill="F2F2F2"/>
            <w:vAlign w:val="center"/>
          </w:tcPr>
          <w:p w14:paraId="435BA779" w14:textId="27C3B74B"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(18.7)</w:t>
            </w:r>
          </w:p>
        </w:tc>
        <w:tc>
          <w:tcPr>
            <w:tcW w:w="719" w:type="pct"/>
            <w:tcBorders>
              <w:top w:val="nil"/>
              <w:left w:val="nil"/>
              <w:bottom w:val="nil"/>
              <w:right w:val="nil"/>
            </w:tcBorders>
            <w:shd w:val="clear" w:color="000000" w:fill="F2F2F2"/>
            <w:vAlign w:val="center"/>
          </w:tcPr>
          <w:p w14:paraId="2E34B21D" w14:textId="1A5B8400"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(52.9)</w:t>
            </w:r>
          </w:p>
        </w:tc>
        <w:tc>
          <w:tcPr>
            <w:tcW w:w="716" w:type="pct"/>
            <w:tcBorders>
              <w:top w:val="nil"/>
              <w:left w:val="nil"/>
              <w:bottom w:val="nil"/>
              <w:right w:val="nil"/>
            </w:tcBorders>
            <w:shd w:val="clear" w:color="000000" w:fill="F2F2F2"/>
            <w:vAlign w:val="center"/>
          </w:tcPr>
          <w:p w14:paraId="36A1BE41" w14:textId="43E3BFFA"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(85.9)</w:t>
            </w:r>
          </w:p>
        </w:tc>
      </w:tr>
      <w:tr w:rsidR="00E53444" w14:paraId="1BB98AC2" w14:textId="77777777" w:rsidTr="003B7755">
        <w:trPr>
          <w:trHeight w:val="315"/>
        </w:trPr>
        <w:tc>
          <w:tcPr>
            <w:tcW w:w="2127" w:type="pct"/>
            <w:gridSpan w:val="3"/>
            <w:tcBorders>
              <w:top w:val="nil"/>
              <w:left w:val="nil"/>
              <w:bottom w:val="nil"/>
              <w:right w:val="nil"/>
            </w:tcBorders>
            <w:vAlign w:val="center"/>
            <w:hideMark/>
          </w:tcPr>
          <w:p w14:paraId="1FACC4FB" w14:textId="77777777" w:rsidR="00E53444" w:rsidRDefault="00E53444">
            <w:pPr>
              <w:rPr>
                <w:rFonts w:ascii="Calibri" w:hAnsi="Calibri" w:cs="Calibri"/>
                <w:color w:val="000000"/>
                <w:sz w:val="20"/>
                <w:szCs w:val="20"/>
              </w:rPr>
            </w:pPr>
            <w:r>
              <w:rPr>
                <w:rFonts w:ascii="Calibri" w:hAnsi="Calibri" w:cs="Calibri"/>
                <w:color w:val="000000"/>
                <w:sz w:val="20"/>
                <w:szCs w:val="20"/>
              </w:rPr>
              <w:t>Second charge mortgages</w:t>
            </w:r>
          </w:p>
        </w:tc>
        <w:tc>
          <w:tcPr>
            <w:tcW w:w="719" w:type="pct"/>
            <w:tcBorders>
              <w:top w:val="nil"/>
              <w:left w:val="nil"/>
              <w:bottom w:val="nil"/>
              <w:right w:val="nil"/>
            </w:tcBorders>
            <w:shd w:val="clear" w:color="000000" w:fill="F2F2F2"/>
            <w:vAlign w:val="center"/>
          </w:tcPr>
          <w:p w14:paraId="420D9898" w14:textId="1348BAB5"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(0.2)</w:t>
            </w:r>
          </w:p>
        </w:tc>
        <w:tc>
          <w:tcPr>
            <w:tcW w:w="719" w:type="pct"/>
            <w:tcBorders>
              <w:top w:val="nil"/>
              <w:left w:val="nil"/>
              <w:bottom w:val="nil"/>
              <w:right w:val="nil"/>
            </w:tcBorders>
            <w:shd w:val="clear" w:color="000000" w:fill="F2F2F2"/>
            <w:vAlign w:val="center"/>
          </w:tcPr>
          <w:p w14:paraId="1EA3C50E" w14:textId="682F5FE8"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(0.2)</w:t>
            </w:r>
          </w:p>
        </w:tc>
        <w:tc>
          <w:tcPr>
            <w:tcW w:w="719" w:type="pct"/>
            <w:tcBorders>
              <w:top w:val="nil"/>
              <w:left w:val="nil"/>
              <w:bottom w:val="nil"/>
              <w:right w:val="nil"/>
            </w:tcBorders>
            <w:shd w:val="clear" w:color="000000" w:fill="F2F2F2"/>
            <w:vAlign w:val="center"/>
          </w:tcPr>
          <w:p w14:paraId="0BCB68A8" w14:textId="7C7F4349"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w:t>
            </w:r>
          </w:p>
        </w:tc>
        <w:tc>
          <w:tcPr>
            <w:tcW w:w="716" w:type="pct"/>
            <w:tcBorders>
              <w:top w:val="nil"/>
              <w:left w:val="nil"/>
              <w:bottom w:val="nil"/>
              <w:right w:val="nil"/>
            </w:tcBorders>
            <w:shd w:val="clear" w:color="000000" w:fill="F2F2F2"/>
            <w:vAlign w:val="center"/>
          </w:tcPr>
          <w:p w14:paraId="157A9BD9" w14:textId="394538F6"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(0.4)</w:t>
            </w:r>
          </w:p>
        </w:tc>
      </w:tr>
      <w:tr w:rsidR="00E53444" w14:paraId="7CA6F610" w14:textId="77777777" w:rsidTr="003B7755">
        <w:trPr>
          <w:trHeight w:val="315"/>
        </w:trPr>
        <w:tc>
          <w:tcPr>
            <w:tcW w:w="2127" w:type="pct"/>
            <w:gridSpan w:val="3"/>
            <w:tcBorders>
              <w:top w:val="nil"/>
              <w:left w:val="nil"/>
              <w:bottom w:val="nil"/>
              <w:right w:val="nil"/>
            </w:tcBorders>
            <w:vAlign w:val="center"/>
            <w:hideMark/>
          </w:tcPr>
          <w:p w14:paraId="380CED6C" w14:textId="6CDB9375" w:rsidR="00E53444" w:rsidRDefault="00E53444">
            <w:pPr>
              <w:rPr>
                <w:rFonts w:ascii="Calibri" w:hAnsi="Calibri" w:cs="Calibri"/>
                <w:b/>
                <w:bCs/>
                <w:color w:val="000000"/>
                <w:sz w:val="20"/>
                <w:szCs w:val="20"/>
              </w:rPr>
            </w:pPr>
            <w:r>
              <w:rPr>
                <w:rFonts w:ascii="Calibri" w:hAnsi="Calibri" w:cs="Calibri"/>
                <w:b/>
                <w:bCs/>
                <w:color w:val="000000"/>
                <w:sz w:val="20"/>
                <w:szCs w:val="20"/>
              </w:rPr>
              <w:t>Tota</w:t>
            </w:r>
            <w:r w:rsidR="00F24860">
              <w:rPr>
                <w:rFonts w:ascii="Calibri" w:hAnsi="Calibri" w:cs="Calibri"/>
                <w:b/>
                <w:bCs/>
                <w:color w:val="000000"/>
                <w:sz w:val="20"/>
                <w:szCs w:val="20"/>
              </w:rPr>
              <w:t>l</w:t>
            </w:r>
          </w:p>
        </w:tc>
        <w:tc>
          <w:tcPr>
            <w:tcW w:w="719" w:type="pct"/>
            <w:tcBorders>
              <w:top w:val="single" w:sz="8" w:space="0" w:color="auto"/>
              <w:left w:val="nil"/>
              <w:bottom w:val="single" w:sz="8" w:space="0" w:color="auto"/>
              <w:right w:val="nil"/>
            </w:tcBorders>
            <w:shd w:val="clear" w:color="000000" w:fill="F2F2F2"/>
            <w:vAlign w:val="center"/>
          </w:tcPr>
          <w:p w14:paraId="62FD23DF" w14:textId="2FA70F82"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(96.4)</w:t>
            </w:r>
          </w:p>
        </w:tc>
        <w:tc>
          <w:tcPr>
            <w:tcW w:w="719" w:type="pct"/>
            <w:tcBorders>
              <w:top w:val="single" w:sz="8" w:space="0" w:color="auto"/>
              <w:left w:val="nil"/>
              <w:bottom w:val="single" w:sz="8" w:space="0" w:color="auto"/>
              <w:right w:val="nil"/>
            </w:tcBorders>
            <w:shd w:val="clear" w:color="000000" w:fill="F2F2F2"/>
            <w:vAlign w:val="center"/>
          </w:tcPr>
          <w:p w14:paraId="24560179" w14:textId="370AB569"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(60.7)</w:t>
            </w:r>
          </w:p>
        </w:tc>
        <w:tc>
          <w:tcPr>
            <w:tcW w:w="719" w:type="pct"/>
            <w:tcBorders>
              <w:top w:val="single" w:sz="8" w:space="0" w:color="auto"/>
              <w:left w:val="nil"/>
              <w:bottom w:val="single" w:sz="8" w:space="0" w:color="auto"/>
              <w:right w:val="nil"/>
            </w:tcBorders>
            <w:shd w:val="clear" w:color="000000" w:fill="F2F2F2"/>
            <w:vAlign w:val="center"/>
          </w:tcPr>
          <w:p w14:paraId="1283422C" w14:textId="30DE460D"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(87.6)</w:t>
            </w:r>
          </w:p>
        </w:tc>
        <w:tc>
          <w:tcPr>
            <w:tcW w:w="716" w:type="pct"/>
            <w:tcBorders>
              <w:top w:val="single" w:sz="8" w:space="0" w:color="auto"/>
              <w:left w:val="nil"/>
              <w:bottom w:val="single" w:sz="8" w:space="0" w:color="auto"/>
              <w:right w:val="nil"/>
            </w:tcBorders>
            <w:shd w:val="clear" w:color="000000" w:fill="F2F2F2"/>
            <w:vAlign w:val="center"/>
          </w:tcPr>
          <w:p w14:paraId="508E42D6" w14:textId="5A323072"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(244.7)</w:t>
            </w:r>
          </w:p>
        </w:tc>
      </w:tr>
      <w:tr w:rsidR="00E53444" w14:paraId="4233EEEC" w14:textId="77777777" w:rsidTr="003B7755">
        <w:trPr>
          <w:trHeight w:val="300"/>
        </w:trPr>
        <w:tc>
          <w:tcPr>
            <w:tcW w:w="2127" w:type="pct"/>
            <w:gridSpan w:val="3"/>
            <w:tcBorders>
              <w:top w:val="nil"/>
              <w:left w:val="nil"/>
              <w:bottom w:val="nil"/>
              <w:right w:val="nil"/>
            </w:tcBorders>
            <w:vAlign w:val="center"/>
            <w:hideMark/>
          </w:tcPr>
          <w:p w14:paraId="4E3F1E99" w14:textId="77777777" w:rsidR="00E53444" w:rsidRDefault="00E53444">
            <w:pPr>
              <w:rPr>
                <w:rFonts w:ascii="Calibri" w:hAnsi="Calibri" w:cs="Calibri"/>
                <w:b/>
                <w:bCs/>
                <w:color w:val="000000"/>
                <w:sz w:val="20"/>
                <w:szCs w:val="20"/>
              </w:rPr>
            </w:pPr>
            <w:r>
              <w:rPr>
                <w:rFonts w:ascii="Calibri" w:hAnsi="Calibri" w:cs="Calibri"/>
                <w:b/>
                <w:bCs/>
                <w:color w:val="000000"/>
                <w:sz w:val="20"/>
                <w:szCs w:val="20"/>
              </w:rPr>
              <w:t>Net receivables</w:t>
            </w:r>
          </w:p>
        </w:tc>
        <w:tc>
          <w:tcPr>
            <w:tcW w:w="719" w:type="pct"/>
            <w:tcBorders>
              <w:top w:val="nil"/>
              <w:left w:val="nil"/>
              <w:bottom w:val="nil"/>
              <w:right w:val="nil"/>
            </w:tcBorders>
            <w:shd w:val="clear" w:color="000000" w:fill="F2F2F2"/>
            <w:vAlign w:val="center"/>
          </w:tcPr>
          <w:p w14:paraId="6685BAD5" w14:textId="6D01E5DE" w:rsidR="00E53444" w:rsidRDefault="00E53444">
            <w:pPr>
              <w:jc w:val="right"/>
              <w:rPr>
                <w:rFonts w:ascii="Calibri" w:hAnsi="Calibri" w:cs="Calibri"/>
                <w:b/>
                <w:bCs/>
                <w:color w:val="000000"/>
                <w:sz w:val="20"/>
                <w:szCs w:val="20"/>
              </w:rPr>
            </w:pPr>
          </w:p>
        </w:tc>
        <w:tc>
          <w:tcPr>
            <w:tcW w:w="719" w:type="pct"/>
            <w:tcBorders>
              <w:top w:val="nil"/>
              <w:left w:val="nil"/>
              <w:bottom w:val="nil"/>
              <w:right w:val="nil"/>
            </w:tcBorders>
            <w:shd w:val="clear" w:color="000000" w:fill="F2F2F2"/>
            <w:vAlign w:val="center"/>
          </w:tcPr>
          <w:p w14:paraId="335D62C2" w14:textId="55C12053" w:rsidR="00E53444" w:rsidRDefault="00E53444">
            <w:pPr>
              <w:jc w:val="right"/>
              <w:rPr>
                <w:rFonts w:ascii="Calibri" w:hAnsi="Calibri" w:cs="Calibri"/>
                <w:b/>
                <w:bCs/>
                <w:color w:val="000000"/>
                <w:sz w:val="20"/>
                <w:szCs w:val="20"/>
              </w:rPr>
            </w:pPr>
          </w:p>
        </w:tc>
        <w:tc>
          <w:tcPr>
            <w:tcW w:w="719" w:type="pct"/>
            <w:tcBorders>
              <w:top w:val="nil"/>
              <w:left w:val="nil"/>
              <w:bottom w:val="nil"/>
              <w:right w:val="nil"/>
            </w:tcBorders>
            <w:shd w:val="clear" w:color="000000" w:fill="F2F2F2"/>
            <w:vAlign w:val="center"/>
          </w:tcPr>
          <w:p w14:paraId="20A27D1A" w14:textId="4FA05A9D" w:rsidR="00E53444" w:rsidRDefault="00E53444">
            <w:pPr>
              <w:jc w:val="right"/>
              <w:rPr>
                <w:rFonts w:ascii="Calibri" w:hAnsi="Calibri" w:cs="Calibri"/>
                <w:b/>
                <w:bCs/>
                <w:color w:val="000000"/>
                <w:sz w:val="20"/>
                <w:szCs w:val="20"/>
              </w:rPr>
            </w:pPr>
          </w:p>
        </w:tc>
        <w:tc>
          <w:tcPr>
            <w:tcW w:w="716" w:type="pct"/>
            <w:tcBorders>
              <w:top w:val="nil"/>
              <w:left w:val="nil"/>
              <w:bottom w:val="nil"/>
              <w:right w:val="nil"/>
            </w:tcBorders>
            <w:shd w:val="clear" w:color="000000" w:fill="F2F2F2"/>
            <w:vAlign w:val="center"/>
          </w:tcPr>
          <w:p w14:paraId="14A61302" w14:textId="12793985" w:rsidR="00E53444" w:rsidRDefault="00E53444">
            <w:pPr>
              <w:jc w:val="right"/>
              <w:rPr>
                <w:rFonts w:ascii="Calibri" w:hAnsi="Calibri" w:cs="Calibri"/>
                <w:b/>
                <w:bCs/>
                <w:color w:val="000000"/>
                <w:sz w:val="20"/>
                <w:szCs w:val="20"/>
              </w:rPr>
            </w:pPr>
          </w:p>
        </w:tc>
      </w:tr>
      <w:tr w:rsidR="00E53444" w14:paraId="621C37BC" w14:textId="77777777" w:rsidTr="003B7755">
        <w:trPr>
          <w:trHeight w:val="300"/>
        </w:trPr>
        <w:tc>
          <w:tcPr>
            <w:tcW w:w="2127" w:type="pct"/>
            <w:gridSpan w:val="3"/>
            <w:tcBorders>
              <w:top w:val="nil"/>
              <w:left w:val="nil"/>
              <w:bottom w:val="nil"/>
              <w:right w:val="nil"/>
            </w:tcBorders>
            <w:vAlign w:val="center"/>
            <w:hideMark/>
          </w:tcPr>
          <w:p w14:paraId="5D619A3E" w14:textId="77777777" w:rsidR="00E53444" w:rsidRDefault="00E53444">
            <w:pPr>
              <w:rPr>
                <w:rFonts w:ascii="Calibri" w:hAnsi="Calibri" w:cs="Calibri"/>
                <w:color w:val="000000"/>
                <w:sz w:val="20"/>
                <w:szCs w:val="20"/>
              </w:rPr>
            </w:pPr>
            <w:r>
              <w:rPr>
                <w:rFonts w:ascii="Calibri" w:hAnsi="Calibri" w:cs="Calibri"/>
                <w:color w:val="000000"/>
                <w:sz w:val="20"/>
                <w:szCs w:val="20"/>
              </w:rPr>
              <w:t>Credit cards</w:t>
            </w:r>
          </w:p>
        </w:tc>
        <w:tc>
          <w:tcPr>
            <w:tcW w:w="719" w:type="pct"/>
            <w:tcBorders>
              <w:top w:val="nil"/>
              <w:left w:val="nil"/>
              <w:bottom w:val="nil"/>
              <w:right w:val="nil"/>
            </w:tcBorders>
            <w:shd w:val="clear" w:color="000000" w:fill="F2F2F2"/>
            <w:vAlign w:val="center"/>
          </w:tcPr>
          <w:p w14:paraId="04671372" w14:textId="70D0A3F2"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1,137.3</w:t>
            </w:r>
          </w:p>
        </w:tc>
        <w:tc>
          <w:tcPr>
            <w:tcW w:w="719" w:type="pct"/>
            <w:tcBorders>
              <w:top w:val="nil"/>
              <w:left w:val="nil"/>
              <w:bottom w:val="nil"/>
              <w:right w:val="nil"/>
            </w:tcBorders>
            <w:shd w:val="clear" w:color="000000" w:fill="F2F2F2"/>
            <w:vAlign w:val="center"/>
          </w:tcPr>
          <w:p w14:paraId="0161A481" w14:textId="0F2E6B76"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67.7</w:t>
            </w:r>
          </w:p>
        </w:tc>
        <w:tc>
          <w:tcPr>
            <w:tcW w:w="719" w:type="pct"/>
            <w:tcBorders>
              <w:top w:val="nil"/>
              <w:left w:val="nil"/>
              <w:bottom w:val="nil"/>
              <w:right w:val="nil"/>
            </w:tcBorders>
            <w:shd w:val="clear" w:color="000000" w:fill="F2F2F2"/>
            <w:vAlign w:val="center"/>
          </w:tcPr>
          <w:p w14:paraId="19F0A329" w14:textId="02DD3AC1"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26.9</w:t>
            </w:r>
          </w:p>
        </w:tc>
        <w:tc>
          <w:tcPr>
            <w:tcW w:w="716" w:type="pct"/>
            <w:tcBorders>
              <w:top w:val="nil"/>
              <w:left w:val="nil"/>
              <w:bottom w:val="nil"/>
              <w:right w:val="nil"/>
            </w:tcBorders>
            <w:shd w:val="clear" w:color="000000" w:fill="F2F2F2"/>
            <w:vAlign w:val="center"/>
          </w:tcPr>
          <w:p w14:paraId="3FB01B83" w14:textId="7C23AA05"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1,231.9</w:t>
            </w:r>
          </w:p>
        </w:tc>
      </w:tr>
      <w:tr w:rsidR="00E53444" w14:paraId="68DBFF17" w14:textId="77777777" w:rsidTr="003B7755">
        <w:trPr>
          <w:trHeight w:val="300"/>
        </w:trPr>
        <w:tc>
          <w:tcPr>
            <w:tcW w:w="2127" w:type="pct"/>
            <w:gridSpan w:val="3"/>
            <w:tcBorders>
              <w:top w:val="nil"/>
              <w:left w:val="nil"/>
              <w:bottom w:val="nil"/>
              <w:right w:val="nil"/>
            </w:tcBorders>
            <w:vAlign w:val="center"/>
            <w:hideMark/>
          </w:tcPr>
          <w:p w14:paraId="6F92FFDC" w14:textId="77777777" w:rsidR="00E53444" w:rsidRDefault="00E53444">
            <w:pPr>
              <w:rPr>
                <w:rFonts w:ascii="Calibri" w:hAnsi="Calibri" w:cs="Calibri"/>
                <w:color w:val="000000"/>
                <w:sz w:val="20"/>
                <w:szCs w:val="20"/>
              </w:rPr>
            </w:pPr>
            <w:r>
              <w:rPr>
                <w:rFonts w:ascii="Calibri" w:hAnsi="Calibri" w:cs="Calibri"/>
                <w:color w:val="000000"/>
                <w:sz w:val="20"/>
                <w:szCs w:val="20"/>
              </w:rPr>
              <w:t>Vehicle finance</w:t>
            </w:r>
          </w:p>
        </w:tc>
        <w:tc>
          <w:tcPr>
            <w:tcW w:w="719" w:type="pct"/>
            <w:tcBorders>
              <w:top w:val="nil"/>
              <w:left w:val="nil"/>
              <w:bottom w:val="nil"/>
              <w:right w:val="nil"/>
            </w:tcBorders>
            <w:shd w:val="clear" w:color="000000" w:fill="F2F2F2"/>
            <w:vAlign w:val="center"/>
          </w:tcPr>
          <w:p w14:paraId="756E8F95" w14:textId="7F3E6C97"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564.7</w:t>
            </w:r>
          </w:p>
        </w:tc>
        <w:tc>
          <w:tcPr>
            <w:tcW w:w="719" w:type="pct"/>
            <w:tcBorders>
              <w:top w:val="nil"/>
              <w:left w:val="nil"/>
              <w:bottom w:val="nil"/>
              <w:right w:val="nil"/>
            </w:tcBorders>
            <w:shd w:val="clear" w:color="000000" w:fill="F2F2F2"/>
            <w:vAlign w:val="center"/>
          </w:tcPr>
          <w:p w14:paraId="2D87404A" w14:textId="18D8C77B"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98.4</w:t>
            </w:r>
          </w:p>
        </w:tc>
        <w:tc>
          <w:tcPr>
            <w:tcW w:w="719" w:type="pct"/>
            <w:tcBorders>
              <w:top w:val="nil"/>
              <w:left w:val="nil"/>
              <w:bottom w:val="nil"/>
              <w:right w:val="nil"/>
            </w:tcBorders>
            <w:shd w:val="clear" w:color="000000" w:fill="F2F2F2"/>
            <w:vAlign w:val="center"/>
          </w:tcPr>
          <w:p w14:paraId="38BA25C8" w14:textId="4F697F71"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45.9</w:t>
            </w:r>
          </w:p>
        </w:tc>
        <w:tc>
          <w:tcPr>
            <w:tcW w:w="716" w:type="pct"/>
            <w:tcBorders>
              <w:top w:val="nil"/>
              <w:left w:val="nil"/>
              <w:bottom w:val="nil"/>
              <w:right w:val="nil"/>
            </w:tcBorders>
            <w:shd w:val="clear" w:color="000000" w:fill="F2F2F2"/>
            <w:vAlign w:val="center"/>
          </w:tcPr>
          <w:p w14:paraId="58484DC2" w14:textId="1D4AF003"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709.0</w:t>
            </w:r>
          </w:p>
        </w:tc>
      </w:tr>
      <w:tr w:rsidR="00E53444" w14:paraId="4B45EE24" w14:textId="77777777" w:rsidTr="003B7755">
        <w:trPr>
          <w:trHeight w:val="315"/>
        </w:trPr>
        <w:tc>
          <w:tcPr>
            <w:tcW w:w="2127" w:type="pct"/>
            <w:gridSpan w:val="3"/>
            <w:tcBorders>
              <w:top w:val="nil"/>
              <w:left w:val="nil"/>
              <w:bottom w:val="nil"/>
              <w:right w:val="nil"/>
            </w:tcBorders>
            <w:vAlign w:val="center"/>
            <w:hideMark/>
          </w:tcPr>
          <w:p w14:paraId="4E4E5999" w14:textId="77777777" w:rsidR="00E53444" w:rsidRDefault="00E53444">
            <w:pPr>
              <w:rPr>
                <w:rFonts w:ascii="Calibri" w:hAnsi="Calibri" w:cs="Calibri"/>
                <w:color w:val="000000"/>
                <w:sz w:val="20"/>
                <w:szCs w:val="20"/>
              </w:rPr>
            </w:pPr>
            <w:r>
              <w:rPr>
                <w:rFonts w:ascii="Calibri" w:hAnsi="Calibri" w:cs="Calibri"/>
                <w:color w:val="000000"/>
                <w:sz w:val="20"/>
                <w:szCs w:val="20"/>
              </w:rPr>
              <w:t>Second charge mortgages</w:t>
            </w:r>
          </w:p>
        </w:tc>
        <w:tc>
          <w:tcPr>
            <w:tcW w:w="719" w:type="pct"/>
            <w:tcBorders>
              <w:top w:val="nil"/>
              <w:left w:val="nil"/>
              <w:bottom w:val="nil"/>
              <w:right w:val="nil"/>
            </w:tcBorders>
            <w:shd w:val="clear" w:color="000000" w:fill="F2F2F2"/>
            <w:vAlign w:val="center"/>
          </w:tcPr>
          <w:p w14:paraId="2ED01ED2" w14:textId="5EE67463"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381.3</w:t>
            </w:r>
          </w:p>
        </w:tc>
        <w:tc>
          <w:tcPr>
            <w:tcW w:w="719" w:type="pct"/>
            <w:tcBorders>
              <w:top w:val="nil"/>
              <w:left w:val="nil"/>
              <w:bottom w:val="nil"/>
              <w:right w:val="nil"/>
            </w:tcBorders>
            <w:shd w:val="clear" w:color="000000" w:fill="F2F2F2"/>
            <w:vAlign w:val="center"/>
          </w:tcPr>
          <w:p w14:paraId="013B28C6" w14:textId="4A0BD6E0"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2.7</w:t>
            </w:r>
          </w:p>
        </w:tc>
        <w:tc>
          <w:tcPr>
            <w:tcW w:w="719" w:type="pct"/>
            <w:tcBorders>
              <w:top w:val="nil"/>
              <w:left w:val="nil"/>
              <w:bottom w:val="nil"/>
              <w:right w:val="nil"/>
            </w:tcBorders>
            <w:shd w:val="clear" w:color="000000" w:fill="F2F2F2"/>
            <w:vAlign w:val="center"/>
          </w:tcPr>
          <w:p w14:paraId="5597D62C" w14:textId="433F3235"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0.5</w:t>
            </w:r>
          </w:p>
        </w:tc>
        <w:tc>
          <w:tcPr>
            <w:tcW w:w="716" w:type="pct"/>
            <w:tcBorders>
              <w:top w:val="nil"/>
              <w:left w:val="nil"/>
              <w:bottom w:val="nil"/>
              <w:right w:val="nil"/>
            </w:tcBorders>
            <w:shd w:val="clear" w:color="000000" w:fill="F2F2F2"/>
            <w:vAlign w:val="center"/>
          </w:tcPr>
          <w:p w14:paraId="3D003033" w14:textId="6A75E522" w:rsidR="00E53444" w:rsidRPr="00C515CD" w:rsidRDefault="00A20307">
            <w:pPr>
              <w:jc w:val="right"/>
              <w:rPr>
                <w:rFonts w:ascii="Calibri" w:hAnsi="Calibri" w:cs="Calibri"/>
                <w:color w:val="000000"/>
                <w:sz w:val="20"/>
                <w:szCs w:val="20"/>
              </w:rPr>
            </w:pPr>
            <w:r>
              <w:rPr>
                <w:rFonts w:ascii="Calibri" w:hAnsi="Calibri" w:cs="Calibri"/>
                <w:color w:val="000000"/>
                <w:sz w:val="20"/>
                <w:szCs w:val="20"/>
              </w:rPr>
              <w:t>384.5</w:t>
            </w:r>
          </w:p>
        </w:tc>
      </w:tr>
      <w:tr w:rsidR="00E53444" w14:paraId="1331D8DB" w14:textId="77777777" w:rsidTr="003B7755">
        <w:trPr>
          <w:trHeight w:val="315"/>
        </w:trPr>
        <w:tc>
          <w:tcPr>
            <w:tcW w:w="2127" w:type="pct"/>
            <w:gridSpan w:val="3"/>
            <w:tcBorders>
              <w:top w:val="nil"/>
              <w:left w:val="nil"/>
              <w:bottom w:val="nil"/>
              <w:right w:val="nil"/>
            </w:tcBorders>
            <w:vAlign w:val="center"/>
            <w:hideMark/>
          </w:tcPr>
          <w:p w14:paraId="54CDBE35" w14:textId="3BF8801F" w:rsidR="00E53444" w:rsidRDefault="00E53444">
            <w:pPr>
              <w:rPr>
                <w:rFonts w:ascii="Calibri" w:hAnsi="Calibri" w:cs="Calibri"/>
                <w:b/>
                <w:bCs/>
                <w:color w:val="000000"/>
                <w:sz w:val="20"/>
                <w:szCs w:val="20"/>
              </w:rPr>
            </w:pPr>
            <w:r>
              <w:rPr>
                <w:rFonts w:ascii="Calibri" w:hAnsi="Calibri" w:cs="Calibri"/>
                <w:b/>
                <w:bCs/>
                <w:color w:val="000000"/>
                <w:sz w:val="20"/>
                <w:szCs w:val="20"/>
              </w:rPr>
              <w:t>Total</w:t>
            </w:r>
          </w:p>
        </w:tc>
        <w:tc>
          <w:tcPr>
            <w:tcW w:w="719" w:type="pct"/>
            <w:tcBorders>
              <w:top w:val="single" w:sz="8" w:space="0" w:color="auto"/>
              <w:left w:val="nil"/>
              <w:bottom w:val="single" w:sz="8" w:space="0" w:color="auto"/>
              <w:right w:val="nil"/>
            </w:tcBorders>
            <w:shd w:val="clear" w:color="000000" w:fill="F2F2F2"/>
            <w:vAlign w:val="center"/>
          </w:tcPr>
          <w:p w14:paraId="7406DD01" w14:textId="47E426F0"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2,083.3</w:t>
            </w:r>
          </w:p>
        </w:tc>
        <w:tc>
          <w:tcPr>
            <w:tcW w:w="719" w:type="pct"/>
            <w:tcBorders>
              <w:top w:val="single" w:sz="8" w:space="0" w:color="auto"/>
              <w:left w:val="nil"/>
              <w:bottom w:val="single" w:sz="8" w:space="0" w:color="auto"/>
              <w:right w:val="nil"/>
            </w:tcBorders>
            <w:shd w:val="clear" w:color="000000" w:fill="F2F2F2"/>
            <w:vAlign w:val="center"/>
          </w:tcPr>
          <w:p w14:paraId="465962D4" w14:textId="16B69A02"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168.8</w:t>
            </w:r>
          </w:p>
        </w:tc>
        <w:tc>
          <w:tcPr>
            <w:tcW w:w="719" w:type="pct"/>
            <w:tcBorders>
              <w:top w:val="single" w:sz="8" w:space="0" w:color="auto"/>
              <w:left w:val="nil"/>
              <w:bottom w:val="single" w:sz="8" w:space="0" w:color="auto"/>
              <w:right w:val="nil"/>
            </w:tcBorders>
            <w:shd w:val="clear" w:color="000000" w:fill="F2F2F2"/>
            <w:vAlign w:val="center"/>
          </w:tcPr>
          <w:p w14:paraId="6E313568" w14:textId="763F09E0"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73.3</w:t>
            </w:r>
          </w:p>
        </w:tc>
        <w:tc>
          <w:tcPr>
            <w:tcW w:w="716" w:type="pct"/>
            <w:tcBorders>
              <w:top w:val="single" w:sz="8" w:space="0" w:color="auto"/>
              <w:left w:val="nil"/>
              <w:bottom w:val="single" w:sz="8" w:space="0" w:color="auto"/>
              <w:right w:val="nil"/>
            </w:tcBorders>
            <w:shd w:val="clear" w:color="000000" w:fill="F2F2F2"/>
            <w:vAlign w:val="center"/>
          </w:tcPr>
          <w:p w14:paraId="70DAC12D" w14:textId="6B6ADDB1" w:rsidR="00E53444" w:rsidRDefault="00A20307">
            <w:pPr>
              <w:jc w:val="right"/>
              <w:rPr>
                <w:rFonts w:ascii="Calibri" w:hAnsi="Calibri" w:cs="Calibri"/>
                <w:b/>
                <w:bCs/>
                <w:color w:val="000000"/>
                <w:sz w:val="20"/>
                <w:szCs w:val="20"/>
              </w:rPr>
            </w:pPr>
            <w:r>
              <w:rPr>
                <w:rFonts w:ascii="Calibri" w:hAnsi="Calibri" w:cs="Calibri"/>
                <w:b/>
                <w:bCs/>
                <w:color w:val="000000"/>
                <w:sz w:val="20"/>
                <w:szCs w:val="20"/>
              </w:rPr>
              <w:t>2,325.4</w:t>
            </w:r>
          </w:p>
        </w:tc>
      </w:tr>
    </w:tbl>
    <w:p w14:paraId="584E7AA4" w14:textId="16581D01" w:rsidR="00170439" w:rsidRDefault="00170439" w:rsidP="000236D8">
      <w:pPr>
        <w:ind w:left="567" w:hanging="567"/>
        <w:rPr>
          <w:rFonts w:asciiTheme="minorHAnsi" w:hAnsiTheme="minorHAnsi" w:cs="Arial"/>
          <w:b/>
          <w:color w:val="4747FF"/>
          <w:sz w:val="22"/>
          <w:szCs w:val="22"/>
        </w:rPr>
      </w:pPr>
    </w:p>
    <w:p w14:paraId="1191B032" w14:textId="77777777" w:rsidR="00B5640B" w:rsidRPr="00AD61D8" w:rsidRDefault="00B5640B" w:rsidP="000236D8">
      <w:pPr>
        <w:ind w:left="567" w:hanging="567"/>
        <w:rPr>
          <w:rFonts w:asciiTheme="minorHAnsi" w:hAnsiTheme="minorHAnsi" w:cs="Arial"/>
          <w:b/>
          <w:color w:val="4747FF"/>
          <w:sz w:val="22"/>
          <w:szCs w:val="22"/>
        </w:rPr>
      </w:pPr>
    </w:p>
    <w:tbl>
      <w:tblPr>
        <w:tblW w:w="5067" w:type="pct"/>
        <w:tblLook w:val="04A0" w:firstRow="1" w:lastRow="0" w:firstColumn="1" w:lastColumn="0" w:noHBand="0" w:noVBand="1"/>
      </w:tblPr>
      <w:tblGrid>
        <w:gridCol w:w="1379"/>
        <w:gridCol w:w="1411"/>
        <w:gridCol w:w="1383"/>
        <w:gridCol w:w="1419"/>
        <w:gridCol w:w="1421"/>
        <w:gridCol w:w="1421"/>
        <w:gridCol w:w="1409"/>
        <w:gridCol w:w="10"/>
      </w:tblGrid>
      <w:tr w:rsidR="00BA214E" w14:paraId="1CAFCCEC" w14:textId="77777777" w:rsidTr="00170439">
        <w:trPr>
          <w:gridAfter w:val="1"/>
          <w:wAfter w:w="9" w:type="pct"/>
          <w:trHeight w:val="279"/>
        </w:trPr>
        <w:tc>
          <w:tcPr>
            <w:tcW w:w="1416" w:type="pct"/>
            <w:gridSpan w:val="2"/>
            <w:tcBorders>
              <w:top w:val="nil"/>
              <w:left w:val="nil"/>
              <w:bottom w:val="nil"/>
              <w:right w:val="nil"/>
            </w:tcBorders>
            <w:vAlign w:val="center"/>
            <w:hideMark/>
          </w:tcPr>
          <w:p w14:paraId="2CEB1D19" w14:textId="77777777" w:rsidR="00BA214E" w:rsidRDefault="00BA214E">
            <w:pPr>
              <w:rPr>
                <w:sz w:val="20"/>
                <w:szCs w:val="20"/>
              </w:rPr>
            </w:pPr>
          </w:p>
        </w:tc>
        <w:tc>
          <w:tcPr>
            <w:tcW w:w="702" w:type="pct"/>
            <w:tcBorders>
              <w:top w:val="nil"/>
              <w:left w:val="nil"/>
              <w:bottom w:val="nil"/>
              <w:right w:val="nil"/>
            </w:tcBorders>
            <w:noWrap/>
            <w:vAlign w:val="bottom"/>
            <w:hideMark/>
          </w:tcPr>
          <w:p w14:paraId="52C820B9" w14:textId="77777777" w:rsidR="00BA214E" w:rsidRDefault="00BA214E">
            <w:pPr>
              <w:rPr>
                <w:sz w:val="20"/>
                <w:szCs w:val="20"/>
              </w:rPr>
            </w:pPr>
          </w:p>
        </w:tc>
        <w:tc>
          <w:tcPr>
            <w:tcW w:w="2874" w:type="pct"/>
            <w:gridSpan w:val="4"/>
            <w:tcBorders>
              <w:top w:val="nil"/>
              <w:left w:val="nil"/>
              <w:bottom w:val="nil"/>
              <w:right w:val="nil"/>
            </w:tcBorders>
            <w:vAlign w:val="center"/>
            <w:hideMark/>
          </w:tcPr>
          <w:p w14:paraId="629C2E79" w14:textId="58AD46AC" w:rsidR="00BA214E" w:rsidRDefault="00BA214E">
            <w:pPr>
              <w:jc w:val="center"/>
              <w:rPr>
                <w:rFonts w:ascii="Calibri" w:hAnsi="Calibri" w:cs="Calibri"/>
                <w:color w:val="000000"/>
                <w:sz w:val="20"/>
                <w:szCs w:val="20"/>
              </w:rPr>
            </w:pPr>
            <w:r>
              <w:rPr>
                <w:rFonts w:ascii="Calibri" w:hAnsi="Calibri" w:cs="Calibri"/>
                <w:color w:val="000000"/>
                <w:sz w:val="20"/>
                <w:szCs w:val="20"/>
              </w:rPr>
              <w:t>31 December 202</w:t>
            </w:r>
            <w:r w:rsidR="00421D79">
              <w:rPr>
                <w:rFonts w:ascii="Calibri" w:hAnsi="Calibri" w:cs="Calibri"/>
                <w:color w:val="000000"/>
                <w:sz w:val="20"/>
                <w:szCs w:val="20"/>
              </w:rPr>
              <w:t>4</w:t>
            </w:r>
            <w:r w:rsidR="00A93B17">
              <w:rPr>
                <w:rFonts w:ascii="Calibri" w:hAnsi="Calibri" w:cs="Calibri"/>
                <w:color w:val="000000"/>
                <w:sz w:val="20"/>
                <w:szCs w:val="20"/>
              </w:rPr>
              <w:t xml:space="preserve"> audited</w:t>
            </w:r>
            <w:r>
              <w:rPr>
                <w:rFonts w:ascii="Calibri" w:hAnsi="Calibri" w:cs="Calibri"/>
                <w:color w:val="000000"/>
                <w:sz w:val="20"/>
                <w:szCs w:val="20"/>
              </w:rPr>
              <w:t xml:space="preserve"> </w:t>
            </w:r>
          </w:p>
        </w:tc>
      </w:tr>
      <w:tr w:rsidR="00BA214E" w14:paraId="33C7BCF4" w14:textId="77777777" w:rsidTr="00170439">
        <w:trPr>
          <w:gridAfter w:val="1"/>
          <w:wAfter w:w="9" w:type="pct"/>
          <w:trHeight w:val="279"/>
        </w:trPr>
        <w:tc>
          <w:tcPr>
            <w:tcW w:w="2118" w:type="pct"/>
            <w:gridSpan w:val="3"/>
            <w:tcBorders>
              <w:top w:val="nil"/>
              <w:left w:val="nil"/>
              <w:bottom w:val="nil"/>
              <w:right w:val="nil"/>
            </w:tcBorders>
            <w:vAlign w:val="center"/>
            <w:hideMark/>
          </w:tcPr>
          <w:p w14:paraId="1F5541F8" w14:textId="77777777" w:rsidR="00BA214E" w:rsidRDefault="00BA214E">
            <w:pPr>
              <w:jc w:val="center"/>
              <w:rPr>
                <w:rFonts w:ascii="Calibri" w:hAnsi="Calibri" w:cs="Calibri"/>
                <w:color w:val="000000"/>
                <w:sz w:val="20"/>
                <w:szCs w:val="20"/>
              </w:rPr>
            </w:pPr>
          </w:p>
        </w:tc>
        <w:tc>
          <w:tcPr>
            <w:tcW w:w="719" w:type="pct"/>
            <w:tcBorders>
              <w:top w:val="nil"/>
              <w:left w:val="nil"/>
              <w:bottom w:val="nil"/>
              <w:right w:val="nil"/>
            </w:tcBorders>
            <w:vAlign w:val="center"/>
            <w:hideMark/>
          </w:tcPr>
          <w:p w14:paraId="24D07E78" w14:textId="77777777" w:rsidR="00BA214E" w:rsidRDefault="00BA214E">
            <w:pPr>
              <w:jc w:val="right"/>
              <w:rPr>
                <w:rFonts w:ascii="Calibri" w:hAnsi="Calibri" w:cs="Calibri"/>
                <w:color w:val="000000"/>
                <w:sz w:val="20"/>
                <w:szCs w:val="20"/>
              </w:rPr>
            </w:pPr>
            <w:r>
              <w:rPr>
                <w:rFonts w:ascii="Calibri" w:hAnsi="Calibri" w:cs="Calibri"/>
                <w:color w:val="000000"/>
                <w:sz w:val="20"/>
                <w:szCs w:val="20"/>
              </w:rPr>
              <w:t>Stage 1 </w:t>
            </w:r>
          </w:p>
        </w:tc>
        <w:tc>
          <w:tcPr>
            <w:tcW w:w="720" w:type="pct"/>
            <w:tcBorders>
              <w:top w:val="nil"/>
              <w:left w:val="nil"/>
              <w:bottom w:val="nil"/>
              <w:right w:val="nil"/>
            </w:tcBorders>
            <w:vAlign w:val="center"/>
            <w:hideMark/>
          </w:tcPr>
          <w:p w14:paraId="6D907DFC" w14:textId="77777777" w:rsidR="00BA214E" w:rsidRDefault="00BA214E">
            <w:pPr>
              <w:jc w:val="right"/>
              <w:rPr>
                <w:rFonts w:ascii="Calibri" w:hAnsi="Calibri" w:cs="Calibri"/>
                <w:color w:val="000000"/>
                <w:sz w:val="20"/>
                <w:szCs w:val="20"/>
              </w:rPr>
            </w:pPr>
            <w:r>
              <w:rPr>
                <w:rFonts w:ascii="Calibri" w:hAnsi="Calibri" w:cs="Calibri"/>
                <w:color w:val="000000"/>
                <w:sz w:val="20"/>
                <w:szCs w:val="20"/>
              </w:rPr>
              <w:t>Stage 2  </w:t>
            </w:r>
          </w:p>
        </w:tc>
        <w:tc>
          <w:tcPr>
            <w:tcW w:w="721" w:type="pct"/>
            <w:tcBorders>
              <w:top w:val="nil"/>
              <w:left w:val="nil"/>
              <w:bottom w:val="nil"/>
              <w:right w:val="nil"/>
            </w:tcBorders>
            <w:vAlign w:val="center"/>
            <w:hideMark/>
          </w:tcPr>
          <w:p w14:paraId="5B3E15D2" w14:textId="77777777" w:rsidR="00BA214E" w:rsidRDefault="00BA214E">
            <w:pPr>
              <w:jc w:val="right"/>
              <w:rPr>
                <w:rFonts w:ascii="Calibri" w:hAnsi="Calibri" w:cs="Calibri"/>
                <w:color w:val="000000"/>
                <w:sz w:val="20"/>
                <w:szCs w:val="20"/>
              </w:rPr>
            </w:pPr>
            <w:r>
              <w:rPr>
                <w:rFonts w:ascii="Calibri" w:hAnsi="Calibri" w:cs="Calibri"/>
                <w:color w:val="000000"/>
                <w:sz w:val="20"/>
                <w:szCs w:val="20"/>
              </w:rPr>
              <w:t>Stage 3 </w:t>
            </w:r>
          </w:p>
        </w:tc>
        <w:tc>
          <w:tcPr>
            <w:tcW w:w="715" w:type="pct"/>
            <w:tcBorders>
              <w:top w:val="nil"/>
              <w:left w:val="nil"/>
              <w:bottom w:val="nil"/>
              <w:right w:val="nil"/>
            </w:tcBorders>
            <w:vAlign w:val="center"/>
            <w:hideMark/>
          </w:tcPr>
          <w:p w14:paraId="77D7FB11" w14:textId="77777777" w:rsidR="00BA214E" w:rsidRDefault="00BA214E">
            <w:pPr>
              <w:rPr>
                <w:rFonts w:ascii="Calibri" w:hAnsi="Calibri" w:cs="Calibri"/>
                <w:color w:val="000000"/>
                <w:sz w:val="20"/>
                <w:szCs w:val="20"/>
              </w:rPr>
            </w:pPr>
            <w:r>
              <w:rPr>
                <w:rFonts w:ascii="Calibri" w:hAnsi="Calibri" w:cs="Calibri"/>
                <w:color w:val="000000"/>
                <w:sz w:val="20"/>
                <w:szCs w:val="20"/>
              </w:rPr>
              <w:t>Total </w:t>
            </w:r>
          </w:p>
        </w:tc>
      </w:tr>
      <w:tr w:rsidR="00BA214E" w14:paraId="40ABE7F7" w14:textId="77777777" w:rsidTr="00170439">
        <w:trPr>
          <w:gridAfter w:val="1"/>
          <w:wAfter w:w="9" w:type="pct"/>
          <w:trHeight w:val="294"/>
        </w:trPr>
        <w:tc>
          <w:tcPr>
            <w:tcW w:w="2118" w:type="pct"/>
            <w:gridSpan w:val="3"/>
            <w:tcBorders>
              <w:top w:val="nil"/>
              <w:left w:val="nil"/>
              <w:bottom w:val="nil"/>
              <w:right w:val="nil"/>
            </w:tcBorders>
            <w:vAlign w:val="center"/>
            <w:hideMark/>
          </w:tcPr>
          <w:p w14:paraId="10A8A733" w14:textId="77777777" w:rsidR="00BA214E" w:rsidRDefault="00BA214E">
            <w:pPr>
              <w:rPr>
                <w:rFonts w:ascii="Calibri" w:hAnsi="Calibri" w:cs="Calibri"/>
                <w:color w:val="000000"/>
                <w:sz w:val="20"/>
                <w:szCs w:val="20"/>
              </w:rPr>
            </w:pPr>
          </w:p>
        </w:tc>
        <w:tc>
          <w:tcPr>
            <w:tcW w:w="719" w:type="pct"/>
            <w:tcBorders>
              <w:top w:val="nil"/>
              <w:left w:val="nil"/>
              <w:bottom w:val="single" w:sz="8" w:space="0" w:color="auto"/>
              <w:right w:val="nil"/>
            </w:tcBorders>
            <w:vAlign w:val="center"/>
            <w:hideMark/>
          </w:tcPr>
          <w:p w14:paraId="3122F8BD" w14:textId="77777777" w:rsidR="00BA214E" w:rsidRDefault="00BA214E">
            <w:pPr>
              <w:jc w:val="right"/>
              <w:rPr>
                <w:rFonts w:ascii="Calibri" w:hAnsi="Calibri" w:cs="Calibri"/>
                <w:color w:val="000000"/>
                <w:sz w:val="20"/>
                <w:szCs w:val="20"/>
              </w:rPr>
            </w:pPr>
            <w:r>
              <w:rPr>
                <w:rFonts w:ascii="Calibri" w:hAnsi="Calibri" w:cs="Calibri"/>
                <w:color w:val="000000"/>
                <w:sz w:val="20"/>
                <w:szCs w:val="20"/>
              </w:rPr>
              <w:t>£m </w:t>
            </w:r>
          </w:p>
        </w:tc>
        <w:tc>
          <w:tcPr>
            <w:tcW w:w="720" w:type="pct"/>
            <w:tcBorders>
              <w:top w:val="nil"/>
              <w:left w:val="nil"/>
              <w:bottom w:val="single" w:sz="8" w:space="0" w:color="auto"/>
              <w:right w:val="nil"/>
            </w:tcBorders>
            <w:vAlign w:val="center"/>
            <w:hideMark/>
          </w:tcPr>
          <w:p w14:paraId="25AD40C1" w14:textId="77777777" w:rsidR="00BA214E" w:rsidRDefault="00BA214E">
            <w:pPr>
              <w:jc w:val="right"/>
              <w:rPr>
                <w:rFonts w:ascii="Calibri" w:hAnsi="Calibri" w:cs="Calibri"/>
                <w:color w:val="000000"/>
                <w:sz w:val="20"/>
                <w:szCs w:val="20"/>
              </w:rPr>
            </w:pPr>
            <w:r>
              <w:rPr>
                <w:rFonts w:ascii="Calibri" w:hAnsi="Calibri" w:cs="Calibri"/>
                <w:color w:val="000000"/>
                <w:sz w:val="20"/>
                <w:szCs w:val="20"/>
              </w:rPr>
              <w:t>£m  </w:t>
            </w:r>
          </w:p>
        </w:tc>
        <w:tc>
          <w:tcPr>
            <w:tcW w:w="721" w:type="pct"/>
            <w:tcBorders>
              <w:top w:val="nil"/>
              <w:left w:val="nil"/>
              <w:bottom w:val="single" w:sz="8" w:space="0" w:color="auto"/>
              <w:right w:val="nil"/>
            </w:tcBorders>
            <w:vAlign w:val="center"/>
            <w:hideMark/>
          </w:tcPr>
          <w:p w14:paraId="0299FAA4" w14:textId="77777777" w:rsidR="00BA214E" w:rsidRDefault="00BA214E">
            <w:pPr>
              <w:jc w:val="right"/>
              <w:rPr>
                <w:rFonts w:ascii="Calibri" w:hAnsi="Calibri" w:cs="Calibri"/>
                <w:color w:val="000000"/>
                <w:sz w:val="20"/>
                <w:szCs w:val="20"/>
              </w:rPr>
            </w:pPr>
            <w:r>
              <w:rPr>
                <w:rFonts w:ascii="Calibri" w:hAnsi="Calibri" w:cs="Calibri"/>
                <w:color w:val="000000"/>
                <w:sz w:val="20"/>
                <w:szCs w:val="20"/>
              </w:rPr>
              <w:t>£m </w:t>
            </w:r>
          </w:p>
        </w:tc>
        <w:tc>
          <w:tcPr>
            <w:tcW w:w="715" w:type="pct"/>
            <w:tcBorders>
              <w:top w:val="nil"/>
              <w:left w:val="nil"/>
              <w:bottom w:val="single" w:sz="8" w:space="0" w:color="auto"/>
              <w:right w:val="nil"/>
            </w:tcBorders>
            <w:vAlign w:val="center"/>
            <w:hideMark/>
          </w:tcPr>
          <w:p w14:paraId="683126D7" w14:textId="77777777" w:rsidR="00BA214E" w:rsidRDefault="00BA214E">
            <w:pPr>
              <w:rPr>
                <w:rFonts w:ascii="Calibri" w:hAnsi="Calibri" w:cs="Calibri"/>
                <w:color w:val="000000"/>
                <w:sz w:val="20"/>
                <w:szCs w:val="20"/>
              </w:rPr>
            </w:pPr>
            <w:r>
              <w:rPr>
                <w:rFonts w:ascii="Calibri" w:hAnsi="Calibri" w:cs="Calibri"/>
                <w:color w:val="000000"/>
                <w:sz w:val="20"/>
                <w:szCs w:val="20"/>
              </w:rPr>
              <w:t>£m </w:t>
            </w:r>
          </w:p>
        </w:tc>
      </w:tr>
      <w:tr w:rsidR="00BA214E" w14:paraId="7428C768" w14:textId="77777777" w:rsidTr="00170439">
        <w:trPr>
          <w:gridAfter w:val="1"/>
          <w:wAfter w:w="9" w:type="pct"/>
          <w:trHeight w:val="279"/>
        </w:trPr>
        <w:tc>
          <w:tcPr>
            <w:tcW w:w="2118" w:type="pct"/>
            <w:gridSpan w:val="3"/>
            <w:tcBorders>
              <w:top w:val="nil"/>
              <w:left w:val="nil"/>
              <w:bottom w:val="nil"/>
              <w:right w:val="nil"/>
            </w:tcBorders>
            <w:vAlign w:val="center"/>
            <w:hideMark/>
          </w:tcPr>
          <w:p w14:paraId="1DEEC1C1" w14:textId="77777777" w:rsidR="00BA214E" w:rsidRDefault="00BA214E">
            <w:pPr>
              <w:rPr>
                <w:rFonts w:ascii="Calibri" w:hAnsi="Calibri" w:cs="Calibri"/>
                <w:b/>
                <w:bCs/>
                <w:color w:val="000000"/>
                <w:sz w:val="20"/>
                <w:szCs w:val="20"/>
              </w:rPr>
            </w:pPr>
            <w:r>
              <w:rPr>
                <w:rFonts w:ascii="Calibri" w:hAnsi="Calibri" w:cs="Calibri"/>
                <w:b/>
                <w:bCs/>
                <w:color w:val="000000"/>
                <w:sz w:val="20"/>
                <w:szCs w:val="20"/>
              </w:rPr>
              <w:t>Gross receivables</w:t>
            </w:r>
          </w:p>
        </w:tc>
        <w:tc>
          <w:tcPr>
            <w:tcW w:w="719" w:type="pct"/>
            <w:tcBorders>
              <w:top w:val="nil"/>
              <w:left w:val="nil"/>
              <w:bottom w:val="nil"/>
              <w:right w:val="nil"/>
            </w:tcBorders>
            <w:vAlign w:val="center"/>
            <w:hideMark/>
          </w:tcPr>
          <w:p w14:paraId="6B8BC67A" w14:textId="77777777" w:rsidR="00BA214E" w:rsidRDefault="00BA214E">
            <w:pPr>
              <w:rPr>
                <w:rFonts w:ascii="Calibri" w:hAnsi="Calibri" w:cs="Calibri"/>
                <w:b/>
                <w:bCs/>
                <w:color w:val="000000"/>
                <w:sz w:val="20"/>
                <w:szCs w:val="20"/>
              </w:rPr>
            </w:pPr>
          </w:p>
        </w:tc>
        <w:tc>
          <w:tcPr>
            <w:tcW w:w="720" w:type="pct"/>
            <w:tcBorders>
              <w:top w:val="nil"/>
              <w:left w:val="nil"/>
              <w:bottom w:val="nil"/>
              <w:right w:val="nil"/>
            </w:tcBorders>
            <w:vAlign w:val="center"/>
            <w:hideMark/>
          </w:tcPr>
          <w:p w14:paraId="6C4A2D74" w14:textId="77777777" w:rsidR="00BA214E" w:rsidRDefault="00BA214E">
            <w:pPr>
              <w:jc w:val="right"/>
              <w:rPr>
                <w:sz w:val="20"/>
                <w:szCs w:val="20"/>
              </w:rPr>
            </w:pPr>
          </w:p>
        </w:tc>
        <w:tc>
          <w:tcPr>
            <w:tcW w:w="721" w:type="pct"/>
            <w:tcBorders>
              <w:top w:val="nil"/>
              <w:left w:val="nil"/>
              <w:bottom w:val="nil"/>
              <w:right w:val="nil"/>
            </w:tcBorders>
            <w:vAlign w:val="center"/>
            <w:hideMark/>
          </w:tcPr>
          <w:p w14:paraId="74BEB426" w14:textId="77777777" w:rsidR="00BA214E" w:rsidRDefault="00BA214E">
            <w:pPr>
              <w:jc w:val="right"/>
              <w:rPr>
                <w:sz w:val="20"/>
                <w:szCs w:val="20"/>
              </w:rPr>
            </w:pPr>
          </w:p>
        </w:tc>
        <w:tc>
          <w:tcPr>
            <w:tcW w:w="715" w:type="pct"/>
            <w:tcBorders>
              <w:top w:val="nil"/>
              <w:left w:val="nil"/>
              <w:bottom w:val="nil"/>
              <w:right w:val="nil"/>
            </w:tcBorders>
            <w:vAlign w:val="center"/>
            <w:hideMark/>
          </w:tcPr>
          <w:p w14:paraId="5311FD21" w14:textId="77777777" w:rsidR="00BA214E" w:rsidRDefault="00BA214E">
            <w:pPr>
              <w:rPr>
                <w:rFonts w:ascii="Calibri" w:hAnsi="Calibri" w:cs="Calibri"/>
                <w:b/>
                <w:bCs/>
                <w:color w:val="000000"/>
                <w:sz w:val="20"/>
                <w:szCs w:val="20"/>
              </w:rPr>
            </w:pPr>
            <w:r>
              <w:rPr>
                <w:rFonts w:ascii="Calibri" w:hAnsi="Calibri" w:cs="Calibri"/>
                <w:b/>
                <w:bCs/>
                <w:color w:val="000000"/>
                <w:sz w:val="20"/>
                <w:szCs w:val="20"/>
              </w:rPr>
              <w:t> </w:t>
            </w:r>
          </w:p>
        </w:tc>
      </w:tr>
      <w:tr w:rsidR="00BA214E" w14:paraId="1EC599C7" w14:textId="77777777" w:rsidTr="00170439">
        <w:trPr>
          <w:gridAfter w:val="1"/>
          <w:wAfter w:w="9" w:type="pct"/>
          <w:trHeight w:val="279"/>
        </w:trPr>
        <w:tc>
          <w:tcPr>
            <w:tcW w:w="2118" w:type="pct"/>
            <w:gridSpan w:val="3"/>
            <w:tcBorders>
              <w:top w:val="nil"/>
              <w:left w:val="nil"/>
              <w:bottom w:val="nil"/>
              <w:right w:val="nil"/>
            </w:tcBorders>
            <w:vAlign w:val="center"/>
            <w:hideMark/>
          </w:tcPr>
          <w:p w14:paraId="5B76DA9D" w14:textId="77777777" w:rsidR="00BA214E" w:rsidRDefault="00BA214E">
            <w:pPr>
              <w:rPr>
                <w:rFonts w:ascii="Calibri" w:hAnsi="Calibri" w:cs="Calibri"/>
                <w:color w:val="000000"/>
                <w:sz w:val="20"/>
                <w:szCs w:val="20"/>
              </w:rPr>
            </w:pPr>
            <w:r>
              <w:rPr>
                <w:rFonts w:ascii="Calibri" w:hAnsi="Calibri" w:cs="Calibri"/>
                <w:color w:val="000000"/>
                <w:sz w:val="20"/>
                <w:szCs w:val="20"/>
              </w:rPr>
              <w:t>Credit cards</w:t>
            </w:r>
          </w:p>
        </w:tc>
        <w:tc>
          <w:tcPr>
            <w:tcW w:w="719" w:type="pct"/>
            <w:tcBorders>
              <w:top w:val="nil"/>
              <w:left w:val="nil"/>
              <w:bottom w:val="nil"/>
              <w:right w:val="nil"/>
            </w:tcBorders>
            <w:vAlign w:val="center"/>
          </w:tcPr>
          <w:p w14:paraId="79ADA05C" w14:textId="75406DC2"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1,136.6</w:t>
            </w:r>
          </w:p>
        </w:tc>
        <w:tc>
          <w:tcPr>
            <w:tcW w:w="720" w:type="pct"/>
            <w:tcBorders>
              <w:top w:val="nil"/>
              <w:left w:val="nil"/>
              <w:bottom w:val="nil"/>
              <w:right w:val="nil"/>
            </w:tcBorders>
            <w:vAlign w:val="center"/>
          </w:tcPr>
          <w:p w14:paraId="14EDD5C5" w14:textId="43BFA011"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99.8</w:t>
            </w:r>
          </w:p>
        </w:tc>
        <w:tc>
          <w:tcPr>
            <w:tcW w:w="721" w:type="pct"/>
            <w:tcBorders>
              <w:top w:val="nil"/>
              <w:left w:val="nil"/>
              <w:bottom w:val="nil"/>
              <w:right w:val="nil"/>
            </w:tcBorders>
            <w:vAlign w:val="center"/>
          </w:tcPr>
          <w:p w14:paraId="032EB339" w14:textId="296C77EE"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73.5</w:t>
            </w:r>
          </w:p>
        </w:tc>
        <w:tc>
          <w:tcPr>
            <w:tcW w:w="715" w:type="pct"/>
            <w:tcBorders>
              <w:top w:val="nil"/>
              <w:left w:val="nil"/>
              <w:bottom w:val="nil"/>
              <w:right w:val="nil"/>
            </w:tcBorders>
            <w:vAlign w:val="center"/>
          </w:tcPr>
          <w:p w14:paraId="319E3E37" w14:textId="4141B170"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1,309.9</w:t>
            </w:r>
          </w:p>
        </w:tc>
      </w:tr>
      <w:tr w:rsidR="00BA214E" w14:paraId="5DFC2F94" w14:textId="77777777" w:rsidTr="00170439">
        <w:trPr>
          <w:gridAfter w:val="1"/>
          <w:wAfter w:w="9" w:type="pct"/>
          <w:trHeight w:val="279"/>
        </w:trPr>
        <w:tc>
          <w:tcPr>
            <w:tcW w:w="2118" w:type="pct"/>
            <w:gridSpan w:val="3"/>
            <w:tcBorders>
              <w:top w:val="nil"/>
              <w:left w:val="nil"/>
              <w:bottom w:val="nil"/>
              <w:right w:val="nil"/>
            </w:tcBorders>
            <w:vAlign w:val="center"/>
            <w:hideMark/>
          </w:tcPr>
          <w:p w14:paraId="1DA930F3" w14:textId="77777777" w:rsidR="00BA214E" w:rsidRDefault="00BA214E">
            <w:pPr>
              <w:rPr>
                <w:rFonts w:ascii="Calibri" w:hAnsi="Calibri" w:cs="Calibri"/>
                <w:color w:val="000000"/>
                <w:sz w:val="20"/>
                <w:szCs w:val="20"/>
              </w:rPr>
            </w:pPr>
            <w:r>
              <w:rPr>
                <w:rFonts w:ascii="Calibri" w:hAnsi="Calibri" w:cs="Calibri"/>
                <w:color w:val="000000"/>
                <w:sz w:val="20"/>
                <w:szCs w:val="20"/>
              </w:rPr>
              <w:t>Vehicle finance</w:t>
            </w:r>
          </w:p>
        </w:tc>
        <w:tc>
          <w:tcPr>
            <w:tcW w:w="719" w:type="pct"/>
            <w:tcBorders>
              <w:top w:val="nil"/>
              <w:left w:val="nil"/>
              <w:bottom w:val="nil"/>
              <w:right w:val="nil"/>
            </w:tcBorders>
            <w:vAlign w:val="center"/>
          </w:tcPr>
          <w:p w14:paraId="7EC7A2F4" w14:textId="1040F693"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606.3</w:t>
            </w:r>
          </w:p>
        </w:tc>
        <w:tc>
          <w:tcPr>
            <w:tcW w:w="720" w:type="pct"/>
            <w:tcBorders>
              <w:top w:val="nil"/>
              <w:left w:val="nil"/>
              <w:bottom w:val="nil"/>
              <w:right w:val="nil"/>
            </w:tcBorders>
            <w:vAlign w:val="center"/>
          </w:tcPr>
          <w:p w14:paraId="4BC3722F" w14:textId="2740138F"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120.1</w:t>
            </w:r>
          </w:p>
        </w:tc>
        <w:tc>
          <w:tcPr>
            <w:tcW w:w="721" w:type="pct"/>
            <w:tcBorders>
              <w:top w:val="nil"/>
              <w:left w:val="nil"/>
              <w:bottom w:val="nil"/>
              <w:right w:val="nil"/>
            </w:tcBorders>
            <w:vAlign w:val="center"/>
          </w:tcPr>
          <w:p w14:paraId="2400658B" w14:textId="603B2A97"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105.5</w:t>
            </w:r>
          </w:p>
        </w:tc>
        <w:tc>
          <w:tcPr>
            <w:tcW w:w="715" w:type="pct"/>
            <w:tcBorders>
              <w:top w:val="nil"/>
              <w:left w:val="nil"/>
              <w:bottom w:val="nil"/>
              <w:right w:val="nil"/>
            </w:tcBorders>
            <w:vAlign w:val="center"/>
          </w:tcPr>
          <w:p w14:paraId="3E4451A0" w14:textId="58DDD44C"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831.9</w:t>
            </w:r>
          </w:p>
        </w:tc>
      </w:tr>
      <w:tr w:rsidR="00BA214E" w14:paraId="463DB10C" w14:textId="77777777" w:rsidTr="00170439">
        <w:trPr>
          <w:gridAfter w:val="1"/>
          <w:wAfter w:w="9" w:type="pct"/>
          <w:trHeight w:val="73"/>
        </w:trPr>
        <w:tc>
          <w:tcPr>
            <w:tcW w:w="2118" w:type="pct"/>
            <w:gridSpan w:val="3"/>
            <w:tcBorders>
              <w:top w:val="nil"/>
              <w:left w:val="nil"/>
              <w:bottom w:val="nil"/>
              <w:right w:val="nil"/>
            </w:tcBorders>
            <w:vAlign w:val="center"/>
            <w:hideMark/>
          </w:tcPr>
          <w:p w14:paraId="6BF90481" w14:textId="77777777" w:rsidR="00BA214E" w:rsidRDefault="00BA214E">
            <w:pPr>
              <w:rPr>
                <w:rFonts w:ascii="Calibri" w:hAnsi="Calibri" w:cs="Calibri"/>
                <w:color w:val="000000"/>
                <w:sz w:val="20"/>
                <w:szCs w:val="20"/>
              </w:rPr>
            </w:pPr>
            <w:r>
              <w:rPr>
                <w:rFonts w:ascii="Calibri" w:hAnsi="Calibri" w:cs="Calibri"/>
                <w:color w:val="000000"/>
                <w:sz w:val="20"/>
                <w:szCs w:val="20"/>
              </w:rPr>
              <w:t>Second charge mortgages</w:t>
            </w:r>
          </w:p>
        </w:tc>
        <w:tc>
          <w:tcPr>
            <w:tcW w:w="719" w:type="pct"/>
            <w:tcBorders>
              <w:top w:val="nil"/>
              <w:left w:val="nil"/>
              <w:bottom w:val="nil"/>
              <w:right w:val="nil"/>
            </w:tcBorders>
            <w:vAlign w:val="center"/>
          </w:tcPr>
          <w:p w14:paraId="4B2EC6AB" w14:textId="51264199"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224.2</w:t>
            </w:r>
          </w:p>
        </w:tc>
        <w:tc>
          <w:tcPr>
            <w:tcW w:w="720" w:type="pct"/>
            <w:tcBorders>
              <w:top w:val="nil"/>
              <w:left w:val="nil"/>
              <w:bottom w:val="nil"/>
              <w:right w:val="nil"/>
            </w:tcBorders>
            <w:vAlign w:val="center"/>
          </w:tcPr>
          <w:p w14:paraId="5C88670F" w14:textId="43AF6A31"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1.2</w:t>
            </w:r>
          </w:p>
        </w:tc>
        <w:tc>
          <w:tcPr>
            <w:tcW w:w="721" w:type="pct"/>
            <w:tcBorders>
              <w:top w:val="nil"/>
              <w:left w:val="nil"/>
              <w:bottom w:val="nil"/>
              <w:right w:val="nil"/>
            </w:tcBorders>
            <w:vAlign w:val="center"/>
          </w:tcPr>
          <w:p w14:paraId="77E69B96" w14:textId="3B89AAF3"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0.1</w:t>
            </w:r>
          </w:p>
        </w:tc>
        <w:tc>
          <w:tcPr>
            <w:tcW w:w="715" w:type="pct"/>
            <w:tcBorders>
              <w:top w:val="nil"/>
              <w:left w:val="nil"/>
              <w:bottom w:val="nil"/>
              <w:right w:val="nil"/>
            </w:tcBorders>
            <w:vAlign w:val="center"/>
          </w:tcPr>
          <w:p w14:paraId="64EBD455" w14:textId="2B6FFB41" w:rsidR="00BA214E" w:rsidRPr="00D63DF2" w:rsidRDefault="000B5904">
            <w:pPr>
              <w:jc w:val="right"/>
              <w:rPr>
                <w:rFonts w:ascii="Calibri" w:hAnsi="Calibri" w:cs="Calibri"/>
                <w:color w:val="000000"/>
                <w:sz w:val="20"/>
                <w:szCs w:val="20"/>
              </w:rPr>
            </w:pPr>
            <w:r w:rsidRPr="000B5904">
              <w:rPr>
                <w:rFonts w:asciiTheme="minorHAnsi" w:hAnsiTheme="minorHAnsi" w:cstheme="minorHAnsi"/>
                <w:color w:val="000000"/>
                <w:sz w:val="20"/>
                <w:szCs w:val="20"/>
              </w:rPr>
              <w:t>225.5</w:t>
            </w:r>
          </w:p>
        </w:tc>
      </w:tr>
      <w:tr w:rsidR="00F9700D" w14:paraId="7DFB800A" w14:textId="77777777" w:rsidTr="00170439">
        <w:trPr>
          <w:gridAfter w:val="1"/>
          <w:wAfter w:w="9" w:type="pct"/>
          <w:trHeight w:val="73"/>
        </w:trPr>
        <w:tc>
          <w:tcPr>
            <w:tcW w:w="2118" w:type="pct"/>
            <w:gridSpan w:val="3"/>
            <w:tcBorders>
              <w:top w:val="nil"/>
              <w:left w:val="nil"/>
              <w:bottom w:val="nil"/>
              <w:right w:val="nil"/>
            </w:tcBorders>
            <w:vAlign w:val="center"/>
          </w:tcPr>
          <w:p w14:paraId="2E5F5218" w14:textId="355D311B" w:rsidR="00F9700D" w:rsidRDefault="00F9700D" w:rsidP="00F9700D">
            <w:pPr>
              <w:rPr>
                <w:rFonts w:ascii="Calibri" w:hAnsi="Calibri" w:cs="Calibri"/>
                <w:color w:val="000000"/>
                <w:sz w:val="20"/>
                <w:szCs w:val="20"/>
              </w:rPr>
            </w:pPr>
            <w:r>
              <w:rPr>
                <w:rFonts w:ascii="Calibri" w:hAnsi="Calibri" w:cs="Calibri"/>
                <w:color w:val="000000"/>
                <w:sz w:val="20"/>
                <w:szCs w:val="20"/>
              </w:rPr>
              <w:lastRenderedPageBreak/>
              <w:t>Personal loans (discontinued operation)</w:t>
            </w:r>
          </w:p>
        </w:tc>
        <w:tc>
          <w:tcPr>
            <w:tcW w:w="719" w:type="pct"/>
            <w:tcBorders>
              <w:top w:val="nil"/>
              <w:left w:val="nil"/>
              <w:bottom w:val="nil"/>
              <w:right w:val="nil"/>
            </w:tcBorders>
            <w:vAlign w:val="center"/>
          </w:tcPr>
          <w:p w14:paraId="19DD23E9" w14:textId="1AA555AA" w:rsidR="00F9700D" w:rsidRPr="000B5904" w:rsidRDefault="00F9700D" w:rsidP="00F9700D">
            <w:pPr>
              <w:jc w:val="right"/>
              <w:rPr>
                <w:rFonts w:asciiTheme="minorHAnsi" w:hAnsiTheme="minorHAnsi" w:cstheme="minorHAnsi"/>
                <w:color w:val="000000"/>
                <w:sz w:val="20"/>
                <w:szCs w:val="20"/>
              </w:rPr>
            </w:pPr>
            <w:r>
              <w:rPr>
                <w:rFonts w:ascii="Calibri" w:hAnsi="Calibri" w:cs="Calibri"/>
                <w:color w:val="000000"/>
                <w:sz w:val="20"/>
                <w:szCs w:val="20"/>
              </w:rPr>
              <w:t>44.2</w:t>
            </w:r>
          </w:p>
        </w:tc>
        <w:tc>
          <w:tcPr>
            <w:tcW w:w="720" w:type="pct"/>
            <w:tcBorders>
              <w:top w:val="nil"/>
              <w:left w:val="nil"/>
              <w:bottom w:val="nil"/>
              <w:right w:val="nil"/>
            </w:tcBorders>
            <w:vAlign w:val="center"/>
          </w:tcPr>
          <w:p w14:paraId="53B7562B" w14:textId="0938A537" w:rsidR="00F9700D" w:rsidRPr="000B5904" w:rsidRDefault="00F9700D" w:rsidP="00F9700D">
            <w:pPr>
              <w:jc w:val="right"/>
              <w:rPr>
                <w:rFonts w:asciiTheme="minorHAnsi" w:hAnsiTheme="minorHAnsi" w:cstheme="minorHAnsi"/>
                <w:color w:val="000000"/>
                <w:sz w:val="20"/>
                <w:szCs w:val="20"/>
              </w:rPr>
            </w:pPr>
            <w:r>
              <w:rPr>
                <w:rFonts w:ascii="Calibri" w:hAnsi="Calibri" w:cs="Calibri"/>
                <w:color w:val="000000"/>
                <w:sz w:val="20"/>
                <w:szCs w:val="20"/>
              </w:rPr>
              <w:t>2.4</w:t>
            </w:r>
          </w:p>
        </w:tc>
        <w:tc>
          <w:tcPr>
            <w:tcW w:w="721" w:type="pct"/>
            <w:tcBorders>
              <w:top w:val="nil"/>
              <w:left w:val="nil"/>
              <w:bottom w:val="nil"/>
              <w:right w:val="nil"/>
            </w:tcBorders>
            <w:vAlign w:val="center"/>
          </w:tcPr>
          <w:p w14:paraId="3B719620" w14:textId="367D032E" w:rsidR="00F9700D" w:rsidRPr="000B5904" w:rsidRDefault="00F9700D" w:rsidP="00F9700D">
            <w:pPr>
              <w:jc w:val="right"/>
              <w:rPr>
                <w:rFonts w:asciiTheme="minorHAnsi" w:hAnsiTheme="minorHAnsi" w:cstheme="minorHAnsi"/>
                <w:color w:val="000000"/>
                <w:sz w:val="20"/>
                <w:szCs w:val="20"/>
              </w:rPr>
            </w:pPr>
            <w:r>
              <w:rPr>
                <w:rFonts w:ascii="Calibri" w:hAnsi="Calibri" w:cs="Calibri"/>
                <w:color w:val="000000"/>
                <w:sz w:val="20"/>
                <w:szCs w:val="20"/>
              </w:rPr>
              <w:t>2.5</w:t>
            </w:r>
          </w:p>
        </w:tc>
        <w:tc>
          <w:tcPr>
            <w:tcW w:w="715" w:type="pct"/>
            <w:tcBorders>
              <w:top w:val="nil"/>
              <w:left w:val="nil"/>
              <w:bottom w:val="nil"/>
              <w:right w:val="nil"/>
            </w:tcBorders>
            <w:vAlign w:val="center"/>
          </w:tcPr>
          <w:p w14:paraId="0F990FB0" w14:textId="2CB5B85E" w:rsidR="00F9700D" w:rsidRPr="000B5904" w:rsidRDefault="00F9700D" w:rsidP="00F9700D">
            <w:pPr>
              <w:jc w:val="right"/>
              <w:rPr>
                <w:rFonts w:asciiTheme="minorHAnsi" w:hAnsiTheme="minorHAnsi" w:cstheme="minorHAnsi"/>
                <w:color w:val="000000"/>
                <w:sz w:val="20"/>
                <w:szCs w:val="20"/>
              </w:rPr>
            </w:pPr>
            <w:r>
              <w:rPr>
                <w:rFonts w:ascii="Calibri" w:hAnsi="Calibri" w:cs="Calibri"/>
                <w:color w:val="000000"/>
                <w:sz w:val="20"/>
                <w:szCs w:val="20"/>
              </w:rPr>
              <w:t>49.1</w:t>
            </w:r>
          </w:p>
        </w:tc>
      </w:tr>
      <w:tr w:rsidR="00BA214E" w14:paraId="5D4C523E" w14:textId="77777777" w:rsidTr="00170439">
        <w:trPr>
          <w:gridAfter w:val="1"/>
          <w:wAfter w:w="9" w:type="pct"/>
          <w:trHeight w:val="294"/>
        </w:trPr>
        <w:tc>
          <w:tcPr>
            <w:tcW w:w="2118" w:type="pct"/>
            <w:gridSpan w:val="3"/>
            <w:tcBorders>
              <w:top w:val="nil"/>
              <w:left w:val="nil"/>
              <w:bottom w:val="nil"/>
              <w:right w:val="nil"/>
            </w:tcBorders>
            <w:vAlign w:val="center"/>
            <w:hideMark/>
          </w:tcPr>
          <w:p w14:paraId="47BDEFFA" w14:textId="30422F78" w:rsidR="00BA214E" w:rsidRDefault="00F9700D">
            <w:pPr>
              <w:rPr>
                <w:rFonts w:ascii="Calibri" w:hAnsi="Calibri" w:cs="Calibri"/>
                <w:b/>
                <w:bCs/>
                <w:color w:val="000000"/>
                <w:sz w:val="20"/>
                <w:szCs w:val="20"/>
              </w:rPr>
            </w:pPr>
            <w:r>
              <w:rPr>
                <w:rFonts w:ascii="Calibri" w:hAnsi="Calibri" w:cs="Calibri"/>
                <w:b/>
                <w:bCs/>
                <w:color w:val="000000"/>
                <w:sz w:val="20"/>
                <w:szCs w:val="20"/>
              </w:rPr>
              <w:t>Total</w:t>
            </w:r>
          </w:p>
        </w:tc>
        <w:tc>
          <w:tcPr>
            <w:tcW w:w="719" w:type="pct"/>
            <w:tcBorders>
              <w:top w:val="single" w:sz="8" w:space="0" w:color="auto"/>
              <w:left w:val="nil"/>
              <w:bottom w:val="single" w:sz="8" w:space="0" w:color="auto"/>
              <w:right w:val="nil"/>
            </w:tcBorders>
            <w:vAlign w:val="center"/>
          </w:tcPr>
          <w:p w14:paraId="5CAC22C2" w14:textId="7AD9362C" w:rsidR="00BA214E" w:rsidRDefault="00F9700D">
            <w:pPr>
              <w:jc w:val="right"/>
              <w:rPr>
                <w:rFonts w:ascii="Calibri" w:hAnsi="Calibri" w:cs="Calibri"/>
                <w:b/>
                <w:bCs/>
                <w:color w:val="000000"/>
                <w:sz w:val="20"/>
                <w:szCs w:val="20"/>
              </w:rPr>
            </w:pPr>
            <w:r>
              <w:rPr>
                <w:rFonts w:ascii="Calibri" w:hAnsi="Calibri" w:cs="Calibri"/>
                <w:b/>
                <w:bCs/>
                <w:color w:val="000000"/>
                <w:sz w:val="20"/>
                <w:szCs w:val="20"/>
              </w:rPr>
              <w:t>2,011.3</w:t>
            </w:r>
          </w:p>
        </w:tc>
        <w:tc>
          <w:tcPr>
            <w:tcW w:w="720" w:type="pct"/>
            <w:tcBorders>
              <w:top w:val="single" w:sz="8" w:space="0" w:color="auto"/>
              <w:left w:val="nil"/>
              <w:bottom w:val="single" w:sz="8" w:space="0" w:color="auto"/>
              <w:right w:val="nil"/>
            </w:tcBorders>
            <w:vAlign w:val="center"/>
          </w:tcPr>
          <w:p w14:paraId="52BE5D9E" w14:textId="726880FF" w:rsidR="00BA214E" w:rsidRDefault="00F9700D">
            <w:pPr>
              <w:jc w:val="right"/>
              <w:rPr>
                <w:rFonts w:ascii="Calibri" w:hAnsi="Calibri" w:cs="Calibri"/>
                <w:b/>
                <w:bCs/>
                <w:color w:val="000000"/>
                <w:sz w:val="20"/>
                <w:szCs w:val="20"/>
              </w:rPr>
            </w:pPr>
            <w:r>
              <w:rPr>
                <w:rFonts w:ascii="Calibri" w:hAnsi="Calibri" w:cs="Calibri"/>
                <w:b/>
                <w:bCs/>
                <w:color w:val="000000"/>
                <w:sz w:val="20"/>
                <w:szCs w:val="20"/>
              </w:rPr>
              <w:t>223.5</w:t>
            </w:r>
          </w:p>
        </w:tc>
        <w:tc>
          <w:tcPr>
            <w:tcW w:w="721" w:type="pct"/>
            <w:tcBorders>
              <w:top w:val="single" w:sz="8" w:space="0" w:color="auto"/>
              <w:left w:val="nil"/>
              <w:bottom w:val="single" w:sz="8" w:space="0" w:color="auto"/>
              <w:right w:val="nil"/>
            </w:tcBorders>
            <w:vAlign w:val="center"/>
          </w:tcPr>
          <w:p w14:paraId="6C1A5AE0" w14:textId="0F08027F" w:rsidR="00BA214E" w:rsidRDefault="00F9700D">
            <w:pPr>
              <w:jc w:val="right"/>
              <w:rPr>
                <w:rFonts w:ascii="Calibri" w:hAnsi="Calibri" w:cs="Calibri"/>
                <w:b/>
                <w:bCs/>
                <w:color w:val="000000"/>
                <w:sz w:val="20"/>
                <w:szCs w:val="20"/>
              </w:rPr>
            </w:pPr>
            <w:r>
              <w:rPr>
                <w:rFonts w:ascii="Calibri" w:hAnsi="Calibri" w:cs="Calibri"/>
                <w:b/>
                <w:bCs/>
                <w:color w:val="000000"/>
                <w:sz w:val="20"/>
                <w:szCs w:val="20"/>
              </w:rPr>
              <w:t>181.6</w:t>
            </w:r>
          </w:p>
        </w:tc>
        <w:tc>
          <w:tcPr>
            <w:tcW w:w="715" w:type="pct"/>
            <w:tcBorders>
              <w:top w:val="single" w:sz="8" w:space="0" w:color="auto"/>
              <w:left w:val="nil"/>
              <w:bottom w:val="single" w:sz="8" w:space="0" w:color="auto"/>
              <w:right w:val="nil"/>
            </w:tcBorders>
            <w:vAlign w:val="center"/>
          </w:tcPr>
          <w:p w14:paraId="4A1D3378" w14:textId="61E8A5EB" w:rsidR="00BA214E" w:rsidRDefault="00874AB2">
            <w:pPr>
              <w:jc w:val="right"/>
              <w:rPr>
                <w:rFonts w:ascii="Calibri" w:hAnsi="Calibri" w:cs="Calibri"/>
                <w:b/>
                <w:bCs/>
                <w:color w:val="000000"/>
                <w:sz w:val="20"/>
                <w:szCs w:val="20"/>
              </w:rPr>
            </w:pPr>
            <w:r>
              <w:rPr>
                <w:rFonts w:ascii="Calibri" w:hAnsi="Calibri" w:cs="Calibri"/>
                <w:b/>
                <w:bCs/>
                <w:color w:val="000000"/>
                <w:sz w:val="20"/>
                <w:szCs w:val="20"/>
              </w:rPr>
              <w:t>2,</w:t>
            </w:r>
            <w:r w:rsidR="00F9700D">
              <w:rPr>
                <w:rFonts w:ascii="Calibri" w:hAnsi="Calibri" w:cs="Calibri"/>
                <w:b/>
                <w:bCs/>
                <w:color w:val="000000"/>
                <w:sz w:val="20"/>
                <w:szCs w:val="20"/>
              </w:rPr>
              <w:t>416.4</w:t>
            </w:r>
          </w:p>
        </w:tc>
      </w:tr>
      <w:tr w:rsidR="00BA214E" w14:paraId="6A0A09F3" w14:textId="77777777" w:rsidTr="00170439">
        <w:trPr>
          <w:gridAfter w:val="1"/>
          <w:wAfter w:w="9" w:type="pct"/>
          <w:trHeight w:val="279"/>
        </w:trPr>
        <w:tc>
          <w:tcPr>
            <w:tcW w:w="2118" w:type="pct"/>
            <w:gridSpan w:val="3"/>
            <w:tcBorders>
              <w:top w:val="nil"/>
              <w:left w:val="nil"/>
              <w:bottom w:val="nil"/>
              <w:right w:val="nil"/>
            </w:tcBorders>
            <w:vAlign w:val="center"/>
            <w:hideMark/>
          </w:tcPr>
          <w:p w14:paraId="53FBF195" w14:textId="77777777" w:rsidR="00BA214E" w:rsidRDefault="00BA214E">
            <w:pPr>
              <w:jc w:val="right"/>
              <w:rPr>
                <w:rFonts w:ascii="Calibri" w:hAnsi="Calibri" w:cs="Calibri"/>
                <w:b/>
                <w:bCs/>
                <w:color w:val="000000"/>
                <w:sz w:val="20"/>
                <w:szCs w:val="20"/>
              </w:rPr>
            </w:pPr>
          </w:p>
        </w:tc>
        <w:tc>
          <w:tcPr>
            <w:tcW w:w="719" w:type="pct"/>
            <w:tcBorders>
              <w:top w:val="nil"/>
              <w:left w:val="nil"/>
              <w:bottom w:val="nil"/>
              <w:right w:val="nil"/>
            </w:tcBorders>
            <w:vAlign w:val="center"/>
          </w:tcPr>
          <w:p w14:paraId="036FD1E6" w14:textId="77777777" w:rsidR="00BA214E" w:rsidRDefault="00BA214E">
            <w:pPr>
              <w:rPr>
                <w:sz w:val="20"/>
                <w:szCs w:val="20"/>
              </w:rPr>
            </w:pPr>
          </w:p>
        </w:tc>
        <w:tc>
          <w:tcPr>
            <w:tcW w:w="720" w:type="pct"/>
            <w:tcBorders>
              <w:top w:val="nil"/>
              <w:left w:val="nil"/>
              <w:bottom w:val="nil"/>
              <w:right w:val="nil"/>
            </w:tcBorders>
            <w:vAlign w:val="center"/>
          </w:tcPr>
          <w:p w14:paraId="73D42630" w14:textId="77777777" w:rsidR="00BA214E" w:rsidRDefault="00BA214E">
            <w:pPr>
              <w:jc w:val="right"/>
              <w:rPr>
                <w:sz w:val="20"/>
                <w:szCs w:val="20"/>
              </w:rPr>
            </w:pPr>
          </w:p>
        </w:tc>
        <w:tc>
          <w:tcPr>
            <w:tcW w:w="721" w:type="pct"/>
            <w:tcBorders>
              <w:top w:val="nil"/>
              <w:left w:val="nil"/>
              <w:bottom w:val="nil"/>
              <w:right w:val="nil"/>
            </w:tcBorders>
            <w:vAlign w:val="center"/>
          </w:tcPr>
          <w:p w14:paraId="2CCA0423" w14:textId="77777777" w:rsidR="00BA214E" w:rsidRDefault="00BA214E">
            <w:pPr>
              <w:jc w:val="right"/>
              <w:rPr>
                <w:sz w:val="20"/>
                <w:szCs w:val="20"/>
              </w:rPr>
            </w:pPr>
          </w:p>
        </w:tc>
        <w:tc>
          <w:tcPr>
            <w:tcW w:w="715" w:type="pct"/>
            <w:tcBorders>
              <w:top w:val="nil"/>
              <w:left w:val="nil"/>
              <w:bottom w:val="nil"/>
              <w:right w:val="nil"/>
            </w:tcBorders>
            <w:vAlign w:val="center"/>
          </w:tcPr>
          <w:p w14:paraId="5D0D8090" w14:textId="77777777" w:rsidR="00BA214E" w:rsidRDefault="00BA214E">
            <w:pPr>
              <w:jc w:val="right"/>
              <w:rPr>
                <w:sz w:val="20"/>
                <w:szCs w:val="20"/>
              </w:rPr>
            </w:pPr>
          </w:p>
        </w:tc>
      </w:tr>
      <w:tr w:rsidR="00BA214E" w14:paraId="45A0735C" w14:textId="77777777" w:rsidTr="00170439">
        <w:trPr>
          <w:gridAfter w:val="1"/>
          <w:wAfter w:w="9" w:type="pct"/>
          <w:trHeight w:val="279"/>
        </w:trPr>
        <w:tc>
          <w:tcPr>
            <w:tcW w:w="2118" w:type="pct"/>
            <w:gridSpan w:val="3"/>
            <w:tcBorders>
              <w:top w:val="nil"/>
              <w:left w:val="nil"/>
              <w:bottom w:val="nil"/>
              <w:right w:val="nil"/>
            </w:tcBorders>
            <w:vAlign w:val="center"/>
            <w:hideMark/>
          </w:tcPr>
          <w:p w14:paraId="1E2C8FDD" w14:textId="77777777" w:rsidR="00BA214E" w:rsidRDefault="00BA214E">
            <w:pPr>
              <w:rPr>
                <w:rFonts w:ascii="Calibri" w:hAnsi="Calibri" w:cs="Calibri"/>
                <w:b/>
                <w:bCs/>
                <w:color w:val="000000"/>
                <w:sz w:val="20"/>
                <w:szCs w:val="20"/>
              </w:rPr>
            </w:pPr>
            <w:r>
              <w:rPr>
                <w:rFonts w:ascii="Calibri" w:hAnsi="Calibri" w:cs="Calibri"/>
                <w:b/>
                <w:bCs/>
                <w:color w:val="000000"/>
                <w:sz w:val="20"/>
                <w:szCs w:val="20"/>
              </w:rPr>
              <w:t>Allowance account</w:t>
            </w:r>
          </w:p>
        </w:tc>
        <w:tc>
          <w:tcPr>
            <w:tcW w:w="719" w:type="pct"/>
            <w:tcBorders>
              <w:top w:val="nil"/>
              <w:left w:val="nil"/>
              <w:bottom w:val="nil"/>
              <w:right w:val="nil"/>
            </w:tcBorders>
            <w:vAlign w:val="center"/>
          </w:tcPr>
          <w:p w14:paraId="2E97C9EF" w14:textId="77777777" w:rsidR="00BA214E" w:rsidRDefault="00BA214E">
            <w:pPr>
              <w:rPr>
                <w:rFonts w:ascii="Calibri" w:hAnsi="Calibri" w:cs="Calibri"/>
                <w:b/>
                <w:bCs/>
                <w:color w:val="000000"/>
                <w:sz w:val="20"/>
                <w:szCs w:val="20"/>
              </w:rPr>
            </w:pPr>
          </w:p>
        </w:tc>
        <w:tc>
          <w:tcPr>
            <w:tcW w:w="720" w:type="pct"/>
            <w:tcBorders>
              <w:top w:val="nil"/>
              <w:left w:val="nil"/>
              <w:bottom w:val="nil"/>
              <w:right w:val="nil"/>
            </w:tcBorders>
            <w:vAlign w:val="center"/>
          </w:tcPr>
          <w:p w14:paraId="102A9597" w14:textId="77777777" w:rsidR="00BA214E" w:rsidRDefault="00BA214E">
            <w:pPr>
              <w:jc w:val="right"/>
              <w:rPr>
                <w:sz w:val="20"/>
                <w:szCs w:val="20"/>
              </w:rPr>
            </w:pPr>
          </w:p>
        </w:tc>
        <w:tc>
          <w:tcPr>
            <w:tcW w:w="721" w:type="pct"/>
            <w:tcBorders>
              <w:top w:val="nil"/>
              <w:left w:val="nil"/>
              <w:bottom w:val="nil"/>
              <w:right w:val="nil"/>
            </w:tcBorders>
            <w:vAlign w:val="center"/>
          </w:tcPr>
          <w:p w14:paraId="4CB98B6F" w14:textId="77777777" w:rsidR="00BA214E" w:rsidRDefault="00BA214E">
            <w:pPr>
              <w:jc w:val="right"/>
              <w:rPr>
                <w:sz w:val="20"/>
                <w:szCs w:val="20"/>
              </w:rPr>
            </w:pPr>
          </w:p>
        </w:tc>
        <w:tc>
          <w:tcPr>
            <w:tcW w:w="715" w:type="pct"/>
            <w:tcBorders>
              <w:top w:val="nil"/>
              <w:left w:val="nil"/>
              <w:bottom w:val="nil"/>
              <w:right w:val="nil"/>
            </w:tcBorders>
            <w:vAlign w:val="center"/>
          </w:tcPr>
          <w:p w14:paraId="05270967" w14:textId="77777777" w:rsidR="00BA214E" w:rsidRDefault="00BA214E">
            <w:pPr>
              <w:jc w:val="right"/>
              <w:rPr>
                <w:sz w:val="20"/>
                <w:szCs w:val="20"/>
              </w:rPr>
            </w:pPr>
          </w:p>
        </w:tc>
      </w:tr>
      <w:tr w:rsidR="00BA214E" w:rsidRPr="00D63DF2" w14:paraId="5247153D" w14:textId="77777777" w:rsidTr="00170439">
        <w:trPr>
          <w:gridAfter w:val="1"/>
          <w:wAfter w:w="9" w:type="pct"/>
          <w:trHeight w:val="279"/>
        </w:trPr>
        <w:tc>
          <w:tcPr>
            <w:tcW w:w="2118" w:type="pct"/>
            <w:gridSpan w:val="3"/>
            <w:tcBorders>
              <w:top w:val="nil"/>
              <w:left w:val="nil"/>
              <w:bottom w:val="nil"/>
              <w:right w:val="nil"/>
            </w:tcBorders>
            <w:vAlign w:val="center"/>
            <w:hideMark/>
          </w:tcPr>
          <w:p w14:paraId="37765A14" w14:textId="77777777" w:rsidR="00BA214E" w:rsidRDefault="00BA214E">
            <w:pPr>
              <w:rPr>
                <w:rFonts w:ascii="Calibri" w:hAnsi="Calibri" w:cs="Calibri"/>
                <w:color w:val="000000"/>
                <w:sz w:val="20"/>
                <w:szCs w:val="20"/>
              </w:rPr>
            </w:pPr>
            <w:r>
              <w:rPr>
                <w:rFonts w:ascii="Calibri" w:hAnsi="Calibri" w:cs="Calibri"/>
                <w:color w:val="000000"/>
                <w:sz w:val="20"/>
                <w:szCs w:val="20"/>
              </w:rPr>
              <w:t>Credit cards</w:t>
            </w:r>
          </w:p>
        </w:tc>
        <w:tc>
          <w:tcPr>
            <w:tcW w:w="719" w:type="pct"/>
            <w:tcBorders>
              <w:top w:val="nil"/>
              <w:left w:val="nil"/>
              <w:bottom w:val="nil"/>
              <w:right w:val="nil"/>
            </w:tcBorders>
            <w:vAlign w:val="center"/>
          </w:tcPr>
          <w:p w14:paraId="526A79F2" w14:textId="464782B8"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(73.3)</w:t>
            </w:r>
          </w:p>
        </w:tc>
        <w:tc>
          <w:tcPr>
            <w:tcW w:w="720" w:type="pct"/>
            <w:tcBorders>
              <w:top w:val="nil"/>
              <w:left w:val="nil"/>
              <w:bottom w:val="nil"/>
              <w:right w:val="nil"/>
            </w:tcBorders>
            <w:vAlign w:val="center"/>
          </w:tcPr>
          <w:p w14:paraId="59D51A18" w14:textId="406EAA0E"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(44.7)</w:t>
            </w:r>
          </w:p>
        </w:tc>
        <w:tc>
          <w:tcPr>
            <w:tcW w:w="721" w:type="pct"/>
            <w:tcBorders>
              <w:top w:val="nil"/>
              <w:left w:val="nil"/>
              <w:bottom w:val="nil"/>
              <w:right w:val="nil"/>
            </w:tcBorders>
            <w:vAlign w:val="center"/>
          </w:tcPr>
          <w:p w14:paraId="5F56FB1C" w14:textId="707EB36C"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(42.0)</w:t>
            </w:r>
          </w:p>
        </w:tc>
        <w:tc>
          <w:tcPr>
            <w:tcW w:w="715" w:type="pct"/>
            <w:tcBorders>
              <w:top w:val="nil"/>
              <w:left w:val="nil"/>
              <w:bottom w:val="nil"/>
              <w:right w:val="nil"/>
            </w:tcBorders>
            <w:vAlign w:val="center"/>
          </w:tcPr>
          <w:p w14:paraId="26EC4CB2" w14:textId="47B63C5B"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(160.0)</w:t>
            </w:r>
          </w:p>
        </w:tc>
      </w:tr>
      <w:tr w:rsidR="00BA214E" w:rsidRPr="00D63DF2" w14:paraId="0EC0C58C" w14:textId="77777777" w:rsidTr="00170439">
        <w:trPr>
          <w:gridAfter w:val="1"/>
          <w:wAfter w:w="9" w:type="pct"/>
          <w:trHeight w:val="279"/>
        </w:trPr>
        <w:tc>
          <w:tcPr>
            <w:tcW w:w="2118" w:type="pct"/>
            <w:gridSpan w:val="3"/>
            <w:tcBorders>
              <w:top w:val="nil"/>
              <w:left w:val="nil"/>
              <w:bottom w:val="nil"/>
              <w:right w:val="nil"/>
            </w:tcBorders>
            <w:vAlign w:val="center"/>
            <w:hideMark/>
          </w:tcPr>
          <w:p w14:paraId="0C06B76E" w14:textId="5F085DE3" w:rsidR="00BA214E" w:rsidRDefault="00BA214E">
            <w:pPr>
              <w:rPr>
                <w:rFonts w:ascii="Calibri" w:hAnsi="Calibri" w:cs="Calibri"/>
                <w:color w:val="000000"/>
                <w:sz w:val="20"/>
                <w:szCs w:val="20"/>
              </w:rPr>
            </w:pPr>
            <w:r>
              <w:rPr>
                <w:rFonts w:ascii="Calibri" w:hAnsi="Calibri" w:cs="Calibri"/>
                <w:color w:val="000000"/>
                <w:sz w:val="20"/>
                <w:szCs w:val="20"/>
              </w:rPr>
              <w:t xml:space="preserve">Vehicle finance </w:t>
            </w:r>
          </w:p>
        </w:tc>
        <w:tc>
          <w:tcPr>
            <w:tcW w:w="719" w:type="pct"/>
            <w:tcBorders>
              <w:top w:val="nil"/>
              <w:left w:val="nil"/>
              <w:bottom w:val="nil"/>
              <w:right w:val="nil"/>
            </w:tcBorders>
            <w:vAlign w:val="center"/>
          </w:tcPr>
          <w:p w14:paraId="78B7AA82" w14:textId="35364E4B"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(18.2)</w:t>
            </w:r>
          </w:p>
        </w:tc>
        <w:tc>
          <w:tcPr>
            <w:tcW w:w="720" w:type="pct"/>
            <w:tcBorders>
              <w:top w:val="nil"/>
              <w:left w:val="nil"/>
              <w:bottom w:val="nil"/>
              <w:right w:val="nil"/>
            </w:tcBorders>
            <w:vAlign w:val="center"/>
          </w:tcPr>
          <w:p w14:paraId="39153C3B" w14:textId="7F6667E9"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(21.5)</w:t>
            </w:r>
          </w:p>
        </w:tc>
        <w:tc>
          <w:tcPr>
            <w:tcW w:w="721" w:type="pct"/>
            <w:tcBorders>
              <w:top w:val="nil"/>
              <w:left w:val="nil"/>
              <w:bottom w:val="nil"/>
              <w:right w:val="nil"/>
            </w:tcBorders>
            <w:vAlign w:val="center"/>
          </w:tcPr>
          <w:p w14:paraId="7EB478C6" w14:textId="16AD5F97"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(56.8)</w:t>
            </w:r>
          </w:p>
        </w:tc>
        <w:tc>
          <w:tcPr>
            <w:tcW w:w="715" w:type="pct"/>
            <w:tcBorders>
              <w:top w:val="nil"/>
              <w:left w:val="nil"/>
              <w:bottom w:val="nil"/>
              <w:right w:val="nil"/>
            </w:tcBorders>
            <w:vAlign w:val="center"/>
          </w:tcPr>
          <w:p w14:paraId="6C8A3FDC" w14:textId="1438E6C5"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(96.5)</w:t>
            </w:r>
          </w:p>
        </w:tc>
      </w:tr>
      <w:tr w:rsidR="00BA214E" w:rsidRPr="00D63DF2" w14:paraId="7FC055B6" w14:textId="77777777" w:rsidTr="00170439">
        <w:trPr>
          <w:gridAfter w:val="1"/>
          <w:wAfter w:w="9" w:type="pct"/>
          <w:trHeight w:val="294"/>
        </w:trPr>
        <w:tc>
          <w:tcPr>
            <w:tcW w:w="2118" w:type="pct"/>
            <w:gridSpan w:val="3"/>
            <w:tcBorders>
              <w:top w:val="nil"/>
              <w:left w:val="nil"/>
              <w:bottom w:val="nil"/>
              <w:right w:val="nil"/>
            </w:tcBorders>
            <w:vAlign w:val="center"/>
            <w:hideMark/>
          </w:tcPr>
          <w:p w14:paraId="4CD33D55" w14:textId="77777777" w:rsidR="00BA214E" w:rsidRDefault="00BA214E">
            <w:pPr>
              <w:rPr>
                <w:rFonts w:ascii="Calibri" w:hAnsi="Calibri" w:cs="Calibri"/>
                <w:color w:val="000000"/>
                <w:sz w:val="20"/>
                <w:szCs w:val="20"/>
              </w:rPr>
            </w:pPr>
            <w:r>
              <w:rPr>
                <w:rFonts w:ascii="Calibri" w:hAnsi="Calibri" w:cs="Calibri"/>
                <w:color w:val="000000"/>
                <w:sz w:val="20"/>
                <w:szCs w:val="20"/>
              </w:rPr>
              <w:t>Second charge mortgages</w:t>
            </w:r>
          </w:p>
        </w:tc>
        <w:tc>
          <w:tcPr>
            <w:tcW w:w="719" w:type="pct"/>
            <w:tcBorders>
              <w:top w:val="nil"/>
              <w:left w:val="nil"/>
              <w:bottom w:val="nil"/>
              <w:right w:val="nil"/>
            </w:tcBorders>
            <w:vAlign w:val="center"/>
          </w:tcPr>
          <w:p w14:paraId="5EE4BAC5" w14:textId="65F9CEE8"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(0.1)</w:t>
            </w:r>
          </w:p>
        </w:tc>
        <w:tc>
          <w:tcPr>
            <w:tcW w:w="720" w:type="pct"/>
            <w:tcBorders>
              <w:top w:val="nil"/>
              <w:left w:val="nil"/>
              <w:bottom w:val="nil"/>
              <w:right w:val="nil"/>
            </w:tcBorders>
            <w:vAlign w:val="center"/>
          </w:tcPr>
          <w:p w14:paraId="07DE100E" w14:textId="3B839517"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(0.1)</w:t>
            </w:r>
          </w:p>
        </w:tc>
        <w:tc>
          <w:tcPr>
            <w:tcW w:w="721" w:type="pct"/>
            <w:tcBorders>
              <w:top w:val="nil"/>
              <w:left w:val="nil"/>
              <w:bottom w:val="nil"/>
              <w:right w:val="nil"/>
            </w:tcBorders>
            <w:vAlign w:val="center"/>
          </w:tcPr>
          <w:p w14:paraId="6D1A9F8E" w14:textId="41FB6208"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w:t>
            </w:r>
          </w:p>
        </w:tc>
        <w:tc>
          <w:tcPr>
            <w:tcW w:w="715" w:type="pct"/>
            <w:tcBorders>
              <w:top w:val="nil"/>
              <w:left w:val="nil"/>
              <w:bottom w:val="nil"/>
              <w:right w:val="nil"/>
            </w:tcBorders>
            <w:vAlign w:val="center"/>
          </w:tcPr>
          <w:p w14:paraId="31680CD0" w14:textId="63EC9C1B" w:rsidR="00BA214E" w:rsidRPr="00D63DF2" w:rsidRDefault="00FC4A28">
            <w:pPr>
              <w:jc w:val="right"/>
              <w:rPr>
                <w:rFonts w:ascii="Calibri" w:hAnsi="Calibri" w:cs="Calibri"/>
                <w:color w:val="000000"/>
                <w:sz w:val="20"/>
                <w:szCs w:val="20"/>
              </w:rPr>
            </w:pPr>
            <w:r w:rsidRPr="00A42E1A">
              <w:rPr>
                <w:rFonts w:asciiTheme="minorHAnsi" w:hAnsiTheme="minorHAnsi" w:cstheme="minorHAnsi"/>
                <w:color w:val="000000"/>
                <w:sz w:val="20"/>
                <w:szCs w:val="20"/>
              </w:rPr>
              <w:t>(0.2)</w:t>
            </w:r>
          </w:p>
        </w:tc>
      </w:tr>
      <w:tr w:rsidR="00F50C51" w:rsidRPr="00D63DF2" w14:paraId="267C3D17" w14:textId="77777777" w:rsidTr="00170439">
        <w:trPr>
          <w:gridAfter w:val="1"/>
          <w:wAfter w:w="9" w:type="pct"/>
          <w:trHeight w:val="294"/>
        </w:trPr>
        <w:tc>
          <w:tcPr>
            <w:tcW w:w="2118" w:type="pct"/>
            <w:gridSpan w:val="3"/>
            <w:tcBorders>
              <w:top w:val="nil"/>
              <w:left w:val="nil"/>
              <w:bottom w:val="nil"/>
              <w:right w:val="nil"/>
            </w:tcBorders>
            <w:vAlign w:val="center"/>
          </w:tcPr>
          <w:p w14:paraId="5B0C405F" w14:textId="106DCCAC" w:rsidR="00F50C51" w:rsidRDefault="00F50C51" w:rsidP="00F50C51">
            <w:pPr>
              <w:rPr>
                <w:rFonts w:ascii="Calibri" w:hAnsi="Calibri" w:cs="Calibri"/>
                <w:color w:val="000000"/>
                <w:sz w:val="20"/>
                <w:szCs w:val="20"/>
              </w:rPr>
            </w:pPr>
            <w:r>
              <w:rPr>
                <w:rFonts w:ascii="Calibri" w:hAnsi="Calibri" w:cs="Calibri"/>
                <w:color w:val="000000"/>
                <w:sz w:val="20"/>
                <w:szCs w:val="20"/>
              </w:rPr>
              <w:t>Personal loans (discontinued operation)</w:t>
            </w:r>
          </w:p>
        </w:tc>
        <w:tc>
          <w:tcPr>
            <w:tcW w:w="719" w:type="pct"/>
            <w:tcBorders>
              <w:top w:val="nil"/>
              <w:left w:val="nil"/>
              <w:bottom w:val="nil"/>
              <w:right w:val="nil"/>
            </w:tcBorders>
            <w:vAlign w:val="center"/>
          </w:tcPr>
          <w:p w14:paraId="000E5A1A" w14:textId="76E0C986" w:rsidR="00F50C51" w:rsidRPr="00A42E1A" w:rsidRDefault="00F50C51" w:rsidP="00F50C51">
            <w:pPr>
              <w:jc w:val="right"/>
              <w:rPr>
                <w:rFonts w:asciiTheme="minorHAnsi" w:hAnsiTheme="minorHAnsi" w:cstheme="minorHAnsi"/>
                <w:color w:val="000000"/>
                <w:sz w:val="20"/>
                <w:szCs w:val="20"/>
              </w:rPr>
            </w:pPr>
            <w:r>
              <w:rPr>
                <w:rFonts w:ascii="Calibri" w:hAnsi="Calibri" w:cs="Calibri"/>
                <w:color w:val="000000"/>
                <w:sz w:val="20"/>
                <w:szCs w:val="20"/>
              </w:rPr>
              <w:t>(2.8)</w:t>
            </w:r>
          </w:p>
        </w:tc>
        <w:tc>
          <w:tcPr>
            <w:tcW w:w="720" w:type="pct"/>
            <w:tcBorders>
              <w:top w:val="nil"/>
              <w:left w:val="nil"/>
              <w:bottom w:val="nil"/>
              <w:right w:val="nil"/>
            </w:tcBorders>
            <w:vAlign w:val="center"/>
          </w:tcPr>
          <w:p w14:paraId="41A345E7" w14:textId="28A02174" w:rsidR="00F50C51" w:rsidRPr="00A42E1A" w:rsidRDefault="00F50C51" w:rsidP="00F50C51">
            <w:pPr>
              <w:jc w:val="right"/>
              <w:rPr>
                <w:rFonts w:asciiTheme="minorHAnsi" w:hAnsiTheme="minorHAnsi" w:cstheme="minorHAnsi"/>
                <w:color w:val="000000"/>
                <w:sz w:val="20"/>
                <w:szCs w:val="20"/>
              </w:rPr>
            </w:pPr>
            <w:r>
              <w:rPr>
                <w:rFonts w:ascii="Calibri" w:hAnsi="Calibri" w:cs="Calibri"/>
                <w:color w:val="000000"/>
                <w:sz w:val="20"/>
                <w:szCs w:val="20"/>
              </w:rPr>
              <w:t>(0.9)</w:t>
            </w:r>
          </w:p>
        </w:tc>
        <w:tc>
          <w:tcPr>
            <w:tcW w:w="721" w:type="pct"/>
            <w:tcBorders>
              <w:top w:val="nil"/>
              <w:left w:val="nil"/>
              <w:bottom w:val="nil"/>
              <w:right w:val="nil"/>
            </w:tcBorders>
            <w:vAlign w:val="center"/>
          </w:tcPr>
          <w:p w14:paraId="2FBD7A13" w14:textId="223017B7" w:rsidR="00F50C51" w:rsidRPr="00A42E1A" w:rsidRDefault="00F50C51" w:rsidP="00F50C51">
            <w:pPr>
              <w:jc w:val="right"/>
              <w:rPr>
                <w:rFonts w:asciiTheme="minorHAnsi" w:hAnsiTheme="minorHAnsi" w:cstheme="minorHAnsi"/>
                <w:color w:val="000000"/>
                <w:sz w:val="20"/>
                <w:szCs w:val="20"/>
              </w:rPr>
            </w:pPr>
            <w:r>
              <w:rPr>
                <w:rFonts w:ascii="Calibri" w:hAnsi="Calibri" w:cs="Calibri"/>
                <w:color w:val="000000"/>
                <w:sz w:val="20"/>
                <w:szCs w:val="20"/>
              </w:rPr>
              <w:t>(1.4)</w:t>
            </w:r>
          </w:p>
        </w:tc>
        <w:tc>
          <w:tcPr>
            <w:tcW w:w="715" w:type="pct"/>
            <w:tcBorders>
              <w:top w:val="nil"/>
              <w:left w:val="nil"/>
              <w:bottom w:val="nil"/>
              <w:right w:val="nil"/>
            </w:tcBorders>
            <w:vAlign w:val="center"/>
          </w:tcPr>
          <w:p w14:paraId="1300F323" w14:textId="2A0A8047" w:rsidR="00F50C51" w:rsidRPr="00A42E1A" w:rsidRDefault="00F50C51" w:rsidP="00F50C51">
            <w:pPr>
              <w:jc w:val="right"/>
              <w:rPr>
                <w:rFonts w:asciiTheme="minorHAnsi" w:hAnsiTheme="minorHAnsi" w:cstheme="minorHAnsi"/>
                <w:color w:val="000000"/>
                <w:sz w:val="20"/>
                <w:szCs w:val="20"/>
              </w:rPr>
            </w:pPr>
            <w:r>
              <w:rPr>
                <w:rFonts w:ascii="Calibri" w:hAnsi="Calibri" w:cs="Calibri"/>
                <w:color w:val="000000"/>
                <w:sz w:val="20"/>
                <w:szCs w:val="20"/>
              </w:rPr>
              <w:t>(5.1)</w:t>
            </w:r>
          </w:p>
        </w:tc>
      </w:tr>
      <w:tr w:rsidR="00BA214E" w14:paraId="2FDFD1F3" w14:textId="77777777" w:rsidTr="00170439">
        <w:trPr>
          <w:gridAfter w:val="1"/>
          <w:wAfter w:w="9" w:type="pct"/>
          <w:trHeight w:val="294"/>
        </w:trPr>
        <w:tc>
          <w:tcPr>
            <w:tcW w:w="2118" w:type="pct"/>
            <w:gridSpan w:val="3"/>
            <w:tcBorders>
              <w:top w:val="nil"/>
              <w:left w:val="nil"/>
              <w:bottom w:val="nil"/>
              <w:right w:val="nil"/>
            </w:tcBorders>
            <w:vAlign w:val="center"/>
            <w:hideMark/>
          </w:tcPr>
          <w:p w14:paraId="10A51245" w14:textId="4A7323A9" w:rsidR="00BA214E" w:rsidRDefault="00F50C51">
            <w:pPr>
              <w:rPr>
                <w:rFonts w:ascii="Calibri" w:hAnsi="Calibri" w:cs="Calibri"/>
                <w:b/>
                <w:bCs/>
                <w:color w:val="000000"/>
                <w:sz w:val="20"/>
                <w:szCs w:val="20"/>
              </w:rPr>
            </w:pPr>
            <w:r>
              <w:rPr>
                <w:rFonts w:ascii="Calibri" w:hAnsi="Calibri" w:cs="Calibri"/>
                <w:b/>
                <w:bCs/>
                <w:color w:val="000000"/>
                <w:sz w:val="20"/>
                <w:szCs w:val="20"/>
              </w:rPr>
              <w:t>Total</w:t>
            </w:r>
          </w:p>
        </w:tc>
        <w:tc>
          <w:tcPr>
            <w:tcW w:w="719" w:type="pct"/>
            <w:tcBorders>
              <w:top w:val="single" w:sz="8" w:space="0" w:color="auto"/>
              <w:left w:val="nil"/>
              <w:bottom w:val="single" w:sz="8" w:space="0" w:color="auto"/>
              <w:right w:val="nil"/>
            </w:tcBorders>
            <w:vAlign w:val="center"/>
          </w:tcPr>
          <w:p w14:paraId="27BA8AF4" w14:textId="3028567A" w:rsidR="00BA214E" w:rsidRDefault="00874AB2">
            <w:pPr>
              <w:jc w:val="right"/>
              <w:rPr>
                <w:rFonts w:ascii="Calibri" w:hAnsi="Calibri" w:cs="Calibri"/>
                <w:b/>
                <w:bCs/>
                <w:color w:val="000000"/>
                <w:sz w:val="20"/>
                <w:szCs w:val="20"/>
              </w:rPr>
            </w:pPr>
            <w:r>
              <w:rPr>
                <w:rFonts w:ascii="Calibri" w:hAnsi="Calibri" w:cs="Calibri"/>
                <w:b/>
                <w:bCs/>
                <w:color w:val="000000"/>
                <w:sz w:val="20"/>
                <w:szCs w:val="20"/>
              </w:rPr>
              <w:t>(</w:t>
            </w:r>
            <w:r w:rsidR="00F50C51">
              <w:rPr>
                <w:rFonts w:ascii="Calibri" w:hAnsi="Calibri" w:cs="Calibri"/>
                <w:b/>
                <w:bCs/>
                <w:color w:val="000000"/>
                <w:sz w:val="20"/>
                <w:szCs w:val="20"/>
              </w:rPr>
              <w:t>94.4</w:t>
            </w:r>
            <w:r>
              <w:rPr>
                <w:rFonts w:ascii="Calibri" w:hAnsi="Calibri" w:cs="Calibri"/>
                <w:b/>
                <w:bCs/>
                <w:color w:val="000000"/>
                <w:sz w:val="20"/>
                <w:szCs w:val="20"/>
              </w:rPr>
              <w:t>)</w:t>
            </w:r>
          </w:p>
        </w:tc>
        <w:tc>
          <w:tcPr>
            <w:tcW w:w="720" w:type="pct"/>
            <w:tcBorders>
              <w:top w:val="single" w:sz="8" w:space="0" w:color="auto"/>
              <w:left w:val="nil"/>
              <w:bottom w:val="single" w:sz="8" w:space="0" w:color="auto"/>
              <w:right w:val="nil"/>
            </w:tcBorders>
            <w:vAlign w:val="center"/>
          </w:tcPr>
          <w:p w14:paraId="3A717AB9" w14:textId="5216FEEA" w:rsidR="00BA214E" w:rsidRDefault="00874AB2">
            <w:pPr>
              <w:jc w:val="right"/>
              <w:rPr>
                <w:rFonts w:ascii="Calibri" w:hAnsi="Calibri" w:cs="Calibri"/>
                <w:b/>
                <w:bCs/>
                <w:color w:val="000000"/>
                <w:sz w:val="20"/>
                <w:szCs w:val="20"/>
              </w:rPr>
            </w:pPr>
            <w:r>
              <w:rPr>
                <w:rFonts w:ascii="Calibri" w:hAnsi="Calibri" w:cs="Calibri"/>
                <w:b/>
                <w:bCs/>
                <w:color w:val="000000"/>
                <w:sz w:val="20"/>
                <w:szCs w:val="20"/>
              </w:rPr>
              <w:t>(</w:t>
            </w:r>
            <w:r w:rsidR="00F50C51">
              <w:rPr>
                <w:rFonts w:ascii="Calibri" w:hAnsi="Calibri" w:cs="Calibri"/>
                <w:b/>
                <w:bCs/>
                <w:color w:val="000000"/>
                <w:sz w:val="20"/>
                <w:szCs w:val="20"/>
              </w:rPr>
              <w:t>67.2</w:t>
            </w:r>
            <w:r>
              <w:rPr>
                <w:rFonts w:ascii="Calibri" w:hAnsi="Calibri" w:cs="Calibri"/>
                <w:b/>
                <w:bCs/>
                <w:color w:val="000000"/>
                <w:sz w:val="20"/>
                <w:szCs w:val="20"/>
              </w:rPr>
              <w:t>)</w:t>
            </w:r>
          </w:p>
        </w:tc>
        <w:tc>
          <w:tcPr>
            <w:tcW w:w="721" w:type="pct"/>
            <w:tcBorders>
              <w:top w:val="single" w:sz="8" w:space="0" w:color="auto"/>
              <w:left w:val="nil"/>
              <w:bottom w:val="single" w:sz="8" w:space="0" w:color="auto"/>
              <w:right w:val="nil"/>
            </w:tcBorders>
            <w:vAlign w:val="center"/>
          </w:tcPr>
          <w:p w14:paraId="2E7DDB02" w14:textId="0ACA6524" w:rsidR="00BA214E" w:rsidRDefault="00874AB2">
            <w:pPr>
              <w:jc w:val="right"/>
              <w:rPr>
                <w:rFonts w:ascii="Calibri" w:hAnsi="Calibri" w:cs="Calibri"/>
                <w:b/>
                <w:bCs/>
                <w:color w:val="000000"/>
                <w:sz w:val="20"/>
                <w:szCs w:val="20"/>
              </w:rPr>
            </w:pPr>
            <w:r>
              <w:rPr>
                <w:rFonts w:ascii="Calibri" w:hAnsi="Calibri" w:cs="Calibri"/>
                <w:b/>
                <w:bCs/>
                <w:color w:val="000000"/>
                <w:sz w:val="20"/>
                <w:szCs w:val="20"/>
              </w:rPr>
              <w:t>(</w:t>
            </w:r>
            <w:r w:rsidR="00F50C51">
              <w:rPr>
                <w:rFonts w:ascii="Calibri" w:hAnsi="Calibri" w:cs="Calibri"/>
                <w:b/>
                <w:bCs/>
                <w:color w:val="000000"/>
                <w:sz w:val="20"/>
                <w:szCs w:val="20"/>
              </w:rPr>
              <w:t>100.2</w:t>
            </w:r>
            <w:r>
              <w:rPr>
                <w:rFonts w:ascii="Calibri" w:hAnsi="Calibri" w:cs="Calibri"/>
                <w:b/>
                <w:bCs/>
                <w:color w:val="000000"/>
                <w:sz w:val="20"/>
                <w:szCs w:val="20"/>
              </w:rPr>
              <w:t>)</w:t>
            </w:r>
          </w:p>
        </w:tc>
        <w:tc>
          <w:tcPr>
            <w:tcW w:w="715" w:type="pct"/>
            <w:tcBorders>
              <w:top w:val="single" w:sz="8" w:space="0" w:color="auto"/>
              <w:left w:val="nil"/>
              <w:bottom w:val="single" w:sz="8" w:space="0" w:color="auto"/>
              <w:right w:val="nil"/>
            </w:tcBorders>
            <w:vAlign w:val="center"/>
          </w:tcPr>
          <w:p w14:paraId="2D47A05D" w14:textId="62518C26" w:rsidR="00BA214E" w:rsidRDefault="00874AB2">
            <w:pPr>
              <w:jc w:val="right"/>
              <w:rPr>
                <w:rFonts w:ascii="Calibri" w:hAnsi="Calibri" w:cs="Calibri"/>
                <w:b/>
                <w:bCs/>
                <w:color w:val="000000"/>
                <w:sz w:val="20"/>
                <w:szCs w:val="20"/>
              </w:rPr>
            </w:pPr>
            <w:r>
              <w:rPr>
                <w:rFonts w:ascii="Calibri" w:hAnsi="Calibri" w:cs="Calibri"/>
                <w:b/>
                <w:bCs/>
                <w:color w:val="000000"/>
                <w:sz w:val="20"/>
                <w:szCs w:val="20"/>
              </w:rPr>
              <w:t>(</w:t>
            </w:r>
            <w:r w:rsidR="00F50C51">
              <w:rPr>
                <w:rFonts w:ascii="Calibri" w:hAnsi="Calibri" w:cs="Calibri"/>
                <w:b/>
                <w:bCs/>
                <w:color w:val="000000"/>
                <w:sz w:val="20"/>
                <w:szCs w:val="20"/>
              </w:rPr>
              <w:t>261.8</w:t>
            </w:r>
            <w:r>
              <w:rPr>
                <w:rFonts w:ascii="Calibri" w:hAnsi="Calibri" w:cs="Calibri"/>
                <w:b/>
                <w:bCs/>
                <w:color w:val="000000"/>
                <w:sz w:val="20"/>
                <w:szCs w:val="20"/>
              </w:rPr>
              <w:t>)</w:t>
            </w:r>
          </w:p>
        </w:tc>
      </w:tr>
      <w:tr w:rsidR="00BA214E" w14:paraId="3905A810" w14:textId="77777777" w:rsidTr="00170439">
        <w:trPr>
          <w:gridAfter w:val="1"/>
          <w:wAfter w:w="9" w:type="pct"/>
          <w:trHeight w:val="279"/>
        </w:trPr>
        <w:tc>
          <w:tcPr>
            <w:tcW w:w="2118" w:type="pct"/>
            <w:gridSpan w:val="3"/>
            <w:tcBorders>
              <w:top w:val="nil"/>
              <w:left w:val="nil"/>
              <w:bottom w:val="nil"/>
              <w:right w:val="nil"/>
            </w:tcBorders>
            <w:vAlign w:val="center"/>
            <w:hideMark/>
          </w:tcPr>
          <w:p w14:paraId="388619AA" w14:textId="77777777" w:rsidR="00BA214E" w:rsidRDefault="00BA214E">
            <w:pPr>
              <w:jc w:val="right"/>
              <w:rPr>
                <w:rFonts w:ascii="Calibri" w:hAnsi="Calibri" w:cs="Calibri"/>
                <w:b/>
                <w:bCs/>
                <w:color w:val="000000"/>
                <w:sz w:val="20"/>
                <w:szCs w:val="20"/>
              </w:rPr>
            </w:pPr>
          </w:p>
        </w:tc>
        <w:tc>
          <w:tcPr>
            <w:tcW w:w="719" w:type="pct"/>
            <w:tcBorders>
              <w:top w:val="nil"/>
              <w:left w:val="nil"/>
              <w:bottom w:val="nil"/>
              <w:right w:val="nil"/>
            </w:tcBorders>
            <w:vAlign w:val="center"/>
          </w:tcPr>
          <w:p w14:paraId="0B93660E" w14:textId="77777777" w:rsidR="00BA214E" w:rsidRDefault="00BA214E">
            <w:pPr>
              <w:rPr>
                <w:sz w:val="20"/>
                <w:szCs w:val="20"/>
              </w:rPr>
            </w:pPr>
          </w:p>
        </w:tc>
        <w:tc>
          <w:tcPr>
            <w:tcW w:w="720" w:type="pct"/>
            <w:tcBorders>
              <w:top w:val="nil"/>
              <w:left w:val="nil"/>
              <w:bottom w:val="nil"/>
              <w:right w:val="nil"/>
            </w:tcBorders>
            <w:vAlign w:val="center"/>
          </w:tcPr>
          <w:p w14:paraId="30BECBA7" w14:textId="77777777" w:rsidR="00BA214E" w:rsidRDefault="00BA214E">
            <w:pPr>
              <w:jc w:val="right"/>
              <w:rPr>
                <w:sz w:val="20"/>
                <w:szCs w:val="20"/>
              </w:rPr>
            </w:pPr>
          </w:p>
        </w:tc>
        <w:tc>
          <w:tcPr>
            <w:tcW w:w="721" w:type="pct"/>
            <w:tcBorders>
              <w:top w:val="nil"/>
              <w:left w:val="nil"/>
              <w:bottom w:val="nil"/>
              <w:right w:val="nil"/>
            </w:tcBorders>
            <w:vAlign w:val="center"/>
          </w:tcPr>
          <w:p w14:paraId="229791B9" w14:textId="77777777" w:rsidR="00BA214E" w:rsidRDefault="00BA214E">
            <w:pPr>
              <w:jc w:val="right"/>
              <w:rPr>
                <w:sz w:val="20"/>
                <w:szCs w:val="20"/>
              </w:rPr>
            </w:pPr>
          </w:p>
        </w:tc>
        <w:tc>
          <w:tcPr>
            <w:tcW w:w="715" w:type="pct"/>
            <w:tcBorders>
              <w:top w:val="nil"/>
              <w:left w:val="nil"/>
              <w:bottom w:val="nil"/>
              <w:right w:val="nil"/>
            </w:tcBorders>
            <w:vAlign w:val="center"/>
          </w:tcPr>
          <w:p w14:paraId="2BBE27B2" w14:textId="77777777" w:rsidR="00BA214E" w:rsidRDefault="00BA214E">
            <w:pPr>
              <w:jc w:val="right"/>
              <w:rPr>
                <w:sz w:val="20"/>
                <w:szCs w:val="20"/>
              </w:rPr>
            </w:pPr>
          </w:p>
        </w:tc>
      </w:tr>
      <w:tr w:rsidR="00BA214E" w14:paraId="29F56E2A" w14:textId="77777777" w:rsidTr="00170439">
        <w:trPr>
          <w:gridAfter w:val="1"/>
          <w:wAfter w:w="9" w:type="pct"/>
          <w:trHeight w:val="279"/>
        </w:trPr>
        <w:tc>
          <w:tcPr>
            <w:tcW w:w="2118" w:type="pct"/>
            <w:gridSpan w:val="3"/>
            <w:tcBorders>
              <w:top w:val="nil"/>
              <w:left w:val="nil"/>
              <w:bottom w:val="nil"/>
              <w:right w:val="nil"/>
            </w:tcBorders>
            <w:vAlign w:val="center"/>
            <w:hideMark/>
          </w:tcPr>
          <w:p w14:paraId="290D43D5" w14:textId="77777777" w:rsidR="00BA214E" w:rsidRDefault="00BA214E">
            <w:pPr>
              <w:rPr>
                <w:rFonts w:ascii="Calibri" w:hAnsi="Calibri" w:cs="Calibri"/>
                <w:b/>
                <w:bCs/>
                <w:color w:val="000000"/>
                <w:sz w:val="20"/>
                <w:szCs w:val="20"/>
              </w:rPr>
            </w:pPr>
            <w:r>
              <w:rPr>
                <w:rFonts w:ascii="Calibri" w:hAnsi="Calibri" w:cs="Calibri"/>
                <w:b/>
                <w:bCs/>
                <w:color w:val="000000"/>
                <w:sz w:val="20"/>
                <w:szCs w:val="20"/>
              </w:rPr>
              <w:t>Net receivables</w:t>
            </w:r>
          </w:p>
        </w:tc>
        <w:tc>
          <w:tcPr>
            <w:tcW w:w="719" w:type="pct"/>
            <w:tcBorders>
              <w:top w:val="nil"/>
              <w:left w:val="nil"/>
              <w:bottom w:val="nil"/>
              <w:right w:val="nil"/>
            </w:tcBorders>
            <w:vAlign w:val="center"/>
          </w:tcPr>
          <w:p w14:paraId="7CF009EF" w14:textId="77777777" w:rsidR="00BA214E" w:rsidRPr="00D63DF2" w:rsidRDefault="00BA214E">
            <w:pPr>
              <w:rPr>
                <w:rFonts w:ascii="Calibri" w:hAnsi="Calibri" w:cs="Calibri"/>
                <w:color w:val="000000"/>
                <w:sz w:val="20"/>
                <w:szCs w:val="20"/>
              </w:rPr>
            </w:pPr>
          </w:p>
        </w:tc>
        <w:tc>
          <w:tcPr>
            <w:tcW w:w="720" w:type="pct"/>
            <w:tcBorders>
              <w:top w:val="nil"/>
              <w:left w:val="nil"/>
              <w:bottom w:val="nil"/>
              <w:right w:val="nil"/>
            </w:tcBorders>
            <w:vAlign w:val="center"/>
          </w:tcPr>
          <w:p w14:paraId="1FBA0193" w14:textId="77777777" w:rsidR="00BA214E" w:rsidRPr="00D63DF2" w:rsidRDefault="00BA214E">
            <w:pPr>
              <w:jc w:val="right"/>
              <w:rPr>
                <w:sz w:val="20"/>
                <w:szCs w:val="20"/>
              </w:rPr>
            </w:pPr>
          </w:p>
        </w:tc>
        <w:tc>
          <w:tcPr>
            <w:tcW w:w="721" w:type="pct"/>
            <w:tcBorders>
              <w:top w:val="nil"/>
              <w:left w:val="nil"/>
              <w:bottom w:val="nil"/>
              <w:right w:val="nil"/>
            </w:tcBorders>
            <w:vAlign w:val="center"/>
          </w:tcPr>
          <w:p w14:paraId="3DDB1FAC" w14:textId="77777777" w:rsidR="00BA214E" w:rsidRPr="00D63DF2" w:rsidRDefault="00BA214E">
            <w:pPr>
              <w:jc w:val="right"/>
              <w:rPr>
                <w:sz w:val="20"/>
                <w:szCs w:val="20"/>
              </w:rPr>
            </w:pPr>
          </w:p>
        </w:tc>
        <w:tc>
          <w:tcPr>
            <w:tcW w:w="715" w:type="pct"/>
            <w:tcBorders>
              <w:top w:val="nil"/>
              <w:left w:val="nil"/>
              <w:bottom w:val="nil"/>
              <w:right w:val="nil"/>
            </w:tcBorders>
            <w:vAlign w:val="center"/>
          </w:tcPr>
          <w:p w14:paraId="1A5AD6F6" w14:textId="77777777" w:rsidR="00BA214E" w:rsidRPr="00D63DF2" w:rsidRDefault="00BA214E">
            <w:pPr>
              <w:jc w:val="right"/>
              <w:rPr>
                <w:sz w:val="20"/>
                <w:szCs w:val="20"/>
              </w:rPr>
            </w:pPr>
          </w:p>
        </w:tc>
      </w:tr>
      <w:tr w:rsidR="00BA214E" w14:paraId="7F7DCFD4" w14:textId="77777777" w:rsidTr="00170439">
        <w:trPr>
          <w:gridAfter w:val="1"/>
          <w:wAfter w:w="9" w:type="pct"/>
          <w:trHeight w:val="279"/>
        </w:trPr>
        <w:tc>
          <w:tcPr>
            <w:tcW w:w="2118" w:type="pct"/>
            <w:gridSpan w:val="3"/>
            <w:tcBorders>
              <w:top w:val="nil"/>
              <w:left w:val="nil"/>
              <w:bottom w:val="nil"/>
              <w:right w:val="nil"/>
            </w:tcBorders>
            <w:vAlign w:val="center"/>
            <w:hideMark/>
          </w:tcPr>
          <w:p w14:paraId="47901015" w14:textId="77777777" w:rsidR="00BA214E" w:rsidRDefault="00BA214E">
            <w:pPr>
              <w:rPr>
                <w:rFonts w:ascii="Calibri" w:hAnsi="Calibri" w:cs="Calibri"/>
                <w:color w:val="000000"/>
                <w:sz w:val="20"/>
                <w:szCs w:val="20"/>
              </w:rPr>
            </w:pPr>
            <w:r>
              <w:rPr>
                <w:rFonts w:ascii="Calibri" w:hAnsi="Calibri" w:cs="Calibri"/>
                <w:color w:val="000000"/>
                <w:sz w:val="20"/>
                <w:szCs w:val="20"/>
              </w:rPr>
              <w:t>Credit cards</w:t>
            </w:r>
          </w:p>
        </w:tc>
        <w:tc>
          <w:tcPr>
            <w:tcW w:w="719" w:type="pct"/>
            <w:tcBorders>
              <w:top w:val="nil"/>
              <w:left w:val="nil"/>
              <w:bottom w:val="nil"/>
              <w:right w:val="nil"/>
            </w:tcBorders>
            <w:vAlign w:val="center"/>
          </w:tcPr>
          <w:p w14:paraId="7CC5D2C3" w14:textId="36780E3B"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1,063.3</w:t>
            </w:r>
          </w:p>
        </w:tc>
        <w:tc>
          <w:tcPr>
            <w:tcW w:w="720" w:type="pct"/>
            <w:tcBorders>
              <w:top w:val="nil"/>
              <w:left w:val="nil"/>
              <w:bottom w:val="nil"/>
              <w:right w:val="nil"/>
            </w:tcBorders>
            <w:vAlign w:val="center"/>
          </w:tcPr>
          <w:p w14:paraId="4C337A93" w14:textId="36C6C22E"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55.1</w:t>
            </w:r>
          </w:p>
        </w:tc>
        <w:tc>
          <w:tcPr>
            <w:tcW w:w="721" w:type="pct"/>
            <w:tcBorders>
              <w:top w:val="nil"/>
              <w:left w:val="nil"/>
              <w:bottom w:val="nil"/>
              <w:right w:val="nil"/>
            </w:tcBorders>
            <w:vAlign w:val="center"/>
          </w:tcPr>
          <w:p w14:paraId="6DF23D6E" w14:textId="021422E6"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31.5</w:t>
            </w:r>
          </w:p>
        </w:tc>
        <w:tc>
          <w:tcPr>
            <w:tcW w:w="715" w:type="pct"/>
            <w:tcBorders>
              <w:top w:val="nil"/>
              <w:left w:val="nil"/>
              <w:bottom w:val="nil"/>
              <w:right w:val="nil"/>
            </w:tcBorders>
            <w:vAlign w:val="center"/>
          </w:tcPr>
          <w:p w14:paraId="012B919C" w14:textId="598B9045"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1,149.9</w:t>
            </w:r>
          </w:p>
        </w:tc>
      </w:tr>
      <w:tr w:rsidR="00BA214E" w14:paraId="256C720F" w14:textId="77777777" w:rsidTr="00170439">
        <w:trPr>
          <w:gridAfter w:val="1"/>
          <w:wAfter w:w="9" w:type="pct"/>
          <w:trHeight w:val="279"/>
        </w:trPr>
        <w:tc>
          <w:tcPr>
            <w:tcW w:w="2118" w:type="pct"/>
            <w:gridSpan w:val="3"/>
            <w:tcBorders>
              <w:top w:val="nil"/>
              <w:left w:val="nil"/>
              <w:bottom w:val="nil"/>
              <w:right w:val="nil"/>
            </w:tcBorders>
            <w:vAlign w:val="center"/>
            <w:hideMark/>
          </w:tcPr>
          <w:p w14:paraId="189B0722" w14:textId="5F06B0D1" w:rsidR="00BA214E" w:rsidRDefault="00BA214E">
            <w:pPr>
              <w:rPr>
                <w:rFonts w:ascii="Calibri" w:hAnsi="Calibri" w:cs="Calibri"/>
                <w:color w:val="000000"/>
                <w:sz w:val="20"/>
                <w:szCs w:val="20"/>
              </w:rPr>
            </w:pPr>
            <w:r>
              <w:rPr>
                <w:rFonts w:ascii="Calibri" w:hAnsi="Calibri" w:cs="Calibri"/>
                <w:color w:val="000000"/>
                <w:sz w:val="20"/>
                <w:szCs w:val="20"/>
              </w:rPr>
              <w:t xml:space="preserve">Vehicle finance </w:t>
            </w:r>
          </w:p>
        </w:tc>
        <w:tc>
          <w:tcPr>
            <w:tcW w:w="719" w:type="pct"/>
            <w:tcBorders>
              <w:top w:val="nil"/>
              <w:left w:val="nil"/>
              <w:bottom w:val="nil"/>
              <w:right w:val="nil"/>
            </w:tcBorders>
            <w:vAlign w:val="center"/>
          </w:tcPr>
          <w:p w14:paraId="0E6D5FD2" w14:textId="5A2A822E"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588.1</w:t>
            </w:r>
          </w:p>
        </w:tc>
        <w:tc>
          <w:tcPr>
            <w:tcW w:w="720" w:type="pct"/>
            <w:tcBorders>
              <w:top w:val="nil"/>
              <w:left w:val="nil"/>
              <w:bottom w:val="nil"/>
              <w:right w:val="nil"/>
            </w:tcBorders>
            <w:vAlign w:val="center"/>
          </w:tcPr>
          <w:p w14:paraId="1501C52C" w14:textId="2BD10AC2"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98.6</w:t>
            </w:r>
          </w:p>
        </w:tc>
        <w:tc>
          <w:tcPr>
            <w:tcW w:w="721" w:type="pct"/>
            <w:tcBorders>
              <w:top w:val="nil"/>
              <w:left w:val="nil"/>
              <w:bottom w:val="nil"/>
              <w:right w:val="nil"/>
            </w:tcBorders>
            <w:vAlign w:val="center"/>
          </w:tcPr>
          <w:p w14:paraId="7FF5E034" w14:textId="0D968B79"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48.7</w:t>
            </w:r>
          </w:p>
        </w:tc>
        <w:tc>
          <w:tcPr>
            <w:tcW w:w="715" w:type="pct"/>
            <w:tcBorders>
              <w:top w:val="nil"/>
              <w:left w:val="nil"/>
              <w:bottom w:val="nil"/>
              <w:right w:val="nil"/>
            </w:tcBorders>
            <w:vAlign w:val="center"/>
          </w:tcPr>
          <w:p w14:paraId="16A72613" w14:textId="63715003"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735.4</w:t>
            </w:r>
          </w:p>
        </w:tc>
      </w:tr>
      <w:tr w:rsidR="00BA214E" w14:paraId="4C538307" w14:textId="77777777" w:rsidTr="00170439">
        <w:trPr>
          <w:gridAfter w:val="1"/>
          <w:wAfter w:w="9" w:type="pct"/>
          <w:trHeight w:val="294"/>
        </w:trPr>
        <w:tc>
          <w:tcPr>
            <w:tcW w:w="2118" w:type="pct"/>
            <w:gridSpan w:val="3"/>
            <w:tcBorders>
              <w:top w:val="nil"/>
              <w:left w:val="nil"/>
              <w:bottom w:val="nil"/>
              <w:right w:val="nil"/>
            </w:tcBorders>
            <w:vAlign w:val="center"/>
            <w:hideMark/>
          </w:tcPr>
          <w:p w14:paraId="3C90FA11" w14:textId="77777777" w:rsidR="00BA214E" w:rsidRDefault="00BA214E">
            <w:pPr>
              <w:rPr>
                <w:rFonts w:ascii="Calibri" w:hAnsi="Calibri" w:cs="Calibri"/>
                <w:color w:val="000000"/>
                <w:sz w:val="20"/>
                <w:szCs w:val="20"/>
              </w:rPr>
            </w:pPr>
            <w:r>
              <w:rPr>
                <w:rFonts w:ascii="Calibri" w:hAnsi="Calibri" w:cs="Calibri"/>
                <w:color w:val="000000"/>
                <w:sz w:val="20"/>
                <w:szCs w:val="20"/>
              </w:rPr>
              <w:t>Second charge mortgages</w:t>
            </w:r>
          </w:p>
        </w:tc>
        <w:tc>
          <w:tcPr>
            <w:tcW w:w="719" w:type="pct"/>
            <w:tcBorders>
              <w:top w:val="nil"/>
              <w:left w:val="nil"/>
              <w:bottom w:val="nil"/>
              <w:right w:val="nil"/>
            </w:tcBorders>
            <w:vAlign w:val="center"/>
          </w:tcPr>
          <w:p w14:paraId="20D6328A" w14:textId="0D175FA1"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224.1</w:t>
            </w:r>
          </w:p>
        </w:tc>
        <w:tc>
          <w:tcPr>
            <w:tcW w:w="720" w:type="pct"/>
            <w:tcBorders>
              <w:top w:val="nil"/>
              <w:left w:val="nil"/>
              <w:bottom w:val="nil"/>
              <w:right w:val="nil"/>
            </w:tcBorders>
            <w:vAlign w:val="center"/>
          </w:tcPr>
          <w:p w14:paraId="545D908E" w14:textId="54BC637A"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1.1</w:t>
            </w:r>
          </w:p>
        </w:tc>
        <w:tc>
          <w:tcPr>
            <w:tcW w:w="721" w:type="pct"/>
            <w:tcBorders>
              <w:top w:val="nil"/>
              <w:left w:val="nil"/>
              <w:bottom w:val="nil"/>
              <w:right w:val="nil"/>
            </w:tcBorders>
            <w:vAlign w:val="center"/>
          </w:tcPr>
          <w:p w14:paraId="247F68CF" w14:textId="5A411DCE"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0.1</w:t>
            </w:r>
          </w:p>
        </w:tc>
        <w:tc>
          <w:tcPr>
            <w:tcW w:w="715" w:type="pct"/>
            <w:tcBorders>
              <w:top w:val="nil"/>
              <w:left w:val="nil"/>
              <w:bottom w:val="nil"/>
              <w:right w:val="nil"/>
            </w:tcBorders>
            <w:vAlign w:val="center"/>
          </w:tcPr>
          <w:p w14:paraId="46E4A324" w14:textId="0F21438D" w:rsidR="00BA214E" w:rsidRPr="00D63DF2" w:rsidRDefault="00A42E1A">
            <w:pPr>
              <w:jc w:val="right"/>
              <w:rPr>
                <w:rFonts w:ascii="Calibri" w:hAnsi="Calibri" w:cs="Calibri"/>
                <w:color w:val="000000"/>
                <w:sz w:val="20"/>
                <w:szCs w:val="20"/>
              </w:rPr>
            </w:pPr>
            <w:r w:rsidRPr="00A42E1A">
              <w:rPr>
                <w:rFonts w:asciiTheme="minorHAnsi" w:hAnsiTheme="minorHAnsi" w:cstheme="minorHAnsi"/>
                <w:color w:val="000000"/>
                <w:sz w:val="20"/>
                <w:szCs w:val="20"/>
              </w:rPr>
              <w:t>225.3</w:t>
            </w:r>
          </w:p>
        </w:tc>
      </w:tr>
      <w:tr w:rsidR="0008541D" w14:paraId="799F80E4" w14:textId="77777777" w:rsidTr="00170439">
        <w:trPr>
          <w:gridAfter w:val="1"/>
          <w:wAfter w:w="9" w:type="pct"/>
          <w:trHeight w:val="294"/>
        </w:trPr>
        <w:tc>
          <w:tcPr>
            <w:tcW w:w="2118" w:type="pct"/>
            <w:gridSpan w:val="3"/>
            <w:tcBorders>
              <w:top w:val="nil"/>
              <w:left w:val="nil"/>
              <w:bottom w:val="nil"/>
              <w:right w:val="nil"/>
            </w:tcBorders>
            <w:vAlign w:val="center"/>
          </w:tcPr>
          <w:p w14:paraId="45B380B0" w14:textId="7720AD93" w:rsidR="0008541D" w:rsidRDefault="0008541D" w:rsidP="0008541D">
            <w:pPr>
              <w:rPr>
                <w:rFonts w:ascii="Calibri" w:hAnsi="Calibri" w:cs="Calibri"/>
                <w:color w:val="000000"/>
                <w:sz w:val="20"/>
                <w:szCs w:val="20"/>
              </w:rPr>
            </w:pPr>
            <w:r>
              <w:rPr>
                <w:rFonts w:ascii="Calibri" w:hAnsi="Calibri" w:cs="Calibri"/>
                <w:color w:val="000000"/>
                <w:sz w:val="20"/>
                <w:szCs w:val="20"/>
              </w:rPr>
              <w:t>Personal loans (discontinued operation)</w:t>
            </w:r>
          </w:p>
        </w:tc>
        <w:tc>
          <w:tcPr>
            <w:tcW w:w="719" w:type="pct"/>
            <w:tcBorders>
              <w:top w:val="nil"/>
              <w:left w:val="nil"/>
              <w:bottom w:val="nil"/>
              <w:right w:val="nil"/>
            </w:tcBorders>
            <w:vAlign w:val="center"/>
          </w:tcPr>
          <w:p w14:paraId="125CB642" w14:textId="5C0A2B71" w:rsidR="0008541D" w:rsidRPr="00A42E1A" w:rsidRDefault="0008541D" w:rsidP="0008541D">
            <w:pPr>
              <w:jc w:val="right"/>
              <w:rPr>
                <w:rFonts w:asciiTheme="minorHAnsi" w:hAnsiTheme="minorHAnsi" w:cstheme="minorHAnsi"/>
                <w:color w:val="000000"/>
                <w:sz w:val="20"/>
                <w:szCs w:val="20"/>
              </w:rPr>
            </w:pPr>
            <w:r>
              <w:rPr>
                <w:rFonts w:ascii="Calibri" w:hAnsi="Calibri" w:cs="Calibri"/>
                <w:color w:val="000000"/>
                <w:sz w:val="20"/>
                <w:szCs w:val="20"/>
              </w:rPr>
              <w:t>41.4</w:t>
            </w:r>
          </w:p>
        </w:tc>
        <w:tc>
          <w:tcPr>
            <w:tcW w:w="720" w:type="pct"/>
            <w:tcBorders>
              <w:top w:val="nil"/>
              <w:left w:val="nil"/>
              <w:bottom w:val="nil"/>
              <w:right w:val="nil"/>
            </w:tcBorders>
            <w:vAlign w:val="center"/>
          </w:tcPr>
          <w:p w14:paraId="09C8BF0C" w14:textId="0D317215" w:rsidR="0008541D" w:rsidRPr="00A42E1A" w:rsidRDefault="0008541D" w:rsidP="0008541D">
            <w:pPr>
              <w:jc w:val="right"/>
              <w:rPr>
                <w:rFonts w:asciiTheme="minorHAnsi" w:hAnsiTheme="minorHAnsi" w:cstheme="minorHAnsi"/>
                <w:color w:val="000000"/>
                <w:sz w:val="20"/>
                <w:szCs w:val="20"/>
              </w:rPr>
            </w:pPr>
            <w:r>
              <w:rPr>
                <w:rFonts w:ascii="Calibri" w:hAnsi="Calibri" w:cs="Calibri"/>
                <w:color w:val="000000"/>
                <w:sz w:val="20"/>
                <w:szCs w:val="20"/>
              </w:rPr>
              <w:t>1.5</w:t>
            </w:r>
          </w:p>
        </w:tc>
        <w:tc>
          <w:tcPr>
            <w:tcW w:w="721" w:type="pct"/>
            <w:tcBorders>
              <w:top w:val="nil"/>
              <w:left w:val="nil"/>
              <w:bottom w:val="nil"/>
              <w:right w:val="nil"/>
            </w:tcBorders>
            <w:vAlign w:val="center"/>
          </w:tcPr>
          <w:p w14:paraId="7555E441" w14:textId="3CF255EA" w:rsidR="0008541D" w:rsidRPr="00A42E1A" w:rsidRDefault="0008541D" w:rsidP="0008541D">
            <w:pPr>
              <w:jc w:val="right"/>
              <w:rPr>
                <w:rFonts w:asciiTheme="minorHAnsi" w:hAnsiTheme="minorHAnsi" w:cstheme="minorHAnsi"/>
                <w:color w:val="000000"/>
                <w:sz w:val="20"/>
                <w:szCs w:val="20"/>
              </w:rPr>
            </w:pPr>
            <w:r>
              <w:rPr>
                <w:rFonts w:ascii="Calibri" w:hAnsi="Calibri" w:cs="Calibri"/>
                <w:color w:val="000000"/>
                <w:sz w:val="20"/>
                <w:szCs w:val="20"/>
              </w:rPr>
              <w:t>1.1</w:t>
            </w:r>
          </w:p>
        </w:tc>
        <w:tc>
          <w:tcPr>
            <w:tcW w:w="715" w:type="pct"/>
            <w:tcBorders>
              <w:top w:val="nil"/>
              <w:left w:val="nil"/>
              <w:bottom w:val="nil"/>
              <w:right w:val="nil"/>
            </w:tcBorders>
            <w:vAlign w:val="center"/>
          </w:tcPr>
          <w:p w14:paraId="7B229AF4" w14:textId="37D6B405" w:rsidR="0008541D" w:rsidRPr="00A42E1A" w:rsidRDefault="0008541D" w:rsidP="0008541D">
            <w:pPr>
              <w:jc w:val="right"/>
              <w:rPr>
                <w:rFonts w:asciiTheme="minorHAnsi" w:hAnsiTheme="minorHAnsi" w:cstheme="minorHAnsi"/>
                <w:color w:val="000000"/>
                <w:sz w:val="20"/>
                <w:szCs w:val="20"/>
              </w:rPr>
            </w:pPr>
            <w:r>
              <w:rPr>
                <w:rFonts w:ascii="Calibri" w:hAnsi="Calibri" w:cs="Calibri"/>
                <w:color w:val="000000"/>
                <w:sz w:val="20"/>
                <w:szCs w:val="20"/>
              </w:rPr>
              <w:t>44.0</w:t>
            </w:r>
          </w:p>
        </w:tc>
      </w:tr>
      <w:tr w:rsidR="00BA214E" w14:paraId="1A1496F8" w14:textId="77777777" w:rsidTr="00170439">
        <w:trPr>
          <w:gridAfter w:val="1"/>
          <w:wAfter w:w="9" w:type="pct"/>
          <w:trHeight w:val="294"/>
        </w:trPr>
        <w:tc>
          <w:tcPr>
            <w:tcW w:w="2118" w:type="pct"/>
            <w:gridSpan w:val="3"/>
            <w:tcBorders>
              <w:top w:val="nil"/>
              <w:left w:val="nil"/>
              <w:bottom w:val="nil"/>
              <w:right w:val="nil"/>
            </w:tcBorders>
            <w:vAlign w:val="center"/>
            <w:hideMark/>
          </w:tcPr>
          <w:p w14:paraId="3AD69369" w14:textId="3BAFDF42" w:rsidR="00BA214E" w:rsidRDefault="0008541D">
            <w:pPr>
              <w:rPr>
                <w:rFonts w:ascii="Calibri" w:hAnsi="Calibri" w:cs="Calibri"/>
                <w:b/>
                <w:bCs/>
                <w:color w:val="000000"/>
                <w:sz w:val="20"/>
                <w:szCs w:val="20"/>
              </w:rPr>
            </w:pPr>
            <w:r>
              <w:rPr>
                <w:rFonts w:ascii="Calibri" w:hAnsi="Calibri" w:cs="Calibri"/>
                <w:b/>
                <w:bCs/>
                <w:color w:val="000000"/>
                <w:sz w:val="20"/>
                <w:szCs w:val="20"/>
              </w:rPr>
              <w:t xml:space="preserve">Total </w:t>
            </w:r>
          </w:p>
        </w:tc>
        <w:tc>
          <w:tcPr>
            <w:tcW w:w="719" w:type="pct"/>
            <w:tcBorders>
              <w:top w:val="single" w:sz="8" w:space="0" w:color="auto"/>
              <w:left w:val="nil"/>
              <w:bottom w:val="single" w:sz="8" w:space="0" w:color="auto"/>
              <w:right w:val="nil"/>
            </w:tcBorders>
            <w:vAlign w:val="center"/>
          </w:tcPr>
          <w:p w14:paraId="54E20440" w14:textId="1A694606" w:rsidR="00BA214E" w:rsidRDefault="00A90D8B">
            <w:pPr>
              <w:jc w:val="right"/>
              <w:rPr>
                <w:rFonts w:ascii="Calibri" w:hAnsi="Calibri" w:cs="Calibri"/>
                <w:b/>
                <w:bCs/>
                <w:color w:val="000000"/>
                <w:sz w:val="20"/>
                <w:szCs w:val="20"/>
              </w:rPr>
            </w:pPr>
            <w:r>
              <w:rPr>
                <w:rFonts w:ascii="Calibri" w:hAnsi="Calibri" w:cs="Calibri"/>
                <w:b/>
                <w:bCs/>
                <w:color w:val="000000"/>
                <w:sz w:val="20"/>
                <w:szCs w:val="20"/>
              </w:rPr>
              <w:t>1,</w:t>
            </w:r>
            <w:r w:rsidR="0008541D">
              <w:rPr>
                <w:rFonts w:ascii="Calibri" w:hAnsi="Calibri" w:cs="Calibri"/>
                <w:b/>
                <w:bCs/>
                <w:color w:val="000000"/>
                <w:sz w:val="20"/>
                <w:szCs w:val="20"/>
              </w:rPr>
              <w:t>916.9</w:t>
            </w:r>
          </w:p>
        </w:tc>
        <w:tc>
          <w:tcPr>
            <w:tcW w:w="720" w:type="pct"/>
            <w:tcBorders>
              <w:top w:val="single" w:sz="8" w:space="0" w:color="auto"/>
              <w:left w:val="nil"/>
              <w:bottom w:val="single" w:sz="8" w:space="0" w:color="auto"/>
              <w:right w:val="nil"/>
            </w:tcBorders>
            <w:vAlign w:val="center"/>
          </w:tcPr>
          <w:p w14:paraId="7DC9F4AC" w14:textId="26898285" w:rsidR="00BA214E" w:rsidRDefault="0008541D">
            <w:pPr>
              <w:jc w:val="right"/>
              <w:rPr>
                <w:rFonts w:ascii="Calibri" w:hAnsi="Calibri" w:cs="Calibri"/>
                <w:b/>
                <w:bCs/>
                <w:color w:val="000000"/>
                <w:sz w:val="20"/>
                <w:szCs w:val="20"/>
              </w:rPr>
            </w:pPr>
            <w:r>
              <w:rPr>
                <w:rFonts w:ascii="Calibri" w:hAnsi="Calibri" w:cs="Calibri"/>
                <w:b/>
                <w:bCs/>
                <w:color w:val="000000"/>
                <w:sz w:val="20"/>
                <w:szCs w:val="20"/>
              </w:rPr>
              <w:t>156.3</w:t>
            </w:r>
          </w:p>
        </w:tc>
        <w:tc>
          <w:tcPr>
            <w:tcW w:w="721" w:type="pct"/>
            <w:tcBorders>
              <w:top w:val="single" w:sz="8" w:space="0" w:color="auto"/>
              <w:left w:val="nil"/>
              <w:bottom w:val="single" w:sz="8" w:space="0" w:color="auto"/>
              <w:right w:val="nil"/>
            </w:tcBorders>
            <w:vAlign w:val="center"/>
          </w:tcPr>
          <w:p w14:paraId="47BC5A21" w14:textId="15638F53" w:rsidR="00BA214E" w:rsidRDefault="0008541D">
            <w:pPr>
              <w:jc w:val="right"/>
              <w:rPr>
                <w:rFonts w:ascii="Calibri" w:hAnsi="Calibri" w:cs="Calibri"/>
                <w:b/>
                <w:bCs/>
                <w:color w:val="000000"/>
                <w:sz w:val="20"/>
                <w:szCs w:val="20"/>
              </w:rPr>
            </w:pPr>
            <w:r>
              <w:rPr>
                <w:rFonts w:ascii="Calibri" w:hAnsi="Calibri" w:cs="Calibri"/>
                <w:b/>
                <w:bCs/>
                <w:color w:val="000000"/>
                <w:sz w:val="20"/>
                <w:szCs w:val="20"/>
              </w:rPr>
              <w:t>81.4</w:t>
            </w:r>
          </w:p>
        </w:tc>
        <w:tc>
          <w:tcPr>
            <w:tcW w:w="715" w:type="pct"/>
            <w:tcBorders>
              <w:top w:val="single" w:sz="8" w:space="0" w:color="auto"/>
              <w:left w:val="nil"/>
              <w:bottom w:val="single" w:sz="8" w:space="0" w:color="auto"/>
              <w:right w:val="nil"/>
            </w:tcBorders>
            <w:vAlign w:val="center"/>
          </w:tcPr>
          <w:p w14:paraId="1FDA7058" w14:textId="2A2B9C30" w:rsidR="00BA214E" w:rsidRDefault="00A90D8B">
            <w:pPr>
              <w:jc w:val="right"/>
              <w:rPr>
                <w:rFonts w:ascii="Calibri" w:hAnsi="Calibri" w:cs="Calibri"/>
                <w:b/>
                <w:bCs/>
                <w:color w:val="000000"/>
                <w:sz w:val="20"/>
                <w:szCs w:val="20"/>
              </w:rPr>
            </w:pPr>
            <w:r>
              <w:rPr>
                <w:rFonts w:ascii="Calibri" w:hAnsi="Calibri" w:cs="Calibri"/>
                <w:b/>
                <w:bCs/>
                <w:color w:val="000000"/>
                <w:sz w:val="20"/>
                <w:szCs w:val="20"/>
              </w:rPr>
              <w:t>2,</w:t>
            </w:r>
            <w:r w:rsidR="0008541D">
              <w:rPr>
                <w:rFonts w:ascii="Calibri" w:hAnsi="Calibri" w:cs="Calibri"/>
                <w:b/>
                <w:bCs/>
                <w:color w:val="000000"/>
                <w:sz w:val="20"/>
                <w:szCs w:val="20"/>
              </w:rPr>
              <w:t>154</w:t>
            </w:r>
            <w:r>
              <w:rPr>
                <w:rFonts w:ascii="Calibri" w:hAnsi="Calibri" w:cs="Calibri"/>
                <w:b/>
                <w:bCs/>
                <w:color w:val="000000"/>
                <w:sz w:val="20"/>
                <w:szCs w:val="20"/>
              </w:rPr>
              <w:t>.6</w:t>
            </w:r>
          </w:p>
        </w:tc>
      </w:tr>
      <w:tr w:rsidR="00B858A9" w14:paraId="25BB22CA" w14:textId="77777777" w:rsidTr="003B7755">
        <w:trPr>
          <w:trHeight w:val="281"/>
        </w:trPr>
        <w:tc>
          <w:tcPr>
            <w:tcW w:w="700" w:type="pct"/>
            <w:tcBorders>
              <w:top w:val="nil"/>
              <w:left w:val="nil"/>
              <w:bottom w:val="nil"/>
              <w:right w:val="nil"/>
            </w:tcBorders>
            <w:vAlign w:val="center"/>
            <w:hideMark/>
          </w:tcPr>
          <w:p w14:paraId="19A8DF4F" w14:textId="77777777" w:rsidR="00B858A9" w:rsidRDefault="00B858A9">
            <w:pPr>
              <w:rPr>
                <w:sz w:val="20"/>
                <w:szCs w:val="20"/>
              </w:rPr>
            </w:pPr>
          </w:p>
        </w:tc>
        <w:tc>
          <w:tcPr>
            <w:tcW w:w="715" w:type="pct"/>
            <w:tcBorders>
              <w:top w:val="nil"/>
              <w:left w:val="nil"/>
              <w:bottom w:val="nil"/>
              <w:right w:val="nil"/>
            </w:tcBorders>
            <w:noWrap/>
            <w:vAlign w:val="bottom"/>
            <w:hideMark/>
          </w:tcPr>
          <w:p w14:paraId="7E8B8C46" w14:textId="77777777" w:rsidR="00B858A9" w:rsidRDefault="00B858A9">
            <w:pPr>
              <w:rPr>
                <w:sz w:val="20"/>
                <w:szCs w:val="20"/>
              </w:rPr>
            </w:pPr>
          </w:p>
        </w:tc>
        <w:tc>
          <w:tcPr>
            <w:tcW w:w="702" w:type="pct"/>
            <w:tcBorders>
              <w:top w:val="nil"/>
              <w:left w:val="nil"/>
              <w:bottom w:val="nil"/>
              <w:right w:val="nil"/>
            </w:tcBorders>
            <w:noWrap/>
            <w:vAlign w:val="bottom"/>
            <w:hideMark/>
          </w:tcPr>
          <w:p w14:paraId="4A914A92" w14:textId="77777777" w:rsidR="00B858A9" w:rsidRDefault="00B858A9">
            <w:pPr>
              <w:rPr>
                <w:sz w:val="20"/>
                <w:szCs w:val="20"/>
              </w:rPr>
            </w:pPr>
          </w:p>
        </w:tc>
        <w:tc>
          <w:tcPr>
            <w:tcW w:w="2883" w:type="pct"/>
            <w:gridSpan w:val="5"/>
            <w:tcBorders>
              <w:top w:val="nil"/>
              <w:left w:val="nil"/>
              <w:bottom w:val="nil"/>
              <w:right w:val="nil"/>
            </w:tcBorders>
            <w:vAlign w:val="center"/>
            <w:hideMark/>
          </w:tcPr>
          <w:p w14:paraId="42E6A7AB" w14:textId="637CD4CD" w:rsidR="00B858A9" w:rsidRDefault="00B858A9">
            <w:pPr>
              <w:jc w:val="center"/>
              <w:rPr>
                <w:rFonts w:ascii="Calibri" w:hAnsi="Calibri" w:cs="Calibri"/>
                <w:color w:val="000000"/>
                <w:sz w:val="20"/>
                <w:szCs w:val="20"/>
              </w:rPr>
            </w:pPr>
            <w:r>
              <w:rPr>
                <w:rFonts w:ascii="Calibri" w:hAnsi="Calibri" w:cs="Calibri"/>
                <w:color w:val="000000"/>
                <w:sz w:val="20"/>
                <w:szCs w:val="20"/>
              </w:rPr>
              <w:t xml:space="preserve">30 June 2024 </w:t>
            </w:r>
            <w:r w:rsidR="00A93B17">
              <w:rPr>
                <w:rFonts w:ascii="Calibri" w:hAnsi="Calibri" w:cs="Calibri"/>
                <w:color w:val="000000"/>
                <w:sz w:val="20"/>
                <w:szCs w:val="20"/>
              </w:rPr>
              <w:t>unaudited</w:t>
            </w:r>
          </w:p>
        </w:tc>
      </w:tr>
      <w:tr w:rsidR="00B858A9" w14:paraId="70EC8AFF" w14:textId="77777777" w:rsidTr="003B7755">
        <w:trPr>
          <w:trHeight w:val="281"/>
        </w:trPr>
        <w:tc>
          <w:tcPr>
            <w:tcW w:w="700" w:type="pct"/>
            <w:tcBorders>
              <w:top w:val="nil"/>
              <w:left w:val="nil"/>
              <w:bottom w:val="nil"/>
              <w:right w:val="nil"/>
            </w:tcBorders>
            <w:vAlign w:val="center"/>
            <w:hideMark/>
          </w:tcPr>
          <w:p w14:paraId="173266CB" w14:textId="77777777" w:rsidR="00B858A9" w:rsidRDefault="00B858A9">
            <w:pPr>
              <w:jc w:val="center"/>
              <w:rPr>
                <w:rFonts w:ascii="Calibri" w:hAnsi="Calibri" w:cs="Calibri"/>
                <w:color w:val="000000"/>
                <w:sz w:val="20"/>
                <w:szCs w:val="20"/>
              </w:rPr>
            </w:pPr>
          </w:p>
        </w:tc>
        <w:tc>
          <w:tcPr>
            <w:tcW w:w="715" w:type="pct"/>
            <w:tcBorders>
              <w:top w:val="nil"/>
              <w:left w:val="nil"/>
              <w:bottom w:val="nil"/>
              <w:right w:val="nil"/>
            </w:tcBorders>
            <w:noWrap/>
            <w:vAlign w:val="bottom"/>
            <w:hideMark/>
          </w:tcPr>
          <w:p w14:paraId="039E3132" w14:textId="77777777" w:rsidR="00B858A9" w:rsidRDefault="00B858A9">
            <w:pPr>
              <w:rPr>
                <w:sz w:val="20"/>
                <w:szCs w:val="20"/>
              </w:rPr>
            </w:pPr>
          </w:p>
        </w:tc>
        <w:tc>
          <w:tcPr>
            <w:tcW w:w="702" w:type="pct"/>
            <w:tcBorders>
              <w:top w:val="nil"/>
              <w:left w:val="nil"/>
              <w:bottom w:val="nil"/>
              <w:right w:val="nil"/>
            </w:tcBorders>
            <w:noWrap/>
            <w:vAlign w:val="bottom"/>
            <w:hideMark/>
          </w:tcPr>
          <w:p w14:paraId="66D20E86" w14:textId="77777777" w:rsidR="00B858A9" w:rsidRDefault="00B858A9">
            <w:pPr>
              <w:rPr>
                <w:sz w:val="20"/>
                <w:szCs w:val="20"/>
              </w:rPr>
            </w:pPr>
          </w:p>
        </w:tc>
        <w:tc>
          <w:tcPr>
            <w:tcW w:w="720" w:type="pct"/>
            <w:tcBorders>
              <w:top w:val="nil"/>
              <w:left w:val="nil"/>
              <w:bottom w:val="nil"/>
              <w:right w:val="nil"/>
            </w:tcBorders>
            <w:vAlign w:val="center"/>
            <w:hideMark/>
          </w:tcPr>
          <w:p w14:paraId="23840FD6"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Stage 1 </w:t>
            </w:r>
          </w:p>
        </w:tc>
        <w:tc>
          <w:tcPr>
            <w:tcW w:w="721" w:type="pct"/>
            <w:tcBorders>
              <w:top w:val="nil"/>
              <w:left w:val="nil"/>
              <w:bottom w:val="nil"/>
              <w:right w:val="nil"/>
            </w:tcBorders>
            <w:vAlign w:val="center"/>
            <w:hideMark/>
          </w:tcPr>
          <w:p w14:paraId="1C604076"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Stage 2  </w:t>
            </w:r>
          </w:p>
        </w:tc>
        <w:tc>
          <w:tcPr>
            <w:tcW w:w="719" w:type="pct"/>
            <w:tcBorders>
              <w:top w:val="nil"/>
              <w:left w:val="nil"/>
              <w:bottom w:val="nil"/>
              <w:right w:val="nil"/>
            </w:tcBorders>
            <w:vAlign w:val="center"/>
            <w:hideMark/>
          </w:tcPr>
          <w:p w14:paraId="3395BFCA"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Stage 3 </w:t>
            </w:r>
          </w:p>
        </w:tc>
        <w:tc>
          <w:tcPr>
            <w:tcW w:w="723" w:type="pct"/>
            <w:gridSpan w:val="2"/>
            <w:tcBorders>
              <w:top w:val="nil"/>
              <w:left w:val="nil"/>
              <w:bottom w:val="nil"/>
              <w:right w:val="nil"/>
            </w:tcBorders>
            <w:vAlign w:val="center"/>
            <w:hideMark/>
          </w:tcPr>
          <w:p w14:paraId="12EB88D2"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Total </w:t>
            </w:r>
          </w:p>
        </w:tc>
      </w:tr>
      <w:tr w:rsidR="00B858A9" w14:paraId="0344CC81" w14:textId="77777777" w:rsidTr="003B7755">
        <w:trPr>
          <w:trHeight w:val="295"/>
        </w:trPr>
        <w:tc>
          <w:tcPr>
            <w:tcW w:w="700" w:type="pct"/>
            <w:tcBorders>
              <w:top w:val="nil"/>
              <w:left w:val="nil"/>
              <w:bottom w:val="nil"/>
              <w:right w:val="nil"/>
            </w:tcBorders>
            <w:vAlign w:val="center"/>
            <w:hideMark/>
          </w:tcPr>
          <w:p w14:paraId="3D9D4702" w14:textId="77777777" w:rsidR="00B858A9" w:rsidRDefault="00B858A9">
            <w:pPr>
              <w:jc w:val="right"/>
              <w:rPr>
                <w:rFonts w:ascii="Calibri" w:hAnsi="Calibri" w:cs="Calibri"/>
                <w:color w:val="000000"/>
                <w:sz w:val="20"/>
                <w:szCs w:val="20"/>
              </w:rPr>
            </w:pPr>
          </w:p>
        </w:tc>
        <w:tc>
          <w:tcPr>
            <w:tcW w:w="715" w:type="pct"/>
            <w:tcBorders>
              <w:top w:val="nil"/>
              <w:left w:val="nil"/>
              <w:bottom w:val="nil"/>
              <w:right w:val="nil"/>
            </w:tcBorders>
            <w:noWrap/>
            <w:vAlign w:val="bottom"/>
            <w:hideMark/>
          </w:tcPr>
          <w:p w14:paraId="55B9E0A1" w14:textId="77777777" w:rsidR="00B858A9" w:rsidRDefault="00B858A9">
            <w:pPr>
              <w:rPr>
                <w:sz w:val="20"/>
                <w:szCs w:val="20"/>
              </w:rPr>
            </w:pPr>
          </w:p>
        </w:tc>
        <w:tc>
          <w:tcPr>
            <w:tcW w:w="702" w:type="pct"/>
            <w:tcBorders>
              <w:top w:val="nil"/>
              <w:left w:val="nil"/>
              <w:bottom w:val="nil"/>
              <w:right w:val="nil"/>
            </w:tcBorders>
            <w:noWrap/>
            <w:vAlign w:val="bottom"/>
            <w:hideMark/>
          </w:tcPr>
          <w:p w14:paraId="56EB7693" w14:textId="77777777" w:rsidR="00B858A9" w:rsidRDefault="00B858A9">
            <w:pPr>
              <w:rPr>
                <w:sz w:val="20"/>
                <w:szCs w:val="20"/>
              </w:rPr>
            </w:pPr>
          </w:p>
        </w:tc>
        <w:tc>
          <w:tcPr>
            <w:tcW w:w="720" w:type="pct"/>
            <w:tcBorders>
              <w:top w:val="nil"/>
              <w:left w:val="nil"/>
              <w:bottom w:val="single" w:sz="8" w:space="0" w:color="auto"/>
              <w:right w:val="nil"/>
            </w:tcBorders>
            <w:vAlign w:val="center"/>
            <w:hideMark/>
          </w:tcPr>
          <w:p w14:paraId="2230C96F"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£m </w:t>
            </w:r>
          </w:p>
        </w:tc>
        <w:tc>
          <w:tcPr>
            <w:tcW w:w="721" w:type="pct"/>
            <w:tcBorders>
              <w:top w:val="nil"/>
              <w:left w:val="nil"/>
              <w:bottom w:val="single" w:sz="8" w:space="0" w:color="auto"/>
              <w:right w:val="nil"/>
            </w:tcBorders>
            <w:vAlign w:val="center"/>
            <w:hideMark/>
          </w:tcPr>
          <w:p w14:paraId="44AC6D9B"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£m  </w:t>
            </w:r>
          </w:p>
        </w:tc>
        <w:tc>
          <w:tcPr>
            <w:tcW w:w="719" w:type="pct"/>
            <w:tcBorders>
              <w:top w:val="nil"/>
              <w:left w:val="nil"/>
              <w:bottom w:val="single" w:sz="8" w:space="0" w:color="auto"/>
              <w:right w:val="nil"/>
            </w:tcBorders>
            <w:vAlign w:val="center"/>
            <w:hideMark/>
          </w:tcPr>
          <w:p w14:paraId="25F5BBB0"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£m </w:t>
            </w:r>
          </w:p>
        </w:tc>
        <w:tc>
          <w:tcPr>
            <w:tcW w:w="723" w:type="pct"/>
            <w:gridSpan w:val="2"/>
            <w:tcBorders>
              <w:top w:val="nil"/>
              <w:left w:val="nil"/>
              <w:bottom w:val="single" w:sz="8" w:space="0" w:color="auto"/>
              <w:right w:val="nil"/>
            </w:tcBorders>
            <w:vAlign w:val="center"/>
            <w:hideMark/>
          </w:tcPr>
          <w:p w14:paraId="5F2E0363"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£m </w:t>
            </w:r>
          </w:p>
        </w:tc>
      </w:tr>
      <w:tr w:rsidR="00B858A9" w14:paraId="69CDCA36" w14:textId="77777777" w:rsidTr="003B7755">
        <w:trPr>
          <w:trHeight w:val="281"/>
        </w:trPr>
        <w:tc>
          <w:tcPr>
            <w:tcW w:w="2117" w:type="pct"/>
            <w:gridSpan w:val="3"/>
            <w:tcBorders>
              <w:top w:val="nil"/>
              <w:left w:val="nil"/>
              <w:bottom w:val="nil"/>
              <w:right w:val="nil"/>
            </w:tcBorders>
            <w:vAlign w:val="center"/>
            <w:hideMark/>
          </w:tcPr>
          <w:p w14:paraId="016614AF" w14:textId="77777777" w:rsidR="00B858A9" w:rsidRDefault="00B858A9">
            <w:pPr>
              <w:rPr>
                <w:rFonts w:ascii="Calibri" w:hAnsi="Calibri" w:cs="Calibri"/>
                <w:b/>
                <w:bCs/>
                <w:color w:val="000000"/>
                <w:sz w:val="20"/>
                <w:szCs w:val="20"/>
              </w:rPr>
            </w:pPr>
            <w:r>
              <w:rPr>
                <w:rFonts w:ascii="Calibri" w:hAnsi="Calibri" w:cs="Calibri"/>
                <w:b/>
                <w:bCs/>
                <w:color w:val="000000"/>
                <w:sz w:val="20"/>
                <w:szCs w:val="20"/>
              </w:rPr>
              <w:t>Gross receivables</w:t>
            </w:r>
          </w:p>
        </w:tc>
        <w:tc>
          <w:tcPr>
            <w:tcW w:w="720" w:type="pct"/>
            <w:tcBorders>
              <w:top w:val="nil"/>
              <w:left w:val="nil"/>
              <w:bottom w:val="nil"/>
              <w:right w:val="nil"/>
            </w:tcBorders>
            <w:vAlign w:val="center"/>
            <w:hideMark/>
          </w:tcPr>
          <w:p w14:paraId="44342A4F" w14:textId="77777777" w:rsidR="00B858A9" w:rsidRDefault="00B858A9">
            <w:pPr>
              <w:rPr>
                <w:rFonts w:ascii="Calibri" w:hAnsi="Calibri" w:cs="Calibri"/>
                <w:b/>
                <w:bCs/>
                <w:color w:val="000000"/>
                <w:sz w:val="20"/>
                <w:szCs w:val="20"/>
              </w:rPr>
            </w:pPr>
          </w:p>
        </w:tc>
        <w:tc>
          <w:tcPr>
            <w:tcW w:w="721" w:type="pct"/>
            <w:tcBorders>
              <w:top w:val="nil"/>
              <w:left w:val="nil"/>
              <w:bottom w:val="nil"/>
              <w:right w:val="nil"/>
            </w:tcBorders>
            <w:vAlign w:val="center"/>
            <w:hideMark/>
          </w:tcPr>
          <w:p w14:paraId="2047F409" w14:textId="77777777" w:rsidR="00B858A9" w:rsidRDefault="00B858A9">
            <w:pPr>
              <w:jc w:val="right"/>
              <w:rPr>
                <w:sz w:val="20"/>
                <w:szCs w:val="20"/>
              </w:rPr>
            </w:pPr>
          </w:p>
        </w:tc>
        <w:tc>
          <w:tcPr>
            <w:tcW w:w="719" w:type="pct"/>
            <w:tcBorders>
              <w:top w:val="nil"/>
              <w:left w:val="nil"/>
              <w:bottom w:val="nil"/>
              <w:right w:val="nil"/>
            </w:tcBorders>
            <w:vAlign w:val="center"/>
            <w:hideMark/>
          </w:tcPr>
          <w:p w14:paraId="0369ADC1" w14:textId="77777777" w:rsidR="00B858A9" w:rsidRDefault="00B858A9">
            <w:pPr>
              <w:jc w:val="right"/>
              <w:rPr>
                <w:sz w:val="20"/>
                <w:szCs w:val="20"/>
              </w:rPr>
            </w:pPr>
          </w:p>
        </w:tc>
        <w:tc>
          <w:tcPr>
            <w:tcW w:w="723" w:type="pct"/>
            <w:gridSpan w:val="2"/>
            <w:tcBorders>
              <w:top w:val="nil"/>
              <w:left w:val="nil"/>
              <w:bottom w:val="nil"/>
              <w:right w:val="nil"/>
            </w:tcBorders>
            <w:vAlign w:val="center"/>
            <w:hideMark/>
          </w:tcPr>
          <w:p w14:paraId="083B663C" w14:textId="77777777" w:rsidR="00B858A9" w:rsidRDefault="00B858A9">
            <w:pPr>
              <w:jc w:val="right"/>
              <w:rPr>
                <w:sz w:val="20"/>
                <w:szCs w:val="20"/>
              </w:rPr>
            </w:pPr>
          </w:p>
        </w:tc>
      </w:tr>
      <w:tr w:rsidR="00B858A9" w14:paraId="058A0C82" w14:textId="77777777" w:rsidTr="003B7755">
        <w:trPr>
          <w:trHeight w:val="281"/>
        </w:trPr>
        <w:tc>
          <w:tcPr>
            <w:tcW w:w="2117" w:type="pct"/>
            <w:gridSpan w:val="3"/>
            <w:tcBorders>
              <w:top w:val="nil"/>
              <w:left w:val="nil"/>
              <w:bottom w:val="nil"/>
              <w:right w:val="nil"/>
            </w:tcBorders>
            <w:vAlign w:val="center"/>
            <w:hideMark/>
          </w:tcPr>
          <w:p w14:paraId="16D35F39" w14:textId="77777777" w:rsidR="00B858A9" w:rsidRDefault="00B858A9">
            <w:pPr>
              <w:rPr>
                <w:rFonts w:ascii="Calibri" w:hAnsi="Calibri" w:cs="Calibri"/>
                <w:color w:val="000000"/>
                <w:sz w:val="20"/>
                <w:szCs w:val="20"/>
              </w:rPr>
            </w:pPr>
            <w:r>
              <w:rPr>
                <w:rFonts w:ascii="Calibri" w:hAnsi="Calibri" w:cs="Calibri"/>
                <w:color w:val="000000"/>
                <w:sz w:val="20"/>
                <w:szCs w:val="20"/>
              </w:rPr>
              <w:t>Credit cards</w:t>
            </w:r>
            <w:r w:rsidRPr="0045374D">
              <w:rPr>
                <w:rFonts w:ascii="Calibri" w:hAnsi="Calibri" w:cs="Calibri"/>
                <w:color w:val="000000"/>
                <w:sz w:val="20"/>
                <w:szCs w:val="20"/>
                <w:vertAlign w:val="superscript"/>
              </w:rPr>
              <w:t>1</w:t>
            </w:r>
          </w:p>
        </w:tc>
        <w:tc>
          <w:tcPr>
            <w:tcW w:w="720" w:type="pct"/>
            <w:tcBorders>
              <w:top w:val="nil"/>
              <w:left w:val="nil"/>
              <w:bottom w:val="nil"/>
              <w:right w:val="nil"/>
            </w:tcBorders>
            <w:vAlign w:val="center"/>
          </w:tcPr>
          <w:p w14:paraId="45F8CCDF"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1,115.8</w:t>
            </w:r>
          </w:p>
        </w:tc>
        <w:tc>
          <w:tcPr>
            <w:tcW w:w="721" w:type="pct"/>
            <w:tcBorders>
              <w:top w:val="nil"/>
              <w:left w:val="nil"/>
              <w:bottom w:val="nil"/>
              <w:right w:val="nil"/>
            </w:tcBorders>
            <w:vAlign w:val="center"/>
          </w:tcPr>
          <w:p w14:paraId="74D86591"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122.0</w:t>
            </w:r>
          </w:p>
        </w:tc>
        <w:tc>
          <w:tcPr>
            <w:tcW w:w="719" w:type="pct"/>
            <w:tcBorders>
              <w:top w:val="nil"/>
              <w:left w:val="nil"/>
              <w:bottom w:val="nil"/>
              <w:right w:val="nil"/>
            </w:tcBorders>
            <w:vAlign w:val="center"/>
          </w:tcPr>
          <w:p w14:paraId="2CBD74B9"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93.5</w:t>
            </w:r>
          </w:p>
        </w:tc>
        <w:tc>
          <w:tcPr>
            <w:tcW w:w="723" w:type="pct"/>
            <w:gridSpan w:val="2"/>
            <w:tcBorders>
              <w:top w:val="nil"/>
              <w:left w:val="nil"/>
              <w:bottom w:val="nil"/>
              <w:right w:val="nil"/>
            </w:tcBorders>
            <w:vAlign w:val="center"/>
          </w:tcPr>
          <w:p w14:paraId="7B339939"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1,331.3</w:t>
            </w:r>
          </w:p>
        </w:tc>
      </w:tr>
      <w:tr w:rsidR="00B858A9" w14:paraId="189277E3" w14:textId="77777777" w:rsidTr="003B7755">
        <w:trPr>
          <w:trHeight w:val="281"/>
        </w:trPr>
        <w:tc>
          <w:tcPr>
            <w:tcW w:w="2117" w:type="pct"/>
            <w:gridSpan w:val="3"/>
            <w:tcBorders>
              <w:top w:val="nil"/>
              <w:left w:val="nil"/>
              <w:bottom w:val="nil"/>
              <w:right w:val="nil"/>
            </w:tcBorders>
            <w:vAlign w:val="center"/>
            <w:hideMark/>
          </w:tcPr>
          <w:p w14:paraId="1C0E80D0" w14:textId="77777777" w:rsidR="00B858A9" w:rsidRDefault="00B858A9">
            <w:pPr>
              <w:rPr>
                <w:rFonts w:ascii="Calibri" w:hAnsi="Calibri" w:cs="Calibri"/>
                <w:color w:val="000000"/>
                <w:sz w:val="20"/>
                <w:szCs w:val="20"/>
              </w:rPr>
            </w:pPr>
            <w:r>
              <w:rPr>
                <w:rFonts w:ascii="Calibri" w:hAnsi="Calibri" w:cs="Calibri"/>
                <w:color w:val="000000"/>
                <w:sz w:val="20"/>
                <w:szCs w:val="20"/>
              </w:rPr>
              <w:t>Vehicle finance</w:t>
            </w:r>
          </w:p>
        </w:tc>
        <w:tc>
          <w:tcPr>
            <w:tcW w:w="720" w:type="pct"/>
            <w:tcBorders>
              <w:top w:val="nil"/>
              <w:left w:val="nil"/>
              <w:bottom w:val="nil"/>
              <w:right w:val="nil"/>
            </w:tcBorders>
            <w:vAlign w:val="center"/>
          </w:tcPr>
          <w:p w14:paraId="73707E21"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608.6</w:t>
            </w:r>
          </w:p>
        </w:tc>
        <w:tc>
          <w:tcPr>
            <w:tcW w:w="721" w:type="pct"/>
            <w:tcBorders>
              <w:top w:val="nil"/>
              <w:left w:val="nil"/>
              <w:bottom w:val="nil"/>
              <w:right w:val="nil"/>
            </w:tcBorders>
            <w:vAlign w:val="center"/>
          </w:tcPr>
          <w:p w14:paraId="3DA3BEA3"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122.8</w:t>
            </w:r>
          </w:p>
        </w:tc>
        <w:tc>
          <w:tcPr>
            <w:tcW w:w="719" w:type="pct"/>
            <w:tcBorders>
              <w:top w:val="nil"/>
              <w:left w:val="nil"/>
              <w:bottom w:val="nil"/>
              <w:right w:val="nil"/>
            </w:tcBorders>
            <w:vAlign w:val="center"/>
          </w:tcPr>
          <w:p w14:paraId="4DD5366D"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189.5</w:t>
            </w:r>
          </w:p>
        </w:tc>
        <w:tc>
          <w:tcPr>
            <w:tcW w:w="723" w:type="pct"/>
            <w:gridSpan w:val="2"/>
            <w:tcBorders>
              <w:top w:val="nil"/>
              <w:left w:val="nil"/>
              <w:bottom w:val="nil"/>
              <w:right w:val="nil"/>
            </w:tcBorders>
            <w:vAlign w:val="center"/>
          </w:tcPr>
          <w:p w14:paraId="0795CAD1"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920.9</w:t>
            </w:r>
          </w:p>
        </w:tc>
      </w:tr>
      <w:tr w:rsidR="00B858A9" w14:paraId="187AF34A" w14:textId="77777777" w:rsidTr="003B7755">
        <w:trPr>
          <w:trHeight w:val="295"/>
        </w:trPr>
        <w:tc>
          <w:tcPr>
            <w:tcW w:w="2117" w:type="pct"/>
            <w:gridSpan w:val="3"/>
            <w:tcBorders>
              <w:top w:val="nil"/>
              <w:left w:val="nil"/>
              <w:bottom w:val="nil"/>
              <w:right w:val="nil"/>
            </w:tcBorders>
            <w:vAlign w:val="center"/>
            <w:hideMark/>
          </w:tcPr>
          <w:p w14:paraId="460E0FA3" w14:textId="77777777" w:rsidR="00B858A9" w:rsidRDefault="00B858A9">
            <w:pPr>
              <w:rPr>
                <w:rFonts w:ascii="Calibri" w:hAnsi="Calibri" w:cs="Calibri"/>
                <w:color w:val="000000"/>
                <w:sz w:val="20"/>
                <w:szCs w:val="20"/>
              </w:rPr>
            </w:pPr>
            <w:r>
              <w:rPr>
                <w:rFonts w:ascii="Calibri" w:hAnsi="Calibri" w:cs="Calibri"/>
                <w:color w:val="000000"/>
                <w:sz w:val="20"/>
                <w:szCs w:val="20"/>
              </w:rPr>
              <w:t>Second charge mortgages</w:t>
            </w:r>
          </w:p>
        </w:tc>
        <w:tc>
          <w:tcPr>
            <w:tcW w:w="720" w:type="pct"/>
            <w:tcBorders>
              <w:top w:val="nil"/>
              <w:left w:val="nil"/>
              <w:bottom w:val="nil"/>
              <w:right w:val="nil"/>
            </w:tcBorders>
            <w:vAlign w:val="center"/>
          </w:tcPr>
          <w:p w14:paraId="247AC7B1"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31.5</w:t>
            </w:r>
          </w:p>
        </w:tc>
        <w:tc>
          <w:tcPr>
            <w:tcW w:w="721" w:type="pct"/>
            <w:tcBorders>
              <w:top w:val="nil"/>
              <w:left w:val="nil"/>
              <w:bottom w:val="nil"/>
              <w:right w:val="nil"/>
            </w:tcBorders>
            <w:vAlign w:val="center"/>
          </w:tcPr>
          <w:p w14:paraId="154BA539"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w:t>
            </w:r>
          </w:p>
        </w:tc>
        <w:tc>
          <w:tcPr>
            <w:tcW w:w="719" w:type="pct"/>
            <w:tcBorders>
              <w:top w:val="nil"/>
              <w:left w:val="nil"/>
              <w:bottom w:val="nil"/>
              <w:right w:val="nil"/>
            </w:tcBorders>
            <w:vAlign w:val="center"/>
          </w:tcPr>
          <w:p w14:paraId="120E3FF8"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w:t>
            </w:r>
          </w:p>
        </w:tc>
        <w:tc>
          <w:tcPr>
            <w:tcW w:w="723" w:type="pct"/>
            <w:gridSpan w:val="2"/>
            <w:tcBorders>
              <w:top w:val="nil"/>
              <w:left w:val="nil"/>
              <w:bottom w:val="nil"/>
              <w:right w:val="nil"/>
            </w:tcBorders>
            <w:vAlign w:val="center"/>
          </w:tcPr>
          <w:p w14:paraId="47B8D2C7"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31.5</w:t>
            </w:r>
          </w:p>
        </w:tc>
      </w:tr>
      <w:tr w:rsidR="00674CB9" w14:paraId="27815B55" w14:textId="77777777" w:rsidTr="00170439">
        <w:trPr>
          <w:trHeight w:val="295"/>
        </w:trPr>
        <w:tc>
          <w:tcPr>
            <w:tcW w:w="2117" w:type="pct"/>
            <w:gridSpan w:val="3"/>
            <w:tcBorders>
              <w:top w:val="nil"/>
              <w:left w:val="nil"/>
              <w:bottom w:val="nil"/>
              <w:right w:val="nil"/>
            </w:tcBorders>
            <w:vAlign w:val="center"/>
          </w:tcPr>
          <w:p w14:paraId="313D49F4" w14:textId="377CE1AC" w:rsidR="00674CB9" w:rsidRDefault="00674CB9" w:rsidP="00674CB9">
            <w:pPr>
              <w:rPr>
                <w:rFonts w:ascii="Calibri" w:hAnsi="Calibri" w:cs="Calibri"/>
                <w:color w:val="000000"/>
                <w:sz w:val="20"/>
                <w:szCs w:val="20"/>
              </w:rPr>
            </w:pPr>
            <w:r>
              <w:rPr>
                <w:rFonts w:ascii="Calibri" w:hAnsi="Calibri" w:cs="Calibri"/>
                <w:color w:val="000000"/>
                <w:sz w:val="20"/>
                <w:szCs w:val="20"/>
              </w:rPr>
              <w:t>Personal loans (discontinued operation)</w:t>
            </w:r>
          </w:p>
        </w:tc>
        <w:tc>
          <w:tcPr>
            <w:tcW w:w="720" w:type="pct"/>
            <w:tcBorders>
              <w:top w:val="nil"/>
              <w:left w:val="nil"/>
              <w:bottom w:val="nil"/>
              <w:right w:val="nil"/>
            </w:tcBorders>
            <w:vAlign w:val="center"/>
          </w:tcPr>
          <w:p w14:paraId="174AEFEF" w14:textId="1CAF490F" w:rsidR="00674CB9" w:rsidRDefault="00674CB9" w:rsidP="00674CB9">
            <w:pPr>
              <w:jc w:val="right"/>
              <w:rPr>
                <w:rFonts w:ascii="Calibri" w:hAnsi="Calibri" w:cs="Calibri"/>
                <w:color w:val="000000"/>
                <w:sz w:val="20"/>
                <w:szCs w:val="20"/>
              </w:rPr>
            </w:pPr>
            <w:r>
              <w:rPr>
                <w:rFonts w:ascii="Calibri" w:hAnsi="Calibri" w:cs="Calibri"/>
                <w:color w:val="000000"/>
                <w:sz w:val="20"/>
                <w:szCs w:val="20"/>
              </w:rPr>
              <w:t>68.8</w:t>
            </w:r>
          </w:p>
        </w:tc>
        <w:tc>
          <w:tcPr>
            <w:tcW w:w="721" w:type="pct"/>
            <w:tcBorders>
              <w:top w:val="nil"/>
              <w:left w:val="nil"/>
              <w:bottom w:val="nil"/>
              <w:right w:val="nil"/>
            </w:tcBorders>
            <w:vAlign w:val="center"/>
          </w:tcPr>
          <w:p w14:paraId="30E35295" w14:textId="0B9292C1" w:rsidR="00674CB9" w:rsidRDefault="00674CB9" w:rsidP="00674CB9">
            <w:pPr>
              <w:jc w:val="right"/>
              <w:rPr>
                <w:rFonts w:ascii="Calibri" w:hAnsi="Calibri" w:cs="Calibri"/>
                <w:color w:val="000000"/>
                <w:sz w:val="20"/>
                <w:szCs w:val="20"/>
              </w:rPr>
            </w:pPr>
            <w:r>
              <w:rPr>
                <w:rFonts w:ascii="Calibri" w:hAnsi="Calibri" w:cs="Calibri"/>
                <w:color w:val="000000"/>
                <w:sz w:val="20"/>
                <w:szCs w:val="20"/>
              </w:rPr>
              <w:t>4.0</w:t>
            </w:r>
          </w:p>
        </w:tc>
        <w:tc>
          <w:tcPr>
            <w:tcW w:w="719" w:type="pct"/>
            <w:tcBorders>
              <w:top w:val="nil"/>
              <w:left w:val="nil"/>
              <w:bottom w:val="nil"/>
              <w:right w:val="nil"/>
            </w:tcBorders>
            <w:vAlign w:val="center"/>
          </w:tcPr>
          <w:p w14:paraId="1BE3DECB" w14:textId="1114A279" w:rsidR="00674CB9" w:rsidRDefault="00674CB9" w:rsidP="00674CB9">
            <w:pPr>
              <w:jc w:val="right"/>
              <w:rPr>
                <w:rFonts w:ascii="Calibri" w:hAnsi="Calibri" w:cs="Calibri"/>
                <w:color w:val="000000"/>
                <w:sz w:val="20"/>
                <w:szCs w:val="20"/>
              </w:rPr>
            </w:pPr>
            <w:r>
              <w:rPr>
                <w:rFonts w:ascii="Calibri" w:hAnsi="Calibri" w:cs="Calibri"/>
                <w:color w:val="000000"/>
                <w:sz w:val="20"/>
                <w:szCs w:val="20"/>
              </w:rPr>
              <w:t>4.9</w:t>
            </w:r>
          </w:p>
        </w:tc>
        <w:tc>
          <w:tcPr>
            <w:tcW w:w="723" w:type="pct"/>
            <w:gridSpan w:val="2"/>
            <w:tcBorders>
              <w:top w:val="nil"/>
              <w:left w:val="nil"/>
              <w:bottom w:val="nil"/>
              <w:right w:val="nil"/>
            </w:tcBorders>
            <w:vAlign w:val="center"/>
          </w:tcPr>
          <w:p w14:paraId="0FE6E239" w14:textId="5FA9C3D0" w:rsidR="00674CB9" w:rsidRDefault="00674CB9" w:rsidP="00674CB9">
            <w:pPr>
              <w:jc w:val="right"/>
              <w:rPr>
                <w:rFonts w:ascii="Calibri" w:hAnsi="Calibri" w:cs="Calibri"/>
                <w:color w:val="000000"/>
                <w:sz w:val="20"/>
                <w:szCs w:val="20"/>
              </w:rPr>
            </w:pPr>
            <w:r>
              <w:rPr>
                <w:rFonts w:ascii="Calibri" w:hAnsi="Calibri" w:cs="Calibri"/>
                <w:color w:val="000000"/>
                <w:sz w:val="20"/>
                <w:szCs w:val="20"/>
              </w:rPr>
              <w:t>77.7</w:t>
            </w:r>
          </w:p>
        </w:tc>
      </w:tr>
      <w:tr w:rsidR="00B858A9" w14:paraId="2A662BB3" w14:textId="77777777" w:rsidTr="003B7755">
        <w:trPr>
          <w:trHeight w:val="295"/>
        </w:trPr>
        <w:tc>
          <w:tcPr>
            <w:tcW w:w="2117" w:type="pct"/>
            <w:gridSpan w:val="3"/>
            <w:tcBorders>
              <w:top w:val="nil"/>
              <w:left w:val="nil"/>
              <w:bottom w:val="nil"/>
              <w:right w:val="nil"/>
            </w:tcBorders>
            <w:vAlign w:val="center"/>
            <w:hideMark/>
          </w:tcPr>
          <w:p w14:paraId="3FD40CF0" w14:textId="6EB95AB3" w:rsidR="00B858A9" w:rsidRDefault="00674CB9">
            <w:pPr>
              <w:rPr>
                <w:rFonts w:ascii="Calibri" w:hAnsi="Calibri" w:cs="Calibri"/>
                <w:b/>
                <w:bCs/>
                <w:color w:val="000000"/>
                <w:sz w:val="20"/>
                <w:szCs w:val="20"/>
              </w:rPr>
            </w:pPr>
            <w:r>
              <w:rPr>
                <w:rFonts w:ascii="Calibri" w:hAnsi="Calibri" w:cs="Calibri"/>
                <w:b/>
                <w:bCs/>
                <w:color w:val="000000"/>
                <w:sz w:val="20"/>
                <w:szCs w:val="20"/>
              </w:rPr>
              <w:t>Total</w:t>
            </w:r>
          </w:p>
        </w:tc>
        <w:tc>
          <w:tcPr>
            <w:tcW w:w="720" w:type="pct"/>
            <w:tcBorders>
              <w:top w:val="single" w:sz="8" w:space="0" w:color="auto"/>
              <w:left w:val="nil"/>
              <w:bottom w:val="single" w:sz="8" w:space="0" w:color="auto"/>
              <w:right w:val="nil"/>
            </w:tcBorders>
            <w:vAlign w:val="center"/>
          </w:tcPr>
          <w:p w14:paraId="45012FB9" w14:textId="0EC9E3D3" w:rsidR="00B858A9" w:rsidRDefault="00B858A9">
            <w:pPr>
              <w:jc w:val="right"/>
              <w:rPr>
                <w:rFonts w:ascii="Calibri" w:hAnsi="Calibri" w:cs="Calibri"/>
                <w:b/>
                <w:bCs/>
                <w:color w:val="000000"/>
                <w:sz w:val="20"/>
                <w:szCs w:val="20"/>
              </w:rPr>
            </w:pPr>
            <w:r>
              <w:rPr>
                <w:rFonts w:ascii="Calibri" w:hAnsi="Calibri" w:cs="Calibri"/>
                <w:b/>
                <w:bCs/>
                <w:color w:val="000000"/>
                <w:sz w:val="20"/>
                <w:szCs w:val="20"/>
              </w:rPr>
              <w:t>1,</w:t>
            </w:r>
            <w:r w:rsidR="00674CB9">
              <w:rPr>
                <w:rFonts w:ascii="Calibri" w:hAnsi="Calibri" w:cs="Calibri"/>
                <w:b/>
                <w:bCs/>
                <w:color w:val="000000"/>
                <w:sz w:val="20"/>
                <w:szCs w:val="20"/>
              </w:rPr>
              <w:t>824.7</w:t>
            </w:r>
          </w:p>
        </w:tc>
        <w:tc>
          <w:tcPr>
            <w:tcW w:w="721" w:type="pct"/>
            <w:tcBorders>
              <w:top w:val="single" w:sz="8" w:space="0" w:color="auto"/>
              <w:left w:val="nil"/>
              <w:bottom w:val="single" w:sz="8" w:space="0" w:color="auto"/>
              <w:right w:val="nil"/>
            </w:tcBorders>
            <w:vAlign w:val="center"/>
          </w:tcPr>
          <w:p w14:paraId="5990B28F" w14:textId="7235C049" w:rsidR="00B858A9" w:rsidRDefault="00674CB9">
            <w:pPr>
              <w:jc w:val="right"/>
              <w:rPr>
                <w:rFonts w:ascii="Calibri" w:hAnsi="Calibri" w:cs="Calibri"/>
                <w:b/>
                <w:bCs/>
                <w:color w:val="000000"/>
                <w:sz w:val="20"/>
                <w:szCs w:val="20"/>
              </w:rPr>
            </w:pPr>
            <w:r>
              <w:rPr>
                <w:rFonts w:ascii="Calibri" w:hAnsi="Calibri" w:cs="Calibri"/>
                <w:b/>
                <w:bCs/>
                <w:color w:val="000000"/>
                <w:sz w:val="20"/>
                <w:szCs w:val="20"/>
              </w:rPr>
              <w:t>248</w:t>
            </w:r>
            <w:r w:rsidR="00B858A9">
              <w:rPr>
                <w:rFonts w:ascii="Calibri" w:hAnsi="Calibri" w:cs="Calibri"/>
                <w:b/>
                <w:bCs/>
                <w:color w:val="000000"/>
                <w:sz w:val="20"/>
                <w:szCs w:val="20"/>
              </w:rPr>
              <w:t>.8</w:t>
            </w:r>
          </w:p>
        </w:tc>
        <w:tc>
          <w:tcPr>
            <w:tcW w:w="719" w:type="pct"/>
            <w:tcBorders>
              <w:top w:val="single" w:sz="8" w:space="0" w:color="auto"/>
              <w:left w:val="nil"/>
              <w:bottom w:val="single" w:sz="8" w:space="0" w:color="auto"/>
              <w:right w:val="nil"/>
            </w:tcBorders>
            <w:vAlign w:val="center"/>
          </w:tcPr>
          <w:p w14:paraId="1F1EF670" w14:textId="131E97EC" w:rsidR="00B858A9" w:rsidRDefault="00674CB9">
            <w:pPr>
              <w:jc w:val="right"/>
              <w:rPr>
                <w:rFonts w:ascii="Calibri" w:hAnsi="Calibri" w:cs="Calibri"/>
                <w:b/>
                <w:bCs/>
                <w:color w:val="000000"/>
                <w:sz w:val="20"/>
                <w:szCs w:val="20"/>
              </w:rPr>
            </w:pPr>
            <w:r>
              <w:rPr>
                <w:rFonts w:ascii="Calibri" w:hAnsi="Calibri" w:cs="Calibri"/>
                <w:b/>
                <w:bCs/>
                <w:color w:val="000000"/>
                <w:sz w:val="20"/>
                <w:szCs w:val="20"/>
              </w:rPr>
              <w:t>287.9</w:t>
            </w:r>
          </w:p>
        </w:tc>
        <w:tc>
          <w:tcPr>
            <w:tcW w:w="723" w:type="pct"/>
            <w:gridSpan w:val="2"/>
            <w:tcBorders>
              <w:top w:val="single" w:sz="8" w:space="0" w:color="auto"/>
              <w:left w:val="nil"/>
              <w:bottom w:val="single" w:sz="8" w:space="0" w:color="auto"/>
              <w:right w:val="nil"/>
            </w:tcBorders>
            <w:vAlign w:val="center"/>
          </w:tcPr>
          <w:p w14:paraId="01E0DC0A" w14:textId="17B705B0" w:rsidR="00B858A9" w:rsidRDefault="00B858A9">
            <w:pPr>
              <w:jc w:val="right"/>
              <w:rPr>
                <w:rFonts w:ascii="Calibri" w:hAnsi="Calibri" w:cs="Calibri"/>
                <w:b/>
                <w:bCs/>
                <w:color w:val="000000"/>
                <w:sz w:val="20"/>
                <w:szCs w:val="20"/>
              </w:rPr>
            </w:pPr>
            <w:r>
              <w:rPr>
                <w:rFonts w:ascii="Calibri" w:hAnsi="Calibri" w:cs="Calibri"/>
                <w:b/>
                <w:bCs/>
                <w:color w:val="000000"/>
                <w:sz w:val="20"/>
                <w:szCs w:val="20"/>
              </w:rPr>
              <w:t>2,</w:t>
            </w:r>
            <w:r w:rsidR="00674CB9">
              <w:rPr>
                <w:rFonts w:ascii="Calibri" w:hAnsi="Calibri" w:cs="Calibri"/>
                <w:b/>
                <w:bCs/>
                <w:color w:val="000000"/>
                <w:sz w:val="20"/>
                <w:szCs w:val="20"/>
              </w:rPr>
              <w:t>361.4</w:t>
            </w:r>
          </w:p>
        </w:tc>
      </w:tr>
      <w:tr w:rsidR="00B858A9" w14:paraId="7B1F3248" w14:textId="77777777" w:rsidTr="003B7755">
        <w:trPr>
          <w:trHeight w:val="281"/>
        </w:trPr>
        <w:tc>
          <w:tcPr>
            <w:tcW w:w="2117" w:type="pct"/>
            <w:gridSpan w:val="3"/>
            <w:tcBorders>
              <w:top w:val="nil"/>
              <w:left w:val="nil"/>
              <w:bottom w:val="nil"/>
              <w:right w:val="nil"/>
            </w:tcBorders>
            <w:vAlign w:val="center"/>
            <w:hideMark/>
          </w:tcPr>
          <w:p w14:paraId="2CA7311F" w14:textId="77777777" w:rsidR="00B858A9" w:rsidRDefault="00B858A9">
            <w:pPr>
              <w:jc w:val="right"/>
              <w:rPr>
                <w:rFonts w:ascii="Calibri" w:hAnsi="Calibri" w:cs="Calibri"/>
                <w:b/>
                <w:bCs/>
                <w:color w:val="000000"/>
                <w:sz w:val="20"/>
                <w:szCs w:val="20"/>
              </w:rPr>
            </w:pPr>
          </w:p>
        </w:tc>
        <w:tc>
          <w:tcPr>
            <w:tcW w:w="720" w:type="pct"/>
            <w:tcBorders>
              <w:top w:val="nil"/>
              <w:left w:val="nil"/>
              <w:bottom w:val="nil"/>
              <w:right w:val="nil"/>
            </w:tcBorders>
            <w:vAlign w:val="center"/>
          </w:tcPr>
          <w:p w14:paraId="25143A7F" w14:textId="77777777" w:rsidR="00B858A9" w:rsidRDefault="00B858A9">
            <w:pPr>
              <w:rPr>
                <w:sz w:val="20"/>
                <w:szCs w:val="20"/>
              </w:rPr>
            </w:pPr>
          </w:p>
        </w:tc>
        <w:tc>
          <w:tcPr>
            <w:tcW w:w="721" w:type="pct"/>
            <w:tcBorders>
              <w:top w:val="nil"/>
              <w:left w:val="nil"/>
              <w:bottom w:val="nil"/>
              <w:right w:val="nil"/>
            </w:tcBorders>
            <w:vAlign w:val="center"/>
          </w:tcPr>
          <w:p w14:paraId="1414D183" w14:textId="77777777" w:rsidR="00B858A9" w:rsidRDefault="00B858A9">
            <w:pPr>
              <w:jc w:val="right"/>
              <w:rPr>
                <w:sz w:val="20"/>
                <w:szCs w:val="20"/>
              </w:rPr>
            </w:pPr>
          </w:p>
        </w:tc>
        <w:tc>
          <w:tcPr>
            <w:tcW w:w="719" w:type="pct"/>
            <w:tcBorders>
              <w:top w:val="nil"/>
              <w:left w:val="nil"/>
              <w:bottom w:val="nil"/>
              <w:right w:val="nil"/>
            </w:tcBorders>
            <w:vAlign w:val="center"/>
          </w:tcPr>
          <w:p w14:paraId="7DB64AFB" w14:textId="77777777" w:rsidR="00B858A9" w:rsidRDefault="00B858A9">
            <w:pPr>
              <w:jc w:val="right"/>
              <w:rPr>
                <w:sz w:val="20"/>
                <w:szCs w:val="20"/>
              </w:rPr>
            </w:pPr>
          </w:p>
        </w:tc>
        <w:tc>
          <w:tcPr>
            <w:tcW w:w="723" w:type="pct"/>
            <w:gridSpan w:val="2"/>
            <w:tcBorders>
              <w:top w:val="nil"/>
              <w:left w:val="nil"/>
              <w:bottom w:val="nil"/>
              <w:right w:val="nil"/>
            </w:tcBorders>
            <w:vAlign w:val="center"/>
          </w:tcPr>
          <w:p w14:paraId="55676875" w14:textId="77777777" w:rsidR="00B858A9" w:rsidRDefault="00B858A9">
            <w:pPr>
              <w:jc w:val="right"/>
              <w:rPr>
                <w:sz w:val="20"/>
                <w:szCs w:val="20"/>
              </w:rPr>
            </w:pPr>
          </w:p>
        </w:tc>
      </w:tr>
      <w:tr w:rsidR="00B858A9" w14:paraId="0C2AD52E" w14:textId="77777777" w:rsidTr="003B7755">
        <w:trPr>
          <w:trHeight w:val="281"/>
        </w:trPr>
        <w:tc>
          <w:tcPr>
            <w:tcW w:w="2117" w:type="pct"/>
            <w:gridSpan w:val="3"/>
            <w:tcBorders>
              <w:top w:val="nil"/>
              <w:left w:val="nil"/>
              <w:bottom w:val="nil"/>
              <w:right w:val="nil"/>
            </w:tcBorders>
            <w:vAlign w:val="center"/>
            <w:hideMark/>
          </w:tcPr>
          <w:p w14:paraId="76D8F5EE" w14:textId="77777777" w:rsidR="00B858A9" w:rsidRDefault="00B858A9">
            <w:pPr>
              <w:rPr>
                <w:rFonts w:ascii="Calibri" w:hAnsi="Calibri" w:cs="Calibri"/>
                <w:b/>
                <w:bCs/>
                <w:color w:val="000000"/>
                <w:sz w:val="20"/>
                <w:szCs w:val="20"/>
              </w:rPr>
            </w:pPr>
            <w:r>
              <w:rPr>
                <w:rFonts w:ascii="Calibri" w:hAnsi="Calibri" w:cs="Calibri"/>
                <w:b/>
                <w:bCs/>
                <w:color w:val="000000"/>
                <w:sz w:val="20"/>
                <w:szCs w:val="20"/>
              </w:rPr>
              <w:t>Allowance account</w:t>
            </w:r>
          </w:p>
        </w:tc>
        <w:tc>
          <w:tcPr>
            <w:tcW w:w="720" w:type="pct"/>
            <w:tcBorders>
              <w:top w:val="nil"/>
              <w:left w:val="nil"/>
              <w:bottom w:val="nil"/>
              <w:right w:val="nil"/>
            </w:tcBorders>
            <w:vAlign w:val="center"/>
          </w:tcPr>
          <w:p w14:paraId="7C5F9C60" w14:textId="77777777" w:rsidR="00B858A9" w:rsidRDefault="00B858A9">
            <w:pPr>
              <w:rPr>
                <w:rFonts w:ascii="Calibri" w:hAnsi="Calibri" w:cs="Calibri"/>
                <w:b/>
                <w:bCs/>
                <w:color w:val="000000"/>
                <w:sz w:val="20"/>
                <w:szCs w:val="20"/>
              </w:rPr>
            </w:pPr>
          </w:p>
        </w:tc>
        <w:tc>
          <w:tcPr>
            <w:tcW w:w="721" w:type="pct"/>
            <w:tcBorders>
              <w:top w:val="nil"/>
              <w:left w:val="nil"/>
              <w:bottom w:val="nil"/>
              <w:right w:val="nil"/>
            </w:tcBorders>
            <w:vAlign w:val="center"/>
          </w:tcPr>
          <w:p w14:paraId="7AFF04E2" w14:textId="77777777" w:rsidR="00B858A9" w:rsidRDefault="00B858A9">
            <w:pPr>
              <w:jc w:val="right"/>
              <w:rPr>
                <w:sz w:val="20"/>
                <w:szCs w:val="20"/>
              </w:rPr>
            </w:pPr>
          </w:p>
        </w:tc>
        <w:tc>
          <w:tcPr>
            <w:tcW w:w="719" w:type="pct"/>
            <w:tcBorders>
              <w:top w:val="nil"/>
              <w:left w:val="nil"/>
              <w:bottom w:val="nil"/>
              <w:right w:val="nil"/>
            </w:tcBorders>
            <w:vAlign w:val="center"/>
          </w:tcPr>
          <w:p w14:paraId="246B559A" w14:textId="77777777" w:rsidR="00B858A9" w:rsidRDefault="00B858A9">
            <w:pPr>
              <w:jc w:val="right"/>
              <w:rPr>
                <w:sz w:val="20"/>
                <w:szCs w:val="20"/>
              </w:rPr>
            </w:pPr>
          </w:p>
        </w:tc>
        <w:tc>
          <w:tcPr>
            <w:tcW w:w="723" w:type="pct"/>
            <w:gridSpan w:val="2"/>
            <w:tcBorders>
              <w:top w:val="nil"/>
              <w:left w:val="nil"/>
              <w:bottom w:val="nil"/>
              <w:right w:val="nil"/>
            </w:tcBorders>
            <w:vAlign w:val="center"/>
          </w:tcPr>
          <w:p w14:paraId="44BFC664" w14:textId="77777777" w:rsidR="00B858A9" w:rsidRDefault="00B858A9">
            <w:pPr>
              <w:jc w:val="right"/>
              <w:rPr>
                <w:sz w:val="20"/>
                <w:szCs w:val="20"/>
              </w:rPr>
            </w:pPr>
          </w:p>
        </w:tc>
      </w:tr>
      <w:tr w:rsidR="00B858A9" w14:paraId="5B66ED65" w14:textId="77777777" w:rsidTr="003B7755">
        <w:trPr>
          <w:trHeight w:val="281"/>
        </w:trPr>
        <w:tc>
          <w:tcPr>
            <w:tcW w:w="2117" w:type="pct"/>
            <w:gridSpan w:val="3"/>
            <w:tcBorders>
              <w:top w:val="nil"/>
              <w:left w:val="nil"/>
              <w:bottom w:val="nil"/>
              <w:right w:val="nil"/>
            </w:tcBorders>
            <w:vAlign w:val="center"/>
            <w:hideMark/>
          </w:tcPr>
          <w:p w14:paraId="6240F9EF" w14:textId="77777777" w:rsidR="00B858A9" w:rsidRDefault="00B858A9">
            <w:pPr>
              <w:rPr>
                <w:rFonts w:ascii="Calibri" w:hAnsi="Calibri" w:cs="Calibri"/>
                <w:color w:val="000000"/>
                <w:sz w:val="20"/>
                <w:szCs w:val="20"/>
              </w:rPr>
            </w:pPr>
            <w:r>
              <w:rPr>
                <w:rFonts w:ascii="Calibri" w:hAnsi="Calibri" w:cs="Calibri"/>
                <w:color w:val="000000"/>
                <w:sz w:val="20"/>
                <w:szCs w:val="20"/>
              </w:rPr>
              <w:t>Credit cards</w:t>
            </w:r>
            <w:r w:rsidRPr="0045374D">
              <w:rPr>
                <w:rFonts w:ascii="Calibri" w:hAnsi="Calibri" w:cs="Calibri"/>
                <w:color w:val="000000"/>
                <w:sz w:val="20"/>
                <w:szCs w:val="20"/>
                <w:vertAlign w:val="superscript"/>
              </w:rPr>
              <w:t>1</w:t>
            </w:r>
          </w:p>
        </w:tc>
        <w:tc>
          <w:tcPr>
            <w:tcW w:w="720" w:type="pct"/>
            <w:tcBorders>
              <w:top w:val="nil"/>
              <w:left w:val="nil"/>
              <w:bottom w:val="nil"/>
              <w:right w:val="nil"/>
            </w:tcBorders>
            <w:vAlign w:val="center"/>
          </w:tcPr>
          <w:p w14:paraId="71C136D0"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(76.0)</w:t>
            </w:r>
          </w:p>
        </w:tc>
        <w:tc>
          <w:tcPr>
            <w:tcW w:w="721" w:type="pct"/>
            <w:tcBorders>
              <w:top w:val="nil"/>
              <w:left w:val="nil"/>
              <w:bottom w:val="nil"/>
              <w:right w:val="nil"/>
            </w:tcBorders>
            <w:vAlign w:val="center"/>
          </w:tcPr>
          <w:p w14:paraId="1C60C678"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(49.9)</w:t>
            </w:r>
          </w:p>
        </w:tc>
        <w:tc>
          <w:tcPr>
            <w:tcW w:w="719" w:type="pct"/>
            <w:tcBorders>
              <w:top w:val="nil"/>
              <w:left w:val="nil"/>
              <w:bottom w:val="nil"/>
              <w:right w:val="nil"/>
            </w:tcBorders>
            <w:vAlign w:val="center"/>
          </w:tcPr>
          <w:p w14:paraId="47AABBA4"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(54.8)</w:t>
            </w:r>
          </w:p>
        </w:tc>
        <w:tc>
          <w:tcPr>
            <w:tcW w:w="723" w:type="pct"/>
            <w:gridSpan w:val="2"/>
            <w:tcBorders>
              <w:top w:val="nil"/>
              <w:left w:val="nil"/>
              <w:bottom w:val="nil"/>
              <w:right w:val="nil"/>
            </w:tcBorders>
            <w:vAlign w:val="center"/>
          </w:tcPr>
          <w:p w14:paraId="7BED5871"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(180.7)</w:t>
            </w:r>
          </w:p>
        </w:tc>
      </w:tr>
      <w:tr w:rsidR="00B858A9" w14:paraId="5A953D2A" w14:textId="77777777" w:rsidTr="003B7755">
        <w:trPr>
          <w:trHeight w:val="281"/>
        </w:trPr>
        <w:tc>
          <w:tcPr>
            <w:tcW w:w="2117" w:type="pct"/>
            <w:gridSpan w:val="3"/>
            <w:tcBorders>
              <w:top w:val="nil"/>
              <w:left w:val="nil"/>
              <w:bottom w:val="nil"/>
              <w:right w:val="nil"/>
            </w:tcBorders>
            <w:vAlign w:val="center"/>
            <w:hideMark/>
          </w:tcPr>
          <w:p w14:paraId="16AE2FC2" w14:textId="77777777" w:rsidR="00B858A9" w:rsidRDefault="00B858A9">
            <w:pPr>
              <w:rPr>
                <w:rFonts w:ascii="Calibri" w:hAnsi="Calibri" w:cs="Calibri"/>
                <w:color w:val="000000"/>
                <w:sz w:val="20"/>
                <w:szCs w:val="20"/>
              </w:rPr>
            </w:pPr>
            <w:r>
              <w:rPr>
                <w:rFonts w:ascii="Calibri" w:hAnsi="Calibri" w:cs="Calibri"/>
                <w:color w:val="000000"/>
                <w:sz w:val="20"/>
                <w:szCs w:val="20"/>
              </w:rPr>
              <w:t>Vehicle finance</w:t>
            </w:r>
          </w:p>
        </w:tc>
        <w:tc>
          <w:tcPr>
            <w:tcW w:w="720" w:type="pct"/>
            <w:tcBorders>
              <w:top w:val="nil"/>
              <w:left w:val="nil"/>
              <w:bottom w:val="nil"/>
              <w:right w:val="nil"/>
            </w:tcBorders>
            <w:vAlign w:val="center"/>
          </w:tcPr>
          <w:p w14:paraId="336AE6D1"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(19.7)</w:t>
            </w:r>
          </w:p>
        </w:tc>
        <w:tc>
          <w:tcPr>
            <w:tcW w:w="721" w:type="pct"/>
            <w:tcBorders>
              <w:top w:val="nil"/>
              <w:left w:val="nil"/>
              <w:bottom w:val="nil"/>
              <w:right w:val="nil"/>
            </w:tcBorders>
            <w:vAlign w:val="center"/>
          </w:tcPr>
          <w:p w14:paraId="2725A264"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(21.4)</w:t>
            </w:r>
          </w:p>
        </w:tc>
        <w:tc>
          <w:tcPr>
            <w:tcW w:w="719" w:type="pct"/>
            <w:tcBorders>
              <w:top w:val="nil"/>
              <w:left w:val="nil"/>
              <w:bottom w:val="nil"/>
              <w:right w:val="nil"/>
            </w:tcBorders>
            <w:vAlign w:val="center"/>
          </w:tcPr>
          <w:p w14:paraId="69D38E39"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(119.3)</w:t>
            </w:r>
          </w:p>
        </w:tc>
        <w:tc>
          <w:tcPr>
            <w:tcW w:w="723" w:type="pct"/>
            <w:gridSpan w:val="2"/>
            <w:tcBorders>
              <w:top w:val="nil"/>
              <w:left w:val="nil"/>
              <w:bottom w:val="nil"/>
              <w:right w:val="nil"/>
            </w:tcBorders>
            <w:vAlign w:val="center"/>
          </w:tcPr>
          <w:p w14:paraId="74040DE0"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(160.4)</w:t>
            </w:r>
          </w:p>
        </w:tc>
      </w:tr>
      <w:tr w:rsidR="00B858A9" w14:paraId="70613520" w14:textId="77777777" w:rsidTr="003B7755">
        <w:trPr>
          <w:trHeight w:val="295"/>
        </w:trPr>
        <w:tc>
          <w:tcPr>
            <w:tcW w:w="2117" w:type="pct"/>
            <w:gridSpan w:val="3"/>
            <w:tcBorders>
              <w:top w:val="nil"/>
              <w:left w:val="nil"/>
              <w:bottom w:val="nil"/>
              <w:right w:val="nil"/>
            </w:tcBorders>
            <w:vAlign w:val="center"/>
            <w:hideMark/>
          </w:tcPr>
          <w:p w14:paraId="2A585897" w14:textId="77777777" w:rsidR="00B858A9" w:rsidRDefault="00B858A9">
            <w:pPr>
              <w:rPr>
                <w:rFonts w:ascii="Calibri" w:hAnsi="Calibri" w:cs="Calibri"/>
                <w:color w:val="000000"/>
                <w:sz w:val="20"/>
                <w:szCs w:val="20"/>
              </w:rPr>
            </w:pPr>
            <w:r>
              <w:rPr>
                <w:rFonts w:ascii="Calibri" w:hAnsi="Calibri" w:cs="Calibri"/>
                <w:color w:val="000000"/>
                <w:sz w:val="20"/>
                <w:szCs w:val="20"/>
              </w:rPr>
              <w:t>Second charge mortgages</w:t>
            </w:r>
          </w:p>
        </w:tc>
        <w:tc>
          <w:tcPr>
            <w:tcW w:w="720" w:type="pct"/>
            <w:tcBorders>
              <w:top w:val="nil"/>
              <w:left w:val="nil"/>
              <w:bottom w:val="nil"/>
              <w:right w:val="nil"/>
            </w:tcBorders>
            <w:vAlign w:val="center"/>
          </w:tcPr>
          <w:p w14:paraId="1A4B54A7"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w:t>
            </w:r>
          </w:p>
        </w:tc>
        <w:tc>
          <w:tcPr>
            <w:tcW w:w="721" w:type="pct"/>
            <w:tcBorders>
              <w:top w:val="nil"/>
              <w:left w:val="nil"/>
              <w:bottom w:val="nil"/>
              <w:right w:val="nil"/>
            </w:tcBorders>
            <w:vAlign w:val="center"/>
          </w:tcPr>
          <w:p w14:paraId="56FB3C32"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w:t>
            </w:r>
          </w:p>
        </w:tc>
        <w:tc>
          <w:tcPr>
            <w:tcW w:w="719" w:type="pct"/>
            <w:tcBorders>
              <w:top w:val="nil"/>
              <w:left w:val="nil"/>
              <w:bottom w:val="nil"/>
              <w:right w:val="nil"/>
            </w:tcBorders>
            <w:vAlign w:val="center"/>
          </w:tcPr>
          <w:p w14:paraId="7F412679"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w:t>
            </w:r>
          </w:p>
        </w:tc>
        <w:tc>
          <w:tcPr>
            <w:tcW w:w="723" w:type="pct"/>
            <w:gridSpan w:val="2"/>
            <w:tcBorders>
              <w:top w:val="nil"/>
              <w:left w:val="nil"/>
              <w:bottom w:val="nil"/>
              <w:right w:val="nil"/>
            </w:tcBorders>
            <w:vAlign w:val="center"/>
          </w:tcPr>
          <w:p w14:paraId="016DE7C6"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w:t>
            </w:r>
          </w:p>
        </w:tc>
      </w:tr>
      <w:tr w:rsidR="00674CB9" w14:paraId="6E83605B" w14:textId="77777777" w:rsidTr="00170439">
        <w:trPr>
          <w:trHeight w:val="295"/>
        </w:trPr>
        <w:tc>
          <w:tcPr>
            <w:tcW w:w="2117" w:type="pct"/>
            <w:gridSpan w:val="3"/>
            <w:tcBorders>
              <w:top w:val="nil"/>
              <w:left w:val="nil"/>
              <w:bottom w:val="nil"/>
              <w:right w:val="nil"/>
            </w:tcBorders>
            <w:vAlign w:val="center"/>
          </w:tcPr>
          <w:p w14:paraId="14ED5B53" w14:textId="4CEA5707" w:rsidR="00674CB9" w:rsidRDefault="00674CB9" w:rsidP="00674CB9">
            <w:pPr>
              <w:rPr>
                <w:rFonts w:ascii="Calibri" w:hAnsi="Calibri" w:cs="Calibri"/>
                <w:color w:val="000000"/>
                <w:sz w:val="20"/>
                <w:szCs w:val="20"/>
              </w:rPr>
            </w:pPr>
            <w:r>
              <w:rPr>
                <w:rFonts w:ascii="Calibri" w:hAnsi="Calibri" w:cs="Calibri"/>
                <w:color w:val="000000"/>
                <w:sz w:val="20"/>
                <w:szCs w:val="20"/>
              </w:rPr>
              <w:t>Personal loans (discontinued operation)</w:t>
            </w:r>
          </w:p>
        </w:tc>
        <w:tc>
          <w:tcPr>
            <w:tcW w:w="720" w:type="pct"/>
            <w:tcBorders>
              <w:top w:val="nil"/>
              <w:left w:val="nil"/>
              <w:bottom w:val="nil"/>
              <w:right w:val="nil"/>
            </w:tcBorders>
            <w:vAlign w:val="center"/>
          </w:tcPr>
          <w:p w14:paraId="70D54907" w14:textId="6BAB856E" w:rsidR="00674CB9" w:rsidRDefault="00674CB9" w:rsidP="00674CB9">
            <w:pPr>
              <w:jc w:val="right"/>
              <w:rPr>
                <w:rFonts w:ascii="Calibri" w:hAnsi="Calibri" w:cs="Calibri"/>
                <w:color w:val="000000"/>
                <w:sz w:val="20"/>
                <w:szCs w:val="20"/>
              </w:rPr>
            </w:pPr>
            <w:r>
              <w:rPr>
                <w:rFonts w:ascii="Calibri" w:hAnsi="Calibri" w:cs="Calibri"/>
                <w:color w:val="000000"/>
                <w:sz w:val="20"/>
                <w:szCs w:val="20"/>
              </w:rPr>
              <w:t>(5.1)</w:t>
            </w:r>
          </w:p>
        </w:tc>
        <w:tc>
          <w:tcPr>
            <w:tcW w:w="721" w:type="pct"/>
            <w:tcBorders>
              <w:top w:val="nil"/>
              <w:left w:val="nil"/>
              <w:bottom w:val="nil"/>
              <w:right w:val="nil"/>
            </w:tcBorders>
            <w:vAlign w:val="center"/>
          </w:tcPr>
          <w:p w14:paraId="415F957E" w14:textId="2E2AB6C3" w:rsidR="00674CB9" w:rsidRDefault="00674CB9" w:rsidP="00674CB9">
            <w:pPr>
              <w:jc w:val="right"/>
              <w:rPr>
                <w:rFonts w:ascii="Calibri" w:hAnsi="Calibri" w:cs="Calibri"/>
                <w:color w:val="000000"/>
                <w:sz w:val="20"/>
                <w:szCs w:val="20"/>
              </w:rPr>
            </w:pPr>
            <w:r>
              <w:rPr>
                <w:rFonts w:ascii="Calibri" w:hAnsi="Calibri" w:cs="Calibri"/>
                <w:color w:val="000000"/>
                <w:sz w:val="20"/>
                <w:szCs w:val="20"/>
              </w:rPr>
              <w:t>(1.7)</w:t>
            </w:r>
          </w:p>
        </w:tc>
        <w:tc>
          <w:tcPr>
            <w:tcW w:w="719" w:type="pct"/>
            <w:tcBorders>
              <w:top w:val="nil"/>
              <w:left w:val="nil"/>
              <w:bottom w:val="nil"/>
              <w:right w:val="nil"/>
            </w:tcBorders>
            <w:vAlign w:val="center"/>
          </w:tcPr>
          <w:p w14:paraId="0AF6D7AC" w14:textId="37B21C99" w:rsidR="00674CB9" w:rsidRDefault="00674CB9" w:rsidP="00674CB9">
            <w:pPr>
              <w:jc w:val="right"/>
              <w:rPr>
                <w:rFonts w:ascii="Calibri" w:hAnsi="Calibri" w:cs="Calibri"/>
                <w:color w:val="000000"/>
                <w:sz w:val="20"/>
                <w:szCs w:val="20"/>
              </w:rPr>
            </w:pPr>
            <w:r>
              <w:rPr>
                <w:rFonts w:ascii="Calibri" w:hAnsi="Calibri" w:cs="Calibri"/>
                <w:color w:val="000000"/>
                <w:sz w:val="20"/>
                <w:szCs w:val="20"/>
              </w:rPr>
              <w:t>(3.1)</w:t>
            </w:r>
          </w:p>
        </w:tc>
        <w:tc>
          <w:tcPr>
            <w:tcW w:w="723" w:type="pct"/>
            <w:gridSpan w:val="2"/>
            <w:tcBorders>
              <w:top w:val="nil"/>
              <w:left w:val="nil"/>
              <w:bottom w:val="nil"/>
              <w:right w:val="nil"/>
            </w:tcBorders>
            <w:vAlign w:val="center"/>
          </w:tcPr>
          <w:p w14:paraId="3ABC8D3E" w14:textId="46FFF78B" w:rsidR="00674CB9" w:rsidRDefault="00674CB9" w:rsidP="00674CB9">
            <w:pPr>
              <w:jc w:val="right"/>
              <w:rPr>
                <w:rFonts w:ascii="Calibri" w:hAnsi="Calibri" w:cs="Calibri"/>
                <w:color w:val="000000"/>
                <w:sz w:val="20"/>
                <w:szCs w:val="20"/>
              </w:rPr>
            </w:pPr>
            <w:r>
              <w:rPr>
                <w:rFonts w:ascii="Calibri" w:hAnsi="Calibri" w:cs="Calibri"/>
                <w:color w:val="000000"/>
                <w:sz w:val="20"/>
                <w:szCs w:val="20"/>
              </w:rPr>
              <w:t>(9.9)</w:t>
            </w:r>
          </w:p>
        </w:tc>
      </w:tr>
      <w:tr w:rsidR="00B858A9" w14:paraId="2B8C2F5D" w14:textId="77777777" w:rsidTr="003B7755">
        <w:trPr>
          <w:trHeight w:val="295"/>
        </w:trPr>
        <w:tc>
          <w:tcPr>
            <w:tcW w:w="2117" w:type="pct"/>
            <w:gridSpan w:val="3"/>
            <w:tcBorders>
              <w:top w:val="nil"/>
              <w:left w:val="nil"/>
              <w:bottom w:val="nil"/>
              <w:right w:val="nil"/>
            </w:tcBorders>
            <w:vAlign w:val="center"/>
            <w:hideMark/>
          </w:tcPr>
          <w:p w14:paraId="5C3FEE2E" w14:textId="2A089531" w:rsidR="00B858A9" w:rsidRDefault="00674CB9">
            <w:pPr>
              <w:rPr>
                <w:rFonts w:ascii="Calibri" w:hAnsi="Calibri" w:cs="Calibri"/>
                <w:b/>
                <w:bCs/>
                <w:color w:val="000000"/>
                <w:sz w:val="20"/>
                <w:szCs w:val="20"/>
              </w:rPr>
            </w:pPr>
            <w:r>
              <w:rPr>
                <w:rFonts w:ascii="Calibri" w:hAnsi="Calibri" w:cs="Calibri"/>
                <w:b/>
                <w:bCs/>
                <w:color w:val="000000"/>
                <w:sz w:val="20"/>
                <w:szCs w:val="20"/>
              </w:rPr>
              <w:t>Total</w:t>
            </w:r>
          </w:p>
        </w:tc>
        <w:tc>
          <w:tcPr>
            <w:tcW w:w="720" w:type="pct"/>
            <w:tcBorders>
              <w:top w:val="single" w:sz="8" w:space="0" w:color="auto"/>
              <w:left w:val="nil"/>
              <w:bottom w:val="single" w:sz="8" w:space="0" w:color="auto"/>
              <w:right w:val="nil"/>
            </w:tcBorders>
            <w:vAlign w:val="center"/>
          </w:tcPr>
          <w:p w14:paraId="1BA15320" w14:textId="763628A7" w:rsidR="00B858A9" w:rsidRDefault="00B858A9">
            <w:pPr>
              <w:jc w:val="right"/>
              <w:rPr>
                <w:rFonts w:ascii="Calibri" w:hAnsi="Calibri" w:cs="Calibri"/>
                <w:b/>
                <w:bCs/>
                <w:color w:val="000000"/>
                <w:sz w:val="20"/>
                <w:szCs w:val="20"/>
              </w:rPr>
            </w:pPr>
            <w:r>
              <w:rPr>
                <w:rFonts w:ascii="Calibri" w:hAnsi="Calibri" w:cs="Calibri"/>
                <w:b/>
                <w:bCs/>
                <w:color w:val="000000"/>
                <w:sz w:val="20"/>
                <w:szCs w:val="20"/>
              </w:rPr>
              <w:t>(</w:t>
            </w:r>
            <w:r w:rsidR="00674CB9">
              <w:rPr>
                <w:rFonts w:ascii="Calibri" w:hAnsi="Calibri" w:cs="Calibri"/>
                <w:b/>
                <w:bCs/>
                <w:color w:val="000000"/>
                <w:sz w:val="20"/>
                <w:szCs w:val="20"/>
              </w:rPr>
              <w:t>100.8</w:t>
            </w:r>
            <w:r>
              <w:rPr>
                <w:rFonts w:ascii="Calibri" w:hAnsi="Calibri" w:cs="Calibri"/>
                <w:b/>
                <w:bCs/>
                <w:color w:val="000000"/>
                <w:sz w:val="20"/>
                <w:szCs w:val="20"/>
              </w:rPr>
              <w:t>)</w:t>
            </w:r>
          </w:p>
        </w:tc>
        <w:tc>
          <w:tcPr>
            <w:tcW w:w="721" w:type="pct"/>
            <w:tcBorders>
              <w:top w:val="single" w:sz="8" w:space="0" w:color="auto"/>
              <w:left w:val="nil"/>
              <w:bottom w:val="single" w:sz="8" w:space="0" w:color="auto"/>
              <w:right w:val="nil"/>
            </w:tcBorders>
            <w:vAlign w:val="center"/>
          </w:tcPr>
          <w:p w14:paraId="16FEA222" w14:textId="4248C33D" w:rsidR="00B858A9" w:rsidRDefault="00B858A9">
            <w:pPr>
              <w:jc w:val="right"/>
              <w:rPr>
                <w:rFonts w:ascii="Calibri" w:hAnsi="Calibri" w:cs="Calibri"/>
                <w:b/>
                <w:bCs/>
                <w:color w:val="000000"/>
                <w:sz w:val="20"/>
                <w:szCs w:val="20"/>
              </w:rPr>
            </w:pPr>
            <w:r>
              <w:rPr>
                <w:rFonts w:ascii="Calibri" w:hAnsi="Calibri" w:cs="Calibri"/>
                <w:b/>
                <w:bCs/>
                <w:color w:val="000000"/>
                <w:sz w:val="20"/>
                <w:szCs w:val="20"/>
              </w:rPr>
              <w:t>(</w:t>
            </w:r>
            <w:r w:rsidR="00674CB9">
              <w:rPr>
                <w:rFonts w:ascii="Calibri" w:hAnsi="Calibri" w:cs="Calibri"/>
                <w:b/>
                <w:bCs/>
                <w:color w:val="000000"/>
                <w:sz w:val="20"/>
                <w:szCs w:val="20"/>
              </w:rPr>
              <w:t>73.0</w:t>
            </w:r>
            <w:r>
              <w:rPr>
                <w:rFonts w:ascii="Calibri" w:hAnsi="Calibri" w:cs="Calibri"/>
                <w:b/>
                <w:bCs/>
                <w:color w:val="000000"/>
                <w:sz w:val="20"/>
                <w:szCs w:val="20"/>
              </w:rPr>
              <w:t>)</w:t>
            </w:r>
          </w:p>
        </w:tc>
        <w:tc>
          <w:tcPr>
            <w:tcW w:w="719" w:type="pct"/>
            <w:tcBorders>
              <w:top w:val="single" w:sz="8" w:space="0" w:color="auto"/>
              <w:left w:val="nil"/>
              <w:bottom w:val="single" w:sz="8" w:space="0" w:color="auto"/>
              <w:right w:val="nil"/>
            </w:tcBorders>
            <w:vAlign w:val="center"/>
          </w:tcPr>
          <w:p w14:paraId="419EABF9" w14:textId="7771402D" w:rsidR="00B858A9" w:rsidRDefault="00B858A9">
            <w:pPr>
              <w:jc w:val="right"/>
              <w:rPr>
                <w:rFonts w:ascii="Calibri" w:hAnsi="Calibri" w:cs="Calibri"/>
                <w:b/>
                <w:bCs/>
                <w:color w:val="000000"/>
                <w:sz w:val="20"/>
                <w:szCs w:val="20"/>
              </w:rPr>
            </w:pPr>
            <w:r>
              <w:rPr>
                <w:rFonts w:ascii="Calibri" w:hAnsi="Calibri" w:cs="Calibri"/>
                <w:b/>
                <w:bCs/>
                <w:color w:val="000000"/>
                <w:sz w:val="20"/>
                <w:szCs w:val="20"/>
              </w:rPr>
              <w:t>(</w:t>
            </w:r>
            <w:r w:rsidR="00674CB9">
              <w:rPr>
                <w:rFonts w:ascii="Calibri" w:hAnsi="Calibri" w:cs="Calibri"/>
                <w:b/>
                <w:bCs/>
                <w:color w:val="000000"/>
                <w:sz w:val="20"/>
                <w:szCs w:val="20"/>
              </w:rPr>
              <w:t>177.2</w:t>
            </w:r>
            <w:r>
              <w:rPr>
                <w:rFonts w:ascii="Calibri" w:hAnsi="Calibri" w:cs="Calibri"/>
                <w:b/>
                <w:bCs/>
                <w:color w:val="000000"/>
                <w:sz w:val="20"/>
                <w:szCs w:val="20"/>
              </w:rPr>
              <w:t>)</w:t>
            </w:r>
          </w:p>
        </w:tc>
        <w:tc>
          <w:tcPr>
            <w:tcW w:w="723" w:type="pct"/>
            <w:gridSpan w:val="2"/>
            <w:tcBorders>
              <w:top w:val="single" w:sz="8" w:space="0" w:color="auto"/>
              <w:left w:val="nil"/>
              <w:bottom w:val="single" w:sz="8" w:space="0" w:color="auto"/>
              <w:right w:val="nil"/>
            </w:tcBorders>
            <w:vAlign w:val="center"/>
          </w:tcPr>
          <w:p w14:paraId="7F383D14" w14:textId="018B118C" w:rsidR="00B858A9" w:rsidRDefault="00B858A9">
            <w:pPr>
              <w:jc w:val="right"/>
              <w:rPr>
                <w:rFonts w:ascii="Calibri" w:hAnsi="Calibri" w:cs="Calibri"/>
                <w:b/>
                <w:bCs/>
                <w:color w:val="000000"/>
                <w:sz w:val="20"/>
                <w:szCs w:val="20"/>
              </w:rPr>
            </w:pPr>
            <w:r>
              <w:rPr>
                <w:rFonts w:ascii="Calibri" w:hAnsi="Calibri" w:cs="Calibri"/>
                <w:b/>
                <w:bCs/>
                <w:color w:val="000000"/>
                <w:sz w:val="20"/>
                <w:szCs w:val="20"/>
              </w:rPr>
              <w:t>(</w:t>
            </w:r>
            <w:r w:rsidR="00674CB9">
              <w:rPr>
                <w:rFonts w:ascii="Calibri" w:hAnsi="Calibri" w:cs="Calibri"/>
                <w:b/>
                <w:bCs/>
                <w:color w:val="000000"/>
                <w:sz w:val="20"/>
                <w:szCs w:val="20"/>
              </w:rPr>
              <w:t>351.0</w:t>
            </w:r>
            <w:r>
              <w:rPr>
                <w:rFonts w:ascii="Calibri" w:hAnsi="Calibri" w:cs="Calibri"/>
                <w:b/>
                <w:bCs/>
                <w:color w:val="000000"/>
                <w:sz w:val="20"/>
                <w:szCs w:val="20"/>
              </w:rPr>
              <w:t>)</w:t>
            </w:r>
          </w:p>
        </w:tc>
      </w:tr>
      <w:tr w:rsidR="00B858A9" w14:paraId="7797CD15" w14:textId="77777777" w:rsidTr="003B7755">
        <w:trPr>
          <w:trHeight w:val="281"/>
        </w:trPr>
        <w:tc>
          <w:tcPr>
            <w:tcW w:w="2117" w:type="pct"/>
            <w:gridSpan w:val="3"/>
            <w:tcBorders>
              <w:top w:val="nil"/>
              <w:left w:val="nil"/>
              <w:bottom w:val="nil"/>
              <w:right w:val="nil"/>
            </w:tcBorders>
            <w:vAlign w:val="center"/>
            <w:hideMark/>
          </w:tcPr>
          <w:p w14:paraId="3C01C971" w14:textId="77777777" w:rsidR="00B858A9" w:rsidRDefault="00B858A9">
            <w:pPr>
              <w:jc w:val="right"/>
              <w:rPr>
                <w:rFonts w:ascii="Calibri" w:hAnsi="Calibri" w:cs="Calibri"/>
                <w:b/>
                <w:bCs/>
                <w:color w:val="000000"/>
                <w:sz w:val="20"/>
                <w:szCs w:val="20"/>
              </w:rPr>
            </w:pPr>
          </w:p>
        </w:tc>
        <w:tc>
          <w:tcPr>
            <w:tcW w:w="720" w:type="pct"/>
            <w:tcBorders>
              <w:top w:val="nil"/>
              <w:left w:val="nil"/>
              <w:bottom w:val="nil"/>
              <w:right w:val="nil"/>
            </w:tcBorders>
            <w:vAlign w:val="center"/>
          </w:tcPr>
          <w:p w14:paraId="2B99D8E8" w14:textId="77777777" w:rsidR="00B858A9" w:rsidRDefault="00B858A9">
            <w:pPr>
              <w:rPr>
                <w:sz w:val="20"/>
                <w:szCs w:val="20"/>
              </w:rPr>
            </w:pPr>
          </w:p>
        </w:tc>
        <w:tc>
          <w:tcPr>
            <w:tcW w:w="721" w:type="pct"/>
            <w:tcBorders>
              <w:top w:val="nil"/>
              <w:left w:val="nil"/>
              <w:bottom w:val="nil"/>
              <w:right w:val="nil"/>
            </w:tcBorders>
            <w:vAlign w:val="center"/>
          </w:tcPr>
          <w:p w14:paraId="4823027D" w14:textId="77777777" w:rsidR="00B858A9" w:rsidRDefault="00B858A9">
            <w:pPr>
              <w:jc w:val="right"/>
              <w:rPr>
                <w:sz w:val="20"/>
                <w:szCs w:val="20"/>
              </w:rPr>
            </w:pPr>
          </w:p>
        </w:tc>
        <w:tc>
          <w:tcPr>
            <w:tcW w:w="719" w:type="pct"/>
            <w:tcBorders>
              <w:top w:val="nil"/>
              <w:left w:val="nil"/>
              <w:bottom w:val="nil"/>
              <w:right w:val="nil"/>
            </w:tcBorders>
            <w:vAlign w:val="center"/>
          </w:tcPr>
          <w:p w14:paraId="022356D2" w14:textId="77777777" w:rsidR="00B858A9" w:rsidRDefault="00B858A9">
            <w:pPr>
              <w:jc w:val="right"/>
              <w:rPr>
                <w:sz w:val="20"/>
                <w:szCs w:val="20"/>
              </w:rPr>
            </w:pPr>
          </w:p>
        </w:tc>
        <w:tc>
          <w:tcPr>
            <w:tcW w:w="723" w:type="pct"/>
            <w:gridSpan w:val="2"/>
            <w:tcBorders>
              <w:top w:val="nil"/>
              <w:left w:val="nil"/>
              <w:bottom w:val="nil"/>
              <w:right w:val="nil"/>
            </w:tcBorders>
            <w:vAlign w:val="center"/>
          </w:tcPr>
          <w:p w14:paraId="20C66EDD" w14:textId="77777777" w:rsidR="00B858A9" w:rsidRDefault="00B858A9">
            <w:pPr>
              <w:jc w:val="right"/>
              <w:rPr>
                <w:sz w:val="20"/>
                <w:szCs w:val="20"/>
              </w:rPr>
            </w:pPr>
          </w:p>
        </w:tc>
      </w:tr>
      <w:tr w:rsidR="00B858A9" w14:paraId="4DA68188" w14:textId="77777777" w:rsidTr="003B7755">
        <w:trPr>
          <w:trHeight w:val="281"/>
        </w:trPr>
        <w:tc>
          <w:tcPr>
            <w:tcW w:w="2117" w:type="pct"/>
            <w:gridSpan w:val="3"/>
            <w:tcBorders>
              <w:top w:val="nil"/>
              <w:left w:val="nil"/>
              <w:bottom w:val="nil"/>
              <w:right w:val="nil"/>
            </w:tcBorders>
            <w:vAlign w:val="center"/>
            <w:hideMark/>
          </w:tcPr>
          <w:p w14:paraId="15A38356" w14:textId="77777777" w:rsidR="00B858A9" w:rsidRDefault="00B858A9">
            <w:pPr>
              <w:rPr>
                <w:rFonts w:ascii="Calibri" w:hAnsi="Calibri" w:cs="Calibri"/>
                <w:b/>
                <w:bCs/>
                <w:color w:val="000000"/>
                <w:sz w:val="20"/>
                <w:szCs w:val="20"/>
              </w:rPr>
            </w:pPr>
            <w:r>
              <w:rPr>
                <w:rFonts w:ascii="Calibri" w:hAnsi="Calibri" w:cs="Calibri"/>
                <w:b/>
                <w:bCs/>
                <w:color w:val="000000"/>
                <w:sz w:val="20"/>
                <w:szCs w:val="20"/>
              </w:rPr>
              <w:t>Net receivables</w:t>
            </w:r>
          </w:p>
        </w:tc>
        <w:tc>
          <w:tcPr>
            <w:tcW w:w="720" w:type="pct"/>
            <w:tcBorders>
              <w:top w:val="nil"/>
              <w:left w:val="nil"/>
              <w:bottom w:val="nil"/>
              <w:right w:val="nil"/>
            </w:tcBorders>
            <w:vAlign w:val="center"/>
          </w:tcPr>
          <w:p w14:paraId="3CF23284" w14:textId="77777777" w:rsidR="00B858A9" w:rsidRDefault="00B858A9">
            <w:pPr>
              <w:rPr>
                <w:rFonts w:ascii="Calibri" w:hAnsi="Calibri" w:cs="Calibri"/>
                <w:b/>
                <w:bCs/>
                <w:color w:val="000000"/>
                <w:sz w:val="20"/>
                <w:szCs w:val="20"/>
              </w:rPr>
            </w:pPr>
          </w:p>
        </w:tc>
        <w:tc>
          <w:tcPr>
            <w:tcW w:w="721" w:type="pct"/>
            <w:tcBorders>
              <w:top w:val="nil"/>
              <w:left w:val="nil"/>
              <w:bottom w:val="nil"/>
              <w:right w:val="nil"/>
            </w:tcBorders>
            <w:vAlign w:val="center"/>
          </w:tcPr>
          <w:p w14:paraId="3288B53D" w14:textId="77777777" w:rsidR="00B858A9" w:rsidRDefault="00B858A9">
            <w:pPr>
              <w:jc w:val="right"/>
              <w:rPr>
                <w:sz w:val="20"/>
                <w:szCs w:val="20"/>
              </w:rPr>
            </w:pPr>
          </w:p>
        </w:tc>
        <w:tc>
          <w:tcPr>
            <w:tcW w:w="719" w:type="pct"/>
            <w:tcBorders>
              <w:top w:val="nil"/>
              <w:left w:val="nil"/>
              <w:bottom w:val="nil"/>
              <w:right w:val="nil"/>
            </w:tcBorders>
            <w:vAlign w:val="center"/>
          </w:tcPr>
          <w:p w14:paraId="419DC358" w14:textId="77777777" w:rsidR="00B858A9" w:rsidRDefault="00B858A9">
            <w:pPr>
              <w:jc w:val="right"/>
              <w:rPr>
                <w:sz w:val="20"/>
                <w:szCs w:val="20"/>
              </w:rPr>
            </w:pPr>
          </w:p>
        </w:tc>
        <w:tc>
          <w:tcPr>
            <w:tcW w:w="723" w:type="pct"/>
            <w:gridSpan w:val="2"/>
            <w:tcBorders>
              <w:top w:val="nil"/>
              <w:left w:val="nil"/>
              <w:bottom w:val="nil"/>
              <w:right w:val="nil"/>
            </w:tcBorders>
            <w:vAlign w:val="center"/>
          </w:tcPr>
          <w:p w14:paraId="5C5BED2B" w14:textId="77777777" w:rsidR="00B858A9" w:rsidRDefault="00B858A9">
            <w:pPr>
              <w:jc w:val="right"/>
              <w:rPr>
                <w:sz w:val="20"/>
                <w:szCs w:val="20"/>
              </w:rPr>
            </w:pPr>
          </w:p>
        </w:tc>
      </w:tr>
      <w:tr w:rsidR="00B858A9" w14:paraId="3773F3B3" w14:textId="77777777" w:rsidTr="003B7755">
        <w:trPr>
          <w:trHeight w:val="281"/>
        </w:trPr>
        <w:tc>
          <w:tcPr>
            <w:tcW w:w="2117" w:type="pct"/>
            <w:gridSpan w:val="3"/>
            <w:tcBorders>
              <w:top w:val="nil"/>
              <w:left w:val="nil"/>
              <w:bottom w:val="nil"/>
              <w:right w:val="nil"/>
            </w:tcBorders>
            <w:vAlign w:val="center"/>
            <w:hideMark/>
          </w:tcPr>
          <w:p w14:paraId="07C4225D" w14:textId="77777777" w:rsidR="00B858A9" w:rsidRDefault="00B858A9">
            <w:pPr>
              <w:rPr>
                <w:rFonts w:ascii="Calibri" w:hAnsi="Calibri" w:cs="Calibri"/>
                <w:color w:val="000000"/>
                <w:sz w:val="20"/>
                <w:szCs w:val="20"/>
              </w:rPr>
            </w:pPr>
            <w:r>
              <w:rPr>
                <w:rFonts w:ascii="Calibri" w:hAnsi="Calibri" w:cs="Calibri"/>
                <w:color w:val="000000"/>
                <w:sz w:val="20"/>
                <w:szCs w:val="20"/>
              </w:rPr>
              <w:t>Credit cards</w:t>
            </w:r>
          </w:p>
        </w:tc>
        <w:tc>
          <w:tcPr>
            <w:tcW w:w="720" w:type="pct"/>
            <w:tcBorders>
              <w:top w:val="nil"/>
              <w:left w:val="nil"/>
              <w:bottom w:val="nil"/>
              <w:right w:val="nil"/>
            </w:tcBorders>
            <w:vAlign w:val="center"/>
          </w:tcPr>
          <w:p w14:paraId="0A67091A"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1,039.8</w:t>
            </w:r>
          </w:p>
        </w:tc>
        <w:tc>
          <w:tcPr>
            <w:tcW w:w="721" w:type="pct"/>
            <w:tcBorders>
              <w:top w:val="nil"/>
              <w:left w:val="nil"/>
              <w:bottom w:val="nil"/>
              <w:right w:val="nil"/>
            </w:tcBorders>
            <w:vAlign w:val="center"/>
          </w:tcPr>
          <w:p w14:paraId="2DD4F094"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72.1</w:t>
            </w:r>
          </w:p>
        </w:tc>
        <w:tc>
          <w:tcPr>
            <w:tcW w:w="719" w:type="pct"/>
            <w:tcBorders>
              <w:top w:val="nil"/>
              <w:left w:val="nil"/>
              <w:bottom w:val="nil"/>
              <w:right w:val="nil"/>
            </w:tcBorders>
            <w:vAlign w:val="center"/>
          </w:tcPr>
          <w:p w14:paraId="5D1E3834"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38.7</w:t>
            </w:r>
          </w:p>
        </w:tc>
        <w:tc>
          <w:tcPr>
            <w:tcW w:w="723" w:type="pct"/>
            <w:gridSpan w:val="2"/>
            <w:tcBorders>
              <w:top w:val="nil"/>
              <w:left w:val="nil"/>
              <w:bottom w:val="nil"/>
              <w:right w:val="nil"/>
            </w:tcBorders>
            <w:vAlign w:val="center"/>
          </w:tcPr>
          <w:p w14:paraId="6B5F05F2"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1,150.6</w:t>
            </w:r>
          </w:p>
        </w:tc>
      </w:tr>
      <w:tr w:rsidR="00B858A9" w14:paraId="2226F632" w14:textId="77777777" w:rsidTr="003B7755">
        <w:trPr>
          <w:trHeight w:val="281"/>
        </w:trPr>
        <w:tc>
          <w:tcPr>
            <w:tcW w:w="2117" w:type="pct"/>
            <w:gridSpan w:val="3"/>
            <w:tcBorders>
              <w:top w:val="nil"/>
              <w:left w:val="nil"/>
              <w:bottom w:val="nil"/>
              <w:right w:val="nil"/>
            </w:tcBorders>
            <w:vAlign w:val="center"/>
            <w:hideMark/>
          </w:tcPr>
          <w:p w14:paraId="7658EB52" w14:textId="77777777" w:rsidR="00B858A9" w:rsidRDefault="00B858A9">
            <w:pPr>
              <w:rPr>
                <w:rFonts w:ascii="Calibri" w:hAnsi="Calibri" w:cs="Calibri"/>
                <w:color w:val="000000"/>
                <w:sz w:val="20"/>
                <w:szCs w:val="20"/>
              </w:rPr>
            </w:pPr>
            <w:r>
              <w:rPr>
                <w:rFonts w:ascii="Calibri" w:hAnsi="Calibri" w:cs="Calibri"/>
                <w:color w:val="000000"/>
                <w:sz w:val="20"/>
                <w:szCs w:val="20"/>
              </w:rPr>
              <w:t>Vehicle finance</w:t>
            </w:r>
          </w:p>
        </w:tc>
        <w:tc>
          <w:tcPr>
            <w:tcW w:w="720" w:type="pct"/>
            <w:tcBorders>
              <w:top w:val="nil"/>
              <w:left w:val="nil"/>
              <w:bottom w:val="nil"/>
              <w:right w:val="nil"/>
            </w:tcBorders>
            <w:vAlign w:val="center"/>
          </w:tcPr>
          <w:p w14:paraId="4C48AC10"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588.9</w:t>
            </w:r>
          </w:p>
        </w:tc>
        <w:tc>
          <w:tcPr>
            <w:tcW w:w="721" w:type="pct"/>
            <w:tcBorders>
              <w:top w:val="nil"/>
              <w:left w:val="nil"/>
              <w:bottom w:val="nil"/>
              <w:right w:val="nil"/>
            </w:tcBorders>
            <w:vAlign w:val="center"/>
          </w:tcPr>
          <w:p w14:paraId="1AFDC4A5"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101.4</w:t>
            </w:r>
          </w:p>
        </w:tc>
        <w:tc>
          <w:tcPr>
            <w:tcW w:w="719" w:type="pct"/>
            <w:tcBorders>
              <w:top w:val="nil"/>
              <w:left w:val="nil"/>
              <w:bottom w:val="nil"/>
              <w:right w:val="nil"/>
            </w:tcBorders>
            <w:vAlign w:val="center"/>
          </w:tcPr>
          <w:p w14:paraId="146DB7D3"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70.2</w:t>
            </w:r>
          </w:p>
        </w:tc>
        <w:tc>
          <w:tcPr>
            <w:tcW w:w="723" w:type="pct"/>
            <w:gridSpan w:val="2"/>
            <w:tcBorders>
              <w:top w:val="nil"/>
              <w:left w:val="nil"/>
              <w:bottom w:val="nil"/>
              <w:right w:val="nil"/>
            </w:tcBorders>
            <w:vAlign w:val="center"/>
          </w:tcPr>
          <w:p w14:paraId="5031D0E0"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760.5</w:t>
            </w:r>
          </w:p>
        </w:tc>
      </w:tr>
      <w:tr w:rsidR="00B858A9" w14:paraId="4EE2F644" w14:textId="77777777" w:rsidTr="003B7755">
        <w:trPr>
          <w:trHeight w:val="295"/>
        </w:trPr>
        <w:tc>
          <w:tcPr>
            <w:tcW w:w="2117" w:type="pct"/>
            <w:gridSpan w:val="3"/>
            <w:tcBorders>
              <w:top w:val="nil"/>
              <w:left w:val="nil"/>
              <w:bottom w:val="nil"/>
              <w:right w:val="nil"/>
            </w:tcBorders>
            <w:vAlign w:val="center"/>
            <w:hideMark/>
          </w:tcPr>
          <w:p w14:paraId="4BBFA751" w14:textId="77777777" w:rsidR="00B858A9" w:rsidRDefault="00B858A9">
            <w:pPr>
              <w:rPr>
                <w:rFonts w:ascii="Calibri" w:hAnsi="Calibri" w:cs="Calibri"/>
                <w:color w:val="000000"/>
                <w:sz w:val="20"/>
                <w:szCs w:val="20"/>
              </w:rPr>
            </w:pPr>
            <w:r>
              <w:rPr>
                <w:rFonts w:ascii="Calibri" w:hAnsi="Calibri" w:cs="Calibri"/>
                <w:color w:val="000000"/>
                <w:sz w:val="20"/>
                <w:szCs w:val="20"/>
              </w:rPr>
              <w:t>Second charge mortgages</w:t>
            </w:r>
          </w:p>
        </w:tc>
        <w:tc>
          <w:tcPr>
            <w:tcW w:w="720" w:type="pct"/>
            <w:tcBorders>
              <w:top w:val="nil"/>
              <w:left w:val="nil"/>
              <w:bottom w:val="nil"/>
              <w:right w:val="nil"/>
            </w:tcBorders>
            <w:vAlign w:val="center"/>
          </w:tcPr>
          <w:p w14:paraId="1282AF63"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31.5</w:t>
            </w:r>
          </w:p>
        </w:tc>
        <w:tc>
          <w:tcPr>
            <w:tcW w:w="721" w:type="pct"/>
            <w:tcBorders>
              <w:top w:val="nil"/>
              <w:left w:val="nil"/>
              <w:bottom w:val="nil"/>
              <w:right w:val="nil"/>
            </w:tcBorders>
            <w:vAlign w:val="center"/>
          </w:tcPr>
          <w:p w14:paraId="3A8F1E17" w14:textId="219A62AA" w:rsidR="00B858A9" w:rsidRDefault="00304F2A">
            <w:pPr>
              <w:jc w:val="right"/>
              <w:rPr>
                <w:rFonts w:ascii="Calibri" w:hAnsi="Calibri" w:cs="Calibri"/>
                <w:color w:val="000000"/>
                <w:sz w:val="20"/>
                <w:szCs w:val="20"/>
              </w:rPr>
            </w:pPr>
            <w:r>
              <w:rPr>
                <w:rFonts w:ascii="Calibri" w:hAnsi="Calibri" w:cs="Calibri"/>
                <w:color w:val="000000"/>
                <w:sz w:val="20"/>
                <w:szCs w:val="20"/>
              </w:rPr>
              <w:t>-</w:t>
            </w:r>
          </w:p>
        </w:tc>
        <w:tc>
          <w:tcPr>
            <w:tcW w:w="719" w:type="pct"/>
            <w:tcBorders>
              <w:top w:val="nil"/>
              <w:left w:val="nil"/>
              <w:bottom w:val="nil"/>
              <w:right w:val="nil"/>
            </w:tcBorders>
            <w:vAlign w:val="center"/>
          </w:tcPr>
          <w:p w14:paraId="1F8229E1" w14:textId="208BB3EF" w:rsidR="00B858A9" w:rsidRDefault="00304F2A">
            <w:pPr>
              <w:jc w:val="right"/>
              <w:rPr>
                <w:rFonts w:ascii="Calibri" w:hAnsi="Calibri" w:cs="Calibri"/>
                <w:color w:val="000000"/>
                <w:sz w:val="20"/>
                <w:szCs w:val="20"/>
              </w:rPr>
            </w:pPr>
            <w:r>
              <w:rPr>
                <w:rFonts w:ascii="Calibri" w:hAnsi="Calibri" w:cs="Calibri"/>
                <w:color w:val="000000"/>
                <w:sz w:val="20"/>
                <w:szCs w:val="20"/>
              </w:rPr>
              <w:t>-</w:t>
            </w:r>
          </w:p>
        </w:tc>
        <w:tc>
          <w:tcPr>
            <w:tcW w:w="723" w:type="pct"/>
            <w:gridSpan w:val="2"/>
            <w:tcBorders>
              <w:top w:val="nil"/>
              <w:left w:val="nil"/>
              <w:bottom w:val="nil"/>
              <w:right w:val="nil"/>
            </w:tcBorders>
            <w:vAlign w:val="center"/>
          </w:tcPr>
          <w:p w14:paraId="5F8D6831" w14:textId="77777777" w:rsidR="00B858A9" w:rsidRDefault="00B858A9">
            <w:pPr>
              <w:jc w:val="right"/>
              <w:rPr>
                <w:rFonts w:ascii="Calibri" w:hAnsi="Calibri" w:cs="Calibri"/>
                <w:color w:val="000000"/>
                <w:sz w:val="20"/>
                <w:szCs w:val="20"/>
              </w:rPr>
            </w:pPr>
            <w:r>
              <w:rPr>
                <w:rFonts w:ascii="Calibri" w:hAnsi="Calibri" w:cs="Calibri"/>
                <w:color w:val="000000"/>
                <w:sz w:val="20"/>
                <w:szCs w:val="20"/>
              </w:rPr>
              <w:t>31.5</w:t>
            </w:r>
          </w:p>
        </w:tc>
      </w:tr>
      <w:tr w:rsidR="00504E37" w14:paraId="40A47697" w14:textId="77777777" w:rsidTr="00170439">
        <w:trPr>
          <w:trHeight w:val="295"/>
        </w:trPr>
        <w:tc>
          <w:tcPr>
            <w:tcW w:w="2117" w:type="pct"/>
            <w:gridSpan w:val="3"/>
            <w:tcBorders>
              <w:top w:val="nil"/>
              <w:left w:val="nil"/>
              <w:bottom w:val="nil"/>
              <w:right w:val="nil"/>
            </w:tcBorders>
            <w:vAlign w:val="center"/>
          </w:tcPr>
          <w:p w14:paraId="18564B1E" w14:textId="551995B0" w:rsidR="00504E37" w:rsidRDefault="00504E37" w:rsidP="00504E37">
            <w:pPr>
              <w:rPr>
                <w:rFonts w:ascii="Calibri" w:hAnsi="Calibri" w:cs="Calibri"/>
                <w:color w:val="000000"/>
                <w:sz w:val="20"/>
                <w:szCs w:val="20"/>
              </w:rPr>
            </w:pPr>
            <w:r>
              <w:rPr>
                <w:rFonts w:ascii="Calibri" w:hAnsi="Calibri" w:cs="Calibri"/>
                <w:color w:val="000000"/>
                <w:sz w:val="20"/>
                <w:szCs w:val="20"/>
              </w:rPr>
              <w:t>Personal loans (discontinued operation)</w:t>
            </w:r>
          </w:p>
        </w:tc>
        <w:tc>
          <w:tcPr>
            <w:tcW w:w="720" w:type="pct"/>
            <w:tcBorders>
              <w:top w:val="nil"/>
              <w:left w:val="nil"/>
              <w:bottom w:val="nil"/>
              <w:right w:val="nil"/>
            </w:tcBorders>
            <w:vAlign w:val="center"/>
          </w:tcPr>
          <w:p w14:paraId="418C7DAA" w14:textId="020B016C" w:rsidR="00504E37" w:rsidRDefault="00504E37" w:rsidP="00504E37">
            <w:pPr>
              <w:jc w:val="right"/>
              <w:rPr>
                <w:rFonts w:ascii="Calibri" w:hAnsi="Calibri" w:cs="Calibri"/>
                <w:color w:val="000000"/>
                <w:sz w:val="20"/>
                <w:szCs w:val="20"/>
              </w:rPr>
            </w:pPr>
            <w:r>
              <w:rPr>
                <w:rFonts w:ascii="Calibri" w:hAnsi="Calibri" w:cs="Calibri"/>
                <w:color w:val="000000"/>
                <w:sz w:val="20"/>
                <w:szCs w:val="20"/>
              </w:rPr>
              <w:t>63.7</w:t>
            </w:r>
          </w:p>
        </w:tc>
        <w:tc>
          <w:tcPr>
            <w:tcW w:w="721" w:type="pct"/>
            <w:tcBorders>
              <w:top w:val="nil"/>
              <w:left w:val="nil"/>
              <w:bottom w:val="nil"/>
              <w:right w:val="nil"/>
            </w:tcBorders>
            <w:vAlign w:val="center"/>
          </w:tcPr>
          <w:p w14:paraId="45BDAC56" w14:textId="7B423D02" w:rsidR="00504E37" w:rsidRDefault="00504E37" w:rsidP="00504E37">
            <w:pPr>
              <w:jc w:val="right"/>
              <w:rPr>
                <w:rFonts w:ascii="Calibri" w:hAnsi="Calibri" w:cs="Calibri"/>
                <w:color w:val="000000"/>
                <w:sz w:val="20"/>
                <w:szCs w:val="20"/>
              </w:rPr>
            </w:pPr>
            <w:r>
              <w:rPr>
                <w:rFonts w:ascii="Calibri" w:hAnsi="Calibri" w:cs="Calibri"/>
                <w:color w:val="000000"/>
                <w:sz w:val="20"/>
                <w:szCs w:val="20"/>
              </w:rPr>
              <w:t>2.3</w:t>
            </w:r>
          </w:p>
        </w:tc>
        <w:tc>
          <w:tcPr>
            <w:tcW w:w="719" w:type="pct"/>
            <w:tcBorders>
              <w:top w:val="nil"/>
              <w:left w:val="nil"/>
              <w:bottom w:val="nil"/>
              <w:right w:val="nil"/>
            </w:tcBorders>
            <w:vAlign w:val="center"/>
          </w:tcPr>
          <w:p w14:paraId="18894752" w14:textId="372B7F73" w:rsidR="00504E37" w:rsidRDefault="00504E37" w:rsidP="00504E37">
            <w:pPr>
              <w:jc w:val="right"/>
              <w:rPr>
                <w:rFonts w:ascii="Calibri" w:hAnsi="Calibri" w:cs="Calibri"/>
                <w:color w:val="000000"/>
                <w:sz w:val="20"/>
                <w:szCs w:val="20"/>
              </w:rPr>
            </w:pPr>
            <w:r>
              <w:rPr>
                <w:rFonts w:ascii="Calibri" w:hAnsi="Calibri" w:cs="Calibri"/>
                <w:color w:val="000000"/>
                <w:sz w:val="20"/>
                <w:szCs w:val="20"/>
              </w:rPr>
              <w:t>1.8</w:t>
            </w:r>
          </w:p>
        </w:tc>
        <w:tc>
          <w:tcPr>
            <w:tcW w:w="723" w:type="pct"/>
            <w:gridSpan w:val="2"/>
            <w:tcBorders>
              <w:top w:val="nil"/>
              <w:left w:val="nil"/>
              <w:bottom w:val="nil"/>
              <w:right w:val="nil"/>
            </w:tcBorders>
            <w:vAlign w:val="center"/>
          </w:tcPr>
          <w:p w14:paraId="6581D3BA" w14:textId="1AC523CA" w:rsidR="00504E37" w:rsidRDefault="00504E37" w:rsidP="00504E37">
            <w:pPr>
              <w:jc w:val="right"/>
              <w:rPr>
                <w:rFonts w:ascii="Calibri" w:hAnsi="Calibri" w:cs="Calibri"/>
                <w:color w:val="000000"/>
                <w:sz w:val="20"/>
                <w:szCs w:val="20"/>
              </w:rPr>
            </w:pPr>
            <w:r>
              <w:rPr>
                <w:rFonts w:ascii="Calibri" w:hAnsi="Calibri" w:cs="Calibri"/>
                <w:color w:val="000000"/>
                <w:sz w:val="20"/>
                <w:szCs w:val="20"/>
              </w:rPr>
              <w:t>67.8</w:t>
            </w:r>
          </w:p>
        </w:tc>
      </w:tr>
      <w:tr w:rsidR="00B858A9" w14:paraId="78A74C33" w14:textId="77777777" w:rsidTr="003B7755">
        <w:trPr>
          <w:trHeight w:val="295"/>
        </w:trPr>
        <w:tc>
          <w:tcPr>
            <w:tcW w:w="2117" w:type="pct"/>
            <w:gridSpan w:val="3"/>
            <w:tcBorders>
              <w:top w:val="nil"/>
              <w:left w:val="nil"/>
              <w:bottom w:val="nil"/>
              <w:right w:val="nil"/>
            </w:tcBorders>
            <w:vAlign w:val="center"/>
            <w:hideMark/>
          </w:tcPr>
          <w:p w14:paraId="740E8011" w14:textId="09EF802A" w:rsidR="00B858A9" w:rsidRDefault="00504E37">
            <w:pPr>
              <w:rPr>
                <w:rFonts w:ascii="Calibri" w:hAnsi="Calibri" w:cs="Calibri"/>
                <w:b/>
                <w:bCs/>
                <w:color w:val="000000"/>
                <w:sz w:val="20"/>
                <w:szCs w:val="20"/>
              </w:rPr>
            </w:pPr>
            <w:r>
              <w:rPr>
                <w:rFonts w:ascii="Calibri" w:hAnsi="Calibri" w:cs="Calibri"/>
                <w:b/>
                <w:bCs/>
                <w:color w:val="000000"/>
                <w:sz w:val="20"/>
                <w:szCs w:val="20"/>
              </w:rPr>
              <w:t>Total</w:t>
            </w:r>
          </w:p>
        </w:tc>
        <w:tc>
          <w:tcPr>
            <w:tcW w:w="720" w:type="pct"/>
            <w:tcBorders>
              <w:top w:val="single" w:sz="8" w:space="0" w:color="auto"/>
              <w:left w:val="nil"/>
              <w:bottom w:val="single" w:sz="8" w:space="0" w:color="auto"/>
              <w:right w:val="nil"/>
            </w:tcBorders>
            <w:vAlign w:val="center"/>
          </w:tcPr>
          <w:p w14:paraId="6B54058F" w14:textId="08E5A954" w:rsidR="00B858A9" w:rsidRDefault="00B858A9">
            <w:pPr>
              <w:jc w:val="right"/>
              <w:rPr>
                <w:rFonts w:ascii="Calibri" w:hAnsi="Calibri" w:cs="Calibri"/>
                <w:b/>
                <w:bCs/>
                <w:color w:val="000000"/>
                <w:sz w:val="20"/>
                <w:szCs w:val="20"/>
              </w:rPr>
            </w:pPr>
            <w:r>
              <w:rPr>
                <w:rFonts w:ascii="Calibri" w:hAnsi="Calibri" w:cs="Calibri"/>
                <w:b/>
                <w:bCs/>
                <w:color w:val="000000"/>
                <w:sz w:val="20"/>
                <w:szCs w:val="20"/>
              </w:rPr>
              <w:t>1,</w:t>
            </w:r>
            <w:r w:rsidR="00504E37">
              <w:rPr>
                <w:rFonts w:ascii="Calibri" w:hAnsi="Calibri" w:cs="Calibri"/>
                <w:b/>
                <w:bCs/>
                <w:color w:val="000000"/>
                <w:sz w:val="20"/>
                <w:szCs w:val="20"/>
              </w:rPr>
              <w:t>723.9</w:t>
            </w:r>
          </w:p>
        </w:tc>
        <w:tc>
          <w:tcPr>
            <w:tcW w:w="721" w:type="pct"/>
            <w:tcBorders>
              <w:top w:val="single" w:sz="8" w:space="0" w:color="auto"/>
              <w:left w:val="nil"/>
              <w:bottom w:val="single" w:sz="8" w:space="0" w:color="auto"/>
              <w:right w:val="nil"/>
            </w:tcBorders>
            <w:vAlign w:val="center"/>
          </w:tcPr>
          <w:p w14:paraId="116622AF" w14:textId="5535391C" w:rsidR="00B858A9" w:rsidRDefault="00504E37">
            <w:pPr>
              <w:jc w:val="right"/>
              <w:rPr>
                <w:rFonts w:ascii="Calibri" w:hAnsi="Calibri" w:cs="Calibri"/>
                <w:b/>
                <w:bCs/>
                <w:color w:val="000000"/>
                <w:sz w:val="20"/>
                <w:szCs w:val="20"/>
              </w:rPr>
            </w:pPr>
            <w:r>
              <w:rPr>
                <w:rFonts w:ascii="Calibri" w:hAnsi="Calibri" w:cs="Calibri"/>
                <w:b/>
                <w:bCs/>
                <w:color w:val="000000"/>
                <w:sz w:val="20"/>
                <w:szCs w:val="20"/>
              </w:rPr>
              <w:t>175.8</w:t>
            </w:r>
          </w:p>
        </w:tc>
        <w:tc>
          <w:tcPr>
            <w:tcW w:w="719" w:type="pct"/>
            <w:tcBorders>
              <w:top w:val="single" w:sz="8" w:space="0" w:color="auto"/>
              <w:left w:val="nil"/>
              <w:bottom w:val="single" w:sz="8" w:space="0" w:color="auto"/>
              <w:right w:val="nil"/>
            </w:tcBorders>
            <w:vAlign w:val="center"/>
          </w:tcPr>
          <w:p w14:paraId="164D3E10" w14:textId="30A6249C" w:rsidR="00B858A9" w:rsidRDefault="00504E37">
            <w:pPr>
              <w:jc w:val="right"/>
              <w:rPr>
                <w:rFonts w:ascii="Calibri" w:hAnsi="Calibri" w:cs="Calibri"/>
                <w:b/>
                <w:bCs/>
                <w:color w:val="000000"/>
                <w:sz w:val="20"/>
                <w:szCs w:val="20"/>
              </w:rPr>
            </w:pPr>
            <w:r>
              <w:rPr>
                <w:rFonts w:ascii="Calibri" w:hAnsi="Calibri" w:cs="Calibri"/>
                <w:b/>
                <w:bCs/>
                <w:color w:val="000000"/>
                <w:sz w:val="20"/>
                <w:szCs w:val="20"/>
              </w:rPr>
              <w:t>110.7</w:t>
            </w:r>
          </w:p>
        </w:tc>
        <w:tc>
          <w:tcPr>
            <w:tcW w:w="723" w:type="pct"/>
            <w:gridSpan w:val="2"/>
            <w:tcBorders>
              <w:top w:val="single" w:sz="8" w:space="0" w:color="auto"/>
              <w:left w:val="nil"/>
              <w:bottom w:val="single" w:sz="8" w:space="0" w:color="auto"/>
              <w:right w:val="nil"/>
            </w:tcBorders>
            <w:vAlign w:val="center"/>
          </w:tcPr>
          <w:p w14:paraId="2C529EEA" w14:textId="0B317434" w:rsidR="00B858A9" w:rsidRDefault="00504E37">
            <w:pPr>
              <w:jc w:val="right"/>
              <w:rPr>
                <w:rFonts w:ascii="Calibri" w:hAnsi="Calibri" w:cs="Calibri"/>
                <w:b/>
                <w:bCs/>
                <w:color w:val="000000"/>
                <w:sz w:val="20"/>
                <w:szCs w:val="20"/>
              </w:rPr>
            </w:pPr>
            <w:r>
              <w:rPr>
                <w:rFonts w:ascii="Calibri" w:hAnsi="Calibri" w:cs="Calibri"/>
                <w:b/>
                <w:bCs/>
                <w:color w:val="000000"/>
                <w:sz w:val="20"/>
                <w:szCs w:val="20"/>
              </w:rPr>
              <w:t>2,010.4</w:t>
            </w:r>
          </w:p>
        </w:tc>
      </w:tr>
    </w:tbl>
    <w:p w14:paraId="535A5EAD" w14:textId="77777777" w:rsidR="00B858A9" w:rsidRDefault="00B858A9">
      <w:pPr>
        <w:rPr>
          <w:rFonts w:asciiTheme="minorHAnsi" w:hAnsiTheme="minorHAnsi" w:cs="Arial"/>
          <w:b/>
          <w:color w:val="4747FF"/>
          <w:sz w:val="22"/>
          <w:szCs w:val="22"/>
        </w:rPr>
      </w:pPr>
    </w:p>
    <w:p w14:paraId="24172CB2" w14:textId="7CF111CD" w:rsidR="00170439" w:rsidRPr="00B5640B" w:rsidRDefault="0045374D" w:rsidP="00B5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45374D">
        <w:rPr>
          <w:rFonts w:asciiTheme="minorHAnsi" w:hAnsiTheme="minorHAnsi" w:cs="Arial"/>
          <w:b/>
          <w:sz w:val="20"/>
          <w:szCs w:val="20"/>
          <w:vertAlign w:val="superscript"/>
        </w:rPr>
        <w:t>1</w:t>
      </w:r>
      <w:r>
        <w:rPr>
          <w:rFonts w:asciiTheme="minorHAnsi" w:hAnsiTheme="minorHAnsi" w:cs="Arial"/>
          <w:b/>
          <w:sz w:val="20"/>
          <w:szCs w:val="20"/>
        </w:rPr>
        <w:t xml:space="preserve"> </w:t>
      </w:r>
      <w:r w:rsidRPr="0045374D">
        <w:rPr>
          <w:rFonts w:asciiTheme="minorHAnsi" w:hAnsiTheme="minorHAnsi" w:cs="Arial"/>
          <w:bCs/>
          <w:sz w:val="20"/>
          <w:szCs w:val="20"/>
        </w:rPr>
        <w:t xml:space="preserve">Refer to accounting </w:t>
      </w:r>
      <w:r w:rsidR="00D45083" w:rsidRPr="0045374D">
        <w:rPr>
          <w:rFonts w:asciiTheme="minorHAnsi" w:hAnsiTheme="minorHAnsi" w:cs="Arial"/>
          <w:bCs/>
          <w:sz w:val="20"/>
          <w:szCs w:val="20"/>
        </w:rPr>
        <w:t>policies</w:t>
      </w:r>
      <w:r w:rsidRPr="0045374D">
        <w:rPr>
          <w:rFonts w:asciiTheme="minorHAnsi" w:hAnsiTheme="minorHAnsi" w:cs="Arial"/>
          <w:bCs/>
          <w:sz w:val="20"/>
          <w:szCs w:val="20"/>
        </w:rPr>
        <w:t xml:space="preserve"> for details of representation of fraud costs</w:t>
      </w:r>
      <w:r>
        <w:rPr>
          <w:rFonts w:asciiTheme="minorHAnsi" w:hAnsiTheme="minorHAnsi" w:cs="Arial"/>
          <w:bCs/>
          <w:sz w:val="20"/>
          <w:szCs w:val="20"/>
        </w:rPr>
        <w:t>.</w:t>
      </w:r>
    </w:p>
    <w:p w14:paraId="127D9B50" w14:textId="77777777" w:rsidR="00773195" w:rsidRDefault="00773195" w:rsidP="003F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10201724" w14:textId="2A387780" w:rsidR="006B0934" w:rsidRDefault="003F5A45" w:rsidP="00B5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color w:val="4747FF"/>
          <w:sz w:val="22"/>
          <w:szCs w:val="22"/>
        </w:rPr>
      </w:pPr>
      <w:r w:rsidRPr="002B27F7">
        <w:rPr>
          <w:rFonts w:asciiTheme="minorHAnsi" w:hAnsiTheme="minorHAnsi" w:cs="Arial"/>
          <w:sz w:val="20"/>
          <w:szCs w:val="20"/>
        </w:rPr>
        <w:t xml:space="preserve">An increase of 1% of the gross exposure into stage 2 from stage 1 would result in an increase in the allowance account </w:t>
      </w:r>
      <w:r w:rsidRPr="00327A1E">
        <w:rPr>
          <w:rFonts w:asciiTheme="minorHAnsi" w:hAnsiTheme="minorHAnsi" w:cs="Arial"/>
          <w:color w:val="000000" w:themeColor="text1"/>
          <w:sz w:val="20"/>
          <w:szCs w:val="20"/>
        </w:rPr>
        <w:t>of £</w:t>
      </w:r>
      <w:r w:rsidR="0096328A" w:rsidRPr="00327A1E">
        <w:rPr>
          <w:rFonts w:asciiTheme="minorHAnsi" w:hAnsiTheme="minorHAnsi" w:cs="Arial"/>
          <w:color w:val="000000" w:themeColor="text1"/>
          <w:sz w:val="20"/>
          <w:szCs w:val="20"/>
        </w:rPr>
        <w:t>4.8</w:t>
      </w:r>
      <w:r w:rsidRPr="00327A1E">
        <w:rPr>
          <w:rFonts w:asciiTheme="minorHAnsi" w:hAnsiTheme="minorHAnsi" w:cs="Arial"/>
          <w:color w:val="000000" w:themeColor="text1"/>
          <w:sz w:val="20"/>
          <w:szCs w:val="20"/>
        </w:rPr>
        <w:t>m (</w:t>
      </w:r>
      <w:r w:rsidRPr="002B27F7">
        <w:rPr>
          <w:rFonts w:asciiTheme="minorHAnsi" w:hAnsiTheme="minorHAnsi" w:cs="Arial"/>
          <w:sz w:val="20"/>
          <w:szCs w:val="20"/>
        </w:rPr>
        <w:t>FY2</w:t>
      </w:r>
      <w:r w:rsidR="005F68DA" w:rsidRPr="002B27F7">
        <w:rPr>
          <w:rFonts w:asciiTheme="minorHAnsi" w:hAnsiTheme="minorHAnsi" w:cs="Arial"/>
          <w:sz w:val="20"/>
          <w:szCs w:val="20"/>
        </w:rPr>
        <w:t>4</w:t>
      </w:r>
      <w:r w:rsidRPr="002B27F7">
        <w:rPr>
          <w:rFonts w:asciiTheme="minorHAnsi" w:hAnsiTheme="minorHAnsi" w:cs="Arial"/>
          <w:sz w:val="20"/>
          <w:szCs w:val="20"/>
        </w:rPr>
        <w:t>: £</w:t>
      </w:r>
      <w:r w:rsidR="002B27F7" w:rsidRPr="002B27F7">
        <w:rPr>
          <w:rFonts w:asciiTheme="minorHAnsi" w:hAnsiTheme="minorHAnsi" w:cs="Arial"/>
          <w:sz w:val="20"/>
          <w:szCs w:val="20"/>
        </w:rPr>
        <w:t>5.</w:t>
      </w:r>
      <w:r w:rsidR="004F0AC8">
        <w:rPr>
          <w:rFonts w:asciiTheme="minorHAnsi" w:hAnsiTheme="minorHAnsi" w:cs="Arial"/>
          <w:sz w:val="20"/>
          <w:szCs w:val="20"/>
        </w:rPr>
        <w:t>1</w:t>
      </w:r>
      <w:r w:rsidRPr="002B27F7">
        <w:rPr>
          <w:rFonts w:asciiTheme="minorHAnsi" w:hAnsiTheme="minorHAnsi" w:cs="Arial"/>
          <w:sz w:val="20"/>
          <w:szCs w:val="20"/>
        </w:rPr>
        <w:t>m; 1H2</w:t>
      </w:r>
      <w:r w:rsidR="00564723" w:rsidRPr="002B27F7">
        <w:rPr>
          <w:rFonts w:asciiTheme="minorHAnsi" w:hAnsiTheme="minorHAnsi" w:cs="Arial"/>
          <w:sz w:val="20"/>
          <w:szCs w:val="20"/>
        </w:rPr>
        <w:t>4</w:t>
      </w:r>
      <w:r w:rsidRPr="002B27F7">
        <w:rPr>
          <w:rFonts w:asciiTheme="minorHAnsi" w:hAnsiTheme="minorHAnsi" w:cs="Arial"/>
          <w:sz w:val="20"/>
          <w:szCs w:val="20"/>
        </w:rPr>
        <w:t>: £</w:t>
      </w:r>
      <w:r w:rsidR="002B27F7" w:rsidRPr="002B27F7">
        <w:rPr>
          <w:rFonts w:asciiTheme="minorHAnsi" w:hAnsiTheme="minorHAnsi" w:cs="Arial"/>
          <w:sz w:val="20"/>
          <w:szCs w:val="20"/>
        </w:rPr>
        <w:t>4.</w:t>
      </w:r>
      <w:r w:rsidR="00443C34">
        <w:rPr>
          <w:rFonts w:asciiTheme="minorHAnsi" w:hAnsiTheme="minorHAnsi" w:cs="Arial"/>
          <w:sz w:val="20"/>
          <w:szCs w:val="20"/>
        </w:rPr>
        <w:t>3</w:t>
      </w:r>
      <w:r w:rsidRPr="002B27F7">
        <w:rPr>
          <w:rFonts w:asciiTheme="minorHAnsi" w:hAnsiTheme="minorHAnsi" w:cs="Arial"/>
          <w:sz w:val="20"/>
          <w:szCs w:val="20"/>
        </w:rPr>
        <w:t>m) based on applying the difference between the coverage ratios from stage 1 to stage 2 to the movement in gross exposure.</w:t>
      </w:r>
    </w:p>
    <w:p w14:paraId="264EDF48" w14:textId="77777777" w:rsidR="006B0934" w:rsidRDefault="006B0934">
      <w:pPr>
        <w:rPr>
          <w:rFonts w:asciiTheme="minorHAnsi" w:hAnsiTheme="minorHAnsi" w:cs="Arial"/>
          <w:b/>
          <w:color w:val="4747FF"/>
          <w:sz w:val="22"/>
          <w:szCs w:val="22"/>
        </w:rPr>
      </w:pPr>
    </w:p>
    <w:bookmarkEnd w:id="10"/>
    <w:bookmarkEnd w:id="11"/>
    <w:p w14:paraId="0BB99647" w14:textId="4733E9A9" w:rsidR="00D52D67" w:rsidRPr="00B97C61" w:rsidRDefault="00D52D67" w:rsidP="00D5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B97C61">
        <w:rPr>
          <w:rFonts w:asciiTheme="minorHAnsi" w:hAnsiTheme="minorHAnsi" w:cs="Arial"/>
          <w:bCs/>
          <w:sz w:val="20"/>
          <w:szCs w:val="20"/>
        </w:rPr>
        <w:t xml:space="preserve"> </w:t>
      </w:r>
      <w:r w:rsidR="00274DBE">
        <w:rPr>
          <w:rFonts w:asciiTheme="minorHAnsi" w:hAnsiTheme="minorHAnsi" w:cs="Arial"/>
          <w:bCs/>
          <w:sz w:val="20"/>
          <w:szCs w:val="20"/>
        </w:rPr>
        <w:t xml:space="preserve">A </w:t>
      </w:r>
      <w:r w:rsidRPr="00B97C61">
        <w:rPr>
          <w:rFonts w:asciiTheme="minorHAnsi" w:hAnsiTheme="minorHAnsi" w:cs="Arial"/>
          <w:bCs/>
          <w:sz w:val="20"/>
          <w:szCs w:val="20"/>
        </w:rPr>
        <w:t xml:space="preserve">breakdown of the post-model </w:t>
      </w:r>
      <w:r w:rsidR="00AC57B7">
        <w:rPr>
          <w:rFonts w:asciiTheme="minorHAnsi" w:hAnsiTheme="minorHAnsi" w:cs="Arial"/>
          <w:bCs/>
          <w:sz w:val="20"/>
          <w:szCs w:val="20"/>
        </w:rPr>
        <w:t>(under)/</w:t>
      </w:r>
      <w:r w:rsidRPr="00B97C61">
        <w:rPr>
          <w:rFonts w:asciiTheme="minorHAnsi" w:hAnsiTheme="minorHAnsi" w:cs="Arial"/>
          <w:bCs/>
          <w:sz w:val="20"/>
          <w:szCs w:val="20"/>
        </w:rPr>
        <w:t xml:space="preserve">overlays for </w:t>
      </w:r>
      <w:r w:rsidR="007C4E46">
        <w:rPr>
          <w:rFonts w:asciiTheme="minorHAnsi" w:hAnsiTheme="minorHAnsi" w:cs="Arial"/>
          <w:bCs/>
          <w:sz w:val="20"/>
          <w:szCs w:val="20"/>
        </w:rPr>
        <w:t>Credit Cards</w:t>
      </w:r>
      <w:r w:rsidRPr="00B97C61">
        <w:rPr>
          <w:rFonts w:asciiTheme="minorHAnsi" w:hAnsiTheme="minorHAnsi" w:cs="Arial"/>
          <w:bCs/>
          <w:sz w:val="20"/>
          <w:szCs w:val="20"/>
        </w:rPr>
        <w:t xml:space="preserve"> is shown below:</w:t>
      </w:r>
    </w:p>
    <w:p w14:paraId="5170DD7C" w14:textId="77777777" w:rsidR="00A56859" w:rsidRDefault="00A56859"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p>
    <w:tbl>
      <w:tblPr>
        <w:tblW w:w="4956" w:type="pct"/>
        <w:tblLayout w:type="fixed"/>
        <w:tblLook w:val="04A0" w:firstRow="1" w:lastRow="0" w:firstColumn="1" w:lastColumn="0" w:noHBand="0" w:noVBand="1"/>
      </w:tblPr>
      <w:tblGrid>
        <w:gridCol w:w="5197"/>
        <w:gridCol w:w="260"/>
        <w:gridCol w:w="260"/>
        <w:gridCol w:w="237"/>
        <w:gridCol w:w="1139"/>
        <w:gridCol w:w="1413"/>
        <w:gridCol w:w="1131"/>
      </w:tblGrid>
      <w:tr w:rsidR="008E49A3" w:rsidRPr="00951920" w14:paraId="7C4F93A4" w14:textId="77777777" w:rsidTr="00954B0E">
        <w:trPr>
          <w:trHeight w:val="300"/>
        </w:trPr>
        <w:tc>
          <w:tcPr>
            <w:tcW w:w="2696" w:type="pct"/>
            <w:tcBorders>
              <w:left w:val="nil"/>
              <w:bottom w:val="nil"/>
              <w:right w:val="nil"/>
            </w:tcBorders>
            <w:noWrap/>
            <w:vAlign w:val="bottom"/>
          </w:tcPr>
          <w:p w14:paraId="3C629D71" w14:textId="77777777" w:rsidR="008E49A3" w:rsidRPr="00AD61D8" w:rsidRDefault="008E49A3">
            <w:pPr>
              <w:rPr>
                <w:rFonts w:asciiTheme="minorHAnsi" w:hAnsiTheme="minorHAnsi" w:cstheme="minorHAnsi"/>
                <w:b/>
                <w:bCs/>
                <w:color w:val="000000"/>
                <w:sz w:val="20"/>
                <w:szCs w:val="20"/>
              </w:rPr>
            </w:pPr>
            <w:r w:rsidRPr="00095EB1">
              <w:rPr>
                <w:rFonts w:asciiTheme="minorHAnsi" w:hAnsiTheme="minorHAnsi" w:cstheme="minorHAnsi"/>
                <w:b/>
                <w:bCs/>
                <w:color w:val="000000"/>
                <w:sz w:val="20"/>
                <w:szCs w:val="20"/>
              </w:rPr>
              <w:t>Credit Cards</w:t>
            </w:r>
          </w:p>
        </w:tc>
        <w:tc>
          <w:tcPr>
            <w:tcW w:w="135" w:type="pct"/>
            <w:tcBorders>
              <w:left w:val="nil"/>
              <w:bottom w:val="nil"/>
              <w:right w:val="nil"/>
            </w:tcBorders>
            <w:noWrap/>
            <w:vAlign w:val="bottom"/>
          </w:tcPr>
          <w:p w14:paraId="2E3ECD8C" w14:textId="77777777" w:rsidR="008E49A3" w:rsidRPr="00B97C61" w:rsidRDefault="008E49A3">
            <w:pPr>
              <w:rPr>
                <w:rFonts w:asciiTheme="minorHAnsi" w:hAnsiTheme="minorHAnsi" w:cstheme="minorHAnsi"/>
                <w:color w:val="000000"/>
                <w:sz w:val="20"/>
                <w:szCs w:val="20"/>
              </w:rPr>
            </w:pPr>
          </w:p>
        </w:tc>
        <w:tc>
          <w:tcPr>
            <w:tcW w:w="135" w:type="pct"/>
            <w:tcBorders>
              <w:left w:val="nil"/>
              <w:bottom w:val="nil"/>
              <w:right w:val="nil"/>
            </w:tcBorders>
            <w:noWrap/>
            <w:vAlign w:val="bottom"/>
          </w:tcPr>
          <w:p w14:paraId="3A603100" w14:textId="77777777" w:rsidR="008E49A3" w:rsidRPr="00B97C61" w:rsidRDefault="008E49A3">
            <w:pPr>
              <w:rPr>
                <w:rFonts w:asciiTheme="minorHAnsi" w:hAnsiTheme="minorHAnsi" w:cstheme="minorHAnsi"/>
                <w:sz w:val="20"/>
                <w:szCs w:val="20"/>
              </w:rPr>
            </w:pPr>
          </w:p>
        </w:tc>
        <w:tc>
          <w:tcPr>
            <w:tcW w:w="123" w:type="pct"/>
            <w:tcBorders>
              <w:left w:val="nil"/>
              <w:bottom w:val="nil"/>
              <w:right w:val="nil"/>
            </w:tcBorders>
            <w:noWrap/>
            <w:vAlign w:val="bottom"/>
          </w:tcPr>
          <w:p w14:paraId="1744AF3C" w14:textId="77777777" w:rsidR="008E49A3" w:rsidRPr="00B97C61" w:rsidRDefault="008E49A3">
            <w:pPr>
              <w:rPr>
                <w:rFonts w:asciiTheme="minorHAnsi" w:hAnsiTheme="minorHAnsi" w:cstheme="minorHAnsi"/>
                <w:sz w:val="20"/>
                <w:szCs w:val="20"/>
              </w:rPr>
            </w:pPr>
          </w:p>
        </w:tc>
        <w:tc>
          <w:tcPr>
            <w:tcW w:w="591" w:type="pct"/>
            <w:tcBorders>
              <w:left w:val="nil"/>
              <w:bottom w:val="nil"/>
              <w:right w:val="nil"/>
            </w:tcBorders>
            <w:shd w:val="clear" w:color="auto" w:fill="F2F2F2" w:themeFill="background1" w:themeFillShade="F2"/>
            <w:noWrap/>
            <w:vAlign w:val="bottom"/>
          </w:tcPr>
          <w:p w14:paraId="66849738" w14:textId="77777777" w:rsidR="008E49A3" w:rsidRDefault="008E49A3">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30 June 2025</w:t>
            </w:r>
          </w:p>
          <w:p w14:paraId="4103494B" w14:textId="197B6B55" w:rsidR="008E49A3" w:rsidRPr="00FB19BD" w:rsidRDefault="00A93B17">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unaudited</w:t>
            </w:r>
          </w:p>
        </w:tc>
        <w:tc>
          <w:tcPr>
            <w:tcW w:w="733" w:type="pct"/>
            <w:tcBorders>
              <w:left w:val="nil"/>
              <w:bottom w:val="nil"/>
              <w:right w:val="nil"/>
            </w:tcBorders>
            <w:vAlign w:val="bottom"/>
          </w:tcPr>
          <w:p w14:paraId="361F9A70" w14:textId="77777777" w:rsidR="008E49A3" w:rsidRPr="00951920" w:rsidRDefault="008E49A3">
            <w:pPr>
              <w:jc w:val="right"/>
              <w:rPr>
                <w:rFonts w:asciiTheme="minorHAnsi" w:hAnsiTheme="minorHAnsi" w:cstheme="minorHAnsi"/>
                <w:color w:val="000000"/>
                <w:sz w:val="20"/>
                <w:szCs w:val="20"/>
              </w:rPr>
            </w:pPr>
            <w:r w:rsidRPr="00951920">
              <w:rPr>
                <w:rFonts w:asciiTheme="minorHAnsi" w:hAnsiTheme="minorHAnsi" w:cstheme="minorHAnsi"/>
                <w:color w:val="000000"/>
                <w:sz w:val="20"/>
                <w:szCs w:val="20"/>
              </w:rPr>
              <w:lastRenderedPageBreak/>
              <w:t>31 December</w:t>
            </w:r>
          </w:p>
          <w:p w14:paraId="28216689" w14:textId="77777777" w:rsidR="008E49A3" w:rsidRDefault="008E49A3">
            <w:pPr>
              <w:jc w:val="right"/>
              <w:rPr>
                <w:rFonts w:asciiTheme="minorHAnsi" w:hAnsiTheme="minorHAnsi" w:cstheme="minorHAnsi"/>
                <w:color w:val="000000"/>
                <w:sz w:val="20"/>
                <w:szCs w:val="20"/>
              </w:rPr>
            </w:pPr>
            <w:r w:rsidRPr="00951920">
              <w:rPr>
                <w:rFonts w:asciiTheme="minorHAnsi" w:hAnsiTheme="minorHAnsi" w:cstheme="minorHAnsi"/>
                <w:color w:val="000000"/>
                <w:sz w:val="20"/>
                <w:szCs w:val="20"/>
              </w:rPr>
              <w:t>202</w:t>
            </w:r>
            <w:r>
              <w:rPr>
                <w:rFonts w:asciiTheme="minorHAnsi" w:hAnsiTheme="minorHAnsi" w:cstheme="minorHAnsi"/>
                <w:color w:val="000000"/>
                <w:sz w:val="20"/>
                <w:szCs w:val="20"/>
              </w:rPr>
              <w:t>4</w:t>
            </w:r>
          </w:p>
          <w:p w14:paraId="75748C82" w14:textId="5E017D33" w:rsidR="008E49A3" w:rsidRPr="00951920" w:rsidRDefault="00A93B17">
            <w:pPr>
              <w:jc w:val="right"/>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audited</w:t>
            </w:r>
          </w:p>
        </w:tc>
        <w:tc>
          <w:tcPr>
            <w:tcW w:w="587" w:type="pct"/>
            <w:tcBorders>
              <w:left w:val="nil"/>
              <w:bottom w:val="nil"/>
              <w:right w:val="nil"/>
            </w:tcBorders>
            <w:noWrap/>
            <w:vAlign w:val="bottom"/>
          </w:tcPr>
          <w:p w14:paraId="699C595C" w14:textId="77777777" w:rsidR="008E49A3" w:rsidRDefault="008E49A3">
            <w:pPr>
              <w:jc w:val="right"/>
              <w:rPr>
                <w:rFonts w:asciiTheme="minorHAnsi" w:hAnsiTheme="minorHAnsi" w:cstheme="minorHAnsi"/>
                <w:color w:val="000000"/>
                <w:sz w:val="20"/>
                <w:szCs w:val="20"/>
                <w:vertAlign w:val="superscript"/>
              </w:rPr>
            </w:pPr>
            <w:r>
              <w:rPr>
                <w:rFonts w:asciiTheme="minorHAnsi" w:hAnsiTheme="minorHAnsi" w:cstheme="minorHAnsi"/>
                <w:color w:val="000000"/>
                <w:sz w:val="20"/>
                <w:szCs w:val="20"/>
              </w:rPr>
              <w:lastRenderedPageBreak/>
              <w:t>30 June</w:t>
            </w:r>
            <w:r w:rsidRPr="00750210">
              <w:rPr>
                <w:rFonts w:asciiTheme="minorHAnsi" w:hAnsiTheme="minorHAnsi" w:cstheme="minorHAnsi"/>
                <w:color w:val="000000"/>
                <w:sz w:val="20"/>
                <w:szCs w:val="20"/>
              </w:rPr>
              <w:t xml:space="preserve"> 202</w:t>
            </w:r>
            <w:r>
              <w:rPr>
                <w:rFonts w:asciiTheme="minorHAnsi" w:hAnsiTheme="minorHAnsi" w:cstheme="minorHAnsi"/>
                <w:color w:val="000000"/>
                <w:sz w:val="20"/>
                <w:szCs w:val="20"/>
              </w:rPr>
              <w:t>4</w:t>
            </w:r>
            <w:r w:rsidR="006C442C" w:rsidRPr="006C442C">
              <w:rPr>
                <w:rFonts w:asciiTheme="minorHAnsi" w:hAnsiTheme="minorHAnsi" w:cstheme="minorHAnsi"/>
                <w:color w:val="000000"/>
                <w:sz w:val="20"/>
                <w:szCs w:val="20"/>
                <w:vertAlign w:val="superscript"/>
              </w:rPr>
              <w:t>1</w:t>
            </w:r>
          </w:p>
          <w:p w14:paraId="133F3E8E" w14:textId="75C14EEE" w:rsidR="008E49A3" w:rsidRPr="00750210" w:rsidRDefault="00A93B17">
            <w:pPr>
              <w:jc w:val="right"/>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unaudited</w:t>
            </w:r>
          </w:p>
        </w:tc>
      </w:tr>
      <w:tr w:rsidR="008E49A3" w:rsidRPr="00B97C61" w14:paraId="0FA88DCF" w14:textId="77777777" w:rsidTr="00954B0E">
        <w:trPr>
          <w:trHeight w:val="300"/>
        </w:trPr>
        <w:tc>
          <w:tcPr>
            <w:tcW w:w="2696" w:type="pct"/>
            <w:tcBorders>
              <w:left w:val="nil"/>
              <w:bottom w:val="nil"/>
              <w:right w:val="nil"/>
            </w:tcBorders>
            <w:noWrap/>
            <w:vAlign w:val="bottom"/>
          </w:tcPr>
          <w:p w14:paraId="13DFF46A" w14:textId="77777777" w:rsidR="008E49A3" w:rsidRPr="00B97C61" w:rsidRDefault="008E49A3">
            <w:pPr>
              <w:rPr>
                <w:rFonts w:asciiTheme="minorHAnsi" w:hAnsiTheme="minorHAnsi" w:cstheme="minorHAnsi"/>
                <w:color w:val="000000"/>
                <w:sz w:val="20"/>
                <w:szCs w:val="20"/>
              </w:rPr>
            </w:pPr>
          </w:p>
        </w:tc>
        <w:tc>
          <w:tcPr>
            <w:tcW w:w="135" w:type="pct"/>
            <w:tcBorders>
              <w:left w:val="nil"/>
              <w:bottom w:val="nil"/>
              <w:right w:val="nil"/>
            </w:tcBorders>
            <w:noWrap/>
            <w:vAlign w:val="bottom"/>
          </w:tcPr>
          <w:p w14:paraId="11B04779" w14:textId="77777777" w:rsidR="008E49A3" w:rsidRPr="00B97C61" w:rsidRDefault="008E49A3">
            <w:pPr>
              <w:rPr>
                <w:rFonts w:asciiTheme="minorHAnsi" w:hAnsiTheme="minorHAnsi" w:cstheme="minorHAnsi"/>
                <w:color w:val="000000"/>
                <w:sz w:val="20"/>
                <w:szCs w:val="20"/>
              </w:rPr>
            </w:pPr>
          </w:p>
        </w:tc>
        <w:tc>
          <w:tcPr>
            <w:tcW w:w="135" w:type="pct"/>
            <w:tcBorders>
              <w:left w:val="nil"/>
              <w:bottom w:val="nil"/>
              <w:right w:val="nil"/>
            </w:tcBorders>
            <w:noWrap/>
            <w:vAlign w:val="bottom"/>
          </w:tcPr>
          <w:p w14:paraId="32B2B2F1" w14:textId="77777777" w:rsidR="008E49A3" w:rsidRPr="00B97C61" w:rsidRDefault="008E49A3">
            <w:pPr>
              <w:rPr>
                <w:rFonts w:asciiTheme="minorHAnsi" w:hAnsiTheme="minorHAnsi" w:cstheme="minorHAnsi"/>
                <w:sz w:val="20"/>
                <w:szCs w:val="20"/>
              </w:rPr>
            </w:pPr>
          </w:p>
        </w:tc>
        <w:tc>
          <w:tcPr>
            <w:tcW w:w="123" w:type="pct"/>
            <w:tcBorders>
              <w:left w:val="nil"/>
              <w:bottom w:val="nil"/>
              <w:right w:val="nil"/>
            </w:tcBorders>
            <w:noWrap/>
            <w:vAlign w:val="bottom"/>
          </w:tcPr>
          <w:p w14:paraId="0C87940E" w14:textId="77777777" w:rsidR="008E49A3" w:rsidRPr="00B97C61" w:rsidRDefault="008E49A3">
            <w:pPr>
              <w:rPr>
                <w:rFonts w:asciiTheme="minorHAnsi" w:hAnsiTheme="minorHAnsi" w:cstheme="minorHAnsi"/>
                <w:sz w:val="20"/>
                <w:szCs w:val="20"/>
              </w:rPr>
            </w:pPr>
          </w:p>
        </w:tc>
        <w:tc>
          <w:tcPr>
            <w:tcW w:w="591" w:type="pct"/>
            <w:tcBorders>
              <w:left w:val="nil"/>
              <w:bottom w:val="nil"/>
              <w:right w:val="nil"/>
            </w:tcBorders>
            <w:shd w:val="clear" w:color="auto" w:fill="F2F2F2" w:themeFill="background1" w:themeFillShade="F2"/>
            <w:noWrap/>
            <w:vAlign w:val="bottom"/>
          </w:tcPr>
          <w:p w14:paraId="4847A205" w14:textId="77777777" w:rsidR="008E49A3" w:rsidRPr="00FB19BD" w:rsidRDefault="008E49A3">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£m</w:t>
            </w:r>
          </w:p>
        </w:tc>
        <w:tc>
          <w:tcPr>
            <w:tcW w:w="733" w:type="pct"/>
            <w:tcBorders>
              <w:left w:val="nil"/>
              <w:bottom w:val="nil"/>
              <w:right w:val="nil"/>
            </w:tcBorders>
            <w:vAlign w:val="bottom"/>
          </w:tcPr>
          <w:p w14:paraId="7F1F77D9" w14:textId="77777777" w:rsidR="008E49A3" w:rsidRPr="00750210" w:rsidRDefault="008E49A3">
            <w:pPr>
              <w:jc w:val="right"/>
              <w:rPr>
                <w:rFonts w:asciiTheme="minorHAnsi" w:hAnsiTheme="minorHAnsi" w:cstheme="minorHAnsi"/>
                <w:color w:val="000000"/>
                <w:sz w:val="20"/>
                <w:szCs w:val="20"/>
              </w:rPr>
            </w:pPr>
            <w:r w:rsidRPr="00750210">
              <w:rPr>
                <w:rFonts w:asciiTheme="minorHAnsi" w:hAnsiTheme="minorHAnsi" w:cstheme="minorHAnsi"/>
                <w:color w:val="000000"/>
                <w:sz w:val="20"/>
                <w:szCs w:val="20"/>
              </w:rPr>
              <w:t>£m</w:t>
            </w:r>
          </w:p>
        </w:tc>
        <w:tc>
          <w:tcPr>
            <w:tcW w:w="587" w:type="pct"/>
            <w:tcBorders>
              <w:left w:val="nil"/>
              <w:bottom w:val="nil"/>
              <w:right w:val="nil"/>
            </w:tcBorders>
            <w:noWrap/>
            <w:vAlign w:val="bottom"/>
          </w:tcPr>
          <w:p w14:paraId="7545BE75" w14:textId="77777777" w:rsidR="008E49A3" w:rsidRPr="00B97C61" w:rsidRDefault="008E49A3">
            <w:pPr>
              <w:jc w:val="right"/>
              <w:rPr>
                <w:rFonts w:asciiTheme="minorHAnsi" w:hAnsiTheme="minorHAnsi" w:cstheme="minorHAnsi"/>
                <w:color w:val="000000"/>
                <w:sz w:val="20"/>
                <w:szCs w:val="20"/>
              </w:rPr>
            </w:pPr>
            <w:r>
              <w:rPr>
                <w:rFonts w:asciiTheme="minorHAnsi" w:hAnsiTheme="minorHAnsi" w:cstheme="minorHAnsi"/>
                <w:color w:val="000000"/>
                <w:sz w:val="20"/>
                <w:szCs w:val="20"/>
              </w:rPr>
              <w:t>£m</w:t>
            </w:r>
          </w:p>
        </w:tc>
      </w:tr>
      <w:tr w:rsidR="008E49A3" w:rsidRPr="00B97C61" w14:paraId="2E17239B" w14:textId="77777777" w:rsidTr="00954B0E">
        <w:trPr>
          <w:trHeight w:val="300"/>
        </w:trPr>
        <w:tc>
          <w:tcPr>
            <w:tcW w:w="2696" w:type="pct"/>
            <w:tcBorders>
              <w:left w:val="nil"/>
              <w:bottom w:val="nil"/>
              <w:right w:val="nil"/>
            </w:tcBorders>
            <w:noWrap/>
            <w:vAlign w:val="bottom"/>
            <w:hideMark/>
          </w:tcPr>
          <w:p w14:paraId="5055090D" w14:textId="77777777" w:rsidR="008E49A3" w:rsidRPr="00B97C61" w:rsidRDefault="008E49A3">
            <w:pPr>
              <w:rPr>
                <w:rFonts w:asciiTheme="minorHAnsi" w:hAnsiTheme="minorHAnsi" w:cstheme="minorHAnsi"/>
                <w:color w:val="000000"/>
                <w:sz w:val="20"/>
                <w:szCs w:val="20"/>
              </w:rPr>
            </w:pPr>
            <w:r w:rsidRPr="00B97C61">
              <w:rPr>
                <w:rFonts w:asciiTheme="minorHAnsi" w:hAnsiTheme="minorHAnsi" w:cstheme="minorHAnsi"/>
                <w:color w:val="000000"/>
                <w:sz w:val="20"/>
                <w:szCs w:val="20"/>
              </w:rPr>
              <w:t>Core model</w:t>
            </w:r>
          </w:p>
        </w:tc>
        <w:tc>
          <w:tcPr>
            <w:tcW w:w="135" w:type="pct"/>
            <w:tcBorders>
              <w:left w:val="nil"/>
              <w:bottom w:val="nil"/>
              <w:right w:val="nil"/>
            </w:tcBorders>
            <w:noWrap/>
            <w:vAlign w:val="bottom"/>
          </w:tcPr>
          <w:p w14:paraId="6949232B" w14:textId="77777777" w:rsidR="008E49A3" w:rsidRPr="00B97C61" w:rsidRDefault="008E49A3">
            <w:pPr>
              <w:rPr>
                <w:rFonts w:asciiTheme="minorHAnsi" w:hAnsiTheme="minorHAnsi" w:cstheme="minorHAnsi"/>
                <w:color w:val="000000"/>
                <w:sz w:val="20"/>
                <w:szCs w:val="20"/>
              </w:rPr>
            </w:pPr>
          </w:p>
        </w:tc>
        <w:tc>
          <w:tcPr>
            <w:tcW w:w="135" w:type="pct"/>
            <w:tcBorders>
              <w:left w:val="nil"/>
              <w:bottom w:val="nil"/>
              <w:right w:val="nil"/>
            </w:tcBorders>
            <w:noWrap/>
            <w:vAlign w:val="bottom"/>
            <w:hideMark/>
          </w:tcPr>
          <w:p w14:paraId="35D71498" w14:textId="77777777" w:rsidR="008E49A3" w:rsidRPr="00B97C61" w:rsidRDefault="008E49A3">
            <w:pPr>
              <w:rPr>
                <w:rFonts w:asciiTheme="minorHAnsi" w:hAnsiTheme="minorHAnsi" w:cstheme="minorHAnsi"/>
                <w:sz w:val="20"/>
                <w:szCs w:val="20"/>
              </w:rPr>
            </w:pPr>
          </w:p>
        </w:tc>
        <w:tc>
          <w:tcPr>
            <w:tcW w:w="123" w:type="pct"/>
            <w:tcBorders>
              <w:left w:val="nil"/>
              <w:bottom w:val="nil"/>
              <w:right w:val="nil"/>
            </w:tcBorders>
            <w:noWrap/>
            <w:vAlign w:val="bottom"/>
            <w:hideMark/>
          </w:tcPr>
          <w:p w14:paraId="173DDB3F" w14:textId="77777777" w:rsidR="008E49A3" w:rsidRPr="00B97C61" w:rsidRDefault="008E49A3">
            <w:pPr>
              <w:rPr>
                <w:rFonts w:asciiTheme="minorHAnsi" w:hAnsiTheme="minorHAnsi" w:cstheme="minorHAnsi"/>
                <w:sz w:val="20"/>
                <w:szCs w:val="20"/>
              </w:rPr>
            </w:pPr>
          </w:p>
        </w:tc>
        <w:tc>
          <w:tcPr>
            <w:tcW w:w="591" w:type="pct"/>
            <w:tcBorders>
              <w:top w:val="single" w:sz="4" w:space="0" w:color="auto"/>
              <w:left w:val="nil"/>
              <w:bottom w:val="nil"/>
              <w:right w:val="nil"/>
            </w:tcBorders>
            <w:shd w:val="clear" w:color="auto" w:fill="F2F2F2" w:themeFill="background1" w:themeFillShade="F2"/>
            <w:noWrap/>
            <w:vAlign w:val="bottom"/>
          </w:tcPr>
          <w:p w14:paraId="3B10B310" w14:textId="002D343F" w:rsidR="008E49A3" w:rsidRPr="000F589C" w:rsidRDefault="00104B28">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158.</w:t>
            </w:r>
            <w:r w:rsidR="00A20307">
              <w:rPr>
                <w:rFonts w:asciiTheme="minorHAnsi" w:hAnsiTheme="minorHAnsi" w:cstheme="minorHAnsi"/>
                <w:b/>
                <w:color w:val="000000"/>
                <w:sz w:val="20"/>
                <w:szCs w:val="20"/>
              </w:rPr>
              <w:t>5</w:t>
            </w:r>
          </w:p>
        </w:tc>
        <w:tc>
          <w:tcPr>
            <w:tcW w:w="733" w:type="pct"/>
            <w:tcBorders>
              <w:top w:val="single" w:sz="4" w:space="0" w:color="auto"/>
              <w:left w:val="nil"/>
              <w:bottom w:val="nil"/>
              <w:right w:val="nil"/>
            </w:tcBorders>
            <w:vAlign w:val="bottom"/>
          </w:tcPr>
          <w:p w14:paraId="0AB248FA" w14:textId="29F0D258" w:rsidR="008E49A3" w:rsidRPr="006D4208" w:rsidRDefault="0088221C">
            <w:pPr>
              <w:jc w:val="right"/>
              <w:rPr>
                <w:rFonts w:asciiTheme="minorHAnsi" w:hAnsiTheme="minorHAnsi" w:cstheme="minorHAnsi"/>
                <w:color w:val="000000"/>
                <w:sz w:val="20"/>
                <w:szCs w:val="20"/>
              </w:rPr>
            </w:pPr>
            <w:r>
              <w:rPr>
                <w:rFonts w:asciiTheme="minorHAnsi" w:hAnsiTheme="minorHAnsi" w:cstheme="minorHAnsi"/>
                <w:color w:val="000000"/>
                <w:sz w:val="20"/>
                <w:szCs w:val="20"/>
              </w:rPr>
              <w:t>155.6</w:t>
            </w:r>
          </w:p>
        </w:tc>
        <w:tc>
          <w:tcPr>
            <w:tcW w:w="587" w:type="pct"/>
            <w:tcBorders>
              <w:top w:val="single" w:sz="4" w:space="0" w:color="auto"/>
              <w:left w:val="nil"/>
              <w:bottom w:val="nil"/>
              <w:right w:val="nil"/>
            </w:tcBorders>
            <w:noWrap/>
            <w:vAlign w:val="bottom"/>
            <w:hideMark/>
          </w:tcPr>
          <w:p w14:paraId="74A66254" w14:textId="1C0535EE" w:rsidR="008E49A3" w:rsidRPr="00C47B5E" w:rsidRDefault="009E2625">
            <w:pPr>
              <w:jc w:val="right"/>
              <w:rPr>
                <w:rFonts w:asciiTheme="minorHAnsi" w:hAnsiTheme="minorHAnsi" w:cstheme="minorHAnsi"/>
                <w:color w:val="000000"/>
                <w:sz w:val="20"/>
                <w:szCs w:val="20"/>
              </w:rPr>
            </w:pPr>
            <w:r w:rsidRPr="00C47B5E">
              <w:rPr>
                <w:rFonts w:asciiTheme="minorHAnsi" w:hAnsiTheme="minorHAnsi" w:cstheme="minorHAnsi"/>
                <w:bCs/>
                <w:color w:val="000000"/>
                <w:sz w:val="20"/>
                <w:szCs w:val="20"/>
              </w:rPr>
              <w:t>180.4</w:t>
            </w:r>
          </w:p>
        </w:tc>
      </w:tr>
      <w:tr w:rsidR="008E49A3" w:rsidRPr="00B97C61" w14:paraId="2716FDFE" w14:textId="77777777" w:rsidTr="00954B0E">
        <w:trPr>
          <w:trHeight w:val="288"/>
        </w:trPr>
        <w:tc>
          <w:tcPr>
            <w:tcW w:w="2696" w:type="pct"/>
            <w:tcBorders>
              <w:top w:val="nil"/>
              <w:left w:val="nil"/>
              <w:bottom w:val="nil"/>
              <w:right w:val="nil"/>
            </w:tcBorders>
            <w:noWrap/>
            <w:vAlign w:val="bottom"/>
            <w:hideMark/>
          </w:tcPr>
          <w:p w14:paraId="0B059754" w14:textId="77777777" w:rsidR="008E49A3" w:rsidRPr="00B97C61" w:rsidRDefault="008E49A3">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xml:space="preserve">Post </w:t>
            </w:r>
            <w:r w:rsidRPr="00AB2BFC">
              <w:rPr>
                <w:rFonts w:asciiTheme="minorHAnsi" w:hAnsiTheme="minorHAnsi" w:cstheme="minorHAnsi"/>
                <w:color w:val="000000"/>
                <w:sz w:val="20"/>
                <w:szCs w:val="20"/>
              </w:rPr>
              <w:t>Model (under)/overlays</w:t>
            </w:r>
          </w:p>
        </w:tc>
        <w:tc>
          <w:tcPr>
            <w:tcW w:w="135" w:type="pct"/>
            <w:tcBorders>
              <w:top w:val="nil"/>
              <w:left w:val="nil"/>
              <w:bottom w:val="nil"/>
              <w:right w:val="nil"/>
            </w:tcBorders>
            <w:noWrap/>
            <w:vAlign w:val="bottom"/>
          </w:tcPr>
          <w:p w14:paraId="708B163A" w14:textId="77777777" w:rsidR="008E49A3" w:rsidRPr="00B97C61" w:rsidRDefault="008E49A3">
            <w:pPr>
              <w:rPr>
                <w:rFonts w:asciiTheme="minorHAnsi" w:hAnsiTheme="minorHAnsi" w:cstheme="minorHAnsi"/>
                <w:color w:val="000000"/>
                <w:sz w:val="20"/>
                <w:szCs w:val="20"/>
              </w:rPr>
            </w:pPr>
          </w:p>
        </w:tc>
        <w:tc>
          <w:tcPr>
            <w:tcW w:w="135" w:type="pct"/>
            <w:tcBorders>
              <w:top w:val="nil"/>
              <w:left w:val="nil"/>
              <w:bottom w:val="nil"/>
              <w:right w:val="nil"/>
            </w:tcBorders>
            <w:noWrap/>
            <w:vAlign w:val="bottom"/>
            <w:hideMark/>
          </w:tcPr>
          <w:p w14:paraId="22E0AF6D" w14:textId="77777777" w:rsidR="008E49A3" w:rsidRPr="00B97C61" w:rsidRDefault="008E49A3">
            <w:pPr>
              <w:rPr>
                <w:rFonts w:asciiTheme="minorHAnsi" w:hAnsiTheme="minorHAnsi" w:cstheme="minorHAnsi"/>
                <w:sz w:val="20"/>
                <w:szCs w:val="20"/>
              </w:rPr>
            </w:pPr>
          </w:p>
        </w:tc>
        <w:tc>
          <w:tcPr>
            <w:tcW w:w="123" w:type="pct"/>
            <w:tcBorders>
              <w:top w:val="nil"/>
              <w:left w:val="nil"/>
              <w:bottom w:val="nil"/>
              <w:right w:val="nil"/>
            </w:tcBorders>
            <w:noWrap/>
            <w:vAlign w:val="bottom"/>
            <w:hideMark/>
          </w:tcPr>
          <w:p w14:paraId="20B6A1EC" w14:textId="77777777" w:rsidR="008E49A3" w:rsidRPr="00B97C61" w:rsidRDefault="008E49A3">
            <w:pPr>
              <w:rPr>
                <w:rFonts w:asciiTheme="minorHAnsi" w:hAnsiTheme="minorHAnsi" w:cstheme="minorHAnsi"/>
                <w:sz w:val="20"/>
                <w:szCs w:val="20"/>
              </w:rPr>
            </w:pPr>
          </w:p>
        </w:tc>
        <w:tc>
          <w:tcPr>
            <w:tcW w:w="591" w:type="pct"/>
            <w:tcBorders>
              <w:top w:val="nil"/>
              <w:left w:val="nil"/>
              <w:bottom w:val="single" w:sz="4" w:space="0" w:color="auto"/>
              <w:right w:val="nil"/>
            </w:tcBorders>
            <w:shd w:val="clear" w:color="auto" w:fill="F2F2F2" w:themeFill="background1" w:themeFillShade="F2"/>
            <w:noWrap/>
            <w:vAlign w:val="bottom"/>
          </w:tcPr>
          <w:p w14:paraId="196E8C7D" w14:textId="2C65B41C" w:rsidR="008E49A3" w:rsidRPr="000F589C" w:rsidRDefault="00104B28">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(0.1)</w:t>
            </w:r>
          </w:p>
        </w:tc>
        <w:tc>
          <w:tcPr>
            <w:tcW w:w="733" w:type="pct"/>
            <w:tcBorders>
              <w:top w:val="nil"/>
              <w:left w:val="nil"/>
              <w:bottom w:val="single" w:sz="4" w:space="0" w:color="auto"/>
              <w:right w:val="nil"/>
            </w:tcBorders>
            <w:vAlign w:val="bottom"/>
          </w:tcPr>
          <w:p w14:paraId="41106244" w14:textId="6862E90B" w:rsidR="008E49A3" w:rsidRPr="006D4208" w:rsidRDefault="00AC0A40">
            <w:pPr>
              <w:jc w:val="right"/>
              <w:rPr>
                <w:rFonts w:asciiTheme="minorHAnsi" w:hAnsiTheme="minorHAnsi" w:cstheme="minorHAnsi"/>
                <w:color w:val="000000"/>
                <w:sz w:val="20"/>
                <w:szCs w:val="20"/>
              </w:rPr>
            </w:pPr>
            <w:r>
              <w:rPr>
                <w:rFonts w:asciiTheme="minorHAnsi" w:hAnsiTheme="minorHAnsi" w:cstheme="minorHAnsi"/>
                <w:color w:val="000000"/>
                <w:sz w:val="20"/>
                <w:szCs w:val="20"/>
              </w:rPr>
              <w:t>4.4</w:t>
            </w:r>
          </w:p>
        </w:tc>
        <w:tc>
          <w:tcPr>
            <w:tcW w:w="587" w:type="pct"/>
            <w:tcBorders>
              <w:top w:val="nil"/>
              <w:left w:val="nil"/>
              <w:bottom w:val="single" w:sz="4" w:space="0" w:color="auto"/>
              <w:right w:val="nil"/>
            </w:tcBorders>
            <w:noWrap/>
            <w:vAlign w:val="bottom"/>
            <w:hideMark/>
          </w:tcPr>
          <w:p w14:paraId="2C968FCA" w14:textId="207490D1" w:rsidR="008E49A3" w:rsidRPr="00C47B5E" w:rsidRDefault="00C47B5E">
            <w:pPr>
              <w:jc w:val="right"/>
              <w:rPr>
                <w:rFonts w:asciiTheme="minorHAnsi" w:hAnsiTheme="minorHAnsi" w:cstheme="minorHAnsi"/>
                <w:color w:val="000000"/>
                <w:sz w:val="20"/>
                <w:szCs w:val="20"/>
              </w:rPr>
            </w:pPr>
            <w:r w:rsidRPr="00C47B5E">
              <w:rPr>
                <w:rFonts w:asciiTheme="minorHAnsi" w:hAnsiTheme="minorHAnsi" w:cstheme="minorHAnsi"/>
                <w:bCs/>
                <w:color w:val="000000"/>
                <w:sz w:val="20"/>
                <w:szCs w:val="20"/>
              </w:rPr>
              <w:t>0.3</w:t>
            </w:r>
          </w:p>
        </w:tc>
      </w:tr>
      <w:tr w:rsidR="008E49A3" w:rsidRPr="00B97C61" w14:paraId="13088378" w14:textId="77777777" w:rsidTr="00954B0E">
        <w:trPr>
          <w:trHeight w:val="288"/>
        </w:trPr>
        <w:tc>
          <w:tcPr>
            <w:tcW w:w="2696" w:type="pct"/>
            <w:tcBorders>
              <w:left w:val="nil"/>
              <w:right w:val="nil"/>
            </w:tcBorders>
            <w:noWrap/>
            <w:vAlign w:val="bottom"/>
            <w:hideMark/>
          </w:tcPr>
          <w:p w14:paraId="381AC94C" w14:textId="77777777" w:rsidR="008E49A3" w:rsidRPr="00B97C61" w:rsidRDefault="008E49A3">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Total allowance account</w:t>
            </w:r>
          </w:p>
        </w:tc>
        <w:tc>
          <w:tcPr>
            <w:tcW w:w="135" w:type="pct"/>
            <w:tcBorders>
              <w:left w:val="nil"/>
              <w:right w:val="nil"/>
            </w:tcBorders>
            <w:noWrap/>
            <w:vAlign w:val="bottom"/>
          </w:tcPr>
          <w:p w14:paraId="76A94225" w14:textId="77777777" w:rsidR="008E49A3" w:rsidRPr="00B97C61" w:rsidRDefault="008E49A3">
            <w:pPr>
              <w:rPr>
                <w:rFonts w:asciiTheme="minorHAnsi" w:hAnsiTheme="minorHAnsi" w:cstheme="minorHAnsi"/>
                <w:b/>
                <w:bCs/>
                <w:color w:val="000000"/>
                <w:sz w:val="20"/>
                <w:szCs w:val="20"/>
              </w:rPr>
            </w:pPr>
          </w:p>
        </w:tc>
        <w:tc>
          <w:tcPr>
            <w:tcW w:w="135" w:type="pct"/>
            <w:tcBorders>
              <w:left w:val="nil"/>
              <w:right w:val="nil"/>
            </w:tcBorders>
            <w:noWrap/>
            <w:vAlign w:val="bottom"/>
            <w:hideMark/>
          </w:tcPr>
          <w:p w14:paraId="565B87F7" w14:textId="77777777" w:rsidR="008E49A3" w:rsidRPr="00B97C61" w:rsidRDefault="008E49A3">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123" w:type="pct"/>
            <w:tcBorders>
              <w:left w:val="nil"/>
              <w:right w:val="nil"/>
            </w:tcBorders>
            <w:noWrap/>
            <w:vAlign w:val="bottom"/>
            <w:hideMark/>
          </w:tcPr>
          <w:p w14:paraId="107BF8C2" w14:textId="77777777" w:rsidR="008E49A3" w:rsidRPr="00B97C61" w:rsidRDefault="008E49A3">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591" w:type="pct"/>
            <w:tcBorders>
              <w:top w:val="single" w:sz="4" w:space="0" w:color="auto"/>
              <w:left w:val="nil"/>
              <w:bottom w:val="single" w:sz="8" w:space="0" w:color="auto"/>
              <w:right w:val="nil"/>
            </w:tcBorders>
            <w:shd w:val="clear" w:color="auto" w:fill="F2F2F2" w:themeFill="background1" w:themeFillShade="F2"/>
            <w:noWrap/>
            <w:vAlign w:val="bottom"/>
          </w:tcPr>
          <w:p w14:paraId="7F02DEC6" w14:textId="08CA5BB2" w:rsidR="008E49A3" w:rsidRPr="000F589C" w:rsidRDefault="00104B28">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158.</w:t>
            </w:r>
            <w:r w:rsidR="00A20307">
              <w:rPr>
                <w:rFonts w:asciiTheme="minorHAnsi" w:hAnsiTheme="minorHAnsi" w:cstheme="minorHAnsi"/>
                <w:b/>
                <w:color w:val="000000"/>
                <w:sz w:val="20"/>
                <w:szCs w:val="20"/>
              </w:rPr>
              <w:t>4</w:t>
            </w:r>
          </w:p>
        </w:tc>
        <w:tc>
          <w:tcPr>
            <w:tcW w:w="733" w:type="pct"/>
            <w:tcBorders>
              <w:top w:val="single" w:sz="4" w:space="0" w:color="auto"/>
              <w:left w:val="nil"/>
              <w:bottom w:val="single" w:sz="8" w:space="0" w:color="auto"/>
              <w:right w:val="nil"/>
            </w:tcBorders>
            <w:vAlign w:val="bottom"/>
          </w:tcPr>
          <w:p w14:paraId="2C2949E4" w14:textId="7EABA24C" w:rsidR="008E49A3" w:rsidRPr="006D4208" w:rsidRDefault="00AC0A40">
            <w:pPr>
              <w:jc w:val="right"/>
              <w:rPr>
                <w:rFonts w:asciiTheme="minorHAnsi" w:hAnsiTheme="minorHAnsi" w:cstheme="minorHAnsi"/>
                <w:color w:val="000000"/>
                <w:sz w:val="20"/>
                <w:szCs w:val="20"/>
              </w:rPr>
            </w:pPr>
            <w:r>
              <w:rPr>
                <w:rFonts w:asciiTheme="minorHAnsi" w:hAnsiTheme="minorHAnsi" w:cstheme="minorHAnsi"/>
                <w:color w:val="000000"/>
                <w:sz w:val="20"/>
                <w:szCs w:val="20"/>
              </w:rPr>
              <w:t>160.0</w:t>
            </w:r>
          </w:p>
        </w:tc>
        <w:tc>
          <w:tcPr>
            <w:tcW w:w="587" w:type="pct"/>
            <w:tcBorders>
              <w:top w:val="single" w:sz="4" w:space="0" w:color="auto"/>
              <w:left w:val="nil"/>
              <w:bottom w:val="single" w:sz="8" w:space="0" w:color="auto"/>
              <w:right w:val="nil"/>
            </w:tcBorders>
            <w:noWrap/>
            <w:vAlign w:val="bottom"/>
            <w:hideMark/>
          </w:tcPr>
          <w:p w14:paraId="47048253" w14:textId="00E031BA" w:rsidR="008E49A3" w:rsidRPr="00C47B5E" w:rsidRDefault="00AC0A40">
            <w:pPr>
              <w:jc w:val="right"/>
              <w:rPr>
                <w:rFonts w:asciiTheme="minorHAnsi" w:hAnsiTheme="minorHAnsi" w:cstheme="minorHAnsi"/>
                <w:color w:val="000000"/>
                <w:sz w:val="20"/>
                <w:szCs w:val="20"/>
              </w:rPr>
            </w:pPr>
            <w:r w:rsidRPr="00C47B5E">
              <w:rPr>
                <w:rFonts w:asciiTheme="minorHAnsi" w:hAnsiTheme="minorHAnsi" w:cstheme="minorHAnsi"/>
                <w:bCs/>
                <w:color w:val="000000"/>
                <w:sz w:val="20"/>
                <w:szCs w:val="20"/>
              </w:rPr>
              <w:t>18</w:t>
            </w:r>
            <w:r w:rsidR="006C442C" w:rsidRPr="00C47B5E">
              <w:rPr>
                <w:rFonts w:asciiTheme="minorHAnsi" w:hAnsiTheme="minorHAnsi" w:cstheme="minorHAnsi"/>
                <w:bCs/>
                <w:color w:val="000000"/>
                <w:sz w:val="20"/>
                <w:szCs w:val="20"/>
              </w:rPr>
              <w:t>0.</w:t>
            </w:r>
            <w:r w:rsidR="00C47B5E" w:rsidRPr="00C47B5E">
              <w:rPr>
                <w:rFonts w:asciiTheme="minorHAnsi" w:hAnsiTheme="minorHAnsi" w:cstheme="minorHAnsi"/>
                <w:bCs/>
                <w:color w:val="000000"/>
                <w:sz w:val="20"/>
                <w:szCs w:val="20"/>
              </w:rPr>
              <w:t>7</w:t>
            </w:r>
          </w:p>
        </w:tc>
      </w:tr>
      <w:tr w:rsidR="008E49A3" w:rsidRPr="00B97C61" w14:paraId="1A74F63B" w14:textId="77777777" w:rsidTr="00954B0E">
        <w:trPr>
          <w:trHeight w:val="288"/>
        </w:trPr>
        <w:tc>
          <w:tcPr>
            <w:tcW w:w="2696" w:type="pct"/>
            <w:tcBorders>
              <w:top w:val="nil"/>
              <w:left w:val="nil"/>
              <w:right w:val="nil"/>
            </w:tcBorders>
            <w:noWrap/>
            <w:vAlign w:val="bottom"/>
          </w:tcPr>
          <w:p w14:paraId="48A859DA" w14:textId="2BC1EAE9" w:rsidR="008C7ED3" w:rsidRPr="008C7ED3" w:rsidRDefault="008C7ED3" w:rsidP="008C7ED3">
            <w:pPr>
              <w:rPr>
                <w:rFonts w:asciiTheme="minorHAnsi" w:hAnsiTheme="minorHAnsi" w:cstheme="minorHAnsi"/>
                <w:color w:val="000000"/>
                <w:sz w:val="20"/>
                <w:szCs w:val="20"/>
                <w:vertAlign w:val="superscript"/>
              </w:rPr>
            </w:pPr>
          </w:p>
        </w:tc>
        <w:tc>
          <w:tcPr>
            <w:tcW w:w="135" w:type="pct"/>
            <w:tcBorders>
              <w:top w:val="nil"/>
              <w:left w:val="nil"/>
              <w:right w:val="nil"/>
            </w:tcBorders>
            <w:noWrap/>
            <w:vAlign w:val="bottom"/>
          </w:tcPr>
          <w:p w14:paraId="7D8BD011" w14:textId="77777777" w:rsidR="008E49A3" w:rsidRPr="00B97C61" w:rsidRDefault="008E49A3">
            <w:pPr>
              <w:rPr>
                <w:rFonts w:asciiTheme="minorHAnsi" w:hAnsiTheme="minorHAnsi" w:cstheme="minorHAnsi"/>
                <w:sz w:val="20"/>
                <w:szCs w:val="20"/>
              </w:rPr>
            </w:pPr>
          </w:p>
        </w:tc>
        <w:tc>
          <w:tcPr>
            <w:tcW w:w="135" w:type="pct"/>
            <w:tcBorders>
              <w:top w:val="nil"/>
              <w:left w:val="nil"/>
              <w:right w:val="nil"/>
            </w:tcBorders>
            <w:noWrap/>
            <w:vAlign w:val="bottom"/>
          </w:tcPr>
          <w:p w14:paraId="77BA0E23" w14:textId="77777777" w:rsidR="008E49A3" w:rsidRPr="00B97C61" w:rsidRDefault="008E49A3">
            <w:pPr>
              <w:rPr>
                <w:rFonts w:asciiTheme="minorHAnsi" w:hAnsiTheme="minorHAnsi" w:cstheme="minorHAnsi"/>
                <w:sz w:val="20"/>
                <w:szCs w:val="20"/>
              </w:rPr>
            </w:pPr>
          </w:p>
        </w:tc>
        <w:tc>
          <w:tcPr>
            <w:tcW w:w="123" w:type="pct"/>
            <w:tcBorders>
              <w:top w:val="nil"/>
              <w:left w:val="nil"/>
              <w:right w:val="nil"/>
            </w:tcBorders>
            <w:noWrap/>
            <w:vAlign w:val="bottom"/>
          </w:tcPr>
          <w:p w14:paraId="37BD5F8F" w14:textId="77777777" w:rsidR="008E49A3" w:rsidRPr="00B97C61" w:rsidRDefault="008E49A3">
            <w:pPr>
              <w:rPr>
                <w:rFonts w:asciiTheme="minorHAnsi" w:hAnsiTheme="minorHAnsi" w:cstheme="minorHAnsi"/>
                <w:sz w:val="20"/>
                <w:szCs w:val="20"/>
              </w:rPr>
            </w:pPr>
          </w:p>
        </w:tc>
        <w:tc>
          <w:tcPr>
            <w:tcW w:w="591" w:type="pct"/>
            <w:tcBorders>
              <w:top w:val="single" w:sz="8" w:space="0" w:color="auto"/>
              <w:left w:val="nil"/>
              <w:bottom w:val="nil"/>
              <w:right w:val="nil"/>
            </w:tcBorders>
            <w:noWrap/>
            <w:vAlign w:val="bottom"/>
          </w:tcPr>
          <w:p w14:paraId="7707BAC0" w14:textId="77777777" w:rsidR="008E49A3" w:rsidRPr="00F66E71" w:rsidRDefault="008E49A3">
            <w:pPr>
              <w:rPr>
                <w:rFonts w:asciiTheme="minorHAnsi" w:hAnsiTheme="minorHAnsi" w:cstheme="minorHAnsi"/>
                <w:sz w:val="20"/>
                <w:szCs w:val="20"/>
                <w:highlight w:val="yellow"/>
              </w:rPr>
            </w:pPr>
          </w:p>
        </w:tc>
        <w:tc>
          <w:tcPr>
            <w:tcW w:w="733" w:type="pct"/>
            <w:tcBorders>
              <w:top w:val="single" w:sz="8" w:space="0" w:color="auto"/>
              <w:left w:val="nil"/>
              <w:bottom w:val="nil"/>
              <w:right w:val="nil"/>
            </w:tcBorders>
            <w:vAlign w:val="bottom"/>
          </w:tcPr>
          <w:p w14:paraId="7E9454BA" w14:textId="77777777" w:rsidR="008E49A3" w:rsidRPr="006D4208" w:rsidRDefault="008E49A3">
            <w:pPr>
              <w:rPr>
                <w:rFonts w:asciiTheme="minorHAnsi" w:hAnsiTheme="minorHAnsi" w:cstheme="minorHAnsi"/>
                <w:sz w:val="20"/>
                <w:szCs w:val="20"/>
              </w:rPr>
            </w:pPr>
          </w:p>
        </w:tc>
        <w:tc>
          <w:tcPr>
            <w:tcW w:w="587" w:type="pct"/>
            <w:tcBorders>
              <w:top w:val="single" w:sz="8" w:space="0" w:color="auto"/>
              <w:left w:val="nil"/>
              <w:bottom w:val="nil"/>
              <w:right w:val="nil"/>
            </w:tcBorders>
            <w:noWrap/>
            <w:vAlign w:val="bottom"/>
            <w:hideMark/>
          </w:tcPr>
          <w:p w14:paraId="1B8362E0" w14:textId="77777777" w:rsidR="008E49A3" w:rsidRPr="00C47B5E" w:rsidRDefault="008E49A3">
            <w:pPr>
              <w:rPr>
                <w:rFonts w:asciiTheme="minorHAnsi" w:hAnsiTheme="minorHAnsi" w:cstheme="minorHAnsi"/>
                <w:sz w:val="20"/>
                <w:szCs w:val="20"/>
              </w:rPr>
            </w:pPr>
          </w:p>
        </w:tc>
      </w:tr>
      <w:tr w:rsidR="008E49A3" w:rsidRPr="004C69D5" w14:paraId="2E98B1EC" w14:textId="77777777" w:rsidTr="00DA769E">
        <w:trPr>
          <w:trHeight w:val="288"/>
        </w:trPr>
        <w:tc>
          <w:tcPr>
            <w:tcW w:w="2696" w:type="pct"/>
            <w:tcBorders>
              <w:top w:val="nil"/>
              <w:left w:val="nil"/>
              <w:right w:val="nil"/>
            </w:tcBorders>
            <w:noWrap/>
            <w:vAlign w:val="bottom"/>
            <w:hideMark/>
          </w:tcPr>
          <w:p w14:paraId="1416FA85" w14:textId="77777777" w:rsidR="008E49A3" w:rsidRPr="00B97C61" w:rsidRDefault="008E49A3">
            <w:pPr>
              <w:rPr>
                <w:rFonts w:asciiTheme="minorHAnsi" w:hAnsiTheme="minorHAnsi" w:cstheme="minorHAnsi"/>
                <w:b/>
                <w:color w:val="000000"/>
                <w:sz w:val="20"/>
                <w:szCs w:val="20"/>
              </w:rPr>
            </w:pPr>
          </w:p>
        </w:tc>
        <w:tc>
          <w:tcPr>
            <w:tcW w:w="135" w:type="pct"/>
            <w:tcBorders>
              <w:top w:val="nil"/>
              <w:left w:val="nil"/>
              <w:right w:val="nil"/>
            </w:tcBorders>
            <w:noWrap/>
            <w:vAlign w:val="bottom"/>
            <w:hideMark/>
          </w:tcPr>
          <w:p w14:paraId="509585ED" w14:textId="77777777" w:rsidR="008E49A3" w:rsidRPr="00B97C61" w:rsidRDefault="008E49A3">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135" w:type="pct"/>
            <w:tcBorders>
              <w:top w:val="nil"/>
              <w:left w:val="nil"/>
              <w:right w:val="nil"/>
            </w:tcBorders>
            <w:noWrap/>
            <w:vAlign w:val="bottom"/>
            <w:hideMark/>
          </w:tcPr>
          <w:p w14:paraId="133FA520" w14:textId="77777777" w:rsidR="008E49A3" w:rsidRPr="00B97C61" w:rsidRDefault="008E49A3">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123" w:type="pct"/>
            <w:tcBorders>
              <w:top w:val="nil"/>
              <w:left w:val="nil"/>
              <w:right w:val="nil"/>
            </w:tcBorders>
            <w:noWrap/>
            <w:vAlign w:val="bottom"/>
            <w:hideMark/>
          </w:tcPr>
          <w:p w14:paraId="0BAE6FCE" w14:textId="77777777" w:rsidR="008E49A3" w:rsidRPr="00B97C61" w:rsidRDefault="008E49A3">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591" w:type="pct"/>
            <w:tcBorders>
              <w:top w:val="nil"/>
              <w:left w:val="nil"/>
              <w:bottom w:val="single" w:sz="4" w:space="0" w:color="auto"/>
              <w:right w:val="nil"/>
            </w:tcBorders>
            <w:shd w:val="clear" w:color="auto" w:fill="F2F2F2" w:themeFill="background1" w:themeFillShade="F2"/>
            <w:noWrap/>
            <w:vAlign w:val="bottom"/>
            <w:hideMark/>
          </w:tcPr>
          <w:p w14:paraId="3E03E7A3" w14:textId="57CBD670" w:rsidR="008E49A3" w:rsidRPr="00512540" w:rsidRDefault="008E49A3">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30 June </w:t>
            </w:r>
            <w:r w:rsidRPr="00512540">
              <w:rPr>
                <w:rFonts w:asciiTheme="minorHAnsi" w:hAnsiTheme="minorHAnsi" w:cstheme="minorHAnsi"/>
                <w:b/>
                <w:color w:val="000000"/>
                <w:sz w:val="20"/>
                <w:szCs w:val="20"/>
              </w:rPr>
              <w:t>202</w:t>
            </w:r>
            <w:r w:rsidR="00A30A87">
              <w:rPr>
                <w:rFonts w:asciiTheme="minorHAnsi" w:hAnsiTheme="minorHAnsi" w:cstheme="minorHAnsi"/>
                <w:b/>
                <w:color w:val="000000"/>
                <w:sz w:val="20"/>
                <w:szCs w:val="20"/>
              </w:rPr>
              <w:t>5</w:t>
            </w:r>
          </w:p>
          <w:p w14:paraId="6FF6802C" w14:textId="112CD726" w:rsidR="001B5644" w:rsidRPr="00512540" w:rsidRDefault="007318F1">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unaudited</w:t>
            </w:r>
          </w:p>
          <w:p w14:paraId="36DA1BBA" w14:textId="77777777" w:rsidR="008E49A3" w:rsidRPr="00512540" w:rsidRDefault="008E49A3">
            <w:pPr>
              <w:jc w:val="right"/>
              <w:rPr>
                <w:rFonts w:asciiTheme="minorHAnsi" w:hAnsiTheme="minorHAnsi" w:cstheme="minorHAnsi"/>
                <w:b/>
                <w:color w:val="000000"/>
                <w:sz w:val="20"/>
                <w:szCs w:val="20"/>
              </w:rPr>
            </w:pPr>
            <w:r w:rsidRPr="00512540">
              <w:rPr>
                <w:rFonts w:asciiTheme="minorHAnsi" w:hAnsiTheme="minorHAnsi" w:cs="Arial"/>
                <w:b/>
                <w:sz w:val="20"/>
                <w:szCs w:val="20"/>
              </w:rPr>
              <w:t>£m </w:t>
            </w:r>
          </w:p>
        </w:tc>
        <w:tc>
          <w:tcPr>
            <w:tcW w:w="733" w:type="pct"/>
            <w:tcBorders>
              <w:top w:val="nil"/>
              <w:left w:val="nil"/>
              <w:bottom w:val="single" w:sz="4" w:space="0" w:color="auto"/>
              <w:right w:val="nil"/>
            </w:tcBorders>
            <w:vAlign w:val="bottom"/>
          </w:tcPr>
          <w:p w14:paraId="68667B4B" w14:textId="71786706" w:rsidR="008E49A3" w:rsidRPr="00697F60" w:rsidRDefault="008E49A3">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31 December </w:t>
            </w:r>
            <w:r w:rsidRPr="00697F60">
              <w:rPr>
                <w:rFonts w:asciiTheme="minorHAnsi" w:hAnsiTheme="minorHAnsi" w:cstheme="minorHAnsi"/>
                <w:color w:val="000000"/>
                <w:sz w:val="20"/>
                <w:szCs w:val="20"/>
              </w:rPr>
              <w:t>202</w:t>
            </w:r>
            <w:r w:rsidR="00A30A87">
              <w:rPr>
                <w:rFonts w:asciiTheme="minorHAnsi" w:hAnsiTheme="minorHAnsi" w:cstheme="minorHAnsi"/>
                <w:color w:val="000000"/>
                <w:sz w:val="20"/>
                <w:szCs w:val="20"/>
              </w:rPr>
              <w:t>4</w:t>
            </w:r>
          </w:p>
          <w:p w14:paraId="4C0EF816" w14:textId="714417B5" w:rsidR="007318F1" w:rsidRPr="00697F60" w:rsidRDefault="007318F1">
            <w:pPr>
              <w:jc w:val="right"/>
              <w:rPr>
                <w:rFonts w:asciiTheme="minorHAnsi" w:hAnsiTheme="minorHAnsi" w:cstheme="minorHAnsi"/>
                <w:color w:val="000000"/>
                <w:sz w:val="20"/>
                <w:szCs w:val="20"/>
              </w:rPr>
            </w:pPr>
            <w:r>
              <w:rPr>
                <w:rFonts w:asciiTheme="minorHAnsi" w:hAnsiTheme="minorHAnsi" w:cstheme="minorHAnsi"/>
                <w:color w:val="000000"/>
                <w:sz w:val="20"/>
                <w:szCs w:val="20"/>
              </w:rPr>
              <w:t>audited</w:t>
            </w:r>
          </w:p>
          <w:p w14:paraId="3E94EC73" w14:textId="77777777" w:rsidR="008E49A3" w:rsidRDefault="008E49A3">
            <w:pPr>
              <w:jc w:val="right"/>
              <w:rPr>
                <w:rFonts w:asciiTheme="minorHAnsi" w:hAnsiTheme="minorHAnsi" w:cstheme="minorHAnsi"/>
                <w:color w:val="000000"/>
                <w:sz w:val="20"/>
                <w:szCs w:val="20"/>
              </w:rPr>
            </w:pPr>
            <w:r w:rsidRPr="00697F60">
              <w:rPr>
                <w:rFonts w:asciiTheme="minorHAnsi" w:hAnsiTheme="minorHAnsi" w:cs="Arial"/>
                <w:sz w:val="20"/>
                <w:szCs w:val="20"/>
              </w:rPr>
              <w:t>£m </w:t>
            </w:r>
          </w:p>
        </w:tc>
        <w:tc>
          <w:tcPr>
            <w:tcW w:w="587" w:type="pct"/>
            <w:tcBorders>
              <w:top w:val="nil"/>
              <w:left w:val="nil"/>
              <w:bottom w:val="single" w:sz="4" w:space="0" w:color="auto"/>
              <w:right w:val="nil"/>
            </w:tcBorders>
            <w:noWrap/>
            <w:vAlign w:val="bottom"/>
            <w:hideMark/>
          </w:tcPr>
          <w:p w14:paraId="723FC972" w14:textId="0CB05962" w:rsidR="008E49A3" w:rsidRDefault="008E49A3">
            <w:pPr>
              <w:jc w:val="right"/>
              <w:rPr>
                <w:rFonts w:asciiTheme="minorHAnsi" w:hAnsiTheme="minorHAnsi" w:cstheme="minorHAnsi"/>
                <w:color w:val="000000"/>
                <w:sz w:val="20"/>
                <w:szCs w:val="20"/>
                <w:vertAlign w:val="superscript"/>
              </w:rPr>
            </w:pPr>
            <w:r w:rsidRPr="00C47B5E">
              <w:rPr>
                <w:rFonts w:asciiTheme="minorHAnsi" w:hAnsiTheme="minorHAnsi" w:cstheme="minorHAnsi"/>
                <w:color w:val="000000"/>
                <w:sz w:val="20"/>
                <w:szCs w:val="20"/>
              </w:rPr>
              <w:t>30 June 202</w:t>
            </w:r>
            <w:r w:rsidR="00A30A87" w:rsidRPr="00C47B5E">
              <w:rPr>
                <w:rFonts w:asciiTheme="minorHAnsi" w:hAnsiTheme="minorHAnsi" w:cstheme="minorHAnsi"/>
                <w:color w:val="000000"/>
                <w:sz w:val="20"/>
                <w:szCs w:val="20"/>
              </w:rPr>
              <w:t>4</w:t>
            </w:r>
            <w:r w:rsidR="00C47B5E" w:rsidRPr="00C47B5E">
              <w:rPr>
                <w:rFonts w:asciiTheme="minorHAnsi" w:hAnsiTheme="minorHAnsi" w:cstheme="minorHAnsi"/>
                <w:color w:val="000000"/>
                <w:sz w:val="20"/>
                <w:szCs w:val="20"/>
                <w:vertAlign w:val="superscript"/>
              </w:rPr>
              <w:t>1</w:t>
            </w:r>
          </w:p>
          <w:p w14:paraId="31E1AE25" w14:textId="5C86F5C0" w:rsidR="007318F1" w:rsidRPr="00C47B5E" w:rsidRDefault="007318F1">
            <w:pPr>
              <w:jc w:val="right"/>
              <w:rPr>
                <w:rFonts w:asciiTheme="minorHAnsi" w:hAnsiTheme="minorHAnsi" w:cstheme="minorHAnsi"/>
                <w:color w:val="000000"/>
                <w:sz w:val="20"/>
                <w:szCs w:val="20"/>
              </w:rPr>
            </w:pPr>
            <w:r>
              <w:rPr>
                <w:rFonts w:asciiTheme="minorHAnsi" w:hAnsiTheme="minorHAnsi" w:cstheme="minorHAnsi"/>
                <w:color w:val="000000"/>
                <w:sz w:val="20"/>
                <w:szCs w:val="20"/>
              </w:rPr>
              <w:t>unaudited</w:t>
            </w:r>
          </w:p>
          <w:p w14:paraId="14201A2B" w14:textId="77777777" w:rsidR="008E49A3" w:rsidRPr="00C47B5E" w:rsidRDefault="008E49A3">
            <w:pPr>
              <w:jc w:val="right"/>
              <w:rPr>
                <w:rFonts w:asciiTheme="minorHAnsi" w:hAnsiTheme="minorHAnsi" w:cstheme="minorHAnsi"/>
                <w:color w:val="000000"/>
                <w:sz w:val="20"/>
                <w:szCs w:val="20"/>
              </w:rPr>
            </w:pPr>
            <w:r w:rsidRPr="00C47B5E">
              <w:rPr>
                <w:rFonts w:asciiTheme="minorHAnsi" w:hAnsiTheme="minorHAnsi" w:cs="Arial"/>
                <w:sz w:val="20"/>
                <w:szCs w:val="20"/>
              </w:rPr>
              <w:t>£m </w:t>
            </w:r>
          </w:p>
        </w:tc>
      </w:tr>
      <w:tr w:rsidR="008E49A3" w:rsidRPr="004C69D5" w14:paraId="109D6D06" w14:textId="77777777" w:rsidTr="00954B0E">
        <w:trPr>
          <w:trHeight w:val="288"/>
        </w:trPr>
        <w:tc>
          <w:tcPr>
            <w:tcW w:w="2696" w:type="pct"/>
            <w:tcBorders>
              <w:top w:val="nil"/>
              <w:left w:val="nil"/>
              <w:right w:val="nil"/>
            </w:tcBorders>
            <w:noWrap/>
            <w:vAlign w:val="bottom"/>
            <w:hideMark/>
          </w:tcPr>
          <w:p w14:paraId="32EE7D75" w14:textId="77777777" w:rsidR="008E49A3" w:rsidRPr="00AB2BFC" w:rsidRDefault="008E49A3">
            <w:pPr>
              <w:rPr>
                <w:rFonts w:asciiTheme="minorHAnsi" w:hAnsiTheme="minorHAnsi" w:cstheme="minorHAnsi"/>
                <w:b/>
                <w:bCs/>
                <w:color w:val="000000"/>
                <w:sz w:val="20"/>
                <w:szCs w:val="20"/>
              </w:rPr>
            </w:pPr>
            <w:r w:rsidRPr="00AB2BFC">
              <w:rPr>
                <w:rFonts w:asciiTheme="minorHAnsi" w:hAnsiTheme="minorHAnsi" w:cstheme="minorHAnsi"/>
                <w:b/>
                <w:bCs/>
                <w:color w:val="000000"/>
                <w:sz w:val="20"/>
                <w:szCs w:val="20"/>
              </w:rPr>
              <w:t>Post model (under)/overlays:</w:t>
            </w:r>
          </w:p>
        </w:tc>
        <w:tc>
          <w:tcPr>
            <w:tcW w:w="135" w:type="pct"/>
            <w:tcBorders>
              <w:top w:val="nil"/>
              <w:left w:val="nil"/>
              <w:right w:val="nil"/>
            </w:tcBorders>
            <w:noWrap/>
            <w:vAlign w:val="bottom"/>
            <w:hideMark/>
          </w:tcPr>
          <w:p w14:paraId="024FB95D" w14:textId="77777777" w:rsidR="008E49A3" w:rsidRPr="00B97C61" w:rsidRDefault="008E49A3">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135" w:type="pct"/>
            <w:tcBorders>
              <w:top w:val="nil"/>
              <w:left w:val="nil"/>
              <w:right w:val="nil"/>
            </w:tcBorders>
            <w:noWrap/>
            <w:vAlign w:val="bottom"/>
            <w:hideMark/>
          </w:tcPr>
          <w:p w14:paraId="4786DFAE" w14:textId="77777777" w:rsidR="008E49A3" w:rsidRPr="00B97C61" w:rsidRDefault="008E49A3">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123" w:type="pct"/>
            <w:tcBorders>
              <w:top w:val="nil"/>
              <w:left w:val="nil"/>
              <w:right w:val="nil"/>
            </w:tcBorders>
            <w:noWrap/>
            <w:vAlign w:val="bottom"/>
            <w:hideMark/>
          </w:tcPr>
          <w:p w14:paraId="1C3FE737" w14:textId="77777777" w:rsidR="008E49A3" w:rsidRPr="00B97C61" w:rsidRDefault="008E49A3">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591" w:type="pct"/>
            <w:tcBorders>
              <w:top w:val="nil"/>
              <w:left w:val="nil"/>
              <w:right w:val="nil"/>
            </w:tcBorders>
            <w:shd w:val="clear" w:color="auto" w:fill="F2F2F2" w:themeFill="background1" w:themeFillShade="F2"/>
            <w:noWrap/>
            <w:vAlign w:val="bottom"/>
            <w:hideMark/>
          </w:tcPr>
          <w:p w14:paraId="5A95DAA8" w14:textId="77777777" w:rsidR="008E49A3" w:rsidRPr="000F589C" w:rsidRDefault="008E49A3">
            <w:pPr>
              <w:jc w:val="right"/>
              <w:rPr>
                <w:rFonts w:asciiTheme="minorHAnsi" w:hAnsiTheme="minorHAnsi" w:cstheme="minorHAnsi"/>
                <w:b/>
                <w:color w:val="000000"/>
                <w:sz w:val="20"/>
                <w:szCs w:val="20"/>
              </w:rPr>
            </w:pPr>
            <w:r w:rsidRPr="000F589C">
              <w:rPr>
                <w:rFonts w:asciiTheme="minorHAnsi" w:hAnsiTheme="minorHAnsi" w:cstheme="minorHAnsi"/>
                <w:b/>
                <w:color w:val="000000"/>
                <w:sz w:val="20"/>
                <w:szCs w:val="20"/>
              </w:rPr>
              <w:t> </w:t>
            </w:r>
          </w:p>
        </w:tc>
        <w:tc>
          <w:tcPr>
            <w:tcW w:w="733" w:type="pct"/>
            <w:tcBorders>
              <w:top w:val="nil"/>
              <w:left w:val="nil"/>
              <w:right w:val="nil"/>
            </w:tcBorders>
            <w:vAlign w:val="bottom"/>
          </w:tcPr>
          <w:p w14:paraId="41F24948" w14:textId="77777777" w:rsidR="008E49A3" w:rsidRPr="006D4208" w:rsidRDefault="008E49A3">
            <w:pPr>
              <w:jc w:val="right"/>
              <w:rPr>
                <w:rFonts w:asciiTheme="minorHAnsi" w:hAnsiTheme="minorHAnsi" w:cstheme="minorHAnsi"/>
                <w:color w:val="000000"/>
                <w:sz w:val="20"/>
                <w:szCs w:val="20"/>
              </w:rPr>
            </w:pPr>
            <w:r w:rsidRPr="006D4208">
              <w:rPr>
                <w:rFonts w:asciiTheme="minorHAnsi" w:hAnsiTheme="minorHAnsi" w:cstheme="minorHAnsi"/>
                <w:color w:val="000000"/>
                <w:sz w:val="20"/>
                <w:szCs w:val="20"/>
              </w:rPr>
              <w:t> </w:t>
            </w:r>
          </w:p>
        </w:tc>
        <w:tc>
          <w:tcPr>
            <w:tcW w:w="587" w:type="pct"/>
            <w:tcBorders>
              <w:top w:val="nil"/>
              <w:left w:val="nil"/>
              <w:right w:val="nil"/>
            </w:tcBorders>
            <w:noWrap/>
            <w:vAlign w:val="bottom"/>
            <w:hideMark/>
          </w:tcPr>
          <w:p w14:paraId="06F2185D" w14:textId="77777777" w:rsidR="008E49A3" w:rsidRPr="00C47B5E" w:rsidRDefault="008E49A3">
            <w:pPr>
              <w:jc w:val="right"/>
              <w:rPr>
                <w:rFonts w:asciiTheme="minorHAnsi" w:hAnsiTheme="minorHAnsi" w:cstheme="minorHAnsi"/>
                <w:color w:val="000000"/>
                <w:sz w:val="20"/>
                <w:szCs w:val="20"/>
              </w:rPr>
            </w:pPr>
            <w:r w:rsidRPr="00C47B5E">
              <w:rPr>
                <w:rFonts w:asciiTheme="minorHAnsi" w:hAnsiTheme="minorHAnsi" w:cstheme="minorHAnsi"/>
                <w:color w:val="000000"/>
                <w:sz w:val="20"/>
                <w:szCs w:val="20"/>
              </w:rPr>
              <w:t> </w:t>
            </w:r>
          </w:p>
        </w:tc>
      </w:tr>
      <w:tr w:rsidR="008E49A3" w:rsidRPr="00B97C61" w14:paraId="699564AD" w14:textId="77777777" w:rsidTr="00954B0E">
        <w:trPr>
          <w:trHeight w:val="288"/>
        </w:trPr>
        <w:tc>
          <w:tcPr>
            <w:tcW w:w="2696" w:type="pct"/>
            <w:tcBorders>
              <w:top w:val="nil"/>
              <w:left w:val="nil"/>
              <w:bottom w:val="nil"/>
              <w:right w:val="nil"/>
            </w:tcBorders>
            <w:noWrap/>
            <w:vAlign w:val="bottom"/>
          </w:tcPr>
          <w:p w14:paraId="026C2C5E" w14:textId="74002732" w:rsidR="008E49A3" w:rsidRPr="00AB2BFC" w:rsidRDefault="00DB7CB9">
            <w:pPr>
              <w:rPr>
                <w:rFonts w:asciiTheme="minorHAnsi" w:hAnsiTheme="minorHAnsi" w:cstheme="minorHAnsi"/>
                <w:color w:val="000000"/>
                <w:sz w:val="20"/>
                <w:szCs w:val="20"/>
              </w:rPr>
            </w:pPr>
            <w:r w:rsidRPr="00AB2BFC">
              <w:rPr>
                <w:rFonts w:asciiTheme="minorHAnsi" w:hAnsiTheme="minorHAnsi" w:cstheme="minorHAnsi"/>
                <w:color w:val="000000"/>
                <w:sz w:val="20"/>
                <w:szCs w:val="20"/>
              </w:rPr>
              <w:t xml:space="preserve">Scorecard (note </w:t>
            </w:r>
            <w:r w:rsidR="0030536F" w:rsidRPr="00AB2BFC">
              <w:rPr>
                <w:rFonts w:asciiTheme="minorHAnsi" w:hAnsiTheme="minorHAnsi" w:cstheme="minorHAnsi"/>
                <w:color w:val="000000"/>
                <w:sz w:val="20"/>
                <w:szCs w:val="20"/>
              </w:rPr>
              <w:t>(a))</w:t>
            </w:r>
          </w:p>
        </w:tc>
        <w:tc>
          <w:tcPr>
            <w:tcW w:w="135" w:type="pct"/>
            <w:tcBorders>
              <w:top w:val="nil"/>
              <w:left w:val="nil"/>
              <w:bottom w:val="nil"/>
              <w:right w:val="nil"/>
            </w:tcBorders>
            <w:noWrap/>
            <w:vAlign w:val="bottom"/>
          </w:tcPr>
          <w:p w14:paraId="0AEEB392" w14:textId="77777777" w:rsidR="008E49A3" w:rsidRPr="00B97C61" w:rsidRDefault="008E49A3">
            <w:pPr>
              <w:rPr>
                <w:rFonts w:asciiTheme="minorHAnsi" w:hAnsiTheme="minorHAnsi" w:cstheme="minorHAnsi"/>
                <w:color w:val="000000"/>
                <w:sz w:val="20"/>
                <w:szCs w:val="20"/>
              </w:rPr>
            </w:pPr>
          </w:p>
        </w:tc>
        <w:tc>
          <w:tcPr>
            <w:tcW w:w="135" w:type="pct"/>
            <w:tcBorders>
              <w:top w:val="nil"/>
              <w:left w:val="nil"/>
              <w:bottom w:val="nil"/>
              <w:right w:val="nil"/>
            </w:tcBorders>
            <w:noWrap/>
            <w:vAlign w:val="bottom"/>
          </w:tcPr>
          <w:p w14:paraId="026B9BF9" w14:textId="77777777" w:rsidR="008E49A3" w:rsidRPr="00B97C61" w:rsidRDefault="008E49A3">
            <w:pPr>
              <w:rPr>
                <w:rFonts w:asciiTheme="minorHAnsi" w:hAnsiTheme="minorHAnsi" w:cstheme="minorHAnsi"/>
                <w:sz w:val="20"/>
                <w:szCs w:val="20"/>
              </w:rPr>
            </w:pPr>
          </w:p>
        </w:tc>
        <w:tc>
          <w:tcPr>
            <w:tcW w:w="123" w:type="pct"/>
            <w:tcBorders>
              <w:top w:val="nil"/>
              <w:left w:val="nil"/>
              <w:bottom w:val="nil"/>
              <w:right w:val="nil"/>
            </w:tcBorders>
            <w:noWrap/>
            <w:vAlign w:val="bottom"/>
          </w:tcPr>
          <w:p w14:paraId="754B3ED7" w14:textId="77777777" w:rsidR="008E49A3" w:rsidRPr="00B97C61" w:rsidRDefault="008E49A3">
            <w:pPr>
              <w:rPr>
                <w:rFonts w:asciiTheme="minorHAnsi" w:hAnsiTheme="minorHAnsi" w:cstheme="minorHAnsi"/>
                <w:sz w:val="20"/>
                <w:szCs w:val="20"/>
              </w:rPr>
            </w:pPr>
          </w:p>
        </w:tc>
        <w:tc>
          <w:tcPr>
            <w:tcW w:w="591" w:type="pct"/>
            <w:tcBorders>
              <w:top w:val="nil"/>
              <w:left w:val="nil"/>
              <w:bottom w:val="nil"/>
              <w:right w:val="nil"/>
            </w:tcBorders>
            <w:shd w:val="clear" w:color="auto" w:fill="F2F2F2" w:themeFill="background1" w:themeFillShade="F2"/>
            <w:noWrap/>
            <w:vAlign w:val="bottom"/>
          </w:tcPr>
          <w:p w14:paraId="62B6B32C" w14:textId="7DC5FD05" w:rsidR="008E49A3" w:rsidRPr="00104B28" w:rsidRDefault="008341A6">
            <w:pPr>
              <w:jc w:val="right"/>
              <w:rPr>
                <w:rFonts w:asciiTheme="minorHAnsi" w:hAnsiTheme="minorHAnsi" w:cstheme="minorHAnsi"/>
                <w:b/>
                <w:sz w:val="20"/>
                <w:szCs w:val="20"/>
              </w:rPr>
            </w:pPr>
            <w:r w:rsidRPr="00104B28">
              <w:rPr>
                <w:rFonts w:asciiTheme="minorHAnsi" w:hAnsiTheme="minorHAnsi" w:cstheme="minorHAnsi"/>
                <w:b/>
                <w:sz w:val="20"/>
                <w:szCs w:val="20"/>
              </w:rPr>
              <w:t>(0.8)</w:t>
            </w:r>
          </w:p>
        </w:tc>
        <w:tc>
          <w:tcPr>
            <w:tcW w:w="733" w:type="pct"/>
            <w:tcBorders>
              <w:top w:val="nil"/>
              <w:left w:val="nil"/>
              <w:bottom w:val="nil"/>
              <w:right w:val="nil"/>
            </w:tcBorders>
            <w:vAlign w:val="bottom"/>
          </w:tcPr>
          <w:p w14:paraId="16048C9B" w14:textId="77777777" w:rsidR="008E49A3" w:rsidRPr="006D4208" w:rsidRDefault="008E49A3">
            <w:pPr>
              <w:jc w:val="right"/>
              <w:rPr>
                <w:rFonts w:asciiTheme="minorHAnsi" w:hAnsiTheme="minorHAnsi" w:cstheme="minorHAnsi"/>
                <w:color w:val="000000"/>
                <w:sz w:val="20"/>
                <w:szCs w:val="20"/>
              </w:rPr>
            </w:pPr>
            <w:r w:rsidRPr="006D4208">
              <w:rPr>
                <w:rFonts w:asciiTheme="minorHAnsi" w:hAnsiTheme="minorHAnsi" w:cstheme="minorHAnsi"/>
                <w:color w:val="000000"/>
                <w:sz w:val="20"/>
                <w:szCs w:val="20"/>
              </w:rPr>
              <w:t>-</w:t>
            </w:r>
          </w:p>
        </w:tc>
        <w:tc>
          <w:tcPr>
            <w:tcW w:w="587" w:type="pct"/>
            <w:tcBorders>
              <w:top w:val="nil"/>
              <w:left w:val="nil"/>
              <w:bottom w:val="nil"/>
              <w:right w:val="nil"/>
            </w:tcBorders>
            <w:noWrap/>
            <w:vAlign w:val="bottom"/>
          </w:tcPr>
          <w:p w14:paraId="4792E62F" w14:textId="3F3230D9" w:rsidR="008E49A3" w:rsidRPr="00C47B5E" w:rsidRDefault="00AC0A40">
            <w:pPr>
              <w:jc w:val="right"/>
              <w:rPr>
                <w:rFonts w:asciiTheme="minorHAnsi" w:hAnsiTheme="minorHAnsi" w:cstheme="minorHAnsi"/>
                <w:color w:val="000000"/>
                <w:sz w:val="20"/>
                <w:szCs w:val="20"/>
              </w:rPr>
            </w:pPr>
            <w:r w:rsidRPr="00C47B5E">
              <w:rPr>
                <w:rFonts w:asciiTheme="minorHAnsi" w:hAnsiTheme="minorHAnsi" w:cstheme="minorHAnsi"/>
                <w:bCs/>
                <w:color w:val="000000"/>
                <w:sz w:val="20"/>
                <w:szCs w:val="20"/>
              </w:rPr>
              <w:t>-</w:t>
            </w:r>
          </w:p>
        </w:tc>
      </w:tr>
      <w:tr w:rsidR="008E49A3" w:rsidRPr="00B97C61" w14:paraId="635F7814" w14:textId="77777777" w:rsidTr="00954B0E">
        <w:trPr>
          <w:trHeight w:val="288"/>
        </w:trPr>
        <w:tc>
          <w:tcPr>
            <w:tcW w:w="2696" w:type="pct"/>
            <w:tcBorders>
              <w:top w:val="nil"/>
              <w:left w:val="nil"/>
              <w:bottom w:val="nil"/>
              <w:right w:val="nil"/>
            </w:tcBorders>
            <w:noWrap/>
            <w:vAlign w:val="bottom"/>
            <w:hideMark/>
          </w:tcPr>
          <w:p w14:paraId="1C54F4E0" w14:textId="5362ED56" w:rsidR="008E49A3" w:rsidRPr="00AB2BFC" w:rsidRDefault="004E3568">
            <w:pPr>
              <w:rPr>
                <w:rFonts w:asciiTheme="minorHAnsi" w:hAnsiTheme="minorHAnsi" w:cstheme="minorHAnsi"/>
                <w:color w:val="000000"/>
                <w:sz w:val="20"/>
                <w:szCs w:val="20"/>
              </w:rPr>
            </w:pPr>
            <w:r w:rsidRPr="00AB2BFC">
              <w:rPr>
                <w:rFonts w:asciiTheme="minorHAnsi" w:hAnsiTheme="minorHAnsi" w:cstheme="minorHAnsi"/>
                <w:color w:val="000000"/>
                <w:sz w:val="20"/>
                <w:szCs w:val="20"/>
              </w:rPr>
              <w:t>Macroeconomic mode</w:t>
            </w:r>
            <w:r w:rsidR="00AC57B7">
              <w:rPr>
                <w:rFonts w:asciiTheme="minorHAnsi" w:hAnsiTheme="minorHAnsi" w:cstheme="minorHAnsi"/>
                <w:color w:val="000000"/>
                <w:sz w:val="20"/>
                <w:szCs w:val="20"/>
              </w:rPr>
              <w:t>l</w:t>
            </w:r>
            <w:r w:rsidRPr="00AB2BFC">
              <w:rPr>
                <w:rFonts w:asciiTheme="minorHAnsi" w:hAnsiTheme="minorHAnsi" w:cstheme="minorHAnsi"/>
                <w:color w:val="000000"/>
                <w:sz w:val="20"/>
                <w:szCs w:val="20"/>
              </w:rPr>
              <w:t xml:space="preserve"> (note </w:t>
            </w:r>
            <w:r w:rsidR="0030536F" w:rsidRPr="00AB2BFC">
              <w:rPr>
                <w:rFonts w:asciiTheme="minorHAnsi" w:hAnsiTheme="minorHAnsi" w:cstheme="minorHAnsi"/>
                <w:color w:val="000000"/>
                <w:sz w:val="20"/>
                <w:szCs w:val="20"/>
              </w:rPr>
              <w:t>(b</w:t>
            </w:r>
            <w:r w:rsidRPr="00AB2BFC">
              <w:rPr>
                <w:rFonts w:asciiTheme="minorHAnsi" w:hAnsiTheme="minorHAnsi" w:cstheme="minorHAnsi"/>
                <w:color w:val="000000"/>
                <w:sz w:val="20"/>
                <w:szCs w:val="20"/>
              </w:rPr>
              <w:t>)</w:t>
            </w:r>
            <w:r w:rsidR="0030536F" w:rsidRPr="00AB2BFC">
              <w:rPr>
                <w:rFonts w:asciiTheme="minorHAnsi" w:hAnsiTheme="minorHAnsi" w:cstheme="minorHAnsi"/>
                <w:color w:val="000000"/>
                <w:sz w:val="20"/>
                <w:szCs w:val="20"/>
              </w:rPr>
              <w:t>)</w:t>
            </w:r>
          </w:p>
        </w:tc>
        <w:tc>
          <w:tcPr>
            <w:tcW w:w="135" w:type="pct"/>
            <w:tcBorders>
              <w:top w:val="nil"/>
              <w:left w:val="nil"/>
              <w:bottom w:val="nil"/>
              <w:right w:val="nil"/>
            </w:tcBorders>
            <w:noWrap/>
            <w:vAlign w:val="bottom"/>
            <w:hideMark/>
          </w:tcPr>
          <w:p w14:paraId="0242FA77" w14:textId="77777777" w:rsidR="008E49A3" w:rsidRPr="00B97C61" w:rsidRDefault="008E49A3">
            <w:pPr>
              <w:rPr>
                <w:rFonts w:asciiTheme="minorHAnsi" w:hAnsiTheme="minorHAnsi" w:cstheme="minorHAnsi"/>
                <w:color w:val="000000"/>
                <w:sz w:val="20"/>
                <w:szCs w:val="20"/>
              </w:rPr>
            </w:pPr>
          </w:p>
        </w:tc>
        <w:tc>
          <w:tcPr>
            <w:tcW w:w="135" w:type="pct"/>
            <w:tcBorders>
              <w:top w:val="nil"/>
              <w:left w:val="nil"/>
              <w:bottom w:val="nil"/>
              <w:right w:val="nil"/>
            </w:tcBorders>
            <w:noWrap/>
            <w:vAlign w:val="bottom"/>
            <w:hideMark/>
          </w:tcPr>
          <w:p w14:paraId="5E8F4679" w14:textId="77777777" w:rsidR="008E49A3" w:rsidRPr="00B97C61" w:rsidRDefault="008E49A3">
            <w:pPr>
              <w:rPr>
                <w:rFonts w:asciiTheme="minorHAnsi" w:hAnsiTheme="minorHAnsi" w:cstheme="minorHAnsi"/>
                <w:sz w:val="20"/>
                <w:szCs w:val="20"/>
              </w:rPr>
            </w:pPr>
          </w:p>
        </w:tc>
        <w:tc>
          <w:tcPr>
            <w:tcW w:w="123" w:type="pct"/>
            <w:tcBorders>
              <w:top w:val="nil"/>
              <w:left w:val="nil"/>
              <w:bottom w:val="nil"/>
              <w:right w:val="nil"/>
            </w:tcBorders>
            <w:noWrap/>
            <w:vAlign w:val="bottom"/>
            <w:hideMark/>
          </w:tcPr>
          <w:p w14:paraId="398F8659" w14:textId="77777777" w:rsidR="008E49A3" w:rsidRPr="00B97C61" w:rsidRDefault="008E49A3">
            <w:pPr>
              <w:rPr>
                <w:rFonts w:asciiTheme="minorHAnsi" w:hAnsiTheme="minorHAnsi" w:cstheme="minorHAnsi"/>
                <w:sz w:val="20"/>
                <w:szCs w:val="20"/>
              </w:rPr>
            </w:pPr>
          </w:p>
        </w:tc>
        <w:tc>
          <w:tcPr>
            <w:tcW w:w="591" w:type="pct"/>
            <w:tcBorders>
              <w:top w:val="nil"/>
              <w:left w:val="nil"/>
              <w:bottom w:val="nil"/>
              <w:right w:val="nil"/>
            </w:tcBorders>
            <w:shd w:val="clear" w:color="auto" w:fill="F2F2F2" w:themeFill="background1" w:themeFillShade="F2"/>
            <w:noWrap/>
            <w:vAlign w:val="bottom"/>
          </w:tcPr>
          <w:p w14:paraId="5221CE83" w14:textId="77777777" w:rsidR="008E49A3" w:rsidRPr="00104B28" w:rsidRDefault="008E49A3">
            <w:pPr>
              <w:jc w:val="right"/>
              <w:rPr>
                <w:rFonts w:asciiTheme="minorHAnsi" w:hAnsiTheme="minorHAnsi" w:cstheme="minorHAnsi"/>
                <w:b/>
                <w:sz w:val="20"/>
                <w:szCs w:val="20"/>
              </w:rPr>
            </w:pPr>
            <w:r w:rsidRPr="00104B28">
              <w:rPr>
                <w:rFonts w:asciiTheme="minorHAnsi" w:hAnsiTheme="minorHAnsi" w:cstheme="minorHAnsi"/>
                <w:b/>
                <w:sz w:val="20"/>
                <w:szCs w:val="20"/>
              </w:rPr>
              <w:t>-</w:t>
            </w:r>
          </w:p>
        </w:tc>
        <w:tc>
          <w:tcPr>
            <w:tcW w:w="733" w:type="pct"/>
            <w:tcBorders>
              <w:top w:val="nil"/>
              <w:left w:val="nil"/>
              <w:bottom w:val="nil"/>
              <w:right w:val="nil"/>
            </w:tcBorders>
            <w:vAlign w:val="bottom"/>
          </w:tcPr>
          <w:p w14:paraId="75FC4AAF" w14:textId="706DCC0F" w:rsidR="008E49A3" w:rsidRPr="006D4208" w:rsidRDefault="004E3568">
            <w:pPr>
              <w:jc w:val="right"/>
              <w:rPr>
                <w:rFonts w:asciiTheme="minorHAnsi" w:hAnsiTheme="minorHAnsi" w:cstheme="minorHAnsi"/>
                <w:color w:val="000000"/>
                <w:sz w:val="20"/>
                <w:szCs w:val="20"/>
              </w:rPr>
            </w:pPr>
            <w:r>
              <w:rPr>
                <w:rFonts w:asciiTheme="minorHAnsi" w:hAnsiTheme="minorHAnsi" w:cstheme="minorHAnsi"/>
                <w:color w:val="000000"/>
                <w:sz w:val="20"/>
                <w:szCs w:val="20"/>
              </w:rPr>
              <w:t>4.0</w:t>
            </w:r>
          </w:p>
        </w:tc>
        <w:tc>
          <w:tcPr>
            <w:tcW w:w="587" w:type="pct"/>
            <w:tcBorders>
              <w:top w:val="nil"/>
              <w:left w:val="nil"/>
              <w:bottom w:val="nil"/>
              <w:right w:val="nil"/>
            </w:tcBorders>
            <w:noWrap/>
            <w:vAlign w:val="bottom"/>
          </w:tcPr>
          <w:p w14:paraId="6ACA0645" w14:textId="4D35E555" w:rsidR="008E49A3" w:rsidRPr="00C47B5E" w:rsidRDefault="00AC0A40">
            <w:pPr>
              <w:jc w:val="right"/>
              <w:rPr>
                <w:rFonts w:asciiTheme="minorHAnsi" w:hAnsiTheme="minorHAnsi" w:cstheme="minorHAnsi"/>
                <w:color w:val="000000"/>
                <w:sz w:val="20"/>
                <w:szCs w:val="20"/>
              </w:rPr>
            </w:pPr>
            <w:r w:rsidRPr="00C47B5E">
              <w:rPr>
                <w:rFonts w:asciiTheme="minorHAnsi" w:hAnsiTheme="minorHAnsi" w:cstheme="minorHAnsi"/>
                <w:bCs/>
                <w:color w:val="000000"/>
                <w:sz w:val="20"/>
                <w:szCs w:val="20"/>
              </w:rPr>
              <w:t>-</w:t>
            </w:r>
          </w:p>
        </w:tc>
      </w:tr>
      <w:tr w:rsidR="008E49A3" w:rsidRPr="00B97C61" w14:paraId="40BE7D53" w14:textId="77777777" w:rsidTr="00954B0E">
        <w:trPr>
          <w:trHeight w:val="288"/>
        </w:trPr>
        <w:tc>
          <w:tcPr>
            <w:tcW w:w="2696" w:type="pct"/>
            <w:tcBorders>
              <w:top w:val="nil"/>
              <w:left w:val="nil"/>
              <w:bottom w:val="nil"/>
              <w:right w:val="nil"/>
            </w:tcBorders>
            <w:noWrap/>
            <w:vAlign w:val="bottom"/>
            <w:hideMark/>
          </w:tcPr>
          <w:p w14:paraId="608E9093" w14:textId="08FBEC9D" w:rsidR="008E49A3" w:rsidRPr="00AB2BFC" w:rsidRDefault="008E49A3">
            <w:pPr>
              <w:rPr>
                <w:rFonts w:asciiTheme="minorHAnsi" w:hAnsiTheme="minorHAnsi" w:cstheme="minorHAnsi"/>
                <w:color w:val="000000"/>
                <w:sz w:val="20"/>
                <w:szCs w:val="20"/>
              </w:rPr>
            </w:pPr>
            <w:r w:rsidRPr="00AB2BFC">
              <w:rPr>
                <w:rFonts w:asciiTheme="minorHAnsi" w:hAnsiTheme="minorHAnsi" w:cstheme="minorHAnsi"/>
                <w:color w:val="000000"/>
                <w:sz w:val="20"/>
                <w:szCs w:val="20"/>
              </w:rPr>
              <w:t>Other</w:t>
            </w:r>
          </w:p>
        </w:tc>
        <w:tc>
          <w:tcPr>
            <w:tcW w:w="135" w:type="pct"/>
            <w:tcBorders>
              <w:top w:val="nil"/>
              <w:left w:val="nil"/>
              <w:bottom w:val="nil"/>
              <w:right w:val="nil"/>
            </w:tcBorders>
            <w:noWrap/>
            <w:vAlign w:val="bottom"/>
            <w:hideMark/>
          </w:tcPr>
          <w:p w14:paraId="584D342A" w14:textId="77777777" w:rsidR="008E49A3" w:rsidRPr="00B97C61" w:rsidRDefault="008E49A3">
            <w:pPr>
              <w:rPr>
                <w:rFonts w:asciiTheme="minorHAnsi" w:hAnsiTheme="minorHAnsi" w:cstheme="minorHAnsi"/>
                <w:color w:val="000000"/>
                <w:sz w:val="20"/>
                <w:szCs w:val="20"/>
              </w:rPr>
            </w:pPr>
          </w:p>
        </w:tc>
        <w:tc>
          <w:tcPr>
            <w:tcW w:w="135" w:type="pct"/>
            <w:tcBorders>
              <w:top w:val="nil"/>
              <w:left w:val="nil"/>
              <w:bottom w:val="nil"/>
              <w:right w:val="nil"/>
            </w:tcBorders>
            <w:noWrap/>
            <w:vAlign w:val="bottom"/>
            <w:hideMark/>
          </w:tcPr>
          <w:p w14:paraId="24D70427" w14:textId="77777777" w:rsidR="008E49A3" w:rsidRPr="00B97C61" w:rsidRDefault="008E49A3">
            <w:pPr>
              <w:rPr>
                <w:rFonts w:asciiTheme="minorHAnsi" w:hAnsiTheme="minorHAnsi" w:cstheme="minorHAnsi"/>
                <w:sz w:val="20"/>
                <w:szCs w:val="20"/>
              </w:rPr>
            </w:pPr>
          </w:p>
        </w:tc>
        <w:tc>
          <w:tcPr>
            <w:tcW w:w="123" w:type="pct"/>
            <w:tcBorders>
              <w:top w:val="nil"/>
              <w:left w:val="nil"/>
              <w:bottom w:val="nil"/>
              <w:right w:val="nil"/>
            </w:tcBorders>
            <w:noWrap/>
            <w:vAlign w:val="bottom"/>
            <w:hideMark/>
          </w:tcPr>
          <w:p w14:paraId="67C71E4A" w14:textId="77777777" w:rsidR="008E49A3" w:rsidRPr="00B97C61" w:rsidRDefault="008E49A3">
            <w:pPr>
              <w:rPr>
                <w:rFonts w:asciiTheme="minorHAnsi" w:hAnsiTheme="minorHAnsi" w:cstheme="minorHAnsi"/>
                <w:sz w:val="20"/>
                <w:szCs w:val="20"/>
              </w:rPr>
            </w:pPr>
          </w:p>
        </w:tc>
        <w:tc>
          <w:tcPr>
            <w:tcW w:w="591" w:type="pct"/>
            <w:tcBorders>
              <w:top w:val="nil"/>
              <w:left w:val="nil"/>
              <w:bottom w:val="nil"/>
              <w:right w:val="nil"/>
            </w:tcBorders>
            <w:shd w:val="clear" w:color="auto" w:fill="F2F2F2" w:themeFill="background1" w:themeFillShade="F2"/>
            <w:noWrap/>
            <w:vAlign w:val="bottom"/>
          </w:tcPr>
          <w:p w14:paraId="5CE1D9B8" w14:textId="0BFA3BC5" w:rsidR="008E49A3" w:rsidRPr="00104B28" w:rsidRDefault="008341A6">
            <w:pPr>
              <w:jc w:val="right"/>
              <w:rPr>
                <w:rFonts w:asciiTheme="minorHAnsi" w:hAnsiTheme="minorHAnsi" w:cstheme="minorHAnsi"/>
                <w:b/>
                <w:sz w:val="20"/>
                <w:szCs w:val="20"/>
              </w:rPr>
            </w:pPr>
            <w:r w:rsidRPr="00104B28">
              <w:rPr>
                <w:rFonts w:asciiTheme="minorHAnsi" w:hAnsiTheme="minorHAnsi" w:cstheme="minorHAnsi"/>
                <w:b/>
                <w:sz w:val="20"/>
                <w:szCs w:val="20"/>
              </w:rPr>
              <w:t>0.7</w:t>
            </w:r>
          </w:p>
        </w:tc>
        <w:tc>
          <w:tcPr>
            <w:tcW w:w="733" w:type="pct"/>
            <w:tcBorders>
              <w:top w:val="nil"/>
              <w:left w:val="nil"/>
              <w:bottom w:val="nil"/>
              <w:right w:val="nil"/>
            </w:tcBorders>
            <w:vAlign w:val="bottom"/>
          </w:tcPr>
          <w:p w14:paraId="5F6A43B4" w14:textId="51622A8C" w:rsidR="008E49A3" w:rsidRPr="006D4208" w:rsidRDefault="008E49A3">
            <w:pPr>
              <w:jc w:val="right"/>
              <w:rPr>
                <w:rFonts w:asciiTheme="minorHAnsi" w:hAnsiTheme="minorHAnsi" w:cstheme="minorHAnsi"/>
                <w:color w:val="000000"/>
                <w:sz w:val="20"/>
                <w:szCs w:val="20"/>
              </w:rPr>
            </w:pPr>
            <w:r w:rsidRPr="006D4208">
              <w:rPr>
                <w:rFonts w:asciiTheme="minorHAnsi" w:hAnsiTheme="minorHAnsi" w:cstheme="minorHAnsi"/>
                <w:color w:val="000000"/>
                <w:sz w:val="20"/>
                <w:szCs w:val="20"/>
              </w:rPr>
              <w:t>0</w:t>
            </w:r>
            <w:r w:rsidR="004E3568">
              <w:rPr>
                <w:rFonts w:asciiTheme="minorHAnsi" w:hAnsiTheme="minorHAnsi" w:cstheme="minorHAnsi"/>
                <w:color w:val="000000"/>
                <w:sz w:val="20"/>
                <w:szCs w:val="20"/>
              </w:rPr>
              <w:t>.4</w:t>
            </w:r>
          </w:p>
        </w:tc>
        <w:tc>
          <w:tcPr>
            <w:tcW w:w="587" w:type="pct"/>
            <w:tcBorders>
              <w:top w:val="nil"/>
              <w:left w:val="nil"/>
              <w:bottom w:val="nil"/>
              <w:right w:val="nil"/>
            </w:tcBorders>
            <w:noWrap/>
            <w:vAlign w:val="bottom"/>
          </w:tcPr>
          <w:p w14:paraId="0AB444C2" w14:textId="2397A48F" w:rsidR="008E49A3" w:rsidRPr="00C47B5E" w:rsidRDefault="00C47B5E">
            <w:pPr>
              <w:jc w:val="right"/>
              <w:rPr>
                <w:rFonts w:asciiTheme="minorHAnsi" w:hAnsiTheme="minorHAnsi" w:cstheme="minorHAnsi"/>
                <w:color w:val="000000"/>
                <w:sz w:val="20"/>
                <w:szCs w:val="20"/>
              </w:rPr>
            </w:pPr>
            <w:r w:rsidRPr="00C47B5E">
              <w:rPr>
                <w:rFonts w:asciiTheme="minorHAnsi" w:hAnsiTheme="minorHAnsi" w:cstheme="minorHAnsi"/>
                <w:bCs/>
                <w:color w:val="000000"/>
                <w:sz w:val="20"/>
                <w:szCs w:val="20"/>
              </w:rPr>
              <w:t>0.3</w:t>
            </w:r>
          </w:p>
        </w:tc>
      </w:tr>
      <w:tr w:rsidR="008E49A3" w:rsidRPr="00B97C61" w14:paraId="20D0E35B" w14:textId="77777777" w:rsidTr="00954B0E">
        <w:trPr>
          <w:trHeight w:val="288"/>
        </w:trPr>
        <w:tc>
          <w:tcPr>
            <w:tcW w:w="2696" w:type="pct"/>
            <w:tcBorders>
              <w:left w:val="nil"/>
              <w:right w:val="nil"/>
            </w:tcBorders>
            <w:noWrap/>
            <w:vAlign w:val="bottom"/>
            <w:hideMark/>
          </w:tcPr>
          <w:p w14:paraId="66DAB17E" w14:textId="77777777" w:rsidR="008E49A3" w:rsidRPr="00AB2BFC" w:rsidRDefault="008E49A3">
            <w:pPr>
              <w:rPr>
                <w:rFonts w:asciiTheme="minorHAnsi" w:hAnsiTheme="minorHAnsi" w:cstheme="minorHAnsi"/>
                <w:b/>
                <w:bCs/>
                <w:color w:val="000000"/>
                <w:sz w:val="20"/>
                <w:szCs w:val="20"/>
              </w:rPr>
            </w:pPr>
            <w:r w:rsidRPr="00AB2BFC">
              <w:rPr>
                <w:rFonts w:asciiTheme="minorHAnsi" w:hAnsiTheme="minorHAnsi" w:cstheme="minorHAnsi"/>
                <w:b/>
                <w:bCs/>
                <w:color w:val="000000"/>
                <w:sz w:val="20"/>
                <w:szCs w:val="20"/>
              </w:rPr>
              <w:t>Total post model (under)/overlays</w:t>
            </w:r>
          </w:p>
        </w:tc>
        <w:tc>
          <w:tcPr>
            <w:tcW w:w="135" w:type="pct"/>
            <w:tcBorders>
              <w:left w:val="nil"/>
              <w:right w:val="nil"/>
            </w:tcBorders>
            <w:noWrap/>
            <w:vAlign w:val="bottom"/>
            <w:hideMark/>
          </w:tcPr>
          <w:p w14:paraId="6ED80E87" w14:textId="77777777" w:rsidR="008E49A3" w:rsidRPr="00B97C61" w:rsidRDefault="008E49A3">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135" w:type="pct"/>
            <w:tcBorders>
              <w:left w:val="nil"/>
              <w:right w:val="nil"/>
            </w:tcBorders>
            <w:noWrap/>
            <w:vAlign w:val="bottom"/>
            <w:hideMark/>
          </w:tcPr>
          <w:p w14:paraId="71B2567D" w14:textId="77777777" w:rsidR="008E49A3" w:rsidRPr="00B97C61" w:rsidRDefault="008E49A3">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123" w:type="pct"/>
            <w:tcBorders>
              <w:left w:val="nil"/>
              <w:right w:val="nil"/>
            </w:tcBorders>
            <w:noWrap/>
            <w:vAlign w:val="bottom"/>
            <w:hideMark/>
          </w:tcPr>
          <w:p w14:paraId="61ACE694" w14:textId="77777777" w:rsidR="008E49A3" w:rsidRPr="00B97C61" w:rsidRDefault="008E49A3">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591" w:type="pct"/>
            <w:tcBorders>
              <w:top w:val="single" w:sz="4" w:space="0" w:color="auto"/>
              <w:left w:val="nil"/>
              <w:bottom w:val="single" w:sz="4" w:space="0" w:color="auto"/>
              <w:right w:val="nil"/>
            </w:tcBorders>
            <w:shd w:val="clear" w:color="auto" w:fill="F2F2F2" w:themeFill="background1" w:themeFillShade="F2"/>
            <w:noWrap/>
            <w:vAlign w:val="bottom"/>
            <w:hideMark/>
          </w:tcPr>
          <w:p w14:paraId="4116AEA2" w14:textId="5693256F" w:rsidR="008E49A3" w:rsidRPr="00E55588" w:rsidRDefault="008341A6">
            <w:pPr>
              <w:jc w:val="right"/>
              <w:rPr>
                <w:rFonts w:asciiTheme="minorHAnsi" w:hAnsiTheme="minorHAnsi" w:cstheme="minorHAnsi"/>
                <w:b/>
                <w:sz w:val="20"/>
                <w:szCs w:val="20"/>
              </w:rPr>
            </w:pPr>
            <w:r w:rsidRPr="00E55588">
              <w:rPr>
                <w:rFonts w:asciiTheme="minorHAnsi" w:hAnsiTheme="minorHAnsi" w:cstheme="minorHAnsi"/>
                <w:b/>
                <w:sz w:val="20"/>
                <w:szCs w:val="20"/>
              </w:rPr>
              <w:t>(0.1)</w:t>
            </w:r>
          </w:p>
        </w:tc>
        <w:tc>
          <w:tcPr>
            <w:tcW w:w="733" w:type="pct"/>
            <w:tcBorders>
              <w:top w:val="single" w:sz="4" w:space="0" w:color="auto"/>
              <w:left w:val="nil"/>
              <w:bottom w:val="single" w:sz="4" w:space="0" w:color="auto"/>
              <w:right w:val="nil"/>
            </w:tcBorders>
            <w:vAlign w:val="bottom"/>
          </w:tcPr>
          <w:p w14:paraId="1E3641CA" w14:textId="43E031BC" w:rsidR="008E49A3" w:rsidRPr="006D4208" w:rsidRDefault="004E3568">
            <w:pPr>
              <w:jc w:val="right"/>
              <w:rPr>
                <w:rFonts w:asciiTheme="minorHAnsi" w:hAnsiTheme="minorHAnsi" w:cstheme="minorHAnsi"/>
                <w:color w:val="000000"/>
                <w:sz w:val="20"/>
                <w:szCs w:val="20"/>
              </w:rPr>
            </w:pPr>
            <w:r>
              <w:rPr>
                <w:rFonts w:asciiTheme="minorHAnsi" w:hAnsiTheme="minorHAnsi" w:cstheme="minorHAnsi"/>
                <w:color w:val="000000"/>
                <w:sz w:val="20"/>
                <w:szCs w:val="20"/>
              </w:rPr>
              <w:t>4.4</w:t>
            </w:r>
          </w:p>
        </w:tc>
        <w:tc>
          <w:tcPr>
            <w:tcW w:w="587" w:type="pct"/>
            <w:tcBorders>
              <w:top w:val="single" w:sz="4" w:space="0" w:color="auto"/>
              <w:left w:val="nil"/>
              <w:bottom w:val="single" w:sz="4" w:space="0" w:color="auto"/>
              <w:right w:val="nil"/>
            </w:tcBorders>
            <w:noWrap/>
            <w:vAlign w:val="bottom"/>
          </w:tcPr>
          <w:p w14:paraId="22869A0F" w14:textId="1E3C3CAC" w:rsidR="008E49A3" w:rsidRPr="00C47B5E" w:rsidRDefault="00C47B5E">
            <w:pPr>
              <w:jc w:val="right"/>
              <w:rPr>
                <w:rFonts w:asciiTheme="minorHAnsi" w:hAnsiTheme="minorHAnsi" w:cstheme="minorHAnsi"/>
                <w:color w:val="000000"/>
                <w:sz w:val="20"/>
                <w:szCs w:val="20"/>
              </w:rPr>
            </w:pPr>
            <w:r w:rsidRPr="00C47B5E">
              <w:rPr>
                <w:rFonts w:asciiTheme="minorHAnsi" w:hAnsiTheme="minorHAnsi" w:cstheme="minorHAnsi"/>
                <w:color w:val="000000"/>
                <w:sz w:val="20"/>
                <w:szCs w:val="20"/>
              </w:rPr>
              <w:t>0.3</w:t>
            </w:r>
          </w:p>
        </w:tc>
      </w:tr>
    </w:tbl>
    <w:p w14:paraId="5A434FF4" w14:textId="77777777" w:rsidR="00A56859" w:rsidRDefault="00A56859"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p>
    <w:p w14:paraId="29E85F03" w14:textId="19E76BEF" w:rsidR="0045374D" w:rsidRDefault="0045374D"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45374D">
        <w:rPr>
          <w:rFonts w:asciiTheme="minorHAnsi" w:hAnsiTheme="minorHAnsi" w:cs="Arial"/>
          <w:b/>
          <w:sz w:val="20"/>
          <w:szCs w:val="20"/>
          <w:vertAlign w:val="superscript"/>
        </w:rPr>
        <w:t>1</w:t>
      </w:r>
      <w:r>
        <w:rPr>
          <w:rFonts w:asciiTheme="minorHAnsi" w:hAnsiTheme="minorHAnsi" w:cs="Arial"/>
          <w:b/>
          <w:sz w:val="20"/>
          <w:szCs w:val="20"/>
        </w:rPr>
        <w:t xml:space="preserve"> </w:t>
      </w:r>
      <w:r w:rsidRPr="0045374D">
        <w:rPr>
          <w:rFonts w:asciiTheme="minorHAnsi" w:hAnsiTheme="minorHAnsi" w:cs="Arial"/>
          <w:bCs/>
          <w:sz w:val="20"/>
          <w:szCs w:val="20"/>
        </w:rPr>
        <w:t xml:space="preserve">Refer to accounting </w:t>
      </w:r>
      <w:proofErr w:type="spellStart"/>
      <w:r w:rsidRPr="0045374D">
        <w:rPr>
          <w:rFonts w:asciiTheme="minorHAnsi" w:hAnsiTheme="minorHAnsi" w:cs="Arial"/>
          <w:bCs/>
          <w:sz w:val="20"/>
          <w:szCs w:val="20"/>
        </w:rPr>
        <w:t>polices</w:t>
      </w:r>
      <w:proofErr w:type="spellEnd"/>
      <w:r w:rsidRPr="0045374D">
        <w:rPr>
          <w:rFonts w:asciiTheme="minorHAnsi" w:hAnsiTheme="minorHAnsi" w:cs="Arial"/>
          <w:bCs/>
          <w:sz w:val="20"/>
          <w:szCs w:val="20"/>
        </w:rPr>
        <w:t xml:space="preserve"> for details of representation of fraud costs</w:t>
      </w:r>
      <w:r>
        <w:rPr>
          <w:rFonts w:asciiTheme="minorHAnsi" w:hAnsiTheme="minorHAnsi" w:cs="Arial"/>
          <w:bCs/>
          <w:sz w:val="20"/>
          <w:szCs w:val="20"/>
        </w:rPr>
        <w:t>.</w:t>
      </w:r>
    </w:p>
    <w:p w14:paraId="4DC44CB3" w14:textId="77777777" w:rsidR="00C11754" w:rsidRDefault="00C11754"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p>
    <w:p w14:paraId="7D8B9FA8" w14:textId="1025B706" w:rsidR="0045374D" w:rsidRDefault="00CD4D02"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r>
        <w:rPr>
          <w:rFonts w:asciiTheme="minorHAnsi" w:hAnsiTheme="minorHAnsi" w:cs="Arial"/>
          <w:b/>
          <w:sz w:val="20"/>
          <w:szCs w:val="20"/>
        </w:rPr>
        <w:t xml:space="preserve">a) </w:t>
      </w:r>
      <w:r w:rsidR="00F305C2">
        <w:rPr>
          <w:rFonts w:asciiTheme="minorHAnsi" w:hAnsiTheme="minorHAnsi" w:cs="Arial"/>
          <w:b/>
          <w:sz w:val="20"/>
          <w:szCs w:val="20"/>
        </w:rPr>
        <w:t>S</w:t>
      </w:r>
      <w:r>
        <w:rPr>
          <w:rFonts w:asciiTheme="minorHAnsi" w:hAnsiTheme="minorHAnsi" w:cs="Arial"/>
          <w:b/>
          <w:sz w:val="20"/>
          <w:szCs w:val="20"/>
        </w:rPr>
        <w:t>c</w:t>
      </w:r>
      <w:r w:rsidR="00F305C2">
        <w:rPr>
          <w:rFonts w:asciiTheme="minorHAnsi" w:hAnsiTheme="minorHAnsi" w:cs="Arial"/>
          <w:b/>
          <w:sz w:val="20"/>
          <w:szCs w:val="20"/>
        </w:rPr>
        <w:t>orecard</w:t>
      </w:r>
    </w:p>
    <w:p w14:paraId="258E3386" w14:textId="11836C83" w:rsidR="00F305C2" w:rsidRDefault="00F305C2"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color w:val="FF0000"/>
          <w:sz w:val="20"/>
          <w:szCs w:val="20"/>
        </w:rPr>
      </w:pPr>
    </w:p>
    <w:p w14:paraId="5E6F0C78" w14:textId="0A63BD87" w:rsidR="00D56B2B" w:rsidRPr="00902803" w:rsidRDefault="00DC039D" w:rsidP="00D5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D56B2B">
        <w:rPr>
          <w:rFonts w:asciiTheme="minorHAnsi" w:hAnsiTheme="minorHAnsi" w:cs="Arial"/>
          <w:bCs/>
          <w:sz w:val="20"/>
          <w:szCs w:val="20"/>
        </w:rPr>
        <w:t xml:space="preserve">A new </w:t>
      </w:r>
      <w:r w:rsidR="0018254D" w:rsidRPr="0018254D">
        <w:rPr>
          <w:rFonts w:asciiTheme="minorHAnsi" w:hAnsiTheme="minorHAnsi" w:cs="Arial"/>
          <w:bCs/>
          <w:sz w:val="20"/>
          <w:szCs w:val="20"/>
        </w:rPr>
        <w:t>acquisition</w:t>
      </w:r>
      <w:r w:rsidR="00632C32">
        <w:rPr>
          <w:rFonts w:asciiTheme="minorHAnsi" w:hAnsiTheme="minorHAnsi" w:cs="Arial"/>
          <w:bCs/>
          <w:sz w:val="20"/>
          <w:szCs w:val="20"/>
        </w:rPr>
        <w:t xml:space="preserve"> </w:t>
      </w:r>
      <w:r w:rsidRPr="00D56B2B">
        <w:rPr>
          <w:rFonts w:asciiTheme="minorHAnsi" w:hAnsiTheme="minorHAnsi" w:cs="Arial"/>
          <w:bCs/>
          <w:sz w:val="20"/>
          <w:szCs w:val="20"/>
        </w:rPr>
        <w:t xml:space="preserve">scorecard </w:t>
      </w:r>
      <w:r w:rsidR="00632C32">
        <w:rPr>
          <w:rFonts w:asciiTheme="minorHAnsi" w:hAnsiTheme="minorHAnsi" w:cs="Arial"/>
          <w:bCs/>
          <w:sz w:val="20"/>
          <w:szCs w:val="20"/>
        </w:rPr>
        <w:t xml:space="preserve">used to determine a </w:t>
      </w:r>
      <w:r w:rsidR="004C3618">
        <w:rPr>
          <w:rFonts w:asciiTheme="minorHAnsi" w:hAnsiTheme="minorHAnsi" w:cs="Arial"/>
          <w:bCs/>
          <w:sz w:val="20"/>
          <w:szCs w:val="20"/>
        </w:rPr>
        <w:t>customer’s</w:t>
      </w:r>
      <w:r w:rsidR="00632C32">
        <w:rPr>
          <w:rFonts w:asciiTheme="minorHAnsi" w:hAnsiTheme="minorHAnsi" w:cs="Arial"/>
          <w:bCs/>
          <w:sz w:val="20"/>
          <w:szCs w:val="20"/>
        </w:rPr>
        <w:t xml:space="preserve"> </w:t>
      </w:r>
      <w:r w:rsidR="00137DE0">
        <w:rPr>
          <w:rFonts w:asciiTheme="minorHAnsi" w:hAnsiTheme="minorHAnsi" w:cs="Arial"/>
          <w:bCs/>
          <w:sz w:val="20"/>
          <w:szCs w:val="20"/>
        </w:rPr>
        <w:t xml:space="preserve">credit risk </w:t>
      </w:r>
      <w:r w:rsidRPr="00D56B2B">
        <w:rPr>
          <w:rFonts w:asciiTheme="minorHAnsi" w:hAnsiTheme="minorHAnsi" w:cs="Arial"/>
          <w:bCs/>
          <w:sz w:val="20"/>
          <w:szCs w:val="20"/>
        </w:rPr>
        <w:t>has been implemented in 1H25</w:t>
      </w:r>
      <w:r w:rsidR="0018254D" w:rsidRPr="0018254D">
        <w:rPr>
          <w:rFonts w:asciiTheme="minorHAnsi" w:hAnsiTheme="minorHAnsi" w:cs="Arial"/>
          <w:bCs/>
          <w:sz w:val="20"/>
          <w:szCs w:val="20"/>
        </w:rPr>
        <w:t xml:space="preserve">. The new scorecard required </w:t>
      </w:r>
      <w:r w:rsidR="004C3618">
        <w:rPr>
          <w:rFonts w:asciiTheme="minorHAnsi" w:hAnsiTheme="minorHAnsi" w:cs="Arial"/>
          <w:bCs/>
          <w:sz w:val="20"/>
          <w:szCs w:val="20"/>
        </w:rPr>
        <w:t xml:space="preserve">a </w:t>
      </w:r>
      <w:r w:rsidR="00F22370" w:rsidRPr="00D56B2B">
        <w:rPr>
          <w:rFonts w:asciiTheme="minorHAnsi" w:hAnsiTheme="minorHAnsi" w:cs="Arial"/>
          <w:bCs/>
          <w:sz w:val="20"/>
          <w:szCs w:val="20"/>
        </w:rPr>
        <w:t xml:space="preserve">calibration to </w:t>
      </w:r>
      <w:r w:rsidR="0018254D" w:rsidRPr="0018254D">
        <w:rPr>
          <w:rFonts w:asciiTheme="minorHAnsi" w:hAnsiTheme="minorHAnsi" w:cs="Arial"/>
          <w:bCs/>
          <w:sz w:val="20"/>
          <w:szCs w:val="20"/>
        </w:rPr>
        <w:t>the IFRS 9 Definition of Default</w:t>
      </w:r>
      <w:r w:rsidR="0018254D">
        <w:rPr>
          <w:rFonts w:asciiTheme="minorHAnsi" w:hAnsiTheme="minorHAnsi" w:cs="Arial"/>
          <w:bCs/>
          <w:sz w:val="20"/>
          <w:szCs w:val="20"/>
        </w:rPr>
        <w:t>.</w:t>
      </w:r>
      <w:r w:rsidR="00D56B2B" w:rsidRPr="00D56B2B">
        <w:rPr>
          <w:rFonts w:asciiTheme="minorHAnsi" w:hAnsiTheme="minorHAnsi" w:cs="Arial"/>
          <w:bCs/>
          <w:sz w:val="20"/>
          <w:szCs w:val="20"/>
        </w:rPr>
        <w:t xml:space="preserve"> A</w:t>
      </w:r>
      <w:r w:rsidR="00D56B2B">
        <w:rPr>
          <w:rFonts w:asciiTheme="minorHAnsi" w:hAnsiTheme="minorHAnsi" w:cs="Arial"/>
          <w:bCs/>
          <w:sz w:val="20"/>
          <w:szCs w:val="20"/>
        </w:rPr>
        <w:t xml:space="preserve"> model under</w:t>
      </w:r>
      <w:r w:rsidR="00F47994">
        <w:rPr>
          <w:rFonts w:asciiTheme="minorHAnsi" w:hAnsiTheme="minorHAnsi" w:cs="Arial"/>
          <w:bCs/>
          <w:sz w:val="20"/>
          <w:szCs w:val="20"/>
        </w:rPr>
        <w:t xml:space="preserve">lay </w:t>
      </w:r>
      <w:r w:rsidR="00D56B2B" w:rsidRPr="00D56B2B">
        <w:rPr>
          <w:rFonts w:asciiTheme="minorHAnsi" w:hAnsiTheme="minorHAnsi" w:cs="Arial"/>
          <w:bCs/>
          <w:sz w:val="20"/>
          <w:szCs w:val="20"/>
        </w:rPr>
        <w:t>has been</w:t>
      </w:r>
      <w:r w:rsidR="00D56B2B" w:rsidRPr="00A332ED">
        <w:rPr>
          <w:rFonts w:asciiTheme="minorHAnsi" w:hAnsiTheme="minorHAnsi" w:cs="Arial"/>
          <w:bCs/>
          <w:sz w:val="20"/>
          <w:szCs w:val="20"/>
        </w:rPr>
        <w:t xml:space="preserve"> recognised </w:t>
      </w:r>
      <w:r w:rsidR="00D56B2B" w:rsidRPr="00D56B2B">
        <w:rPr>
          <w:rFonts w:asciiTheme="minorHAnsi" w:hAnsiTheme="minorHAnsi" w:cs="Arial"/>
          <w:bCs/>
          <w:sz w:val="20"/>
          <w:szCs w:val="20"/>
        </w:rPr>
        <w:t>until the model can be updated in 2H25</w:t>
      </w:r>
      <w:r w:rsidR="00D56B2B" w:rsidRPr="00902803">
        <w:rPr>
          <w:rFonts w:asciiTheme="minorHAnsi" w:hAnsiTheme="minorHAnsi" w:cs="Arial"/>
          <w:bCs/>
          <w:sz w:val="20"/>
          <w:szCs w:val="20"/>
        </w:rPr>
        <w:t>.</w:t>
      </w:r>
    </w:p>
    <w:p w14:paraId="62F80BB2" w14:textId="653E3ED8" w:rsidR="00DC039D" w:rsidRDefault="00D56B2B" w:rsidP="00D56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color w:val="FF0000"/>
          <w:sz w:val="20"/>
          <w:szCs w:val="20"/>
        </w:rPr>
      </w:pPr>
      <w:r>
        <w:rPr>
          <w:rFonts w:asciiTheme="minorHAnsi" w:hAnsiTheme="minorHAnsi" w:cs="Arial"/>
          <w:bCs/>
          <w:color w:val="FF0000"/>
          <w:sz w:val="20"/>
          <w:szCs w:val="20"/>
        </w:rPr>
        <w:t xml:space="preserve"> </w:t>
      </w:r>
    </w:p>
    <w:p w14:paraId="23FE07F2" w14:textId="5C513D16" w:rsidR="00F647F6" w:rsidRDefault="00CD4D02"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r>
        <w:rPr>
          <w:rFonts w:asciiTheme="minorHAnsi" w:hAnsiTheme="minorHAnsi" w:cs="Arial"/>
          <w:b/>
          <w:sz w:val="20"/>
          <w:szCs w:val="20"/>
        </w:rPr>
        <w:t xml:space="preserve">b) </w:t>
      </w:r>
      <w:r w:rsidR="00B94219">
        <w:rPr>
          <w:rFonts w:asciiTheme="minorHAnsi" w:hAnsiTheme="minorHAnsi" w:cs="Arial"/>
          <w:b/>
          <w:sz w:val="20"/>
          <w:szCs w:val="20"/>
        </w:rPr>
        <w:t>Macroeconomic model</w:t>
      </w:r>
    </w:p>
    <w:p w14:paraId="0C37D1C5" w14:textId="779B97DB" w:rsidR="00623254" w:rsidRDefault="00522560" w:rsidP="00B0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B03AA3">
        <w:rPr>
          <w:rFonts w:asciiTheme="minorHAnsi" w:hAnsiTheme="minorHAnsi" w:cs="Arial"/>
          <w:bCs/>
          <w:sz w:val="20"/>
          <w:szCs w:val="20"/>
        </w:rPr>
        <w:t>The macroeconomic model</w:t>
      </w:r>
      <w:r w:rsidR="009466AD" w:rsidRPr="00B03AA3">
        <w:rPr>
          <w:rFonts w:asciiTheme="minorHAnsi" w:hAnsiTheme="minorHAnsi" w:cs="Arial"/>
          <w:bCs/>
          <w:sz w:val="20"/>
          <w:szCs w:val="20"/>
        </w:rPr>
        <w:t xml:space="preserve"> was</w:t>
      </w:r>
      <w:r w:rsidRPr="00B03AA3">
        <w:rPr>
          <w:rFonts w:asciiTheme="minorHAnsi" w:hAnsiTheme="minorHAnsi" w:cs="Arial"/>
          <w:bCs/>
          <w:sz w:val="20"/>
          <w:szCs w:val="20"/>
        </w:rPr>
        <w:t xml:space="preserve"> redeveloped in 2024 using an external third party macroeconomic data provider. As it was not fully embedded at </w:t>
      </w:r>
      <w:r w:rsidR="00CD4D02">
        <w:rPr>
          <w:rFonts w:asciiTheme="minorHAnsi" w:hAnsiTheme="minorHAnsi" w:cs="Arial"/>
          <w:bCs/>
          <w:sz w:val="20"/>
          <w:szCs w:val="20"/>
        </w:rPr>
        <w:t>FY24</w:t>
      </w:r>
      <w:r w:rsidRPr="00B03AA3">
        <w:rPr>
          <w:rFonts w:asciiTheme="minorHAnsi" w:hAnsiTheme="minorHAnsi" w:cs="Arial"/>
          <w:bCs/>
          <w:sz w:val="20"/>
          <w:szCs w:val="20"/>
        </w:rPr>
        <w:t xml:space="preserve">, a PMA </w:t>
      </w:r>
      <w:r w:rsidR="009466AD" w:rsidRPr="00B03AA3">
        <w:rPr>
          <w:rFonts w:asciiTheme="minorHAnsi" w:hAnsiTheme="minorHAnsi" w:cs="Arial"/>
          <w:bCs/>
          <w:sz w:val="20"/>
          <w:szCs w:val="20"/>
        </w:rPr>
        <w:t>was</w:t>
      </w:r>
      <w:r w:rsidRPr="00B03AA3">
        <w:rPr>
          <w:rFonts w:asciiTheme="minorHAnsi" w:hAnsiTheme="minorHAnsi" w:cs="Arial"/>
          <w:bCs/>
          <w:sz w:val="20"/>
          <w:szCs w:val="20"/>
        </w:rPr>
        <w:t xml:space="preserve"> recognised reflecting the difference between the incumbent macroeconomic model and the new output. </w:t>
      </w:r>
      <w:r w:rsidR="00B03AA3" w:rsidRPr="00B03AA3">
        <w:rPr>
          <w:rFonts w:asciiTheme="minorHAnsi" w:hAnsiTheme="minorHAnsi" w:cs="Arial"/>
          <w:sz w:val="20"/>
          <w:szCs w:val="20"/>
        </w:rPr>
        <w:t xml:space="preserve">During 1H25 the third party model was incorporated in the core model and an overlay is no longer held. </w:t>
      </w:r>
      <w:r w:rsidR="00633650">
        <w:rPr>
          <w:rFonts w:asciiTheme="minorHAnsi" w:hAnsiTheme="minorHAnsi" w:cs="Arial"/>
          <w:sz w:val="20"/>
          <w:szCs w:val="20"/>
        </w:rPr>
        <w:t>An internally</w:t>
      </w:r>
      <w:r w:rsidR="00B03AA3" w:rsidRPr="00B03AA3">
        <w:rPr>
          <w:rFonts w:asciiTheme="minorHAnsi" w:hAnsiTheme="minorHAnsi" w:cs="Arial"/>
          <w:sz w:val="20"/>
          <w:szCs w:val="20"/>
        </w:rPr>
        <w:t xml:space="preserve"> redeveloped model is expected to be implemented in 2H25.</w:t>
      </w:r>
    </w:p>
    <w:p w14:paraId="21C2025A" w14:textId="2145107B" w:rsidR="00170439" w:rsidRPr="00AD61D8" w:rsidRDefault="00170439" w:rsidP="00B5640B">
      <w:pPr>
        <w:rPr>
          <w:rFonts w:asciiTheme="minorHAnsi" w:hAnsiTheme="minorHAnsi" w:cs="Arial"/>
          <w:b/>
          <w:color w:val="4747FF"/>
          <w:sz w:val="22"/>
          <w:szCs w:val="22"/>
        </w:rPr>
      </w:pPr>
    </w:p>
    <w:p w14:paraId="64AF2339" w14:textId="77777777" w:rsidR="00E55588" w:rsidRDefault="00E55588" w:rsidP="00B0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36B0AE58" w14:textId="0D519829"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FD111C">
        <w:rPr>
          <w:rFonts w:asciiTheme="minorHAnsi" w:hAnsiTheme="minorHAnsi" w:cs="Arial"/>
          <w:bCs/>
          <w:sz w:val="20"/>
          <w:szCs w:val="20"/>
        </w:rPr>
        <w:t xml:space="preserve">A breakdown of </w:t>
      </w:r>
      <w:r w:rsidR="00C11754">
        <w:rPr>
          <w:rFonts w:asciiTheme="minorHAnsi" w:hAnsiTheme="minorHAnsi" w:cs="Arial"/>
          <w:bCs/>
          <w:sz w:val="20"/>
          <w:szCs w:val="20"/>
        </w:rPr>
        <w:t xml:space="preserve">the </w:t>
      </w:r>
      <w:r w:rsidRPr="00FD111C">
        <w:rPr>
          <w:rFonts w:asciiTheme="minorHAnsi" w:hAnsiTheme="minorHAnsi" w:cs="Arial"/>
          <w:bCs/>
          <w:sz w:val="20"/>
          <w:szCs w:val="20"/>
        </w:rPr>
        <w:t xml:space="preserve">post-model </w:t>
      </w:r>
      <w:r w:rsidR="00AC57B7">
        <w:rPr>
          <w:rFonts w:asciiTheme="minorHAnsi" w:hAnsiTheme="minorHAnsi" w:cs="Arial"/>
          <w:bCs/>
          <w:sz w:val="20"/>
          <w:szCs w:val="20"/>
        </w:rPr>
        <w:t>(under)/</w:t>
      </w:r>
      <w:r w:rsidRPr="00FD111C">
        <w:rPr>
          <w:rFonts w:asciiTheme="minorHAnsi" w:hAnsiTheme="minorHAnsi" w:cs="Arial"/>
          <w:bCs/>
          <w:sz w:val="20"/>
          <w:szCs w:val="20"/>
        </w:rPr>
        <w:t>overlays for vehicle finance is shown below:</w:t>
      </w:r>
    </w:p>
    <w:p w14:paraId="331D40C8" w14:textId="77777777"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p>
    <w:tbl>
      <w:tblPr>
        <w:tblW w:w="4956" w:type="pct"/>
        <w:tblLayout w:type="fixed"/>
        <w:tblLook w:val="04A0" w:firstRow="1" w:lastRow="0" w:firstColumn="1" w:lastColumn="0" w:noHBand="0" w:noVBand="1"/>
      </w:tblPr>
      <w:tblGrid>
        <w:gridCol w:w="5197"/>
        <w:gridCol w:w="260"/>
        <w:gridCol w:w="260"/>
        <w:gridCol w:w="260"/>
        <w:gridCol w:w="1116"/>
        <w:gridCol w:w="1413"/>
        <w:gridCol w:w="1131"/>
      </w:tblGrid>
      <w:tr w:rsidR="00997034" w:rsidRPr="00951920" w14:paraId="6AAC1C2D" w14:textId="77777777">
        <w:trPr>
          <w:trHeight w:val="300"/>
        </w:trPr>
        <w:tc>
          <w:tcPr>
            <w:tcW w:w="2696" w:type="pct"/>
            <w:tcBorders>
              <w:left w:val="nil"/>
              <w:bottom w:val="nil"/>
              <w:right w:val="nil"/>
            </w:tcBorders>
            <w:noWrap/>
            <w:vAlign w:val="bottom"/>
          </w:tcPr>
          <w:p w14:paraId="4D5BD4F2" w14:textId="55FBDEFB" w:rsidR="00997034" w:rsidRPr="00AD61D8" w:rsidRDefault="00F83624">
            <w:pPr>
              <w:rPr>
                <w:rFonts w:asciiTheme="minorHAnsi" w:hAnsiTheme="minorHAnsi" w:cstheme="minorHAnsi"/>
                <w:b/>
                <w:bCs/>
                <w:color w:val="000000"/>
                <w:sz w:val="20"/>
                <w:szCs w:val="20"/>
              </w:rPr>
            </w:pPr>
            <w:r>
              <w:rPr>
                <w:rFonts w:asciiTheme="minorHAnsi" w:hAnsiTheme="minorHAnsi" w:cstheme="minorHAnsi"/>
                <w:b/>
                <w:bCs/>
                <w:color w:val="000000"/>
                <w:sz w:val="20"/>
                <w:szCs w:val="20"/>
              </w:rPr>
              <w:t>Vehicle Finance</w:t>
            </w:r>
          </w:p>
        </w:tc>
        <w:tc>
          <w:tcPr>
            <w:tcW w:w="135" w:type="pct"/>
            <w:tcBorders>
              <w:left w:val="nil"/>
              <w:bottom w:val="nil"/>
              <w:right w:val="nil"/>
            </w:tcBorders>
            <w:noWrap/>
            <w:vAlign w:val="bottom"/>
          </w:tcPr>
          <w:p w14:paraId="5705377B" w14:textId="77777777" w:rsidR="00997034" w:rsidRPr="00B97C61" w:rsidRDefault="00997034">
            <w:pPr>
              <w:rPr>
                <w:rFonts w:asciiTheme="minorHAnsi" w:hAnsiTheme="minorHAnsi" w:cstheme="minorHAnsi"/>
                <w:color w:val="000000"/>
                <w:sz w:val="20"/>
                <w:szCs w:val="20"/>
              </w:rPr>
            </w:pPr>
          </w:p>
        </w:tc>
        <w:tc>
          <w:tcPr>
            <w:tcW w:w="135" w:type="pct"/>
            <w:tcBorders>
              <w:left w:val="nil"/>
              <w:bottom w:val="nil"/>
              <w:right w:val="nil"/>
            </w:tcBorders>
            <w:noWrap/>
            <w:vAlign w:val="bottom"/>
          </w:tcPr>
          <w:p w14:paraId="7E2E5547" w14:textId="77777777" w:rsidR="00997034" w:rsidRPr="00B97C61" w:rsidRDefault="00997034">
            <w:pPr>
              <w:rPr>
                <w:rFonts w:asciiTheme="minorHAnsi" w:hAnsiTheme="minorHAnsi" w:cstheme="minorHAnsi"/>
                <w:sz w:val="20"/>
                <w:szCs w:val="20"/>
              </w:rPr>
            </w:pPr>
          </w:p>
        </w:tc>
        <w:tc>
          <w:tcPr>
            <w:tcW w:w="135" w:type="pct"/>
            <w:tcBorders>
              <w:left w:val="nil"/>
              <w:bottom w:val="nil"/>
              <w:right w:val="nil"/>
            </w:tcBorders>
            <w:noWrap/>
            <w:vAlign w:val="bottom"/>
          </w:tcPr>
          <w:p w14:paraId="528A7EB3" w14:textId="77777777" w:rsidR="00997034" w:rsidRPr="00B97C61" w:rsidRDefault="00997034">
            <w:pPr>
              <w:rPr>
                <w:rFonts w:asciiTheme="minorHAnsi" w:hAnsiTheme="minorHAnsi" w:cstheme="minorHAnsi"/>
                <w:sz w:val="20"/>
                <w:szCs w:val="20"/>
              </w:rPr>
            </w:pPr>
          </w:p>
        </w:tc>
        <w:tc>
          <w:tcPr>
            <w:tcW w:w="579" w:type="pct"/>
            <w:tcBorders>
              <w:left w:val="nil"/>
              <w:bottom w:val="nil"/>
              <w:right w:val="nil"/>
            </w:tcBorders>
            <w:shd w:val="clear" w:color="auto" w:fill="F2F2F2" w:themeFill="background1" w:themeFillShade="F2"/>
            <w:noWrap/>
            <w:vAlign w:val="bottom"/>
          </w:tcPr>
          <w:p w14:paraId="40D692FD" w14:textId="77777777" w:rsidR="007318F1" w:rsidRDefault="00997034" w:rsidP="007318F1">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30 June 2025</w:t>
            </w:r>
          </w:p>
          <w:p w14:paraId="262B8740" w14:textId="6AA68D66" w:rsidR="00997034" w:rsidRPr="00FB19BD" w:rsidRDefault="007318F1">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unaudited</w:t>
            </w:r>
          </w:p>
        </w:tc>
        <w:tc>
          <w:tcPr>
            <w:tcW w:w="733" w:type="pct"/>
            <w:tcBorders>
              <w:left w:val="nil"/>
              <w:bottom w:val="nil"/>
              <w:right w:val="nil"/>
            </w:tcBorders>
            <w:vAlign w:val="bottom"/>
          </w:tcPr>
          <w:p w14:paraId="2DF39488" w14:textId="77777777" w:rsidR="00997034" w:rsidRPr="00951920" w:rsidRDefault="00997034">
            <w:pPr>
              <w:jc w:val="right"/>
              <w:rPr>
                <w:rFonts w:asciiTheme="minorHAnsi" w:hAnsiTheme="minorHAnsi" w:cstheme="minorHAnsi"/>
                <w:color w:val="000000"/>
                <w:sz w:val="20"/>
                <w:szCs w:val="20"/>
              </w:rPr>
            </w:pPr>
            <w:r w:rsidRPr="00951920">
              <w:rPr>
                <w:rFonts w:asciiTheme="minorHAnsi" w:hAnsiTheme="minorHAnsi" w:cstheme="minorHAnsi"/>
                <w:color w:val="000000"/>
                <w:sz w:val="20"/>
                <w:szCs w:val="20"/>
              </w:rPr>
              <w:t>31 December</w:t>
            </w:r>
          </w:p>
          <w:p w14:paraId="7495E4CB" w14:textId="77777777" w:rsidR="007318F1" w:rsidRDefault="00997034" w:rsidP="007318F1">
            <w:pPr>
              <w:jc w:val="right"/>
              <w:rPr>
                <w:rFonts w:asciiTheme="minorHAnsi" w:hAnsiTheme="minorHAnsi" w:cstheme="minorHAnsi"/>
                <w:color w:val="000000"/>
                <w:sz w:val="20"/>
                <w:szCs w:val="20"/>
              </w:rPr>
            </w:pPr>
            <w:r w:rsidRPr="00951920">
              <w:rPr>
                <w:rFonts w:asciiTheme="minorHAnsi" w:hAnsiTheme="minorHAnsi" w:cstheme="minorHAnsi"/>
                <w:color w:val="000000"/>
                <w:sz w:val="20"/>
                <w:szCs w:val="20"/>
              </w:rPr>
              <w:t>202</w:t>
            </w:r>
            <w:r>
              <w:rPr>
                <w:rFonts w:asciiTheme="minorHAnsi" w:hAnsiTheme="minorHAnsi" w:cstheme="minorHAnsi"/>
                <w:color w:val="000000"/>
                <w:sz w:val="20"/>
                <w:szCs w:val="20"/>
              </w:rPr>
              <w:t>4</w:t>
            </w:r>
          </w:p>
          <w:p w14:paraId="16322571" w14:textId="467E3F47" w:rsidR="00997034" w:rsidRPr="00951920" w:rsidRDefault="007318F1">
            <w:pPr>
              <w:jc w:val="right"/>
              <w:rPr>
                <w:rFonts w:asciiTheme="minorHAnsi" w:hAnsiTheme="minorHAnsi" w:cstheme="minorHAnsi"/>
                <w:color w:val="000000"/>
                <w:sz w:val="20"/>
                <w:szCs w:val="20"/>
              </w:rPr>
            </w:pPr>
            <w:r>
              <w:rPr>
                <w:rFonts w:asciiTheme="minorHAnsi" w:hAnsiTheme="minorHAnsi" w:cstheme="minorHAnsi"/>
                <w:color w:val="000000"/>
                <w:sz w:val="20"/>
                <w:szCs w:val="20"/>
              </w:rPr>
              <w:t>audited</w:t>
            </w:r>
          </w:p>
        </w:tc>
        <w:tc>
          <w:tcPr>
            <w:tcW w:w="587" w:type="pct"/>
            <w:tcBorders>
              <w:left w:val="nil"/>
              <w:bottom w:val="nil"/>
              <w:right w:val="nil"/>
            </w:tcBorders>
            <w:noWrap/>
            <w:vAlign w:val="bottom"/>
          </w:tcPr>
          <w:p w14:paraId="0C9B063F" w14:textId="77777777" w:rsidR="007318F1" w:rsidRDefault="00997034" w:rsidP="007318F1">
            <w:pPr>
              <w:jc w:val="right"/>
              <w:rPr>
                <w:rFonts w:asciiTheme="minorHAnsi" w:hAnsiTheme="minorHAnsi" w:cstheme="minorHAnsi"/>
                <w:color w:val="000000"/>
                <w:sz w:val="20"/>
                <w:szCs w:val="20"/>
                <w:vertAlign w:val="superscript"/>
              </w:rPr>
            </w:pPr>
            <w:r>
              <w:rPr>
                <w:rFonts w:asciiTheme="minorHAnsi" w:hAnsiTheme="minorHAnsi" w:cstheme="minorHAnsi"/>
                <w:color w:val="000000"/>
                <w:sz w:val="20"/>
                <w:szCs w:val="20"/>
              </w:rPr>
              <w:t>30 June</w:t>
            </w:r>
            <w:r w:rsidRPr="00750210">
              <w:rPr>
                <w:rFonts w:asciiTheme="minorHAnsi" w:hAnsiTheme="minorHAnsi" w:cstheme="minorHAnsi"/>
                <w:color w:val="000000"/>
                <w:sz w:val="20"/>
                <w:szCs w:val="20"/>
              </w:rPr>
              <w:t xml:space="preserve"> 202</w:t>
            </w:r>
            <w:r>
              <w:rPr>
                <w:rFonts w:asciiTheme="minorHAnsi" w:hAnsiTheme="minorHAnsi" w:cstheme="minorHAnsi"/>
                <w:color w:val="000000"/>
                <w:sz w:val="20"/>
                <w:szCs w:val="20"/>
              </w:rPr>
              <w:t>4</w:t>
            </w:r>
            <w:r w:rsidR="004C7182" w:rsidRPr="004C7182">
              <w:rPr>
                <w:rFonts w:asciiTheme="minorHAnsi" w:hAnsiTheme="minorHAnsi" w:cstheme="minorHAnsi"/>
                <w:color w:val="000000"/>
                <w:sz w:val="20"/>
                <w:szCs w:val="20"/>
                <w:vertAlign w:val="superscript"/>
              </w:rPr>
              <w:t>1</w:t>
            </w:r>
          </w:p>
          <w:p w14:paraId="1CD3212A" w14:textId="3BDB51E6" w:rsidR="00997034" w:rsidRPr="00750210" w:rsidRDefault="007318F1">
            <w:pPr>
              <w:jc w:val="right"/>
              <w:rPr>
                <w:rFonts w:asciiTheme="minorHAnsi" w:hAnsiTheme="minorHAnsi" w:cstheme="minorHAnsi"/>
                <w:color w:val="000000"/>
                <w:sz w:val="20"/>
                <w:szCs w:val="20"/>
              </w:rPr>
            </w:pPr>
            <w:r>
              <w:rPr>
                <w:rFonts w:asciiTheme="minorHAnsi" w:hAnsiTheme="minorHAnsi" w:cstheme="minorHAnsi"/>
                <w:color w:val="000000"/>
                <w:sz w:val="20"/>
                <w:szCs w:val="20"/>
              </w:rPr>
              <w:t>unaudited</w:t>
            </w:r>
          </w:p>
        </w:tc>
      </w:tr>
      <w:tr w:rsidR="00997034" w:rsidRPr="00B97C61" w14:paraId="1E17641F" w14:textId="77777777">
        <w:trPr>
          <w:trHeight w:val="300"/>
        </w:trPr>
        <w:tc>
          <w:tcPr>
            <w:tcW w:w="2696" w:type="pct"/>
            <w:tcBorders>
              <w:left w:val="nil"/>
              <w:bottom w:val="nil"/>
              <w:right w:val="nil"/>
            </w:tcBorders>
            <w:noWrap/>
            <w:vAlign w:val="bottom"/>
          </w:tcPr>
          <w:p w14:paraId="67C1D4F8" w14:textId="77777777" w:rsidR="00997034" w:rsidRPr="00B97C61" w:rsidRDefault="00997034">
            <w:pPr>
              <w:rPr>
                <w:rFonts w:asciiTheme="minorHAnsi" w:hAnsiTheme="minorHAnsi" w:cstheme="minorHAnsi"/>
                <w:color w:val="000000"/>
                <w:sz w:val="20"/>
                <w:szCs w:val="20"/>
              </w:rPr>
            </w:pPr>
          </w:p>
        </w:tc>
        <w:tc>
          <w:tcPr>
            <w:tcW w:w="135" w:type="pct"/>
            <w:tcBorders>
              <w:left w:val="nil"/>
              <w:bottom w:val="nil"/>
              <w:right w:val="nil"/>
            </w:tcBorders>
            <w:noWrap/>
            <w:vAlign w:val="bottom"/>
          </w:tcPr>
          <w:p w14:paraId="12141A25" w14:textId="77777777" w:rsidR="00997034" w:rsidRPr="00B97C61" w:rsidRDefault="00997034">
            <w:pPr>
              <w:rPr>
                <w:rFonts w:asciiTheme="minorHAnsi" w:hAnsiTheme="minorHAnsi" w:cstheme="minorHAnsi"/>
                <w:color w:val="000000"/>
                <w:sz w:val="20"/>
                <w:szCs w:val="20"/>
              </w:rPr>
            </w:pPr>
          </w:p>
        </w:tc>
        <w:tc>
          <w:tcPr>
            <w:tcW w:w="135" w:type="pct"/>
            <w:tcBorders>
              <w:left w:val="nil"/>
              <w:bottom w:val="nil"/>
              <w:right w:val="nil"/>
            </w:tcBorders>
            <w:noWrap/>
            <w:vAlign w:val="bottom"/>
          </w:tcPr>
          <w:p w14:paraId="283BAE12" w14:textId="77777777" w:rsidR="00997034" w:rsidRPr="00B97C61" w:rsidRDefault="00997034">
            <w:pPr>
              <w:rPr>
                <w:rFonts w:asciiTheme="minorHAnsi" w:hAnsiTheme="minorHAnsi" w:cstheme="minorHAnsi"/>
                <w:sz w:val="20"/>
                <w:szCs w:val="20"/>
              </w:rPr>
            </w:pPr>
          </w:p>
        </w:tc>
        <w:tc>
          <w:tcPr>
            <w:tcW w:w="135" w:type="pct"/>
            <w:tcBorders>
              <w:left w:val="nil"/>
              <w:bottom w:val="nil"/>
              <w:right w:val="nil"/>
            </w:tcBorders>
            <w:noWrap/>
            <w:vAlign w:val="bottom"/>
          </w:tcPr>
          <w:p w14:paraId="1491BDF6" w14:textId="77777777" w:rsidR="00997034" w:rsidRPr="00B97C61" w:rsidRDefault="00997034">
            <w:pPr>
              <w:rPr>
                <w:rFonts w:asciiTheme="minorHAnsi" w:hAnsiTheme="minorHAnsi" w:cstheme="minorHAnsi"/>
                <w:sz w:val="20"/>
                <w:szCs w:val="20"/>
              </w:rPr>
            </w:pPr>
          </w:p>
        </w:tc>
        <w:tc>
          <w:tcPr>
            <w:tcW w:w="579" w:type="pct"/>
            <w:tcBorders>
              <w:left w:val="nil"/>
              <w:bottom w:val="nil"/>
              <w:right w:val="nil"/>
            </w:tcBorders>
            <w:shd w:val="clear" w:color="auto" w:fill="F2F2F2" w:themeFill="background1" w:themeFillShade="F2"/>
            <w:noWrap/>
            <w:vAlign w:val="bottom"/>
          </w:tcPr>
          <w:p w14:paraId="36313C8B" w14:textId="77777777" w:rsidR="00997034" w:rsidRPr="00FB19BD" w:rsidRDefault="00997034">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£m</w:t>
            </w:r>
          </w:p>
        </w:tc>
        <w:tc>
          <w:tcPr>
            <w:tcW w:w="733" w:type="pct"/>
            <w:tcBorders>
              <w:left w:val="nil"/>
              <w:bottom w:val="nil"/>
              <w:right w:val="nil"/>
            </w:tcBorders>
            <w:vAlign w:val="bottom"/>
          </w:tcPr>
          <w:p w14:paraId="19EC607D" w14:textId="77777777" w:rsidR="00997034" w:rsidRPr="00750210" w:rsidRDefault="00997034">
            <w:pPr>
              <w:jc w:val="right"/>
              <w:rPr>
                <w:rFonts w:asciiTheme="minorHAnsi" w:hAnsiTheme="minorHAnsi" w:cstheme="minorHAnsi"/>
                <w:color w:val="000000"/>
                <w:sz w:val="20"/>
                <w:szCs w:val="20"/>
              </w:rPr>
            </w:pPr>
            <w:r w:rsidRPr="00750210">
              <w:rPr>
                <w:rFonts w:asciiTheme="minorHAnsi" w:hAnsiTheme="minorHAnsi" w:cstheme="minorHAnsi"/>
                <w:color w:val="000000"/>
                <w:sz w:val="20"/>
                <w:szCs w:val="20"/>
              </w:rPr>
              <w:t>£m</w:t>
            </w:r>
          </w:p>
        </w:tc>
        <w:tc>
          <w:tcPr>
            <w:tcW w:w="587" w:type="pct"/>
            <w:tcBorders>
              <w:left w:val="nil"/>
              <w:bottom w:val="nil"/>
              <w:right w:val="nil"/>
            </w:tcBorders>
            <w:noWrap/>
            <w:vAlign w:val="bottom"/>
          </w:tcPr>
          <w:p w14:paraId="1C3E5389" w14:textId="77777777" w:rsidR="00997034" w:rsidRPr="00B97C61" w:rsidRDefault="00997034">
            <w:pPr>
              <w:jc w:val="right"/>
              <w:rPr>
                <w:rFonts w:asciiTheme="minorHAnsi" w:hAnsiTheme="minorHAnsi" w:cstheme="minorHAnsi"/>
                <w:color w:val="000000"/>
                <w:sz w:val="20"/>
                <w:szCs w:val="20"/>
              </w:rPr>
            </w:pPr>
            <w:r>
              <w:rPr>
                <w:rFonts w:asciiTheme="minorHAnsi" w:hAnsiTheme="minorHAnsi" w:cstheme="minorHAnsi"/>
                <w:color w:val="000000"/>
                <w:sz w:val="20"/>
                <w:szCs w:val="20"/>
              </w:rPr>
              <w:t>£m</w:t>
            </w:r>
          </w:p>
        </w:tc>
      </w:tr>
      <w:tr w:rsidR="00997034" w:rsidRPr="00B97C61" w14:paraId="63BC047A" w14:textId="77777777">
        <w:trPr>
          <w:trHeight w:val="300"/>
        </w:trPr>
        <w:tc>
          <w:tcPr>
            <w:tcW w:w="2696" w:type="pct"/>
            <w:tcBorders>
              <w:left w:val="nil"/>
              <w:bottom w:val="nil"/>
              <w:right w:val="nil"/>
            </w:tcBorders>
            <w:noWrap/>
            <w:vAlign w:val="bottom"/>
            <w:hideMark/>
          </w:tcPr>
          <w:p w14:paraId="0268B954" w14:textId="77777777" w:rsidR="00997034" w:rsidRPr="00B97C61" w:rsidRDefault="00997034">
            <w:pPr>
              <w:rPr>
                <w:rFonts w:asciiTheme="minorHAnsi" w:hAnsiTheme="minorHAnsi" w:cstheme="minorHAnsi"/>
                <w:color w:val="000000"/>
                <w:sz w:val="20"/>
                <w:szCs w:val="20"/>
              </w:rPr>
            </w:pPr>
            <w:r w:rsidRPr="00B97C61">
              <w:rPr>
                <w:rFonts w:asciiTheme="minorHAnsi" w:hAnsiTheme="minorHAnsi" w:cstheme="minorHAnsi"/>
                <w:color w:val="000000"/>
                <w:sz w:val="20"/>
                <w:szCs w:val="20"/>
              </w:rPr>
              <w:t>Core model</w:t>
            </w:r>
          </w:p>
        </w:tc>
        <w:tc>
          <w:tcPr>
            <w:tcW w:w="135" w:type="pct"/>
            <w:tcBorders>
              <w:left w:val="nil"/>
              <w:bottom w:val="nil"/>
              <w:right w:val="nil"/>
            </w:tcBorders>
            <w:noWrap/>
            <w:vAlign w:val="bottom"/>
          </w:tcPr>
          <w:p w14:paraId="069A8A9C" w14:textId="77777777" w:rsidR="00997034" w:rsidRPr="00B97C61" w:rsidRDefault="00997034">
            <w:pPr>
              <w:rPr>
                <w:rFonts w:asciiTheme="minorHAnsi" w:hAnsiTheme="minorHAnsi" w:cstheme="minorHAnsi"/>
                <w:color w:val="000000"/>
                <w:sz w:val="20"/>
                <w:szCs w:val="20"/>
              </w:rPr>
            </w:pPr>
          </w:p>
        </w:tc>
        <w:tc>
          <w:tcPr>
            <w:tcW w:w="135" w:type="pct"/>
            <w:tcBorders>
              <w:left w:val="nil"/>
              <w:bottom w:val="nil"/>
              <w:right w:val="nil"/>
            </w:tcBorders>
            <w:noWrap/>
            <w:vAlign w:val="bottom"/>
            <w:hideMark/>
          </w:tcPr>
          <w:p w14:paraId="71C433E6" w14:textId="77777777" w:rsidR="00997034" w:rsidRPr="00B97C61" w:rsidRDefault="00997034">
            <w:pPr>
              <w:rPr>
                <w:rFonts w:asciiTheme="minorHAnsi" w:hAnsiTheme="minorHAnsi" w:cstheme="minorHAnsi"/>
                <w:sz w:val="20"/>
                <w:szCs w:val="20"/>
              </w:rPr>
            </w:pPr>
          </w:p>
        </w:tc>
        <w:tc>
          <w:tcPr>
            <w:tcW w:w="135" w:type="pct"/>
            <w:tcBorders>
              <w:left w:val="nil"/>
              <w:bottom w:val="nil"/>
              <w:right w:val="nil"/>
            </w:tcBorders>
            <w:noWrap/>
            <w:vAlign w:val="bottom"/>
            <w:hideMark/>
          </w:tcPr>
          <w:p w14:paraId="0F07FC5A" w14:textId="77777777" w:rsidR="00997034" w:rsidRPr="00B97C61" w:rsidRDefault="00997034">
            <w:pPr>
              <w:rPr>
                <w:rFonts w:asciiTheme="minorHAnsi" w:hAnsiTheme="minorHAnsi" w:cstheme="minorHAnsi"/>
                <w:sz w:val="20"/>
                <w:szCs w:val="20"/>
              </w:rPr>
            </w:pPr>
          </w:p>
        </w:tc>
        <w:tc>
          <w:tcPr>
            <w:tcW w:w="579" w:type="pct"/>
            <w:tcBorders>
              <w:top w:val="single" w:sz="4" w:space="0" w:color="auto"/>
              <w:left w:val="nil"/>
              <w:bottom w:val="nil"/>
              <w:right w:val="nil"/>
            </w:tcBorders>
            <w:shd w:val="clear" w:color="auto" w:fill="F2F2F2" w:themeFill="background1" w:themeFillShade="F2"/>
            <w:noWrap/>
            <w:vAlign w:val="bottom"/>
          </w:tcPr>
          <w:p w14:paraId="4068D25A" w14:textId="0F62864C" w:rsidR="00997034" w:rsidRPr="000F589C" w:rsidRDefault="00104B28">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87.6</w:t>
            </w:r>
          </w:p>
        </w:tc>
        <w:tc>
          <w:tcPr>
            <w:tcW w:w="733" w:type="pct"/>
            <w:tcBorders>
              <w:top w:val="single" w:sz="4" w:space="0" w:color="auto"/>
              <w:left w:val="nil"/>
              <w:bottom w:val="nil"/>
              <w:right w:val="nil"/>
            </w:tcBorders>
            <w:vAlign w:val="bottom"/>
          </w:tcPr>
          <w:p w14:paraId="105A8F61" w14:textId="2811CE5E" w:rsidR="00997034" w:rsidRPr="006D4208" w:rsidRDefault="00A0483B">
            <w:pPr>
              <w:jc w:val="right"/>
              <w:rPr>
                <w:rFonts w:asciiTheme="minorHAnsi" w:hAnsiTheme="minorHAnsi" w:cstheme="minorHAnsi"/>
                <w:color w:val="000000"/>
                <w:sz w:val="20"/>
                <w:szCs w:val="20"/>
              </w:rPr>
            </w:pPr>
            <w:r>
              <w:rPr>
                <w:rFonts w:asciiTheme="minorHAnsi" w:hAnsiTheme="minorHAnsi" w:cstheme="minorHAnsi"/>
                <w:color w:val="000000"/>
                <w:sz w:val="20"/>
                <w:szCs w:val="20"/>
              </w:rPr>
              <w:t>93.3</w:t>
            </w:r>
          </w:p>
        </w:tc>
        <w:tc>
          <w:tcPr>
            <w:tcW w:w="587" w:type="pct"/>
            <w:tcBorders>
              <w:top w:val="single" w:sz="4" w:space="0" w:color="auto"/>
              <w:left w:val="nil"/>
              <w:bottom w:val="nil"/>
              <w:right w:val="nil"/>
            </w:tcBorders>
            <w:noWrap/>
            <w:vAlign w:val="center"/>
          </w:tcPr>
          <w:p w14:paraId="7D3B370E" w14:textId="0101066C" w:rsidR="00997034" w:rsidRPr="00AC0A40" w:rsidRDefault="00010DFC">
            <w:pPr>
              <w:jc w:val="right"/>
              <w:rPr>
                <w:rFonts w:asciiTheme="minorHAnsi" w:hAnsiTheme="minorHAnsi" w:cstheme="minorHAnsi"/>
                <w:bCs/>
                <w:color w:val="000000"/>
                <w:sz w:val="20"/>
                <w:szCs w:val="20"/>
              </w:rPr>
            </w:pPr>
            <w:r>
              <w:rPr>
                <w:rFonts w:asciiTheme="minorHAnsi" w:eastAsiaTheme="minorEastAsia" w:hAnsiTheme="minorHAnsi" w:cstheme="minorBidi"/>
                <w:bCs/>
                <w:color w:val="000000" w:themeColor="text1"/>
                <w:sz w:val="20"/>
                <w:szCs w:val="20"/>
              </w:rPr>
              <w:t>160.4</w:t>
            </w:r>
          </w:p>
        </w:tc>
      </w:tr>
      <w:tr w:rsidR="00997034" w:rsidRPr="00B97C61" w14:paraId="4A30D769" w14:textId="77777777">
        <w:trPr>
          <w:trHeight w:val="288"/>
        </w:trPr>
        <w:tc>
          <w:tcPr>
            <w:tcW w:w="2696" w:type="pct"/>
            <w:tcBorders>
              <w:top w:val="nil"/>
              <w:left w:val="nil"/>
              <w:bottom w:val="nil"/>
              <w:right w:val="nil"/>
            </w:tcBorders>
            <w:noWrap/>
            <w:vAlign w:val="bottom"/>
            <w:hideMark/>
          </w:tcPr>
          <w:p w14:paraId="0F84A480" w14:textId="77777777" w:rsidR="00997034" w:rsidRPr="00B97C61" w:rsidRDefault="00997034">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xml:space="preserve">Post </w:t>
            </w:r>
            <w:r w:rsidRPr="00AB2BFC">
              <w:rPr>
                <w:rFonts w:asciiTheme="minorHAnsi" w:hAnsiTheme="minorHAnsi" w:cstheme="minorHAnsi"/>
                <w:color w:val="000000"/>
                <w:sz w:val="20"/>
                <w:szCs w:val="20"/>
              </w:rPr>
              <w:t>Model (under)/overlays</w:t>
            </w:r>
          </w:p>
        </w:tc>
        <w:tc>
          <w:tcPr>
            <w:tcW w:w="135" w:type="pct"/>
            <w:tcBorders>
              <w:top w:val="nil"/>
              <w:left w:val="nil"/>
              <w:bottom w:val="nil"/>
              <w:right w:val="nil"/>
            </w:tcBorders>
            <w:noWrap/>
            <w:vAlign w:val="bottom"/>
          </w:tcPr>
          <w:p w14:paraId="6EA77EE4" w14:textId="77777777" w:rsidR="00997034" w:rsidRPr="00B97C61" w:rsidRDefault="00997034">
            <w:pPr>
              <w:rPr>
                <w:rFonts w:asciiTheme="minorHAnsi" w:hAnsiTheme="minorHAnsi" w:cstheme="minorHAnsi"/>
                <w:color w:val="000000"/>
                <w:sz w:val="20"/>
                <w:szCs w:val="20"/>
              </w:rPr>
            </w:pPr>
          </w:p>
        </w:tc>
        <w:tc>
          <w:tcPr>
            <w:tcW w:w="135" w:type="pct"/>
            <w:tcBorders>
              <w:top w:val="nil"/>
              <w:left w:val="nil"/>
              <w:bottom w:val="nil"/>
              <w:right w:val="nil"/>
            </w:tcBorders>
            <w:noWrap/>
            <w:vAlign w:val="bottom"/>
            <w:hideMark/>
          </w:tcPr>
          <w:p w14:paraId="2ABBDA1B" w14:textId="77777777" w:rsidR="00997034" w:rsidRPr="00B97C61" w:rsidRDefault="00997034">
            <w:pPr>
              <w:rPr>
                <w:rFonts w:asciiTheme="minorHAnsi" w:hAnsiTheme="minorHAnsi" w:cstheme="minorHAnsi"/>
                <w:sz w:val="20"/>
                <w:szCs w:val="20"/>
              </w:rPr>
            </w:pPr>
          </w:p>
        </w:tc>
        <w:tc>
          <w:tcPr>
            <w:tcW w:w="135" w:type="pct"/>
            <w:tcBorders>
              <w:top w:val="nil"/>
              <w:left w:val="nil"/>
              <w:bottom w:val="nil"/>
              <w:right w:val="nil"/>
            </w:tcBorders>
            <w:noWrap/>
            <w:vAlign w:val="bottom"/>
            <w:hideMark/>
          </w:tcPr>
          <w:p w14:paraId="03AAF93B" w14:textId="77777777" w:rsidR="00997034" w:rsidRPr="00B97C61" w:rsidRDefault="00997034">
            <w:pPr>
              <w:rPr>
                <w:rFonts w:asciiTheme="minorHAnsi" w:hAnsiTheme="minorHAnsi" w:cstheme="minorHAnsi"/>
                <w:sz w:val="20"/>
                <w:szCs w:val="20"/>
              </w:rPr>
            </w:pPr>
          </w:p>
        </w:tc>
        <w:tc>
          <w:tcPr>
            <w:tcW w:w="579" w:type="pct"/>
            <w:tcBorders>
              <w:top w:val="nil"/>
              <w:left w:val="nil"/>
              <w:bottom w:val="single" w:sz="4" w:space="0" w:color="auto"/>
              <w:right w:val="nil"/>
            </w:tcBorders>
            <w:shd w:val="clear" w:color="auto" w:fill="F2F2F2" w:themeFill="background1" w:themeFillShade="F2"/>
            <w:noWrap/>
            <w:vAlign w:val="bottom"/>
          </w:tcPr>
          <w:p w14:paraId="5128017B" w14:textId="42C4CE5B" w:rsidR="00997034" w:rsidRPr="000F589C" w:rsidRDefault="00104B28">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w:t>
            </w:r>
            <w:r w:rsidR="00D64B27">
              <w:rPr>
                <w:rFonts w:asciiTheme="minorHAnsi" w:hAnsiTheme="minorHAnsi" w:cstheme="minorHAnsi"/>
                <w:b/>
                <w:color w:val="000000"/>
                <w:sz w:val="20"/>
                <w:szCs w:val="20"/>
              </w:rPr>
              <w:t>1</w:t>
            </w:r>
            <w:r>
              <w:rPr>
                <w:rFonts w:asciiTheme="minorHAnsi" w:hAnsiTheme="minorHAnsi" w:cstheme="minorHAnsi"/>
                <w:b/>
                <w:color w:val="000000"/>
                <w:sz w:val="20"/>
                <w:szCs w:val="20"/>
              </w:rPr>
              <w:t>.7)</w:t>
            </w:r>
          </w:p>
        </w:tc>
        <w:tc>
          <w:tcPr>
            <w:tcW w:w="733" w:type="pct"/>
            <w:tcBorders>
              <w:top w:val="nil"/>
              <w:left w:val="nil"/>
              <w:bottom w:val="single" w:sz="4" w:space="0" w:color="auto"/>
              <w:right w:val="nil"/>
            </w:tcBorders>
            <w:vAlign w:val="bottom"/>
          </w:tcPr>
          <w:p w14:paraId="06CDBC9B" w14:textId="39E79A9C" w:rsidR="00997034" w:rsidRPr="006D4208" w:rsidRDefault="00A0483B">
            <w:pPr>
              <w:jc w:val="right"/>
              <w:rPr>
                <w:rFonts w:asciiTheme="minorHAnsi" w:hAnsiTheme="minorHAnsi" w:cstheme="minorHAnsi"/>
                <w:color w:val="000000"/>
                <w:sz w:val="20"/>
                <w:szCs w:val="20"/>
              </w:rPr>
            </w:pPr>
            <w:r>
              <w:rPr>
                <w:rFonts w:asciiTheme="minorHAnsi" w:hAnsiTheme="minorHAnsi" w:cstheme="minorHAnsi"/>
                <w:color w:val="000000"/>
                <w:sz w:val="20"/>
                <w:szCs w:val="20"/>
              </w:rPr>
              <w:t>3.2</w:t>
            </w:r>
          </w:p>
        </w:tc>
        <w:tc>
          <w:tcPr>
            <w:tcW w:w="587" w:type="pct"/>
            <w:tcBorders>
              <w:top w:val="nil"/>
              <w:left w:val="nil"/>
              <w:bottom w:val="single" w:sz="4" w:space="0" w:color="auto"/>
              <w:right w:val="nil"/>
            </w:tcBorders>
            <w:noWrap/>
            <w:vAlign w:val="center"/>
          </w:tcPr>
          <w:p w14:paraId="1DC92F86" w14:textId="2CB4161E" w:rsidR="00997034" w:rsidRPr="00AC0A40" w:rsidRDefault="00010DFC">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r>
      <w:tr w:rsidR="00997034" w:rsidRPr="00B97C61" w14:paraId="167176B1" w14:textId="77777777">
        <w:trPr>
          <w:trHeight w:val="288"/>
        </w:trPr>
        <w:tc>
          <w:tcPr>
            <w:tcW w:w="2696" w:type="pct"/>
            <w:tcBorders>
              <w:left w:val="nil"/>
              <w:right w:val="nil"/>
            </w:tcBorders>
            <w:noWrap/>
            <w:vAlign w:val="bottom"/>
            <w:hideMark/>
          </w:tcPr>
          <w:p w14:paraId="4EC4A5AB" w14:textId="77777777" w:rsidR="00997034" w:rsidRPr="00B97C61" w:rsidRDefault="00997034">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Total allowance account</w:t>
            </w:r>
          </w:p>
        </w:tc>
        <w:tc>
          <w:tcPr>
            <w:tcW w:w="135" w:type="pct"/>
            <w:tcBorders>
              <w:left w:val="nil"/>
              <w:right w:val="nil"/>
            </w:tcBorders>
            <w:noWrap/>
            <w:vAlign w:val="bottom"/>
          </w:tcPr>
          <w:p w14:paraId="691478BF" w14:textId="77777777" w:rsidR="00997034" w:rsidRPr="00B97C61" w:rsidRDefault="00997034">
            <w:pPr>
              <w:rPr>
                <w:rFonts w:asciiTheme="minorHAnsi" w:hAnsiTheme="minorHAnsi" w:cstheme="minorHAnsi"/>
                <w:b/>
                <w:bCs/>
                <w:color w:val="000000"/>
                <w:sz w:val="20"/>
                <w:szCs w:val="20"/>
              </w:rPr>
            </w:pPr>
          </w:p>
        </w:tc>
        <w:tc>
          <w:tcPr>
            <w:tcW w:w="135" w:type="pct"/>
            <w:tcBorders>
              <w:left w:val="nil"/>
              <w:right w:val="nil"/>
            </w:tcBorders>
            <w:noWrap/>
            <w:vAlign w:val="bottom"/>
            <w:hideMark/>
          </w:tcPr>
          <w:p w14:paraId="5169193E" w14:textId="77777777" w:rsidR="00997034" w:rsidRPr="00B97C61" w:rsidRDefault="00997034">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135" w:type="pct"/>
            <w:tcBorders>
              <w:left w:val="nil"/>
              <w:right w:val="nil"/>
            </w:tcBorders>
            <w:noWrap/>
            <w:vAlign w:val="bottom"/>
            <w:hideMark/>
          </w:tcPr>
          <w:p w14:paraId="47FA41E7" w14:textId="77777777" w:rsidR="00997034" w:rsidRPr="00B97C61" w:rsidRDefault="00997034">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579" w:type="pct"/>
            <w:tcBorders>
              <w:top w:val="single" w:sz="4" w:space="0" w:color="auto"/>
              <w:left w:val="nil"/>
              <w:bottom w:val="single" w:sz="8" w:space="0" w:color="auto"/>
              <w:right w:val="nil"/>
            </w:tcBorders>
            <w:shd w:val="clear" w:color="auto" w:fill="F2F2F2" w:themeFill="background1" w:themeFillShade="F2"/>
            <w:noWrap/>
            <w:vAlign w:val="bottom"/>
          </w:tcPr>
          <w:p w14:paraId="66BF27B6" w14:textId="4D7BAB99" w:rsidR="00997034" w:rsidRPr="000F589C" w:rsidRDefault="00104B28">
            <w:pPr>
              <w:jc w:val="right"/>
              <w:rPr>
                <w:rFonts w:asciiTheme="minorHAnsi" w:hAnsiTheme="minorHAnsi" w:cstheme="minorHAnsi"/>
                <w:b/>
                <w:color w:val="000000"/>
                <w:sz w:val="20"/>
                <w:szCs w:val="20"/>
              </w:rPr>
            </w:pPr>
            <w:r>
              <w:rPr>
                <w:rFonts w:asciiTheme="minorHAnsi" w:hAnsiTheme="minorHAnsi" w:cstheme="minorHAnsi"/>
                <w:b/>
                <w:color w:val="000000"/>
                <w:sz w:val="20"/>
                <w:szCs w:val="20"/>
              </w:rPr>
              <w:t>8</w:t>
            </w:r>
            <w:r w:rsidR="00D64B27">
              <w:rPr>
                <w:rFonts w:asciiTheme="minorHAnsi" w:hAnsiTheme="minorHAnsi" w:cstheme="minorHAnsi"/>
                <w:b/>
                <w:color w:val="000000"/>
                <w:sz w:val="20"/>
                <w:szCs w:val="20"/>
              </w:rPr>
              <w:t>5</w:t>
            </w:r>
            <w:r>
              <w:rPr>
                <w:rFonts w:asciiTheme="minorHAnsi" w:hAnsiTheme="minorHAnsi" w:cstheme="minorHAnsi"/>
                <w:b/>
                <w:color w:val="000000"/>
                <w:sz w:val="20"/>
                <w:szCs w:val="20"/>
              </w:rPr>
              <w:t>.9</w:t>
            </w:r>
          </w:p>
        </w:tc>
        <w:tc>
          <w:tcPr>
            <w:tcW w:w="733" w:type="pct"/>
            <w:tcBorders>
              <w:top w:val="single" w:sz="4" w:space="0" w:color="auto"/>
              <w:left w:val="nil"/>
              <w:bottom w:val="single" w:sz="8" w:space="0" w:color="auto"/>
              <w:right w:val="nil"/>
            </w:tcBorders>
            <w:vAlign w:val="bottom"/>
          </w:tcPr>
          <w:p w14:paraId="4E63676E" w14:textId="71F5CCEC" w:rsidR="00997034" w:rsidRPr="006D4208" w:rsidRDefault="00A0483B">
            <w:pPr>
              <w:jc w:val="right"/>
              <w:rPr>
                <w:rFonts w:asciiTheme="minorHAnsi" w:hAnsiTheme="minorHAnsi" w:cstheme="minorHAnsi"/>
                <w:color w:val="000000"/>
                <w:sz w:val="20"/>
                <w:szCs w:val="20"/>
              </w:rPr>
            </w:pPr>
            <w:r>
              <w:rPr>
                <w:rFonts w:asciiTheme="minorHAnsi" w:hAnsiTheme="minorHAnsi" w:cstheme="minorHAnsi"/>
                <w:color w:val="000000"/>
                <w:sz w:val="20"/>
                <w:szCs w:val="20"/>
              </w:rPr>
              <w:t>96.5</w:t>
            </w:r>
          </w:p>
        </w:tc>
        <w:tc>
          <w:tcPr>
            <w:tcW w:w="587" w:type="pct"/>
            <w:tcBorders>
              <w:top w:val="single" w:sz="4" w:space="0" w:color="auto"/>
              <w:left w:val="nil"/>
              <w:bottom w:val="single" w:sz="8" w:space="0" w:color="auto"/>
              <w:right w:val="nil"/>
            </w:tcBorders>
            <w:noWrap/>
            <w:vAlign w:val="center"/>
          </w:tcPr>
          <w:p w14:paraId="5683B988" w14:textId="23D15B8F" w:rsidR="00997034" w:rsidRPr="00AC0A40" w:rsidRDefault="00983573">
            <w:pPr>
              <w:jc w:val="right"/>
              <w:rPr>
                <w:rFonts w:asciiTheme="minorHAnsi" w:hAnsiTheme="minorHAnsi" w:cstheme="minorHAnsi"/>
                <w:bCs/>
                <w:color w:val="000000"/>
                <w:sz w:val="20"/>
                <w:szCs w:val="20"/>
              </w:rPr>
            </w:pPr>
            <w:r w:rsidRPr="00983573">
              <w:rPr>
                <w:rFonts w:asciiTheme="minorHAnsi" w:eastAsiaTheme="minorEastAsia" w:hAnsiTheme="minorHAnsi" w:cstheme="minorBidi"/>
                <w:bCs/>
                <w:color w:val="000000" w:themeColor="text1"/>
                <w:sz w:val="20"/>
                <w:szCs w:val="20"/>
              </w:rPr>
              <w:t>160.4</w:t>
            </w:r>
          </w:p>
        </w:tc>
      </w:tr>
      <w:tr w:rsidR="00997034" w:rsidRPr="00B97C61" w14:paraId="1B8006DD" w14:textId="77777777">
        <w:trPr>
          <w:trHeight w:val="288"/>
        </w:trPr>
        <w:tc>
          <w:tcPr>
            <w:tcW w:w="2696" w:type="pct"/>
            <w:tcBorders>
              <w:top w:val="nil"/>
              <w:left w:val="nil"/>
              <w:right w:val="nil"/>
            </w:tcBorders>
            <w:noWrap/>
            <w:vAlign w:val="bottom"/>
            <w:hideMark/>
          </w:tcPr>
          <w:p w14:paraId="19E32770" w14:textId="77777777" w:rsidR="00997034" w:rsidRPr="00B97C61" w:rsidRDefault="00997034">
            <w:pPr>
              <w:jc w:val="right"/>
              <w:rPr>
                <w:rFonts w:asciiTheme="minorHAnsi" w:hAnsiTheme="minorHAnsi" w:cstheme="minorHAnsi"/>
                <w:color w:val="000000"/>
                <w:sz w:val="20"/>
                <w:szCs w:val="20"/>
              </w:rPr>
            </w:pPr>
          </w:p>
        </w:tc>
        <w:tc>
          <w:tcPr>
            <w:tcW w:w="135" w:type="pct"/>
            <w:tcBorders>
              <w:top w:val="nil"/>
              <w:left w:val="nil"/>
              <w:right w:val="nil"/>
            </w:tcBorders>
            <w:noWrap/>
            <w:vAlign w:val="bottom"/>
            <w:hideMark/>
          </w:tcPr>
          <w:p w14:paraId="3A6CC3F0" w14:textId="77777777" w:rsidR="00997034" w:rsidRPr="00B97C61" w:rsidRDefault="00997034">
            <w:pPr>
              <w:rPr>
                <w:rFonts w:asciiTheme="minorHAnsi" w:hAnsiTheme="minorHAnsi" w:cstheme="minorHAnsi"/>
                <w:sz w:val="20"/>
                <w:szCs w:val="20"/>
              </w:rPr>
            </w:pPr>
          </w:p>
        </w:tc>
        <w:tc>
          <w:tcPr>
            <w:tcW w:w="135" w:type="pct"/>
            <w:tcBorders>
              <w:top w:val="nil"/>
              <w:left w:val="nil"/>
              <w:right w:val="nil"/>
            </w:tcBorders>
            <w:noWrap/>
            <w:vAlign w:val="bottom"/>
            <w:hideMark/>
          </w:tcPr>
          <w:p w14:paraId="79A59644" w14:textId="77777777" w:rsidR="00997034" w:rsidRPr="00B97C61" w:rsidRDefault="00997034">
            <w:pPr>
              <w:rPr>
                <w:rFonts w:asciiTheme="minorHAnsi" w:hAnsiTheme="minorHAnsi" w:cstheme="minorHAnsi"/>
                <w:sz w:val="20"/>
                <w:szCs w:val="20"/>
              </w:rPr>
            </w:pPr>
          </w:p>
        </w:tc>
        <w:tc>
          <w:tcPr>
            <w:tcW w:w="135" w:type="pct"/>
            <w:tcBorders>
              <w:top w:val="nil"/>
              <w:left w:val="nil"/>
              <w:right w:val="nil"/>
            </w:tcBorders>
            <w:noWrap/>
            <w:vAlign w:val="bottom"/>
            <w:hideMark/>
          </w:tcPr>
          <w:p w14:paraId="6082A4DD" w14:textId="77777777" w:rsidR="00997034" w:rsidRPr="00B97C61" w:rsidRDefault="00997034">
            <w:pPr>
              <w:rPr>
                <w:rFonts w:asciiTheme="minorHAnsi" w:hAnsiTheme="minorHAnsi" w:cstheme="minorHAnsi"/>
                <w:sz w:val="20"/>
                <w:szCs w:val="20"/>
              </w:rPr>
            </w:pPr>
          </w:p>
        </w:tc>
        <w:tc>
          <w:tcPr>
            <w:tcW w:w="579" w:type="pct"/>
            <w:tcBorders>
              <w:top w:val="single" w:sz="8" w:space="0" w:color="auto"/>
              <w:left w:val="nil"/>
              <w:bottom w:val="nil"/>
              <w:right w:val="nil"/>
            </w:tcBorders>
            <w:noWrap/>
            <w:vAlign w:val="bottom"/>
            <w:hideMark/>
          </w:tcPr>
          <w:p w14:paraId="0EFB9D5C" w14:textId="77777777" w:rsidR="00997034" w:rsidRPr="00F66E71" w:rsidRDefault="00997034">
            <w:pPr>
              <w:rPr>
                <w:rFonts w:asciiTheme="minorHAnsi" w:hAnsiTheme="minorHAnsi" w:cstheme="minorHAnsi"/>
                <w:sz w:val="20"/>
                <w:szCs w:val="20"/>
                <w:highlight w:val="yellow"/>
              </w:rPr>
            </w:pPr>
          </w:p>
        </w:tc>
        <w:tc>
          <w:tcPr>
            <w:tcW w:w="733" w:type="pct"/>
            <w:tcBorders>
              <w:top w:val="single" w:sz="8" w:space="0" w:color="auto"/>
              <w:left w:val="nil"/>
              <w:bottom w:val="nil"/>
              <w:right w:val="nil"/>
            </w:tcBorders>
            <w:vAlign w:val="bottom"/>
          </w:tcPr>
          <w:p w14:paraId="65D09B8D" w14:textId="77777777" w:rsidR="00997034" w:rsidRPr="006D4208" w:rsidRDefault="00997034">
            <w:pPr>
              <w:rPr>
                <w:rFonts w:asciiTheme="minorHAnsi" w:hAnsiTheme="minorHAnsi" w:cstheme="minorHAnsi"/>
                <w:sz w:val="20"/>
                <w:szCs w:val="20"/>
              </w:rPr>
            </w:pPr>
          </w:p>
        </w:tc>
        <w:tc>
          <w:tcPr>
            <w:tcW w:w="587" w:type="pct"/>
            <w:tcBorders>
              <w:top w:val="single" w:sz="8" w:space="0" w:color="auto"/>
              <w:left w:val="nil"/>
              <w:bottom w:val="nil"/>
              <w:right w:val="nil"/>
            </w:tcBorders>
            <w:noWrap/>
            <w:vAlign w:val="bottom"/>
            <w:hideMark/>
          </w:tcPr>
          <w:p w14:paraId="0EEC54DB" w14:textId="77777777" w:rsidR="00997034" w:rsidRPr="006D4208" w:rsidRDefault="00997034">
            <w:pPr>
              <w:rPr>
                <w:rFonts w:asciiTheme="minorHAnsi" w:hAnsiTheme="minorHAnsi" w:cstheme="minorHAnsi"/>
                <w:sz w:val="20"/>
                <w:szCs w:val="20"/>
              </w:rPr>
            </w:pPr>
          </w:p>
        </w:tc>
      </w:tr>
      <w:tr w:rsidR="00997034" w:rsidRPr="004C69D5" w14:paraId="523FC673" w14:textId="77777777" w:rsidTr="00DA769E">
        <w:trPr>
          <w:trHeight w:val="288"/>
        </w:trPr>
        <w:tc>
          <w:tcPr>
            <w:tcW w:w="2696" w:type="pct"/>
            <w:tcBorders>
              <w:top w:val="nil"/>
              <w:left w:val="nil"/>
              <w:right w:val="nil"/>
            </w:tcBorders>
            <w:noWrap/>
            <w:vAlign w:val="bottom"/>
            <w:hideMark/>
          </w:tcPr>
          <w:p w14:paraId="199413B2" w14:textId="77777777" w:rsidR="00997034" w:rsidRPr="00B97C61" w:rsidRDefault="00997034">
            <w:pPr>
              <w:rPr>
                <w:rFonts w:asciiTheme="minorHAnsi" w:hAnsiTheme="minorHAnsi" w:cstheme="minorHAnsi"/>
                <w:b/>
                <w:color w:val="000000"/>
                <w:sz w:val="20"/>
                <w:szCs w:val="20"/>
              </w:rPr>
            </w:pPr>
          </w:p>
        </w:tc>
        <w:tc>
          <w:tcPr>
            <w:tcW w:w="135" w:type="pct"/>
            <w:tcBorders>
              <w:top w:val="nil"/>
              <w:left w:val="nil"/>
              <w:right w:val="nil"/>
            </w:tcBorders>
            <w:noWrap/>
            <w:vAlign w:val="bottom"/>
            <w:hideMark/>
          </w:tcPr>
          <w:p w14:paraId="60C44B1C" w14:textId="77777777" w:rsidR="00997034" w:rsidRPr="00B97C61" w:rsidRDefault="00997034">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135" w:type="pct"/>
            <w:tcBorders>
              <w:top w:val="nil"/>
              <w:left w:val="nil"/>
              <w:right w:val="nil"/>
            </w:tcBorders>
            <w:noWrap/>
            <w:vAlign w:val="bottom"/>
            <w:hideMark/>
          </w:tcPr>
          <w:p w14:paraId="65825AE5" w14:textId="77777777" w:rsidR="00997034" w:rsidRPr="00B97C61" w:rsidRDefault="00997034">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135" w:type="pct"/>
            <w:tcBorders>
              <w:top w:val="nil"/>
              <w:left w:val="nil"/>
              <w:right w:val="nil"/>
            </w:tcBorders>
            <w:noWrap/>
            <w:vAlign w:val="bottom"/>
            <w:hideMark/>
          </w:tcPr>
          <w:p w14:paraId="54E5E858" w14:textId="77777777" w:rsidR="00997034" w:rsidRPr="00B97C61" w:rsidRDefault="00997034">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579" w:type="pct"/>
            <w:tcBorders>
              <w:top w:val="nil"/>
              <w:left w:val="nil"/>
              <w:bottom w:val="single" w:sz="4" w:space="0" w:color="auto"/>
              <w:right w:val="nil"/>
            </w:tcBorders>
            <w:shd w:val="clear" w:color="auto" w:fill="F2F2F2" w:themeFill="background1" w:themeFillShade="F2"/>
            <w:noWrap/>
            <w:vAlign w:val="bottom"/>
            <w:hideMark/>
          </w:tcPr>
          <w:p w14:paraId="130F5A0E" w14:textId="77777777" w:rsidR="00997034" w:rsidRPr="00512540" w:rsidRDefault="00997034" w:rsidP="00DA769E">
            <w:pPr>
              <w:shd w:val="clear" w:color="auto" w:fill="F2F2F2" w:themeFill="background1" w:themeFillShade="F2"/>
              <w:jc w:val="right"/>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30 June </w:t>
            </w:r>
            <w:r w:rsidRPr="00512540">
              <w:rPr>
                <w:rFonts w:asciiTheme="minorHAnsi" w:hAnsiTheme="minorHAnsi" w:cstheme="minorHAnsi"/>
                <w:b/>
                <w:color w:val="000000"/>
                <w:sz w:val="20"/>
                <w:szCs w:val="20"/>
              </w:rPr>
              <w:t>202</w:t>
            </w:r>
            <w:r>
              <w:rPr>
                <w:rFonts w:asciiTheme="minorHAnsi" w:hAnsiTheme="minorHAnsi" w:cstheme="minorHAnsi"/>
                <w:b/>
                <w:color w:val="000000"/>
                <w:sz w:val="20"/>
                <w:szCs w:val="20"/>
              </w:rPr>
              <w:t>5</w:t>
            </w:r>
          </w:p>
          <w:p w14:paraId="00369C89" w14:textId="0D792751" w:rsidR="007318F1" w:rsidRPr="00512540" w:rsidRDefault="007318F1" w:rsidP="00DA769E">
            <w:pPr>
              <w:shd w:val="clear" w:color="auto" w:fill="F2F2F2" w:themeFill="background1" w:themeFillShade="F2"/>
              <w:jc w:val="right"/>
              <w:rPr>
                <w:rFonts w:asciiTheme="minorHAnsi" w:hAnsiTheme="minorHAnsi" w:cstheme="minorHAnsi"/>
                <w:b/>
                <w:color w:val="000000"/>
                <w:sz w:val="20"/>
                <w:szCs w:val="20"/>
              </w:rPr>
            </w:pPr>
            <w:r>
              <w:rPr>
                <w:rFonts w:asciiTheme="minorHAnsi" w:hAnsiTheme="minorHAnsi" w:cstheme="minorHAnsi"/>
                <w:b/>
                <w:color w:val="000000"/>
                <w:sz w:val="20"/>
                <w:szCs w:val="20"/>
              </w:rPr>
              <w:t>unaudited</w:t>
            </w:r>
          </w:p>
          <w:p w14:paraId="4EFE75A5" w14:textId="77777777" w:rsidR="00997034" w:rsidRPr="00512540" w:rsidRDefault="00997034">
            <w:pPr>
              <w:jc w:val="right"/>
              <w:rPr>
                <w:rFonts w:asciiTheme="minorHAnsi" w:hAnsiTheme="minorHAnsi" w:cstheme="minorHAnsi"/>
                <w:b/>
                <w:color w:val="000000"/>
                <w:sz w:val="20"/>
                <w:szCs w:val="20"/>
              </w:rPr>
            </w:pPr>
            <w:r w:rsidRPr="00512540">
              <w:rPr>
                <w:rFonts w:asciiTheme="minorHAnsi" w:hAnsiTheme="minorHAnsi" w:cs="Arial"/>
                <w:b/>
                <w:sz w:val="20"/>
                <w:szCs w:val="20"/>
              </w:rPr>
              <w:t>£m </w:t>
            </w:r>
          </w:p>
        </w:tc>
        <w:tc>
          <w:tcPr>
            <w:tcW w:w="733" w:type="pct"/>
            <w:tcBorders>
              <w:top w:val="nil"/>
              <w:left w:val="nil"/>
              <w:bottom w:val="single" w:sz="4" w:space="0" w:color="auto"/>
              <w:right w:val="nil"/>
            </w:tcBorders>
            <w:vAlign w:val="bottom"/>
          </w:tcPr>
          <w:p w14:paraId="12F41B61" w14:textId="77777777" w:rsidR="00997034" w:rsidRPr="00697F60" w:rsidRDefault="0099703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31 December </w:t>
            </w:r>
            <w:r w:rsidRPr="00697F60">
              <w:rPr>
                <w:rFonts w:asciiTheme="minorHAnsi" w:hAnsiTheme="minorHAnsi" w:cstheme="minorHAnsi"/>
                <w:color w:val="000000"/>
                <w:sz w:val="20"/>
                <w:szCs w:val="20"/>
              </w:rPr>
              <w:t>202</w:t>
            </w:r>
            <w:r>
              <w:rPr>
                <w:rFonts w:asciiTheme="minorHAnsi" w:hAnsiTheme="minorHAnsi" w:cstheme="minorHAnsi"/>
                <w:color w:val="000000"/>
                <w:sz w:val="20"/>
                <w:szCs w:val="20"/>
              </w:rPr>
              <w:t>4</w:t>
            </w:r>
          </w:p>
          <w:p w14:paraId="3EDDC821" w14:textId="1EE93EAF" w:rsidR="007318F1" w:rsidRPr="00697F60" w:rsidRDefault="007318F1">
            <w:pPr>
              <w:jc w:val="right"/>
              <w:rPr>
                <w:rFonts w:asciiTheme="minorHAnsi" w:hAnsiTheme="minorHAnsi" w:cstheme="minorHAnsi"/>
                <w:color w:val="000000"/>
                <w:sz w:val="20"/>
                <w:szCs w:val="20"/>
              </w:rPr>
            </w:pPr>
            <w:r>
              <w:rPr>
                <w:rFonts w:asciiTheme="minorHAnsi" w:hAnsiTheme="minorHAnsi" w:cstheme="minorHAnsi"/>
                <w:color w:val="000000"/>
                <w:sz w:val="20"/>
                <w:szCs w:val="20"/>
              </w:rPr>
              <w:t>audited</w:t>
            </w:r>
          </w:p>
          <w:p w14:paraId="39CB02F3" w14:textId="77777777" w:rsidR="00997034" w:rsidRDefault="00997034">
            <w:pPr>
              <w:jc w:val="right"/>
              <w:rPr>
                <w:rFonts w:asciiTheme="minorHAnsi" w:hAnsiTheme="minorHAnsi" w:cstheme="minorHAnsi"/>
                <w:color w:val="000000"/>
                <w:sz w:val="20"/>
                <w:szCs w:val="20"/>
              </w:rPr>
            </w:pPr>
            <w:r w:rsidRPr="00697F60">
              <w:rPr>
                <w:rFonts w:asciiTheme="minorHAnsi" w:hAnsiTheme="minorHAnsi" w:cs="Arial"/>
                <w:sz w:val="20"/>
                <w:szCs w:val="20"/>
              </w:rPr>
              <w:t>£m </w:t>
            </w:r>
          </w:p>
        </w:tc>
        <w:tc>
          <w:tcPr>
            <w:tcW w:w="587" w:type="pct"/>
            <w:tcBorders>
              <w:top w:val="nil"/>
              <w:left w:val="nil"/>
              <w:bottom w:val="single" w:sz="4" w:space="0" w:color="auto"/>
              <w:right w:val="nil"/>
            </w:tcBorders>
            <w:noWrap/>
            <w:vAlign w:val="bottom"/>
            <w:hideMark/>
          </w:tcPr>
          <w:p w14:paraId="3C3CEC49" w14:textId="77777777" w:rsidR="00997034" w:rsidRPr="00697F60" w:rsidRDefault="0099703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30 June </w:t>
            </w:r>
            <w:r w:rsidRPr="00697F60">
              <w:rPr>
                <w:rFonts w:asciiTheme="minorHAnsi" w:hAnsiTheme="minorHAnsi" w:cstheme="minorHAnsi"/>
                <w:color w:val="000000"/>
                <w:sz w:val="20"/>
                <w:szCs w:val="20"/>
              </w:rPr>
              <w:t>202</w:t>
            </w:r>
            <w:r>
              <w:rPr>
                <w:rFonts w:asciiTheme="minorHAnsi" w:hAnsiTheme="minorHAnsi" w:cstheme="minorHAnsi"/>
                <w:color w:val="000000"/>
                <w:sz w:val="20"/>
                <w:szCs w:val="20"/>
              </w:rPr>
              <w:t>4</w:t>
            </w:r>
          </w:p>
          <w:p w14:paraId="39579CBF" w14:textId="2FD5085C" w:rsidR="007318F1" w:rsidRPr="00697F60" w:rsidRDefault="007318F1">
            <w:pPr>
              <w:jc w:val="right"/>
              <w:rPr>
                <w:rFonts w:asciiTheme="minorHAnsi" w:hAnsiTheme="minorHAnsi" w:cstheme="minorHAnsi"/>
                <w:color w:val="000000"/>
                <w:sz w:val="20"/>
                <w:szCs w:val="20"/>
              </w:rPr>
            </w:pPr>
            <w:r>
              <w:rPr>
                <w:rFonts w:asciiTheme="minorHAnsi" w:hAnsiTheme="minorHAnsi" w:cstheme="minorHAnsi"/>
                <w:color w:val="000000"/>
                <w:sz w:val="20"/>
                <w:szCs w:val="20"/>
              </w:rPr>
              <w:t>unaudited</w:t>
            </w:r>
          </w:p>
          <w:p w14:paraId="0841755B" w14:textId="77777777" w:rsidR="00997034" w:rsidRPr="00697F60" w:rsidRDefault="00997034">
            <w:pPr>
              <w:jc w:val="right"/>
              <w:rPr>
                <w:rFonts w:asciiTheme="minorHAnsi" w:hAnsiTheme="minorHAnsi" w:cstheme="minorHAnsi"/>
                <w:color w:val="000000"/>
                <w:sz w:val="20"/>
                <w:szCs w:val="20"/>
              </w:rPr>
            </w:pPr>
            <w:r w:rsidRPr="00697F60">
              <w:rPr>
                <w:rFonts w:asciiTheme="minorHAnsi" w:hAnsiTheme="minorHAnsi" w:cs="Arial"/>
                <w:sz w:val="20"/>
                <w:szCs w:val="20"/>
              </w:rPr>
              <w:t>£m </w:t>
            </w:r>
          </w:p>
        </w:tc>
      </w:tr>
      <w:tr w:rsidR="00997034" w:rsidRPr="004C69D5" w14:paraId="21578297" w14:textId="77777777">
        <w:trPr>
          <w:trHeight w:val="288"/>
        </w:trPr>
        <w:tc>
          <w:tcPr>
            <w:tcW w:w="2696" w:type="pct"/>
            <w:tcBorders>
              <w:top w:val="nil"/>
              <w:left w:val="nil"/>
              <w:right w:val="nil"/>
            </w:tcBorders>
            <w:noWrap/>
            <w:vAlign w:val="bottom"/>
            <w:hideMark/>
          </w:tcPr>
          <w:p w14:paraId="73AD11ED" w14:textId="77777777" w:rsidR="00997034" w:rsidRPr="00B97C61" w:rsidRDefault="00997034">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xml:space="preserve">Post </w:t>
            </w:r>
            <w:r w:rsidRPr="00A82A4F">
              <w:rPr>
                <w:rFonts w:asciiTheme="minorHAnsi" w:hAnsiTheme="minorHAnsi" w:cstheme="minorHAnsi"/>
                <w:b/>
                <w:bCs/>
                <w:color w:val="000000"/>
                <w:sz w:val="20"/>
                <w:szCs w:val="20"/>
              </w:rPr>
              <w:t>model (under)/overlays:</w:t>
            </w:r>
          </w:p>
        </w:tc>
        <w:tc>
          <w:tcPr>
            <w:tcW w:w="135" w:type="pct"/>
            <w:tcBorders>
              <w:top w:val="nil"/>
              <w:left w:val="nil"/>
              <w:right w:val="nil"/>
            </w:tcBorders>
            <w:noWrap/>
            <w:vAlign w:val="bottom"/>
            <w:hideMark/>
          </w:tcPr>
          <w:p w14:paraId="51959D5E" w14:textId="77777777" w:rsidR="00997034" w:rsidRPr="00B97C61" w:rsidRDefault="00997034">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135" w:type="pct"/>
            <w:tcBorders>
              <w:top w:val="nil"/>
              <w:left w:val="nil"/>
              <w:right w:val="nil"/>
            </w:tcBorders>
            <w:noWrap/>
            <w:vAlign w:val="bottom"/>
            <w:hideMark/>
          </w:tcPr>
          <w:p w14:paraId="73C30B1E" w14:textId="77777777" w:rsidR="00997034" w:rsidRPr="00B97C61" w:rsidRDefault="00997034">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135" w:type="pct"/>
            <w:tcBorders>
              <w:top w:val="nil"/>
              <w:left w:val="nil"/>
              <w:right w:val="nil"/>
            </w:tcBorders>
            <w:noWrap/>
            <w:vAlign w:val="bottom"/>
            <w:hideMark/>
          </w:tcPr>
          <w:p w14:paraId="1C8E744A" w14:textId="77777777" w:rsidR="00997034" w:rsidRPr="00B97C61" w:rsidRDefault="00997034">
            <w:pPr>
              <w:rPr>
                <w:rFonts w:asciiTheme="minorHAnsi" w:hAnsiTheme="minorHAnsi" w:cstheme="minorHAnsi"/>
                <w:color w:val="000000"/>
                <w:sz w:val="20"/>
                <w:szCs w:val="20"/>
              </w:rPr>
            </w:pPr>
            <w:r w:rsidRPr="00B97C61">
              <w:rPr>
                <w:rFonts w:asciiTheme="minorHAnsi" w:hAnsiTheme="minorHAnsi" w:cstheme="minorHAnsi"/>
                <w:color w:val="000000"/>
                <w:sz w:val="20"/>
                <w:szCs w:val="20"/>
              </w:rPr>
              <w:t> </w:t>
            </w:r>
          </w:p>
        </w:tc>
        <w:tc>
          <w:tcPr>
            <w:tcW w:w="579" w:type="pct"/>
            <w:tcBorders>
              <w:top w:val="nil"/>
              <w:left w:val="nil"/>
              <w:right w:val="nil"/>
            </w:tcBorders>
            <w:shd w:val="clear" w:color="auto" w:fill="F2F2F2" w:themeFill="background1" w:themeFillShade="F2"/>
            <w:noWrap/>
            <w:vAlign w:val="bottom"/>
            <w:hideMark/>
          </w:tcPr>
          <w:p w14:paraId="200FEE10" w14:textId="77777777" w:rsidR="00997034" w:rsidRPr="000F589C" w:rsidRDefault="00997034">
            <w:pPr>
              <w:jc w:val="right"/>
              <w:rPr>
                <w:rFonts w:asciiTheme="minorHAnsi" w:hAnsiTheme="minorHAnsi" w:cstheme="minorHAnsi"/>
                <w:b/>
                <w:color w:val="000000"/>
                <w:sz w:val="20"/>
                <w:szCs w:val="20"/>
              </w:rPr>
            </w:pPr>
            <w:r w:rsidRPr="000F589C">
              <w:rPr>
                <w:rFonts w:asciiTheme="minorHAnsi" w:hAnsiTheme="minorHAnsi" w:cstheme="minorHAnsi"/>
                <w:b/>
                <w:color w:val="000000"/>
                <w:sz w:val="20"/>
                <w:szCs w:val="20"/>
              </w:rPr>
              <w:t> </w:t>
            </w:r>
          </w:p>
        </w:tc>
        <w:tc>
          <w:tcPr>
            <w:tcW w:w="733" w:type="pct"/>
            <w:tcBorders>
              <w:top w:val="nil"/>
              <w:left w:val="nil"/>
              <w:right w:val="nil"/>
            </w:tcBorders>
            <w:vAlign w:val="bottom"/>
          </w:tcPr>
          <w:p w14:paraId="1E2C919D" w14:textId="77777777" w:rsidR="00997034" w:rsidRPr="006D4208" w:rsidRDefault="00997034">
            <w:pPr>
              <w:jc w:val="right"/>
              <w:rPr>
                <w:rFonts w:asciiTheme="minorHAnsi" w:hAnsiTheme="minorHAnsi" w:cstheme="minorHAnsi"/>
                <w:color w:val="000000"/>
                <w:sz w:val="20"/>
                <w:szCs w:val="20"/>
              </w:rPr>
            </w:pPr>
            <w:r w:rsidRPr="006D4208">
              <w:rPr>
                <w:rFonts w:asciiTheme="minorHAnsi" w:hAnsiTheme="minorHAnsi" w:cstheme="minorHAnsi"/>
                <w:color w:val="000000"/>
                <w:sz w:val="20"/>
                <w:szCs w:val="20"/>
              </w:rPr>
              <w:t> </w:t>
            </w:r>
          </w:p>
        </w:tc>
        <w:tc>
          <w:tcPr>
            <w:tcW w:w="587" w:type="pct"/>
            <w:tcBorders>
              <w:top w:val="nil"/>
              <w:left w:val="nil"/>
              <w:right w:val="nil"/>
            </w:tcBorders>
            <w:noWrap/>
            <w:vAlign w:val="bottom"/>
            <w:hideMark/>
          </w:tcPr>
          <w:p w14:paraId="2EDAF78C" w14:textId="77777777" w:rsidR="00997034" w:rsidRPr="00AC0A40" w:rsidRDefault="00997034">
            <w:pPr>
              <w:jc w:val="right"/>
              <w:rPr>
                <w:rFonts w:asciiTheme="minorHAnsi" w:hAnsiTheme="minorHAnsi" w:cstheme="minorHAnsi"/>
                <w:bCs/>
                <w:color w:val="000000"/>
                <w:sz w:val="20"/>
                <w:szCs w:val="20"/>
              </w:rPr>
            </w:pPr>
            <w:r w:rsidRPr="00AC0A40">
              <w:rPr>
                <w:rFonts w:asciiTheme="minorHAnsi" w:hAnsiTheme="minorHAnsi" w:cstheme="minorHAnsi"/>
                <w:bCs/>
                <w:color w:val="000000"/>
                <w:sz w:val="20"/>
                <w:szCs w:val="20"/>
              </w:rPr>
              <w:t> </w:t>
            </w:r>
          </w:p>
        </w:tc>
      </w:tr>
      <w:tr w:rsidR="00D12638" w:rsidRPr="00B97C61" w14:paraId="19AC24AE" w14:textId="77777777">
        <w:trPr>
          <w:trHeight w:val="288"/>
        </w:trPr>
        <w:tc>
          <w:tcPr>
            <w:tcW w:w="2696" w:type="pct"/>
            <w:tcBorders>
              <w:top w:val="nil"/>
              <w:left w:val="nil"/>
              <w:bottom w:val="nil"/>
              <w:right w:val="nil"/>
            </w:tcBorders>
            <w:noWrap/>
            <w:vAlign w:val="bottom"/>
          </w:tcPr>
          <w:p w14:paraId="5D6B78DA" w14:textId="410BF0BD" w:rsidR="00D12638" w:rsidRPr="00335753" w:rsidRDefault="00D12638">
            <w:pPr>
              <w:rPr>
                <w:rFonts w:asciiTheme="minorHAnsi" w:hAnsiTheme="minorHAnsi" w:cstheme="minorHAnsi"/>
                <w:color w:val="000000"/>
                <w:sz w:val="20"/>
                <w:szCs w:val="20"/>
              </w:rPr>
            </w:pPr>
            <w:r>
              <w:rPr>
                <w:rFonts w:asciiTheme="minorHAnsi" w:hAnsiTheme="minorHAnsi" w:cstheme="minorHAnsi"/>
                <w:color w:val="000000"/>
                <w:sz w:val="20"/>
                <w:szCs w:val="20"/>
              </w:rPr>
              <w:t>Origination PD</w:t>
            </w:r>
            <w:r w:rsidR="001C60A6">
              <w:rPr>
                <w:rFonts w:asciiTheme="minorHAnsi" w:hAnsiTheme="minorHAnsi" w:cstheme="minorHAnsi"/>
                <w:color w:val="000000"/>
                <w:sz w:val="20"/>
                <w:szCs w:val="20"/>
              </w:rPr>
              <w:t xml:space="preserve"> </w:t>
            </w:r>
            <w:r w:rsidR="001C60A6" w:rsidRPr="00335753">
              <w:rPr>
                <w:rFonts w:asciiTheme="minorHAnsi" w:hAnsiTheme="minorHAnsi" w:cstheme="minorHAnsi"/>
                <w:color w:val="000000"/>
                <w:sz w:val="20"/>
                <w:szCs w:val="20"/>
              </w:rPr>
              <w:t>(note (</w:t>
            </w:r>
            <w:r w:rsidR="001C60A6">
              <w:rPr>
                <w:rFonts w:asciiTheme="minorHAnsi" w:hAnsiTheme="minorHAnsi" w:cstheme="minorHAnsi"/>
                <w:color w:val="000000"/>
                <w:sz w:val="20"/>
                <w:szCs w:val="20"/>
              </w:rPr>
              <w:t>a</w:t>
            </w:r>
            <w:r w:rsidR="001C60A6" w:rsidRPr="00335753">
              <w:rPr>
                <w:rFonts w:asciiTheme="minorHAnsi" w:hAnsiTheme="minorHAnsi" w:cstheme="minorHAnsi"/>
                <w:color w:val="000000"/>
                <w:sz w:val="20"/>
                <w:szCs w:val="20"/>
              </w:rPr>
              <w:t>))</w:t>
            </w:r>
          </w:p>
        </w:tc>
        <w:tc>
          <w:tcPr>
            <w:tcW w:w="135" w:type="pct"/>
            <w:tcBorders>
              <w:top w:val="nil"/>
              <w:left w:val="nil"/>
              <w:bottom w:val="nil"/>
              <w:right w:val="nil"/>
            </w:tcBorders>
            <w:noWrap/>
            <w:vAlign w:val="bottom"/>
          </w:tcPr>
          <w:p w14:paraId="7F08244D" w14:textId="77777777" w:rsidR="00D12638" w:rsidRPr="00B97C61" w:rsidRDefault="00D12638">
            <w:pPr>
              <w:rPr>
                <w:rFonts w:asciiTheme="minorHAnsi" w:hAnsiTheme="minorHAnsi" w:cstheme="minorHAnsi"/>
                <w:color w:val="000000"/>
                <w:sz w:val="20"/>
                <w:szCs w:val="20"/>
              </w:rPr>
            </w:pPr>
          </w:p>
        </w:tc>
        <w:tc>
          <w:tcPr>
            <w:tcW w:w="135" w:type="pct"/>
            <w:tcBorders>
              <w:top w:val="nil"/>
              <w:left w:val="nil"/>
              <w:bottom w:val="nil"/>
              <w:right w:val="nil"/>
            </w:tcBorders>
            <w:noWrap/>
            <w:vAlign w:val="bottom"/>
          </w:tcPr>
          <w:p w14:paraId="76658765" w14:textId="77777777" w:rsidR="00D12638" w:rsidRPr="00B97C61" w:rsidRDefault="00D12638">
            <w:pPr>
              <w:rPr>
                <w:rFonts w:asciiTheme="minorHAnsi" w:hAnsiTheme="minorHAnsi" w:cstheme="minorHAnsi"/>
                <w:sz w:val="20"/>
                <w:szCs w:val="20"/>
              </w:rPr>
            </w:pPr>
          </w:p>
        </w:tc>
        <w:tc>
          <w:tcPr>
            <w:tcW w:w="135" w:type="pct"/>
            <w:tcBorders>
              <w:top w:val="nil"/>
              <w:left w:val="nil"/>
              <w:bottom w:val="nil"/>
              <w:right w:val="nil"/>
            </w:tcBorders>
            <w:noWrap/>
            <w:vAlign w:val="bottom"/>
          </w:tcPr>
          <w:p w14:paraId="30081D69" w14:textId="77777777" w:rsidR="00D12638" w:rsidRPr="00B97C61" w:rsidRDefault="00D12638">
            <w:pPr>
              <w:rPr>
                <w:rFonts w:asciiTheme="minorHAnsi" w:hAnsiTheme="minorHAnsi" w:cstheme="minorHAnsi"/>
                <w:sz w:val="20"/>
                <w:szCs w:val="20"/>
              </w:rPr>
            </w:pPr>
          </w:p>
        </w:tc>
        <w:tc>
          <w:tcPr>
            <w:tcW w:w="579" w:type="pct"/>
            <w:tcBorders>
              <w:top w:val="nil"/>
              <w:left w:val="nil"/>
              <w:bottom w:val="nil"/>
              <w:right w:val="nil"/>
            </w:tcBorders>
            <w:shd w:val="clear" w:color="auto" w:fill="F2F2F2" w:themeFill="background1" w:themeFillShade="F2"/>
            <w:noWrap/>
            <w:vAlign w:val="bottom"/>
          </w:tcPr>
          <w:p w14:paraId="425D1864" w14:textId="76BD8D03" w:rsidR="00D12638" w:rsidRPr="00076008" w:rsidRDefault="00104B28">
            <w:pPr>
              <w:jc w:val="right"/>
              <w:rPr>
                <w:rFonts w:asciiTheme="minorHAnsi" w:hAnsiTheme="minorHAnsi" w:cstheme="minorHAnsi"/>
                <w:b/>
                <w:sz w:val="20"/>
                <w:szCs w:val="20"/>
              </w:rPr>
            </w:pPr>
            <w:r w:rsidRPr="00076008">
              <w:rPr>
                <w:rFonts w:asciiTheme="minorHAnsi" w:hAnsiTheme="minorHAnsi" w:cstheme="minorHAnsi"/>
                <w:b/>
                <w:sz w:val="20"/>
                <w:szCs w:val="20"/>
              </w:rPr>
              <w:t>(3.</w:t>
            </w:r>
            <w:r w:rsidR="001116CD">
              <w:rPr>
                <w:rFonts w:asciiTheme="minorHAnsi" w:hAnsiTheme="minorHAnsi" w:cstheme="minorHAnsi"/>
                <w:b/>
                <w:sz w:val="20"/>
                <w:szCs w:val="20"/>
              </w:rPr>
              <w:t>0</w:t>
            </w:r>
            <w:r w:rsidRPr="00076008">
              <w:rPr>
                <w:rFonts w:asciiTheme="minorHAnsi" w:hAnsiTheme="minorHAnsi" w:cstheme="minorHAnsi"/>
                <w:b/>
                <w:sz w:val="20"/>
                <w:szCs w:val="20"/>
              </w:rPr>
              <w:t>)</w:t>
            </w:r>
          </w:p>
        </w:tc>
        <w:tc>
          <w:tcPr>
            <w:tcW w:w="733" w:type="pct"/>
            <w:tcBorders>
              <w:top w:val="nil"/>
              <w:left w:val="nil"/>
              <w:bottom w:val="nil"/>
              <w:right w:val="nil"/>
            </w:tcBorders>
            <w:vAlign w:val="bottom"/>
          </w:tcPr>
          <w:p w14:paraId="087D869A" w14:textId="2279DB8F" w:rsidR="00D12638" w:rsidRPr="007A785D" w:rsidRDefault="00D12638">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c>
          <w:tcPr>
            <w:tcW w:w="587" w:type="pct"/>
            <w:tcBorders>
              <w:top w:val="nil"/>
              <w:left w:val="nil"/>
              <w:bottom w:val="nil"/>
              <w:right w:val="nil"/>
            </w:tcBorders>
            <w:noWrap/>
            <w:vAlign w:val="bottom"/>
          </w:tcPr>
          <w:p w14:paraId="52A1865B" w14:textId="37E8D42B" w:rsidR="00D12638" w:rsidRPr="00AC0A40" w:rsidRDefault="00D12638">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r>
      <w:tr w:rsidR="009A6C86" w:rsidRPr="00B97C61" w14:paraId="62383FCD" w14:textId="77777777">
        <w:trPr>
          <w:trHeight w:val="288"/>
        </w:trPr>
        <w:tc>
          <w:tcPr>
            <w:tcW w:w="2696" w:type="pct"/>
            <w:tcBorders>
              <w:top w:val="nil"/>
              <w:left w:val="nil"/>
              <w:bottom w:val="nil"/>
              <w:right w:val="nil"/>
            </w:tcBorders>
            <w:noWrap/>
            <w:vAlign w:val="bottom"/>
          </w:tcPr>
          <w:p w14:paraId="450DA395" w14:textId="348CAD23" w:rsidR="009A6C86" w:rsidRDefault="009A6C8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Unsecured recoveries </w:t>
            </w:r>
            <w:r w:rsidRPr="00335753">
              <w:rPr>
                <w:rFonts w:asciiTheme="minorHAnsi" w:hAnsiTheme="minorHAnsi" w:cstheme="minorHAnsi"/>
                <w:color w:val="000000"/>
                <w:sz w:val="20"/>
                <w:szCs w:val="20"/>
              </w:rPr>
              <w:t>(note (</w:t>
            </w:r>
            <w:r w:rsidR="00076008">
              <w:rPr>
                <w:rFonts w:asciiTheme="minorHAnsi" w:hAnsiTheme="minorHAnsi" w:cstheme="minorHAnsi"/>
                <w:color w:val="000000"/>
                <w:sz w:val="20"/>
                <w:szCs w:val="20"/>
              </w:rPr>
              <w:t>b</w:t>
            </w:r>
            <w:r w:rsidRPr="00335753">
              <w:rPr>
                <w:rFonts w:asciiTheme="minorHAnsi" w:hAnsiTheme="minorHAnsi" w:cstheme="minorHAnsi"/>
                <w:color w:val="000000"/>
                <w:sz w:val="20"/>
                <w:szCs w:val="20"/>
              </w:rPr>
              <w:t>))</w:t>
            </w:r>
          </w:p>
        </w:tc>
        <w:tc>
          <w:tcPr>
            <w:tcW w:w="135" w:type="pct"/>
            <w:tcBorders>
              <w:top w:val="nil"/>
              <w:left w:val="nil"/>
              <w:bottom w:val="nil"/>
              <w:right w:val="nil"/>
            </w:tcBorders>
            <w:noWrap/>
            <w:vAlign w:val="bottom"/>
          </w:tcPr>
          <w:p w14:paraId="3749723B" w14:textId="77777777" w:rsidR="009A6C86" w:rsidRPr="00B97C61" w:rsidRDefault="009A6C86">
            <w:pPr>
              <w:rPr>
                <w:rFonts w:asciiTheme="minorHAnsi" w:hAnsiTheme="minorHAnsi" w:cstheme="minorHAnsi"/>
                <w:color w:val="000000"/>
                <w:sz w:val="20"/>
                <w:szCs w:val="20"/>
              </w:rPr>
            </w:pPr>
          </w:p>
        </w:tc>
        <w:tc>
          <w:tcPr>
            <w:tcW w:w="135" w:type="pct"/>
            <w:tcBorders>
              <w:top w:val="nil"/>
              <w:left w:val="nil"/>
              <w:bottom w:val="nil"/>
              <w:right w:val="nil"/>
            </w:tcBorders>
            <w:noWrap/>
            <w:vAlign w:val="bottom"/>
          </w:tcPr>
          <w:p w14:paraId="17B018E1" w14:textId="77777777" w:rsidR="009A6C86" w:rsidRPr="00B97C61" w:rsidRDefault="009A6C86">
            <w:pPr>
              <w:rPr>
                <w:rFonts w:asciiTheme="minorHAnsi" w:hAnsiTheme="minorHAnsi" w:cstheme="minorHAnsi"/>
                <w:sz w:val="20"/>
                <w:szCs w:val="20"/>
              </w:rPr>
            </w:pPr>
          </w:p>
        </w:tc>
        <w:tc>
          <w:tcPr>
            <w:tcW w:w="135" w:type="pct"/>
            <w:tcBorders>
              <w:top w:val="nil"/>
              <w:left w:val="nil"/>
              <w:bottom w:val="nil"/>
              <w:right w:val="nil"/>
            </w:tcBorders>
            <w:noWrap/>
            <w:vAlign w:val="bottom"/>
          </w:tcPr>
          <w:p w14:paraId="59B7223D" w14:textId="77777777" w:rsidR="009A6C86" w:rsidRPr="00B97C61" w:rsidRDefault="009A6C86">
            <w:pPr>
              <w:rPr>
                <w:rFonts w:asciiTheme="minorHAnsi" w:hAnsiTheme="minorHAnsi" w:cstheme="minorHAnsi"/>
                <w:sz w:val="20"/>
                <w:szCs w:val="20"/>
              </w:rPr>
            </w:pPr>
          </w:p>
        </w:tc>
        <w:tc>
          <w:tcPr>
            <w:tcW w:w="579" w:type="pct"/>
            <w:tcBorders>
              <w:top w:val="nil"/>
              <w:left w:val="nil"/>
              <w:bottom w:val="nil"/>
              <w:right w:val="nil"/>
            </w:tcBorders>
            <w:shd w:val="clear" w:color="auto" w:fill="F2F2F2" w:themeFill="background1" w:themeFillShade="F2"/>
            <w:noWrap/>
            <w:vAlign w:val="bottom"/>
          </w:tcPr>
          <w:p w14:paraId="61A96855" w14:textId="43720AF7" w:rsidR="009A6C86" w:rsidRPr="00076008" w:rsidRDefault="00D64B27">
            <w:pPr>
              <w:jc w:val="right"/>
              <w:rPr>
                <w:rFonts w:asciiTheme="minorHAnsi" w:hAnsiTheme="minorHAnsi" w:cstheme="minorHAnsi"/>
                <w:b/>
                <w:sz w:val="20"/>
                <w:szCs w:val="20"/>
              </w:rPr>
            </w:pPr>
            <w:r>
              <w:rPr>
                <w:rFonts w:asciiTheme="minorHAnsi" w:hAnsiTheme="minorHAnsi" w:cstheme="minorHAnsi"/>
                <w:b/>
                <w:sz w:val="20"/>
                <w:szCs w:val="20"/>
              </w:rPr>
              <w:t>1.0</w:t>
            </w:r>
          </w:p>
        </w:tc>
        <w:tc>
          <w:tcPr>
            <w:tcW w:w="733" w:type="pct"/>
            <w:tcBorders>
              <w:top w:val="nil"/>
              <w:left w:val="nil"/>
              <w:bottom w:val="nil"/>
              <w:right w:val="nil"/>
            </w:tcBorders>
            <w:vAlign w:val="bottom"/>
          </w:tcPr>
          <w:p w14:paraId="3B146D7B" w14:textId="44E5F17B" w:rsidR="009A6C86" w:rsidRDefault="00662293">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2.5</w:t>
            </w:r>
          </w:p>
        </w:tc>
        <w:tc>
          <w:tcPr>
            <w:tcW w:w="587" w:type="pct"/>
            <w:tcBorders>
              <w:top w:val="nil"/>
              <w:left w:val="nil"/>
              <w:bottom w:val="nil"/>
              <w:right w:val="nil"/>
            </w:tcBorders>
            <w:noWrap/>
            <w:vAlign w:val="bottom"/>
          </w:tcPr>
          <w:p w14:paraId="19B8D10B" w14:textId="620D7A60" w:rsidR="009A6C86" w:rsidRDefault="00010DFC">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r>
      <w:tr w:rsidR="00010DFC" w:rsidRPr="00B97C61" w14:paraId="4C023CF3" w14:textId="77777777">
        <w:trPr>
          <w:trHeight w:val="288"/>
        </w:trPr>
        <w:tc>
          <w:tcPr>
            <w:tcW w:w="2696" w:type="pct"/>
            <w:tcBorders>
              <w:top w:val="nil"/>
              <w:left w:val="nil"/>
              <w:bottom w:val="nil"/>
              <w:right w:val="nil"/>
            </w:tcBorders>
            <w:noWrap/>
            <w:vAlign w:val="bottom"/>
          </w:tcPr>
          <w:p w14:paraId="35398E55" w14:textId="508BB09A" w:rsidR="00010DFC" w:rsidRPr="004E3568" w:rsidRDefault="00010DFC" w:rsidP="00010DFC">
            <w:pPr>
              <w:rPr>
                <w:rFonts w:asciiTheme="minorHAnsi" w:hAnsiTheme="minorHAnsi" w:cstheme="minorHAnsi"/>
                <w:color w:val="000000"/>
                <w:sz w:val="20"/>
                <w:szCs w:val="20"/>
                <w:highlight w:val="yellow"/>
              </w:rPr>
            </w:pPr>
            <w:r w:rsidRPr="00335753">
              <w:rPr>
                <w:rFonts w:asciiTheme="minorHAnsi" w:hAnsiTheme="minorHAnsi" w:cstheme="minorHAnsi"/>
                <w:color w:val="000000"/>
                <w:sz w:val="20"/>
                <w:szCs w:val="20"/>
              </w:rPr>
              <w:t>12-month PD (note (</w:t>
            </w:r>
            <w:r w:rsidR="00076008">
              <w:rPr>
                <w:rFonts w:asciiTheme="minorHAnsi" w:hAnsiTheme="minorHAnsi" w:cstheme="minorHAnsi"/>
                <w:color w:val="000000"/>
                <w:sz w:val="20"/>
                <w:szCs w:val="20"/>
              </w:rPr>
              <w:t>c</w:t>
            </w:r>
            <w:r w:rsidRPr="00335753">
              <w:rPr>
                <w:rFonts w:asciiTheme="minorHAnsi" w:hAnsiTheme="minorHAnsi" w:cstheme="minorHAnsi"/>
                <w:color w:val="000000"/>
                <w:sz w:val="20"/>
                <w:szCs w:val="20"/>
              </w:rPr>
              <w:t>))</w:t>
            </w:r>
          </w:p>
        </w:tc>
        <w:tc>
          <w:tcPr>
            <w:tcW w:w="135" w:type="pct"/>
            <w:tcBorders>
              <w:top w:val="nil"/>
              <w:left w:val="nil"/>
              <w:bottom w:val="nil"/>
              <w:right w:val="nil"/>
            </w:tcBorders>
            <w:noWrap/>
            <w:vAlign w:val="bottom"/>
          </w:tcPr>
          <w:p w14:paraId="7C16248C" w14:textId="77777777" w:rsidR="00010DFC" w:rsidRPr="00B97C61" w:rsidRDefault="00010DFC" w:rsidP="00010DFC">
            <w:pPr>
              <w:rPr>
                <w:rFonts w:asciiTheme="minorHAnsi" w:hAnsiTheme="minorHAnsi" w:cstheme="minorHAnsi"/>
                <w:color w:val="000000"/>
                <w:sz w:val="20"/>
                <w:szCs w:val="20"/>
              </w:rPr>
            </w:pPr>
          </w:p>
        </w:tc>
        <w:tc>
          <w:tcPr>
            <w:tcW w:w="135" w:type="pct"/>
            <w:tcBorders>
              <w:top w:val="nil"/>
              <w:left w:val="nil"/>
              <w:bottom w:val="nil"/>
              <w:right w:val="nil"/>
            </w:tcBorders>
            <w:noWrap/>
            <w:vAlign w:val="bottom"/>
          </w:tcPr>
          <w:p w14:paraId="78850E9C" w14:textId="77777777" w:rsidR="00010DFC" w:rsidRPr="00B97C61" w:rsidRDefault="00010DFC" w:rsidP="00010DFC">
            <w:pPr>
              <w:rPr>
                <w:rFonts w:asciiTheme="minorHAnsi" w:hAnsiTheme="minorHAnsi" w:cstheme="minorHAnsi"/>
                <w:sz w:val="20"/>
                <w:szCs w:val="20"/>
              </w:rPr>
            </w:pPr>
          </w:p>
        </w:tc>
        <w:tc>
          <w:tcPr>
            <w:tcW w:w="135" w:type="pct"/>
            <w:tcBorders>
              <w:top w:val="nil"/>
              <w:left w:val="nil"/>
              <w:bottom w:val="nil"/>
              <w:right w:val="nil"/>
            </w:tcBorders>
            <w:noWrap/>
            <w:vAlign w:val="bottom"/>
          </w:tcPr>
          <w:p w14:paraId="238E6B56" w14:textId="77777777" w:rsidR="00010DFC" w:rsidRPr="00B97C61" w:rsidRDefault="00010DFC" w:rsidP="00010DFC">
            <w:pPr>
              <w:rPr>
                <w:rFonts w:asciiTheme="minorHAnsi" w:hAnsiTheme="minorHAnsi" w:cstheme="minorHAnsi"/>
                <w:sz w:val="20"/>
                <w:szCs w:val="20"/>
              </w:rPr>
            </w:pPr>
          </w:p>
        </w:tc>
        <w:tc>
          <w:tcPr>
            <w:tcW w:w="579" w:type="pct"/>
            <w:tcBorders>
              <w:top w:val="nil"/>
              <w:left w:val="nil"/>
              <w:bottom w:val="nil"/>
              <w:right w:val="nil"/>
            </w:tcBorders>
            <w:shd w:val="clear" w:color="auto" w:fill="F2F2F2" w:themeFill="background1" w:themeFillShade="F2"/>
            <w:noWrap/>
            <w:vAlign w:val="bottom"/>
          </w:tcPr>
          <w:p w14:paraId="29B8950A" w14:textId="5E988276" w:rsidR="00010DFC" w:rsidRPr="00076008" w:rsidRDefault="00010DFC" w:rsidP="00010DFC">
            <w:pPr>
              <w:jc w:val="right"/>
              <w:rPr>
                <w:rFonts w:asciiTheme="minorHAnsi" w:hAnsiTheme="minorHAnsi" w:cstheme="minorHAnsi"/>
                <w:b/>
                <w:sz w:val="20"/>
                <w:szCs w:val="20"/>
              </w:rPr>
            </w:pPr>
            <w:r w:rsidRPr="00076008">
              <w:rPr>
                <w:rFonts w:asciiTheme="minorHAnsi" w:hAnsiTheme="minorHAnsi" w:cstheme="minorHAnsi"/>
                <w:b/>
                <w:sz w:val="20"/>
                <w:szCs w:val="20"/>
              </w:rPr>
              <w:t>-</w:t>
            </w:r>
          </w:p>
        </w:tc>
        <w:tc>
          <w:tcPr>
            <w:tcW w:w="733" w:type="pct"/>
            <w:tcBorders>
              <w:top w:val="nil"/>
              <w:left w:val="nil"/>
              <w:bottom w:val="nil"/>
              <w:right w:val="nil"/>
            </w:tcBorders>
            <w:vAlign w:val="bottom"/>
          </w:tcPr>
          <w:p w14:paraId="293A6F76" w14:textId="627AD57D" w:rsidR="00010DFC" w:rsidRPr="006D4208" w:rsidRDefault="00010DFC" w:rsidP="00010DFC">
            <w:pPr>
              <w:jc w:val="right"/>
              <w:rPr>
                <w:rFonts w:asciiTheme="minorHAnsi" w:hAnsiTheme="minorHAnsi" w:cstheme="minorHAnsi"/>
                <w:color w:val="000000"/>
                <w:sz w:val="20"/>
                <w:szCs w:val="20"/>
              </w:rPr>
            </w:pPr>
            <w:r w:rsidRPr="007A785D">
              <w:rPr>
                <w:rFonts w:asciiTheme="minorHAnsi" w:hAnsiTheme="minorHAnsi" w:cstheme="minorHAnsi"/>
                <w:bCs/>
                <w:color w:val="000000"/>
                <w:sz w:val="20"/>
                <w:szCs w:val="20"/>
              </w:rPr>
              <w:t>2.8</w:t>
            </w:r>
          </w:p>
        </w:tc>
        <w:tc>
          <w:tcPr>
            <w:tcW w:w="587" w:type="pct"/>
            <w:tcBorders>
              <w:top w:val="nil"/>
              <w:left w:val="nil"/>
              <w:bottom w:val="nil"/>
              <w:right w:val="nil"/>
            </w:tcBorders>
            <w:noWrap/>
            <w:vAlign w:val="bottom"/>
          </w:tcPr>
          <w:p w14:paraId="41D2B8A4" w14:textId="747E69D8" w:rsidR="00010DFC" w:rsidRPr="00AC0A40" w:rsidRDefault="00010DFC" w:rsidP="00010DFC">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r>
      <w:tr w:rsidR="00B454CE" w:rsidRPr="00B97C61" w14:paraId="530D2B80" w14:textId="77777777">
        <w:trPr>
          <w:trHeight w:val="288"/>
        </w:trPr>
        <w:tc>
          <w:tcPr>
            <w:tcW w:w="2696" w:type="pct"/>
            <w:tcBorders>
              <w:top w:val="nil"/>
              <w:left w:val="nil"/>
              <w:bottom w:val="nil"/>
              <w:right w:val="nil"/>
            </w:tcBorders>
            <w:noWrap/>
            <w:vAlign w:val="bottom"/>
          </w:tcPr>
          <w:p w14:paraId="2E4B4A9D" w14:textId="5A9D062C" w:rsidR="00B454CE" w:rsidRPr="00335753" w:rsidRDefault="00B454CE" w:rsidP="00B454CE">
            <w:pPr>
              <w:rPr>
                <w:rFonts w:asciiTheme="minorHAnsi" w:hAnsiTheme="minorHAnsi" w:cstheme="minorHAnsi"/>
                <w:color w:val="000000"/>
                <w:sz w:val="20"/>
                <w:szCs w:val="20"/>
              </w:rPr>
            </w:pPr>
            <w:r w:rsidRPr="00642C83">
              <w:rPr>
                <w:rFonts w:asciiTheme="minorHAnsi" w:hAnsiTheme="minorHAnsi" w:cstheme="minorHAnsi"/>
                <w:color w:val="000000"/>
                <w:sz w:val="20"/>
                <w:szCs w:val="20"/>
              </w:rPr>
              <w:t>Macroeconomic model (note (</w:t>
            </w:r>
            <w:r w:rsidR="001D2600">
              <w:rPr>
                <w:rFonts w:asciiTheme="minorHAnsi" w:hAnsiTheme="minorHAnsi" w:cstheme="minorHAnsi"/>
                <w:color w:val="000000"/>
                <w:sz w:val="20"/>
                <w:szCs w:val="20"/>
              </w:rPr>
              <w:t>d</w:t>
            </w:r>
            <w:r w:rsidRPr="00642C83">
              <w:rPr>
                <w:rFonts w:asciiTheme="minorHAnsi" w:hAnsiTheme="minorHAnsi" w:cstheme="minorHAnsi"/>
                <w:color w:val="000000"/>
                <w:sz w:val="20"/>
                <w:szCs w:val="20"/>
              </w:rPr>
              <w:t>))</w:t>
            </w:r>
          </w:p>
        </w:tc>
        <w:tc>
          <w:tcPr>
            <w:tcW w:w="135" w:type="pct"/>
            <w:tcBorders>
              <w:top w:val="nil"/>
              <w:left w:val="nil"/>
              <w:bottom w:val="nil"/>
              <w:right w:val="nil"/>
            </w:tcBorders>
            <w:noWrap/>
            <w:vAlign w:val="bottom"/>
          </w:tcPr>
          <w:p w14:paraId="197A2940" w14:textId="77777777" w:rsidR="00B454CE" w:rsidRPr="00B97C61" w:rsidRDefault="00B454CE" w:rsidP="00B454CE">
            <w:pPr>
              <w:rPr>
                <w:rFonts w:asciiTheme="minorHAnsi" w:hAnsiTheme="minorHAnsi" w:cstheme="minorHAnsi"/>
                <w:color w:val="000000"/>
                <w:sz w:val="20"/>
                <w:szCs w:val="20"/>
              </w:rPr>
            </w:pPr>
          </w:p>
        </w:tc>
        <w:tc>
          <w:tcPr>
            <w:tcW w:w="135" w:type="pct"/>
            <w:tcBorders>
              <w:top w:val="nil"/>
              <w:left w:val="nil"/>
              <w:bottom w:val="nil"/>
              <w:right w:val="nil"/>
            </w:tcBorders>
            <w:noWrap/>
            <w:vAlign w:val="bottom"/>
          </w:tcPr>
          <w:p w14:paraId="7E8D4946" w14:textId="77777777" w:rsidR="00B454CE" w:rsidRPr="00B97C61" w:rsidRDefault="00B454CE" w:rsidP="00B454CE">
            <w:pPr>
              <w:rPr>
                <w:rFonts w:asciiTheme="minorHAnsi" w:hAnsiTheme="minorHAnsi" w:cstheme="minorHAnsi"/>
                <w:sz w:val="20"/>
                <w:szCs w:val="20"/>
              </w:rPr>
            </w:pPr>
          </w:p>
        </w:tc>
        <w:tc>
          <w:tcPr>
            <w:tcW w:w="135" w:type="pct"/>
            <w:tcBorders>
              <w:top w:val="nil"/>
              <w:left w:val="nil"/>
              <w:bottom w:val="nil"/>
              <w:right w:val="nil"/>
            </w:tcBorders>
            <w:noWrap/>
            <w:vAlign w:val="bottom"/>
          </w:tcPr>
          <w:p w14:paraId="0D40F825" w14:textId="77777777" w:rsidR="00B454CE" w:rsidRPr="00B97C61" w:rsidRDefault="00B454CE" w:rsidP="00B454CE">
            <w:pPr>
              <w:rPr>
                <w:rFonts w:asciiTheme="minorHAnsi" w:hAnsiTheme="minorHAnsi" w:cstheme="minorHAnsi"/>
                <w:sz w:val="20"/>
                <w:szCs w:val="20"/>
              </w:rPr>
            </w:pPr>
          </w:p>
        </w:tc>
        <w:tc>
          <w:tcPr>
            <w:tcW w:w="579" w:type="pct"/>
            <w:tcBorders>
              <w:top w:val="nil"/>
              <w:left w:val="nil"/>
              <w:bottom w:val="nil"/>
              <w:right w:val="nil"/>
            </w:tcBorders>
            <w:shd w:val="clear" w:color="auto" w:fill="F2F2F2" w:themeFill="background1" w:themeFillShade="F2"/>
            <w:noWrap/>
            <w:vAlign w:val="bottom"/>
          </w:tcPr>
          <w:p w14:paraId="107C64B5" w14:textId="17A2E75D" w:rsidR="00B454CE" w:rsidRPr="00076008" w:rsidRDefault="00B454CE" w:rsidP="00B454CE">
            <w:pPr>
              <w:jc w:val="right"/>
              <w:rPr>
                <w:rFonts w:asciiTheme="minorHAnsi" w:hAnsiTheme="minorHAnsi" w:cstheme="minorHAnsi"/>
                <w:b/>
                <w:sz w:val="20"/>
                <w:szCs w:val="20"/>
              </w:rPr>
            </w:pPr>
            <w:r w:rsidRPr="00076008">
              <w:rPr>
                <w:rFonts w:asciiTheme="minorHAnsi" w:hAnsiTheme="minorHAnsi" w:cstheme="minorHAnsi"/>
                <w:b/>
                <w:sz w:val="20"/>
                <w:szCs w:val="20"/>
              </w:rPr>
              <w:t>-</w:t>
            </w:r>
          </w:p>
        </w:tc>
        <w:tc>
          <w:tcPr>
            <w:tcW w:w="733" w:type="pct"/>
            <w:tcBorders>
              <w:top w:val="nil"/>
              <w:left w:val="nil"/>
              <w:bottom w:val="nil"/>
              <w:right w:val="nil"/>
            </w:tcBorders>
            <w:vAlign w:val="bottom"/>
          </w:tcPr>
          <w:p w14:paraId="0F302F40" w14:textId="5F92A94F" w:rsidR="00B454CE" w:rsidRPr="007A785D" w:rsidRDefault="00B454CE" w:rsidP="00B454CE">
            <w:pPr>
              <w:jc w:val="right"/>
              <w:rPr>
                <w:rFonts w:asciiTheme="minorHAnsi" w:hAnsiTheme="minorHAnsi" w:cstheme="minorHAnsi"/>
                <w:bCs/>
                <w:color w:val="000000"/>
                <w:sz w:val="20"/>
                <w:szCs w:val="20"/>
              </w:rPr>
            </w:pPr>
            <w:r w:rsidRPr="007A785D">
              <w:rPr>
                <w:rFonts w:asciiTheme="minorHAnsi" w:hAnsiTheme="minorHAnsi" w:cstheme="minorHAnsi"/>
                <w:bCs/>
                <w:color w:val="000000"/>
                <w:sz w:val="20"/>
                <w:szCs w:val="20"/>
              </w:rPr>
              <w:t>1.4</w:t>
            </w:r>
          </w:p>
        </w:tc>
        <w:tc>
          <w:tcPr>
            <w:tcW w:w="587" w:type="pct"/>
            <w:tcBorders>
              <w:top w:val="nil"/>
              <w:left w:val="nil"/>
              <w:bottom w:val="nil"/>
              <w:right w:val="nil"/>
            </w:tcBorders>
            <w:noWrap/>
            <w:vAlign w:val="bottom"/>
          </w:tcPr>
          <w:p w14:paraId="46916644" w14:textId="18762354" w:rsidR="00B454CE" w:rsidRDefault="00B454CE" w:rsidP="00B454CE">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r>
      <w:tr w:rsidR="00B454CE" w:rsidRPr="00B97C61" w14:paraId="7C3C45A2" w14:textId="77777777">
        <w:trPr>
          <w:trHeight w:val="288"/>
        </w:trPr>
        <w:tc>
          <w:tcPr>
            <w:tcW w:w="2696" w:type="pct"/>
            <w:tcBorders>
              <w:top w:val="nil"/>
              <w:left w:val="nil"/>
              <w:bottom w:val="nil"/>
              <w:right w:val="nil"/>
            </w:tcBorders>
            <w:noWrap/>
            <w:vAlign w:val="bottom"/>
          </w:tcPr>
          <w:p w14:paraId="0CE91A29" w14:textId="56807D44" w:rsidR="00B454CE" w:rsidRPr="004E3568" w:rsidRDefault="00B454CE" w:rsidP="00B454CE">
            <w:pPr>
              <w:rPr>
                <w:rFonts w:asciiTheme="minorHAnsi" w:hAnsiTheme="minorHAnsi" w:cstheme="minorHAnsi"/>
                <w:color w:val="000000"/>
                <w:sz w:val="20"/>
                <w:szCs w:val="20"/>
                <w:highlight w:val="yellow"/>
              </w:rPr>
            </w:pPr>
            <w:r w:rsidRPr="00335753">
              <w:rPr>
                <w:rFonts w:asciiTheme="minorHAnsi" w:hAnsiTheme="minorHAnsi" w:cstheme="minorHAnsi"/>
                <w:color w:val="000000"/>
                <w:sz w:val="20"/>
                <w:szCs w:val="20"/>
              </w:rPr>
              <w:t>Macro LGD(note (</w:t>
            </w:r>
            <w:r w:rsidR="001D2600">
              <w:rPr>
                <w:rFonts w:asciiTheme="minorHAnsi" w:hAnsiTheme="minorHAnsi" w:cstheme="minorHAnsi"/>
                <w:color w:val="000000"/>
                <w:sz w:val="20"/>
                <w:szCs w:val="20"/>
              </w:rPr>
              <w:t>e</w:t>
            </w:r>
            <w:r w:rsidRPr="00335753">
              <w:rPr>
                <w:rFonts w:asciiTheme="minorHAnsi" w:hAnsiTheme="minorHAnsi" w:cstheme="minorHAnsi"/>
                <w:color w:val="000000"/>
                <w:sz w:val="20"/>
                <w:szCs w:val="20"/>
              </w:rPr>
              <w:t>))</w:t>
            </w:r>
          </w:p>
        </w:tc>
        <w:tc>
          <w:tcPr>
            <w:tcW w:w="135" w:type="pct"/>
            <w:tcBorders>
              <w:top w:val="nil"/>
              <w:left w:val="nil"/>
              <w:bottom w:val="nil"/>
              <w:right w:val="nil"/>
            </w:tcBorders>
            <w:noWrap/>
            <w:vAlign w:val="bottom"/>
          </w:tcPr>
          <w:p w14:paraId="659D4F3D" w14:textId="77777777" w:rsidR="00B454CE" w:rsidRPr="00B97C61" w:rsidRDefault="00B454CE" w:rsidP="00B454CE">
            <w:pPr>
              <w:rPr>
                <w:rFonts w:asciiTheme="minorHAnsi" w:hAnsiTheme="minorHAnsi" w:cstheme="minorHAnsi"/>
                <w:color w:val="000000"/>
                <w:sz w:val="20"/>
                <w:szCs w:val="20"/>
              </w:rPr>
            </w:pPr>
          </w:p>
        </w:tc>
        <w:tc>
          <w:tcPr>
            <w:tcW w:w="135" w:type="pct"/>
            <w:tcBorders>
              <w:top w:val="nil"/>
              <w:left w:val="nil"/>
              <w:bottom w:val="nil"/>
              <w:right w:val="nil"/>
            </w:tcBorders>
            <w:noWrap/>
            <w:vAlign w:val="bottom"/>
          </w:tcPr>
          <w:p w14:paraId="5EF5C7C7" w14:textId="77777777" w:rsidR="00B454CE" w:rsidRPr="00B97C61" w:rsidRDefault="00B454CE" w:rsidP="00B454CE">
            <w:pPr>
              <w:rPr>
                <w:rFonts w:asciiTheme="minorHAnsi" w:hAnsiTheme="minorHAnsi" w:cstheme="minorHAnsi"/>
                <w:sz w:val="20"/>
                <w:szCs w:val="20"/>
              </w:rPr>
            </w:pPr>
          </w:p>
        </w:tc>
        <w:tc>
          <w:tcPr>
            <w:tcW w:w="135" w:type="pct"/>
            <w:tcBorders>
              <w:top w:val="nil"/>
              <w:left w:val="nil"/>
              <w:bottom w:val="nil"/>
              <w:right w:val="nil"/>
            </w:tcBorders>
            <w:noWrap/>
            <w:vAlign w:val="bottom"/>
          </w:tcPr>
          <w:p w14:paraId="15FDF75C" w14:textId="77777777" w:rsidR="00B454CE" w:rsidRPr="00B97C61" w:rsidRDefault="00B454CE" w:rsidP="00B454CE">
            <w:pPr>
              <w:rPr>
                <w:rFonts w:asciiTheme="minorHAnsi" w:hAnsiTheme="minorHAnsi" w:cstheme="minorHAnsi"/>
                <w:sz w:val="20"/>
                <w:szCs w:val="20"/>
              </w:rPr>
            </w:pPr>
          </w:p>
        </w:tc>
        <w:tc>
          <w:tcPr>
            <w:tcW w:w="579" w:type="pct"/>
            <w:tcBorders>
              <w:top w:val="nil"/>
              <w:left w:val="nil"/>
              <w:bottom w:val="nil"/>
              <w:right w:val="nil"/>
            </w:tcBorders>
            <w:shd w:val="clear" w:color="auto" w:fill="F2F2F2" w:themeFill="background1" w:themeFillShade="F2"/>
            <w:noWrap/>
            <w:vAlign w:val="bottom"/>
          </w:tcPr>
          <w:p w14:paraId="4B0744A3" w14:textId="2192C4B5" w:rsidR="00B454CE" w:rsidRPr="00076008" w:rsidRDefault="00B454CE" w:rsidP="00B454CE">
            <w:pPr>
              <w:jc w:val="right"/>
              <w:rPr>
                <w:rFonts w:asciiTheme="minorHAnsi" w:hAnsiTheme="minorHAnsi" w:cstheme="minorHAnsi"/>
                <w:b/>
                <w:sz w:val="20"/>
                <w:szCs w:val="20"/>
              </w:rPr>
            </w:pPr>
            <w:r w:rsidRPr="00076008">
              <w:rPr>
                <w:rFonts w:asciiTheme="minorHAnsi" w:hAnsiTheme="minorHAnsi" w:cstheme="minorHAnsi"/>
                <w:b/>
                <w:sz w:val="20"/>
                <w:szCs w:val="20"/>
              </w:rPr>
              <w:t>-</w:t>
            </w:r>
          </w:p>
        </w:tc>
        <w:tc>
          <w:tcPr>
            <w:tcW w:w="733" w:type="pct"/>
            <w:tcBorders>
              <w:top w:val="nil"/>
              <w:left w:val="nil"/>
              <w:bottom w:val="nil"/>
              <w:right w:val="nil"/>
            </w:tcBorders>
            <w:vAlign w:val="bottom"/>
          </w:tcPr>
          <w:p w14:paraId="70E0EE3D" w14:textId="1D5D06F6" w:rsidR="00B454CE" w:rsidRPr="006D4208" w:rsidRDefault="00B454CE" w:rsidP="00B454CE">
            <w:pPr>
              <w:jc w:val="right"/>
              <w:rPr>
                <w:rFonts w:asciiTheme="minorHAnsi" w:hAnsiTheme="minorHAnsi" w:cstheme="minorHAnsi"/>
                <w:color w:val="000000"/>
                <w:sz w:val="20"/>
                <w:szCs w:val="20"/>
              </w:rPr>
            </w:pPr>
            <w:r w:rsidRPr="007A785D">
              <w:rPr>
                <w:rFonts w:asciiTheme="minorHAnsi" w:hAnsiTheme="minorHAnsi" w:cstheme="minorHAnsi"/>
                <w:bCs/>
                <w:color w:val="000000"/>
                <w:sz w:val="20"/>
                <w:szCs w:val="20"/>
              </w:rPr>
              <w:t>(0.9)</w:t>
            </w:r>
          </w:p>
        </w:tc>
        <w:tc>
          <w:tcPr>
            <w:tcW w:w="587" w:type="pct"/>
            <w:tcBorders>
              <w:top w:val="nil"/>
              <w:left w:val="nil"/>
              <w:bottom w:val="nil"/>
              <w:right w:val="nil"/>
            </w:tcBorders>
            <w:noWrap/>
            <w:vAlign w:val="bottom"/>
          </w:tcPr>
          <w:p w14:paraId="00208FE0" w14:textId="30AF80D3" w:rsidR="00B454CE" w:rsidRPr="00AC0A40" w:rsidRDefault="00B454CE" w:rsidP="00B454CE">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r>
      <w:tr w:rsidR="00B454CE" w:rsidRPr="00B97C61" w14:paraId="6ACA17F0" w14:textId="77777777">
        <w:trPr>
          <w:trHeight w:val="288"/>
        </w:trPr>
        <w:tc>
          <w:tcPr>
            <w:tcW w:w="2696" w:type="pct"/>
            <w:tcBorders>
              <w:top w:val="nil"/>
              <w:left w:val="nil"/>
              <w:bottom w:val="nil"/>
              <w:right w:val="nil"/>
            </w:tcBorders>
            <w:noWrap/>
            <w:vAlign w:val="bottom"/>
            <w:hideMark/>
          </w:tcPr>
          <w:p w14:paraId="61775DFB" w14:textId="09D1301A" w:rsidR="00B454CE" w:rsidRPr="00B97C61" w:rsidRDefault="00B454CE" w:rsidP="00B454CE">
            <w:pPr>
              <w:rPr>
                <w:rFonts w:asciiTheme="minorHAnsi" w:hAnsiTheme="minorHAnsi" w:cstheme="minorHAnsi"/>
                <w:color w:val="000000"/>
                <w:sz w:val="20"/>
                <w:szCs w:val="20"/>
              </w:rPr>
            </w:pPr>
            <w:r w:rsidRPr="00E05AA3">
              <w:rPr>
                <w:rFonts w:asciiTheme="minorHAnsi" w:hAnsiTheme="minorHAnsi" w:cstheme="minorHAnsi"/>
                <w:color w:val="000000"/>
                <w:sz w:val="20"/>
                <w:szCs w:val="20"/>
              </w:rPr>
              <w:t>LGD recalibration (note (</w:t>
            </w:r>
            <w:r>
              <w:rPr>
                <w:rFonts w:asciiTheme="minorHAnsi" w:hAnsiTheme="minorHAnsi" w:cstheme="minorHAnsi"/>
                <w:color w:val="000000"/>
                <w:sz w:val="20"/>
                <w:szCs w:val="20"/>
              </w:rPr>
              <w:t>f</w:t>
            </w:r>
            <w:r w:rsidRPr="00E05AA3">
              <w:rPr>
                <w:rFonts w:asciiTheme="minorHAnsi" w:hAnsiTheme="minorHAnsi" w:cstheme="minorHAnsi"/>
                <w:color w:val="000000"/>
                <w:sz w:val="20"/>
                <w:szCs w:val="20"/>
              </w:rPr>
              <w:t>)</w:t>
            </w:r>
            <w:r>
              <w:rPr>
                <w:rFonts w:asciiTheme="minorHAnsi" w:hAnsiTheme="minorHAnsi" w:cstheme="minorHAnsi"/>
                <w:color w:val="000000"/>
                <w:sz w:val="20"/>
                <w:szCs w:val="20"/>
              </w:rPr>
              <w:t>)</w:t>
            </w:r>
          </w:p>
        </w:tc>
        <w:tc>
          <w:tcPr>
            <w:tcW w:w="135" w:type="pct"/>
            <w:tcBorders>
              <w:top w:val="nil"/>
              <w:left w:val="nil"/>
              <w:bottom w:val="nil"/>
              <w:right w:val="nil"/>
            </w:tcBorders>
            <w:noWrap/>
            <w:vAlign w:val="bottom"/>
            <w:hideMark/>
          </w:tcPr>
          <w:p w14:paraId="3B5D56E0" w14:textId="77777777" w:rsidR="00B454CE" w:rsidRPr="00B97C61" w:rsidRDefault="00B454CE" w:rsidP="00B454CE">
            <w:pPr>
              <w:rPr>
                <w:rFonts w:asciiTheme="minorHAnsi" w:hAnsiTheme="minorHAnsi" w:cstheme="minorHAnsi"/>
                <w:color w:val="000000"/>
                <w:sz w:val="20"/>
                <w:szCs w:val="20"/>
              </w:rPr>
            </w:pPr>
          </w:p>
        </w:tc>
        <w:tc>
          <w:tcPr>
            <w:tcW w:w="135" w:type="pct"/>
            <w:tcBorders>
              <w:top w:val="nil"/>
              <w:left w:val="nil"/>
              <w:bottom w:val="nil"/>
              <w:right w:val="nil"/>
            </w:tcBorders>
            <w:noWrap/>
            <w:vAlign w:val="bottom"/>
            <w:hideMark/>
          </w:tcPr>
          <w:p w14:paraId="06DAB069" w14:textId="77777777" w:rsidR="00B454CE" w:rsidRPr="00B97C61" w:rsidRDefault="00B454CE" w:rsidP="00B454CE">
            <w:pPr>
              <w:rPr>
                <w:rFonts w:asciiTheme="minorHAnsi" w:hAnsiTheme="minorHAnsi" w:cstheme="minorHAnsi"/>
                <w:sz w:val="20"/>
                <w:szCs w:val="20"/>
              </w:rPr>
            </w:pPr>
          </w:p>
        </w:tc>
        <w:tc>
          <w:tcPr>
            <w:tcW w:w="135" w:type="pct"/>
            <w:tcBorders>
              <w:top w:val="nil"/>
              <w:left w:val="nil"/>
              <w:bottom w:val="nil"/>
              <w:right w:val="nil"/>
            </w:tcBorders>
            <w:noWrap/>
            <w:vAlign w:val="bottom"/>
            <w:hideMark/>
          </w:tcPr>
          <w:p w14:paraId="0EAE683E" w14:textId="77777777" w:rsidR="00B454CE" w:rsidRPr="00B97C61" w:rsidRDefault="00B454CE" w:rsidP="00B454CE">
            <w:pPr>
              <w:rPr>
                <w:rFonts w:asciiTheme="minorHAnsi" w:hAnsiTheme="minorHAnsi" w:cstheme="minorHAnsi"/>
                <w:sz w:val="20"/>
                <w:szCs w:val="20"/>
              </w:rPr>
            </w:pPr>
          </w:p>
        </w:tc>
        <w:tc>
          <w:tcPr>
            <w:tcW w:w="579" w:type="pct"/>
            <w:tcBorders>
              <w:top w:val="nil"/>
              <w:left w:val="nil"/>
              <w:bottom w:val="nil"/>
              <w:right w:val="nil"/>
            </w:tcBorders>
            <w:shd w:val="clear" w:color="auto" w:fill="F2F2F2" w:themeFill="background1" w:themeFillShade="F2"/>
            <w:noWrap/>
            <w:vAlign w:val="bottom"/>
          </w:tcPr>
          <w:p w14:paraId="53E1B98F" w14:textId="2EB487AE" w:rsidR="00B454CE" w:rsidRPr="00076008" w:rsidRDefault="00B454CE" w:rsidP="00B454CE">
            <w:pPr>
              <w:jc w:val="right"/>
              <w:rPr>
                <w:rFonts w:asciiTheme="minorHAnsi" w:hAnsiTheme="minorHAnsi" w:cstheme="minorHAnsi"/>
                <w:b/>
                <w:sz w:val="20"/>
                <w:szCs w:val="20"/>
              </w:rPr>
            </w:pPr>
            <w:r w:rsidRPr="00076008">
              <w:rPr>
                <w:rFonts w:asciiTheme="minorHAnsi" w:hAnsiTheme="minorHAnsi" w:cstheme="minorHAnsi"/>
                <w:b/>
                <w:sz w:val="20"/>
                <w:szCs w:val="20"/>
              </w:rPr>
              <w:t>-</w:t>
            </w:r>
          </w:p>
        </w:tc>
        <w:tc>
          <w:tcPr>
            <w:tcW w:w="733" w:type="pct"/>
            <w:tcBorders>
              <w:top w:val="nil"/>
              <w:left w:val="nil"/>
              <w:bottom w:val="nil"/>
              <w:right w:val="nil"/>
            </w:tcBorders>
            <w:vAlign w:val="bottom"/>
          </w:tcPr>
          <w:p w14:paraId="15989525" w14:textId="36B7359F" w:rsidR="00B454CE" w:rsidRPr="006D4208" w:rsidRDefault="00B454CE" w:rsidP="00B454CE">
            <w:pPr>
              <w:jc w:val="right"/>
              <w:rPr>
                <w:rFonts w:asciiTheme="minorHAnsi" w:hAnsiTheme="minorHAnsi" w:cstheme="minorHAnsi"/>
                <w:color w:val="000000"/>
                <w:sz w:val="20"/>
                <w:szCs w:val="20"/>
              </w:rPr>
            </w:pPr>
            <w:r w:rsidRPr="007A785D">
              <w:rPr>
                <w:rFonts w:asciiTheme="minorHAnsi" w:hAnsiTheme="minorHAnsi" w:cstheme="minorHAnsi"/>
                <w:bCs/>
                <w:color w:val="000000"/>
                <w:sz w:val="20"/>
                <w:szCs w:val="20"/>
              </w:rPr>
              <w:t>(</w:t>
            </w:r>
            <w:r w:rsidR="00662293">
              <w:rPr>
                <w:rFonts w:asciiTheme="minorHAnsi" w:hAnsiTheme="minorHAnsi" w:cstheme="minorHAnsi"/>
                <w:bCs/>
                <w:color w:val="000000"/>
                <w:sz w:val="20"/>
                <w:szCs w:val="20"/>
              </w:rPr>
              <w:t>3.1</w:t>
            </w:r>
            <w:r w:rsidRPr="007A785D">
              <w:rPr>
                <w:rFonts w:asciiTheme="minorHAnsi" w:hAnsiTheme="minorHAnsi" w:cstheme="minorHAnsi"/>
                <w:bCs/>
                <w:color w:val="000000"/>
                <w:sz w:val="20"/>
                <w:szCs w:val="20"/>
              </w:rPr>
              <w:t>)</w:t>
            </w:r>
          </w:p>
        </w:tc>
        <w:tc>
          <w:tcPr>
            <w:tcW w:w="587" w:type="pct"/>
            <w:tcBorders>
              <w:top w:val="nil"/>
              <w:left w:val="nil"/>
              <w:bottom w:val="nil"/>
              <w:right w:val="nil"/>
            </w:tcBorders>
            <w:noWrap/>
            <w:vAlign w:val="bottom"/>
          </w:tcPr>
          <w:p w14:paraId="199E5907" w14:textId="5EBC12F2" w:rsidR="00B454CE" w:rsidRPr="00AC0A40" w:rsidRDefault="00B454CE" w:rsidP="00B454CE">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r>
      <w:tr w:rsidR="00B454CE" w:rsidRPr="00B97C61" w14:paraId="33D6F6D7" w14:textId="77777777">
        <w:trPr>
          <w:trHeight w:val="288"/>
        </w:trPr>
        <w:tc>
          <w:tcPr>
            <w:tcW w:w="2696" w:type="pct"/>
            <w:tcBorders>
              <w:top w:val="nil"/>
              <w:left w:val="nil"/>
              <w:bottom w:val="nil"/>
              <w:right w:val="nil"/>
            </w:tcBorders>
            <w:noWrap/>
            <w:vAlign w:val="bottom"/>
            <w:hideMark/>
          </w:tcPr>
          <w:p w14:paraId="66054D71" w14:textId="3ED34AF5" w:rsidR="00B454CE" w:rsidRPr="00B97C61" w:rsidRDefault="00B454CE" w:rsidP="00B454CE">
            <w:pPr>
              <w:rPr>
                <w:rFonts w:asciiTheme="minorHAnsi" w:hAnsiTheme="minorHAnsi" w:cstheme="minorHAnsi"/>
                <w:color w:val="000000"/>
                <w:sz w:val="20"/>
                <w:szCs w:val="20"/>
              </w:rPr>
            </w:pPr>
            <w:r w:rsidRPr="00335753">
              <w:rPr>
                <w:rFonts w:asciiTheme="minorHAnsi" w:hAnsiTheme="minorHAnsi" w:cstheme="minorHAnsi"/>
                <w:color w:val="000000"/>
                <w:sz w:val="20"/>
                <w:szCs w:val="20"/>
              </w:rPr>
              <w:t>Other</w:t>
            </w:r>
          </w:p>
        </w:tc>
        <w:tc>
          <w:tcPr>
            <w:tcW w:w="135" w:type="pct"/>
            <w:tcBorders>
              <w:top w:val="nil"/>
              <w:left w:val="nil"/>
              <w:bottom w:val="nil"/>
              <w:right w:val="nil"/>
            </w:tcBorders>
            <w:noWrap/>
            <w:vAlign w:val="bottom"/>
            <w:hideMark/>
          </w:tcPr>
          <w:p w14:paraId="7478E09C" w14:textId="77777777" w:rsidR="00B454CE" w:rsidRPr="00B97C61" w:rsidRDefault="00B454CE" w:rsidP="00B454CE">
            <w:pPr>
              <w:rPr>
                <w:rFonts w:asciiTheme="minorHAnsi" w:hAnsiTheme="minorHAnsi" w:cstheme="minorHAnsi"/>
                <w:color w:val="000000"/>
                <w:sz w:val="20"/>
                <w:szCs w:val="20"/>
              </w:rPr>
            </w:pPr>
          </w:p>
        </w:tc>
        <w:tc>
          <w:tcPr>
            <w:tcW w:w="135" w:type="pct"/>
            <w:tcBorders>
              <w:top w:val="nil"/>
              <w:left w:val="nil"/>
              <w:bottom w:val="nil"/>
              <w:right w:val="nil"/>
            </w:tcBorders>
            <w:noWrap/>
            <w:vAlign w:val="bottom"/>
            <w:hideMark/>
          </w:tcPr>
          <w:p w14:paraId="5C4DA47A" w14:textId="77777777" w:rsidR="00B454CE" w:rsidRPr="00B97C61" w:rsidRDefault="00B454CE" w:rsidP="00B454CE">
            <w:pPr>
              <w:rPr>
                <w:rFonts w:asciiTheme="minorHAnsi" w:hAnsiTheme="minorHAnsi" w:cstheme="minorHAnsi"/>
                <w:sz w:val="20"/>
                <w:szCs w:val="20"/>
              </w:rPr>
            </w:pPr>
          </w:p>
        </w:tc>
        <w:tc>
          <w:tcPr>
            <w:tcW w:w="135" w:type="pct"/>
            <w:tcBorders>
              <w:top w:val="nil"/>
              <w:left w:val="nil"/>
              <w:bottom w:val="nil"/>
              <w:right w:val="nil"/>
            </w:tcBorders>
            <w:noWrap/>
            <w:vAlign w:val="bottom"/>
            <w:hideMark/>
          </w:tcPr>
          <w:p w14:paraId="29ABB410" w14:textId="77777777" w:rsidR="00B454CE" w:rsidRPr="00B97C61" w:rsidRDefault="00B454CE" w:rsidP="00B454CE">
            <w:pPr>
              <w:rPr>
                <w:rFonts w:asciiTheme="minorHAnsi" w:hAnsiTheme="minorHAnsi" w:cstheme="minorHAnsi"/>
                <w:sz w:val="20"/>
                <w:szCs w:val="20"/>
              </w:rPr>
            </w:pPr>
          </w:p>
        </w:tc>
        <w:tc>
          <w:tcPr>
            <w:tcW w:w="579" w:type="pct"/>
            <w:tcBorders>
              <w:top w:val="nil"/>
              <w:left w:val="nil"/>
              <w:bottom w:val="nil"/>
              <w:right w:val="nil"/>
            </w:tcBorders>
            <w:shd w:val="clear" w:color="auto" w:fill="F2F2F2" w:themeFill="background1" w:themeFillShade="F2"/>
            <w:noWrap/>
            <w:vAlign w:val="bottom"/>
          </w:tcPr>
          <w:p w14:paraId="3B279830" w14:textId="450502CA" w:rsidR="00B454CE" w:rsidRPr="00076008" w:rsidRDefault="00B454CE" w:rsidP="00B454CE">
            <w:pPr>
              <w:jc w:val="right"/>
              <w:rPr>
                <w:rFonts w:asciiTheme="minorHAnsi" w:hAnsiTheme="minorHAnsi" w:cstheme="minorHAnsi"/>
                <w:b/>
                <w:sz w:val="20"/>
                <w:szCs w:val="20"/>
              </w:rPr>
            </w:pPr>
            <w:r w:rsidRPr="00076008">
              <w:rPr>
                <w:rFonts w:asciiTheme="minorHAnsi" w:hAnsiTheme="minorHAnsi" w:cstheme="minorHAnsi"/>
                <w:b/>
                <w:sz w:val="20"/>
                <w:szCs w:val="20"/>
              </w:rPr>
              <w:t>0.3</w:t>
            </w:r>
          </w:p>
        </w:tc>
        <w:tc>
          <w:tcPr>
            <w:tcW w:w="733" w:type="pct"/>
            <w:tcBorders>
              <w:top w:val="nil"/>
              <w:left w:val="nil"/>
              <w:bottom w:val="nil"/>
              <w:right w:val="nil"/>
            </w:tcBorders>
            <w:vAlign w:val="bottom"/>
          </w:tcPr>
          <w:p w14:paraId="79064320" w14:textId="5F99E811" w:rsidR="00B454CE" w:rsidRPr="006D4208" w:rsidRDefault="00B454CE" w:rsidP="00B454CE">
            <w:pPr>
              <w:jc w:val="right"/>
              <w:rPr>
                <w:rFonts w:asciiTheme="minorHAnsi" w:hAnsiTheme="minorHAnsi" w:cstheme="minorHAnsi"/>
                <w:color w:val="000000"/>
                <w:sz w:val="20"/>
                <w:szCs w:val="20"/>
              </w:rPr>
            </w:pPr>
            <w:r w:rsidRPr="007A785D">
              <w:rPr>
                <w:rFonts w:asciiTheme="minorHAnsi" w:hAnsiTheme="minorHAnsi" w:cstheme="minorHAnsi"/>
                <w:bCs/>
                <w:color w:val="000000"/>
                <w:sz w:val="20"/>
                <w:szCs w:val="20"/>
              </w:rPr>
              <w:t>0.5</w:t>
            </w:r>
          </w:p>
        </w:tc>
        <w:tc>
          <w:tcPr>
            <w:tcW w:w="587" w:type="pct"/>
            <w:tcBorders>
              <w:top w:val="nil"/>
              <w:left w:val="nil"/>
              <w:bottom w:val="nil"/>
              <w:right w:val="nil"/>
            </w:tcBorders>
            <w:noWrap/>
            <w:vAlign w:val="bottom"/>
          </w:tcPr>
          <w:p w14:paraId="004A0CBA" w14:textId="702FB024" w:rsidR="00B454CE" w:rsidRPr="00AC0A40" w:rsidRDefault="00B454CE" w:rsidP="00B454CE">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r>
      <w:tr w:rsidR="00B454CE" w:rsidRPr="00B97C61" w14:paraId="2662B39A" w14:textId="77777777">
        <w:trPr>
          <w:trHeight w:val="288"/>
        </w:trPr>
        <w:tc>
          <w:tcPr>
            <w:tcW w:w="2696" w:type="pct"/>
            <w:tcBorders>
              <w:left w:val="nil"/>
              <w:right w:val="nil"/>
            </w:tcBorders>
            <w:noWrap/>
            <w:vAlign w:val="bottom"/>
            <w:hideMark/>
          </w:tcPr>
          <w:p w14:paraId="58C86395" w14:textId="77777777" w:rsidR="00B454CE" w:rsidRPr="00AB2BFC" w:rsidRDefault="00B454CE" w:rsidP="00B454CE">
            <w:pPr>
              <w:rPr>
                <w:rFonts w:asciiTheme="minorHAnsi" w:hAnsiTheme="minorHAnsi" w:cstheme="minorHAnsi"/>
                <w:b/>
                <w:bCs/>
                <w:color w:val="000000"/>
                <w:sz w:val="20"/>
                <w:szCs w:val="20"/>
              </w:rPr>
            </w:pPr>
            <w:r w:rsidRPr="00AB2BFC">
              <w:rPr>
                <w:rFonts w:asciiTheme="minorHAnsi" w:hAnsiTheme="minorHAnsi" w:cstheme="minorHAnsi"/>
                <w:b/>
                <w:bCs/>
                <w:color w:val="000000"/>
                <w:sz w:val="20"/>
                <w:szCs w:val="20"/>
              </w:rPr>
              <w:lastRenderedPageBreak/>
              <w:t>Total post model (under)/overlays</w:t>
            </w:r>
          </w:p>
        </w:tc>
        <w:tc>
          <w:tcPr>
            <w:tcW w:w="135" w:type="pct"/>
            <w:tcBorders>
              <w:left w:val="nil"/>
              <w:right w:val="nil"/>
            </w:tcBorders>
            <w:noWrap/>
            <w:vAlign w:val="bottom"/>
            <w:hideMark/>
          </w:tcPr>
          <w:p w14:paraId="1AA12C50" w14:textId="77777777" w:rsidR="00B454CE" w:rsidRPr="00B97C61" w:rsidRDefault="00B454CE" w:rsidP="00B454CE">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135" w:type="pct"/>
            <w:tcBorders>
              <w:left w:val="nil"/>
              <w:right w:val="nil"/>
            </w:tcBorders>
            <w:noWrap/>
            <w:vAlign w:val="bottom"/>
            <w:hideMark/>
          </w:tcPr>
          <w:p w14:paraId="342DC318" w14:textId="77777777" w:rsidR="00B454CE" w:rsidRPr="00B97C61" w:rsidRDefault="00B454CE" w:rsidP="00B454CE">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135" w:type="pct"/>
            <w:tcBorders>
              <w:left w:val="nil"/>
              <w:right w:val="nil"/>
            </w:tcBorders>
            <w:noWrap/>
            <w:vAlign w:val="bottom"/>
            <w:hideMark/>
          </w:tcPr>
          <w:p w14:paraId="5AA234E0" w14:textId="77777777" w:rsidR="00B454CE" w:rsidRPr="00B97C61" w:rsidRDefault="00B454CE" w:rsidP="00B454CE">
            <w:pPr>
              <w:rPr>
                <w:rFonts w:asciiTheme="minorHAnsi" w:hAnsiTheme="minorHAnsi" w:cstheme="minorHAnsi"/>
                <w:b/>
                <w:bCs/>
                <w:color w:val="000000"/>
                <w:sz w:val="20"/>
                <w:szCs w:val="20"/>
              </w:rPr>
            </w:pPr>
            <w:r w:rsidRPr="00B97C61">
              <w:rPr>
                <w:rFonts w:asciiTheme="minorHAnsi" w:hAnsiTheme="minorHAnsi" w:cstheme="minorHAnsi"/>
                <w:b/>
                <w:bCs/>
                <w:color w:val="000000"/>
                <w:sz w:val="20"/>
                <w:szCs w:val="20"/>
              </w:rPr>
              <w:t> </w:t>
            </w:r>
          </w:p>
        </w:tc>
        <w:tc>
          <w:tcPr>
            <w:tcW w:w="579" w:type="pct"/>
            <w:tcBorders>
              <w:top w:val="single" w:sz="4" w:space="0" w:color="auto"/>
              <w:left w:val="nil"/>
              <w:bottom w:val="single" w:sz="4" w:space="0" w:color="auto"/>
              <w:right w:val="nil"/>
            </w:tcBorders>
            <w:shd w:val="clear" w:color="auto" w:fill="F2F2F2" w:themeFill="background1" w:themeFillShade="F2"/>
            <w:noWrap/>
            <w:vAlign w:val="bottom"/>
            <w:hideMark/>
          </w:tcPr>
          <w:p w14:paraId="1BD36851" w14:textId="7D78A70A" w:rsidR="00B454CE" w:rsidRPr="00076008" w:rsidRDefault="00B454CE" w:rsidP="00B454CE">
            <w:pPr>
              <w:jc w:val="right"/>
              <w:rPr>
                <w:rFonts w:asciiTheme="minorHAnsi" w:hAnsiTheme="minorHAnsi" w:cstheme="minorHAnsi"/>
                <w:b/>
                <w:sz w:val="20"/>
                <w:szCs w:val="20"/>
              </w:rPr>
            </w:pPr>
            <w:r w:rsidRPr="00076008">
              <w:rPr>
                <w:rFonts w:asciiTheme="minorHAnsi" w:hAnsiTheme="minorHAnsi" w:cstheme="minorHAnsi"/>
                <w:b/>
                <w:sz w:val="20"/>
                <w:szCs w:val="20"/>
              </w:rPr>
              <w:t>(</w:t>
            </w:r>
            <w:r w:rsidR="00D64B27">
              <w:rPr>
                <w:rFonts w:asciiTheme="minorHAnsi" w:hAnsiTheme="minorHAnsi" w:cstheme="minorHAnsi"/>
                <w:b/>
                <w:sz w:val="20"/>
                <w:szCs w:val="20"/>
              </w:rPr>
              <w:t>1</w:t>
            </w:r>
            <w:r w:rsidRPr="00076008">
              <w:rPr>
                <w:rFonts w:asciiTheme="minorHAnsi" w:hAnsiTheme="minorHAnsi" w:cstheme="minorHAnsi"/>
                <w:b/>
                <w:sz w:val="20"/>
                <w:szCs w:val="20"/>
              </w:rPr>
              <w:t>.7)</w:t>
            </w:r>
          </w:p>
        </w:tc>
        <w:tc>
          <w:tcPr>
            <w:tcW w:w="733" w:type="pct"/>
            <w:tcBorders>
              <w:top w:val="single" w:sz="4" w:space="0" w:color="auto"/>
              <w:left w:val="nil"/>
              <w:bottom w:val="single" w:sz="4" w:space="0" w:color="auto"/>
              <w:right w:val="nil"/>
            </w:tcBorders>
            <w:vAlign w:val="bottom"/>
          </w:tcPr>
          <w:p w14:paraId="1855B755" w14:textId="13D7DBEC" w:rsidR="00B454CE" w:rsidRPr="006D4208" w:rsidRDefault="00B454CE" w:rsidP="00B454CE">
            <w:pPr>
              <w:jc w:val="right"/>
              <w:rPr>
                <w:rFonts w:asciiTheme="minorHAnsi" w:hAnsiTheme="minorHAnsi" w:cstheme="minorHAnsi"/>
                <w:color w:val="000000"/>
                <w:sz w:val="20"/>
                <w:szCs w:val="20"/>
              </w:rPr>
            </w:pPr>
            <w:r w:rsidRPr="007A785D">
              <w:rPr>
                <w:rFonts w:asciiTheme="minorHAnsi" w:hAnsiTheme="minorHAnsi" w:cstheme="minorHAnsi"/>
                <w:bCs/>
                <w:color w:val="000000"/>
                <w:sz w:val="20"/>
                <w:szCs w:val="20"/>
              </w:rPr>
              <w:t>3.2</w:t>
            </w:r>
          </w:p>
        </w:tc>
        <w:tc>
          <w:tcPr>
            <w:tcW w:w="587" w:type="pct"/>
            <w:tcBorders>
              <w:top w:val="single" w:sz="4" w:space="0" w:color="auto"/>
              <w:left w:val="nil"/>
              <w:bottom w:val="single" w:sz="4" w:space="0" w:color="auto"/>
              <w:right w:val="nil"/>
            </w:tcBorders>
            <w:noWrap/>
            <w:vAlign w:val="bottom"/>
          </w:tcPr>
          <w:p w14:paraId="2B66EB6E" w14:textId="2D839A91" w:rsidR="00B454CE" w:rsidRPr="00AC0A40" w:rsidRDefault="00B454CE" w:rsidP="00B454CE">
            <w:pPr>
              <w:jc w:val="right"/>
              <w:rPr>
                <w:rFonts w:asciiTheme="minorHAnsi" w:hAnsiTheme="minorHAnsi" w:cstheme="minorHAnsi"/>
                <w:bCs/>
                <w:color w:val="000000"/>
                <w:sz w:val="20"/>
                <w:szCs w:val="20"/>
              </w:rPr>
            </w:pPr>
            <w:r>
              <w:rPr>
                <w:rFonts w:asciiTheme="minorHAnsi" w:hAnsiTheme="minorHAnsi" w:cstheme="minorHAnsi"/>
                <w:bCs/>
                <w:color w:val="000000"/>
                <w:sz w:val="20"/>
                <w:szCs w:val="20"/>
              </w:rPr>
              <w:t>-</w:t>
            </w:r>
          </w:p>
        </w:tc>
      </w:tr>
    </w:tbl>
    <w:p w14:paraId="3F3D6FAB" w14:textId="77777777" w:rsidR="00425E71" w:rsidRDefault="00425E71"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p>
    <w:p w14:paraId="310E6919" w14:textId="10E2B1F0" w:rsidR="004C7182" w:rsidRDefault="004C7182"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r w:rsidRPr="0045374D">
        <w:rPr>
          <w:rFonts w:asciiTheme="minorHAnsi" w:hAnsiTheme="minorHAnsi" w:cs="Arial"/>
          <w:b/>
          <w:sz w:val="20"/>
          <w:szCs w:val="20"/>
          <w:vertAlign w:val="superscript"/>
        </w:rPr>
        <w:t>1</w:t>
      </w:r>
      <w:r>
        <w:rPr>
          <w:rFonts w:asciiTheme="minorHAnsi" w:hAnsiTheme="minorHAnsi" w:cs="Arial"/>
          <w:b/>
          <w:sz w:val="20"/>
          <w:szCs w:val="20"/>
        </w:rPr>
        <w:t xml:space="preserve"> </w:t>
      </w:r>
      <w:r w:rsidRPr="0045374D">
        <w:rPr>
          <w:rFonts w:asciiTheme="minorHAnsi" w:hAnsiTheme="minorHAnsi" w:cs="Arial"/>
          <w:bCs/>
          <w:sz w:val="20"/>
          <w:szCs w:val="20"/>
        </w:rPr>
        <w:t xml:space="preserve">Refer to accounting </w:t>
      </w:r>
      <w:proofErr w:type="spellStart"/>
      <w:r w:rsidRPr="0045374D">
        <w:rPr>
          <w:rFonts w:asciiTheme="minorHAnsi" w:hAnsiTheme="minorHAnsi" w:cs="Arial"/>
          <w:bCs/>
          <w:sz w:val="20"/>
          <w:szCs w:val="20"/>
        </w:rPr>
        <w:t>polices</w:t>
      </w:r>
      <w:proofErr w:type="spellEnd"/>
      <w:r w:rsidRPr="0045374D">
        <w:rPr>
          <w:rFonts w:asciiTheme="minorHAnsi" w:hAnsiTheme="minorHAnsi" w:cs="Arial"/>
          <w:bCs/>
          <w:sz w:val="20"/>
          <w:szCs w:val="20"/>
        </w:rPr>
        <w:t xml:space="preserve"> for details of representation of fraud costs</w:t>
      </w:r>
    </w:p>
    <w:p w14:paraId="6124B8AA" w14:textId="77777777" w:rsidR="004C7182" w:rsidRDefault="00E657A2" w:rsidP="00C11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E657A2">
        <w:rPr>
          <w:rFonts w:asciiTheme="minorHAnsi" w:hAnsiTheme="minorHAnsi" w:cs="Arial"/>
          <w:bCs/>
          <w:sz w:val="20"/>
          <w:szCs w:val="20"/>
        </w:rPr>
        <w:t xml:space="preserve"> </w:t>
      </w:r>
    </w:p>
    <w:p w14:paraId="70FAA918" w14:textId="63A0C82E" w:rsidR="00E657A2" w:rsidRPr="00902803" w:rsidRDefault="00165D5F" w:rsidP="00165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r w:rsidRPr="00902803">
        <w:rPr>
          <w:rFonts w:asciiTheme="minorHAnsi" w:hAnsiTheme="minorHAnsi" w:cs="Arial"/>
          <w:b/>
          <w:sz w:val="20"/>
          <w:szCs w:val="20"/>
        </w:rPr>
        <w:t xml:space="preserve">(a) </w:t>
      </w:r>
      <w:r w:rsidR="001C60A6" w:rsidRPr="00902803">
        <w:rPr>
          <w:rFonts w:asciiTheme="minorHAnsi" w:hAnsiTheme="minorHAnsi" w:cs="Arial"/>
          <w:b/>
          <w:sz w:val="20"/>
          <w:szCs w:val="20"/>
        </w:rPr>
        <w:t>Origination PD</w:t>
      </w:r>
      <w:r w:rsidR="00902803">
        <w:rPr>
          <w:rFonts w:asciiTheme="minorHAnsi" w:hAnsiTheme="minorHAnsi" w:cs="Arial"/>
          <w:b/>
          <w:sz w:val="20"/>
          <w:szCs w:val="20"/>
        </w:rPr>
        <w:t xml:space="preserve"> recalibration</w:t>
      </w:r>
    </w:p>
    <w:p w14:paraId="577AA9EC" w14:textId="7A8339C1" w:rsidR="00902803" w:rsidRPr="00902803" w:rsidRDefault="00D61DD0" w:rsidP="0090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902803">
        <w:rPr>
          <w:rFonts w:asciiTheme="minorHAnsi" w:hAnsiTheme="minorHAnsi" w:cs="Arial"/>
          <w:bCs/>
          <w:sz w:val="20"/>
          <w:szCs w:val="20"/>
        </w:rPr>
        <w:t>Monitoring of the o</w:t>
      </w:r>
      <w:r w:rsidR="007C4583" w:rsidRPr="007C4583">
        <w:rPr>
          <w:rFonts w:asciiTheme="minorHAnsi" w:hAnsiTheme="minorHAnsi" w:cs="Arial"/>
          <w:bCs/>
          <w:sz w:val="20"/>
          <w:szCs w:val="20"/>
        </w:rPr>
        <w:t>rigination 12-month Probability of Default</w:t>
      </w:r>
      <w:r w:rsidR="0071493F" w:rsidRPr="00902803">
        <w:rPr>
          <w:rFonts w:asciiTheme="minorHAnsi" w:hAnsiTheme="minorHAnsi" w:cs="Arial"/>
          <w:bCs/>
          <w:sz w:val="20"/>
          <w:szCs w:val="20"/>
        </w:rPr>
        <w:t xml:space="preserve"> </w:t>
      </w:r>
      <w:r w:rsidR="0071493F" w:rsidRPr="00F65331">
        <w:rPr>
          <w:rFonts w:asciiTheme="minorHAnsi" w:hAnsiTheme="minorHAnsi" w:cs="Arial"/>
          <w:bCs/>
          <w:sz w:val="20"/>
          <w:szCs w:val="20"/>
        </w:rPr>
        <w:t>indicated a recalibration was required</w:t>
      </w:r>
      <w:r w:rsidR="00902803" w:rsidRPr="00902803">
        <w:rPr>
          <w:rFonts w:asciiTheme="minorHAnsi" w:hAnsiTheme="minorHAnsi" w:cs="Arial"/>
          <w:bCs/>
          <w:sz w:val="20"/>
          <w:szCs w:val="20"/>
        </w:rPr>
        <w:t xml:space="preserve">. </w:t>
      </w:r>
      <w:r w:rsidR="00902803" w:rsidRPr="00A332ED">
        <w:rPr>
          <w:rFonts w:asciiTheme="minorHAnsi" w:hAnsiTheme="minorHAnsi" w:cs="Arial"/>
          <w:bCs/>
          <w:sz w:val="20"/>
          <w:szCs w:val="20"/>
        </w:rPr>
        <w:t xml:space="preserve">A </w:t>
      </w:r>
      <w:r w:rsidR="00F47994">
        <w:rPr>
          <w:rFonts w:asciiTheme="minorHAnsi" w:hAnsiTheme="minorHAnsi" w:cs="Arial"/>
          <w:bCs/>
          <w:sz w:val="20"/>
          <w:szCs w:val="20"/>
        </w:rPr>
        <w:t>model underlay</w:t>
      </w:r>
      <w:r w:rsidR="00902803" w:rsidRPr="00A332ED">
        <w:rPr>
          <w:rFonts w:asciiTheme="minorHAnsi" w:hAnsiTheme="minorHAnsi" w:cs="Arial"/>
          <w:bCs/>
          <w:sz w:val="20"/>
          <w:szCs w:val="20"/>
        </w:rPr>
        <w:t xml:space="preserve"> </w:t>
      </w:r>
      <w:r w:rsidR="00902803" w:rsidRPr="00902803">
        <w:rPr>
          <w:rFonts w:asciiTheme="minorHAnsi" w:hAnsiTheme="minorHAnsi" w:cs="Arial"/>
          <w:bCs/>
          <w:sz w:val="20"/>
          <w:szCs w:val="20"/>
        </w:rPr>
        <w:t>has been</w:t>
      </w:r>
      <w:r w:rsidR="00902803" w:rsidRPr="00A332ED">
        <w:rPr>
          <w:rFonts w:asciiTheme="minorHAnsi" w:hAnsiTheme="minorHAnsi" w:cs="Arial"/>
          <w:bCs/>
          <w:sz w:val="20"/>
          <w:szCs w:val="20"/>
        </w:rPr>
        <w:t xml:space="preserve"> recognised </w:t>
      </w:r>
      <w:r w:rsidR="00902803" w:rsidRPr="00902803">
        <w:rPr>
          <w:rFonts w:asciiTheme="minorHAnsi" w:hAnsiTheme="minorHAnsi" w:cs="Arial"/>
          <w:bCs/>
          <w:sz w:val="20"/>
          <w:szCs w:val="20"/>
        </w:rPr>
        <w:t>until the model can be updated in 2H25.</w:t>
      </w:r>
    </w:p>
    <w:p w14:paraId="279E9C7B" w14:textId="77777777" w:rsidR="00902803" w:rsidRDefault="00902803" w:rsidP="00165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color w:val="FF0000"/>
          <w:sz w:val="20"/>
          <w:szCs w:val="20"/>
        </w:rPr>
      </w:pPr>
    </w:p>
    <w:p w14:paraId="34767D1F" w14:textId="48884ABF" w:rsidR="00165D5F" w:rsidRPr="009A6C86" w:rsidRDefault="009A6C86" w:rsidP="00165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r w:rsidRPr="009A6C86">
        <w:rPr>
          <w:rFonts w:asciiTheme="minorHAnsi" w:hAnsiTheme="minorHAnsi" w:cs="Arial"/>
          <w:b/>
          <w:sz w:val="20"/>
          <w:szCs w:val="20"/>
        </w:rPr>
        <w:t>(</w:t>
      </w:r>
      <w:r w:rsidR="00076008">
        <w:rPr>
          <w:rFonts w:asciiTheme="minorHAnsi" w:hAnsiTheme="minorHAnsi" w:cs="Arial"/>
          <w:b/>
          <w:sz w:val="20"/>
          <w:szCs w:val="20"/>
        </w:rPr>
        <w:t>b</w:t>
      </w:r>
      <w:r w:rsidRPr="009A6C86">
        <w:rPr>
          <w:rFonts w:asciiTheme="minorHAnsi" w:hAnsiTheme="minorHAnsi" w:cs="Arial"/>
          <w:b/>
          <w:sz w:val="20"/>
          <w:szCs w:val="20"/>
        </w:rPr>
        <w:t>) Unsecured recoveries</w:t>
      </w:r>
    </w:p>
    <w:p w14:paraId="6BF5A9C7" w14:textId="70027E83" w:rsidR="0071493F" w:rsidRDefault="00A332ED" w:rsidP="00E9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Pr>
          <w:rFonts w:asciiTheme="minorHAnsi" w:hAnsiTheme="minorHAnsi" w:cs="Arial"/>
          <w:bCs/>
          <w:sz w:val="20"/>
          <w:szCs w:val="20"/>
        </w:rPr>
        <w:t xml:space="preserve">The </w:t>
      </w:r>
      <w:r w:rsidRPr="00A332ED">
        <w:rPr>
          <w:rFonts w:asciiTheme="minorHAnsi" w:hAnsiTheme="minorHAnsi" w:cs="Arial"/>
          <w:bCs/>
          <w:sz w:val="20"/>
          <w:szCs w:val="20"/>
        </w:rPr>
        <w:t xml:space="preserve"> </w:t>
      </w:r>
      <w:r w:rsidR="006954CE">
        <w:rPr>
          <w:rFonts w:asciiTheme="minorHAnsi" w:hAnsiTheme="minorHAnsi" w:cs="Arial"/>
          <w:bCs/>
          <w:sz w:val="20"/>
          <w:szCs w:val="20"/>
        </w:rPr>
        <w:t xml:space="preserve">LGD </w:t>
      </w:r>
      <w:r w:rsidRPr="00A332ED">
        <w:rPr>
          <w:rFonts w:asciiTheme="minorHAnsi" w:hAnsiTheme="minorHAnsi" w:cs="Arial"/>
          <w:bCs/>
          <w:sz w:val="20"/>
          <w:szCs w:val="20"/>
        </w:rPr>
        <w:t xml:space="preserve"> model requires updating to reflect </w:t>
      </w:r>
      <w:r w:rsidR="006954CE">
        <w:rPr>
          <w:rFonts w:asciiTheme="minorHAnsi" w:hAnsiTheme="minorHAnsi" w:cs="Arial"/>
          <w:bCs/>
          <w:sz w:val="20"/>
          <w:szCs w:val="20"/>
        </w:rPr>
        <w:t xml:space="preserve">the </w:t>
      </w:r>
      <w:r w:rsidRPr="00A332ED">
        <w:rPr>
          <w:rFonts w:asciiTheme="minorHAnsi" w:hAnsiTheme="minorHAnsi" w:cs="Arial"/>
          <w:bCs/>
          <w:sz w:val="20"/>
          <w:szCs w:val="20"/>
        </w:rPr>
        <w:t>charge-off policy</w:t>
      </w:r>
      <w:r>
        <w:rPr>
          <w:rFonts w:asciiTheme="minorHAnsi" w:hAnsiTheme="minorHAnsi" w:cs="Arial"/>
          <w:bCs/>
          <w:sz w:val="20"/>
          <w:szCs w:val="20"/>
        </w:rPr>
        <w:t xml:space="preserve"> implemented in </w:t>
      </w:r>
      <w:r w:rsidR="00E95BD0">
        <w:rPr>
          <w:rFonts w:asciiTheme="minorHAnsi" w:hAnsiTheme="minorHAnsi" w:cs="Arial"/>
          <w:bCs/>
          <w:sz w:val="20"/>
          <w:szCs w:val="20"/>
        </w:rPr>
        <w:t>2024</w:t>
      </w:r>
      <w:r w:rsidRPr="00A332ED">
        <w:rPr>
          <w:rFonts w:asciiTheme="minorHAnsi" w:hAnsiTheme="minorHAnsi" w:cs="Arial"/>
          <w:bCs/>
          <w:sz w:val="20"/>
          <w:szCs w:val="20"/>
        </w:rPr>
        <w:t>. A</w:t>
      </w:r>
      <w:r w:rsidR="00F47994">
        <w:rPr>
          <w:rFonts w:asciiTheme="minorHAnsi" w:hAnsiTheme="minorHAnsi" w:cs="Arial"/>
          <w:bCs/>
          <w:sz w:val="20"/>
          <w:szCs w:val="20"/>
        </w:rPr>
        <w:t xml:space="preserve"> model overlay</w:t>
      </w:r>
      <w:r w:rsidRPr="00A332ED">
        <w:rPr>
          <w:rFonts w:asciiTheme="minorHAnsi" w:hAnsiTheme="minorHAnsi" w:cs="Arial"/>
          <w:bCs/>
          <w:sz w:val="20"/>
          <w:szCs w:val="20"/>
        </w:rPr>
        <w:t xml:space="preserve"> </w:t>
      </w:r>
      <w:r w:rsidR="00E95BD0">
        <w:rPr>
          <w:rFonts w:asciiTheme="minorHAnsi" w:hAnsiTheme="minorHAnsi" w:cs="Arial"/>
          <w:bCs/>
          <w:sz w:val="20"/>
          <w:szCs w:val="20"/>
        </w:rPr>
        <w:t>has been</w:t>
      </w:r>
      <w:r w:rsidRPr="00A332ED">
        <w:rPr>
          <w:rFonts w:asciiTheme="minorHAnsi" w:hAnsiTheme="minorHAnsi" w:cs="Arial"/>
          <w:bCs/>
          <w:sz w:val="20"/>
          <w:szCs w:val="20"/>
        </w:rPr>
        <w:t xml:space="preserve"> recognised to </w:t>
      </w:r>
      <w:r w:rsidR="000F7810">
        <w:rPr>
          <w:rFonts w:asciiTheme="minorHAnsi" w:hAnsiTheme="minorHAnsi" w:cs="Arial"/>
          <w:bCs/>
          <w:sz w:val="20"/>
          <w:szCs w:val="20"/>
        </w:rPr>
        <w:t>until the model can be updated in 2H25.</w:t>
      </w:r>
    </w:p>
    <w:p w14:paraId="0BBAE4D1" w14:textId="77777777" w:rsidR="005C79E7" w:rsidRDefault="005C79E7" w:rsidP="00E9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p w14:paraId="2C03DD54" w14:textId="77288BE3" w:rsidR="00F65331" w:rsidRPr="00EA4350" w:rsidRDefault="00EA4350" w:rsidP="00F6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1D2600">
        <w:rPr>
          <w:rFonts w:asciiTheme="minorHAnsi" w:hAnsiTheme="minorHAnsi" w:cs="Arial"/>
          <w:b/>
          <w:sz w:val="20"/>
          <w:szCs w:val="20"/>
        </w:rPr>
        <w:t>(c</w:t>
      </w:r>
      <w:r w:rsidR="00F65331" w:rsidRPr="00F65331">
        <w:rPr>
          <w:rFonts w:asciiTheme="minorHAnsi" w:hAnsiTheme="minorHAnsi" w:cs="Arial"/>
          <w:b/>
          <w:bCs/>
          <w:sz w:val="20"/>
          <w:szCs w:val="20"/>
        </w:rPr>
        <w:t>) 12-month PD recalibration</w:t>
      </w:r>
    </w:p>
    <w:p w14:paraId="051B75E4" w14:textId="5DC71538" w:rsidR="00F65331" w:rsidRDefault="00F65331" w:rsidP="00F6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F65331">
        <w:rPr>
          <w:rFonts w:asciiTheme="minorHAnsi" w:hAnsiTheme="minorHAnsi" w:cs="Arial"/>
          <w:bCs/>
          <w:sz w:val="20"/>
          <w:szCs w:val="20"/>
        </w:rPr>
        <w:t xml:space="preserve">Monitoring of the 12-month PD model indicated a recalibration was required for the ‘up to date’ segment. A </w:t>
      </w:r>
      <w:r w:rsidR="00985362">
        <w:rPr>
          <w:rFonts w:asciiTheme="minorHAnsi" w:hAnsiTheme="minorHAnsi" w:cs="Arial"/>
          <w:bCs/>
          <w:sz w:val="20"/>
          <w:szCs w:val="20"/>
        </w:rPr>
        <w:t>model overlay</w:t>
      </w:r>
      <w:r w:rsidRPr="00F65331">
        <w:rPr>
          <w:rFonts w:asciiTheme="minorHAnsi" w:hAnsiTheme="minorHAnsi" w:cs="Arial"/>
          <w:bCs/>
          <w:sz w:val="20"/>
          <w:szCs w:val="20"/>
        </w:rPr>
        <w:t xml:space="preserve"> </w:t>
      </w:r>
      <w:r w:rsidR="00904CCF">
        <w:rPr>
          <w:rFonts w:asciiTheme="minorHAnsi" w:hAnsiTheme="minorHAnsi" w:cs="Arial"/>
          <w:bCs/>
          <w:sz w:val="20"/>
          <w:szCs w:val="20"/>
        </w:rPr>
        <w:t>was</w:t>
      </w:r>
      <w:r w:rsidRPr="00F65331">
        <w:rPr>
          <w:rFonts w:asciiTheme="minorHAnsi" w:hAnsiTheme="minorHAnsi" w:cs="Arial"/>
          <w:bCs/>
          <w:sz w:val="20"/>
          <w:szCs w:val="20"/>
        </w:rPr>
        <w:t xml:space="preserve"> recognised </w:t>
      </w:r>
      <w:r w:rsidR="00904CCF">
        <w:rPr>
          <w:rFonts w:asciiTheme="minorHAnsi" w:hAnsiTheme="minorHAnsi" w:cs="Arial"/>
          <w:bCs/>
          <w:sz w:val="20"/>
          <w:szCs w:val="20"/>
        </w:rPr>
        <w:t xml:space="preserve">in 2H24 and updated in the core model in </w:t>
      </w:r>
      <w:r w:rsidRPr="00F65331">
        <w:rPr>
          <w:rFonts w:asciiTheme="minorHAnsi" w:hAnsiTheme="minorHAnsi" w:cs="Arial"/>
          <w:bCs/>
          <w:sz w:val="20"/>
          <w:szCs w:val="20"/>
        </w:rPr>
        <w:t>2025.</w:t>
      </w:r>
    </w:p>
    <w:p w14:paraId="6072EA58" w14:textId="77777777" w:rsidR="001D2600" w:rsidRDefault="001D2600" w:rsidP="00F6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p w14:paraId="0DE4535D" w14:textId="6758767A" w:rsidR="00746460" w:rsidRPr="00F65331" w:rsidRDefault="00746460" w:rsidP="0074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bCs/>
          <w:sz w:val="20"/>
          <w:szCs w:val="20"/>
        </w:rPr>
      </w:pPr>
      <w:r w:rsidRPr="00F65331">
        <w:rPr>
          <w:rFonts w:asciiTheme="minorHAnsi" w:hAnsiTheme="minorHAnsi" w:cs="Arial"/>
          <w:b/>
          <w:bCs/>
          <w:sz w:val="20"/>
          <w:szCs w:val="20"/>
        </w:rPr>
        <w:t>(</w:t>
      </w:r>
      <w:r w:rsidR="001D2600">
        <w:rPr>
          <w:rFonts w:asciiTheme="minorHAnsi" w:hAnsiTheme="minorHAnsi" w:cs="Arial"/>
          <w:b/>
          <w:bCs/>
          <w:sz w:val="20"/>
          <w:szCs w:val="20"/>
        </w:rPr>
        <w:t>d</w:t>
      </w:r>
      <w:r w:rsidRPr="00F65331">
        <w:rPr>
          <w:rFonts w:asciiTheme="minorHAnsi" w:hAnsiTheme="minorHAnsi" w:cs="Arial"/>
          <w:b/>
          <w:bCs/>
          <w:sz w:val="20"/>
          <w:szCs w:val="20"/>
        </w:rPr>
        <w:t>) Macroeconomic model redevelopment</w:t>
      </w:r>
    </w:p>
    <w:p w14:paraId="0B5EC4B8" w14:textId="77777777" w:rsidR="00746460" w:rsidRDefault="00746460" w:rsidP="0074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F65331">
        <w:rPr>
          <w:rFonts w:asciiTheme="minorHAnsi" w:hAnsiTheme="minorHAnsi" w:cs="Arial"/>
          <w:bCs/>
          <w:sz w:val="20"/>
          <w:szCs w:val="20"/>
        </w:rPr>
        <w:t>Refer to Cards section for details.</w:t>
      </w:r>
    </w:p>
    <w:p w14:paraId="27C00DF6" w14:textId="77777777" w:rsidR="00746460" w:rsidRPr="00F65331" w:rsidRDefault="00746460" w:rsidP="00F6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p w14:paraId="0986629B" w14:textId="162886B8" w:rsidR="00F65331" w:rsidRPr="00F65331" w:rsidRDefault="00F65331" w:rsidP="00F6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bCs/>
          <w:sz w:val="20"/>
          <w:szCs w:val="20"/>
        </w:rPr>
      </w:pPr>
      <w:r w:rsidRPr="00F65331">
        <w:rPr>
          <w:rFonts w:asciiTheme="minorHAnsi" w:hAnsiTheme="minorHAnsi" w:cs="Arial"/>
          <w:b/>
          <w:bCs/>
          <w:sz w:val="20"/>
          <w:szCs w:val="20"/>
        </w:rPr>
        <w:t>(</w:t>
      </w:r>
      <w:r w:rsidR="001D2600">
        <w:rPr>
          <w:rFonts w:asciiTheme="minorHAnsi" w:hAnsiTheme="minorHAnsi" w:cs="Arial"/>
          <w:b/>
          <w:bCs/>
          <w:sz w:val="20"/>
          <w:szCs w:val="20"/>
        </w:rPr>
        <w:t>e</w:t>
      </w:r>
      <w:r w:rsidRPr="00F65331">
        <w:rPr>
          <w:rFonts w:asciiTheme="minorHAnsi" w:hAnsiTheme="minorHAnsi" w:cs="Arial"/>
          <w:b/>
          <w:bCs/>
          <w:sz w:val="20"/>
          <w:szCs w:val="20"/>
        </w:rPr>
        <w:t>) Macroeconomic LGD implementation</w:t>
      </w:r>
    </w:p>
    <w:p w14:paraId="03817F52" w14:textId="67E1BE2B" w:rsidR="00F65331" w:rsidRPr="00F65331" w:rsidRDefault="00F65331" w:rsidP="00F6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F65331">
        <w:rPr>
          <w:rFonts w:asciiTheme="minorHAnsi" w:hAnsiTheme="minorHAnsi" w:cs="Arial"/>
          <w:bCs/>
          <w:sz w:val="20"/>
          <w:szCs w:val="20"/>
        </w:rPr>
        <w:t>Refinements have been made to the macroeconomic LGD model implementation to</w:t>
      </w:r>
      <w:r w:rsidR="00ED5F3C">
        <w:rPr>
          <w:rFonts w:asciiTheme="minorHAnsi" w:hAnsiTheme="minorHAnsi" w:cs="Arial"/>
          <w:bCs/>
          <w:sz w:val="20"/>
          <w:szCs w:val="20"/>
        </w:rPr>
        <w:t>:</w:t>
      </w:r>
      <w:r w:rsidRPr="00F65331">
        <w:rPr>
          <w:rFonts w:asciiTheme="minorHAnsi" w:hAnsiTheme="minorHAnsi" w:cs="Arial"/>
          <w:bCs/>
          <w:sz w:val="20"/>
          <w:szCs w:val="20"/>
        </w:rPr>
        <w:t xml:space="preserve"> (</w:t>
      </w:r>
      <w:proofErr w:type="spellStart"/>
      <w:r w:rsidRPr="00F65331">
        <w:rPr>
          <w:rFonts w:asciiTheme="minorHAnsi" w:hAnsiTheme="minorHAnsi" w:cs="Arial"/>
          <w:bCs/>
          <w:sz w:val="20"/>
          <w:szCs w:val="20"/>
        </w:rPr>
        <w:t>i</w:t>
      </w:r>
      <w:proofErr w:type="spellEnd"/>
      <w:r w:rsidRPr="00F65331">
        <w:rPr>
          <w:rFonts w:asciiTheme="minorHAnsi" w:hAnsiTheme="minorHAnsi" w:cs="Arial"/>
          <w:bCs/>
          <w:sz w:val="20"/>
          <w:szCs w:val="20"/>
        </w:rPr>
        <w:t>) reflect an upside scenario;</w:t>
      </w:r>
    </w:p>
    <w:p w14:paraId="58CB7EB3" w14:textId="62327489" w:rsidR="00A23FE8" w:rsidRDefault="00F65331" w:rsidP="00A23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F65331">
        <w:rPr>
          <w:rFonts w:asciiTheme="minorHAnsi" w:hAnsiTheme="minorHAnsi" w:cs="Arial"/>
          <w:bCs/>
          <w:sz w:val="20"/>
          <w:szCs w:val="20"/>
        </w:rPr>
        <w:t xml:space="preserve">(ii) refine the shape of the scenarios; and (iii) enhance how the scenarios were being applied. </w:t>
      </w:r>
      <w:r w:rsidR="00A23FE8" w:rsidRPr="00F65331">
        <w:rPr>
          <w:rFonts w:asciiTheme="minorHAnsi" w:hAnsiTheme="minorHAnsi" w:cs="Arial"/>
          <w:bCs/>
          <w:sz w:val="20"/>
          <w:szCs w:val="20"/>
        </w:rPr>
        <w:t xml:space="preserve">A </w:t>
      </w:r>
      <w:r w:rsidR="00985362">
        <w:rPr>
          <w:rFonts w:asciiTheme="minorHAnsi" w:hAnsiTheme="minorHAnsi" w:cs="Arial"/>
          <w:bCs/>
          <w:sz w:val="20"/>
          <w:szCs w:val="20"/>
        </w:rPr>
        <w:t>model underlay</w:t>
      </w:r>
      <w:r w:rsidR="00A23FE8" w:rsidRPr="00F65331">
        <w:rPr>
          <w:rFonts w:asciiTheme="minorHAnsi" w:hAnsiTheme="minorHAnsi" w:cs="Arial"/>
          <w:bCs/>
          <w:sz w:val="20"/>
          <w:szCs w:val="20"/>
        </w:rPr>
        <w:t xml:space="preserve"> </w:t>
      </w:r>
      <w:r w:rsidR="00A23FE8">
        <w:rPr>
          <w:rFonts w:asciiTheme="minorHAnsi" w:hAnsiTheme="minorHAnsi" w:cs="Arial"/>
          <w:bCs/>
          <w:sz w:val="20"/>
          <w:szCs w:val="20"/>
        </w:rPr>
        <w:t>was</w:t>
      </w:r>
      <w:r w:rsidR="00A23FE8" w:rsidRPr="00F65331">
        <w:rPr>
          <w:rFonts w:asciiTheme="minorHAnsi" w:hAnsiTheme="minorHAnsi" w:cs="Arial"/>
          <w:bCs/>
          <w:sz w:val="20"/>
          <w:szCs w:val="20"/>
        </w:rPr>
        <w:t xml:space="preserve"> recognised </w:t>
      </w:r>
      <w:r w:rsidR="00A23FE8">
        <w:rPr>
          <w:rFonts w:asciiTheme="minorHAnsi" w:hAnsiTheme="minorHAnsi" w:cs="Arial"/>
          <w:bCs/>
          <w:sz w:val="20"/>
          <w:szCs w:val="20"/>
        </w:rPr>
        <w:t xml:space="preserve">in 2H24 and updated in the core model in </w:t>
      </w:r>
      <w:r w:rsidR="00A23FE8" w:rsidRPr="00F65331">
        <w:rPr>
          <w:rFonts w:asciiTheme="minorHAnsi" w:hAnsiTheme="minorHAnsi" w:cs="Arial"/>
          <w:bCs/>
          <w:sz w:val="20"/>
          <w:szCs w:val="20"/>
        </w:rPr>
        <w:t>2025.</w:t>
      </w:r>
    </w:p>
    <w:p w14:paraId="413DA8C3" w14:textId="77777777" w:rsidR="00D43E6A" w:rsidRPr="00F65331" w:rsidRDefault="00D43E6A" w:rsidP="00F6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p w14:paraId="1A78BDD0" w14:textId="3F422F6D" w:rsidR="00F65331" w:rsidRPr="00F65331" w:rsidRDefault="00F65331" w:rsidP="00F6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bCs/>
          <w:sz w:val="20"/>
          <w:szCs w:val="20"/>
        </w:rPr>
      </w:pPr>
      <w:r w:rsidRPr="00F65331">
        <w:rPr>
          <w:rFonts w:asciiTheme="minorHAnsi" w:hAnsiTheme="minorHAnsi" w:cs="Arial"/>
          <w:b/>
          <w:bCs/>
          <w:sz w:val="20"/>
          <w:szCs w:val="20"/>
        </w:rPr>
        <w:t>(</w:t>
      </w:r>
      <w:r w:rsidR="001D2600">
        <w:rPr>
          <w:rFonts w:asciiTheme="minorHAnsi" w:hAnsiTheme="minorHAnsi" w:cs="Arial"/>
          <w:b/>
          <w:bCs/>
          <w:sz w:val="20"/>
          <w:szCs w:val="20"/>
        </w:rPr>
        <w:t>f</w:t>
      </w:r>
      <w:r w:rsidRPr="00F65331">
        <w:rPr>
          <w:rFonts w:asciiTheme="minorHAnsi" w:hAnsiTheme="minorHAnsi" w:cs="Arial"/>
          <w:b/>
          <w:bCs/>
          <w:sz w:val="20"/>
          <w:szCs w:val="20"/>
        </w:rPr>
        <w:t>) LGD recalibration</w:t>
      </w:r>
    </w:p>
    <w:p w14:paraId="2516892A" w14:textId="0968FB44" w:rsidR="00F65331" w:rsidRPr="00F65331" w:rsidRDefault="00F65331" w:rsidP="00F6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F65331">
        <w:rPr>
          <w:rFonts w:asciiTheme="minorHAnsi" w:hAnsiTheme="minorHAnsi" w:cs="Arial"/>
          <w:bCs/>
          <w:sz w:val="20"/>
          <w:szCs w:val="20"/>
        </w:rPr>
        <w:t>Following the introduction of the charge-off process and the revised definition of default during 2024</w:t>
      </w:r>
      <w:r w:rsidR="00774F5A">
        <w:rPr>
          <w:rFonts w:asciiTheme="minorHAnsi" w:hAnsiTheme="minorHAnsi" w:cs="Arial"/>
          <w:bCs/>
          <w:sz w:val="20"/>
          <w:szCs w:val="20"/>
        </w:rPr>
        <w:t>,</w:t>
      </w:r>
      <w:r w:rsidRPr="00F65331">
        <w:rPr>
          <w:rFonts w:asciiTheme="minorHAnsi" w:hAnsiTheme="minorHAnsi" w:cs="Arial"/>
          <w:bCs/>
          <w:sz w:val="20"/>
          <w:szCs w:val="20"/>
        </w:rPr>
        <w:t xml:space="preserve"> calibrations were</w:t>
      </w:r>
    </w:p>
    <w:p w14:paraId="05F03D54" w14:textId="05C3439D" w:rsidR="00170439" w:rsidRPr="00B5640B" w:rsidRDefault="00F65331" w:rsidP="00B5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F65331">
        <w:rPr>
          <w:rFonts w:asciiTheme="minorHAnsi" w:hAnsiTheme="minorHAnsi" w:cs="Arial"/>
          <w:bCs/>
          <w:sz w:val="20"/>
          <w:szCs w:val="20"/>
        </w:rPr>
        <w:t xml:space="preserve">required to components of the LGD model. </w:t>
      </w:r>
      <w:r w:rsidR="00A23FE8" w:rsidRPr="00F65331">
        <w:rPr>
          <w:rFonts w:asciiTheme="minorHAnsi" w:hAnsiTheme="minorHAnsi" w:cs="Arial"/>
          <w:bCs/>
          <w:sz w:val="20"/>
          <w:szCs w:val="20"/>
        </w:rPr>
        <w:t>A</w:t>
      </w:r>
      <w:r w:rsidR="00985362">
        <w:rPr>
          <w:rFonts w:asciiTheme="minorHAnsi" w:hAnsiTheme="minorHAnsi" w:cs="Arial"/>
          <w:bCs/>
          <w:sz w:val="20"/>
          <w:szCs w:val="20"/>
        </w:rPr>
        <w:t xml:space="preserve"> model underlay</w:t>
      </w:r>
      <w:r w:rsidR="00A23FE8" w:rsidRPr="00F65331">
        <w:rPr>
          <w:rFonts w:asciiTheme="minorHAnsi" w:hAnsiTheme="minorHAnsi" w:cs="Arial"/>
          <w:bCs/>
          <w:sz w:val="20"/>
          <w:szCs w:val="20"/>
        </w:rPr>
        <w:t xml:space="preserve"> </w:t>
      </w:r>
      <w:r w:rsidR="00A23FE8">
        <w:rPr>
          <w:rFonts w:asciiTheme="minorHAnsi" w:hAnsiTheme="minorHAnsi" w:cs="Arial"/>
          <w:bCs/>
          <w:sz w:val="20"/>
          <w:szCs w:val="20"/>
        </w:rPr>
        <w:t>was</w:t>
      </w:r>
      <w:r w:rsidR="00A23FE8" w:rsidRPr="00F65331">
        <w:rPr>
          <w:rFonts w:asciiTheme="minorHAnsi" w:hAnsiTheme="minorHAnsi" w:cs="Arial"/>
          <w:bCs/>
          <w:sz w:val="20"/>
          <w:szCs w:val="20"/>
        </w:rPr>
        <w:t xml:space="preserve"> recognised </w:t>
      </w:r>
      <w:r w:rsidR="00A23FE8">
        <w:rPr>
          <w:rFonts w:asciiTheme="minorHAnsi" w:hAnsiTheme="minorHAnsi" w:cs="Arial"/>
          <w:bCs/>
          <w:sz w:val="20"/>
          <w:szCs w:val="20"/>
        </w:rPr>
        <w:t xml:space="preserve">in 2H24 and updated in the core model in </w:t>
      </w:r>
      <w:r w:rsidR="00A23FE8" w:rsidRPr="00F65331">
        <w:rPr>
          <w:rFonts w:asciiTheme="minorHAnsi" w:hAnsiTheme="minorHAnsi" w:cs="Arial"/>
          <w:bCs/>
          <w:sz w:val="20"/>
          <w:szCs w:val="20"/>
        </w:rPr>
        <w:t>2025.</w:t>
      </w:r>
    </w:p>
    <w:p w14:paraId="083C21FB" w14:textId="77777777" w:rsidR="00170439" w:rsidRDefault="00170439"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p w14:paraId="2492374C" w14:textId="63D4D20D"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B97C61">
        <w:rPr>
          <w:rFonts w:asciiTheme="minorHAnsi" w:hAnsiTheme="minorHAnsi" w:cs="Arial"/>
          <w:bCs/>
          <w:sz w:val="20"/>
          <w:szCs w:val="20"/>
        </w:rPr>
        <w:t>The impairment charge</w:t>
      </w:r>
      <w:r w:rsidR="00A73229">
        <w:rPr>
          <w:rFonts w:asciiTheme="minorHAnsi" w:hAnsiTheme="minorHAnsi" w:cs="Arial"/>
          <w:bCs/>
          <w:sz w:val="20"/>
          <w:szCs w:val="20"/>
        </w:rPr>
        <w:t>/(credit)</w:t>
      </w:r>
      <w:r w:rsidRPr="00B97C61">
        <w:rPr>
          <w:rFonts w:asciiTheme="minorHAnsi" w:hAnsiTheme="minorHAnsi" w:cs="Arial"/>
          <w:bCs/>
          <w:sz w:val="20"/>
          <w:szCs w:val="20"/>
        </w:rPr>
        <w:t xml:space="preserve"> in respect of amounts receivable from customers can be analysed as follows:</w:t>
      </w:r>
    </w:p>
    <w:p w14:paraId="1E82ED1F" w14:textId="77777777" w:rsidR="008D4DA0" w:rsidRDefault="008D4DA0"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tbl>
      <w:tblPr>
        <w:tblW w:w="5000" w:type="pct"/>
        <w:tblLook w:val="0000" w:firstRow="0" w:lastRow="0" w:firstColumn="0" w:lastColumn="0" w:noHBand="0" w:noVBand="0"/>
      </w:tblPr>
      <w:tblGrid>
        <w:gridCol w:w="7452"/>
        <w:gridCol w:w="1083"/>
        <w:gridCol w:w="1188"/>
      </w:tblGrid>
      <w:tr w:rsidR="008D4DA0" w:rsidRPr="00B97C61" w14:paraId="50757B48" w14:textId="77777777" w:rsidTr="003B7755">
        <w:tc>
          <w:tcPr>
            <w:tcW w:w="3832" w:type="pct"/>
            <w:vAlign w:val="bottom"/>
          </w:tcPr>
          <w:p w14:paraId="42215FB4" w14:textId="77777777" w:rsidR="008D4DA0" w:rsidRPr="00B97C61" w:rsidRDefault="008D4DA0">
            <w:pPr>
              <w:rPr>
                <w:rFonts w:asciiTheme="minorHAnsi" w:hAnsiTheme="minorHAnsi" w:cs="Arial"/>
                <w:sz w:val="20"/>
                <w:szCs w:val="20"/>
              </w:rPr>
            </w:pPr>
          </w:p>
        </w:tc>
        <w:tc>
          <w:tcPr>
            <w:tcW w:w="1168" w:type="pct"/>
            <w:gridSpan w:val="2"/>
            <w:vAlign w:val="bottom"/>
          </w:tcPr>
          <w:p w14:paraId="15614A8B" w14:textId="77777777" w:rsidR="008D4DA0" w:rsidRPr="00B97C61" w:rsidRDefault="008D4DA0">
            <w:pPr>
              <w:jc w:val="right"/>
              <w:rPr>
                <w:rFonts w:asciiTheme="minorHAnsi" w:hAnsiTheme="minorHAnsi" w:cs="Arial"/>
                <w:sz w:val="20"/>
                <w:szCs w:val="20"/>
              </w:rPr>
            </w:pPr>
            <w:r>
              <w:rPr>
                <w:rFonts w:asciiTheme="minorHAnsi" w:hAnsiTheme="minorHAnsi" w:cs="Arial"/>
                <w:sz w:val="20"/>
                <w:szCs w:val="20"/>
              </w:rPr>
              <w:t>Six months ended</w:t>
            </w:r>
          </w:p>
        </w:tc>
      </w:tr>
      <w:tr w:rsidR="008D4DA0" w:rsidRPr="00B97C61" w14:paraId="777B153D" w14:textId="77777777" w:rsidTr="003B7755">
        <w:tc>
          <w:tcPr>
            <w:tcW w:w="3832" w:type="pct"/>
            <w:vAlign w:val="bottom"/>
          </w:tcPr>
          <w:p w14:paraId="46074941" w14:textId="77777777" w:rsidR="008D4DA0" w:rsidRPr="00B97C61" w:rsidRDefault="008D4DA0">
            <w:pPr>
              <w:rPr>
                <w:rFonts w:asciiTheme="minorHAnsi" w:hAnsiTheme="minorHAnsi" w:cs="Arial"/>
                <w:sz w:val="20"/>
                <w:szCs w:val="20"/>
              </w:rPr>
            </w:pPr>
          </w:p>
        </w:tc>
        <w:tc>
          <w:tcPr>
            <w:tcW w:w="557" w:type="pct"/>
            <w:shd w:val="clear" w:color="auto" w:fill="F2F2F2" w:themeFill="background1" w:themeFillShade="F2"/>
            <w:vAlign w:val="bottom"/>
          </w:tcPr>
          <w:p w14:paraId="0CECA907" w14:textId="77777777" w:rsidR="007318F1" w:rsidRDefault="008D4DA0" w:rsidP="007318F1">
            <w:pPr>
              <w:jc w:val="right"/>
              <w:rPr>
                <w:rFonts w:asciiTheme="minorHAnsi" w:hAnsiTheme="minorHAnsi" w:cs="Arial"/>
                <w:b/>
                <w:sz w:val="20"/>
                <w:szCs w:val="20"/>
              </w:rPr>
            </w:pPr>
            <w:r w:rsidRPr="00EF43FB">
              <w:rPr>
                <w:rFonts w:asciiTheme="minorHAnsi" w:hAnsiTheme="minorHAnsi" w:cs="Arial"/>
                <w:b/>
                <w:sz w:val="20"/>
                <w:szCs w:val="20"/>
              </w:rPr>
              <w:t>202</w:t>
            </w:r>
            <w:r>
              <w:rPr>
                <w:rFonts w:asciiTheme="minorHAnsi" w:hAnsiTheme="minorHAnsi" w:cs="Arial"/>
                <w:b/>
                <w:sz w:val="20"/>
                <w:szCs w:val="20"/>
              </w:rPr>
              <w:t>5</w:t>
            </w:r>
          </w:p>
          <w:p w14:paraId="215A344E" w14:textId="189E5341" w:rsidR="008D4DA0" w:rsidRPr="00EF43FB" w:rsidRDefault="007318F1" w:rsidP="008D4DA0">
            <w:pPr>
              <w:jc w:val="right"/>
              <w:rPr>
                <w:rFonts w:asciiTheme="minorHAnsi" w:hAnsiTheme="minorHAnsi" w:cs="Arial"/>
                <w:b/>
                <w:sz w:val="20"/>
                <w:szCs w:val="20"/>
              </w:rPr>
            </w:pPr>
            <w:r>
              <w:rPr>
                <w:rFonts w:asciiTheme="minorHAnsi" w:hAnsiTheme="minorHAnsi" w:cs="Arial"/>
                <w:b/>
                <w:sz w:val="20"/>
                <w:szCs w:val="20"/>
              </w:rPr>
              <w:t>unaudited</w:t>
            </w:r>
          </w:p>
        </w:tc>
        <w:tc>
          <w:tcPr>
            <w:tcW w:w="611" w:type="pct"/>
            <w:vAlign w:val="bottom"/>
          </w:tcPr>
          <w:p w14:paraId="3EBC1FAA" w14:textId="2DAAB93C" w:rsidR="008D4DA0" w:rsidRDefault="008D4DA0" w:rsidP="008D4DA0">
            <w:pPr>
              <w:jc w:val="right"/>
              <w:rPr>
                <w:rFonts w:asciiTheme="minorHAnsi" w:hAnsiTheme="minorHAnsi" w:cs="Arial"/>
                <w:sz w:val="20"/>
                <w:szCs w:val="20"/>
              </w:rPr>
            </w:pPr>
            <w:r w:rsidRPr="00B97C61">
              <w:rPr>
                <w:rFonts w:asciiTheme="minorHAnsi" w:hAnsiTheme="minorHAnsi" w:cs="Arial"/>
                <w:sz w:val="20"/>
                <w:szCs w:val="20"/>
              </w:rPr>
              <w:t>202</w:t>
            </w:r>
            <w:r>
              <w:rPr>
                <w:rFonts w:asciiTheme="minorHAnsi" w:hAnsiTheme="minorHAnsi" w:cs="Arial"/>
                <w:sz w:val="20"/>
                <w:szCs w:val="20"/>
              </w:rPr>
              <w:t>4</w:t>
            </w:r>
            <w:r w:rsidR="000C6DDD" w:rsidRPr="000C6DDD">
              <w:rPr>
                <w:rFonts w:asciiTheme="minorHAnsi" w:hAnsiTheme="minorHAnsi" w:cs="Arial"/>
                <w:sz w:val="20"/>
                <w:szCs w:val="20"/>
                <w:vertAlign w:val="superscript"/>
              </w:rPr>
              <w:t>1</w:t>
            </w:r>
          </w:p>
          <w:p w14:paraId="28664BEA" w14:textId="7EB12DCA" w:rsidR="008D4DA0" w:rsidRPr="00B97C61" w:rsidRDefault="007318F1" w:rsidP="008D4DA0">
            <w:pPr>
              <w:jc w:val="right"/>
              <w:rPr>
                <w:rFonts w:asciiTheme="minorHAnsi" w:hAnsiTheme="minorHAnsi" w:cs="Arial"/>
                <w:sz w:val="20"/>
                <w:szCs w:val="20"/>
              </w:rPr>
            </w:pPr>
            <w:r>
              <w:rPr>
                <w:rFonts w:asciiTheme="minorHAnsi" w:hAnsiTheme="minorHAnsi" w:cs="Arial"/>
                <w:sz w:val="20"/>
                <w:szCs w:val="20"/>
              </w:rPr>
              <w:t>unaudited</w:t>
            </w:r>
          </w:p>
        </w:tc>
      </w:tr>
      <w:tr w:rsidR="008D4DA0" w:rsidRPr="00B97C61" w14:paraId="08D6D747" w14:textId="77777777" w:rsidTr="003B7755">
        <w:tc>
          <w:tcPr>
            <w:tcW w:w="3832" w:type="pct"/>
            <w:vAlign w:val="bottom"/>
          </w:tcPr>
          <w:p w14:paraId="47EABF11" w14:textId="77777777" w:rsidR="008D4DA0" w:rsidRPr="00B97C61" w:rsidRDefault="008D4DA0">
            <w:pPr>
              <w:rPr>
                <w:rFonts w:asciiTheme="minorHAnsi" w:hAnsiTheme="minorHAnsi" w:cs="Arial"/>
                <w:bCs/>
                <w:sz w:val="20"/>
                <w:szCs w:val="20"/>
              </w:rPr>
            </w:pPr>
          </w:p>
        </w:tc>
        <w:tc>
          <w:tcPr>
            <w:tcW w:w="557" w:type="pct"/>
            <w:tcBorders>
              <w:top w:val="nil"/>
              <w:left w:val="nil"/>
              <w:bottom w:val="single" w:sz="4" w:space="0" w:color="auto"/>
              <w:right w:val="nil"/>
            </w:tcBorders>
            <w:shd w:val="clear" w:color="auto" w:fill="F2F2F2" w:themeFill="background1" w:themeFillShade="F2"/>
            <w:vAlign w:val="bottom"/>
          </w:tcPr>
          <w:p w14:paraId="13B0DD66" w14:textId="77777777" w:rsidR="008D4DA0" w:rsidRPr="00EF43FB" w:rsidRDefault="008D4DA0">
            <w:pPr>
              <w:jc w:val="right"/>
              <w:rPr>
                <w:rFonts w:asciiTheme="minorHAnsi" w:hAnsiTheme="minorHAnsi" w:cs="Arial"/>
                <w:b/>
                <w:sz w:val="20"/>
                <w:szCs w:val="20"/>
              </w:rPr>
            </w:pPr>
            <w:r w:rsidRPr="00EF43FB">
              <w:rPr>
                <w:rFonts w:asciiTheme="minorHAnsi" w:hAnsiTheme="minorHAnsi" w:cs="Arial"/>
                <w:b/>
                <w:sz w:val="20"/>
                <w:szCs w:val="20"/>
              </w:rPr>
              <w:t>£m </w:t>
            </w:r>
          </w:p>
        </w:tc>
        <w:tc>
          <w:tcPr>
            <w:tcW w:w="611" w:type="pct"/>
            <w:tcBorders>
              <w:top w:val="nil"/>
              <w:left w:val="nil"/>
              <w:bottom w:val="single" w:sz="4" w:space="0" w:color="auto"/>
              <w:right w:val="nil"/>
            </w:tcBorders>
            <w:vAlign w:val="bottom"/>
          </w:tcPr>
          <w:p w14:paraId="032A4CF4" w14:textId="77777777" w:rsidR="008D4DA0" w:rsidRPr="00B97C61" w:rsidRDefault="008D4DA0">
            <w:pPr>
              <w:jc w:val="right"/>
              <w:rPr>
                <w:rFonts w:asciiTheme="minorHAnsi" w:hAnsiTheme="minorHAnsi" w:cs="Arial"/>
                <w:sz w:val="20"/>
                <w:szCs w:val="20"/>
              </w:rPr>
            </w:pPr>
            <w:r w:rsidRPr="00B97C61">
              <w:rPr>
                <w:rFonts w:asciiTheme="minorHAnsi" w:hAnsiTheme="minorHAnsi" w:cs="Arial"/>
                <w:sz w:val="20"/>
                <w:szCs w:val="20"/>
              </w:rPr>
              <w:t>£m </w:t>
            </w:r>
          </w:p>
        </w:tc>
      </w:tr>
      <w:tr w:rsidR="008D4DA0" w:rsidRPr="00B97C61" w14:paraId="51329ECB" w14:textId="77777777" w:rsidTr="003B7755">
        <w:tc>
          <w:tcPr>
            <w:tcW w:w="3832" w:type="pct"/>
            <w:vAlign w:val="bottom"/>
          </w:tcPr>
          <w:p w14:paraId="350D7FD6" w14:textId="77777777" w:rsidR="008D4DA0" w:rsidRPr="00B97C61" w:rsidRDefault="008D4DA0">
            <w:pPr>
              <w:rPr>
                <w:rFonts w:asciiTheme="minorHAnsi" w:hAnsiTheme="minorHAnsi" w:cs="Arial"/>
                <w:sz w:val="20"/>
                <w:szCs w:val="20"/>
              </w:rPr>
            </w:pPr>
            <w:r w:rsidRPr="00B97C61">
              <w:rPr>
                <w:rFonts w:asciiTheme="minorHAnsi" w:hAnsiTheme="minorHAnsi" w:cs="Arial"/>
                <w:sz w:val="20"/>
                <w:szCs w:val="20"/>
              </w:rPr>
              <w:t>Credit cards</w:t>
            </w:r>
          </w:p>
        </w:tc>
        <w:tc>
          <w:tcPr>
            <w:tcW w:w="557" w:type="pct"/>
            <w:shd w:val="clear" w:color="auto" w:fill="F2F2F2" w:themeFill="background1" w:themeFillShade="F2"/>
            <w:vAlign w:val="bottom"/>
          </w:tcPr>
          <w:p w14:paraId="61EDF252" w14:textId="72CCC4B9" w:rsidR="008D4DA0" w:rsidRPr="006D4208" w:rsidRDefault="007B1818">
            <w:pPr>
              <w:jc w:val="right"/>
              <w:rPr>
                <w:rFonts w:asciiTheme="minorHAnsi" w:hAnsiTheme="minorHAnsi" w:cs="Arial"/>
                <w:b/>
                <w:sz w:val="20"/>
                <w:szCs w:val="20"/>
              </w:rPr>
            </w:pPr>
            <w:r>
              <w:rPr>
                <w:rFonts w:asciiTheme="minorHAnsi" w:hAnsiTheme="minorHAnsi" w:cs="Arial"/>
                <w:b/>
                <w:sz w:val="20"/>
                <w:szCs w:val="20"/>
              </w:rPr>
              <w:t>64.0</w:t>
            </w:r>
          </w:p>
        </w:tc>
        <w:tc>
          <w:tcPr>
            <w:tcW w:w="611" w:type="pct"/>
            <w:vAlign w:val="bottom"/>
          </w:tcPr>
          <w:p w14:paraId="00763096" w14:textId="147DE066" w:rsidR="008D4DA0" w:rsidRPr="006D4208" w:rsidRDefault="00AB1C90">
            <w:pPr>
              <w:jc w:val="right"/>
              <w:rPr>
                <w:rFonts w:asciiTheme="minorHAnsi" w:hAnsiTheme="minorHAnsi" w:cs="Arial"/>
                <w:sz w:val="20"/>
                <w:szCs w:val="20"/>
              </w:rPr>
            </w:pPr>
            <w:r w:rsidRPr="00AB1C90">
              <w:rPr>
                <w:rFonts w:asciiTheme="minorHAnsi" w:hAnsiTheme="minorHAnsi" w:cs="Arial"/>
                <w:bCs/>
                <w:sz w:val="20"/>
                <w:szCs w:val="20"/>
              </w:rPr>
              <w:t>6</w:t>
            </w:r>
            <w:r w:rsidR="00225C84">
              <w:rPr>
                <w:rFonts w:asciiTheme="minorHAnsi" w:hAnsiTheme="minorHAnsi" w:cs="Arial"/>
                <w:bCs/>
                <w:sz w:val="20"/>
                <w:szCs w:val="20"/>
              </w:rPr>
              <w:t>3.5</w:t>
            </w:r>
          </w:p>
        </w:tc>
      </w:tr>
      <w:tr w:rsidR="008D4DA0" w:rsidRPr="00B97C61" w14:paraId="7434987E" w14:textId="77777777" w:rsidTr="003B7755">
        <w:tc>
          <w:tcPr>
            <w:tcW w:w="3832" w:type="pct"/>
            <w:vAlign w:val="bottom"/>
          </w:tcPr>
          <w:p w14:paraId="1E02A359" w14:textId="77777777" w:rsidR="008D4DA0" w:rsidRPr="00B97C61" w:rsidRDefault="008D4DA0">
            <w:pPr>
              <w:rPr>
                <w:rFonts w:asciiTheme="minorHAnsi" w:hAnsiTheme="minorHAnsi" w:cs="Arial"/>
                <w:sz w:val="20"/>
                <w:szCs w:val="20"/>
              </w:rPr>
            </w:pPr>
            <w:r w:rsidRPr="00B97C61">
              <w:rPr>
                <w:rFonts w:asciiTheme="minorHAnsi" w:hAnsiTheme="minorHAnsi" w:cs="Arial"/>
                <w:sz w:val="20"/>
                <w:szCs w:val="20"/>
              </w:rPr>
              <w:t>Vehicle finance</w:t>
            </w:r>
          </w:p>
        </w:tc>
        <w:tc>
          <w:tcPr>
            <w:tcW w:w="557" w:type="pct"/>
            <w:shd w:val="clear" w:color="auto" w:fill="F2F2F2" w:themeFill="background1" w:themeFillShade="F2"/>
            <w:vAlign w:val="bottom"/>
          </w:tcPr>
          <w:p w14:paraId="664144DA" w14:textId="34B561C1" w:rsidR="008D4DA0" w:rsidRPr="006D4208" w:rsidRDefault="00281FD8">
            <w:pPr>
              <w:jc w:val="right"/>
              <w:rPr>
                <w:rFonts w:asciiTheme="minorHAnsi" w:hAnsiTheme="minorHAnsi" w:cs="Arial"/>
                <w:b/>
                <w:sz w:val="20"/>
                <w:szCs w:val="20"/>
              </w:rPr>
            </w:pPr>
            <w:r>
              <w:rPr>
                <w:rFonts w:asciiTheme="minorHAnsi" w:hAnsiTheme="minorHAnsi" w:cs="Arial"/>
                <w:b/>
                <w:sz w:val="20"/>
                <w:szCs w:val="20"/>
              </w:rPr>
              <w:t>12.7</w:t>
            </w:r>
          </w:p>
        </w:tc>
        <w:tc>
          <w:tcPr>
            <w:tcW w:w="611" w:type="pct"/>
            <w:vAlign w:val="bottom"/>
          </w:tcPr>
          <w:p w14:paraId="70FB4FE3" w14:textId="3C1656FC" w:rsidR="008D4DA0" w:rsidRPr="006D4208" w:rsidRDefault="00362EFF">
            <w:pPr>
              <w:jc w:val="right"/>
              <w:rPr>
                <w:rFonts w:asciiTheme="minorHAnsi" w:hAnsiTheme="minorHAnsi" w:cs="Arial"/>
                <w:sz w:val="20"/>
                <w:szCs w:val="20"/>
              </w:rPr>
            </w:pPr>
            <w:r>
              <w:rPr>
                <w:rFonts w:asciiTheme="minorHAnsi" w:hAnsiTheme="minorHAnsi" w:cs="Arial"/>
                <w:bCs/>
                <w:sz w:val="20"/>
                <w:szCs w:val="20"/>
              </w:rPr>
              <w:t>29.5</w:t>
            </w:r>
          </w:p>
        </w:tc>
      </w:tr>
      <w:tr w:rsidR="00281FD8" w:rsidRPr="00B97C61" w14:paraId="6BE3D5E9" w14:textId="77777777" w:rsidTr="003B7755">
        <w:tc>
          <w:tcPr>
            <w:tcW w:w="3832" w:type="pct"/>
            <w:vAlign w:val="bottom"/>
          </w:tcPr>
          <w:p w14:paraId="6B2E4DBA" w14:textId="731A75EA" w:rsidR="00281FD8" w:rsidRPr="00B97C61" w:rsidRDefault="00281FD8">
            <w:pPr>
              <w:rPr>
                <w:rFonts w:asciiTheme="minorHAnsi" w:hAnsiTheme="minorHAnsi" w:cs="Arial"/>
                <w:sz w:val="20"/>
                <w:szCs w:val="20"/>
              </w:rPr>
            </w:pPr>
            <w:r>
              <w:rPr>
                <w:rFonts w:asciiTheme="minorHAnsi" w:hAnsiTheme="minorHAnsi" w:cs="Arial"/>
                <w:sz w:val="20"/>
                <w:szCs w:val="20"/>
              </w:rPr>
              <w:t>Second Charge Mor</w:t>
            </w:r>
            <w:r w:rsidR="00A910DF">
              <w:rPr>
                <w:rFonts w:asciiTheme="minorHAnsi" w:hAnsiTheme="minorHAnsi" w:cs="Arial"/>
                <w:sz w:val="20"/>
                <w:szCs w:val="20"/>
              </w:rPr>
              <w:t>t</w:t>
            </w:r>
            <w:r>
              <w:rPr>
                <w:rFonts w:asciiTheme="minorHAnsi" w:hAnsiTheme="minorHAnsi" w:cs="Arial"/>
                <w:sz w:val="20"/>
                <w:szCs w:val="20"/>
              </w:rPr>
              <w:t>gages</w:t>
            </w:r>
          </w:p>
        </w:tc>
        <w:tc>
          <w:tcPr>
            <w:tcW w:w="557" w:type="pct"/>
            <w:shd w:val="clear" w:color="auto" w:fill="F2F2F2" w:themeFill="background1" w:themeFillShade="F2"/>
            <w:vAlign w:val="bottom"/>
          </w:tcPr>
          <w:p w14:paraId="6A68D4F3" w14:textId="45303E10" w:rsidR="00281FD8" w:rsidRPr="006D4208" w:rsidRDefault="00281FD8">
            <w:pPr>
              <w:jc w:val="right"/>
              <w:rPr>
                <w:rFonts w:asciiTheme="minorHAnsi" w:hAnsiTheme="minorHAnsi" w:cs="Arial"/>
                <w:b/>
                <w:sz w:val="20"/>
                <w:szCs w:val="20"/>
              </w:rPr>
            </w:pPr>
            <w:r>
              <w:rPr>
                <w:rFonts w:asciiTheme="minorHAnsi" w:hAnsiTheme="minorHAnsi" w:cs="Arial"/>
                <w:b/>
                <w:sz w:val="20"/>
                <w:szCs w:val="20"/>
              </w:rPr>
              <w:t>0.2</w:t>
            </w:r>
          </w:p>
        </w:tc>
        <w:tc>
          <w:tcPr>
            <w:tcW w:w="611" w:type="pct"/>
            <w:vAlign w:val="bottom"/>
          </w:tcPr>
          <w:p w14:paraId="52BE5C32" w14:textId="74B8D3DA" w:rsidR="00281FD8" w:rsidRPr="00AB1C90" w:rsidRDefault="00281FD8">
            <w:pPr>
              <w:jc w:val="right"/>
              <w:rPr>
                <w:rFonts w:asciiTheme="minorHAnsi" w:hAnsiTheme="minorHAnsi" w:cs="Arial"/>
                <w:bCs/>
                <w:sz w:val="20"/>
                <w:szCs w:val="20"/>
              </w:rPr>
            </w:pPr>
            <w:r>
              <w:rPr>
                <w:rFonts w:asciiTheme="minorHAnsi" w:hAnsiTheme="minorHAnsi" w:cs="Arial"/>
                <w:bCs/>
                <w:sz w:val="20"/>
                <w:szCs w:val="20"/>
              </w:rPr>
              <w:t>-</w:t>
            </w:r>
          </w:p>
        </w:tc>
      </w:tr>
      <w:tr w:rsidR="008D4DA0" w:rsidRPr="00B97C61" w14:paraId="3CCC9026" w14:textId="77777777" w:rsidTr="003B7755">
        <w:tc>
          <w:tcPr>
            <w:tcW w:w="3832" w:type="pct"/>
            <w:vAlign w:val="bottom"/>
          </w:tcPr>
          <w:p w14:paraId="4E0600CE" w14:textId="647D9557" w:rsidR="008D4DA0" w:rsidRPr="00B97C61" w:rsidRDefault="008D4DA0">
            <w:pPr>
              <w:rPr>
                <w:rFonts w:asciiTheme="minorHAnsi" w:hAnsiTheme="minorHAnsi" w:cs="Arial"/>
                <w:b/>
                <w:sz w:val="20"/>
                <w:szCs w:val="20"/>
              </w:rPr>
            </w:pPr>
            <w:r w:rsidRPr="00B97C61">
              <w:rPr>
                <w:rFonts w:asciiTheme="minorHAnsi" w:hAnsiTheme="minorHAnsi" w:cs="Arial"/>
                <w:b/>
                <w:sz w:val="20"/>
                <w:szCs w:val="20"/>
              </w:rPr>
              <w:t>Total impairment charge</w:t>
            </w:r>
            <w:r>
              <w:rPr>
                <w:rFonts w:asciiTheme="minorHAnsi" w:hAnsiTheme="minorHAnsi" w:cs="Arial"/>
                <w:b/>
                <w:sz w:val="20"/>
                <w:szCs w:val="20"/>
              </w:rPr>
              <w:t xml:space="preserve"> – continuing operations</w:t>
            </w:r>
          </w:p>
        </w:tc>
        <w:tc>
          <w:tcPr>
            <w:tcW w:w="557" w:type="pct"/>
            <w:tcBorders>
              <w:top w:val="single" w:sz="4" w:space="0" w:color="auto"/>
              <w:left w:val="nil"/>
              <w:bottom w:val="single" w:sz="4" w:space="0" w:color="auto"/>
              <w:right w:val="nil"/>
            </w:tcBorders>
            <w:shd w:val="clear" w:color="auto" w:fill="F2F2F2" w:themeFill="background1" w:themeFillShade="F2"/>
            <w:vAlign w:val="bottom"/>
          </w:tcPr>
          <w:p w14:paraId="5759C1F7" w14:textId="68E528ED" w:rsidR="008D4DA0" w:rsidRPr="00350814" w:rsidRDefault="007B1818">
            <w:pPr>
              <w:jc w:val="right"/>
              <w:rPr>
                <w:rFonts w:asciiTheme="minorHAnsi" w:hAnsiTheme="minorHAnsi" w:cs="Arial"/>
                <w:b/>
                <w:bCs/>
                <w:sz w:val="20"/>
                <w:szCs w:val="20"/>
              </w:rPr>
            </w:pPr>
            <w:r>
              <w:rPr>
                <w:rFonts w:asciiTheme="minorHAnsi" w:hAnsiTheme="minorHAnsi" w:cs="Arial"/>
                <w:b/>
                <w:bCs/>
                <w:sz w:val="20"/>
                <w:szCs w:val="20"/>
              </w:rPr>
              <w:t>76.</w:t>
            </w:r>
            <w:r w:rsidR="003763CA">
              <w:rPr>
                <w:rFonts w:asciiTheme="minorHAnsi" w:hAnsiTheme="minorHAnsi" w:cs="Arial"/>
                <w:b/>
                <w:bCs/>
                <w:sz w:val="20"/>
                <w:szCs w:val="20"/>
              </w:rPr>
              <w:t>9</w:t>
            </w:r>
          </w:p>
        </w:tc>
        <w:tc>
          <w:tcPr>
            <w:tcW w:w="611" w:type="pct"/>
            <w:tcBorders>
              <w:top w:val="single" w:sz="4" w:space="0" w:color="auto"/>
              <w:left w:val="nil"/>
              <w:bottom w:val="single" w:sz="4" w:space="0" w:color="auto"/>
              <w:right w:val="nil"/>
            </w:tcBorders>
            <w:vAlign w:val="bottom"/>
          </w:tcPr>
          <w:p w14:paraId="2973067C" w14:textId="4013E8A6" w:rsidR="008D4DA0" w:rsidRPr="00350814" w:rsidRDefault="0068358A">
            <w:pPr>
              <w:jc w:val="right"/>
              <w:rPr>
                <w:rFonts w:asciiTheme="minorHAnsi" w:hAnsiTheme="minorHAnsi" w:cs="Arial"/>
                <w:b/>
                <w:bCs/>
                <w:sz w:val="20"/>
                <w:szCs w:val="20"/>
              </w:rPr>
            </w:pPr>
            <w:r>
              <w:rPr>
                <w:rFonts w:asciiTheme="minorHAnsi" w:hAnsiTheme="minorHAnsi" w:cs="Arial"/>
                <w:b/>
                <w:bCs/>
                <w:sz w:val="20"/>
                <w:szCs w:val="20"/>
              </w:rPr>
              <w:t>93.0</w:t>
            </w:r>
          </w:p>
        </w:tc>
      </w:tr>
      <w:tr w:rsidR="008D4DA0" w:rsidRPr="00B97C61" w14:paraId="74785EA3" w14:textId="77777777" w:rsidTr="003B7755">
        <w:tc>
          <w:tcPr>
            <w:tcW w:w="3832" w:type="pct"/>
            <w:vAlign w:val="bottom"/>
          </w:tcPr>
          <w:p w14:paraId="32D21B5C" w14:textId="1F0FE067" w:rsidR="008D4DA0" w:rsidRPr="004359AD" w:rsidRDefault="00AB1C90">
            <w:pPr>
              <w:rPr>
                <w:rFonts w:asciiTheme="minorHAnsi" w:hAnsiTheme="minorHAnsi" w:cs="Arial"/>
                <w:sz w:val="20"/>
                <w:szCs w:val="20"/>
              </w:rPr>
            </w:pPr>
            <w:r w:rsidRPr="004359AD">
              <w:rPr>
                <w:rFonts w:asciiTheme="minorHAnsi" w:hAnsiTheme="minorHAnsi" w:cs="Arial"/>
                <w:sz w:val="20"/>
                <w:szCs w:val="20"/>
              </w:rPr>
              <w:t>Discontinued operations</w:t>
            </w:r>
          </w:p>
        </w:tc>
        <w:tc>
          <w:tcPr>
            <w:tcW w:w="557" w:type="pct"/>
            <w:tcBorders>
              <w:top w:val="single" w:sz="4" w:space="0" w:color="auto"/>
              <w:left w:val="nil"/>
              <w:bottom w:val="single" w:sz="4" w:space="0" w:color="auto"/>
              <w:right w:val="nil"/>
            </w:tcBorders>
            <w:shd w:val="clear" w:color="auto" w:fill="F2F2F2" w:themeFill="background1" w:themeFillShade="F2"/>
            <w:vAlign w:val="bottom"/>
          </w:tcPr>
          <w:p w14:paraId="4170581C" w14:textId="148EEEE6" w:rsidR="008D4DA0" w:rsidRPr="006D4208" w:rsidRDefault="001C4D4C">
            <w:pPr>
              <w:jc w:val="right"/>
              <w:rPr>
                <w:rFonts w:asciiTheme="minorHAnsi" w:hAnsiTheme="minorHAnsi" w:cs="Arial"/>
                <w:b/>
                <w:sz w:val="20"/>
                <w:szCs w:val="20"/>
              </w:rPr>
            </w:pPr>
            <w:r>
              <w:rPr>
                <w:rFonts w:asciiTheme="minorHAnsi" w:hAnsiTheme="minorHAnsi" w:cs="Arial"/>
                <w:b/>
                <w:sz w:val="20"/>
                <w:szCs w:val="20"/>
              </w:rPr>
              <w:t>(3.1)</w:t>
            </w:r>
          </w:p>
        </w:tc>
        <w:tc>
          <w:tcPr>
            <w:tcW w:w="611" w:type="pct"/>
            <w:tcBorders>
              <w:top w:val="single" w:sz="4" w:space="0" w:color="auto"/>
              <w:left w:val="nil"/>
              <w:bottom w:val="single" w:sz="4" w:space="0" w:color="auto"/>
              <w:right w:val="nil"/>
            </w:tcBorders>
            <w:vAlign w:val="bottom"/>
          </w:tcPr>
          <w:p w14:paraId="0DF11326" w14:textId="2AF01B41" w:rsidR="008D4DA0" w:rsidRDefault="004869D1">
            <w:pPr>
              <w:jc w:val="right"/>
              <w:rPr>
                <w:rFonts w:asciiTheme="minorHAnsi" w:hAnsiTheme="minorHAnsi" w:cs="Arial"/>
                <w:sz w:val="20"/>
                <w:szCs w:val="20"/>
              </w:rPr>
            </w:pPr>
            <w:r>
              <w:rPr>
                <w:rFonts w:asciiTheme="minorHAnsi" w:hAnsiTheme="minorHAnsi" w:cs="Arial"/>
                <w:sz w:val="20"/>
                <w:szCs w:val="20"/>
              </w:rPr>
              <w:t>4.8</w:t>
            </w:r>
          </w:p>
        </w:tc>
      </w:tr>
      <w:tr w:rsidR="00AB1C90" w:rsidRPr="00B97C61" w14:paraId="390CB8DC" w14:textId="77777777" w:rsidTr="003B7755">
        <w:tc>
          <w:tcPr>
            <w:tcW w:w="3832" w:type="pct"/>
            <w:vAlign w:val="bottom"/>
          </w:tcPr>
          <w:p w14:paraId="1C9EE1E9" w14:textId="14A26514" w:rsidR="00AB1C90" w:rsidRDefault="00AB1C90">
            <w:pPr>
              <w:rPr>
                <w:rFonts w:asciiTheme="minorHAnsi" w:hAnsiTheme="minorHAnsi" w:cs="Arial"/>
                <w:b/>
                <w:sz w:val="20"/>
                <w:szCs w:val="20"/>
              </w:rPr>
            </w:pPr>
            <w:r>
              <w:rPr>
                <w:rFonts w:asciiTheme="minorHAnsi" w:hAnsiTheme="minorHAnsi" w:cs="Arial"/>
                <w:b/>
                <w:sz w:val="20"/>
                <w:szCs w:val="20"/>
              </w:rPr>
              <w:t>Total impairment charge</w:t>
            </w:r>
          </w:p>
        </w:tc>
        <w:tc>
          <w:tcPr>
            <w:tcW w:w="557" w:type="pct"/>
            <w:tcBorders>
              <w:top w:val="single" w:sz="4" w:space="0" w:color="auto"/>
              <w:left w:val="nil"/>
              <w:bottom w:val="single" w:sz="4" w:space="0" w:color="auto"/>
              <w:right w:val="nil"/>
            </w:tcBorders>
            <w:shd w:val="clear" w:color="auto" w:fill="F2F2F2" w:themeFill="background1" w:themeFillShade="F2"/>
            <w:vAlign w:val="bottom"/>
          </w:tcPr>
          <w:p w14:paraId="164D6397" w14:textId="194526F4" w:rsidR="00AB1C90" w:rsidRPr="00350814" w:rsidRDefault="00CA60C0">
            <w:pPr>
              <w:jc w:val="right"/>
              <w:rPr>
                <w:rFonts w:asciiTheme="minorHAnsi" w:hAnsiTheme="minorHAnsi" w:cs="Arial"/>
                <w:b/>
                <w:bCs/>
                <w:sz w:val="20"/>
                <w:szCs w:val="20"/>
              </w:rPr>
            </w:pPr>
            <w:r>
              <w:rPr>
                <w:rFonts w:asciiTheme="minorHAnsi" w:hAnsiTheme="minorHAnsi" w:cs="Arial"/>
                <w:b/>
                <w:bCs/>
                <w:sz w:val="20"/>
                <w:szCs w:val="20"/>
              </w:rPr>
              <w:t>73.8</w:t>
            </w:r>
          </w:p>
        </w:tc>
        <w:tc>
          <w:tcPr>
            <w:tcW w:w="611" w:type="pct"/>
            <w:tcBorders>
              <w:top w:val="single" w:sz="4" w:space="0" w:color="auto"/>
              <w:left w:val="nil"/>
              <w:bottom w:val="single" w:sz="4" w:space="0" w:color="auto"/>
              <w:right w:val="nil"/>
            </w:tcBorders>
            <w:vAlign w:val="bottom"/>
          </w:tcPr>
          <w:p w14:paraId="31F25752" w14:textId="5852506C" w:rsidR="00AB1C90" w:rsidRPr="00350814" w:rsidRDefault="00590E1B">
            <w:pPr>
              <w:jc w:val="right"/>
              <w:rPr>
                <w:rFonts w:asciiTheme="minorHAnsi" w:hAnsiTheme="minorHAnsi" w:cs="Arial"/>
                <w:b/>
                <w:bCs/>
                <w:sz w:val="20"/>
                <w:szCs w:val="20"/>
              </w:rPr>
            </w:pPr>
            <w:r>
              <w:rPr>
                <w:rFonts w:asciiTheme="minorHAnsi" w:hAnsiTheme="minorHAnsi" w:cs="Arial"/>
                <w:b/>
                <w:bCs/>
                <w:sz w:val="20"/>
                <w:szCs w:val="20"/>
              </w:rPr>
              <w:t>97.8</w:t>
            </w:r>
          </w:p>
        </w:tc>
      </w:tr>
      <w:tr w:rsidR="008D4DA0" w:rsidRPr="00B97C61" w14:paraId="0590B44C" w14:textId="77777777" w:rsidTr="003B7755">
        <w:tc>
          <w:tcPr>
            <w:tcW w:w="3832" w:type="pct"/>
            <w:vAlign w:val="bottom"/>
          </w:tcPr>
          <w:p w14:paraId="0EC2D820" w14:textId="77777777" w:rsidR="008D4DA0" w:rsidRPr="00B97C61" w:rsidRDefault="008D4DA0">
            <w:pPr>
              <w:rPr>
                <w:rFonts w:asciiTheme="minorHAnsi" w:hAnsiTheme="minorHAnsi" w:cs="Arial"/>
                <w:b/>
                <w:sz w:val="20"/>
                <w:szCs w:val="20"/>
              </w:rPr>
            </w:pPr>
          </w:p>
        </w:tc>
        <w:tc>
          <w:tcPr>
            <w:tcW w:w="557" w:type="pct"/>
            <w:tcBorders>
              <w:top w:val="single" w:sz="4" w:space="0" w:color="auto"/>
              <w:left w:val="nil"/>
              <w:right w:val="nil"/>
            </w:tcBorders>
            <w:vAlign w:val="bottom"/>
          </w:tcPr>
          <w:p w14:paraId="63EA00B1" w14:textId="77777777" w:rsidR="008D4DA0" w:rsidRPr="006D4208" w:rsidRDefault="008D4DA0">
            <w:pPr>
              <w:jc w:val="right"/>
              <w:rPr>
                <w:rFonts w:asciiTheme="minorHAnsi" w:hAnsiTheme="minorHAnsi" w:cs="Arial"/>
                <w:b/>
                <w:sz w:val="20"/>
                <w:szCs w:val="20"/>
              </w:rPr>
            </w:pPr>
          </w:p>
        </w:tc>
        <w:tc>
          <w:tcPr>
            <w:tcW w:w="611" w:type="pct"/>
            <w:tcBorders>
              <w:top w:val="single" w:sz="4" w:space="0" w:color="auto"/>
              <w:left w:val="nil"/>
              <w:right w:val="nil"/>
            </w:tcBorders>
            <w:vAlign w:val="bottom"/>
          </w:tcPr>
          <w:p w14:paraId="23296191" w14:textId="77777777" w:rsidR="008D4DA0" w:rsidRPr="006D4208" w:rsidRDefault="008D4DA0">
            <w:pPr>
              <w:jc w:val="right"/>
              <w:rPr>
                <w:rFonts w:asciiTheme="minorHAnsi" w:hAnsiTheme="minorHAnsi" w:cs="Arial"/>
                <w:sz w:val="20"/>
                <w:szCs w:val="20"/>
              </w:rPr>
            </w:pPr>
          </w:p>
        </w:tc>
      </w:tr>
    </w:tbl>
    <w:p w14:paraId="3CBF2DAF" w14:textId="77777777" w:rsidR="000C6DDD" w:rsidRPr="00642155" w:rsidRDefault="000C6DDD" w:rsidP="000C6DDD">
      <w:pPr>
        <w:rPr>
          <w:rFonts w:asciiTheme="minorHAnsi" w:hAnsiTheme="minorHAnsi" w:cs="Arial"/>
          <w:bCs/>
          <w:sz w:val="20"/>
          <w:szCs w:val="20"/>
          <w:lang w:val="en-US"/>
        </w:rPr>
      </w:pPr>
      <w:r w:rsidRPr="00642155">
        <w:rPr>
          <w:rFonts w:asciiTheme="minorHAnsi" w:hAnsiTheme="minorHAnsi" w:cs="Arial"/>
          <w:bCs/>
          <w:sz w:val="20"/>
          <w:szCs w:val="20"/>
          <w:vertAlign w:val="superscript"/>
          <w:lang w:val="en-US"/>
        </w:rPr>
        <w:t>1</w:t>
      </w:r>
      <w:r>
        <w:rPr>
          <w:rFonts w:asciiTheme="minorHAnsi" w:hAnsiTheme="minorHAnsi" w:cs="Arial"/>
          <w:bCs/>
          <w:sz w:val="20"/>
          <w:szCs w:val="20"/>
          <w:lang w:val="en-US"/>
        </w:rPr>
        <w:t xml:space="preserve"> Refer to accounting policies for details of representation</w:t>
      </w:r>
    </w:p>
    <w:p w14:paraId="77BDA9A0" w14:textId="77777777" w:rsidR="008D4DA0" w:rsidRPr="00B97C61" w:rsidRDefault="008D4DA0"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p w14:paraId="5C4753BD" w14:textId="2CF9FCC7" w:rsidR="003C7591" w:rsidRPr="00CB6C18" w:rsidRDefault="003C7591" w:rsidP="00A142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color w:val="000000" w:themeColor="text1"/>
          <w:sz w:val="20"/>
          <w:szCs w:val="20"/>
        </w:rPr>
      </w:pPr>
      <w:r w:rsidRPr="002D11D4">
        <w:rPr>
          <w:rFonts w:asciiTheme="minorHAnsi" w:hAnsiTheme="minorHAnsi" w:cs="Arial"/>
          <w:sz w:val="20"/>
          <w:szCs w:val="20"/>
        </w:rPr>
        <w:t>The impairment</w:t>
      </w:r>
      <w:r w:rsidR="00CB6C18" w:rsidRPr="002D11D4">
        <w:rPr>
          <w:rFonts w:asciiTheme="minorHAnsi" w:hAnsiTheme="minorHAnsi" w:cs="Arial"/>
          <w:sz w:val="20"/>
          <w:szCs w:val="20"/>
        </w:rPr>
        <w:t xml:space="preserve"> charge</w:t>
      </w:r>
      <w:r w:rsidRPr="002D11D4">
        <w:rPr>
          <w:rFonts w:asciiTheme="minorHAnsi" w:hAnsiTheme="minorHAnsi" w:cs="Arial"/>
          <w:sz w:val="20"/>
          <w:szCs w:val="20"/>
        </w:rPr>
        <w:t xml:space="preserve"> in the income statement of </w:t>
      </w:r>
      <w:r w:rsidRPr="007F7783">
        <w:rPr>
          <w:rFonts w:asciiTheme="minorHAnsi" w:hAnsiTheme="minorHAnsi" w:cs="Arial"/>
          <w:sz w:val="20"/>
          <w:szCs w:val="20"/>
        </w:rPr>
        <w:t>£</w:t>
      </w:r>
      <w:r w:rsidR="00281FD8" w:rsidRPr="007F7783">
        <w:rPr>
          <w:rFonts w:asciiTheme="minorHAnsi" w:hAnsiTheme="minorHAnsi" w:cs="Arial"/>
          <w:sz w:val="20"/>
          <w:szCs w:val="20"/>
        </w:rPr>
        <w:t>76.1</w:t>
      </w:r>
      <w:r w:rsidRPr="007F7783">
        <w:rPr>
          <w:rFonts w:asciiTheme="minorHAnsi" w:hAnsiTheme="minorHAnsi" w:cs="Arial"/>
          <w:sz w:val="20"/>
          <w:szCs w:val="20"/>
        </w:rPr>
        <w:t xml:space="preserve">m </w:t>
      </w:r>
      <w:r w:rsidRPr="002D11D4">
        <w:rPr>
          <w:rFonts w:asciiTheme="minorHAnsi" w:hAnsiTheme="minorHAnsi" w:cs="Arial"/>
          <w:sz w:val="20"/>
          <w:szCs w:val="20"/>
        </w:rPr>
        <w:t>includes</w:t>
      </w:r>
      <w:r w:rsidR="00CB6C18" w:rsidRPr="002D11D4">
        <w:rPr>
          <w:rFonts w:asciiTheme="minorHAnsi" w:hAnsiTheme="minorHAnsi" w:cs="Arial"/>
          <w:sz w:val="20"/>
          <w:szCs w:val="20"/>
        </w:rPr>
        <w:t xml:space="preserve"> a credit of</w:t>
      </w:r>
      <w:r w:rsidR="00822322" w:rsidRPr="002D11D4">
        <w:rPr>
          <w:rFonts w:asciiTheme="minorHAnsi" w:hAnsiTheme="minorHAnsi" w:cs="Arial"/>
          <w:bCs/>
          <w:sz w:val="20"/>
          <w:szCs w:val="20"/>
        </w:rPr>
        <w:t xml:space="preserve"> £</w:t>
      </w:r>
      <w:r w:rsidR="008356B3" w:rsidRPr="002D11D4">
        <w:rPr>
          <w:rFonts w:asciiTheme="minorHAnsi" w:hAnsiTheme="minorHAnsi" w:cs="Arial"/>
          <w:bCs/>
          <w:sz w:val="20"/>
          <w:szCs w:val="20"/>
        </w:rPr>
        <w:t>0.8</w:t>
      </w:r>
      <w:r w:rsidR="00822322" w:rsidRPr="002D11D4">
        <w:rPr>
          <w:rFonts w:asciiTheme="minorHAnsi" w:hAnsiTheme="minorHAnsi" w:cs="Arial"/>
          <w:bCs/>
          <w:sz w:val="20"/>
          <w:szCs w:val="20"/>
        </w:rPr>
        <w:t>m (</w:t>
      </w:r>
      <w:r w:rsidR="00CB6C18" w:rsidRPr="002D11D4">
        <w:rPr>
          <w:rFonts w:asciiTheme="minorHAnsi" w:hAnsiTheme="minorHAnsi" w:cs="Arial"/>
          <w:bCs/>
          <w:sz w:val="20"/>
          <w:szCs w:val="20"/>
        </w:rPr>
        <w:t>FY24</w:t>
      </w:r>
      <w:r w:rsidR="00822322" w:rsidRPr="002D11D4">
        <w:rPr>
          <w:rFonts w:asciiTheme="minorHAnsi" w:hAnsiTheme="minorHAnsi" w:cs="Arial"/>
          <w:bCs/>
          <w:sz w:val="20"/>
          <w:szCs w:val="20"/>
        </w:rPr>
        <w:t xml:space="preserve">: </w:t>
      </w:r>
      <w:r w:rsidR="00CB6C18" w:rsidRPr="002D11D4">
        <w:rPr>
          <w:rFonts w:asciiTheme="minorHAnsi" w:hAnsiTheme="minorHAnsi" w:cs="Arial"/>
          <w:bCs/>
          <w:sz w:val="20"/>
          <w:szCs w:val="20"/>
        </w:rPr>
        <w:t xml:space="preserve">charge </w:t>
      </w:r>
      <w:r w:rsidR="00CB6C18" w:rsidRPr="00CB6C18">
        <w:rPr>
          <w:rFonts w:asciiTheme="minorHAnsi" w:hAnsiTheme="minorHAnsi" w:cs="Arial"/>
          <w:bCs/>
          <w:color w:val="000000" w:themeColor="text1"/>
          <w:sz w:val="20"/>
          <w:szCs w:val="20"/>
        </w:rPr>
        <w:t xml:space="preserve">of </w:t>
      </w:r>
      <w:r w:rsidRPr="00CB6C18">
        <w:rPr>
          <w:rFonts w:asciiTheme="minorHAnsi" w:hAnsiTheme="minorHAnsi" w:cs="Arial"/>
          <w:color w:val="000000" w:themeColor="text1"/>
          <w:sz w:val="20"/>
          <w:szCs w:val="20"/>
        </w:rPr>
        <w:t>£1.2m</w:t>
      </w:r>
      <w:r w:rsidR="00822322" w:rsidRPr="00CB6C18">
        <w:rPr>
          <w:rFonts w:asciiTheme="minorHAnsi" w:hAnsiTheme="minorHAnsi" w:cs="Arial"/>
          <w:bCs/>
          <w:color w:val="000000" w:themeColor="text1"/>
          <w:sz w:val="20"/>
          <w:szCs w:val="20"/>
        </w:rPr>
        <w:t xml:space="preserve">; </w:t>
      </w:r>
      <w:r w:rsidR="00CB6C18" w:rsidRPr="00CB6C18">
        <w:rPr>
          <w:rFonts w:asciiTheme="minorHAnsi" w:hAnsiTheme="minorHAnsi" w:cs="Arial"/>
          <w:bCs/>
          <w:color w:val="000000" w:themeColor="text1"/>
          <w:sz w:val="20"/>
          <w:szCs w:val="20"/>
        </w:rPr>
        <w:t>1H24</w:t>
      </w:r>
      <w:r w:rsidR="00822322" w:rsidRPr="00CB6C18">
        <w:rPr>
          <w:rFonts w:asciiTheme="minorHAnsi" w:hAnsiTheme="minorHAnsi" w:cs="Arial"/>
          <w:bCs/>
          <w:color w:val="000000" w:themeColor="text1"/>
          <w:sz w:val="20"/>
          <w:szCs w:val="20"/>
        </w:rPr>
        <w:t>: £</w:t>
      </w:r>
      <w:r w:rsidR="00280D8D" w:rsidRPr="00CB6C18">
        <w:rPr>
          <w:rFonts w:asciiTheme="minorHAnsi" w:hAnsiTheme="minorHAnsi" w:cs="Arial"/>
          <w:bCs/>
          <w:color w:val="000000" w:themeColor="text1"/>
          <w:sz w:val="20"/>
          <w:szCs w:val="20"/>
        </w:rPr>
        <w:t>nil</w:t>
      </w:r>
      <w:r w:rsidR="00822322" w:rsidRPr="00CB6C18">
        <w:rPr>
          <w:rFonts w:asciiTheme="minorHAnsi" w:hAnsiTheme="minorHAnsi" w:cs="Arial"/>
          <w:bCs/>
          <w:color w:val="000000" w:themeColor="text1"/>
          <w:sz w:val="20"/>
          <w:szCs w:val="20"/>
        </w:rPr>
        <w:t xml:space="preserve">) </w:t>
      </w:r>
      <w:r w:rsidRPr="00CB6C18">
        <w:rPr>
          <w:rFonts w:asciiTheme="minorHAnsi" w:hAnsiTheme="minorHAnsi" w:cs="Arial"/>
          <w:color w:val="000000" w:themeColor="text1"/>
          <w:sz w:val="20"/>
          <w:szCs w:val="20"/>
        </w:rPr>
        <w:t>in relation to loan</w:t>
      </w:r>
      <w:r w:rsidR="0001760D">
        <w:rPr>
          <w:rFonts w:asciiTheme="minorHAnsi" w:hAnsiTheme="minorHAnsi" w:cs="Arial"/>
          <w:color w:val="000000" w:themeColor="text1"/>
          <w:sz w:val="20"/>
          <w:szCs w:val="20"/>
        </w:rPr>
        <w:t>s</w:t>
      </w:r>
      <w:r w:rsidRPr="00CB6C18">
        <w:rPr>
          <w:rFonts w:asciiTheme="minorHAnsi" w:hAnsiTheme="minorHAnsi" w:cs="Arial"/>
          <w:color w:val="000000" w:themeColor="text1"/>
          <w:sz w:val="20"/>
          <w:szCs w:val="20"/>
        </w:rPr>
        <w:t xml:space="preserve"> held within trade and other receivables.</w:t>
      </w:r>
      <w:r w:rsidR="00DE0447">
        <w:rPr>
          <w:rFonts w:asciiTheme="minorHAnsi" w:hAnsiTheme="minorHAnsi" w:cs="Arial"/>
          <w:color w:val="000000" w:themeColor="text1"/>
          <w:sz w:val="20"/>
          <w:szCs w:val="20"/>
        </w:rPr>
        <w:t xml:space="preserve"> </w:t>
      </w:r>
      <w:r w:rsidR="0001760D">
        <w:rPr>
          <w:rFonts w:asciiTheme="minorHAnsi" w:hAnsiTheme="minorHAnsi" w:cs="Arial"/>
          <w:color w:val="000000" w:themeColor="text1"/>
          <w:sz w:val="20"/>
          <w:szCs w:val="20"/>
        </w:rPr>
        <w:t xml:space="preserve">One of the </w:t>
      </w:r>
      <w:r w:rsidR="00DE0447">
        <w:rPr>
          <w:rFonts w:asciiTheme="minorHAnsi" w:hAnsiTheme="minorHAnsi" w:cs="Arial"/>
          <w:color w:val="000000" w:themeColor="text1"/>
          <w:sz w:val="20"/>
          <w:szCs w:val="20"/>
        </w:rPr>
        <w:t>loan</w:t>
      </w:r>
      <w:r w:rsidR="0001760D">
        <w:rPr>
          <w:rFonts w:asciiTheme="minorHAnsi" w:hAnsiTheme="minorHAnsi" w:cs="Arial"/>
          <w:color w:val="000000" w:themeColor="text1"/>
          <w:sz w:val="20"/>
          <w:szCs w:val="20"/>
        </w:rPr>
        <w:t>s</w:t>
      </w:r>
      <w:r w:rsidR="00DE0447">
        <w:rPr>
          <w:rFonts w:asciiTheme="minorHAnsi" w:hAnsiTheme="minorHAnsi" w:cs="Arial"/>
          <w:color w:val="000000" w:themeColor="text1"/>
          <w:sz w:val="20"/>
          <w:szCs w:val="20"/>
        </w:rPr>
        <w:t xml:space="preserve"> was repaid in 1H25</w:t>
      </w:r>
      <w:r w:rsidR="0001760D">
        <w:rPr>
          <w:rFonts w:asciiTheme="minorHAnsi" w:hAnsiTheme="minorHAnsi" w:cs="Arial"/>
          <w:color w:val="000000" w:themeColor="text1"/>
          <w:sz w:val="20"/>
          <w:szCs w:val="20"/>
        </w:rPr>
        <w:t xml:space="preserve"> and the </w:t>
      </w:r>
      <w:r w:rsidR="008356B3">
        <w:rPr>
          <w:rFonts w:asciiTheme="minorHAnsi" w:hAnsiTheme="minorHAnsi" w:cs="Arial"/>
          <w:color w:val="000000" w:themeColor="text1"/>
          <w:sz w:val="20"/>
          <w:szCs w:val="20"/>
        </w:rPr>
        <w:t xml:space="preserve">impairment provision released. </w:t>
      </w:r>
      <w:r w:rsidR="00DE0447">
        <w:rPr>
          <w:rFonts w:asciiTheme="minorHAnsi" w:hAnsiTheme="minorHAnsi" w:cs="Arial"/>
          <w:color w:val="000000" w:themeColor="text1"/>
          <w:sz w:val="20"/>
          <w:szCs w:val="20"/>
        </w:rPr>
        <w:t xml:space="preserve"> </w:t>
      </w:r>
    </w:p>
    <w:p w14:paraId="1A7C449E" w14:textId="6BBDC6B0" w:rsidR="00EA0E50" w:rsidRDefault="00EA0E50">
      <w:pPr>
        <w:rPr>
          <w:rFonts w:asciiTheme="minorHAnsi" w:hAnsiTheme="minorHAnsi" w:cs="Arial"/>
          <w:b/>
          <w:color w:val="4747FF"/>
          <w:sz w:val="22"/>
          <w:szCs w:val="22"/>
        </w:rPr>
      </w:pPr>
    </w:p>
    <w:p w14:paraId="4AAF8361" w14:textId="5A1CF950" w:rsidR="00E56549" w:rsidRPr="00701439" w:rsidRDefault="00E56549" w:rsidP="00E5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F203CC">
        <w:rPr>
          <w:rFonts w:asciiTheme="minorHAnsi" w:hAnsiTheme="minorHAnsi" w:cs="Arial"/>
          <w:bCs/>
          <w:sz w:val="20"/>
          <w:szCs w:val="20"/>
        </w:rPr>
        <w:t xml:space="preserve">The movement in directly attributable acquisition costs included within </w:t>
      </w:r>
      <w:r w:rsidR="00051B98">
        <w:rPr>
          <w:rFonts w:asciiTheme="minorHAnsi" w:hAnsiTheme="minorHAnsi" w:cs="Arial"/>
          <w:bCs/>
          <w:sz w:val="20"/>
          <w:szCs w:val="20"/>
        </w:rPr>
        <w:t xml:space="preserve">continuing operations </w:t>
      </w:r>
      <w:r w:rsidRPr="00F203CC">
        <w:rPr>
          <w:rFonts w:asciiTheme="minorHAnsi" w:hAnsiTheme="minorHAnsi" w:cs="Arial"/>
          <w:bCs/>
          <w:sz w:val="20"/>
          <w:szCs w:val="20"/>
        </w:rPr>
        <w:t>amounts receivable from customers can be analysed as follows:</w:t>
      </w:r>
    </w:p>
    <w:p w14:paraId="1EBCA189" w14:textId="596D981C" w:rsidR="00B9064D" w:rsidRDefault="00B9064D" w:rsidP="00A142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color w:val="4747FF"/>
          <w:sz w:val="22"/>
          <w:szCs w:val="22"/>
        </w:rPr>
      </w:pPr>
    </w:p>
    <w:tbl>
      <w:tblPr>
        <w:tblW w:w="5000" w:type="pct"/>
        <w:tblLayout w:type="fixed"/>
        <w:tblLook w:val="04A0" w:firstRow="1" w:lastRow="0" w:firstColumn="1" w:lastColumn="0" w:noHBand="0" w:noVBand="1"/>
      </w:tblPr>
      <w:tblGrid>
        <w:gridCol w:w="3260"/>
        <w:gridCol w:w="1702"/>
        <w:gridCol w:w="1842"/>
        <w:gridCol w:w="1702"/>
        <w:gridCol w:w="1217"/>
      </w:tblGrid>
      <w:tr w:rsidR="00093FFC" w:rsidRPr="00290E61" w14:paraId="3D32DFB7" w14:textId="77777777" w:rsidTr="00685809">
        <w:trPr>
          <w:trHeight w:val="403"/>
        </w:trPr>
        <w:tc>
          <w:tcPr>
            <w:tcW w:w="1676" w:type="pct"/>
            <w:noWrap/>
            <w:vAlign w:val="bottom"/>
            <w:hideMark/>
          </w:tcPr>
          <w:p w14:paraId="7F99171E" w14:textId="77777777" w:rsidR="00093FFC" w:rsidRPr="00290E61" w:rsidRDefault="00093FFC" w:rsidP="00093FFC">
            <w:pPr>
              <w:jc w:val="center"/>
              <w:rPr>
                <w:rFonts w:asciiTheme="minorHAnsi" w:hAnsiTheme="minorHAnsi" w:cstheme="minorHAnsi"/>
                <w:b/>
                <w:color w:val="000000"/>
                <w:sz w:val="20"/>
                <w:szCs w:val="20"/>
                <w:highlight w:val="yellow"/>
              </w:rPr>
            </w:pPr>
          </w:p>
        </w:tc>
        <w:tc>
          <w:tcPr>
            <w:tcW w:w="875" w:type="pct"/>
            <w:vAlign w:val="bottom"/>
            <w:hideMark/>
          </w:tcPr>
          <w:p w14:paraId="2F18D41C" w14:textId="3DAA4A46" w:rsidR="00093FFC" w:rsidRPr="00C81835" w:rsidRDefault="00093FFC" w:rsidP="00093FFC">
            <w:pPr>
              <w:jc w:val="right"/>
              <w:rPr>
                <w:rFonts w:asciiTheme="minorHAnsi" w:hAnsiTheme="minorHAnsi" w:cstheme="minorHAnsi"/>
                <w:bCs/>
                <w:color w:val="000000"/>
                <w:sz w:val="20"/>
                <w:szCs w:val="20"/>
              </w:rPr>
            </w:pPr>
            <w:r w:rsidRPr="00C81835">
              <w:rPr>
                <w:rFonts w:asciiTheme="minorHAnsi" w:hAnsiTheme="minorHAnsi" w:cstheme="minorHAnsi"/>
                <w:bCs/>
                <w:color w:val="000000"/>
                <w:sz w:val="20"/>
                <w:szCs w:val="20"/>
              </w:rPr>
              <w:t>Credit  Cards</w:t>
            </w:r>
          </w:p>
        </w:tc>
        <w:tc>
          <w:tcPr>
            <w:tcW w:w="947" w:type="pct"/>
            <w:vAlign w:val="bottom"/>
          </w:tcPr>
          <w:p w14:paraId="668DF389" w14:textId="0E5CEBF4" w:rsidR="00093FFC" w:rsidRPr="00C81835" w:rsidRDefault="00093FFC" w:rsidP="00093FFC">
            <w:pPr>
              <w:jc w:val="right"/>
              <w:rPr>
                <w:rFonts w:asciiTheme="minorHAnsi" w:hAnsiTheme="minorHAnsi" w:cstheme="minorHAnsi"/>
                <w:bCs/>
                <w:color w:val="000000"/>
                <w:sz w:val="20"/>
                <w:szCs w:val="20"/>
              </w:rPr>
            </w:pPr>
            <w:r w:rsidRPr="00C81835">
              <w:rPr>
                <w:rFonts w:asciiTheme="minorHAnsi" w:hAnsiTheme="minorHAnsi" w:cstheme="minorHAnsi"/>
                <w:bCs/>
                <w:color w:val="000000"/>
                <w:sz w:val="20"/>
                <w:szCs w:val="20"/>
              </w:rPr>
              <w:t xml:space="preserve">Vehicle </w:t>
            </w:r>
            <w:r w:rsidR="00767F62" w:rsidRPr="00C81835">
              <w:rPr>
                <w:rFonts w:asciiTheme="minorHAnsi" w:hAnsiTheme="minorHAnsi" w:cstheme="minorHAnsi"/>
                <w:bCs/>
                <w:color w:val="000000"/>
                <w:sz w:val="20"/>
                <w:szCs w:val="20"/>
              </w:rPr>
              <w:t>Finance</w:t>
            </w:r>
          </w:p>
        </w:tc>
        <w:tc>
          <w:tcPr>
            <w:tcW w:w="875" w:type="pct"/>
            <w:vAlign w:val="bottom"/>
          </w:tcPr>
          <w:p w14:paraId="6EC4C5E7" w14:textId="33D0565F" w:rsidR="00093FFC" w:rsidRPr="00C81835" w:rsidRDefault="00093FFC" w:rsidP="00093FFC">
            <w:pPr>
              <w:jc w:val="right"/>
              <w:rPr>
                <w:rFonts w:asciiTheme="minorHAnsi" w:hAnsiTheme="minorHAnsi" w:cstheme="minorHAnsi"/>
                <w:bCs/>
                <w:color w:val="000000"/>
                <w:sz w:val="20"/>
                <w:szCs w:val="20"/>
              </w:rPr>
            </w:pPr>
            <w:r w:rsidRPr="00C81835">
              <w:rPr>
                <w:rFonts w:asciiTheme="minorHAnsi" w:hAnsiTheme="minorHAnsi" w:cstheme="minorHAnsi"/>
                <w:bCs/>
                <w:color w:val="000000"/>
                <w:sz w:val="20"/>
                <w:szCs w:val="20"/>
              </w:rPr>
              <w:t>Second Charge Mortgages</w:t>
            </w:r>
          </w:p>
        </w:tc>
        <w:tc>
          <w:tcPr>
            <w:tcW w:w="626" w:type="pct"/>
            <w:vAlign w:val="bottom"/>
            <w:hideMark/>
          </w:tcPr>
          <w:p w14:paraId="44A7D6AF" w14:textId="77777777" w:rsidR="00093FFC" w:rsidRPr="00C81835" w:rsidRDefault="00093FFC" w:rsidP="00093FFC">
            <w:pPr>
              <w:jc w:val="right"/>
              <w:rPr>
                <w:rFonts w:asciiTheme="minorHAnsi" w:hAnsiTheme="minorHAnsi" w:cstheme="minorHAnsi"/>
                <w:bCs/>
                <w:color w:val="000000"/>
                <w:sz w:val="20"/>
                <w:szCs w:val="20"/>
              </w:rPr>
            </w:pPr>
            <w:r w:rsidRPr="00C81835">
              <w:rPr>
                <w:rFonts w:asciiTheme="minorHAnsi" w:hAnsiTheme="minorHAnsi" w:cstheme="minorHAnsi"/>
                <w:bCs/>
                <w:color w:val="000000"/>
                <w:sz w:val="20"/>
                <w:szCs w:val="20"/>
              </w:rPr>
              <w:t>Total</w:t>
            </w:r>
          </w:p>
        </w:tc>
      </w:tr>
      <w:tr w:rsidR="00B7524B" w:rsidRPr="00290E61" w14:paraId="0FE9FC52" w14:textId="77777777" w:rsidTr="00685809">
        <w:trPr>
          <w:trHeight w:val="283"/>
        </w:trPr>
        <w:tc>
          <w:tcPr>
            <w:tcW w:w="1676" w:type="pct"/>
            <w:noWrap/>
            <w:vAlign w:val="bottom"/>
            <w:hideMark/>
          </w:tcPr>
          <w:p w14:paraId="0E5B1B07" w14:textId="77777777" w:rsidR="00B9064D" w:rsidRPr="00290E61" w:rsidRDefault="00B9064D">
            <w:pPr>
              <w:jc w:val="right"/>
              <w:rPr>
                <w:rFonts w:asciiTheme="minorHAnsi" w:hAnsiTheme="minorHAnsi" w:cstheme="minorHAnsi"/>
                <w:b/>
                <w:color w:val="000000"/>
                <w:sz w:val="20"/>
                <w:szCs w:val="20"/>
                <w:highlight w:val="yellow"/>
              </w:rPr>
            </w:pPr>
          </w:p>
        </w:tc>
        <w:tc>
          <w:tcPr>
            <w:tcW w:w="875" w:type="pct"/>
            <w:tcBorders>
              <w:bottom w:val="single" w:sz="4" w:space="0" w:color="auto"/>
            </w:tcBorders>
            <w:noWrap/>
            <w:vAlign w:val="bottom"/>
            <w:hideMark/>
          </w:tcPr>
          <w:p w14:paraId="5828A0ED" w14:textId="77777777" w:rsidR="00B9064D" w:rsidRPr="00C81835" w:rsidRDefault="00B9064D">
            <w:pPr>
              <w:jc w:val="right"/>
              <w:rPr>
                <w:rFonts w:asciiTheme="minorHAnsi" w:hAnsiTheme="minorHAnsi" w:cstheme="minorHAnsi"/>
                <w:bCs/>
                <w:color w:val="000000"/>
                <w:sz w:val="20"/>
                <w:szCs w:val="20"/>
              </w:rPr>
            </w:pPr>
            <w:r w:rsidRPr="00C81835">
              <w:rPr>
                <w:rFonts w:asciiTheme="minorHAnsi" w:hAnsiTheme="minorHAnsi" w:cstheme="minorHAnsi"/>
                <w:bCs/>
                <w:color w:val="000000"/>
                <w:sz w:val="20"/>
                <w:szCs w:val="20"/>
              </w:rPr>
              <w:t>£m</w:t>
            </w:r>
          </w:p>
        </w:tc>
        <w:tc>
          <w:tcPr>
            <w:tcW w:w="947" w:type="pct"/>
            <w:tcBorders>
              <w:bottom w:val="single" w:sz="4" w:space="0" w:color="auto"/>
            </w:tcBorders>
            <w:noWrap/>
            <w:vAlign w:val="bottom"/>
          </w:tcPr>
          <w:p w14:paraId="29B28595" w14:textId="61414334" w:rsidR="00B9064D" w:rsidRPr="00C81835" w:rsidRDefault="001309ED">
            <w:pPr>
              <w:jc w:val="right"/>
              <w:rPr>
                <w:rFonts w:asciiTheme="minorHAnsi" w:hAnsiTheme="minorHAnsi" w:cstheme="minorHAnsi"/>
                <w:bCs/>
                <w:color w:val="000000"/>
                <w:sz w:val="20"/>
                <w:szCs w:val="20"/>
              </w:rPr>
            </w:pPr>
            <w:r w:rsidRPr="00C81835">
              <w:rPr>
                <w:rFonts w:asciiTheme="minorHAnsi" w:hAnsiTheme="minorHAnsi" w:cstheme="minorHAnsi"/>
                <w:bCs/>
                <w:color w:val="000000"/>
                <w:sz w:val="20"/>
                <w:szCs w:val="20"/>
              </w:rPr>
              <w:t>£m</w:t>
            </w:r>
          </w:p>
        </w:tc>
        <w:tc>
          <w:tcPr>
            <w:tcW w:w="875" w:type="pct"/>
            <w:tcBorders>
              <w:bottom w:val="single" w:sz="4" w:space="0" w:color="auto"/>
            </w:tcBorders>
            <w:noWrap/>
            <w:vAlign w:val="bottom"/>
          </w:tcPr>
          <w:p w14:paraId="40BB64AB" w14:textId="1FBC1B5A" w:rsidR="00B9064D" w:rsidRPr="00C81835" w:rsidRDefault="001309ED">
            <w:pPr>
              <w:jc w:val="right"/>
              <w:rPr>
                <w:rFonts w:asciiTheme="minorHAnsi" w:hAnsiTheme="minorHAnsi" w:cstheme="minorHAnsi"/>
                <w:bCs/>
                <w:color w:val="000000"/>
                <w:sz w:val="20"/>
                <w:szCs w:val="20"/>
              </w:rPr>
            </w:pPr>
            <w:r w:rsidRPr="00C81835">
              <w:rPr>
                <w:rFonts w:asciiTheme="minorHAnsi" w:hAnsiTheme="minorHAnsi" w:cstheme="minorHAnsi"/>
                <w:bCs/>
                <w:color w:val="000000"/>
                <w:sz w:val="20"/>
                <w:szCs w:val="20"/>
              </w:rPr>
              <w:t>£m</w:t>
            </w:r>
          </w:p>
        </w:tc>
        <w:tc>
          <w:tcPr>
            <w:tcW w:w="626" w:type="pct"/>
            <w:tcBorders>
              <w:bottom w:val="single" w:sz="4" w:space="0" w:color="auto"/>
            </w:tcBorders>
            <w:noWrap/>
            <w:vAlign w:val="bottom"/>
            <w:hideMark/>
          </w:tcPr>
          <w:p w14:paraId="764525F8" w14:textId="77777777" w:rsidR="00B9064D" w:rsidRPr="00C81835" w:rsidRDefault="00B9064D">
            <w:pPr>
              <w:jc w:val="right"/>
              <w:rPr>
                <w:rFonts w:asciiTheme="minorHAnsi" w:hAnsiTheme="minorHAnsi" w:cstheme="minorHAnsi"/>
                <w:bCs/>
                <w:color w:val="000000"/>
                <w:sz w:val="20"/>
                <w:szCs w:val="20"/>
              </w:rPr>
            </w:pPr>
            <w:r w:rsidRPr="00C81835">
              <w:rPr>
                <w:rFonts w:asciiTheme="minorHAnsi" w:hAnsiTheme="minorHAnsi" w:cstheme="minorHAnsi"/>
                <w:bCs/>
                <w:color w:val="000000"/>
                <w:sz w:val="20"/>
                <w:szCs w:val="20"/>
              </w:rPr>
              <w:t>£m</w:t>
            </w:r>
          </w:p>
        </w:tc>
      </w:tr>
      <w:tr w:rsidR="00C81835" w:rsidRPr="00290E61" w14:paraId="29A6674C" w14:textId="77777777" w:rsidTr="00685809">
        <w:trPr>
          <w:trHeight w:val="267"/>
        </w:trPr>
        <w:tc>
          <w:tcPr>
            <w:tcW w:w="1676" w:type="pct"/>
            <w:noWrap/>
            <w:vAlign w:val="center"/>
          </w:tcPr>
          <w:p w14:paraId="1E819C86" w14:textId="18D350A6" w:rsidR="00C81835" w:rsidRPr="00290E61" w:rsidRDefault="00C81835" w:rsidP="00C81835">
            <w:pPr>
              <w:rPr>
                <w:rFonts w:asciiTheme="minorHAnsi" w:hAnsiTheme="minorHAnsi" w:cstheme="minorHAnsi"/>
                <w:color w:val="000000"/>
                <w:sz w:val="20"/>
                <w:szCs w:val="20"/>
                <w:highlight w:val="yellow"/>
              </w:rPr>
            </w:pPr>
            <w:r>
              <w:rPr>
                <w:rFonts w:ascii="Calibri" w:hAnsi="Calibri" w:cs="Calibri"/>
                <w:color w:val="000000"/>
                <w:sz w:val="20"/>
                <w:szCs w:val="20"/>
              </w:rPr>
              <w:t>Brought forward 1 January 2024</w:t>
            </w:r>
            <w:r w:rsidR="007237DC">
              <w:rPr>
                <w:rFonts w:ascii="Calibri" w:hAnsi="Calibri" w:cs="Calibri"/>
                <w:color w:val="000000"/>
                <w:sz w:val="20"/>
                <w:szCs w:val="20"/>
              </w:rPr>
              <w:t xml:space="preserve"> (audited)</w:t>
            </w:r>
          </w:p>
        </w:tc>
        <w:tc>
          <w:tcPr>
            <w:tcW w:w="875" w:type="pct"/>
            <w:tcBorders>
              <w:top w:val="single" w:sz="4" w:space="0" w:color="auto"/>
            </w:tcBorders>
            <w:noWrap/>
            <w:vAlign w:val="center"/>
          </w:tcPr>
          <w:p w14:paraId="6D5E8623" w14:textId="0EC83F24"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32.3</w:t>
            </w:r>
          </w:p>
        </w:tc>
        <w:tc>
          <w:tcPr>
            <w:tcW w:w="947" w:type="pct"/>
            <w:tcBorders>
              <w:top w:val="single" w:sz="4" w:space="0" w:color="auto"/>
            </w:tcBorders>
            <w:noWrap/>
            <w:vAlign w:val="center"/>
          </w:tcPr>
          <w:p w14:paraId="5E4CD52A" w14:textId="332B109C"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56.0</w:t>
            </w:r>
          </w:p>
        </w:tc>
        <w:tc>
          <w:tcPr>
            <w:tcW w:w="875" w:type="pct"/>
            <w:tcBorders>
              <w:top w:val="single" w:sz="4" w:space="0" w:color="auto"/>
            </w:tcBorders>
            <w:noWrap/>
            <w:vAlign w:val="center"/>
          </w:tcPr>
          <w:p w14:paraId="449A8E30" w14:textId="162903EC"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0.1</w:t>
            </w:r>
          </w:p>
        </w:tc>
        <w:tc>
          <w:tcPr>
            <w:tcW w:w="626" w:type="pct"/>
            <w:tcBorders>
              <w:top w:val="single" w:sz="4" w:space="0" w:color="auto"/>
            </w:tcBorders>
            <w:noWrap/>
            <w:vAlign w:val="center"/>
          </w:tcPr>
          <w:p w14:paraId="5783F7B1" w14:textId="4757068C"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88.4</w:t>
            </w:r>
          </w:p>
        </w:tc>
      </w:tr>
      <w:tr w:rsidR="00C81835" w:rsidRPr="00290E61" w14:paraId="6CE90EF8" w14:textId="77777777" w:rsidTr="00685809">
        <w:trPr>
          <w:trHeight w:val="267"/>
        </w:trPr>
        <w:tc>
          <w:tcPr>
            <w:tcW w:w="1676" w:type="pct"/>
            <w:noWrap/>
            <w:vAlign w:val="center"/>
          </w:tcPr>
          <w:p w14:paraId="6FD58A40" w14:textId="7E7D580D" w:rsidR="00C81835" w:rsidRPr="00290E61" w:rsidRDefault="00C81835" w:rsidP="00C81835">
            <w:pPr>
              <w:rPr>
                <w:rFonts w:asciiTheme="minorHAnsi" w:hAnsiTheme="minorHAnsi" w:cstheme="minorHAnsi"/>
                <w:color w:val="000000"/>
                <w:sz w:val="20"/>
                <w:szCs w:val="20"/>
                <w:highlight w:val="yellow"/>
              </w:rPr>
            </w:pPr>
            <w:r>
              <w:rPr>
                <w:rFonts w:ascii="Calibri" w:hAnsi="Calibri" w:cs="Calibri"/>
                <w:color w:val="000000"/>
                <w:sz w:val="20"/>
                <w:szCs w:val="20"/>
              </w:rPr>
              <w:t>Capitalised</w:t>
            </w:r>
          </w:p>
        </w:tc>
        <w:tc>
          <w:tcPr>
            <w:tcW w:w="875" w:type="pct"/>
            <w:noWrap/>
            <w:vAlign w:val="center"/>
          </w:tcPr>
          <w:p w14:paraId="6E25A991" w14:textId="70A2F270"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3.2</w:t>
            </w:r>
          </w:p>
        </w:tc>
        <w:tc>
          <w:tcPr>
            <w:tcW w:w="947" w:type="pct"/>
            <w:noWrap/>
            <w:vAlign w:val="center"/>
          </w:tcPr>
          <w:p w14:paraId="35E7044E" w14:textId="363B9AC4"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15.8</w:t>
            </w:r>
          </w:p>
        </w:tc>
        <w:tc>
          <w:tcPr>
            <w:tcW w:w="875" w:type="pct"/>
            <w:noWrap/>
            <w:vAlign w:val="center"/>
          </w:tcPr>
          <w:p w14:paraId="7A9CFC13" w14:textId="27AD1038"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1.2</w:t>
            </w:r>
          </w:p>
        </w:tc>
        <w:tc>
          <w:tcPr>
            <w:tcW w:w="626" w:type="pct"/>
            <w:noWrap/>
            <w:vAlign w:val="center"/>
          </w:tcPr>
          <w:p w14:paraId="779EC26A" w14:textId="355404F8"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20.2</w:t>
            </w:r>
          </w:p>
        </w:tc>
      </w:tr>
      <w:tr w:rsidR="00C81835" w:rsidRPr="00290E61" w14:paraId="31D03F6A" w14:textId="77777777" w:rsidTr="00685809">
        <w:trPr>
          <w:trHeight w:val="283"/>
        </w:trPr>
        <w:tc>
          <w:tcPr>
            <w:tcW w:w="1676" w:type="pct"/>
            <w:noWrap/>
            <w:vAlign w:val="center"/>
          </w:tcPr>
          <w:p w14:paraId="025B5AA1" w14:textId="29A7ED06" w:rsidR="00C81835" w:rsidRPr="00290E61" w:rsidRDefault="00C81835" w:rsidP="00C81835">
            <w:pPr>
              <w:rPr>
                <w:rFonts w:asciiTheme="minorHAnsi" w:hAnsiTheme="minorHAnsi" w:cstheme="minorHAnsi"/>
                <w:color w:val="000000"/>
                <w:sz w:val="20"/>
                <w:szCs w:val="20"/>
                <w:highlight w:val="yellow"/>
              </w:rPr>
            </w:pPr>
            <w:r>
              <w:rPr>
                <w:rFonts w:ascii="Calibri" w:hAnsi="Calibri" w:cs="Calibri"/>
                <w:color w:val="000000"/>
                <w:sz w:val="20"/>
                <w:szCs w:val="20"/>
              </w:rPr>
              <w:lastRenderedPageBreak/>
              <w:t>Amortised</w:t>
            </w:r>
          </w:p>
        </w:tc>
        <w:tc>
          <w:tcPr>
            <w:tcW w:w="875" w:type="pct"/>
            <w:noWrap/>
            <w:vAlign w:val="center"/>
          </w:tcPr>
          <w:p w14:paraId="05B07BC7" w14:textId="734F62A6"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(6.8)</w:t>
            </w:r>
          </w:p>
        </w:tc>
        <w:tc>
          <w:tcPr>
            <w:tcW w:w="947" w:type="pct"/>
            <w:noWrap/>
            <w:vAlign w:val="center"/>
          </w:tcPr>
          <w:p w14:paraId="5E8937FE" w14:textId="47888239"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(15.8)</w:t>
            </w:r>
          </w:p>
        </w:tc>
        <w:tc>
          <w:tcPr>
            <w:tcW w:w="875" w:type="pct"/>
            <w:noWrap/>
            <w:vAlign w:val="center"/>
          </w:tcPr>
          <w:p w14:paraId="5135ECAC" w14:textId="5AF8B1BA"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(0.1)</w:t>
            </w:r>
          </w:p>
        </w:tc>
        <w:tc>
          <w:tcPr>
            <w:tcW w:w="626" w:type="pct"/>
            <w:noWrap/>
            <w:vAlign w:val="center"/>
          </w:tcPr>
          <w:p w14:paraId="58ECBF69" w14:textId="11C7116D"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(22.7)</w:t>
            </w:r>
          </w:p>
        </w:tc>
      </w:tr>
      <w:tr w:rsidR="00C81835" w:rsidRPr="00290E61" w14:paraId="2C1A491A" w14:textId="77777777" w:rsidTr="00685809">
        <w:trPr>
          <w:trHeight w:val="283"/>
        </w:trPr>
        <w:tc>
          <w:tcPr>
            <w:tcW w:w="1676" w:type="pct"/>
            <w:noWrap/>
            <w:vAlign w:val="center"/>
          </w:tcPr>
          <w:p w14:paraId="43F0283F" w14:textId="2A3CD43A" w:rsidR="00C81835" w:rsidRPr="00290E61" w:rsidRDefault="00C81835" w:rsidP="00C81835">
            <w:pPr>
              <w:rPr>
                <w:rFonts w:asciiTheme="minorHAnsi" w:hAnsiTheme="minorHAnsi" w:cstheme="minorHAnsi"/>
                <w:color w:val="000000"/>
                <w:sz w:val="20"/>
                <w:szCs w:val="20"/>
                <w:highlight w:val="yellow"/>
              </w:rPr>
            </w:pPr>
            <w:r>
              <w:rPr>
                <w:rFonts w:ascii="Calibri" w:hAnsi="Calibri" w:cs="Calibri"/>
                <w:color w:val="000000"/>
                <w:sz w:val="20"/>
                <w:szCs w:val="20"/>
              </w:rPr>
              <w:t>Written off</w:t>
            </w:r>
          </w:p>
        </w:tc>
        <w:tc>
          <w:tcPr>
            <w:tcW w:w="875" w:type="pct"/>
            <w:tcBorders>
              <w:bottom w:val="single" w:sz="4" w:space="0" w:color="auto"/>
            </w:tcBorders>
            <w:noWrap/>
            <w:vAlign w:val="center"/>
          </w:tcPr>
          <w:p w14:paraId="6F44BEF1" w14:textId="1CF448CF"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w:t>
            </w:r>
          </w:p>
        </w:tc>
        <w:tc>
          <w:tcPr>
            <w:tcW w:w="947" w:type="pct"/>
            <w:tcBorders>
              <w:bottom w:val="single" w:sz="4" w:space="0" w:color="auto"/>
            </w:tcBorders>
            <w:noWrap/>
            <w:vAlign w:val="center"/>
          </w:tcPr>
          <w:p w14:paraId="3B5E1D63" w14:textId="6299E83E"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(3.1)</w:t>
            </w:r>
          </w:p>
        </w:tc>
        <w:tc>
          <w:tcPr>
            <w:tcW w:w="875" w:type="pct"/>
            <w:tcBorders>
              <w:bottom w:val="single" w:sz="4" w:space="0" w:color="auto"/>
            </w:tcBorders>
            <w:noWrap/>
            <w:vAlign w:val="center"/>
          </w:tcPr>
          <w:p w14:paraId="249A1FEE" w14:textId="456F7175"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w:t>
            </w:r>
          </w:p>
        </w:tc>
        <w:tc>
          <w:tcPr>
            <w:tcW w:w="626" w:type="pct"/>
            <w:tcBorders>
              <w:bottom w:val="single" w:sz="4" w:space="0" w:color="auto"/>
            </w:tcBorders>
            <w:noWrap/>
            <w:vAlign w:val="center"/>
          </w:tcPr>
          <w:p w14:paraId="533BE8EA" w14:textId="5F6074A9" w:rsidR="00C81835" w:rsidRPr="00C81835" w:rsidRDefault="00C81835" w:rsidP="00C81835">
            <w:pPr>
              <w:jc w:val="right"/>
              <w:rPr>
                <w:rFonts w:asciiTheme="minorHAnsi" w:hAnsiTheme="minorHAnsi" w:cstheme="minorHAnsi"/>
                <w:color w:val="000000"/>
                <w:sz w:val="20"/>
                <w:szCs w:val="20"/>
                <w:highlight w:val="yellow"/>
              </w:rPr>
            </w:pPr>
            <w:r w:rsidRPr="00C81835">
              <w:rPr>
                <w:rFonts w:ascii="Calibri" w:hAnsi="Calibri" w:cs="Calibri"/>
                <w:color w:val="000000"/>
                <w:sz w:val="20"/>
                <w:szCs w:val="20"/>
              </w:rPr>
              <w:t>(3.1)</w:t>
            </w:r>
          </w:p>
        </w:tc>
      </w:tr>
      <w:tr w:rsidR="00C81835" w:rsidRPr="00F82033" w14:paraId="143D1D0A" w14:textId="77777777" w:rsidTr="00685809">
        <w:trPr>
          <w:trHeight w:val="283"/>
        </w:trPr>
        <w:tc>
          <w:tcPr>
            <w:tcW w:w="1676" w:type="pct"/>
            <w:noWrap/>
            <w:vAlign w:val="center"/>
          </w:tcPr>
          <w:p w14:paraId="07733381" w14:textId="16FB42A0" w:rsidR="00C81835" w:rsidRPr="00910F8C" w:rsidRDefault="00C81835" w:rsidP="00C81835">
            <w:pPr>
              <w:rPr>
                <w:rFonts w:asciiTheme="minorHAnsi" w:hAnsiTheme="minorHAnsi" w:cstheme="minorHAnsi"/>
                <w:b/>
                <w:bCs/>
                <w:color w:val="000000"/>
                <w:sz w:val="20"/>
                <w:szCs w:val="20"/>
                <w:highlight w:val="yellow"/>
              </w:rPr>
            </w:pPr>
            <w:r w:rsidRPr="00910F8C">
              <w:rPr>
                <w:rFonts w:ascii="Calibri" w:hAnsi="Calibri" w:cs="Calibri"/>
                <w:b/>
                <w:bCs/>
                <w:color w:val="000000"/>
                <w:sz w:val="20"/>
                <w:szCs w:val="20"/>
              </w:rPr>
              <w:t>Carried forward 30 June 2024</w:t>
            </w:r>
            <w:r w:rsidR="007237DC">
              <w:rPr>
                <w:rFonts w:ascii="Calibri" w:hAnsi="Calibri" w:cs="Calibri"/>
                <w:b/>
                <w:bCs/>
                <w:color w:val="000000"/>
                <w:sz w:val="20"/>
                <w:szCs w:val="20"/>
              </w:rPr>
              <w:t xml:space="preserve"> (unaudited)</w:t>
            </w:r>
          </w:p>
        </w:tc>
        <w:tc>
          <w:tcPr>
            <w:tcW w:w="875" w:type="pct"/>
            <w:tcBorders>
              <w:top w:val="single" w:sz="4" w:space="0" w:color="auto"/>
              <w:bottom w:val="single" w:sz="4" w:space="0" w:color="auto"/>
            </w:tcBorders>
            <w:noWrap/>
            <w:vAlign w:val="center"/>
          </w:tcPr>
          <w:p w14:paraId="698B9328" w14:textId="12686B76" w:rsidR="00C81835" w:rsidRPr="00C81835" w:rsidRDefault="00C81835" w:rsidP="00C81835">
            <w:pPr>
              <w:jc w:val="right"/>
              <w:rPr>
                <w:rFonts w:asciiTheme="minorHAnsi" w:hAnsiTheme="minorHAnsi" w:cstheme="minorHAnsi"/>
                <w:b/>
                <w:bCs/>
                <w:sz w:val="20"/>
                <w:szCs w:val="20"/>
                <w:highlight w:val="yellow"/>
              </w:rPr>
            </w:pPr>
            <w:r w:rsidRPr="00C81835">
              <w:rPr>
                <w:rFonts w:ascii="Calibri" w:hAnsi="Calibri" w:cs="Calibri"/>
                <w:b/>
                <w:bCs/>
                <w:color w:val="000000"/>
                <w:sz w:val="20"/>
                <w:szCs w:val="20"/>
              </w:rPr>
              <w:t>28.7</w:t>
            </w:r>
          </w:p>
        </w:tc>
        <w:tc>
          <w:tcPr>
            <w:tcW w:w="947" w:type="pct"/>
            <w:tcBorders>
              <w:top w:val="single" w:sz="4" w:space="0" w:color="auto"/>
              <w:bottom w:val="single" w:sz="4" w:space="0" w:color="auto"/>
            </w:tcBorders>
            <w:noWrap/>
            <w:vAlign w:val="center"/>
          </w:tcPr>
          <w:p w14:paraId="2A9967AF" w14:textId="4AEF4F34" w:rsidR="00C81835" w:rsidRPr="00C81835" w:rsidRDefault="00C81835" w:rsidP="00C81835">
            <w:pPr>
              <w:jc w:val="right"/>
              <w:rPr>
                <w:rFonts w:asciiTheme="minorHAnsi" w:hAnsiTheme="minorHAnsi" w:cstheme="minorHAnsi"/>
                <w:b/>
                <w:bCs/>
                <w:sz w:val="20"/>
                <w:szCs w:val="20"/>
                <w:highlight w:val="yellow"/>
              </w:rPr>
            </w:pPr>
            <w:r w:rsidRPr="00C81835">
              <w:rPr>
                <w:rFonts w:ascii="Calibri" w:hAnsi="Calibri" w:cs="Calibri"/>
                <w:b/>
                <w:bCs/>
                <w:color w:val="000000"/>
                <w:sz w:val="20"/>
                <w:szCs w:val="20"/>
              </w:rPr>
              <w:t>52.9</w:t>
            </w:r>
          </w:p>
        </w:tc>
        <w:tc>
          <w:tcPr>
            <w:tcW w:w="875" w:type="pct"/>
            <w:tcBorders>
              <w:top w:val="single" w:sz="4" w:space="0" w:color="auto"/>
              <w:bottom w:val="single" w:sz="4" w:space="0" w:color="auto"/>
            </w:tcBorders>
            <w:noWrap/>
            <w:vAlign w:val="center"/>
          </w:tcPr>
          <w:p w14:paraId="5A2B6B9B" w14:textId="59BE66B7" w:rsidR="00C81835" w:rsidRPr="00C81835" w:rsidRDefault="00C81835" w:rsidP="00C81835">
            <w:pPr>
              <w:jc w:val="right"/>
              <w:rPr>
                <w:rFonts w:asciiTheme="minorHAnsi" w:hAnsiTheme="minorHAnsi" w:cstheme="minorHAnsi"/>
                <w:b/>
                <w:bCs/>
                <w:sz w:val="20"/>
                <w:szCs w:val="20"/>
                <w:highlight w:val="yellow"/>
              </w:rPr>
            </w:pPr>
            <w:r w:rsidRPr="00C81835">
              <w:rPr>
                <w:rFonts w:ascii="Calibri" w:hAnsi="Calibri" w:cs="Calibri"/>
                <w:b/>
                <w:bCs/>
                <w:color w:val="000000"/>
                <w:sz w:val="20"/>
                <w:szCs w:val="20"/>
              </w:rPr>
              <w:t>1.2</w:t>
            </w:r>
          </w:p>
        </w:tc>
        <w:tc>
          <w:tcPr>
            <w:tcW w:w="626" w:type="pct"/>
            <w:tcBorders>
              <w:top w:val="single" w:sz="4" w:space="0" w:color="auto"/>
              <w:bottom w:val="single" w:sz="4" w:space="0" w:color="auto"/>
            </w:tcBorders>
            <w:noWrap/>
            <w:vAlign w:val="center"/>
          </w:tcPr>
          <w:p w14:paraId="025B3D8C" w14:textId="787758BD" w:rsidR="00C81835" w:rsidRPr="00C81835" w:rsidRDefault="00C81835" w:rsidP="00C81835">
            <w:pPr>
              <w:jc w:val="right"/>
              <w:rPr>
                <w:rFonts w:asciiTheme="minorHAnsi" w:hAnsiTheme="minorHAnsi" w:cstheme="minorHAnsi"/>
                <w:b/>
                <w:bCs/>
                <w:sz w:val="20"/>
                <w:szCs w:val="20"/>
                <w:highlight w:val="yellow"/>
              </w:rPr>
            </w:pPr>
            <w:r w:rsidRPr="00C81835">
              <w:rPr>
                <w:rFonts w:ascii="Calibri" w:hAnsi="Calibri" w:cs="Calibri"/>
                <w:b/>
                <w:bCs/>
                <w:color w:val="000000"/>
                <w:sz w:val="20"/>
                <w:szCs w:val="20"/>
              </w:rPr>
              <w:t>82.8</w:t>
            </w:r>
          </w:p>
        </w:tc>
      </w:tr>
      <w:tr w:rsidR="00C81835" w:rsidRPr="00F82033" w14:paraId="2A3C9E70" w14:textId="77777777" w:rsidTr="00685809">
        <w:trPr>
          <w:trHeight w:val="283"/>
        </w:trPr>
        <w:tc>
          <w:tcPr>
            <w:tcW w:w="1676" w:type="pct"/>
            <w:noWrap/>
            <w:vAlign w:val="center"/>
          </w:tcPr>
          <w:p w14:paraId="60273384" w14:textId="5DF429CC" w:rsidR="00C81835" w:rsidRPr="00290E61" w:rsidRDefault="00C81835" w:rsidP="00C81835">
            <w:pPr>
              <w:rPr>
                <w:rFonts w:asciiTheme="minorHAnsi" w:hAnsiTheme="minorHAnsi" w:cstheme="minorHAnsi"/>
                <w:color w:val="000000"/>
                <w:sz w:val="20"/>
                <w:szCs w:val="20"/>
                <w:highlight w:val="yellow"/>
              </w:rPr>
            </w:pPr>
            <w:r>
              <w:rPr>
                <w:rFonts w:ascii="Calibri" w:hAnsi="Calibri" w:cs="Calibri"/>
                <w:color w:val="000000"/>
                <w:sz w:val="20"/>
                <w:szCs w:val="20"/>
              </w:rPr>
              <w:t>Brought forward 1 July 2024</w:t>
            </w:r>
          </w:p>
        </w:tc>
        <w:tc>
          <w:tcPr>
            <w:tcW w:w="875" w:type="pct"/>
            <w:tcBorders>
              <w:top w:val="single" w:sz="4" w:space="0" w:color="auto"/>
            </w:tcBorders>
            <w:noWrap/>
            <w:vAlign w:val="center"/>
          </w:tcPr>
          <w:p w14:paraId="5AF02798" w14:textId="159437D5"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28.7</w:t>
            </w:r>
          </w:p>
        </w:tc>
        <w:tc>
          <w:tcPr>
            <w:tcW w:w="947" w:type="pct"/>
            <w:tcBorders>
              <w:top w:val="single" w:sz="4" w:space="0" w:color="auto"/>
            </w:tcBorders>
            <w:noWrap/>
            <w:vAlign w:val="center"/>
          </w:tcPr>
          <w:p w14:paraId="4A2BC77D" w14:textId="722EB2E1"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52.9</w:t>
            </w:r>
          </w:p>
        </w:tc>
        <w:tc>
          <w:tcPr>
            <w:tcW w:w="875" w:type="pct"/>
            <w:tcBorders>
              <w:top w:val="single" w:sz="4" w:space="0" w:color="auto"/>
            </w:tcBorders>
            <w:noWrap/>
            <w:vAlign w:val="center"/>
          </w:tcPr>
          <w:p w14:paraId="0C90D503" w14:textId="04914D0A"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1.2</w:t>
            </w:r>
          </w:p>
        </w:tc>
        <w:tc>
          <w:tcPr>
            <w:tcW w:w="626" w:type="pct"/>
            <w:tcBorders>
              <w:top w:val="single" w:sz="4" w:space="0" w:color="auto"/>
            </w:tcBorders>
            <w:noWrap/>
            <w:vAlign w:val="center"/>
          </w:tcPr>
          <w:p w14:paraId="1BA1D387" w14:textId="5545304E"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82.8</w:t>
            </w:r>
          </w:p>
        </w:tc>
      </w:tr>
      <w:tr w:rsidR="00C81835" w:rsidRPr="00F82033" w14:paraId="0BCFEA47" w14:textId="77777777" w:rsidTr="00685809">
        <w:trPr>
          <w:trHeight w:val="283"/>
        </w:trPr>
        <w:tc>
          <w:tcPr>
            <w:tcW w:w="1676" w:type="pct"/>
            <w:noWrap/>
            <w:vAlign w:val="center"/>
          </w:tcPr>
          <w:p w14:paraId="536591D2" w14:textId="7AF453CB" w:rsidR="00C81835" w:rsidRPr="00290E61" w:rsidRDefault="00C81835" w:rsidP="00C81835">
            <w:pPr>
              <w:rPr>
                <w:rFonts w:asciiTheme="minorHAnsi" w:hAnsiTheme="minorHAnsi" w:cstheme="minorHAnsi"/>
                <w:color w:val="000000"/>
                <w:sz w:val="20"/>
                <w:szCs w:val="20"/>
                <w:highlight w:val="yellow"/>
              </w:rPr>
            </w:pPr>
            <w:r>
              <w:rPr>
                <w:rFonts w:ascii="Calibri" w:hAnsi="Calibri" w:cs="Calibri"/>
                <w:color w:val="000000"/>
                <w:sz w:val="20"/>
                <w:szCs w:val="20"/>
              </w:rPr>
              <w:t>Capitalised</w:t>
            </w:r>
          </w:p>
        </w:tc>
        <w:tc>
          <w:tcPr>
            <w:tcW w:w="875" w:type="pct"/>
            <w:noWrap/>
            <w:vAlign w:val="center"/>
          </w:tcPr>
          <w:p w14:paraId="7A97F84E" w14:textId="5A5AF89A"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2.6</w:t>
            </w:r>
          </w:p>
        </w:tc>
        <w:tc>
          <w:tcPr>
            <w:tcW w:w="947" w:type="pct"/>
            <w:noWrap/>
            <w:vAlign w:val="center"/>
          </w:tcPr>
          <w:p w14:paraId="331DD26E" w14:textId="6F0004BC"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15.8</w:t>
            </w:r>
          </w:p>
        </w:tc>
        <w:tc>
          <w:tcPr>
            <w:tcW w:w="875" w:type="pct"/>
            <w:noWrap/>
            <w:vAlign w:val="center"/>
          </w:tcPr>
          <w:p w14:paraId="1A1E96D0" w14:textId="6EC28380"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8.0</w:t>
            </w:r>
          </w:p>
        </w:tc>
        <w:tc>
          <w:tcPr>
            <w:tcW w:w="626" w:type="pct"/>
            <w:noWrap/>
            <w:vAlign w:val="center"/>
          </w:tcPr>
          <w:p w14:paraId="7DCBBAF3" w14:textId="373BB239"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26.4</w:t>
            </w:r>
          </w:p>
        </w:tc>
      </w:tr>
      <w:tr w:rsidR="00C81835" w:rsidRPr="00F82033" w14:paraId="4462AAD6" w14:textId="77777777" w:rsidTr="00685809">
        <w:trPr>
          <w:trHeight w:val="283"/>
        </w:trPr>
        <w:tc>
          <w:tcPr>
            <w:tcW w:w="1676" w:type="pct"/>
            <w:noWrap/>
            <w:vAlign w:val="center"/>
          </w:tcPr>
          <w:p w14:paraId="318B940E" w14:textId="0A3F870A" w:rsidR="00C81835" w:rsidRPr="00290E61" w:rsidRDefault="00C81835" w:rsidP="00C81835">
            <w:pPr>
              <w:rPr>
                <w:rFonts w:asciiTheme="minorHAnsi" w:hAnsiTheme="minorHAnsi" w:cstheme="minorHAnsi"/>
                <w:color w:val="000000"/>
                <w:sz w:val="20"/>
                <w:szCs w:val="20"/>
                <w:highlight w:val="yellow"/>
              </w:rPr>
            </w:pPr>
            <w:r>
              <w:rPr>
                <w:rFonts w:ascii="Calibri" w:hAnsi="Calibri" w:cs="Calibri"/>
                <w:color w:val="000000"/>
                <w:sz w:val="20"/>
                <w:szCs w:val="20"/>
              </w:rPr>
              <w:t>Amortised</w:t>
            </w:r>
          </w:p>
        </w:tc>
        <w:tc>
          <w:tcPr>
            <w:tcW w:w="875" w:type="pct"/>
            <w:noWrap/>
            <w:vAlign w:val="center"/>
          </w:tcPr>
          <w:p w14:paraId="52BB9ECC" w14:textId="0830FDC4"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(5.8)</w:t>
            </w:r>
          </w:p>
        </w:tc>
        <w:tc>
          <w:tcPr>
            <w:tcW w:w="947" w:type="pct"/>
            <w:noWrap/>
            <w:vAlign w:val="center"/>
          </w:tcPr>
          <w:p w14:paraId="02C7DD6B" w14:textId="5A83FF80"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(15.6)</w:t>
            </w:r>
          </w:p>
        </w:tc>
        <w:tc>
          <w:tcPr>
            <w:tcW w:w="875" w:type="pct"/>
            <w:noWrap/>
            <w:vAlign w:val="center"/>
          </w:tcPr>
          <w:p w14:paraId="4885F52A" w14:textId="14EDAD4A"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(0.8)</w:t>
            </w:r>
          </w:p>
        </w:tc>
        <w:tc>
          <w:tcPr>
            <w:tcW w:w="626" w:type="pct"/>
            <w:noWrap/>
            <w:vAlign w:val="center"/>
          </w:tcPr>
          <w:p w14:paraId="67FF335F" w14:textId="7D1DB6E9"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(22.2)</w:t>
            </w:r>
          </w:p>
        </w:tc>
      </w:tr>
      <w:tr w:rsidR="00C81835" w:rsidRPr="00F82033" w14:paraId="7D474ACE" w14:textId="77777777" w:rsidTr="00685809">
        <w:trPr>
          <w:trHeight w:val="283"/>
        </w:trPr>
        <w:tc>
          <w:tcPr>
            <w:tcW w:w="1676" w:type="pct"/>
            <w:noWrap/>
            <w:vAlign w:val="center"/>
          </w:tcPr>
          <w:p w14:paraId="30E1DBD7" w14:textId="422C3A83" w:rsidR="00C81835" w:rsidRPr="00290E61" w:rsidRDefault="00C81835" w:rsidP="00C81835">
            <w:pPr>
              <w:rPr>
                <w:rFonts w:asciiTheme="minorHAnsi" w:hAnsiTheme="minorHAnsi" w:cstheme="minorHAnsi"/>
                <w:color w:val="000000"/>
                <w:sz w:val="20"/>
                <w:szCs w:val="20"/>
                <w:highlight w:val="yellow"/>
              </w:rPr>
            </w:pPr>
            <w:r>
              <w:rPr>
                <w:rFonts w:ascii="Calibri" w:hAnsi="Calibri" w:cs="Calibri"/>
                <w:color w:val="000000"/>
                <w:sz w:val="20"/>
                <w:szCs w:val="20"/>
              </w:rPr>
              <w:t>Written off</w:t>
            </w:r>
          </w:p>
        </w:tc>
        <w:tc>
          <w:tcPr>
            <w:tcW w:w="875" w:type="pct"/>
            <w:tcBorders>
              <w:bottom w:val="single" w:sz="4" w:space="0" w:color="auto"/>
            </w:tcBorders>
            <w:noWrap/>
            <w:vAlign w:val="center"/>
          </w:tcPr>
          <w:p w14:paraId="63BB8DE9" w14:textId="77FF1056"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w:t>
            </w:r>
          </w:p>
        </w:tc>
        <w:tc>
          <w:tcPr>
            <w:tcW w:w="947" w:type="pct"/>
            <w:tcBorders>
              <w:bottom w:val="single" w:sz="4" w:space="0" w:color="auto"/>
            </w:tcBorders>
            <w:noWrap/>
            <w:vAlign w:val="center"/>
          </w:tcPr>
          <w:p w14:paraId="2D401670" w14:textId="0F22B1A6"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(3.4)</w:t>
            </w:r>
          </w:p>
        </w:tc>
        <w:tc>
          <w:tcPr>
            <w:tcW w:w="875" w:type="pct"/>
            <w:tcBorders>
              <w:bottom w:val="single" w:sz="4" w:space="0" w:color="auto"/>
            </w:tcBorders>
            <w:noWrap/>
            <w:vAlign w:val="center"/>
          </w:tcPr>
          <w:p w14:paraId="0EA984A8" w14:textId="4105F144"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w:t>
            </w:r>
          </w:p>
        </w:tc>
        <w:tc>
          <w:tcPr>
            <w:tcW w:w="626" w:type="pct"/>
            <w:tcBorders>
              <w:bottom w:val="single" w:sz="4" w:space="0" w:color="auto"/>
            </w:tcBorders>
            <w:noWrap/>
            <w:vAlign w:val="center"/>
          </w:tcPr>
          <w:p w14:paraId="3DEE628B" w14:textId="1C058DE1" w:rsidR="00C81835" w:rsidRPr="00C81835" w:rsidRDefault="00C81835" w:rsidP="00C81835">
            <w:pPr>
              <w:jc w:val="right"/>
              <w:rPr>
                <w:rFonts w:asciiTheme="minorHAnsi" w:hAnsiTheme="minorHAnsi" w:cstheme="minorHAnsi"/>
                <w:sz w:val="20"/>
                <w:szCs w:val="20"/>
                <w:highlight w:val="yellow"/>
              </w:rPr>
            </w:pPr>
            <w:r w:rsidRPr="00C81835">
              <w:rPr>
                <w:rFonts w:ascii="Calibri" w:hAnsi="Calibri" w:cs="Calibri"/>
                <w:color w:val="000000"/>
                <w:sz w:val="20"/>
                <w:szCs w:val="20"/>
              </w:rPr>
              <w:t>(3.4)</w:t>
            </w:r>
          </w:p>
        </w:tc>
      </w:tr>
      <w:tr w:rsidR="00C81835" w:rsidRPr="00F82033" w14:paraId="2A8DEB56" w14:textId="77777777" w:rsidTr="00685809">
        <w:trPr>
          <w:trHeight w:val="283"/>
        </w:trPr>
        <w:tc>
          <w:tcPr>
            <w:tcW w:w="1676" w:type="pct"/>
            <w:noWrap/>
            <w:vAlign w:val="center"/>
          </w:tcPr>
          <w:p w14:paraId="068733D5" w14:textId="669A8E0D" w:rsidR="00C81835" w:rsidRPr="00910F8C" w:rsidRDefault="00C81835" w:rsidP="00C81835">
            <w:pPr>
              <w:rPr>
                <w:rFonts w:asciiTheme="minorHAnsi" w:hAnsiTheme="minorHAnsi" w:cstheme="minorHAnsi"/>
                <w:b/>
                <w:bCs/>
                <w:color w:val="000000"/>
                <w:sz w:val="20"/>
                <w:szCs w:val="20"/>
                <w:highlight w:val="yellow"/>
              </w:rPr>
            </w:pPr>
            <w:r w:rsidRPr="00910F8C">
              <w:rPr>
                <w:rFonts w:ascii="Calibri" w:hAnsi="Calibri" w:cs="Calibri"/>
                <w:b/>
                <w:bCs/>
                <w:color w:val="000000"/>
                <w:sz w:val="20"/>
                <w:szCs w:val="20"/>
              </w:rPr>
              <w:t>Carried forward 31 December 2024</w:t>
            </w:r>
            <w:r w:rsidR="007237DC">
              <w:rPr>
                <w:rFonts w:ascii="Calibri" w:hAnsi="Calibri" w:cs="Calibri"/>
                <w:b/>
                <w:bCs/>
                <w:color w:val="000000"/>
                <w:sz w:val="20"/>
                <w:szCs w:val="20"/>
              </w:rPr>
              <w:t xml:space="preserve"> (audited)</w:t>
            </w:r>
          </w:p>
        </w:tc>
        <w:tc>
          <w:tcPr>
            <w:tcW w:w="875" w:type="pct"/>
            <w:tcBorders>
              <w:top w:val="single" w:sz="4" w:space="0" w:color="auto"/>
              <w:bottom w:val="single" w:sz="4" w:space="0" w:color="auto"/>
            </w:tcBorders>
            <w:noWrap/>
            <w:vAlign w:val="center"/>
          </w:tcPr>
          <w:p w14:paraId="0BDC31FF" w14:textId="70BE70EB" w:rsidR="00C81835" w:rsidRPr="00C81835" w:rsidRDefault="00C81835" w:rsidP="00C81835">
            <w:pPr>
              <w:jc w:val="right"/>
              <w:rPr>
                <w:rFonts w:asciiTheme="minorHAnsi" w:hAnsiTheme="minorHAnsi" w:cstheme="minorHAnsi"/>
                <w:b/>
                <w:bCs/>
                <w:sz w:val="20"/>
                <w:szCs w:val="20"/>
                <w:highlight w:val="yellow"/>
              </w:rPr>
            </w:pPr>
            <w:r w:rsidRPr="00C81835">
              <w:rPr>
                <w:rFonts w:ascii="Calibri" w:hAnsi="Calibri" w:cs="Calibri"/>
                <w:b/>
                <w:bCs/>
                <w:color w:val="000000"/>
                <w:sz w:val="20"/>
                <w:szCs w:val="20"/>
              </w:rPr>
              <w:t>25.5</w:t>
            </w:r>
          </w:p>
        </w:tc>
        <w:tc>
          <w:tcPr>
            <w:tcW w:w="947" w:type="pct"/>
            <w:tcBorders>
              <w:top w:val="single" w:sz="4" w:space="0" w:color="auto"/>
              <w:bottom w:val="single" w:sz="4" w:space="0" w:color="auto"/>
            </w:tcBorders>
            <w:noWrap/>
            <w:vAlign w:val="center"/>
          </w:tcPr>
          <w:p w14:paraId="1976BF48" w14:textId="54FED464" w:rsidR="00C81835" w:rsidRPr="00C81835" w:rsidRDefault="00C81835" w:rsidP="00C81835">
            <w:pPr>
              <w:jc w:val="right"/>
              <w:rPr>
                <w:rFonts w:asciiTheme="minorHAnsi" w:hAnsiTheme="minorHAnsi" w:cstheme="minorHAnsi"/>
                <w:b/>
                <w:bCs/>
                <w:sz w:val="20"/>
                <w:szCs w:val="20"/>
                <w:highlight w:val="yellow"/>
              </w:rPr>
            </w:pPr>
            <w:r w:rsidRPr="00C81835">
              <w:rPr>
                <w:rFonts w:ascii="Calibri" w:hAnsi="Calibri" w:cs="Calibri"/>
                <w:b/>
                <w:bCs/>
                <w:color w:val="000000"/>
                <w:sz w:val="20"/>
                <w:szCs w:val="20"/>
              </w:rPr>
              <w:t>49.7</w:t>
            </w:r>
          </w:p>
        </w:tc>
        <w:tc>
          <w:tcPr>
            <w:tcW w:w="875" w:type="pct"/>
            <w:tcBorders>
              <w:top w:val="single" w:sz="4" w:space="0" w:color="auto"/>
              <w:bottom w:val="single" w:sz="4" w:space="0" w:color="auto"/>
            </w:tcBorders>
            <w:noWrap/>
            <w:vAlign w:val="center"/>
          </w:tcPr>
          <w:p w14:paraId="7B94F71B" w14:textId="4F26E542" w:rsidR="00C81835" w:rsidRPr="00C81835" w:rsidRDefault="00C81835" w:rsidP="00C81835">
            <w:pPr>
              <w:jc w:val="right"/>
              <w:rPr>
                <w:rFonts w:asciiTheme="minorHAnsi" w:hAnsiTheme="minorHAnsi" w:cstheme="minorHAnsi"/>
                <w:b/>
                <w:bCs/>
                <w:sz w:val="20"/>
                <w:szCs w:val="20"/>
                <w:highlight w:val="yellow"/>
              </w:rPr>
            </w:pPr>
            <w:r w:rsidRPr="00C81835">
              <w:rPr>
                <w:rFonts w:ascii="Calibri" w:hAnsi="Calibri" w:cs="Calibri"/>
                <w:b/>
                <w:bCs/>
                <w:color w:val="000000"/>
                <w:sz w:val="20"/>
                <w:szCs w:val="20"/>
              </w:rPr>
              <w:t>8.4</w:t>
            </w:r>
          </w:p>
        </w:tc>
        <w:tc>
          <w:tcPr>
            <w:tcW w:w="626" w:type="pct"/>
            <w:tcBorders>
              <w:top w:val="single" w:sz="4" w:space="0" w:color="auto"/>
              <w:bottom w:val="single" w:sz="4" w:space="0" w:color="auto"/>
            </w:tcBorders>
            <w:noWrap/>
            <w:vAlign w:val="center"/>
          </w:tcPr>
          <w:p w14:paraId="44F29D6B" w14:textId="1935D607" w:rsidR="00C81835" w:rsidRPr="00C81835" w:rsidRDefault="00C81835" w:rsidP="00C81835">
            <w:pPr>
              <w:jc w:val="right"/>
              <w:rPr>
                <w:rFonts w:asciiTheme="minorHAnsi" w:hAnsiTheme="minorHAnsi" w:cstheme="minorHAnsi"/>
                <w:b/>
                <w:bCs/>
                <w:sz w:val="20"/>
                <w:szCs w:val="20"/>
                <w:highlight w:val="yellow"/>
              </w:rPr>
            </w:pPr>
            <w:r w:rsidRPr="00C81835">
              <w:rPr>
                <w:rFonts w:ascii="Calibri" w:hAnsi="Calibri" w:cs="Calibri"/>
                <w:b/>
                <w:bCs/>
                <w:color w:val="000000"/>
                <w:sz w:val="20"/>
                <w:szCs w:val="20"/>
              </w:rPr>
              <w:t>83.6</w:t>
            </w:r>
          </w:p>
        </w:tc>
      </w:tr>
      <w:tr w:rsidR="00D629FA" w:rsidRPr="00F82033" w14:paraId="194CD6DD" w14:textId="77777777" w:rsidTr="00685809">
        <w:trPr>
          <w:trHeight w:val="283"/>
        </w:trPr>
        <w:tc>
          <w:tcPr>
            <w:tcW w:w="1676" w:type="pct"/>
            <w:noWrap/>
            <w:vAlign w:val="center"/>
          </w:tcPr>
          <w:p w14:paraId="2D034CB9" w14:textId="5B6146EC" w:rsidR="00D629FA" w:rsidRPr="006F4A79" w:rsidRDefault="00D629FA" w:rsidP="00D629FA">
            <w:pPr>
              <w:rPr>
                <w:rFonts w:asciiTheme="minorHAnsi" w:hAnsiTheme="minorHAnsi" w:cstheme="minorHAnsi"/>
                <w:b/>
                <w:bCs/>
                <w:color w:val="000000"/>
                <w:sz w:val="20"/>
                <w:szCs w:val="20"/>
                <w:highlight w:val="yellow"/>
              </w:rPr>
            </w:pPr>
            <w:r w:rsidRPr="006F4A79">
              <w:rPr>
                <w:rFonts w:ascii="Calibri" w:hAnsi="Calibri" w:cs="Calibri"/>
                <w:b/>
                <w:bCs/>
                <w:color w:val="000000"/>
                <w:sz w:val="20"/>
                <w:szCs w:val="20"/>
              </w:rPr>
              <w:t>Brought forward 1 January 2025</w:t>
            </w:r>
            <w:r w:rsidR="007237DC">
              <w:rPr>
                <w:rFonts w:ascii="Calibri" w:hAnsi="Calibri" w:cs="Calibri"/>
                <w:b/>
                <w:bCs/>
                <w:color w:val="000000"/>
                <w:sz w:val="20"/>
                <w:szCs w:val="20"/>
              </w:rPr>
              <w:t xml:space="preserve"> (audited)</w:t>
            </w:r>
          </w:p>
        </w:tc>
        <w:tc>
          <w:tcPr>
            <w:tcW w:w="875" w:type="pct"/>
            <w:tcBorders>
              <w:top w:val="single" w:sz="4" w:space="0" w:color="auto"/>
            </w:tcBorders>
            <w:shd w:val="clear" w:color="auto" w:fill="F2F2F2" w:themeFill="background1" w:themeFillShade="F2"/>
            <w:noWrap/>
            <w:vAlign w:val="bottom"/>
          </w:tcPr>
          <w:p w14:paraId="72A314E5" w14:textId="59B95050" w:rsidR="00D629FA" w:rsidRPr="006F4A79" w:rsidRDefault="00D629FA" w:rsidP="00D629FA">
            <w:pPr>
              <w:jc w:val="right"/>
              <w:rPr>
                <w:rFonts w:asciiTheme="minorHAnsi" w:hAnsiTheme="minorHAnsi" w:cstheme="minorHAnsi"/>
                <w:b/>
                <w:bCs/>
                <w:sz w:val="20"/>
                <w:szCs w:val="20"/>
                <w:highlight w:val="yellow"/>
              </w:rPr>
            </w:pPr>
            <w:r w:rsidRPr="00D41513">
              <w:rPr>
                <w:rFonts w:asciiTheme="minorHAnsi" w:hAnsiTheme="minorHAnsi" w:cstheme="minorHAnsi"/>
                <w:b/>
                <w:sz w:val="20"/>
                <w:szCs w:val="20"/>
              </w:rPr>
              <w:t>25.5</w:t>
            </w:r>
          </w:p>
        </w:tc>
        <w:tc>
          <w:tcPr>
            <w:tcW w:w="947" w:type="pct"/>
            <w:tcBorders>
              <w:top w:val="single" w:sz="4" w:space="0" w:color="auto"/>
            </w:tcBorders>
            <w:shd w:val="clear" w:color="auto" w:fill="F2F2F2" w:themeFill="background1" w:themeFillShade="F2"/>
            <w:noWrap/>
            <w:vAlign w:val="bottom"/>
          </w:tcPr>
          <w:p w14:paraId="75657E2A" w14:textId="354AF3CA" w:rsidR="00D629FA" w:rsidRPr="006F4A79" w:rsidRDefault="00D629FA" w:rsidP="00D629FA">
            <w:pPr>
              <w:jc w:val="right"/>
              <w:rPr>
                <w:rFonts w:asciiTheme="minorHAnsi" w:hAnsiTheme="minorHAnsi" w:cstheme="minorHAnsi"/>
                <w:b/>
                <w:bCs/>
                <w:sz w:val="20"/>
                <w:szCs w:val="20"/>
                <w:highlight w:val="yellow"/>
              </w:rPr>
            </w:pPr>
            <w:r w:rsidRPr="00D41513">
              <w:rPr>
                <w:rFonts w:asciiTheme="minorHAnsi" w:hAnsiTheme="minorHAnsi" w:cstheme="minorHAnsi"/>
                <w:b/>
                <w:sz w:val="20"/>
                <w:szCs w:val="20"/>
              </w:rPr>
              <w:t>49.7</w:t>
            </w:r>
          </w:p>
        </w:tc>
        <w:tc>
          <w:tcPr>
            <w:tcW w:w="875" w:type="pct"/>
            <w:tcBorders>
              <w:top w:val="single" w:sz="4" w:space="0" w:color="auto"/>
            </w:tcBorders>
            <w:shd w:val="clear" w:color="auto" w:fill="F2F2F2" w:themeFill="background1" w:themeFillShade="F2"/>
            <w:noWrap/>
            <w:vAlign w:val="bottom"/>
          </w:tcPr>
          <w:p w14:paraId="51A5FD87" w14:textId="17776759" w:rsidR="00D629FA" w:rsidRPr="006F4A79" w:rsidRDefault="00D629FA" w:rsidP="00D629FA">
            <w:pPr>
              <w:jc w:val="right"/>
              <w:rPr>
                <w:rFonts w:asciiTheme="minorHAnsi" w:hAnsiTheme="minorHAnsi" w:cstheme="minorHAnsi"/>
                <w:b/>
                <w:bCs/>
                <w:sz w:val="20"/>
                <w:szCs w:val="20"/>
                <w:highlight w:val="yellow"/>
              </w:rPr>
            </w:pPr>
            <w:r w:rsidRPr="00D41513">
              <w:rPr>
                <w:rFonts w:asciiTheme="minorHAnsi" w:hAnsiTheme="minorHAnsi" w:cstheme="minorHAnsi"/>
                <w:b/>
                <w:sz w:val="20"/>
                <w:szCs w:val="20"/>
              </w:rPr>
              <w:t>8.4</w:t>
            </w:r>
          </w:p>
        </w:tc>
        <w:tc>
          <w:tcPr>
            <w:tcW w:w="626" w:type="pct"/>
            <w:tcBorders>
              <w:top w:val="single" w:sz="4" w:space="0" w:color="auto"/>
            </w:tcBorders>
            <w:shd w:val="clear" w:color="auto" w:fill="F2F2F2" w:themeFill="background1" w:themeFillShade="F2"/>
            <w:noWrap/>
            <w:vAlign w:val="bottom"/>
          </w:tcPr>
          <w:p w14:paraId="4BFF397A" w14:textId="69071B52" w:rsidR="00D629FA" w:rsidRPr="006F4A79" w:rsidRDefault="00C54C65" w:rsidP="00D629FA">
            <w:pPr>
              <w:jc w:val="right"/>
              <w:rPr>
                <w:rFonts w:asciiTheme="minorHAnsi" w:hAnsiTheme="minorHAnsi" w:cstheme="minorHAnsi"/>
                <w:b/>
                <w:bCs/>
                <w:sz w:val="20"/>
                <w:szCs w:val="20"/>
                <w:highlight w:val="yellow"/>
              </w:rPr>
            </w:pPr>
            <w:r w:rsidRPr="007F1D81">
              <w:rPr>
                <w:rFonts w:asciiTheme="minorHAnsi" w:hAnsiTheme="minorHAnsi" w:cstheme="minorHAnsi"/>
                <w:b/>
                <w:bCs/>
                <w:sz w:val="20"/>
                <w:szCs w:val="20"/>
              </w:rPr>
              <w:t>83.6</w:t>
            </w:r>
          </w:p>
        </w:tc>
      </w:tr>
      <w:tr w:rsidR="00685809" w:rsidRPr="00F82033" w14:paraId="65C01397" w14:textId="77777777" w:rsidTr="00685809">
        <w:trPr>
          <w:trHeight w:val="283"/>
        </w:trPr>
        <w:tc>
          <w:tcPr>
            <w:tcW w:w="1676" w:type="pct"/>
            <w:noWrap/>
            <w:vAlign w:val="center"/>
          </w:tcPr>
          <w:p w14:paraId="1CE4C714" w14:textId="1455486B" w:rsidR="00685809" w:rsidRPr="006F4A79" w:rsidRDefault="00685809" w:rsidP="00685809">
            <w:pPr>
              <w:rPr>
                <w:rFonts w:asciiTheme="minorHAnsi" w:hAnsiTheme="minorHAnsi" w:cstheme="minorHAnsi"/>
                <w:b/>
                <w:bCs/>
                <w:color w:val="000000"/>
                <w:sz w:val="20"/>
                <w:szCs w:val="20"/>
                <w:highlight w:val="yellow"/>
              </w:rPr>
            </w:pPr>
            <w:r w:rsidRPr="006F4A79">
              <w:rPr>
                <w:rFonts w:ascii="Calibri" w:hAnsi="Calibri" w:cs="Calibri"/>
                <w:b/>
                <w:bCs/>
                <w:color w:val="000000"/>
                <w:sz w:val="20"/>
                <w:szCs w:val="20"/>
              </w:rPr>
              <w:t>Capitalised</w:t>
            </w:r>
          </w:p>
        </w:tc>
        <w:tc>
          <w:tcPr>
            <w:tcW w:w="875" w:type="pct"/>
            <w:shd w:val="clear" w:color="auto" w:fill="F2F2F2" w:themeFill="background1" w:themeFillShade="F2"/>
            <w:noWrap/>
            <w:vAlign w:val="center"/>
          </w:tcPr>
          <w:p w14:paraId="0FB61605" w14:textId="7F7B50F4" w:rsidR="00685809" w:rsidRPr="006F4A79" w:rsidRDefault="0031495D"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5.5</w:t>
            </w:r>
          </w:p>
        </w:tc>
        <w:tc>
          <w:tcPr>
            <w:tcW w:w="947" w:type="pct"/>
            <w:shd w:val="clear" w:color="auto" w:fill="F2F2F2" w:themeFill="background1" w:themeFillShade="F2"/>
            <w:noWrap/>
            <w:vAlign w:val="center"/>
          </w:tcPr>
          <w:p w14:paraId="577789CB" w14:textId="01FA87B4"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13.4</w:t>
            </w:r>
          </w:p>
        </w:tc>
        <w:tc>
          <w:tcPr>
            <w:tcW w:w="875" w:type="pct"/>
            <w:shd w:val="clear" w:color="auto" w:fill="F2F2F2" w:themeFill="background1" w:themeFillShade="F2"/>
            <w:noWrap/>
            <w:vAlign w:val="center"/>
          </w:tcPr>
          <w:p w14:paraId="1FEE11A1" w14:textId="0334B972"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7.1</w:t>
            </w:r>
          </w:p>
        </w:tc>
        <w:tc>
          <w:tcPr>
            <w:tcW w:w="626" w:type="pct"/>
            <w:shd w:val="clear" w:color="auto" w:fill="F2F2F2" w:themeFill="background1" w:themeFillShade="F2"/>
            <w:noWrap/>
            <w:vAlign w:val="center"/>
          </w:tcPr>
          <w:p w14:paraId="77507C5E" w14:textId="231D2F39" w:rsidR="00685809" w:rsidRPr="006F4A79" w:rsidRDefault="0031495D"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26.0</w:t>
            </w:r>
          </w:p>
        </w:tc>
      </w:tr>
      <w:tr w:rsidR="00685809" w:rsidRPr="00F82033" w14:paraId="02E81BFD" w14:textId="77777777" w:rsidTr="00685809">
        <w:trPr>
          <w:trHeight w:val="283"/>
        </w:trPr>
        <w:tc>
          <w:tcPr>
            <w:tcW w:w="1676" w:type="pct"/>
            <w:noWrap/>
            <w:vAlign w:val="center"/>
          </w:tcPr>
          <w:p w14:paraId="4766333F" w14:textId="26C7E5D9" w:rsidR="00685809" w:rsidRPr="006F4A79" w:rsidRDefault="00685809" w:rsidP="00685809">
            <w:pPr>
              <w:rPr>
                <w:rFonts w:asciiTheme="minorHAnsi" w:hAnsiTheme="minorHAnsi" w:cstheme="minorHAnsi"/>
                <w:b/>
                <w:bCs/>
                <w:color w:val="000000"/>
                <w:sz w:val="20"/>
                <w:szCs w:val="20"/>
                <w:highlight w:val="yellow"/>
              </w:rPr>
            </w:pPr>
            <w:r w:rsidRPr="006F4A79">
              <w:rPr>
                <w:rFonts w:ascii="Calibri" w:hAnsi="Calibri" w:cs="Calibri"/>
                <w:b/>
                <w:bCs/>
                <w:color w:val="000000"/>
                <w:sz w:val="20"/>
                <w:szCs w:val="20"/>
              </w:rPr>
              <w:t>Amortised</w:t>
            </w:r>
          </w:p>
        </w:tc>
        <w:tc>
          <w:tcPr>
            <w:tcW w:w="875" w:type="pct"/>
            <w:shd w:val="clear" w:color="auto" w:fill="F2F2F2" w:themeFill="background1" w:themeFillShade="F2"/>
            <w:noWrap/>
            <w:vAlign w:val="center"/>
          </w:tcPr>
          <w:p w14:paraId="36C8D2B3" w14:textId="4E56718E"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(4</w:t>
            </w:r>
            <w:r w:rsidR="0031495D">
              <w:rPr>
                <w:rFonts w:ascii="Calibri" w:hAnsi="Calibri" w:cs="Calibri"/>
                <w:b/>
                <w:bCs/>
                <w:color w:val="000000"/>
                <w:sz w:val="20"/>
                <w:szCs w:val="20"/>
              </w:rPr>
              <w:t>.1</w:t>
            </w:r>
            <w:r>
              <w:rPr>
                <w:rFonts w:ascii="Calibri" w:hAnsi="Calibri" w:cs="Calibri"/>
                <w:b/>
                <w:bCs/>
                <w:color w:val="000000"/>
                <w:sz w:val="20"/>
                <w:szCs w:val="20"/>
              </w:rPr>
              <w:t>)</w:t>
            </w:r>
          </w:p>
        </w:tc>
        <w:tc>
          <w:tcPr>
            <w:tcW w:w="947" w:type="pct"/>
            <w:shd w:val="clear" w:color="auto" w:fill="F2F2F2" w:themeFill="background1" w:themeFillShade="F2"/>
            <w:noWrap/>
            <w:vAlign w:val="center"/>
          </w:tcPr>
          <w:p w14:paraId="5147FC8F" w14:textId="52892181"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(14.4)</w:t>
            </w:r>
          </w:p>
        </w:tc>
        <w:tc>
          <w:tcPr>
            <w:tcW w:w="875" w:type="pct"/>
            <w:shd w:val="clear" w:color="auto" w:fill="F2F2F2" w:themeFill="background1" w:themeFillShade="F2"/>
            <w:noWrap/>
            <w:vAlign w:val="center"/>
          </w:tcPr>
          <w:p w14:paraId="51B0EA7E" w14:textId="71D72B7A"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(1.7)</w:t>
            </w:r>
          </w:p>
        </w:tc>
        <w:tc>
          <w:tcPr>
            <w:tcW w:w="626" w:type="pct"/>
            <w:shd w:val="clear" w:color="auto" w:fill="F2F2F2" w:themeFill="background1" w:themeFillShade="F2"/>
            <w:noWrap/>
            <w:vAlign w:val="center"/>
          </w:tcPr>
          <w:p w14:paraId="01144D5A" w14:textId="46844CC6"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w:t>
            </w:r>
            <w:r w:rsidR="0031495D">
              <w:rPr>
                <w:rFonts w:ascii="Calibri" w:hAnsi="Calibri" w:cs="Calibri"/>
                <w:b/>
                <w:bCs/>
                <w:color w:val="000000"/>
                <w:sz w:val="20"/>
                <w:szCs w:val="20"/>
              </w:rPr>
              <w:t>20.2</w:t>
            </w:r>
            <w:r>
              <w:rPr>
                <w:rFonts w:ascii="Calibri" w:hAnsi="Calibri" w:cs="Calibri"/>
                <w:b/>
                <w:bCs/>
                <w:color w:val="000000"/>
                <w:sz w:val="20"/>
                <w:szCs w:val="20"/>
              </w:rPr>
              <w:t>)</w:t>
            </w:r>
          </w:p>
        </w:tc>
      </w:tr>
      <w:tr w:rsidR="00685809" w:rsidRPr="00F82033" w14:paraId="75953007" w14:textId="77777777" w:rsidTr="00685809">
        <w:trPr>
          <w:trHeight w:val="283"/>
        </w:trPr>
        <w:tc>
          <w:tcPr>
            <w:tcW w:w="1676" w:type="pct"/>
            <w:noWrap/>
            <w:vAlign w:val="center"/>
          </w:tcPr>
          <w:p w14:paraId="7CB60BB8" w14:textId="5DC9796A" w:rsidR="00685809" w:rsidRPr="006F4A79" w:rsidRDefault="00685809" w:rsidP="00685809">
            <w:pPr>
              <w:rPr>
                <w:rFonts w:asciiTheme="minorHAnsi" w:hAnsiTheme="minorHAnsi" w:cstheme="minorHAnsi"/>
                <w:b/>
                <w:bCs/>
                <w:color w:val="000000"/>
                <w:sz w:val="20"/>
                <w:szCs w:val="20"/>
                <w:highlight w:val="yellow"/>
              </w:rPr>
            </w:pPr>
            <w:r w:rsidRPr="006F4A79">
              <w:rPr>
                <w:rFonts w:ascii="Calibri" w:hAnsi="Calibri" w:cs="Calibri"/>
                <w:b/>
                <w:bCs/>
                <w:color w:val="000000"/>
                <w:sz w:val="20"/>
                <w:szCs w:val="20"/>
              </w:rPr>
              <w:t>Written off</w:t>
            </w:r>
          </w:p>
        </w:tc>
        <w:tc>
          <w:tcPr>
            <w:tcW w:w="875" w:type="pct"/>
            <w:tcBorders>
              <w:bottom w:val="single" w:sz="4" w:space="0" w:color="auto"/>
            </w:tcBorders>
            <w:shd w:val="clear" w:color="auto" w:fill="F2F2F2" w:themeFill="background1" w:themeFillShade="F2"/>
            <w:noWrap/>
            <w:vAlign w:val="center"/>
          </w:tcPr>
          <w:p w14:paraId="6EEC7D10" w14:textId="6782839A"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w:t>
            </w:r>
          </w:p>
        </w:tc>
        <w:tc>
          <w:tcPr>
            <w:tcW w:w="947" w:type="pct"/>
            <w:tcBorders>
              <w:bottom w:val="single" w:sz="4" w:space="0" w:color="auto"/>
            </w:tcBorders>
            <w:shd w:val="clear" w:color="auto" w:fill="F2F2F2" w:themeFill="background1" w:themeFillShade="F2"/>
            <w:noWrap/>
            <w:vAlign w:val="center"/>
          </w:tcPr>
          <w:p w14:paraId="0186CC52" w14:textId="14FFA562"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(1.9)</w:t>
            </w:r>
          </w:p>
        </w:tc>
        <w:tc>
          <w:tcPr>
            <w:tcW w:w="875" w:type="pct"/>
            <w:tcBorders>
              <w:bottom w:val="single" w:sz="4" w:space="0" w:color="auto"/>
            </w:tcBorders>
            <w:shd w:val="clear" w:color="auto" w:fill="F2F2F2" w:themeFill="background1" w:themeFillShade="F2"/>
            <w:noWrap/>
            <w:vAlign w:val="center"/>
          </w:tcPr>
          <w:p w14:paraId="2B5922DB" w14:textId="2E784C70"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w:t>
            </w:r>
          </w:p>
        </w:tc>
        <w:tc>
          <w:tcPr>
            <w:tcW w:w="626" w:type="pct"/>
            <w:tcBorders>
              <w:bottom w:val="single" w:sz="4" w:space="0" w:color="auto"/>
            </w:tcBorders>
            <w:shd w:val="clear" w:color="auto" w:fill="F2F2F2" w:themeFill="background1" w:themeFillShade="F2"/>
            <w:noWrap/>
            <w:vAlign w:val="center"/>
          </w:tcPr>
          <w:p w14:paraId="776194C5" w14:textId="58192221"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(1.9)</w:t>
            </w:r>
          </w:p>
        </w:tc>
      </w:tr>
      <w:tr w:rsidR="00685809" w:rsidRPr="00F82033" w14:paraId="3DAA0D45" w14:textId="77777777" w:rsidTr="00685809">
        <w:trPr>
          <w:trHeight w:val="283"/>
        </w:trPr>
        <w:tc>
          <w:tcPr>
            <w:tcW w:w="1676" w:type="pct"/>
            <w:noWrap/>
            <w:vAlign w:val="center"/>
          </w:tcPr>
          <w:p w14:paraId="157BF8D6" w14:textId="5AEBF3E5" w:rsidR="00685809" w:rsidRPr="006F4A79" w:rsidRDefault="00685809" w:rsidP="00685809">
            <w:pPr>
              <w:rPr>
                <w:rFonts w:asciiTheme="minorHAnsi" w:hAnsiTheme="minorHAnsi" w:cstheme="minorHAnsi"/>
                <w:b/>
                <w:bCs/>
                <w:color w:val="000000"/>
                <w:sz w:val="20"/>
                <w:szCs w:val="20"/>
                <w:highlight w:val="yellow"/>
              </w:rPr>
            </w:pPr>
            <w:r w:rsidRPr="006F4A79">
              <w:rPr>
                <w:rFonts w:ascii="Calibri" w:hAnsi="Calibri" w:cs="Calibri"/>
                <w:b/>
                <w:bCs/>
                <w:color w:val="000000"/>
                <w:sz w:val="20"/>
                <w:szCs w:val="20"/>
              </w:rPr>
              <w:t>Carried forward 30 June 2025</w:t>
            </w:r>
            <w:r w:rsidR="007237DC">
              <w:rPr>
                <w:rFonts w:ascii="Calibri" w:hAnsi="Calibri" w:cs="Calibri"/>
                <w:b/>
                <w:bCs/>
                <w:color w:val="000000"/>
                <w:sz w:val="20"/>
                <w:szCs w:val="20"/>
              </w:rPr>
              <w:t xml:space="preserve"> (unaudited)</w:t>
            </w:r>
          </w:p>
        </w:tc>
        <w:tc>
          <w:tcPr>
            <w:tcW w:w="875" w:type="pct"/>
            <w:tcBorders>
              <w:top w:val="single" w:sz="4" w:space="0" w:color="auto"/>
              <w:bottom w:val="single" w:sz="4" w:space="0" w:color="auto"/>
            </w:tcBorders>
            <w:shd w:val="clear" w:color="auto" w:fill="F2F2F2" w:themeFill="background1" w:themeFillShade="F2"/>
            <w:noWrap/>
            <w:vAlign w:val="center"/>
          </w:tcPr>
          <w:p w14:paraId="5005E349" w14:textId="2B052E24"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26.</w:t>
            </w:r>
            <w:r w:rsidR="0031495D">
              <w:rPr>
                <w:rFonts w:ascii="Calibri" w:hAnsi="Calibri" w:cs="Calibri"/>
                <w:b/>
                <w:bCs/>
                <w:color w:val="000000"/>
                <w:sz w:val="20"/>
                <w:szCs w:val="20"/>
              </w:rPr>
              <w:t>9</w:t>
            </w:r>
          </w:p>
        </w:tc>
        <w:tc>
          <w:tcPr>
            <w:tcW w:w="947" w:type="pct"/>
            <w:tcBorders>
              <w:top w:val="single" w:sz="4" w:space="0" w:color="auto"/>
              <w:bottom w:val="single" w:sz="4" w:space="0" w:color="auto"/>
            </w:tcBorders>
            <w:shd w:val="clear" w:color="auto" w:fill="F2F2F2" w:themeFill="background1" w:themeFillShade="F2"/>
            <w:noWrap/>
            <w:vAlign w:val="center"/>
          </w:tcPr>
          <w:p w14:paraId="0CED548B" w14:textId="2C4A8B4F"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46.8</w:t>
            </w:r>
          </w:p>
        </w:tc>
        <w:tc>
          <w:tcPr>
            <w:tcW w:w="875" w:type="pct"/>
            <w:tcBorders>
              <w:top w:val="single" w:sz="4" w:space="0" w:color="auto"/>
              <w:bottom w:val="single" w:sz="4" w:space="0" w:color="auto"/>
            </w:tcBorders>
            <w:shd w:val="clear" w:color="auto" w:fill="F2F2F2" w:themeFill="background1" w:themeFillShade="F2"/>
            <w:noWrap/>
            <w:vAlign w:val="center"/>
          </w:tcPr>
          <w:p w14:paraId="07D116FD" w14:textId="42CF2F63"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13.8</w:t>
            </w:r>
          </w:p>
        </w:tc>
        <w:tc>
          <w:tcPr>
            <w:tcW w:w="626" w:type="pct"/>
            <w:tcBorders>
              <w:top w:val="single" w:sz="4" w:space="0" w:color="auto"/>
              <w:bottom w:val="single" w:sz="4" w:space="0" w:color="auto"/>
            </w:tcBorders>
            <w:shd w:val="clear" w:color="auto" w:fill="F2F2F2" w:themeFill="background1" w:themeFillShade="F2"/>
            <w:noWrap/>
            <w:vAlign w:val="center"/>
          </w:tcPr>
          <w:p w14:paraId="6D03964E" w14:textId="058A68EF" w:rsidR="00685809" w:rsidRPr="006F4A79" w:rsidRDefault="00685809" w:rsidP="00685809">
            <w:pPr>
              <w:jc w:val="right"/>
              <w:rPr>
                <w:rFonts w:asciiTheme="minorHAnsi" w:hAnsiTheme="minorHAnsi" w:cstheme="minorHAnsi"/>
                <w:b/>
                <w:bCs/>
                <w:sz w:val="20"/>
                <w:szCs w:val="20"/>
                <w:highlight w:val="yellow"/>
              </w:rPr>
            </w:pPr>
            <w:r>
              <w:rPr>
                <w:rFonts w:ascii="Calibri" w:hAnsi="Calibri" w:cs="Calibri"/>
                <w:b/>
                <w:bCs/>
                <w:color w:val="000000"/>
                <w:sz w:val="20"/>
                <w:szCs w:val="20"/>
              </w:rPr>
              <w:t>87.</w:t>
            </w:r>
            <w:r w:rsidR="0031495D">
              <w:rPr>
                <w:rFonts w:ascii="Calibri" w:hAnsi="Calibri" w:cs="Calibri"/>
                <w:b/>
                <w:bCs/>
                <w:color w:val="000000"/>
                <w:sz w:val="20"/>
                <w:szCs w:val="20"/>
              </w:rPr>
              <w:t>5</w:t>
            </w:r>
          </w:p>
        </w:tc>
      </w:tr>
    </w:tbl>
    <w:p w14:paraId="0B4CF78E" w14:textId="77777777" w:rsidR="004774A9" w:rsidRDefault="004774A9" w:rsidP="00A142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color w:val="4747FF"/>
          <w:sz w:val="22"/>
          <w:szCs w:val="22"/>
        </w:rPr>
      </w:pPr>
    </w:p>
    <w:p w14:paraId="78EE2538" w14:textId="5A7C0A9F" w:rsidR="00C0593E" w:rsidRDefault="00C0593E">
      <w:pPr>
        <w:rPr>
          <w:rFonts w:asciiTheme="minorHAnsi" w:hAnsiTheme="minorHAnsi" w:cs="Arial"/>
          <w:b/>
          <w:bCs/>
          <w:color w:val="4747FF"/>
          <w:sz w:val="22"/>
          <w:szCs w:val="22"/>
        </w:rPr>
      </w:pPr>
    </w:p>
    <w:p w14:paraId="6B6761DD" w14:textId="6D45ACCA" w:rsidR="00A1425C" w:rsidRPr="00B5640B" w:rsidRDefault="003F4410" w:rsidP="00B5640B">
      <w:pPr>
        <w:rPr>
          <w:rFonts w:asciiTheme="minorHAnsi" w:hAnsiTheme="minorHAnsi" w:cs="Arial"/>
          <w:b/>
          <w:bCs/>
          <w:color w:val="4747FF"/>
          <w:sz w:val="22"/>
          <w:szCs w:val="22"/>
        </w:rPr>
      </w:pPr>
      <w:r w:rsidRPr="00CF2AEB">
        <w:rPr>
          <w:rFonts w:asciiTheme="minorHAnsi" w:hAnsiTheme="minorHAnsi" w:cs="Arial"/>
          <w:b/>
          <w:bCs/>
          <w:color w:val="4747FF"/>
          <w:sz w:val="22"/>
          <w:szCs w:val="22"/>
        </w:rPr>
        <w:t>10</w:t>
      </w:r>
      <w:r w:rsidR="00A1425C" w:rsidRPr="00CF2AEB">
        <w:rPr>
          <w:rFonts w:asciiTheme="minorHAnsi" w:hAnsiTheme="minorHAnsi" w:cs="Arial"/>
          <w:b/>
          <w:bCs/>
          <w:color w:val="4747FF"/>
          <w:sz w:val="22"/>
          <w:szCs w:val="22"/>
        </w:rPr>
        <w:t>.</w:t>
      </w:r>
      <w:r w:rsidR="00A1425C" w:rsidRPr="00CF2AEB">
        <w:rPr>
          <w:rFonts w:asciiTheme="minorHAnsi" w:hAnsiTheme="minorHAnsi" w:cs="Arial"/>
          <w:b/>
          <w:bCs/>
          <w:color w:val="4747FF"/>
          <w:sz w:val="22"/>
          <w:szCs w:val="22"/>
        </w:rPr>
        <w:tab/>
      </w:r>
      <w:r w:rsidR="00351FC4" w:rsidRPr="00605463">
        <w:rPr>
          <w:rFonts w:asciiTheme="minorHAnsi" w:hAnsiTheme="minorHAnsi" w:cs="Arial"/>
          <w:b/>
          <w:color w:val="4747FF"/>
          <w:sz w:val="22"/>
          <w:szCs w:val="22"/>
        </w:rPr>
        <w:t>Goodwill</w:t>
      </w:r>
    </w:p>
    <w:p w14:paraId="0BB02818" w14:textId="77777777" w:rsidR="006C5808" w:rsidRPr="00290E61" w:rsidRDefault="006C5808" w:rsidP="00A166EB">
      <w:pPr>
        <w:jc w:val="both"/>
        <w:rPr>
          <w:rFonts w:asciiTheme="minorHAnsi" w:hAnsiTheme="minorHAnsi" w:cs="Arial"/>
          <w:b/>
          <w:color w:val="4747FF"/>
          <w:sz w:val="22"/>
          <w:szCs w:val="22"/>
          <w:highlight w:val="yellow"/>
        </w:rPr>
      </w:pPr>
    </w:p>
    <w:tbl>
      <w:tblPr>
        <w:tblW w:w="5000" w:type="pct"/>
        <w:tblLook w:val="0000" w:firstRow="0" w:lastRow="0" w:firstColumn="0" w:lastColumn="0" w:noHBand="0" w:noVBand="0"/>
      </w:tblPr>
      <w:tblGrid>
        <w:gridCol w:w="6068"/>
        <w:gridCol w:w="1249"/>
        <w:gridCol w:w="1356"/>
        <w:gridCol w:w="1050"/>
      </w:tblGrid>
      <w:tr w:rsidR="00A1425C" w:rsidRPr="00B82AE4" w14:paraId="40FFE660" w14:textId="77777777" w:rsidTr="003B7755">
        <w:tc>
          <w:tcPr>
            <w:tcW w:w="3135" w:type="pct"/>
          </w:tcPr>
          <w:p w14:paraId="782238FB" w14:textId="77777777" w:rsidR="00A1425C" w:rsidRPr="00290E61" w:rsidRDefault="00A1425C">
            <w:pPr>
              <w:jc w:val="both"/>
              <w:rPr>
                <w:rFonts w:asciiTheme="minorHAnsi" w:hAnsiTheme="minorHAnsi" w:cs="Arial"/>
                <w:sz w:val="20"/>
                <w:szCs w:val="20"/>
                <w:highlight w:val="yellow"/>
              </w:rPr>
            </w:pPr>
          </w:p>
        </w:tc>
        <w:tc>
          <w:tcPr>
            <w:tcW w:w="656" w:type="pct"/>
            <w:shd w:val="clear" w:color="auto" w:fill="F2F2F2" w:themeFill="background1" w:themeFillShade="F2"/>
          </w:tcPr>
          <w:p w14:paraId="509CACC1" w14:textId="77777777" w:rsidR="00A1425C" w:rsidRDefault="00B82AE4">
            <w:pPr>
              <w:jc w:val="right"/>
              <w:rPr>
                <w:rFonts w:asciiTheme="minorHAnsi" w:hAnsiTheme="minorHAnsi" w:cs="Arial"/>
                <w:b/>
                <w:sz w:val="20"/>
                <w:szCs w:val="20"/>
              </w:rPr>
            </w:pPr>
            <w:r w:rsidRPr="00B82AE4">
              <w:rPr>
                <w:rFonts w:asciiTheme="minorHAnsi" w:hAnsiTheme="minorHAnsi" w:cs="Arial"/>
                <w:b/>
                <w:sz w:val="20"/>
                <w:szCs w:val="20"/>
              </w:rPr>
              <w:t>30 June 2025</w:t>
            </w:r>
          </w:p>
          <w:p w14:paraId="53F0E7C0" w14:textId="4679ECE3" w:rsidR="00A1425C" w:rsidRPr="00B82AE4" w:rsidRDefault="007318F1">
            <w:pPr>
              <w:jc w:val="right"/>
              <w:rPr>
                <w:rFonts w:asciiTheme="minorHAnsi" w:hAnsiTheme="minorHAnsi" w:cs="Arial"/>
                <w:b/>
                <w:sz w:val="20"/>
                <w:szCs w:val="20"/>
              </w:rPr>
            </w:pPr>
            <w:r>
              <w:rPr>
                <w:rFonts w:asciiTheme="minorHAnsi" w:hAnsiTheme="minorHAnsi" w:cs="Arial"/>
                <w:b/>
                <w:sz w:val="20"/>
                <w:szCs w:val="20"/>
              </w:rPr>
              <w:t>unaudited</w:t>
            </w:r>
          </w:p>
        </w:tc>
        <w:tc>
          <w:tcPr>
            <w:tcW w:w="711" w:type="pct"/>
          </w:tcPr>
          <w:p w14:paraId="1463F501" w14:textId="02C9DF14" w:rsidR="00B82AE4" w:rsidRPr="002D1739" w:rsidRDefault="00B82AE4" w:rsidP="00B82AE4">
            <w:pPr>
              <w:jc w:val="right"/>
              <w:rPr>
                <w:rFonts w:asciiTheme="minorHAnsi" w:hAnsiTheme="minorHAnsi" w:cs="Arial"/>
                <w:sz w:val="20"/>
                <w:szCs w:val="20"/>
              </w:rPr>
            </w:pPr>
            <w:r w:rsidRPr="002D1739">
              <w:rPr>
                <w:rFonts w:asciiTheme="minorHAnsi" w:hAnsiTheme="minorHAnsi" w:cs="Arial"/>
                <w:sz w:val="20"/>
                <w:szCs w:val="20"/>
              </w:rPr>
              <w:t>31 December</w:t>
            </w:r>
          </w:p>
          <w:p w14:paraId="1634E0FC" w14:textId="77777777" w:rsidR="007318F1" w:rsidRPr="002D1739" w:rsidRDefault="00B82AE4" w:rsidP="00B82AE4">
            <w:pPr>
              <w:jc w:val="right"/>
              <w:rPr>
                <w:rFonts w:asciiTheme="minorHAnsi" w:hAnsiTheme="minorHAnsi" w:cs="Arial"/>
                <w:sz w:val="20"/>
                <w:szCs w:val="20"/>
              </w:rPr>
            </w:pPr>
            <w:r w:rsidRPr="002D1739">
              <w:rPr>
                <w:rFonts w:asciiTheme="minorHAnsi" w:hAnsiTheme="minorHAnsi" w:cs="Arial"/>
                <w:sz w:val="20"/>
                <w:szCs w:val="20"/>
              </w:rPr>
              <w:t>2024</w:t>
            </w:r>
          </w:p>
          <w:p w14:paraId="35E74BAB" w14:textId="07AA2EBA" w:rsidR="00B82AE4" w:rsidRPr="002D1739" w:rsidRDefault="007318F1" w:rsidP="00B82AE4">
            <w:pPr>
              <w:jc w:val="right"/>
              <w:rPr>
                <w:rFonts w:asciiTheme="minorHAnsi" w:hAnsiTheme="minorHAnsi" w:cs="Arial"/>
                <w:sz w:val="20"/>
                <w:szCs w:val="20"/>
              </w:rPr>
            </w:pPr>
            <w:r w:rsidRPr="002D1739">
              <w:rPr>
                <w:rFonts w:asciiTheme="minorHAnsi" w:hAnsiTheme="minorHAnsi" w:cs="Arial"/>
                <w:sz w:val="20"/>
                <w:szCs w:val="20"/>
              </w:rPr>
              <w:t>audited</w:t>
            </w:r>
            <w:r w:rsidR="00B82AE4" w:rsidRPr="002D1739">
              <w:rPr>
                <w:rFonts w:asciiTheme="minorHAnsi" w:hAnsiTheme="minorHAnsi" w:cs="Arial"/>
                <w:sz w:val="20"/>
                <w:szCs w:val="20"/>
              </w:rPr>
              <w:t> </w:t>
            </w:r>
          </w:p>
        </w:tc>
        <w:tc>
          <w:tcPr>
            <w:tcW w:w="498" w:type="pct"/>
          </w:tcPr>
          <w:p w14:paraId="7946E3AF" w14:textId="2E29D155" w:rsidR="00B82AE4" w:rsidRPr="002D1739" w:rsidRDefault="00B82AE4" w:rsidP="00B82AE4">
            <w:pPr>
              <w:jc w:val="right"/>
              <w:rPr>
                <w:rFonts w:asciiTheme="minorHAnsi" w:hAnsiTheme="minorHAnsi" w:cs="Arial"/>
                <w:sz w:val="20"/>
                <w:szCs w:val="20"/>
              </w:rPr>
            </w:pPr>
            <w:r w:rsidRPr="002D1739">
              <w:rPr>
                <w:rFonts w:asciiTheme="minorHAnsi" w:hAnsiTheme="minorHAnsi" w:cs="Arial"/>
                <w:sz w:val="20"/>
                <w:szCs w:val="20"/>
              </w:rPr>
              <w:t xml:space="preserve">30 June </w:t>
            </w:r>
          </w:p>
          <w:p w14:paraId="42031322" w14:textId="77777777" w:rsidR="00A1425C" w:rsidRPr="002D1739" w:rsidRDefault="00D931EA">
            <w:pPr>
              <w:jc w:val="right"/>
              <w:rPr>
                <w:rFonts w:asciiTheme="minorHAnsi" w:hAnsiTheme="minorHAnsi" w:cs="Arial"/>
                <w:sz w:val="20"/>
                <w:szCs w:val="20"/>
              </w:rPr>
            </w:pPr>
            <w:r w:rsidRPr="002D1739">
              <w:rPr>
                <w:rFonts w:asciiTheme="minorHAnsi" w:hAnsiTheme="minorHAnsi" w:cs="Arial"/>
                <w:sz w:val="20"/>
                <w:szCs w:val="20"/>
              </w:rPr>
              <w:t>2024</w:t>
            </w:r>
          </w:p>
          <w:p w14:paraId="5BF7803F" w14:textId="07750F1B" w:rsidR="00A1425C" w:rsidRPr="00B82AE4" w:rsidRDefault="007318F1">
            <w:pPr>
              <w:jc w:val="right"/>
              <w:rPr>
                <w:rFonts w:asciiTheme="minorHAnsi" w:hAnsiTheme="minorHAnsi" w:cs="Arial"/>
                <w:sz w:val="20"/>
                <w:szCs w:val="20"/>
              </w:rPr>
            </w:pPr>
            <w:r>
              <w:rPr>
                <w:rFonts w:asciiTheme="minorHAnsi" w:hAnsiTheme="minorHAnsi" w:cs="Arial"/>
                <w:sz w:val="20"/>
                <w:szCs w:val="20"/>
              </w:rPr>
              <w:t>unaudited</w:t>
            </w:r>
          </w:p>
        </w:tc>
      </w:tr>
      <w:tr w:rsidR="00A1425C" w:rsidRPr="00B82AE4" w14:paraId="4DD015B5" w14:textId="77777777" w:rsidTr="003B7755">
        <w:tc>
          <w:tcPr>
            <w:tcW w:w="3135" w:type="pct"/>
          </w:tcPr>
          <w:p w14:paraId="3435C386" w14:textId="77777777" w:rsidR="00A1425C" w:rsidRPr="00290E61" w:rsidRDefault="00A1425C">
            <w:pPr>
              <w:pStyle w:val="Heading5"/>
              <w:overflowPunct/>
              <w:autoSpaceDE/>
              <w:adjustRightInd/>
              <w:rPr>
                <w:rFonts w:asciiTheme="minorHAnsi" w:hAnsiTheme="minorHAnsi" w:cs="Arial"/>
                <w:sz w:val="20"/>
                <w:highlight w:val="yellow"/>
              </w:rPr>
            </w:pPr>
          </w:p>
        </w:tc>
        <w:tc>
          <w:tcPr>
            <w:tcW w:w="656" w:type="pct"/>
            <w:tcBorders>
              <w:top w:val="nil"/>
              <w:left w:val="nil"/>
              <w:bottom w:val="single" w:sz="4" w:space="0" w:color="auto"/>
              <w:right w:val="nil"/>
            </w:tcBorders>
            <w:shd w:val="clear" w:color="auto" w:fill="F2F2F2" w:themeFill="background1" w:themeFillShade="F2"/>
          </w:tcPr>
          <w:p w14:paraId="0D9AAC92" w14:textId="77777777" w:rsidR="00A1425C" w:rsidRPr="00B82AE4" w:rsidRDefault="00A1425C">
            <w:pPr>
              <w:jc w:val="right"/>
              <w:rPr>
                <w:rFonts w:asciiTheme="minorHAnsi" w:hAnsiTheme="minorHAnsi" w:cs="Arial"/>
                <w:b/>
                <w:sz w:val="20"/>
                <w:szCs w:val="20"/>
              </w:rPr>
            </w:pPr>
            <w:r w:rsidRPr="00B82AE4">
              <w:rPr>
                <w:rFonts w:asciiTheme="minorHAnsi" w:hAnsiTheme="minorHAnsi" w:cs="Arial"/>
                <w:b/>
                <w:sz w:val="20"/>
                <w:szCs w:val="20"/>
              </w:rPr>
              <w:t>£m </w:t>
            </w:r>
          </w:p>
        </w:tc>
        <w:tc>
          <w:tcPr>
            <w:tcW w:w="711" w:type="pct"/>
            <w:tcBorders>
              <w:top w:val="nil"/>
              <w:left w:val="nil"/>
              <w:bottom w:val="single" w:sz="4" w:space="0" w:color="auto"/>
              <w:right w:val="nil"/>
            </w:tcBorders>
          </w:tcPr>
          <w:p w14:paraId="64C03017" w14:textId="7247664E" w:rsidR="00B82AE4" w:rsidRPr="00B82AE4" w:rsidRDefault="00B82AE4" w:rsidP="00B82AE4">
            <w:pPr>
              <w:jc w:val="right"/>
              <w:rPr>
                <w:rFonts w:asciiTheme="minorHAnsi" w:hAnsiTheme="minorHAnsi" w:cs="Arial"/>
                <w:b/>
                <w:sz w:val="20"/>
                <w:szCs w:val="20"/>
              </w:rPr>
            </w:pPr>
            <w:r w:rsidRPr="00B82AE4">
              <w:rPr>
                <w:rFonts w:asciiTheme="minorHAnsi" w:hAnsiTheme="minorHAnsi" w:cs="Arial"/>
                <w:b/>
                <w:sz w:val="20"/>
                <w:szCs w:val="20"/>
              </w:rPr>
              <w:t>£m </w:t>
            </w:r>
          </w:p>
        </w:tc>
        <w:tc>
          <w:tcPr>
            <w:tcW w:w="498" w:type="pct"/>
            <w:tcBorders>
              <w:top w:val="nil"/>
              <w:left w:val="nil"/>
              <w:bottom w:val="single" w:sz="4" w:space="0" w:color="auto"/>
              <w:right w:val="nil"/>
            </w:tcBorders>
          </w:tcPr>
          <w:p w14:paraId="01DB1C0F" w14:textId="43746E81" w:rsidR="00A1425C" w:rsidRPr="00B82AE4" w:rsidRDefault="00A1425C">
            <w:pPr>
              <w:jc w:val="right"/>
              <w:rPr>
                <w:rFonts w:asciiTheme="minorHAnsi" w:hAnsiTheme="minorHAnsi" w:cs="Arial"/>
                <w:sz w:val="20"/>
                <w:szCs w:val="20"/>
              </w:rPr>
            </w:pPr>
            <w:r w:rsidRPr="00B82AE4">
              <w:rPr>
                <w:rFonts w:asciiTheme="minorHAnsi" w:hAnsiTheme="minorHAnsi" w:cs="Arial"/>
                <w:sz w:val="20"/>
                <w:szCs w:val="20"/>
              </w:rPr>
              <w:t>£m </w:t>
            </w:r>
          </w:p>
        </w:tc>
      </w:tr>
      <w:tr w:rsidR="00894A25" w:rsidRPr="00B82AE4" w14:paraId="7D8055FB" w14:textId="77777777" w:rsidTr="003B7755">
        <w:tc>
          <w:tcPr>
            <w:tcW w:w="3135" w:type="pct"/>
          </w:tcPr>
          <w:p w14:paraId="71E2723C" w14:textId="3293BA9D" w:rsidR="00894A25" w:rsidRPr="00B82AE4" w:rsidRDefault="001266D4">
            <w:pPr>
              <w:pStyle w:val="Heading5"/>
              <w:tabs>
                <w:tab w:val="clear" w:pos="720"/>
                <w:tab w:val="right" w:pos="4680"/>
              </w:tabs>
              <w:jc w:val="left"/>
              <w:rPr>
                <w:rFonts w:asciiTheme="minorHAnsi" w:hAnsiTheme="minorHAnsi" w:cstheme="minorHAnsi"/>
                <w:b w:val="0"/>
                <w:sz w:val="20"/>
              </w:rPr>
            </w:pPr>
            <w:r w:rsidRPr="00B82AE4">
              <w:rPr>
                <w:rFonts w:asciiTheme="minorHAnsi" w:hAnsiTheme="minorHAnsi" w:cstheme="minorHAnsi"/>
                <w:color w:val="000000"/>
                <w:sz w:val="20"/>
              </w:rPr>
              <w:t>Cost</w:t>
            </w:r>
          </w:p>
        </w:tc>
        <w:tc>
          <w:tcPr>
            <w:tcW w:w="656" w:type="pct"/>
            <w:tcBorders>
              <w:left w:val="nil"/>
              <w:right w:val="nil"/>
            </w:tcBorders>
            <w:shd w:val="clear" w:color="auto" w:fill="F2F2F2" w:themeFill="background1" w:themeFillShade="F2"/>
            <w:vAlign w:val="bottom"/>
          </w:tcPr>
          <w:p w14:paraId="17455139" w14:textId="462D68A5" w:rsidR="00894A25" w:rsidRPr="00B82AE4" w:rsidRDefault="00894A25" w:rsidP="006B27A7">
            <w:pPr>
              <w:rPr>
                <w:rFonts w:asciiTheme="minorHAnsi" w:hAnsiTheme="minorHAnsi" w:cs="Arial"/>
                <w:b/>
                <w:sz w:val="20"/>
                <w:szCs w:val="20"/>
              </w:rPr>
            </w:pPr>
          </w:p>
        </w:tc>
        <w:tc>
          <w:tcPr>
            <w:tcW w:w="711" w:type="pct"/>
            <w:tcBorders>
              <w:left w:val="nil"/>
              <w:right w:val="nil"/>
            </w:tcBorders>
          </w:tcPr>
          <w:p w14:paraId="6FF691BC" w14:textId="77777777" w:rsidR="00B82AE4" w:rsidRPr="00B82AE4" w:rsidRDefault="00B82AE4" w:rsidP="00B82AE4">
            <w:pPr>
              <w:jc w:val="right"/>
              <w:rPr>
                <w:rFonts w:asciiTheme="minorHAnsi" w:hAnsiTheme="minorHAnsi" w:cs="Arial"/>
                <w:sz w:val="20"/>
                <w:szCs w:val="20"/>
              </w:rPr>
            </w:pPr>
          </w:p>
        </w:tc>
        <w:tc>
          <w:tcPr>
            <w:tcW w:w="498" w:type="pct"/>
            <w:tcBorders>
              <w:left w:val="nil"/>
              <w:right w:val="nil"/>
            </w:tcBorders>
            <w:vAlign w:val="bottom"/>
          </w:tcPr>
          <w:p w14:paraId="5949C110" w14:textId="104631F1" w:rsidR="00894A25" w:rsidRPr="00B82AE4" w:rsidRDefault="00894A25">
            <w:pPr>
              <w:jc w:val="right"/>
              <w:rPr>
                <w:rFonts w:asciiTheme="minorHAnsi" w:hAnsiTheme="minorHAnsi" w:cs="Arial"/>
                <w:sz w:val="20"/>
                <w:szCs w:val="20"/>
              </w:rPr>
            </w:pPr>
          </w:p>
        </w:tc>
      </w:tr>
      <w:tr w:rsidR="00D05244" w:rsidRPr="00B82AE4" w14:paraId="735A7FB7" w14:textId="77777777" w:rsidTr="003B7755">
        <w:tc>
          <w:tcPr>
            <w:tcW w:w="3135" w:type="pct"/>
          </w:tcPr>
          <w:p w14:paraId="41542EBA" w14:textId="00D8A02F" w:rsidR="00D05244" w:rsidRPr="00B82AE4" w:rsidRDefault="00D05244" w:rsidP="006B27A7">
            <w:pPr>
              <w:pStyle w:val="Heading5"/>
              <w:tabs>
                <w:tab w:val="right" w:pos="4680"/>
              </w:tabs>
              <w:rPr>
                <w:rFonts w:asciiTheme="minorHAnsi" w:hAnsiTheme="minorHAnsi" w:cstheme="minorHAnsi"/>
                <w:b w:val="0"/>
                <w:sz w:val="20"/>
              </w:rPr>
            </w:pPr>
            <w:r w:rsidRPr="00B82AE4">
              <w:rPr>
                <w:rFonts w:asciiTheme="minorHAnsi" w:hAnsiTheme="minorHAnsi" w:cstheme="minorHAnsi"/>
                <w:b w:val="0"/>
                <w:color w:val="000000"/>
                <w:sz w:val="20"/>
              </w:rPr>
              <w:t xml:space="preserve">At 1 January </w:t>
            </w:r>
          </w:p>
        </w:tc>
        <w:tc>
          <w:tcPr>
            <w:tcW w:w="656" w:type="pct"/>
            <w:tcBorders>
              <w:left w:val="nil"/>
              <w:right w:val="nil"/>
            </w:tcBorders>
            <w:shd w:val="clear" w:color="auto" w:fill="F2F2F2" w:themeFill="background1" w:themeFillShade="F2"/>
            <w:vAlign w:val="bottom"/>
          </w:tcPr>
          <w:p w14:paraId="5591642B" w14:textId="699A5B38" w:rsidR="00D05244" w:rsidRPr="00B82AE4" w:rsidRDefault="003931B5" w:rsidP="00D05244">
            <w:pPr>
              <w:jc w:val="right"/>
              <w:rPr>
                <w:rFonts w:asciiTheme="minorHAnsi" w:hAnsiTheme="minorHAnsi" w:cs="Arial"/>
                <w:b/>
                <w:sz w:val="20"/>
                <w:szCs w:val="20"/>
              </w:rPr>
            </w:pPr>
            <w:r>
              <w:rPr>
                <w:rFonts w:asciiTheme="minorHAnsi" w:hAnsiTheme="minorHAnsi" w:cs="Arial"/>
                <w:b/>
                <w:sz w:val="20"/>
                <w:szCs w:val="20"/>
              </w:rPr>
              <w:t>3.3</w:t>
            </w:r>
          </w:p>
        </w:tc>
        <w:tc>
          <w:tcPr>
            <w:tcW w:w="711" w:type="pct"/>
            <w:tcBorders>
              <w:left w:val="nil"/>
              <w:right w:val="nil"/>
            </w:tcBorders>
            <w:vAlign w:val="bottom"/>
          </w:tcPr>
          <w:p w14:paraId="4C22FEAE" w14:textId="3402F0AF" w:rsidR="00B82AE4" w:rsidRPr="00F42037" w:rsidRDefault="00B82AE4" w:rsidP="00B82AE4">
            <w:pPr>
              <w:jc w:val="right"/>
              <w:rPr>
                <w:rFonts w:asciiTheme="minorHAnsi" w:hAnsiTheme="minorHAnsi" w:cs="Arial"/>
                <w:bCs/>
                <w:sz w:val="20"/>
                <w:szCs w:val="20"/>
              </w:rPr>
            </w:pPr>
            <w:r w:rsidRPr="00F42037">
              <w:rPr>
                <w:rFonts w:asciiTheme="minorHAnsi" w:hAnsiTheme="minorHAnsi" w:cs="Arial"/>
                <w:bCs/>
                <w:sz w:val="20"/>
                <w:szCs w:val="20"/>
              </w:rPr>
              <w:t>74.5</w:t>
            </w:r>
          </w:p>
        </w:tc>
        <w:tc>
          <w:tcPr>
            <w:tcW w:w="498" w:type="pct"/>
            <w:tcBorders>
              <w:left w:val="nil"/>
              <w:right w:val="nil"/>
            </w:tcBorders>
            <w:vAlign w:val="bottom"/>
          </w:tcPr>
          <w:p w14:paraId="45BCB437" w14:textId="2329C8B7" w:rsidR="00D05244" w:rsidRPr="00B82AE4" w:rsidRDefault="003A0755" w:rsidP="00D05244">
            <w:pPr>
              <w:jc w:val="right"/>
              <w:rPr>
                <w:rFonts w:asciiTheme="minorHAnsi" w:hAnsiTheme="minorHAnsi" w:cs="Arial"/>
                <w:sz w:val="20"/>
                <w:szCs w:val="20"/>
              </w:rPr>
            </w:pPr>
            <w:r>
              <w:rPr>
                <w:rFonts w:asciiTheme="minorHAnsi" w:hAnsiTheme="minorHAnsi" w:cs="Arial"/>
                <w:sz w:val="20"/>
                <w:szCs w:val="20"/>
              </w:rPr>
              <w:t>74.5</w:t>
            </w:r>
          </w:p>
        </w:tc>
      </w:tr>
      <w:tr w:rsidR="00D05244" w:rsidRPr="00B82AE4" w14:paraId="05DCF98B" w14:textId="77777777" w:rsidTr="003B7755">
        <w:tc>
          <w:tcPr>
            <w:tcW w:w="3135" w:type="pct"/>
          </w:tcPr>
          <w:p w14:paraId="7856A161" w14:textId="4B0BE716" w:rsidR="00D05244" w:rsidRPr="00B82AE4" w:rsidRDefault="00D05244" w:rsidP="006B27A7">
            <w:pPr>
              <w:pStyle w:val="FigsLFTFigs"/>
              <w:rPr>
                <w:rFonts w:asciiTheme="minorHAnsi" w:hAnsiTheme="minorHAnsi" w:cstheme="minorHAnsi"/>
                <w:sz w:val="20"/>
                <w:szCs w:val="20"/>
              </w:rPr>
            </w:pPr>
            <w:r w:rsidRPr="00B82AE4">
              <w:rPr>
                <w:rFonts w:asciiTheme="minorHAnsi" w:hAnsiTheme="minorHAnsi" w:cstheme="minorHAnsi"/>
                <w:sz w:val="20"/>
                <w:szCs w:val="20"/>
              </w:rPr>
              <w:t>Additions</w:t>
            </w:r>
          </w:p>
        </w:tc>
        <w:tc>
          <w:tcPr>
            <w:tcW w:w="656" w:type="pct"/>
            <w:tcBorders>
              <w:left w:val="nil"/>
              <w:right w:val="nil"/>
            </w:tcBorders>
            <w:shd w:val="clear" w:color="auto" w:fill="F2F2F2" w:themeFill="background1" w:themeFillShade="F2"/>
            <w:vAlign w:val="bottom"/>
          </w:tcPr>
          <w:p w14:paraId="2E79F13D" w14:textId="1F34D089" w:rsidR="00D05244" w:rsidRPr="00B82AE4" w:rsidRDefault="00D05244" w:rsidP="00D05244">
            <w:pPr>
              <w:jc w:val="right"/>
              <w:rPr>
                <w:rFonts w:asciiTheme="minorHAnsi" w:hAnsiTheme="minorHAnsi" w:cs="Arial"/>
                <w:b/>
                <w:sz w:val="20"/>
                <w:szCs w:val="20"/>
              </w:rPr>
            </w:pPr>
            <w:r w:rsidRPr="00B82AE4">
              <w:rPr>
                <w:rFonts w:asciiTheme="minorHAnsi" w:hAnsiTheme="minorHAnsi" w:cs="Arial"/>
                <w:b/>
                <w:sz w:val="20"/>
                <w:szCs w:val="20"/>
              </w:rPr>
              <w:t>-</w:t>
            </w:r>
          </w:p>
        </w:tc>
        <w:tc>
          <w:tcPr>
            <w:tcW w:w="711" w:type="pct"/>
            <w:tcBorders>
              <w:left w:val="nil"/>
              <w:right w:val="nil"/>
            </w:tcBorders>
            <w:vAlign w:val="bottom"/>
          </w:tcPr>
          <w:p w14:paraId="1192382A" w14:textId="6FD82CEF" w:rsidR="00B82AE4" w:rsidRPr="00F42037" w:rsidRDefault="00B82AE4" w:rsidP="00B82AE4">
            <w:pPr>
              <w:jc w:val="right"/>
              <w:rPr>
                <w:rFonts w:asciiTheme="minorHAnsi" w:hAnsiTheme="minorHAnsi" w:cs="Arial"/>
                <w:bCs/>
                <w:sz w:val="20"/>
                <w:szCs w:val="20"/>
              </w:rPr>
            </w:pPr>
            <w:r w:rsidRPr="00F42037">
              <w:rPr>
                <w:rFonts w:asciiTheme="minorHAnsi" w:hAnsiTheme="minorHAnsi" w:cs="Arial"/>
                <w:bCs/>
                <w:sz w:val="20"/>
                <w:szCs w:val="20"/>
              </w:rPr>
              <w:t>-</w:t>
            </w:r>
          </w:p>
        </w:tc>
        <w:tc>
          <w:tcPr>
            <w:tcW w:w="498" w:type="pct"/>
            <w:tcBorders>
              <w:left w:val="nil"/>
              <w:right w:val="nil"/>
            </w:tcBorders>
            <w:vAlign w:val="bottom"/>
          </w:tcPr>
          <w:p w14:paraId="17287353" w14:textId="1505E841" w:rsidR="00D05244" w:rsidRPr="00B82AE4" w:rsidRDefault="003A0755" w:rsidP="00D05244">
            <w:pPr>
              <w:jc w:val="right"/>
              <w:rPr>
                <w:rFonts w:asciiTheme="minorHAnsi" w:hAnsiTheme="minorHAnsi" w:cs="Arial"/>
                <w:sz w:val="20"/>
                <w:szCs w:val="20"/>
              </w:rPr>
            </w:pPr>
            <w:r w:rsidRPr="001D4925">
              <w:rPr>
                <w:rFonts w:asciiTheme="minorHAnsi" w:hAnsiTheme="minorHAnsi" w:cs="Arial"/>
                <w:sz w:val="20"/>
                <w:szCs w:val="20"/>
              </w:rPr>
              <w:t>-</w:t>
            </w:r>
          </w:p>
        </w:tc>
      </w:tr>
      <w:tr w:rsidR="00D05244" w:rsidRPr="00B82AE4" w14:paraId="2FBE0DA5" w14:textId="77777777" w:rsidTr="003B7755">
        <w:trPr>
          <w:trHeight w:val="192"/>
        </w:trPr>
        <w:tc>
          <w:tcPr>
            <w:tcW w:w="3135" w:type="pct"/>
          </w:tcPr>
          <w:p w14:paraId="095DFA6E" w14:textId="01868FA0" w:rsidR="00D05244" w:rsidRPr="00B82AE4" w:rsidRDefault="00D05244" w:rsidP="006B27A7">
            <w:pPr>
              <w:pStyle w:val="Heading5"/>
              <w:tabs>
                <w:tab w:val="right" w:pos="4680"/>
              </w:tabs>
              <w:rPr>
                <w:rFonts w:asciiTheme="minorHAnsi" w:hAnsiTheme="minorHAnsi" w:cstheme="minorHAnsi"/>
                <w:b w:val="0"/>
                <w:sz w:val="20"/>
              </w:rPr>
            </w:pPr>
            <w:r w:rsidRPr="00B82AE4">
              <w:rPr>
                <w:rFonts w:asciiTheme="minorHAnsi" w:hAnsiTheme="minorHAnsi" w:cstheme="minorHAnsi"/>
                <w:b w:val="0"/>
                <w:color w:val="000000"/>
                <w:sz w:val="20"/>
              </w:rPr>
              <w:t>Write off</w:t>
            </w:r>
          </w:p>
        </w:tc>
        <w:tc>
          <w:tcPr>
            <w:tcW w:w="656" w:type="pct"/>
            <w:tcBorders>
              <w:left w:val="nil"/>
              <w:bottom w:val="single" w:sz="4" w:space="0" w:color="auto"/>
              <w:right w:val="nil"/>
            </w:tcBorders>
            <w:shd w:val="clear" w:color="auto" w:fill="F2F2F2" w:themeFill="background1" w:themeFillShade="F2"/>
            <w:vAlign w:val="bottom"/>
          </w:tcPr>
          <w:p w14:paraId="755CF286" w14:textId="5FC13A54" w:rsidR="00D05244" w:rsidRPr="00B82AE4" w:rsidRDefault="003931B5" w:rsidP="00D05244">
            <w:pPr>
              <w:jc w:val="right"/>
              <w:rPr>
                <w:rFonts w:asciiTheme="minorHAnsi" w:hAnsiTheme="minorHAnsi" w:cs="Arial"/>
                <w:b/>
                <w:sz w:val="20"/>
                <w:szCs w:val="20"/>
              </w:rPr>
            </w:pPr>
            <w:r>
              <w:rPr>
                <w:rFonts w:asciiTheme="minorHAnsi" w:hAnsiTheme="minorHAnsi" w:cs="Arial"/>
                <w:b/>
                <w:sz w:val="20"/>
                <w:szCs w:val="20"/>
              </w:rPr>
              <w:t>-</w:t>
            </w:r>
          </w:p>
        </w:tc>
        <w:tc>
          <w:tcPr>
            <w:tcW w:w="711" w:type="pct"/>
            <w:tcBorders>
              <w:left w:val="nil"/>
              <w:bottom w:val="single" w:sz="4" w:space="0" w:color="auto"/>
              <w:right w:val="nil"/>
            </w:tcBorders>
            <w:vAlign w:val="bottom"/>
          </w:tcPr>
          <w:p w14:paraId="487B2674" w14:textId="5340B1FA" w:rsidR="00B82AE4" w:rsidRPr="00F42037" w:rsidRDefault="00B82AE4" w:rsidP="00B82AE4">
            <w:pPr>
              <w:jc w:val="right"/>
              <w:rPr>
                <w:rFonts w:asciiTheme="minorHAnsi" w:hAnsiTheme="minorHAnsi" w:cs="Arial"/>
                <w:bCs/>
                <w:sz w:val="20"/>
                <w:szCs w:val="20"/>
              </w:rPr>
            </w:pPr>
            <w:r w:rsidRPr="00F42037">
              <w:rPr>
                <w:rFonts w:asciiTheme="minorHAnsi" w:hAnsiTheme="minorHAnsi" w:cs="Arial"/>
                <w:bCs/>
                <w:sz w:val="20"/>
                <w:szCs w:val="20"/>
              </w:rPr>
              <w:t>(71.2)</w:t>
            </w:r>
          </w:p>
        </w:tc>
        <w:tc>
          <w:tcPr>
            <w:tcW w:w="498" w:type="pct"/>
            <w:tcBorders>
              <w:left w:val="nil"/>
              <w:bottom w:val="single" w:sz="4" w:space="0" w:color="auto"/>
              <w:right w:val="nil"/>
            </w:tcBorders>
            <w:vAlign w:val="bottom"/>
          </w:tcPr>
          <w:p w14:paraId="09D0F119" w14:textId="0D3F17A7" w:rsidR="00D05244" w:rsidRPr="00B82AE4" w:rsidRDefault="00D05244" w:rsidP="00D05244">
            <w:pPr>
              <w:jc w:val="right"/>
              <w:rPr>
                <w:rFonts w:asciiTheme="minorHAnsi" w:hAnsiTheme="minorHAnsi" w:cs="Arial"/>
                <w:sz w:val="20"/>
                <w:szCs w:val="20"/>
              </w:rPr>
            </w:pPr>
            <w:r w:rsidRPr="00B82AE4">
              <w:rPr>
                <w:rFonts w:asciiTheme="minorHAnsi" w:hAnsiTheme="minorHAnsi" w:cs="Arial"/>
                <w:sz w:val="20"/>
                <w:szCs w:val="20"/>
              </w:rPr>
              <w:t>-</w:t>
            </w:r>
          </w:p>
        </w:tc>
      </w:tr>
      <w:tr w:rsidR="00D05244" w:rsidRPr="00B82AE4" w14:paraId="0BC2A4D2" w14:textId="77777777" w:rsidTr="003B7755">
        <w:tc>
          <w:tcPr>
            <w:tcW w:w="3135" w:type="pct"/>
          </w:tcPr>
          <w:p w14:paraId="79A902B0" w14:textId="30AC9478" w:rsidR="00D05244" w:rsidRPr="00B82AE4" w:rsidRDefault="00D05244" w:rsidP="00D05244">
            <w:pPr>
              <w:pStyle w:val="Heading5"/>
              <w:tabs>
                <w:tab w:val="right" w:pos="4680"/>
              </w:tabs>
              <w:rPr>
                <w:rFonts w:asciiTheme="minorHAnsi" w:hAnsiTheme="minorHAnsi" w:cstheme="minorHAnsi"/>
                <w:color w:val="000000"/>
                <w:sz w:val="20"/>
              </w:rPr>
            </w:pPr>
            <w:r w:rsidRPr="00B82AE4">
              <w:rPr>
                <w:rFonts w:asciiTheme="minorHAnsi" w:hAnsiTheme="minorHAnsi" w:cstheme="minorHAnsi"/>
                <w:color w:val="000000"/>
                <w:sz w:val="20"/>
              </w:rPr>
              <w:t xml:space="preserve">At </w:t>
            </w:r>
            <w:r w:rsidR="00DF3480">
              <w:rPr>
                <w:rFonts w:asciiTheme="minorHAnsi" w:hAnsiTheme="minorHAnsi" w:cstheme="minorHAnsi"/>
                <w:color w:val="000000"/>
                <w:sz w:val="20"/>
              </w:rPr>
              <w:t>30 June/</w:t>
            </w:r>
            <w:r w:rsidRPr="00B82AE4">
              <w:rPr>
                <w:rFonts w:asciiTheme="minorHAnsi" w:hAnsiTheme="minorHAnsi" w:cstheme="minorHAnsi"/>
                <w:color w:val="000000"/>
                <w:sz w:val="20"/>
              </w:rPr>
              <w:t>31 December</w:t>
            </w:r>
          </w:p>
          <w:p w14:paraId="291E4A4F" w14:textId="0293C2E8" w:rsidR="00D05244" w:rsidRPr="00B82AE4" w:rsidRDefault="00D05244" w:rsidP="00D05244">
            <w:pPr>
              <w:pStyle w:val="Heading5"/>
              <w:tabs>
                <w:tab w:val="clear" w:pos="720"/>
                <w:tab w:val="right" w:pos="4680"/>
              </w:tabs>
              <w:jc w:val="left"/>
              <w:rPr>
                <w:rFonts w:asciiTheme="minorHAnsi" w:hAnsiTheme="minorHAnsi" w:cstheme="minorHAnsi"/>
                <w:b w:val="0"/>
                <w:sz w:val="20"/>
              </w:rPr>
            </w:pPr>
          </w:p>
        </w:tc>
        <w:tc>
          <w:tcPr>
            <w:tcW w:w="656" w:type="pct"/>
            <w:tcBorders>
              <w:top w:val="single" w:sz="4" w:space="0" w:color="auto"/>
              <w:left w:val="nil"/>
              <w:right w:val="nil"/>
            </w:tcBorders>
            <w:shd w:val="clear" w:color="auto" w:fill="F2F2F2" w:themeFill="background1" w:themeFillShade="F2"/>
          </w:tcPr>
          <w:p w14:paraId="0A158A99" w14:textId="7F5C74A4" w:rsidR="00D05244" w:rsidRPr="00B82AE4" w:rsidRDefault="00E21309" w:rsidP="00D05244">
            <w:pPr>
              <w:jc w:val="right"/>
              <w:rPr>
                <w:rFonts w:asciiTheme="minorHAnsi" w:hAnsiTheme="minorHAnsi" w:cs="Arial"/>
                <w:b/>
                <w:sz w:val="20"/>
                <w:szCs w:val="20"/>
              </w:rPr>
            </w:pPr>
            <w:r w:rsidRPr="00B82AE4">
              <w:rPr>
                <w:rFonts w:asciiTheme="minorHAnsi" w:hAnsiTheme="minorHAnsi" w:cs="Arial"/>
                <w:b/>
                <w:sz w:val="20"/>
                <w:szCs w:val="20"/>
              </w:rPr>
              <w:t>3.3</w:t>
            </w:r>
          </w:p>
        </w:tc>
        <w:tc>
          <w:tcPr>
            <w:tcW w:w="711" w:type="pct"/>
            <w:tcBorders>
              <w:top w:val="single" w:sz="4" w:space="0" w:color="auto"/>
              <w:left w:val="nil"/>
              <w:right w:val="nil"/>
            </w:tcBorders>
          </w:tcPr>
          <w:p w14:paraId="7C94CB24" w14:textId="73F8A60C" w:rsidR="00B82AE4" w:rsidRPr="00F42037" w:rsidRDefault="00B82AE4" w:rsidP="00B82AE4">
            <w:pPr>
              <w:jc w:val="right"/>
              <w:rPr>
                <w:rFonts w:asciiTheme="minorHAnsi" w:hAnsiTheme="minorHAnsi" w:cs="Arial"/>
                <w:bCs/>
                <w:sz w:val="20"/>
                <w:szCs w:val="20"/>
              </w:rPr>
            </w:pPr>
            <w:r w:rsidRPr="00F42037">
              <w:rPr>
                <w:rFonts w:asciiTheme="minorHAnsi" w:hAnsiTheme="minorHAnsi" w:cs="Arial"/>
                <w:bCs/>
                <w:sz w:val="20"/>
                <w:szCs w:val="20"/>
              </w:rPr>
              <w:t>3.3</w:t>
            </w:r>
          </w:p>
        </w:tc>
        <w:tc>
          <w:tcPr>
            <w:tcW w:w="498" w:type="pct"/>
            <w:tcBorders>
              <w:top w:val="single" w:sz="4" w:space="0" w:color="auto"/>
              <w:left w:val="nil"/>
              <w:right w:val="nil"/>
            </w:tcBorders>
          </w:tcPr>
          <w:p w14:paraId="7772D783" w14:textId="0C74EC2A" w:rsidR="00D05244" w:rsidRPr="00B82AE4" w:rsidRDefault="00E21309" w:rsidP="00D05244">
            <w:pPr>
              <w:jc w:val="right"/>
              <w:rPr>
                <w:rFonts w:asciiTheme="minorHAnsi" w:hAnsiTheme="minorHAnsi" w:cs="Arial"/>
                <w:sz w:val="20"/>
                <w:szCs w:val="20"/>
              </w:rPr>
            </w:pPr>
            <w:r w:rsidRPr="00B82AE4">
              <w:rPr>
                <w:rFonts w:asciiTheme="minorHAnsi" w:hAnsiTheme="minorHAnsi" w:cs="Arial"/>
                <w:sz w:val="20"/>
                <w:szCs w:val="20"/>
              </w:rPr>
              <w:t>74.5</w:t>
            </w:r>
          </w:p>
        </w:tc>
      </w:tr>
      <w:tr w:rsidR="00D05244" w:rsidRPr="00B82AE4" w14:paraId="0488349A" w14:textId="77777777" w:rsidTr="003B7755">
        <w:tc>
          <w:tcPr>
            <w:tcW w:w="3135" w:type="pct"/>
          </w:tcPr>
          <w:p w14:paraId="6C22AE16" w14:textId="71134871" w:rsidR="00D05244" w:rsidRPr="00B82AE4" w:rsidRDefault="00D05244" w:rsidP="00D05244">
            <w:pPr>
              <w:pStyle w:val="Heading5"/>
              <w:tabs>
                <w:tab w:val="right" w:pos="4680"/>
              </w:tabs>
              <w:rPr>
                <w:rFonts w:asciiTheme="minorHAnsi" w:hAnsiTheme="minorHAnsi" w:cstheme="minorHAnsi"/>
                <w:sz w:val="20"/>
              </w:rPr>
            </w:pPr>
            <w:r w:rsidRPr="00B82AE4">
              <w:rPr>
                <w:rFonts w:asciiTheme="minorHAnsi" w:hAnsiTheme="minorHAnsi" w:cstheme="minorHAnsi"/>
                <w:sz w:val="20"/>
              </w:rPr>
              <w:t>Accumulated impairment</w:t>
            </w:r>
          </w:p>
        </w:tc>
        <w:tc>
          <w:tcPr>
            <w:tcW w:w="656" w:type="pct"/>
            <w:tcBorders>
              <w:left w:val="nil"/>
              <w:right w:val="nil"/>
            </w:tcBorders>
            <w:shd w:val="clear" w:color="auto" w:fill="F2F2F2" w:themeFill="background1" w:themeFillShade="F2"/>
            <w:vAlign w:val="bottom"/>
          </w:tcPr>
          <w:p w14:paraId="097D6D25" w14:textId="77777777" w:rsidR="00D05244" w:rsidRPr="00B82AE4" w:rsidRDefault="00D05244" w:rsidP="00D05244">
            <w:pPr>
              <w:jc w:val="right"/>
              <w:rPr>
                <w:rFonts w:asciiTheme="minorHAnsi" w:hAnsiTheme="minorHAnsi" w:cs="Arial"/>
                <w:b/>
                <w:sz w:val="20"/>
                <w:szCs w:val="20"/>
              </w:rPr>
            </w:pPr>
          </w:p>
        </w:tc>
        <w:tc>
          <w:tcPr>
            <w:tcW w:w="711" w:type="pct"/>
            <w:tcBorders>
              <w:left w:val="nil"/>
              <w:right w:val="nil"/>
            </w:tcBorders>
            <w:vAlign w:val="bottom"/>
          </w:tcPr>
          <w:p w14:paraId="1C43EDC2" w14:textId="77777777" w:rsidR="00B82AE4" w:rsidRPr="00F42037" w:rsidRDefault="00B82AE4" w:rsidP="00B82AE4">
            <w:pPr>
              <w:jc w:val="right"/>
              <w:rPr>
                <w:rFonts w:asciiTheme="minorHAnsi" w:hAnsiTheme="minorHAnsi" w:cs="Arial"/>
                <w:bCs/>
                <w:sz w:val="20"/>
                <w:szCs w:val="20"/>
              </w:rPr>
            </w:pPr>
          </w:p>
        </w:tc>
        <w:tc>
          <w:tcPr>
            <w:tcW w:w="498" w:type="pct"/>
            <w:tcBorders>
              <w:left w:val="nil"/>
              <w:right w:val="nil"/>
            </w:tcBorders>
            <w:vAlign w:val="bottom"/>
          </w:tcPr>
          <w:p w14:paraId="2BD0CE54" w14:textId="02373DA1" w:rsidR="00D05244" w:rsidRPr="00B82AE4" w:rsidRDefault="00D05244" w:rsidP="00D05244">
            <w:pPr>
              <w:jc w:val="right"/>
              <w:rPr>
                <w:rFonts w:asciiTheme="minorHAnsi" w:hAnsiTheme="minorHAnsi" w:cs="Arial"/>
                <w:sz w:val="20"/>
                <w:szCs w:val="20"/>
              </w:rPr>
            </w:pPr>
          </w:p>
        </w:tc>
      </w:tr>
      <w:tr w:rsidR="00D05244" w:rsidRPr="00B82AE4" w14:paraId="343A312C" w14:textId="77777777" w:rsidTr="003B7755">
        <w:tc>
          <w:tcPr>
            <w:tcW w:w="3135" w:type="pct"/>
          </w:tcPr>
          <w:p w14:paraId="315235B6" w14:textId="61658AD3" w:rsidR="00D05244" w:rsidRPr="00DF3480" w:rsidRDefault="00D05244" w:rsidP="006B27A7">
            <w:pPr>
              <w:pStyle w:val="Heading5"/>
              <w:tabs>
                <w:tab w:val="right" w:pos="4680"/>
              </w:tabs>
              <w:rPr>
                <w:rFonts w:asciiTheme="minorHAnsi" w:hAnsiTheme="minorHAnsi" w:cstheme="minorHAnsi"/>
                <w:b w:val="0"/>
                <w:color w:val="FF0000"/>
                <w:sz w:val="20"/>
              </w:rPr>
            </w:pPr>
            <w:r w:rsidRPr="006D5571">
              <w:rPr>
                <w:rFonts w:asciiTheme="minorHAnsi" w:hAnsiTheme="minorHAnsi" w:cstheme="minorHAnsi"/>
                <w:b w:val="0"/>
                <w:color w:val="000000" w:themeColor="text1"/>
                <w:sz w:val="20"/>
              </w:rPr>
              <w:t>At 1 January and 31 December</w:t>
            </w:r>
          </w:p>
        </w:tc>
        <w:tc>
          <w:tcPr>
            <w:tcW w:w="656" w:type="pct"/>
            <w:tcBorders>
              <w:left w:val="nil"/>
              <w:bottom w:val="single" w:sz="4" w:space="0" w:color="auto"/>
              <w:right w:val="nil"/>
            </w:tcBorders>
            <w:shd w:val="clear" w:color="auto" w:fill="F2F2F2" w:themeFill="background1" w:themeFillShade="F2"/>
            <w:vAlign w:val="bottom"/>
          </w:tcPr>
          <w:p w14:paraId="39E35977" w14:textId="5759A02E" w:rsidR="00D05244" w:rsidRPr="00B82AE4" w:rsidRDefault="00E21309" w:rsidP="00D05244">
            <w:pPr>
              <w:jc w:val="right"/>
              <w:rPr>
                <w:rFonts w:asciiTheme="minorHAnsi" w:hAnsiTheme="minorHAnsi" w:cs="Arial"/>
                <w:b/>
                <w:sz w:val="20"/>
                <w:szCs w:val="20"/>
              </w:rPr>
            </w:pPr>
            <w:r w:rsidRPr="00B82AE4">
              <w:rPr>
                <w:rFonts w:asciiTheme="minorHAnsi" w:hAnsiTheme="minorHAnsi" w:cs="Arial"/>
                <w:b/>
                <w:sz w:val="20"/>
                <w:szCs w:val="20"/>
              </w:rPr>
              <w:t>2.1</w:t>
            </w:r>
          </w:p>
        </w:tc>
        <w:tc>
          <w:tcPr>
            <w:tcW w:w="711" w:type="pct"/>
            <w:tcBorders>
              <w:left w:val="nil"/>
              <w:bottom w:val="single" w:sz="4" w:space="0" w:color="auto"/>
              <w:right w:val="nil"/>
            </w:tcBorders>
            <w:vAlign w:val="bottom"/>
          </w:tcPr>
          <w:p w14:paraId="4DE649BF" w14:textId="25071F95" w:rsidR="00B82AE4" w:rsidRPr="00F42037" w:rsidRDefault="00B82AE4" w:rsidP="00B82AE4">
            <w:pPr>
              <w:jc w:val="right"/>
              <w:rPr>
                <w:rFonts w:asciiTheme="minorHAnsi" w:hAnsiTheme="minorHAnsi" w:cs="Arial"/>
                <w:bCs/>
                <w:sz w:val="20"/>
                <w:szCs w:val="20"/>
              </w:rPr>
            </w:pPr>
            <w:r w:rsidRPr="00F42037">
              <w:rPr>
                <w:rFonts w:asciiTheme="minorHAnsi" w:hAnsiTheme="minorHAnsi" w:cs="Arial"/>
                <w:bCs/>
                <w:sz w:val="20"/>
                <w:szCs w:val="20"/>
              </w:rPr>
              <w:t>2.1</w:t>
            </w:r>
          </w:p>
        </w:tc>
        <w:tc>
          <w:tcPr>
            <w:tcW w:w="498" w:type="pct"/>
            <w:tcBorders>
              <w:left w:val="nil"/>
              <w:bottom w:val="single" w:sz="4" w:space="0" w:color="auto"/>
              <w:right w:val="nil"/>
            </w:tcBorders>
            <w:vAlign w:val="bottom"/>
          </w:tcPr>
          <w:p w14:paraId="61EBF59B" w14:textId="7AA603A2" w:rsidR="00D05244" w:rsidRPr="00B82AE4" w:rsidRDefault="00E21309" w:rsidP="00D05244">
            <w:pPr>
              <w:jc w:val="right"/>
              <w:rPr>
                <w:rFonts w:asciiTheme="minorHAnsi" w:hAnsiTheme="minorHAnsi" w:cs="Arial"/>
                <w:sz w:val="20"/>
                <w:szCs w:val="20"/>
              </w:rPr>
            </w:pPr>
            <w:r w:rsidRPr="00B82AE4">
              <w:rPr>
                <w:rFonts w:asciiTheme="minorHAnsi" w:hAnsiTheme="minorHAnsi" w:cs="Arial"/>
                <w:sz w:val="20"/>
                <w:szCs w:val="20"/>
              </w:rPr>
              <w:t>2.1</w:t>
            </w:r>
          </w:p>
        </w:tc>
      </w:tr>
      <w:tr w:rsidR="00D05244" w:rsidRPr="00B82AE4" w14:paraId="18FC80BA" w14:textId="77777777" w:rsidTr="003B7755">
        <w:tc>
          <w:tcPr>
            <w:tcW w:w="3135" w:type="pct"/>
          </w:tcPr>
          <w:p w14:paraId="377D341C" w14:textId="10B0E94C" w:rsidR="00D05244" w:rsidRPr="002F11BD" w:rsidRDefault="00D05244" w:rsidP="006B27A7">
            <w:pPr>
              <w:pStyle w:val="Heading5"/>
              <w:tabs>
                <w:tab w:val="right" w:pos="4680"/>
              </w:tabs>
              <w:rPr>
                <w:rFonts w:asciiTheme="minorHAnsi" w:hAnsiTheme="minorHAnsi" w:cstheme="minorHAnsi"/>
                <w:color w:val="000000" w:themeColor="text1"/>
                <w:sz w:val="20"/>
              </w:rPr>
            </w:pPr>
            <w:r w:rsidRPr="002F11BD">
              <w:rPr>
                <w:rFonts w:asciiTheme="minorHAnsi" w:hAnsiTheme="minorHAnsi" w:cstheme="minorHAnsi"/>
                <w:color w:val="000000" w:themeColor="text1"/>
                <w:sz w:val="20"/>
              </w:rPr>
              <w:t xml:space="preserve">Net book value at </w:t>
            </w:r>
            <w:r w:rsidR="006D5571" w:rsidRPr="002F11BD">
              <w:rPr>
                <w:rFonts w:asciiTheme="minorHAnsi" w:hAnsiTheme="minorHAnsi" w:cstheme="minorHAnsi"/>
                <w:color w:val="000000" w:themeColor="text1"/>
                <w:sz w:val="20"/>
              </w:rPr>
              <w:t>30 June/</w:t>
            </w:r>
            <w:r w:rsidRPr="002F11BD">
              <w:rPr>
                <w:rFonts w:asciiTheme="minorHAnsi" w:hAnsiTheme="minorHAnsi" w:cstheme="minorHAnsi"/>
                <w:color w:val="000000" w:themeColor="text1"/>
                <w:sz w:val="20"/>
              </w:rPr>
              <w:t>31 December</w:t>
            </w:r>
          </w:p>
        </w:tc>
        <w:tc>
          <w:tcPr>
            <w:tcW w:w="656" w:type="pct"/>
            <w:tcBorders>
              <w:top w:val="single" w:sz="4" w:space="0" w:color="auto"/>
              <w:left w:val="nil"/>
              <w:bottom w:val="single" w:sz="4" w:space="0" w:color="auto"/>
              <w:right w:val="nil"/>
            </w:tcBorders>
            <w:shd w:val="clear" w:color="auto" w:fill="F2F2F2" w:themeFill="background1" w:themeFillShade="F2"/>
            <w:vAlign w:val="bottom"/>
          </w:tcPr>
          <w:p w14:paraId="5944E8D1" w14:textId="2EEB644F" w:rsidR="00D05244" w:rsidRPr="00B82AE4" w:rsidRDefault="00E21309" w:rsidP="00D05244">
            <w:pPr>
              <w:jc w:val="right"/>
              <w:rPr>
                <w:rFonts w:asciiTheme="minorHAnsi" w:hAnsiTheme="minorHAnsi" w:cs="Arial"/>
                <w:b/>
                <w:sz w:val="20"/>
                <w:szCs w:val="20"/>
              </w:rPr>
            </w:pPr>
            <w:r w:rsidRPr="00B82AE4">
              <w:rPr>
                <w:rFonts w:asciiTheme="minorHAnsi" w:hAnsiTheme="minorHAnsi" w:cs="Arial"/>
                <w:b/>
                <w:sz w:val="20"/>
                <w:szCs w:val="20"/>
              </w:rPr>
              <w:t>1.2</w:t>
            </w:r>
          </w:p>
        </w:tc>
        <w:tc>
          <w:tcPr>
            <w:tcW w:w="711" w:type="pct"/>
            <w:tcBorders>
              <w:top w:val="single" w:sz="4" w:space="0" w:color="auto"/>
              <w:left w:val="nil"/>
              <w:bottom w:val="single" w:sz="4" w:space="0" w:color="auto"/>
              <w:right w:val="nil"/>
            </w:tcBorders>
            <w:vAlign w:val="bottom"/>
          </w:tcPr>
          <w:p w14:paraId="7DBABD20" w14:textId="1D536F79" w:rsidR="00B82AE4" w:rsidRPr="00F42037" w:rsidRDefault="00B82AE4" w:rsidP="00B82AE4">
            <w:pPr>
              <w:jc w:val="right"/>
              <w:rPr>
                <w:rFonts w:asciiTheme="minorHAnsi" w:hAnsiTheme="minorHAnsi" w:cs="Arial"/>
                <w:bCs/>
                <w:sz w:val="20"/>
                <w:szCs w:val="20"/>
              </w:rPr>
            </w:pPr>
            <w:r w:rsidRPr="00F42037">
              <w:rPr>
                <w:rFonts w:asciiTheme="minorHAnsi" w:hAnsiTheme="minorHAnsi" w:cs="Arial"/>
                <w:bCs/>
                <w:sz w:val="20"/>
                <w:szCs w:val="20"/>
              </w:rPr>
              <w:t>1.2</w:t>
            </w:r>
          </w:p>
        </w:tc>
        <w:tc>
          <w:tcPr>
            <w:tcW w:w="498" w:type="pct"/>
            <w:tcBorders>
              <w:top w:val="single" w:sz="4" w:space="0" w:color="auto"/>
              <w:left w:val="nil"/>
              <w:bottom w:val="single" w:sz="4" w:space="0" w:color="auto"/>
              <w:right w:val="nil"/>
            </w:tcBorders>
            <w:vAlign w:val="bottom"/>
          </w:tcPr>
          <w:p w14:paraId="43A4812D" w14:textId="04E91AEE" w:rsidR="00D05244" w:rsidRPr="00B82AE4" w:rsidRDefault="00E21309" w:rsidP="00D05244">
            <w:pPr>
              <w:jc w:val="right"/>
              <w:rPr>
                <w:rFonts w:asciiTheme="minorHAnsi" w:hAnsiTheme="minorHAnsi" w:cs="Arial"/>
                <w:sz w:val="20"/>
                <w:szCs w:val="20"/>
              </w:rPr>
            </w:pPr>
            <w:r w:rsidRPr="00B82AE4">
              <w:rPr>
                <w:rFonts w:asciiTheme="minorHAnsi" w:hAnsiTheme="minorHAnsi" w:cs="Arial"/>
                <w:sz w:val="20"/>
                <w:szCs w:val="20"/>
              </w:rPr>
              <w:t>72.4</w:t>
            </w:r>
          </w:p>
        </w:tc>
      </w:tr>
      <w:tr w:rsidR="00D05244" w:rsidRPr="00B82AE4" w14:paraId="5D43347A" w14:textId="77777777" w:rsidTr="003B7755">
        <w:tc>
          <w:tcPr>
            <w:tcW w:w="3135" w:type="pct"/>
          </w:tcPr>
          <w:p w14:paraId="4947F209" w14:textId="5D246E98" w:rsidR="00D05244" w:rsidRPr="006D5571" w:rsidRDefault="00D05244" w:rsidP="002F11BD">
            <w:pPr>
              <w:pStyle w:val="FigsLFTFigs"/>
              <w:rPr>
                <w:rFonts w:asciiTheme="minorHAnsi" w:hAnsiTheme="minorHAnsi" w:cstheme="minorHAnsi"/>
                <w:b/>
                <w:color w:val="000000" w:themeColor="text1"/>
                <w:sz w:val="20"/>
                <w:szCs w:val="20"/>
              </w:rPr>
            </w:pPr>
            <w:r w:rsidRPr="006D5571">
              <w:rPr>
                <w:rFonts w:asciiTheme="minorHAnsi" w:hAnsiTheme="minorHAnsi" w:cstheme="minorHAnsi"/>
                <w:color w:val="000000" w:themeColor="text1"/>
                <w:sz w:val="20"/>
                <w:szCs w:val="20"/>
              </w:rPr>
              <w:t xml:space="preserve">Net book value at 1 January </w:t>
            </w:r>
          </w:p>
        </w:tc>
        <w:tc>
          <w:tcPr>
            <w:tcW w:w="656" w:type="pct"/>
            <w:tcBorders>
              <w:top w:val="single" w:sz="4" w:space="0" w:color="auto"/>
              <w:left w:val="nil"/>
              <w:right w:val="nil"/>
            </w:tcBorders>
            <w:shd w:val="clear" w:color="auto" w:fill="F2F2F2" w:themeFill="background1" w:themeFillShade="F2"/>
          </w:tcPr>
          <w:p w14:paraId="681D11B8" w14:textId="323536F6" w:rsidR="00D05244" w:rsidRPr="00B82AE4" w:rsidRDefault="00E757BC" w:rsidP="00D05244">
            <w:pPr>
              <w:jc w:val="right"/>
              <w:rPr>
                <w:rFonts w:asciiTheme="minorHAnsi" w:hAnsiTheme="minorHAnsi" w:cs="Arial"/>
                <w:b/>
                <w:sz w:val="20"/>
                <w:szCs w:val="20"/>
              </w:rPr>
            </w:pPr>
            <w:r>
              <w:rPr>
                <w:rFonts w:asciiTheme="minorHAnsi" w:hAnsiTheme="minorHAnsi" w:cs="Arial"/>
                <w:b/>
                <w:sz w:val="20"/>
                <w:szCs w:val="20"/>
              </w:rPr>
              <w:t>1.2</w:t>
            </w:r>
          </w:p>
        </w:tc>
        <w:tc>
          <w:tcPr>
            <w:tcW w:w="711" w:type="pct"/>
            <w:tcBorders>
              <w:top w:val="single" w:sz="4" w:space="0" w:color="auto"/>
              <w:left w:val="nil"/>
              <w:right w:val="nil"/>
            </w:tcBorders>
          </w:tcPr>
          <w:p w14:paraId="5417C1C7" w14:textId="24E82E5B" w:rsidR="00B82AE4" w:rsidRPr="00F42037" w:rsidRDefault="00B82AE4" w:rsidP="00B82AE4">
            <w:pPr>
              <w:jc w:val="right"/>
              <w:rPr>
                <w:rFonts w:asciiTheme="minorHAnsi" w:hAnsiTheme="minorHAnsi" w:cs="Arial"/>
                <w:bCs/>
                <w:sz w:val="20"/>
                <w:szCs w:val="20"/>
              </w:rPr>
            </w:pPr>
            <w:r w:rsidRPr="00F42037">
              <w:rPr>
                <w:rFonts w:asciiTheme="minorHAnsi" w:hAnsiTheme="minorHAnsi" w:cs="Arial"/>
                <w:bCs/>
                <w:sz w:val="20"/>
                <w:szCs w:val="20"/>
              </w:rPr>
              <w:t>72.4</w:t>
            </w:r>
          </w:p>
        </w:tc>
        <w:tc>
          <w:tcPr>
            <w:tcW w:w="498" w:type="pct"/>
            <w:tcBorders>
              <w:top w:val="single" w:sz="4" w:space="0" w:color="auto"/>
              <w:left w:val="nil"/>
              <w:right w:val="nil"/>
            </w:tcBorders>
          </w:tcPr>
          <w:p w14:paraId="3E3DA080" w14:textId="5E3112A5" w:rsidR="00D05244" w:rsidRPr="00B82AE4" w:rsidRDefault="000309FF" w:rsidP="00D05244">
            <w:pPr>
              <w:jc w:val="right"/>
              <w:rPr>
                <w:rFonts w:asciiTheme="minorHAnsi" w:hAnsiTheme="minorHAnsi" w:cs="Arial"/>
                <w:sz w:val="20"/>
                <w:szCs w:val="20"/>
              </w:rPr>
            </w:pPr>
            <w:r>
              <w:rPr>
                <w:rFonts w:asciiTheme="minorHAnsi" w:hAnsiTheme="minorHAnsi" w:cs="Arial"/>
                <w:sz w:val="20"/>
                <w:szCs w:val="20"/>
              </w:rPr>
              <w:t>72.4</w:t>
            </w:r>
          </w:p>
        </w:tc>
      </w:tr>
    </w:tbl>
    <w:p w14:paraId="1B36AB40" w14:textId="77777777" w:rsidR="00A1425C" w:rsidRPr="00290E61" w:rsidRDefault="00A1425C" w:rsidP="00A1425C">
      <w:pPr>
        <w:jc w:val="both"/>
        <w:rPr>
          <w:rFonts w:asciiTheme="minorHAnsi" w:hAnsiTheme="minorHAnsi"/>
          <w:b/>
          <w:sz w:val="20"/>
          <w:szCs w:val="20"/>
          <w:highlight w:val="yellow"/>
        </w:rPr>
      </w:pPr>
    </w:p>
    <w:p w14:paraId="6A344AD6" w14:textId="4F2ADA6D" w:rsidR="007828DC" w:rsidRPr="001C1F51" w:rsidRDefault="001C1F51" w:rsidP="00782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Cs/>
          <w:color w:val="4747FF"/>
          <w:sz w:val="22"/>
          <w:szCs w:val="22"/>
        </w:rPr>
      </w:pPr>
      <w:r w:rsidRPr="007828DC">
        <w:rPr>
          <w:rFonts w:asciiTheme="minorHAnsi" w:hAnsiTheme="minorHAnsi" w:cs="Arial"/>
          <w:sz w:val="20"/>
          <w:szCs w:val="20"/>
        </w:rPr>
        <w:t xml:space="preserve">Goodwill with a net book value of £71.2m </w:t>
      </w:r>
      <w:r w:rsidR="007828DC" w:rsidRPr="007828DC">
        <w:rPr>
          <w:rFonts w:asciiTheme="minorHAnsi" w:hAnsiTheme="minorHAnsi" w:cs="Arial"/>
          <w:bCs/>
          <w:sz w:val="20"/>
          <w:szCs w:val="20"/>
        </w:rPr>
        <w:t>was written off in 2H24 in relation</w:t>
      </w:r>
      <w:r w:rsidRPr="007828DC">
        <w:rPr>
          <w:rFonts w:asciiTheme="minorHAnsi" w:hAnsiTheme="minorHAnsi" w:cs="Arial"/>
          <w:sz w:val="20"/>
          <w:szCs w:val="20"/>
        </w:rPr>
        <w:t xml:space="preserve"> to the acquisition of Moneybarn in August 2014. </w:t>
      </w:r>
      <w:r w:rsidR="007828DC" w:rsidRPr="007828DC">
        <w:rPr>
          <w:rFonts w:asciiTheme="minorHAnsi" w:hAnsiTheme="minorHAnsi" w:cs="Arial"/>
          <w:bCs/>
          <w:sz w:val="20"/>
          <w:szCs w:val="20"/>
        </w:rPr>
        <w:t xml:space="preserve">The goodwill was </w:t>
      </w:r>
      <w:r w:rsidR="00371DAD">
        <w:rPr>
          <w:rFonts w:asciiTheme="minorHAnsi" w:hAnsiTheme="minorHAnsi" w:cs="Arial"/>
          <w:bCs/>
          <w:sz w:val="20"/>
          <w:szCs w:val="20"/>
        </w:rPr>
        <w:t>written off</w:t>
      </w:r>
      <w:r w:rsidR="007828DC" w:rsidRPr="007828DC">
        <w:rPr>
          <w:rFonts w:asciiTheme="minorHAnsi" w:hAnsiTheme="minorHAnsi" w:cs="Arial"/>
          <w:bCs/>
          <w:sz w:val="20"/>
          <w:szCs w:val="20"/>
        </w:rPr>
        <w:t xml:space="preserve"> in full due to lower cash flows in the latest budget as the Group prioritises capital deployment for growth into Second Charge Mortgages and Credit Cards in the near-term</w:t>
      </w:r>
      <w:r w:rsidR="007828DC" w:rsidRPr="00CF2AEB">
        <w:rPr>
          <w:rFonts w:asciiTheme="minorHAnsi" w:hAnsiTheme="minorHAnsi" w:cs="Arial"/>
          <w:bCs/>
          <w:sz w:val="20"/>
          <w:szCs w:val="20"/>
        </w:rPr>
        <w:t>.</w:t>
      </w:r>
    </w:p>
    <w:p w14:paraId="6EF7DDEF" w14:textId="77777777" w:rsidR="007828DC" w:rsidRPr="007828DC" w:rsidRDefault="007828DC" w:rsidP="001C1F5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Cs/>
          <w:sz w:val="20"/>
          <w:szCs w:val="20"/>
        </w:rPr>
      </w:pPr>
    </w:p>
    <w:p w14:paraId="5E8207E2" w14:textId="4D8BE607" w:rsidR="001C1F51" w:rsidRPr="00D52808" w:rsidRDefault="007828DC" w:rsidP="001C1F5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Cs/>
          <w:sz w:val="20"/>
          <w:szCs w:val="20"/>
        </w:rPr>
      </w:pPr>
      <w:r>
        <w:rPr>
          <w:rFonts w:asciiTheme="minorHAnsi" w:hAnsiTheme="minorHAnsi" w:cs="Arial"/>
          <w:bCs/>
          <w:sz w:val="20"/>
          <w:szCs w:val="20"/>
        </w:rPr>
        <w:t>The remaining £1.2m goodwill relates to the acquisition of Snoop in 2023</w:t>
      </w:r>
      <w:r w:rsidRPr="007828DC">
        <w:rPr>
          <w:rFonts w:asciiTheme="minorHAnsi" w:hAnsiTheme="minorHAnsi" w:cs="Arial"/>
          <w:bCs/>
          <w:sz w:val="20"/>
          <w:szCs w:val="20"/>
        </w:rPr>
        <w:t xml:space="preserve">. </w:t>
      </w:r>
    </w:p>
    <w:p w14:paraId="2E17B651" w14:textId="77777777" w:rsidR="006020D0" w:rsidRPr="00290E61" w:rsidRDefault="006020D0" w:rsidP="001C1F5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0"/>
          <w:szCs w:val="20"/>
          <w:highlight w:val="yellow"/>
        </w:rPr>
      </w:pPr>
    </w:p>
    <w:p w14:paraId="3D75414B" w14:textId="24ADDA83" w:rsidR="001C1F51" w:rsidRPr="00FE4F28" w:rsidRDefault="001C1F51" w:rsidP="001C1F5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FE4F28">
        <w:rPr>
          <w:rFonts w:asciiTheme="minorHAnsi" w:hAnsiTheme="minorHAnsi" w:cs="Arial"/>
          <w:sz w:val="20"/>
          <w:szCs w:val="20"/>
        </w:rPr>
        <w:t xml:space="preserve">Goodwill is tested annually for impairment, or more frequently if there are any indications that goodwill might be impaired. The recoverable amount is determined from a value in use calculation. The key assumptions used in the value in use calculation relate to the cash flows of the cash generating unit, discount rates and growth rates adopted. </w:t>
      </w:r>
    </w:p>
    <w:p w14:paraId="5656AC11" w14:textId="77777777" w:rsidR="001C1F51" w:rsidRPr="00FE4F28" w:rsidRDefault="001C1F51" w:rsidP="001C1F5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FE4F28">
        <w:rPr>
          <w:rFonts w:asciiTheme="minorHAnsi" w:hAnsiTheme="minorHAnsi" w:cs="Arial"/>
          <w:sz w:val="20"/>
          <w:szCs w:val="20"/>
        </w:rPr>
        <w:t>Management adopts pre-tax discount rates which reflect the time value of money and the risks specific to the business.</w:t>
      </w:r>
    </w:p>
    <w:p w14:paraId="20F4BC92" w14:textId="77777777" w:rsidR="006020D0" w:rsidRPr="00290E61" w:rsidRDefault="006020D0" w:rsidP="001C1F5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0"/>
          <w:szCs w:val="20"/>
          <w:highlight w:val="yellow"/>
        </w:rPr>
      </w:pPr>
    </w:p>
    <w:p w14:paraId="379AE752" w14:textId="538738D6" w:rsidR="002D3932" w:rsidRDefault="007828DC" w:rsidP="00A142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0"/>
          <w:szCs w:val="20"/>
        </w:rPr>
      </w:pPr>
      <w:r>
        <w:rPr>
          <w:rFonts w:asciiTheme="minorHAnsi" w:hAnsiTheme="minorHAnsi" w:cs="Arial"/>
          <w:bCs/>
          <w:sz w:val="20"/>
          <w:szCs w:val="20"/>
        </w:rPr>
        <w:t xml:space="preserve">There were no indications of impairment </w:t>
      </w:r>
      <w:r w:rsidR="00FE4F28">
        <w:rPr>
          <w:rFonts w:asciiTheme="minorHAnsi" w:hAnsiTheme="minorHAnsi" w:cs="Arial"/>
          <w:bCs/>
          <w:sz w:val="20"/>
          <w:szCs w:val="20"/>
        </w:rPr>
        <w:t xml:space="preserve">in relation to the Snoop goodwill in 1H25. </w:t>
      </w:r>
    </w:p>
    <w:p w14:paraId="55DF680D" w14:textId="77777777" w:rsidR="00FE4F28" w:rsidRDefault="00FE4F28" w:rsidP="00A142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color w:val="4747FF"/>
          <w:sz w:val="22"/>
          <w:szCs w:val="22"/>
        </w:rPr>
      </w:pPr>
    </w:p>
    <w:p w14:paraId="6302D48C" w14:textId="6316D9AA" w:rsidR="000C129B" w:rsidRDefault="000C129B">
      <w:pPr>
        <w:rPr>
          <w:rFonts w:asciiTheme="minorHAnsi" w:hAnsiTheme="minorHAnsi" w:cs="Arial"/>
          <w:b/>
          <w:color w:val="4747FF"/>
          <w:sz w:val="22"/>
          <w:szCs w:val="22"/>
        </w:rPr>
      </w:pPr>
    </w:p>
    <w:p w14:paraId="0F9B4613" w14:textId="3B4F0F18" w:rsidR="00A1425C" w:rsidRPr="00701439" w:rsidRDefault="003F4410" w:rsidP="00A142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color w:val="4747FF"/>
          <w:sz w:val="22"/>
          <w:szCs w:val="22"/>
        </w:rPr>
      </w:pPr>
      <w:r>
        <w:rPr>
          <w:rFonts w:asciiTheme="minorHAnsi" w:hAnsiTheme="minorHAnsi" w:cs="Arial"/>
          <w:b/>
          <w:color w:val="4747FF"/>
          <w:sz w:val="22"/>
          <w:szCs w:val="22"/>
        </w:rPr>
        <w:t>11</w:t>
      </w:r>
      <w:r w:rsidR="00A1425C" w:rsidRPr="00701439">
        <w:rPr>
          <w:rFonts w:asciiTheme="minorHAnsi" w:hAnsiTheme="minorHAnsi" w:cs="Arial"/>
          <w:b/>
          <w:color w:val="4747FF"/>
          <w:sz w:val="22"/>
          <w:szCs w:val="22"/>
        </w:rPr>
        <w:t xml:space="preserve">. </w:t>
      </w:r>
      <w:r w:rsidR="00A1425C">
        <w:rPr>
          <w:rFonts w:asciiTheme="minorHAnsi" w:hAnsiTheme="minorHAnsi" w:cs="Arial"/>
          <w:b/>
          <w:color w:val="4747FF"/>
          <w:sz w:val="22"/>
          <w:szCs w:val="22"/>
        </w:rPr>
        <w:t xml:space="preserve">     </w:t>
      </w:r>
      <w:r w:rsidR="00A1425C" w:rsidRPr="00701439">
        <w:rPr>
          <w:rFonts w:asciiTheme="minorHAnsi" w:hAnsiTheme="minorHAnsi" w:cs="Arial"/>
          <w:b/>
          <w:color w:val="4747FF"/>
          <w:sz w:val="22"/>
          <w:szCs w:val="22"/>
        </w:rPr>
        <w:t>Other intangible assets</w:t>
      </w:r>
    </w:p>
    <w:p w14:paraId="52DBFC7A" w14:textId="77777777" w:rsidR="00A1425C" w:rsidRDefault="00A1425C" w:rsidP="00A142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color w:val="4747FF"/>
          <w:sz w:val="22"/>
          <w:szCs w:val="22"/>
        </w:rPr>
      </w:pPr>
    </w:p>
    <w:tbl>
      <w:tblPr>
        <w:tblW w:w="9890" w:type="dxa"/>
        <w:tblLook w:val="0000" w:firstRow="0" w:lastRow="0" w:firstColumn="0" w:lastColumn="0" w:noHBand="0" w:noVBand="0"/>
      </w:tblPr>
      <w:tblGrid>
        <w:gridCol w:w="3259"/>
        <w:gridCol w:w="1274"/>
        <w:gridCol w:w="1132"/>
        <w:gridCol w:w="995"/>
        <w:gridCol w:w="1274"/>
        <w:gridCol w:w="1132"/>
        <w:gridCol w:w="824"/>
      </w:tblGrid>
      <w:tr w:rsidR="00EE6B55" w:rsidRPr="004C7C84" w14:paraId="79FC1027" w14:textId="29B595BA" w:rsidTr="003B7755">
        <w:trPr>
          <w:trHeight w:val="248"/>
        </w:trPr>
        <w:tc>
          <w:tcPr>
            <w:tcW w:w="3259" w:type="dxa"/>
          </w:tcPr>
          <w:p w14:paraId="6BE88B9C" w14:textId="77777777" w:rsidR="00EE6B55" w:rsidRPr="00B97C61" w:rsidRDefault="00EE6B55" w:rsidP="00237537">
            <w:pPr>
              <w:rPr>
                <w:rFonts w:asciiTheme="minorHAnsi" w:hAnsiTheme="minorHAnsi" w:cs="Arial"/>
                <w:sz w:val="20"/>
                <w:szCs w:val="20"/>
              </w:rPr>
            </w:pPr>
          </w:p>
        </w:tc>
        <w:tc>
          <w:tcPr>
            <w:tcW w:w="3401" w:type="dxa"/>
            <w:gridSpan w:val="3"/>
            <w:tcBorders>
              <w:top w:val="nil"/>
              <w:left w:val="nil"/>
              <w:right w:val="nil"/>
            </w:tcBorders>
            <w:shd w:val="clear" w:color="auto" w:fill="F2F2F2" w:themeFill="background1" w:themeFillShade="F2"/>
            <w:vAlign w:val="bottom"/>
          </w:tcPr>
          <w:p w14:paraId="5340DA1B" w14:textId="1EF0F8F7" w:rsidR="00EE6B55" w:rsidRPr="002F6001" w:rsidRDefault="00EE6B55" w:rsidP="00237537">
            <w:pPr>
              <w:jc w:val="center"/>
              <w:rPr>
                <w:rFonts w:asciiTheme="minorHAnsi" w:hAnsiTheme="minorHAnsi" w:cs="Arial"/>
                <w:b/>
                <w:sz w:val="20"/>
                <w:szCs w:val="20"/>
              </w:rPr>
            </w:pPr>
            <w:r w:rsidRPr="002F6001">
              <w:rPr>
                <w:rFonts w:asciiTheme="minorHAnsi" w:hAnsiTheme="minorHAnsi" w:cs="Arial"/>
                <w:b/>
                <w:sz w:val="20"/>
                <w:szCs w:val="20"/>
              </w:rPr>
              <w:t>3</w:t>
            </w:r>
            <w:r>
              <w:rPr>
                <w:rFonts w:asciiTheme="minorHAnsi" w:hAnsiTheme="minorHAnsi" w:cs="Arial"/>
                <w:b/>
                <w:sz w:val="20"/>
                <w:szCs w:val="20"/>
              </w:rPr>
              <w:t>0 June</w:t>
            </w:r>
            <w:r w:rsidRPr="002F6001">
              <w:rPr>
                <w:rFonts w:asciiTheme="minorHAnsi" w:hAnsiTheme="minorHAnsi" w:cs="Arial"/>
                <w:b/>
                <w:sz w:val="20"/>
                <w:szCs w:val="20"/>
              </w:rPr>
              <w:t xml:space="preserve"> 202</w:t>
            </w:r>
            <w:r>
              <w:rPr>
                <w:rFonts w:asciiTheme="minorHAnsi" w:hAnsiTheme="minorHAnsi" w:cs="Arial"/>
                <w:b/>
                <w:sz w:val="20"/>
                <w:szCs w:val="20"/>
              </w:rPr>
              <w:t>5</w:t>
            </w:r>
            <w:r w:rsidR="007318F1">
              <w:rPr>
                <w:rFonts w:asciiTheme="minorHAnsi" w:hAnsiTheme="minorHAnsi" w:cs="Arial"/>
                <w:b/>
                <w:sz w:val="20"/>
                <w:szCs w:val="20"/>
              </w:rPr>
              <w:t xml:space="preserve"> unaudited</w:t>
            </w:r>
          </w:p>
        </w:tc>
        <w:tc>
          <w:tcPr>
            <w:tcW w:w="3230" w:type="dxa"/>
            <w:gridSpan w:val="3"/>
            <w:tcBorders>
              <w:top w:val="nil"/>
              <w:left w:val="nil"/>
              <w:right w:val="nil"/>
            </w:tcBorders>
            <w:vAlign w:val="bottom"/>
          </w:tcPr>
          <w:p w14:paraId="7AD5C1AD" w14:textId="6B5B8500" w:rsidR="00EE6B55" w:rsidRPr="002D1739" w:rsidRDefault="00EE6B55" w:rsidP="00237537">
            <w:pPr>
              <w:jc w:val="center"/>
              <w:rPr>
                <w:rFonts w:asciiTheme="minorHAnsi" w:hAnsiTheme="minorHAnsi" w:cs="Arial"/>
                <w:sz w:val="20"/>
                <w:szCs w:val="20"/>
              </w:rPr>
            </w:pPr>
            <w:r w:rsidRPr="002D1739">
              <w:rPr>
                <w:rFonts w:asciiTheme="minorHAnsi" w:hAnsiTheme="minorHAnsi" w:cs="Arial"/>
                <w:sz w:val="20"/>
                <w:szCs w:val="20"/>
              </w:rPr>
              <w:t>31December 2024</w:t>
            </w:r>
            <w:r w:rsidR="007318F1" w:rsidRPr="002D1739">
              <w:rPr>
                <w:rFonts w:asciiTheme="minorHAnsi" w:hAnsiTheme="minorHAnsi" w:cs="Arial"/>
                <w:sz w:val="20"/>
                <w:szCs w:val="20"/>
              </w:rPr>
              <w:t xml:space="preserve"> audited</w:t>
            </w:r>
          </w:p>
        </w:tc>
      </w:tr>
      <w:tr w:rsidR="000449F4" w:rsidRPr="004C7C84" w14:paraId="64963F72" w14:textId="5C6A8C7B" w:rsidTr="003B7755">
        <w:trPr>
          <w:trHeight w:val="248"/>
        </w:trPr>
        <w:tc>
          <w:tcPr>
            <w:tcW w:w="3259" w:type="dxa"/>
          </w:tcPr>
          <w:p w14:paraId="560499E8" w14:textId="77777777" w:rsidR="00EE6B55" w:rsidRPr="00B97C61" w:rsidRDefault="00EE6B55" w:rsidP="00014171">
            <w:pPr>
              <w:rPr>
                <w:rFonts w:asciiTheme="minorHAnsi" w:hAnsiTheme="minorHAnsi" w:cs="Arial"/>
                <w:sz w:val="20"/>
                <w:szCs w:val="20"/>
              </w:rPr>
            </w:pPr>
          </w:p>
        </w:tc>
        <w:tc>
          <w:tcPr>
            <w:tcW w:w="1274" w:type="dxa"/>
            <w:tcBorders>
              <w:top w:val="nil"/>
              <w:left w:val="nil"/>
              <w:right w:val="nil"/>
            </w:tcBorders>
            <w:shd w:val="clear" w:color="auto" w:fill="F2F2F2" w:themeFill="background1" w:themeFillShade="F2"/>
            <w:vAlign w:val="bottom"/>
          </w:tcPr>
          <w:p w14:paraId="09914F4C" w14:textId="77777777" w:rsidR="00EE6B55" w:rsidRPr="00EA4105" w:rsidRDefault="00EE6B55" w:rsidP="00014171">
            <w:pPr>
              <w:jc w:val="right"/>
              <w:rPr>
                <w:rFonts w:asciiTheme="minorHAnsi" w:hAnsiTheme="minorHAnsi" w:cs="Arial"/>
                <w:sz w:val="20"/>
                <w:szCs w:val="20"/>
              </w:rPr>
            </w:pPr>
            <w:r w:rsidRPr="00EA4105">
              <w:rPr>
                <w:rFonts w:asciiTheme="minorHAnsi" w:hAnsiTheme="minorHAnsi" w:cs="Arial"/>
                <w:sz w:val="20"/>
                <w:szCs w:val="20"/>
              </w:rPr>
              <w:t>Acquisition intangibles</w:t>
            </w:r>
          </w:p>
        </w:tc>
        <w:tc>
          <w:tcPr>
            <w:tcW w:w="1132" w:type="dxa"/>
            <w:tcBorders>
              <w:top w:val="nil"/>
              <w:left w:val="nil"/>
              <w:right w:val="nil"/>
            </w:tcBorders>
            <w:shd w:val="clear" w:color="auto" w:fill="F2F2F2" w:themeFill="background1" w:themeFillShade="F2"/>
            <w:vAlign w:val="bottom"/>
          </w:tcPr>
          <w:p w14:paraId="269BCD4F" w14:textId="2F9A93E7" w:rsidR="00EE6B55" w:rsidRPr="00EA4105" w:rsidRDefault="00EE6B55" w:rsidP="00014171">
            <w:pPr>
              <w:jc w:val="right"/>
              <w:rPr>
                <w:rFonts w:asciiTheme="minorHAnsi" w:hAnsiTheme="minorHAnsi" w:cs="Arial"/>
                <w:sz w:val="20"/>
                <w:szCs w:val="20"/>
              </w:rPr>
            </w:pPr>
            <w:r>
              <w:rPr>
                <w:rFonts w:asciiTheme="minorHAnsi" w:hAnsiTheme="minorHAnsi" w:cs="Arial"/>
                <w:sz w:val="20"/>
                <w:szCs w:val="20"/>
              </w:rPr>
              <w:t>Computer Software</w:t>
            </w:r>
          </w:p>
        </w:tc>
        <w:tc>
          <w:tcPr>
            <w:tcW w:w="995" w:type="dxa"/>
            <w:tcBorders>
              <w:top w:val="nil"/>
              <w:left w:val="nil"/>
              <w:right w:val="nil"/>
            </w:tcBorders>
            <w:shd w:val="clear" w:color="auto" w:fill="F2F2F2" w:themeFill="background1" w:themeFillShade="F2"/>
            <w:vAlign w:val="bottom"/>
          </w:tcPr>
          <w:p w14:paraId="42201A1A" w14:textId="0AA15588" w:rsidR="00EE6B55" w:rsidRPr="00EA4105" w:rsidRDefault="00EE6B55" w:rsidP="00014171">
            <w:pPr>
              <w:jc w:val="right"/>
              <w:rPr>
                <w:rFonts w:asciiTheme="minorHAnsi" w:hAnsiTheme="minorHAnsi" w:cs="Arial"/>
                <w:sz w:val="20"/>
                <w:szCs w:val="20"/>
              </w:rPr>
            </w:pPr>
            <w:r>
              <w:rPr>
                <w:rFonts w:asciiTheme="minorHAnsi" w:hAnsiTheme="minorHAnsi" w:cs="Arial"/>
                <w:sz w:val="20"/>
                <w:szCs w:val="20"/>
              </w:rPr>
              <w:t>Total</w:t>
            </w:r>
          </w:p>
        </w:tc>
        <w:tc>
          <w:tcPr>
            <w:tcW w:w="1274" w:type="dxa"/>
            <w:tcBorders>
              <w:top w:val="nil"/>
              <w:left w:val="nil"/>
              <w:right w:val="nil"/>
            </w:tcBorders>
            <w:vAlign w:val="bottom"/>
          </w:tcPr>
          <w:p w14:paraId="785C1E05" w14:textId="34F4F100" w:rsidR="00EE6B55" w:rsidRPr="00EA4105" w:rsidRDefault="00EE6B55" w:rsidP="00014171">
            <w:pPr>
              <w:jc w:val="right"/>
              <w:rPr>
                <w:rFonts w:asciiTheme="minorHAnsi" w:hAnsiTheme="minorHAnsi" w:cs="Arial"/>
                <w:sz w:val="20"/>
                <w:szCs w:val="20"/>
              </w:rPr>
            </w:pPr>
            <w:r w:rsidRPr="00EA4105">
              <w:rPr>
                <w:rFonts w:asciiTheme="minorHAnsi" w:hAnsiTheme="minorHAnsi" w:cs="Arial"/>
                <w:sz w:val="20"/>
                <w:szCs w:val="20"/>
              </w:rPr>
              <w:t>Acquisition intangibles</w:t>
            </w:r>
          </w:p>
        </w:tc>
        <w:tc>
          <w:tcPr>
            <w:tcW w:w="1132" w:type="dxa"/>
            <w:tcBorders>
              <w:top w:val="nil"/>
              <w:left w:val="nil"/>
              <w:right w:val="nil"/>
            </w:tcBorders>
            <w:vAlign w:val="bottom"/>
          </w:tcPr>
          <w:p w14:paraId="08639AA6" w14:textId="0E8BABF5" w:rsidR="00EE6B55" w:rsidRPr="00EA4105" w:rsidRDefault="00EE6B55" w:rsidP="00014171">
            <w:pPr>
              <w:jc w:val="right"/>
              <w:rPr>
                <w:rFonts w:asciiTheme="minorHAnsi" w:hAnsiTheme="minorHAnsi" w:cs="Arial"/>
                <w:sz w:val="20"/>
                <w:szCs w:val="20"/>
              </w:rPr>
            </w:pPr>
            <w:r>
              <w:rPr>
                <w:rFonts w:asciiTheme="minorHAnsi" w:hAnsiTheme="minorHAnsi" w:cs="Arial"/>
                <w:sz w:val="20"/>
                <w:szCs w:val="20"/>
              </w:rPr>
              <w:t>Computer Software</w:t>
            </w:r>
          </w:p>
        </w:tc>
        <w:tc>
          <w:tcPr>
            <w:tcW w:w="824" w:type="dxa"/>
            <w:tcBorders>
              <w:top w:val="nil"/>
              <w:left w:val="nil"/>
              <w:right w:val="nil"/>
            </w:tcBorders>
            <w:vAlign w:val="bottom"/>
          </w:tcPr>
          <w:p w14:paraId="297D2081" w14:textId="6E41562A" w:rsidR="00EE6B55" w:rsidRPr="00EA4105" w:rsidRDefault="00EE6B55" w:rsidP="00014171">
            <w:pPr>
              <w:jc w:val="right"/>
              <w:rPr>
                <w:rFonts w:asciiTheme="minorHAnsi" w:hAnsiTheme="minorHAnsi" w:cs="Arial"/>
                <w:sz w:val="20"/>
                <w:szCs w:val="20"/>
              </w:rPr>
            </w:pPr>
            <w:r>
              <w:rPr>
                <w:rFonts w:asciiTheme="minorHAnsi" w:hAnsiTheme="minorHAnsi" w:cs="Arial"/>
                <w:sz w:val="20"/>
                <w:szCs w:val="20"/>
              </w:rPr>
              <w:t>Total</w:t>
            </w:r>
          </w:p>
        </w:tc>
      </w:tr>
      <w:tr w:rsidR="000449F4" w:rsidRPr="004C7C84" w14:paraId="21436AB0" w14:textId="7DFF3EDC" w:rsidTr="003B7755">
        <w:trPr>
          <w:trHeight w:val="248"/>
        </w:trPr>
        <w:tc>
          <w:tcPr>
            <w:tcW w:w="3259" w:type="dxa"/>
          </w:tcPr>
          <w:p w14:paraId="730CD6BF" w14:textId="77777777" w:rsidR="00EE6B55" w:rsidRPr="00B97C61" w:rsidRDefault="00EE6B55" w:rsidP="00014171">
            <w:pPr>
              <w:rPr>
                <w:rFonts w:asciiTheme="minorHAnsi" w:hAnsiTheme="minorHAnsi" w:cs="Arial"/>
                <w:sz w:val="20"/>
                <w:szCs w:val="20"/>
              </w:rPr>
            </w:pPr>
          </w:p>
        </w:tc>
        <w:tc>
          <w:tcPr>
            <w:tcW w:w="1274" w:type="dxa"/>
            <w:tcBorders>
              <w:left w:val="nil"/>
              <w:bottom w:val="single" w:sz="4" w:space="0" w:color="auto"/>
              <w:right w:val="nil"/>
            </w:tcBorders>
            <w:shd w:val="clear" w:color="auto" w:fill="F2F2F2" w:themeFill="background1" w:themeFillShade="F2"/>
            <w:vAlign w:val="bottom"/>
          </w:tcPr>
          <w:p w14:paraId="4E975186" w14:textId="77777777" w:rsidR="00EE6B55" w:rsidRPr="00EA4105" w:rsidRDefault="00EE6B55" w:rsidP="00014171">
            <w:pPr>
              <w:jc w:val="right"/>
              <w:rPr>
                <w:rFonts w:asciiTheme="minorHAnsi" w:hAnsiTheme="minorHAnsi" w:cs="Arial"/>
                <w:sz w:val="20"/>
                <w:szCs w:val="20"/>
              </w:rPr>
            </w:pPr>
            <w:r w:rsidRPr="00EA4105">
              <w:rPr>
                <w:rFonts w:asciiTheme="minorHAnsi" w:hAnsiTheme="minorHAnsi" w:cs="Arial"/>
                <w:sz w:val="20"/>
                <w:szCs w:val="20"/>
              </w:rPr>
              <w:t>£m </w:t>
            </w:r>
          </w:p>
        </w:tc>
        <w:tc>
          <w:tcPr>
            <w:tcW w:w="1132" w:type="dxa"/>
            <w:tcBorders>
              <w:left w:val="nil"/>
              <w:bottom w:val="single" w:sz="4" w:space="0" w:color="auto"/>
              <w:right w:val="nil"/>
            </w:tcBorders>
            <w:shd w:val="clear" w:color="auto" w:fill="F2F2F2" w:themeFill="background1" w:themeFillShade="F2"/>
            <w:vAlign w:val="bottom"/>
          </w:tcPr>
          <w:p w14:paraId="1E1F7080" w14:textId="333EA780" w:rsidR="00EE6B55" w:rsidRPr="00EA4105" w:rsidRDefault="00EE6B55" w:rsidP="00014171">
            <w:pPr>
              <w:jc w:val="right"/>
              <w:rPr>
                <w:rFonts w:asciiTheme="minorHAnsi" w:hAnsiTheme="minorHAnsi" w:cs="Arial"/>
                <w:sz w:val="20"/>
                <w:szCs w:val="20"/>
              </w:rPr>
            </w:pPr>
            <w:r w:rsidRPr="00EA4105">
              <w:rPr>
                <w:rFonts w:asciiTheme="minorHAnsi" w:hAnsiTheme="minorHAnsi" w:cs="Arial"/>
                <w:sz w:val="20"/>
                <w:szCs w:val="20"/>
              </w:rPr>
              <w:t>£m </w:t>
            </w:r>
          </w:p>
        </w:tc>
        <w:tc>
          <w:tcPr>
            <w:tcW w:w="995" w:type="dxa"/>
            <w:tcBorders>
              <w:left w:val="nil"/>
              <w:bottom w:val="single" w:sz="4" w:space="0" w:color="auto"/>
              <w:right w:val="nil"/>
            </w:tcBorders>
            <w:shd w:val="clear" w:color="auto" w:fill="F2F2F2" w:themeFill="background1" w:themeFillShade="F2"/>
            <w:vAlign w:val="bottom"/>
          </w:tcPr>
          <w:p w14:paraId="372BAAC7" w14:textId="47037F10" w:rsidR="00EE6B55" w:rsidRPr="00EA4105" w:rsidRDefault="00EE6B55" w:rsidP="00014171">
            <w:pPr>
              <w:jc w:val="right"/>
              <w:rPr>
                <w:rFonts w:asciiTheme="minorHAnsi" w:hAnsiTheme="minorHAnsi" w:cs="Arial"/>
                <w:sz w:val="20"/>
                <w:szCs w:val="20"/>
              </w:rPr>
            </w:pPr>
            <w:r w:rsidRPr="00EA4105">
              <w:rPr>
                <w:rFonts w:asciiTheme="minorHAnsi" w:hAnsiTheme="minorHAnsi" w:cs="Arial"/>
                <w:sz w:val="20"/>
                <w:szCs w:val="20"/>
              </w:rPr>
              <w:t>£m </w:t>
            </w:r>
          </w:p>
        </w:tc>
        <w:tc>
          <w:tcPr>
            <w:tcW w:w="1274" w:type="dxa"/>
            <w:tcBorders>
              <w:left w:val="nil"/>
              <w:bottom w:val="single" w:sz="4" w:space="0" w:color="auto"/>
              <w:right w:val="nil"/>
            </w:tcBorders>
            <w:vAlign w:val="bottom"/>
          </w:tcPr>
          <w:p w14:paraId="27D6A2F4" w14:textId="591411C7" w:rsidR="00EE6B55" w:rsidRPr="00EA4105" w:rsidRDefault="00EE6B55" w:rsidP="00014171">
            <w:pPr>
              <w:jc w:val="right"/>
              <w:rPr>
                <w:rFonts w:asciiTheme="minorHAnsi" w:hAnsiTheme="minorHAnsi" w:cs="Arial"/>
                <w:sz w:val="20"/>
                <w:szCs w:val="20"/>
              </w:rPr>
            </w:pPr>
            <w:r w:rsidRPr="00EA4105">
              <w:rPr>
                <w:rFonts w:asciiTheme="minorHAnsi" w:hAnsiTheme="minorHAnsi" w:cs="Arial"/>
                <w:sz w:val="20"/>
                <w:szCs w:val="20"/>
              </w:rPr>
              <w:t>£m </w:t>
            </w:r>
          </w:p>
        </w:tc>
        <w:tc>
          <w:tcPr>
            <w:tcW w:w="1132" w:type="dxa"/>
            <w:tcBorders>
              <w:left w:val="nil"/>
              <w:bottom w:val="single" w:sz="4" w:space="0" w:color="auto"/>
              <w:right w:val="nil"/>
            </w:tcBorders>
            <w:vAlign w:val="bottom"/>
          </w:tcPr>
          <w:p w14:paraId="2F01BDD1" w14:textId="7B4178F6" w:rsidR="00EE6B55" w:rsidRPr="00EA4105" w:rsidRDefault="00EE6B55" w:rsidP="00014171">
            <w:pPr>
              <w:jc w:val="right"/>
              <w:rPr>
                <w:rFonts w:asciiTheme="minorHAnsi" w:hAnsiTheme="minorHAnsi" w:cs="Arial"/>
                <w:sz w:val="20"/>
                <w:szCs w:val="20"/>
              </w:rPr>
            </w:pPr>
            <w:r w:rsidRPr="00EA4105">
              <w:rPr>
                <w:rFonts w:asciiTheme="minorHAnsi" w:hAnsiTheme="minorHAnsi" w:cs="Arial"/>
                <w:sz w:val="20"/>
                <w:szCs w:val="20"/>
              </w:rPr>
              <w:t>£m </w:t>
            </w:r>
          </w:p>
        </w:tc>
        <w:tc>
          <w:tcPr>
            <w:tcW w:w="824" w:type="dxa"/>
            <w:tcBorders>
              <w:left w:val="nil"/>
              <w:bottom w:val="single" w:sz="4" w:space="0" w:color="auto"/>
              <w:right w:val="nil"/>
            </w:tcBorders>
            <w:vAlign w:val="bottom"/>
          </w:tcPr>
          <w:p w14:paraId="5D699198" w14:textId="02CF8B29" w:rsidR="00EE6B55" w:rsidRPr="00EA4105" w:rsidRDefault="00EE6B55" w:rsidP="00014171">
            <w:pPr>
              <w:jc w:val="right"/>
              <w:rPr>
                <w:rFonts w:asciiTheme="minorHAnsi" w:hAnsiTheme="minorHAnsi" w:cs="Arial"/>
                <w:sz w:val="20"/>
                <w:szCs w:val="20"/>
              </w:rPr>
            </w:pPr>
            <w:r w:rsidRPr="00EA4105">
              <w:rPr>
                <w:rFonts w:asciiTheme="minorHAnsi" w:hAnsiTheme="minorHAnsi" w:cs="Arial"/>
                <w:sz w:val="20"/>
                <w:szCs w:val="20"/>
              </w:rPr>
              <w:t>£m </w:t>
            </w:r>
          </w:p>
        </w:tc>
      </w:tr>
      <w:tr w:rsidR="000449F4" w:rsidRPr="004C7C84" w14:paraId="2865DCDD" w14:textId="548CC180" w:rsidTr="003B7755">
        <w:trPr>
          <w:trHeight w:val="248"/>
        </w:trPr>
        <w:tc>
          <w:tcPr>
            <w:tcW w:w="3259" w:type="dxa"/>
            <w:vAlign w:val="bottom"/>
          </w:tcPr>
          <w:p w14:paraId="3260A5F9" w14:textId="77777777" w:rsidR="00EE6B55" w:rsidRPr="00B97C61" w:rsidRDefault="00EE6B55" w:rsidP="00EE6B55">
            <w:pPr>
              <w:rPr>
                <w:rFonts w:asciiTheme="minorHAnsi" w:hAnsiTheme="minorHAnsi" w:cs="Arial"/>
                <w:b/>
                <w:sz w:val="20"/>
                <w:szCs w:val="20"/>
              </w:rPr>
            </w:pPr>
            <w:r w:rsidRPr="00B97C61">
              <w:rPr>
                <w:rFonts w:asciiTheme="minorHAnsi" w:hAnsiTheme="minorHAnsi" w:cs="Arial"/>
                <w:b/>
                <w:sz w:val="20"/>
                <w:szCs w:val="20"/>
              </w:rPr>
              <w:t>Cost</w:t>
            </w:r>
          </w:p>
        </w:tc>
        <w:tc>
          <w:tcPr>
            <w:tcW w:w="1274" w:type="dxa"/>
            <w:tcBorders>
              <w:top w:val="single" w:sz="4" w:space="0" w:color="auto"/>
              <w:left w:val="nil"/>
              <w:right w:val="nil"/>
            </w:tcBorders>
            <w:shd w:val="clear" w:color="auto" w:fill="F2F2F2" w:themeFill="background1" w:themeFillShade="F2"/>
            <w:vAlign w:val="bottom"/>
          </w:tcPr>
          <w:p w14:paraId="40CC1899" w14:textId="1E12E5E8" w:rsidR="00EE6B55" w:rsidRPr="004C7C84" w:rsidRDefault="00EE6B55" w:rsidP="00EE6B55">
            <w:pPr>
              <w:jc w:val="right"/>
              <w:rPr>
                <w:rFonts w:asciiTheme="minorHAnsi" w:hAnsiTheme="minorHAnsi" w:cs="Arial"/>
                <w:b/>
                <w:sz w:val="20"/>
                <w:szCs w:val="20"/>
              </w:rPr>
            </w:pPr>
          </w:p>
        </w:tc>
        <w:tc>
          <w:tcPr>
            <w:tcW w:w="1132" w:type="dxa"/>
            <w:tcBorders>
              <w:top w:val="single" w:sz="4" w:space="0" w:color="auto"/>
              <w:left w:val="nil"/>
              <w:right w:val="nil"/>
            </w:tcBorders>
            <w:shd w:val="clear" w:color="auto" w:fill="F2F2F2" w:themeFill="background1" w:themeFillShade="F2"/>
            <w:vAlign w:val="bottom"/>
          </w:tcPr>
          <w:p w14:paraId="70D888EF" w14:textId="155CA42C" w:rsidR="00EE6B55" w:rsidRPr="004C7C84" w:rsidRDefault="00EE6B55" w:rsidP="00EE6B55">
            <w:pPr>
              <w:jc w:val="right"/>
              <w:rPr>
                <w:rFonts w:asciiTheme="minorHAnsi" w:hAnsiTheme="minorHAnsi" w:cs="Arial"/>
                <w:b/>
                <w:sz w:val="20"/>
                <w:szCs w:val="20"/>
              </w:rPr>
            </w:pPr>
          </w:p>
        </w:tc>
        <w:tc>
          <w:tcPr>
            <w:tcW w:w="995" w:type="dxa"/>
            <w:tcBorders>
              <w:top w:val="single" w:sz="4" w:space="0" w:color="auto"/>
              <w:left w:val="nil"/>
              <w:right w:val="nil"/>
            </w:tcBorders>
            <w:shd w:val="clear" w:color="auto" w:fill="F2F2F2" w:themeFill="background1" w:themeFillShade="F2"/>
            <w:vAlign w:val="bottom"/>
          </w:tcPr>
          <w:p w14:paraId="3E0A337B" w14:textId="48CDAC6D" w:rsidR="00EE6B55" w:rsidRPr="004C7C84" w:rsidRDefault="00EE6B55" w:rsidP="00EE6B55">
            <w:pPr>
              <w:jc w:val="right"/>
              <w:rPr>
                <w:rFonts w:asciiTheme="minorHAnsi" w:hAnsiTheme="minorHAnsi" w:cs="Arial"/>
                <w:b/>
                <w:sz w:val="20"/>
                <w:szCs w:val="20"/>
              </w:rPr>
            </w:pPr>
          </w:p>
        </w:tc>
        <w:tc>
          <w:tcPr>
            <w:tcW w:w="1274" w:type="dxa"/>
            <w:tcBorders>
              <w:top w:val="single" w:sz="4" w:space="0" w:color="auto"/>
              <w:left w:val="nil"/>
              <w:right w:val="nil"/>
            </w:tcBorders>
            <w:vAlign w:val="bottom"/>
          </w:tcPr>
          <w:p w14:paraId="2A21F2F7" w14:textId="69029626" w:rsidR="00EE6B55" w:rsidRPr="00790F6F" w:rsidRDefault="00EE6B55" w:rsidP="00EE6B55">
            <w:pPr>
              <w:jc w:val="right"/>
              <w:rPr>
                <w:rFonts w:asciiTheme="minorHAnsi" w:hAnsiTheme="minorHAnsi" w:cs="Arial"/>
                <w:bCs/>
                <w:sz w:val="20"/>
                <w:szCs w:val="20"/>
              </w:rPr>
            </w:pPr>
          </w:p>
        </w:tc>
        <w:tc>
          <w:tcPr>
            <w:tcW w:w="1132" w:type="dxa"/>
            <w:tcBorders>
              <w:top w:val="single" w:sz="4" w:space="0" w:color="auto"/>
              <w:left w:val="nil"/>
              <w:right w:val="nil"/>
            </w:tcBorders>
            <w:vAlign w:val="bottom"/>
          </w:tcPr>
          <w:p w14:paraId="7E2D76ED" w14:textId="557E4AA6" w:rsidR="00EE6B55" w:rsidRPr="00790F6F" w:rsidRDefault="00EE6B55" w:rsidP="00EE6B55">
            <w:pPr>
              <w:jc w:val="right"/>
              <w:rPr>
                <w:rFonts w:asciiTheme="minorHAnsi" w:hAnsiTheme="minorHAnsi" w:cs="Arial"/>
                <w:bCs/>
                <w:sz w:val="20"/>
                <w:szCs w:val="20"/>
              </w:rPr>
            </w:pPr>
          </w:p>
        </w:tc>
        <w:tc>
          <w:tcPr>
            <w:tcW w:w="824" w:type="dxa"/>
            <w:tcBorders>
              <w:top w:val="single" w:sz="4" w:space="0" w:color="auto"/>
              <w:left w:val="nil"/>
              <w:right w:val="nil"/>
            </w:tcBorders>
            <w:vAlign w:val="bottom"/>
          </w:tcPr>
          <w:p w14:paraId="574ABEC7" w14:textId="1BA2F42E" w:rsidR="00EE6B55" w:rsidRPr="00790F6F" w:rsidRDefault="00EE6B55" w:rsidP="00EE6B55">
            <w:pPr>
              <w:jc w:val="right"/>
              <w:rPr>
                <w:rFonts w:asciiTheme="minorHAnsi" w:hAnsiTheme="minorHAnsi" w:cs="Arial"/>
                <w:bCs/>
                <w:sz w:val="20"/>
                <w:szCs w:val="20"/>
              </w:rPr>
            </w:pPr>
          </w:p>
        </w:tc>
      </w:tr>
      <w:tr w:rsidR="000449F4" w:rsidRPr="004C7C84" w14:paraId="72320167" w14:textId="73AAFB46" w:rsidTr="003B7755">
        <w:trPr>
          <w:trHeight w:val="248"/>
        </w:trPr>
        <w:tc>
          <w:tcPr>
            <w:tcW w:w="3259" w:type="dxa"/>
            <w:vAlign w:val="bottom"/>
          </w:tcPr>
          <w:p w14:paraId="66D6C254" w14:textId="77777777" w:rsidR="002C1439" w:rsidRPr="00B97C61" w:rsidRDefault="002C1439" w:rsidP="002C1439">
            <w:pPr>
              <w:rPr>
                <w:rFonts w:asciiTheme="minorHAnsi" w:hAnsiTheme="minorHAnsi" w:cs="Arial"/>
                <w:sz w:val="20"/>
                <w:szCs w:val="20"/>
              </w:rPr>
            </w:pPr>
            <w:r w:rsidRPr="00B97C61">
              <w:rPr>
                <w:rFonts w:asciiTheme="minorHAnsi" w:hAnsiTheme="minorHAnsi" w:cs="Arial"/>
                <w:sz w:val="20"/>
                <w:szCs w:val="20"/>
              </w:rPr>
              <w:t>At 1 January</w:t>
            </w:r>
          </w:p>
        </w:tc>
        <w:tc>
          <w:tcPr>
            <w:tcW w:w="1274" w:type="dxa"/>
            <w:shd w:val="clear" w:color="auto" w:fill="F2F2F2" w:themeFill="background1" w:themeFillShade="F2"/>
            <w:vAlign w:val="bottom"/>
          </w:tcPr>
          <w:p w14:paraId="57EA0B9F" w14:textId="4710FBB4" w:rsidR="002C1439" w:rsidRPr="002C1439" w:rsidRDefault="002C1439" w:rsidP="002C1439">
            <w:pPr>
              <w:jc w:val="right"/>
              <w:rPr>
                <w:rFonts w:asciiTheme="minorHAnsi" w:hAnsiTheme="minorHAnsi" w:cs="Arial"/>
                <w:b/>
                <w:sz w:val="20"/>
                <w:szCs w:val="20"/>
              </w:rPr>
            </w:pPr>
            <w:r w:rsidRPr="002C1439">
              <w:rPr>
                <w:rFonts w:asciiTheme="minorHAnsi" w:hAnsiTheme="minorHAnsi" w:cs="Arial"/>
                <w:b/>
                <w:sz w:val="20"/>
                <w:szCs w:val="20"/>
              </w:rPr>
              <w:t>86.1</w:t>
            </w:r>
          </w:p>
        </w:tc>
        <w:tc>
          <w:tcPr>
            <w:tcW w:w="1132" w:type="dxa"/>
            <w:shd w:val="clear" w:color="auto" w:fill="F2F2F2" w:themeFill="background1" w:themeFillShade="F2"/>
            <w:vAlign w:val="bottom"/>
          </w:tcPr>
          <w:p w14:paraId="48CCBD4F" w14:textId="6A61F707" w:rsidR="002C1439" w:rsidRPr="002C1439" w:rsidRDefault="002C1439" w:rsidP="002C1439">
            <w:pPr>
              <w:jc w:val="right"/>
              <w:rPr>
                <w:rFonts w:asciiTheme="minorHAnsi" w:hAnsiTheme="minorHAnsi" w:cs="Arial"/>
                <w:b/>
                <w:sz w:val="20"/>
                <w:szCs w:val="20"/>
              </w:rPr>
            </w:pPr>
            <w:r w:rsidRPr="002C1439">
              <w:rPr>
                <w:rFonts w:asciiTheme="minorHAnsi" w:hAnsiTheme="minorHAnsi" w:cs="Arial"/>
                <w:b/>
                <w:sz w:val="20"/>
                <w:szCs w:val="20"/>
              </w:rPr>
              <w:t>8</w:t>
            </w:r>
            <w:r w:rsidR="00E26C56">
              <w:rPr>
                <w:rFonts w:asciiTheme="minorHAnsi" w:hAnsiTheme="minorHAnsi" w:cs="Arial"/>
                <w:b/>
                <w:sz w:val="20"/>
                <w:szCs w:val="20"/>
              </w:rPr>
              <w:t>2</w:t>
            </w:r>
            <w:r w:rsidRPr="002C1439">
              <w:rPr>
                <w:rFonts w:asciiTheme="minorHAnsi" w:hAnsiTheme="minorHAnsi" w:cs="Arial"/>
                <w:b/>
                <w:sz w:val="20"/>
                <w:szCs w:val="20"/>
              </w:rPr>
              <w:t>.1</w:t>
            </w:r>
          </w:p>
        </w:tc>
        <w:tc>
          <w:tcPr>
            <w:tcW w:w="995" w:type="dxa"/>
            <w:shd w:val="clear" w:color="auto" w:fill="F2F2F2" w:themeFill="background1" w:themeFillShade="F2"/>
            <w:vAlign w:val="bottom"/>
          </w:tcPr>
          <w:p w14:paraId="718764C6" w14:textId="1B0CEBDE" w:rsidR="002C1439" w:rsidRPr="002C1439" w:rsidRDefault="00E26C56" w:rsidP="002C1439">
            <w:pPr>
              <w:jc w:val="right"/>
              <w:rPr>
                <w:rFonts w:asciiTheme="minorHAnsi" w:hAnsiTheme="minorHAnsi" w:cs="Arial"/>
                <w:b/>
                <w:sz w:val="20"/>
                <w:szCs w:val="20"/>
              </w:rPr>
            </w:pPr>
            <w:r>
              <w:rPr>
                <w:rFonts w:asciiTheme="minorHAnsi" w:hAnsiTheme="minorHAnsi" w:cs="Arial"/>
                <w:b/>
                <w:sz w:val="20"/>
                <w:szCs w:val="20"/>
              </w:rPr>
              <w:t>168.2</w:t>
            </w:r>
          </w:p>
        </w:tc>
        <w:tc>
          <w:tcPr>
            <w:tcW w:w="1274" w:type="dxa"/>
            <w:vAlign w:val="bottom"/>
          </w:tcPr>
          <w:p w14:paraId="57AE7680" w14:textId="78A50DFB" w:rsidR="002C1439" w:rsidRPr="00D42DB7" w:rsidRDefault="002C1439" w:rsidP="002C1439">
            <w:pPr>
              <w:jc w:val="right"/>
              <w:rPr>
                <w:rFonts w:asciiTheme="minorHAnsi" w:hAnsiTheme="minorHAnsi" w:cs="Arial"/>
                <w:b/>
                <w:sz w:val="20"/>
                <w:szCs w:val="20"/>
              </w:rPr>
            </w:pPr>
            <w:r w:rsidRPr="00790F6F">
              <w:rPr>
                <w:rFonts w:asciiTheme="minorHAnsi" w:hAnsiTheme="minorHAnsi" w:cs="Arial"/>
                <w:bCs/>
                <w:sz w:val="20"/>
                <w:szCs w:val="20"/>
              </w:rPr>
              <w:t>86.1</w:t>
            </w:r>
          </w:p>
        </w:tc>
        <w:tc>
          <w:tcPr>
            <w:tcW w:w="1132" w:type="dxa"/>
            <w:vAlign w:val="bottom"/>
          </w:tcPr>
          <w:p w14:paraId="78AE1219" w14:textId="6F165B8E" w:rsidR="002C1439" w:rsidRPr="00D42DB7" w:rsidRDefault="002C1439" w:rsidP="002C1439">
            <w:pPr>
              <w:jc w:val="right"/>
              <w:rPr>
                <w:rFonts w:asciiTheme="minorHAnsi" w:hAnsiTheme="minorHAnsi" w:cs="Arial"/>
                <w:b/>
                <w:sz w:val="20"/>
                <w:szCs w:val="20"/>
              </w:rPr>
            </w:pPr>
            <w:r w:rsidRPr="00790F6F">
              <w:rPr>
                <w:rFonts w:asciiTheme="minorHAnsi" w:hAnsiTheme="minorHAnsi" w:cs="Arial"/>
                <w:bCs/>
                <w:sz w:val="20"/>
                <w:szCs w:val="20"/>
              </w:rPr>
              <w:t>85.1</w:t>
            </w:r>
          </w:p>
        </w:tc>
        <w:tc>
          <w:tcPr>
            <w:tcW w:w="824" w:type="dxa"/>
            <w:vAlign w:val="bottom"/>
          </w:tcPr>
          <w:p w14:paraId="6F1AC8B7" w14:textId="47C33CB7" w:rsidR="002C1439" w:rsidRPr="00D42DB7" w:rsidRDefault="002C1439" w:rsidP="002C1439">
            <w:pPr>
              <w:jc w:val="right"/>
              <w:rPr>
                <w:rFonts w:asciiTheme="minorHAnsi" w:hAnsiTheme="minorHAnsi" w:cs="Arial"/>
                <w:b/>
                <w:sz w:val="20"/>
                <w:szCs w:val="20"/>
              </w:rPr>
            </w:pPr>
            <w:r w:rsidRPr="00790F6F">
              <w:rPr>
                <w:rFonts w:asciiTheme="minorHAnsi" w:hAnsiTheme="minorHAnsi" w:cs="Arial"/>
                <w:bCs/>
                <w:sz w:val="20"/>
                <w:szCs w:val="20"/>
              </w:rPr>
              <w:t>171.2</w:t>
            </w:r>
          </w:p>
        </w:tc>
      </w:tr>
      <w:tr w:rsidR="00980963" w:rsidRPr="004C7C84" w14:paraId="58F78DD5" w14:textId="4B32C6FA" w:rsidTr="003B7755">
        <w:trPr>
          <w:trHeight w:val="248"/>
        </w:trPr>
        <w:tc>
          <w:tcPr>
            <w:tcW w:w="3259" w:type="dxa"/>
            <w:vAlign w:val="bottom"/>
          </w:tcPr>
          <w:p w14:paraId="036CC7D4" w14:textId="77777777" w:rsidR="00980963" w:rsidRPr="00B97C61" w:rsidRDefault="00980963" w:rsidP="00980963">
            <w:pPr>
              <w:rPr>
                <w:rFonts w:asciiTheme="minorHAnsi" w:hAnsiTheme="minorHAnsi" w:cs="Arial"/>
                <w:sz w:val="20"/>
                <w:szCs w:val="20"/>
              </w:rPr>
            </w:pPr>
            <w:r w:rsidRPr="00B97C61">
              <w:rPr>
                <w:rFonts w:asciiTheme="minorHAnsi" w:hAnsiTheme="minorHAnsi" w:cs="Arial"/>
                <w:sz w:val="20"/>
                <w:szCs w:val="20"/>
              </w:rPr>
              <w:t>Additions</w:t>
            </w:r>
          </w:p>
        </w:tc>
        <w:tc>
          <w:tcPr>
            <w:tcW w:w="1274" w:type="dxa"/>
            <w:shd w:val="clear" w:color="auto" w:fill="F2F2F2" w:themeFill="background1" w:themeFillShade="F2"/>
            <w:vAlign w:val="bottom"/>
          </w:tcPr>
          <w:p w14:paraId="7F3AC9C8" w14:textId="406BCFFE" w:rsidR="00980963" w:rsidRPr="00980963" w:rsidRDefault="00980963" w:rsidP="00980963">
            <w:pPr>
              <w:jc w:val="right"/>
              <w:rPr>
                <w:rFonts w:asciiTheme="minorHAnsi" w:hAnsiTheme="minorHAnsi" w:cs="Arial"/>
                <w:b/>
                <w:sz w:val="20"/>
                <w:szCs w:val="20"/>
              </w:rPr>
            </w:pPr>
            <w:r w:rsidRPr="00980963">
              <w:rPr>
                <w:rFonts w:asciiTheme="minorHAnsi" w:hAnsiTheme="minorHAnsi" w:cs="Arial"/>
                <w:b/>
                <w:sz w:val="20"/>
                <w:szCs w:val="20"/>
              </w:rPr>
              <w:t>-</w:t>
            </w:r>
          </w:p>
        </w:tc>
        <w:tc>
          <w:tcPr>
            <w:tcW w:w="1132" w:type="dxa"/>
            <w:shd w:val="clear" w:color="auto" w:fill="F2F2F2" w:themeFill="background1" w:themeFillShade="F2"/>
            <w:vAlign w:val="bottom"/>
          </w:tcPr>
          <w:p w14:paraId="0D5BFF96" w14:textId="13D9061A" w:rsidR="00980963" w:rsidRPr="002C1439" w:rsidRDefault="00ED1941" w:rsidP="00980963">
            <w:pPr>
              <w:jc w:val="right"/>
              <w:rPr>
                <w:rFonts w:asciiTheme="minorHAnsi" w:hAnsiTheme="minorHAnsi" w:cs="Arial"/>
                <w:b/>
                <w:sz w:val="20"/>
                <w:szCs w:val="20"/>
              </w:rPr>
            </w:pPr>
            <w:r w:rsidRPr="00327A1E">
              <w:rPr>
                <w:rFonts w:asciiTheme="minorHAnsi" w:hAnsiTheme="minorHAnsi" w:cs="Arial"/>
                <w:b/>
                <w:color w:val="000000" w:themeColor="text1"/>
                <w:sz w:val="20"/>
                <w:szCs w:val="20"/>
              </w:rPr>
              <w:t>7.3</w:t>
            </w:r>
          </w:p>
        </w:tc>
        <w:tc>
          <w:tcPr>
            <w:tcW w:w="995" w:type="dxa"/>
            <w:shd w:val="clear" w:color="auto" w:fill="F2F2F2" w:themeFill="background1" w:themeFillShade="F2"/>
            <w:vAlign w:val="bottom"/>
          </w:tcPr>
          <w:p w14:paraId="1D68CFC6" w14:textId="74C3CEC4" w:rsidR="00980963" w:rsidRPr="002C1439" w:rsidRDefault="00ED1941" w:rsidP="00980963">
            <w:pPr>
              <w:jc w:val="right"/>
              <w:rPr>
                <w:rFonts w:asciiTheme="minorHAnsi" w:hAnsiTheme="minorHAnsi" w:cs="Arial"/>
                <w:b/>
                <w:sz w:val="20"/>
                <w:szCs w:val="20"/>
              </w:rPr>
            </w:pPr>
            <w:r>
              <w:rPr>
                <w:rFonts w:asciiTheme="minorHAnsi" w:hAnsiTheme="minorHAnsi" w:cs="Arial"/>
                <w:b/>
                <w:sz w:val="20"/>
                <w:szCs w:val="20"/>
              </w:rPr>
              <w:t>7.3</w:t>
            </w:r>
          </w:p>
        </w:tc>
        <w:tc>
          <w:tcPr>
            <w:tcW w:w="1274" w:type="dxa"/>
            <w:vAlign w:val="bottom"/>
          </w:tcPr>
          <w:p w14:paraId="7FBE9CA9" w14:textId="27FD0223"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w:t>
            </w:r>
          </w:p>
        </w:tc>
        <w:tc>
          <w:tcPr>
            <w:tcW w:w="1132" w:type="dxa"/>
            <w:vAlign w:val="bottom"/>
          </w:tcPr>
          <w:p w14:paraId="24F29D46" w14:textId="3047C166"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12.5</w:t>
            </w:r>
          </w:p>
        </w:tc>
        <w:tc>
          <w:tcPr>
            <w:tcW w:w="824" w:type="dxa"/>
            <w:vAlign w:val="bottom"/>
          </w:tcPr>
          <w:p w14:paraId="520273D9" w14:textId="4BD320DF"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12.5</w:t>
            </w:r>
          </w:p>
        </w:tc>
      </w:tr>
      <w:tr w:rsidR="00980963" w:rsidRPr="004C7C84" w14:paraId="3467CDDD" w14:textId="709009D7" w:rsidTr="003B7755">
        <w:trPr>
          <w:trHeight w:val="248"/>
        </w:trPr>
        <w:tc>
          <w:tcPr>
            <w:tcW w:w="3259" w:type="dxa"/>
            <w:vAlign w:val="bottom"/>
          </w:tcPr>
          <w:p w14:paraId="2C091958" w14:textId="77777777" w:rsidR="00980963" w:rsidRPr="00B97C61" w:rsidRDefault="00980963" w:rsidP="00980963">
            <w:pPr>
              <w:rPr>
                <w:rFonts w:asciiTheme="minorHAnsi" w:hAnsiTheme="minorHAnsi" w:cs="Arial"/>
                <w:sz w:val="20"/>
                <w:szCs w:val="20"/>
              </w:rPr>
            </w:pPr>
            <w:r w:rsidRPr="00B97C61">
              <w:rPr>
                <w:rFonts w:asciiTheme="minorHAnsi" w:hAnsiTheme="minorHAnsi" w:cs="Arial"/>
                <w:sz w:val="20"/>
                <w:szCs w:val="20"/>
              </w:rPr>
              <w:t>Disposals</w:t>
            </w:r>
          </w:p>
        </w:tc>
        <w:tc>
          <w:tcPr>
            <w:tcW w:w="1274" w:type="dxa"/>
            <w:tcBorders>
              <w:bottom w:val="single" w:sz="4" w:space="0" w:color="auto"/>
            </w:tcBorders>
            <w:shd w:val="clear" w:color="auto" w:fill="F2F2F2" w:themeFill="background1" w:themeFillShade="F2"/>
            <w:vAlign w:val="bottom"/>
          </w:tcPr>
          <w:p w14:paraId="741E0D32" w14:textId="03171A32" w:rsidR="00980963" w:rsidRPr="00980963" w:rsidRDefault="00980963" w:rsidP="00980963">
            <w:pPr>
              <w:jc w:val="right"/>
              <w:rPr>
                <w:rFonts w:asciiTheme="minorHAnsi" w:hAnsiTheme="minorHAnsi" w:cs="Arial"/>
                <w:b/>
                <w:sz w:val="20"/>
                <w:szCs w:val="20"/>
              </w:rPr>
            </w:pPr>
            <w:r w:rsidRPr="00980963">
              <w:rPr>
                <w:rFonts w:asciiTheme="minorHAnsi" w:hAnsiTheme="minorHAnsi" w:cs="Arial"/>
                <w:b/>
                <w:sz w:val="20"/>
                <w:szCs w:val="20"/>
              </w:rPr>
              <w:t>-</w:t>
            </w:r>
          </w:p>
        </w:tc>
        <w:tc>
          <w:tcPr>
            <w:tcW w:w="1132" w:type="dxa"/>
            <w:tcBorders>
              <w:bottom w:val="single" w:sz="4" w:space="0" w:color="auto"/>
            </w:tcBorders>
            <w:shd w:val="clear" w:color="auto" w:fill="F2F2F2" w:themeFill="background1" w:themeFillShade="F2"/>
            <w:vAlign w:val="bottom"/>
          </w:tcPr>
          <w:p w14:paraId="3FED3B43" w14:textId="53C83F02" w:rsidR="00980963" w:rsidRPr="002C1439" w:rsidRDefault="00ED1941" w:rsidP="00980963">
            <w:pPr>
              <w:jc w:val="right"/>
              <w:rPr>
                <w:rFonts w:asciiTheme="minorHAnsi" w:hAnsiTheme="minorHAnsi" w:cs="Arial"/>
                <w:b/>
                <w:sz w:val="20"/>
                <w:szCs w:val="20"/>
              </w:rPr>
            </w:pPr>
            <w:r>
              <w:rPr>
                <w:rFonts w:asciiTheme="minorHAnsi" w:hAnsiTheme="minorHAnsi" w:cs="Arial"/>
                <w:b/>
                <w:sz w:val="20"/>
                <w:szCs w:val="20"/>
              </w:rPr>
              <w:t>(5.7)</w:t>
            </w:r>
          </w:p>
        </w:tc>
        <w:tc>
          <w:tcPr>
            <w:tcW w:w="995" w:type="dxa"/>
            <w:tcBorders>
              <w:bottom w:val="single" w:sz="4" w:space="0" w:color="auto"/>
            </w:tcBorders>
            <w:shd w:val="clear" w:color="auto" w:fill="F2F2F2" w:themeFill="background1" w:themeFillShade="F2"/>
            <w:vAlign w:val="bottom"/>
          </w:tcPr>
          <w:p w14:paraId="0B075C2C" w14:textId="4AC2E565" w:rsidR="00980963" w:rsidRPr="002C1439" w:rsidRDefault="00ED1941" w:rsidP="00980963">
            <w:pPr>
              <w:jc w:val="right"/>
              <w:rPr>
                <w:rFonts w:asciiTheme="minorHAnsi" w:hAnsiTheme="minorHAnsi" w:cs="Arial"/>
                <w:b/>
                <w:sz w:val="20"/>
                <w:szCs w:val="20"/>
              </w:rPr>
            </w:pPr>
            <w:r>
              <w:rPr>
                <w:rFonts w:asciiTheme="minorHAnsi" w:hAnsiTheme="minorHAnsi" w:cs="Arial"/>
                <w:b/>
                <w:sz w:val="20"/>
                <w:szCs w:val="20"/>
              </w:rPr>
              <w:t>(5.7)</w:t>
            </w:r>
          </w:p>
        </w:tc>
        <w:tc>
          <w:tcPr>
            <w:tcW w:w="1274" w:type="dxa"/>
            <w:tcBorders>
              <w:bottom w:val="single" w:sz="4" w:space="0" w:color="auto"/>
            </w:tcBorders>
            <w:vAlign w:val="bottom"/>
          </w:tcPr>
          <w:p w14:paraId="2DB021BF" w14:textId="7DA0FB67"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w:t>
            </w:r>
          </w:p>
        </w:tc>
        <w:tc>
          <w:tcPr>
            <w:tcW w:w="1132" w:type="dxa"/>
            <w:tcBorders>
              <w:bottom w:val="single" w:sz="4" w:space="0" w:color="auto"/>
            </w:tcBorders>
            <w:vAlign w:val="bottom"/>
          </w:tcPr>
          <w:p w14:paraId="15417C03" w14:textId="23D989F1"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(15.5)</w:t>
            </w:r>
          </w:p>
        </w:tc>
        <w:tc>
          <w:tcPr>
            <w:tcW w:w="824" w:type="dxa"/>
            <w:tcBorders>
              <w:bottom w:val="single" w:sz="4" w:space="0" w:color="auto"/>
            </w:tcBorders>
            <w:vAlign w:val="bottom"/>
          </w:tcPr>
          <w:p w14:paraId="007303C3" w14:textId="6B8DAF33"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(15.5)</w:t>
            </w:r>
          </w:p>
        </w:tc>
      </w:tr>
      <w:tr w:rsidR="00980963" w:rsidRPr="004C7C84" w14:paraId="43BF9A6C" w14:textId="57F86363" w:rsidTr="003B7755">
        <w:trPr>
          <w:trHeight w:val="248"/>
        </w:trPr>
        <w:tc>
          <w:tcPr>
            <w:tcW w:w="3259" w:type="dxa"/>
            <w:vAlign w:val="bottom"/>
          </w:tcPr>
          <w:p w14:paraId="0D5174E0" w14:textId="4B53D034" w:rsidR="00980963" w:rsidRPr="00B97C61" w:rsidRDefault="00980963" w:rsidP="00980963">
            <w:pPr>
              <w:ind w:left="142" w:hanging="142"/>
              <w:rPr>
                <w:rFonts w:asciiTheme="minorHAnsi" w:hAnsiTheme="minorHAnsi" w:cs="Arial"/>
                <w:sz w:val="20"/>
                <w:szCs w:val="20"/>
              </w:rPr>
            </w:pPr>
            <w:r w:rsidRPr="00B97C61">
              <w:rPr>
                <w:rFonts w:asciiTheme="minorHAnsi" w:hAnsiTheme="minorHAnsi" w:cs="Arial"/>
                <w:sz w:val="20"/>
                <w:szCs w:val="20"/>
              </w:rPr>
              <w:t xml:space="preserve">At </w:t>
            </w:r>
            <w:r>
              <w:rPr>
                <w:rFonts w:asciiTheme="minorHAnsi" w:hAnsiTheme="minorHAnsi" w:cs="Arial"/>
                <w:sz w:val="20"/>
                <w:szCs w:val="20"/>
              </w:rPr>
              <w:t>30 June/31 December</w:t>
            </w:r>
          </w:p>
        </w:tc>
        <w:tc>
          <w:tcPr>
            <w:tcW w:w="1274" w:type="dxa"/>
            <w:tcBorders>
              <w:top w:val="single" w:sz="4" w:space="0" w:color="auto"/>
              <w:bottom w:val="single" w:sz="4" w:space="0" w:color="auto"/>
            </w:tcBorders>
            <w:shd w:val="clear" w:color="auto" w:fill="F2F2F2" w:themeFill="background1" w:themeFillShade="F2"/>
            <w:vAlign w:val="bottom"/>
          </w:tcPr>
          <w:p w14:paraId="08FD63D6" w14:textId="28549841" w:rsidR="00980963" w:rsidRPr="00980963" w:rsidRDefault="00980963" w:rsidP="00980963">
            <w:pPr>
              <w:jc w:val="right"/>
              <w:rPr>
                <w:rFonts w:asciiTheme="minorHAnsi" w:hAnsiTheme="minorHAnsi" w:cs="Arial"/>
                <w:b/>
                <w:sz w:val="20"/>
                <w:szCs w:val="20"/>
              </w:rPr>
            </w:pPr>
            <w:r w:rsidRPr="00980963">
              <w:rPr>
                <w:rFonts w:asciiTheme="minorHAnsi" w:hAnsiTheme="minorHAnsi" w:cs="Arial"/>
                <w:b/>
                <w:sz w:val="20"/>
                <w:szCs w:val="20"/>
              </w:rPr>
              <w:t>86.1</w:t>
            </w:r>
          </w:p>
        </w:tc>
        <w:tc>
          <w:tcPr>
            <w:tcW w:w="1132" w:type="dxa"/>
            <w:tcBorders>
              <w:top w:val="single" w:sz="4" w:space="0" w:color="auto"/>
              <w:bottom w:val="single" w:sz="4" w:space="0" w:color="auto"/>
            </w:tcBorders>
            <w:shd w:val="clear" w:color="auto" w:fill="F2F2F2" w:themeFill="background1" w:themeFillShade="F2"/>
            <w:vAlign w:val="bottom"/>
          </w:tcPr>
          <w:p w14:paraId="7BEBAD87" w14:textId="6D5FC872" w:rsidR="00980963" w:rsidRPr="002C1439" w:rsidRDefault="000113DF" w:rsidP="00980963">
            <w:pPr>
              <w:jc w:val="right"/>
              <w:rPr>
                <w:rFonts w:asciiTheme="minorHAnsi" w:hAnsiTheme="minorHAnsi" w:cs="Arial"/>
                <w:b/>
                <w:sz w:val="20"/>
                <w:szCs w:val="20"/>
              </w:rPr>
            </w:pPr>
            <w:r>
              <w:rPr>
                <w:rFonts w:asciiTheme="minorHAnsi" w:hAnsiTheme="minorHAnsi" w:cs="Arial"/>
                <w:b/>
                <w:sz w:val="20"/>
                <w:szCs w:val="20"/>
              </w:rPr>
              <w:t>8</w:t>
            </w:r>
            <w:r w:rsidR="00E26C56">
              <w:rPr>
                <w:rFonts w:asciiTheme="minorHAnsi" w:hAnsiTheme="minorHAnsi" w:cs="Arial"/>
                <w:b/>
                <w:sz w:val="20"/>
                <w:szCs w:val="20"/>
              </w:rPr>
              <w:t>3</w:t>
            </w:r>
            <w:r>
              <w:rPr>
                <w:rFonts w:asciiTheme="minorHAnsi" w:hAnsiTheme="minorHAnsi" w:cs="Arial"/>
                <w:b/>
                <w:sz w:val="20"/>
                <w:szCs w:val="20"/>
              </w:rPr>
              <w:t>.7</w:t>
            </w:r>
          </w:p>
        </w:tc>
        <w:tc>
          <w:tcPr>
            <w:tcW w:w="995" w:type="dxa"/>
            <w:tcBorders>
              <w:top w:val="single" w:sz="4" w:space="0" w:color="auto"/>
              <w:bottom w:val="single" w:sz="4" w:space="0" w:color="auto"/>
            </w:tcBorders>
            <w:shd w:val="clear" w:color="auto" w:fill="F2F2F2" w:themeFill="background1" w:themeFillShade="F2"/>
            <w:vAlign w:val="bottom"/>
          </w:tcPr>
          <w:p w14:paraId="1B6D1B5E" w14:textId="328A04B5" w:rsidR="00980963" w:rsidRPr="002C1439" w:rsidRDefault="00DF4C60" w:rsidP="00980963">
            <w:pPr>
              <w:jc w:val="right"/>
              <w:rPr>
                <w:rFonts w:asciiTheme="minorHAnsi" w:hAnsiTheme="minorHAnsi" w:cs="Arial"/>
                <w:b/>
                <w:sz w:val="20"/>
                <w:szCs w:val="20"/>
              </w:rPr>
            </w:pPr>
            <w:r>
              <w:rPr>
                <w:rFonts w:asciiTheme="minorHAnsi" w:hAnsiTheme="minorHAnsi" w:cs="Arial"/>
                <w:b/>
                <w:sz w:val="20"/>
                <w:szCs w:val="20"/>
              </w:rPr>
              <w:t>169.8</w:t>
            </w:r>
          </w:p>
        </w:tc>
        <w:tc>
          <w:tcPr>
            <w:tcW w:w="1274" w:type="dxa"/>
            <w:tcBorders>
              <w:top w:val="single" w:sz="4" w:space="0" w:color="auto"/>
              <w:bottom w:val="single" w:sz="4" w:space="0" w:color="auto"/>
            </w:tcBorders>
            <w:vAlign w:val="bottom"/>
          </w:tcPr>
          <w:p w14:paraId="0405AFCE" w14:textId="358730C3"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86.1</w:t>
            </w:r>
          </w:p>
        </w:tc>
        <w:tc>
          <w:tcPr>
            <w:tcW w:w="1132" w:type="dxa"/>
            <w:tcBorders>
              <w:top w:val="single" w:sz="4" w:space="0" w:color="auto"/>
              <w:bottom w:val="single" w:sz="4" w:space="0" w:color="auto"/>
            </w:tcBorders>
            <w:vAlign w:val="bottom"/>
          </w:tcPr>
          <w:p w14:paraId="6F1998CD" w14:textId="1E667EC9"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82.1</w:t>
            </w:r>
          </w:p>
        </w:tc>
        <w:tc>
          <w:tcPr>
            <w:tcW w:w="824" w:type="dxa"/>
            <w:tcBorders>
              <w:top w:val="single" w:sz="4" w:space="0" w:color="auto"/>
              <w:bottom w:val="single" w:sz="4" w:space="0" w:color="auto"/>
            </w:tcBorders>
            <w:vAlign w:val="bottom"/>
          </w:tcPr>
          <w:p w14:paraId="21807F89" w14:textId="5D1AA59B"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168.2</w:t>
            </w:r>
          </w:p>
        </w:tc>
      </w:tr>
      <w:tr w:rsidR="000449F4" w:rsidRPr="004C7C84" w14:paraId="702806F5" w14:textId="73F5510D" w:rsidTr="003B7755">
        <w:trPr>
          <w:trHeight w:val="248"/>
        </w:trPr>
        <w:tc>
          <w:tcPr>
            <w:tcW w:w="3259" w:type="dxa"/>
            <w:vAlign w:val="bottom"/>
          </w:tcPr>
          <w:p w14:paraId="289400B2" w14:textId="77777777" w:rsidR="002C1439" w:rsidRPr="00B97C61" w:rsidRDefault="002C1439" w:rsidP="002C1439">
            <w:pPr>
              <w:ind w:left="142" w:hanging="142"/>
              <w:rPr>
                <w:rFonts w:asciiTheme="minorHAnsi" w:hAnsiTheme="minorHAnsi" w:cs="Arial"/>
                <w:sz w:val="20"/>
                <w:szCs w:val="20"/>
              </w:rPr>
            </w:pPr>
          </w:p>
        </w:tc>
        <w:tc>
          <w:tcPr>
            <w:tcW w:w="1274" w:type="dxa"/>
            <w:tcBorders>
              <w:top w:val="single" w:sz="4" w:space="0" w:color="auto"/>
            </w:tcBorders>
            <w:shd w:val="clear" w:color="auto" w:fill="F2F2F2" w:themeFill="background1" w:themeFillShade="F2"/>
            <w:vAlign w:val="bottom"/>
          </w:tcPr>
          <w:p w14:paraId="50EB6FE0" w14:textId="77777777" w:rsidR="002C1439" w:rsidRPr="002C1439" w:rsidRDefault="002C1439" w:rsidP="002C1439">
            <w:pPr>
              <w:jc w:val="right"/>
              <w:rPr>
                <w:rFonts w:asciiTheme="minorHAnsi" w:hAnsiTheme="minorHAnsi" w:cs="Arial"/>
                <w:b/>
                <w:sz w:val="20"/>
                <w:szCs w:val="20"/>
              </w:rPr>
            </w:pPr>
          </w:p>
        </w:tc>
        <w:tc>
          <w:tcPr>
            <w:tcW w:w="1132" w:type="dxa"/>
            <w:tcBorders>
              <w:top w:val="single" w:sz="4" w:space="0" w:color="auto"/>
            </w:tcBorders>
            <w:shd w:val="clear" w:color="auto" w:fill="F2F2F2" w:themeFill="background1" w:themeFillShade="F2"/>
            <w:vAlign w:val="bottom"/>
          </w:tcPr>
          <w:p w14:paraId="732FBB97" w14:textId="77777777" w:rsidR="002C1439" w:rsidRPr="002C1439" w:rsidRDefault="002C1439" w:rsidP="002C1439">
            <w:pPr>
              <w:jc w:val="right"/>
              <w:rPr>
                <w:rFonts w:asciiTheme="minorHAnsi" w:hAnsiTheme="minorHAnsi" w:cs="Arial"/>
                <w:b/>
                <w:sz w:val="20"/>
                <w:szCs w:val="20"/>
              </w:rPr>
            </w:pPr>
          </w:p>
        </w:tc>
        <w:tc>
          <w:tcPr>
            <w:tcW w:w="995" w:type="dxa"/>
            <w:tcBorders>
              <w:top w:val="single" w:sz="4" w:space="0" w:color="auto"/>
            </w:tcBorders>
            <w:shd w:val="clear" w:color="auto" w:fill="F2F2F2" w:themeFill="background1" w:themeFillShade="F2"/>
            <w:vAlign w:val="bottom"/>
          </w:tcPr>
          <w:p w14:paraId="093C7A2F" w14:textId="77777777" w:rsidR="002C1439" w:rsidRPr="002C1439" w:rsidRDefault="002C1439" w:rsidP="002C1439">
            <w:pPr>
              <w:jc w:val="right"/>
              <w:rPr>
                <w:rFonts w:asciiTheme="minorHAnsi" w:hAnsiTheme="minorHAnsi" w:cs="Arial"/>
                <w:b/>
                <w:sz w:val="20"/>
                <w:szCs w:val="20"/>
              </w:rPr>
            </w:pPr>
          </w:p>
        </w:tc>
        <w:tc>
          <w:tcPr>
            <w:tcW w:w="1274" w:type="dxa"/>
            <w:tcBorders>
              <w:top w:val="single" w:sz="4" w:space="0" w:color="auto"/>
            </w:tcBorders>
            <w:vAlign w:val="bottom"/>
          </w:tcPr>
          <w:p w14:paraId="6CE4A93D" w14:textId="77777777" w:rsidR="002C1439" w:rsidRPr="00D42DB7" w:rsidRDefault="002C1439" w:rsidP="002C1439">
            <w:pPr>
              <w:jc w:val="right"/>
              <w:rPr>
                <w:rFonts w:asciiTheme="minorHAnsi" w:hAnsiTheme="minorHAnsi" w:cs="Arial"/>
                <w:b/>
                <w:sz w:val="20"/>
                <w:szCs w:val="20"/>
              </w:rPr>
            </w:pPr>
          </w:p>
        </w:tc>
        <w:tc>
          <w:tcPr>
            <w:tcW w:w="1132" w:type="dxa"/>
            <w:tcBorders>
              <w:top w:val="single" w:sz="4" w:space="0" w:color="auto"/>
            </w:tcBorders>
            <w:vAlign w:val="bottom"/>
          </w:tcPr>
          <w:p w14:paraId="1C141286" w14:textId="77777777" w:rsidR="002C1439" w:rsidRPr="00D42DB7" w:rsidRDefault="002C1439" w:rsidP="002C1439">
            <w:pPr>
              <w:jc w:val="right"/>
              <w:rPr>
                <w:rFonts w:asciiTheme="minorHAnsi" w:hAnsiTheme="minorHAnsi" w:cs="Arial"/>
                <w:b/>
                <w:sz w:val="20"/>
                <w:szCs w:val="20"/>
              </w:rPr>
            </w:pPr>
          </w:p>
        </w:tc>
        <w:tc>
          <w:tcPr>
            <w:tcW w:w="824" w:type="dxa"/>
            <w:tcBorders>
              <w:top w:val="single" w:sz="4" w:space="0" w:color="auto"/>
            </w:tcBorders>
            <w:vAlign w:val="bottom"/>
          </w:tcPr>
          <w:p w14:paraId="610ADFEB" w14:textId="77777777" w:rsidR="002C1439" w:rsidRPr="00D42DB7" w:rsidRDefault="002C1439" w:rsidP="002C1439">
            <w:pPr>
              <w:jc w:val="right"/>
              <w:rPr>
                <w:rFonts w:asciiTheme="minorHAnsi" w:hAnsiTheme="minorHAnsi" w:cs="Arial"/>
                <w:b/>
                <w:sz w:val="20"/>
                <w:szCs w:val="20"/>
              </w:rPr>
            </w:pPr>
          </w:p>
        </w:tc>
      </w:tr>
      <w:tr w:rsidR="000449F4" w:rsidRPr="004C7C84" w14:paraId="7EEDBFBC" w14:textId="75A6E0E0" w:rsidTr="003B7755">
        <w:trPr>
          <w:trHeight w:val="248"/>
        </w:trPr>
        <w:tc>
          <w:tcPr>
            <w:tcW w:w="3259" w:type="dxa"/>
            <w:vAlign w:val="bottom"/>
          </w:tcPr>
          <w:p w14:paraId="4A9FD373" w14:textId="27AFEEAC" w:rsidR="002C1439" w:rsidRPr="00B97C61" w:rsidRDefault="002C1439" w:rsidP="002C1439">
            <w:pPr>
              <w:ind w:left="142" w:hanging="142"/>
              <w:rPr>
                <w:rFonts w:asciiTheme="minorHAnsi" w:hAnsiTheme="minorHAnsi" w:cs="Arial"/>
                <w:b/>
                <w:sz w:val="20"/>
                <w:szCs w:val="20"/>
              </w:rPr>
            </w:pPr>
            <w:r w:rsidRPr="00B97C61">
              <w:rPr>
                <w:rFonts w:asciiTheme="minorHAnsi" w:hAnsiTheme="minorHAnsi" w:cs="Arial"/>
                <w:b/>
                <w:sz w:val="20"/>
                <w:szCs w:val="20"/>
              </w:rPr>
              <w:t>Accumulated</w:t>
            </w:r>
            <w:r>
              <w:rPr>
                <w:rFonts w:asciiTheme="minorHAnsi" w:hAnsiTheme="minorHAnsi" w:cs="Arial"/>
                <w:b/>
                <w:sz w:val="20"/>
                <w:szCs w:val="20"/>
              </w:rPr>
              <w:t xml:space="preserve"> </w:t>
            </w:r>
            <w:r w:rsidRPr="00B97C61">
              <w:rPr>
                <w:rFonts w:asciiTheme="minorHAnsi" w:hAnsiTheme="minorHAnsi" w:cs="Arial"/>
                <w:b/>
                <w:sz w:val="20"/>
                <w:szCs w:val="20"/>
              </w:rPr>
              <w:t>amortisation and</w:t>
            </w:r>
            <w:r w:rsidR="009B4C1D">
              <w:rPr>
                <w:rFonts w:asciiTheme="minorHAnsi" w:hAnsiTheme="minorHAnsi" w:cs="Arial"/>
                <w:b/>
                <w:sz w:val="20"/>
                <w:szCs w:val="20"/>
              </w:rPr>
              <w:t xml:space="preserve"> </w:t>
            </w:r>
            <w:r w:rsidRPr="00B97C61">
              <w:rPr>
                <w:rFonts w:asciiTheme="minorHAnsi" w:hAnsiTheme="minorHAnsi" w:cs="Arial"/>
                <w:b/>
                <w:sz w:val="20"/>
                <w:szCs w:val="20"/>
              </w:rPr>
              <w:t>impairment</w:t>
            </w:r>
          </w:p>
        </w:tc>
        <w:tc>
          <w:tcPr>
            <w:tcW w:w="1274" w:type="dxa"/>
            <w:shd w:val="clear" w:color="auto" w:fill="F2F2F2" w:themeFill="background1" w:themeFillShade="F2"/>
            <w:vAlign w:val="bottom"/>
          </w:tcPr>
          <w:p w14:paraId="707FB2B9" w14:textId="77777777" w:rsidR="002C1439" w:rsidRPr="002C1439" w:rsidRDefault="002C1439" w:rsidP="002C1439">
            <w:pPr>
              <w:jc w:val="right"/>
              <w:rPr>
                <w:rFonts w:asciiTheme="minorHAnsi" w:hAnsiTheme="minorHAnsi" w:cs="Arial"/>
                <w:b/>
                <w:sz w:val="20"/>
                <w:szCs w:val="20"/>
              </w:rPr>
            </w:pPr>
          </w:p>
        </w:tc>
        <w:tc>
          <w:tcPr>
            <w:tcW w:w="1132" w:type="dxa"/>
            <w:shd w:val="clear" w:color="auto" w:fill="F2F2F2" w:themeFill="background1" w:themeFillShade="F2"/>
            <w:vAlign w:val="bottom"/>
          </w:tcPr>
          <w:p w14:paraId="6DF85C24" w14:textId="77777777" w:rsidR="002C1439" w:rsidRPr="002C1439" w:rsidRDefault="002C1439" w:rsidP="002C1439">
            <w:pPr>
              <w:jc w:val="right"/>
              <w:rPr>
                <w:rFonts w:asciiTheme="minorHAnsi" w:hAnsiTheme="minorHAnsi" w:cs="Arial"/>
                <w:b/>
                <w:sz w:val="20"/>
                <w:szCs w:val="20"/>
              </w:rPr>
            </w:pPr>
          </w:p>
        </w:tc>
        <w:tc>
          <w:tcPr>
            <w:tcW w:w="995" w:type="dxa"/>
            <w:shd w:val="clear" w:color="auto" w:fill="F2F2F2" w:themeFill="background1" w:themeFillShade="F2"/>
            <w:vAlign w:val="bottom"/>
          </w:tcPr>
          <w:p w14:paraId="6BF3B182" w14:textId="77777777" w:rsidR="002C1439" w:rsidRPr="002C1439" w:rsidRDefault="002C1439" w:rsidP="002C1439">
            <w:pPr>
              <w:jc w:val="right"/>
              <w:rPr>
                <w:rFonts w:asciiTheme="minorHAnsi" w:hAnsiTheme="minorHAnsi" w:cs="Arial"/>
                <w:b/>
                <w:sz w:val="20"/>
                <w:szCs w:val="20"/>
              </w:rPr>
            </w:pPr>
          </w:p>
        </w:tc>
        <w:tc>
          <w:tcPr>
            <w:tcW w:w="1274" w:type="dxa"/>
            <w:vAlign w:val="bottom"/>
          </w:tcPr>
          <w:p w14:paraId="627CC8AA" w14:textId="63C88E20" w:rsidR="002C1439" w:rsidRPr="00D42DB7" w:rsidRDefault="002C1439" w:rsidP="002C1439">
            <w:pPr>
              <w:jc w:val="right"/>
              <w:rPr>
                <w:rFonts w:asciiTheme="minorHAnsi" w:hAnsiTheme="minorHAnsi" w:cs="Arial"/>
                <w:b/>
                <w:sz w:val="20"/>
                <w:szCs w:val="20"/>
              </w:rPr>
            </w:pPr>
          </w:p>
        </w:tc>
        <w:tc>
          <w:tcPr>
            <w:tcW w:w="1132" w:type="dxa"/>
            <w:vAlign w:val="bottom"/>
          </w:tcPr>
          <w:p w14:paraId="43EB5819" w14:textId="69685D1A" w:rsidR="002C1439" w:rsidRPr="00D42DB7" w:rsidRDefault="002C1439" w:rsidP="002C1439">
            <w:pPr>
              <w:jc w:val="right"/>
              <w:rPr>
                <w:rFonts w:asciiTheme="minorHAnsi" w:hAnsiTheme="minorHAnsi" w:cs="Arial"/>
                <w:b/>
                <w:sz w:val="20"/>
                <w:szCs w:val="20"/>
              </w:rPr>
            </w:pPr>
          </w:p>
        </w:tc>
        <w:tc>
          <w:tcPr>
            <w:tcW w:w="824" w:type="dxa"/>
            <w:vAlign w:val="bottom"/>
          </w:tcPr>
          <w:p w14:paraId="2DCE5952" w14:textId="446B74B0" w:rsidR="002C1439" w:rsidRPr="00D42DB7" w:rsidRDefault="002C1439" w:rsidP="002C1439">
            <w:pPr>
              <w:jc w:val="right"/>
              <w:rPr>
                <w:rFonts w:asciiTheme="minorHAnsi" w:hAnsiTheme="minorHAnsi" w:cs="Arial"/>
                <w:b/>
                <w:sz w:val="20"/>
                <w:szCs w:val="20"/>
              </w:rPr>
            </w:pPr>
          </w:p>
        </w:tc>
      </w:tr>
      <w:tr w:rsidR="000449F4" w:rsidRPr="004C7C84" w14:paraId="667C998F" w14:textId="694FF3EA" w:rsidTr="003B7755">
        <w:trPr>
          <w:trHeight w:val="248"/>
        </w:trPr>
        <w:tc>
          <w:tcPr>
            <w:tcW w:w="3259" w:type="dxa"/>
            <w:vAlign w:val="bottom"/>
          </w:tcPr>
          <w:p w14:paraId="01E184B7" w14:textId="77777777" w:rsidR="002C1439" w:rsidRPr="00B97C61" w:rsidRDefault="002C1439" w:rsidP="002C1439">
            <w:pPr>
              <w:rPr>
                <w:rFonts w:asciiTheme="minorHAnsi" w:hAnsiTheme="minorHAnsi" w:cs="Arial"/>
                <w:sz w:val="20"/>
                <w:szCs w:val="20"/>
              </w:rPr>
            </w:pPr>
            <w:r w:rsidRPr="00B97C61">
              <w:rPr>
                <w:rFonts w:asciiTheme="minorHAnsi" w:hAnsiTheme="minorHAnsi" w:cs="Arial"/>
                <w:sz w:val="20"/>
                <w:szCs w:val="20"/>
              </w:rPr>
              <w:t>At 1 January</w:t>
            </w:r>
          </w:p>
        </w:tc>
        <w:tc>
          <w:tcPr>
            <w:tcW w:w="1274" w:type="dxa"/>
            <w:shd w:val="clear" w:color="auto" w:fill="F2F2F2" w:themeFill="background1" w:themeFillShade="F2"/>
            <w:vAlign w:val="bottom"/>
          </w:tcPr>
          <w:p w14:paraId="43AD05DF" w14:textId="17B0E5E2" w:rsidR="002C1439" w:rsidRPr="002C1439" w:rsidRDefault="002C1439" w:rsidP="002C1439">
            <w:pPr>
              <w:jc w:val="right"/>
              <w:rPr>
                <w:rFonts w:asciiTheme="minorHAnsi" w:hAnsiTheme="minorHAnsi" w:cs="Arial"/>
                <w:b/>
                <w:sz w:val="20"/>
                <w:szCs w:val="20"/>
              </w:rPr>
            </w:pPr>
            <w:r w:rsidRPr="002C1439">
              <w:rPr>
                <w:rFonts w:asciiTheme="minorHAnsi" w:hAnsiTheme="minorHAnsi" w:cs="Arial"/>
                <w:b/>
                <w:sz w:val="20"/>
                <w:szCs w:val="20"/>
              </w:rPr>
              <w:t>76.6</w:t>
            </w:r>
          </w:p>
        </w:tc>
        <w:tc>
          <w:tcPr>
            <w:tcW w:w="1132" w:type="dxa"/>
            <w:shd w:val="clear" w:color="auto" w:fill="F2F2F2" w:themeFill="background1" w:themeFillShade="F2"/>
            <w:vAlign w:val="bottom"/>
          </w:tcPr>
          <w:p w14:paraId="5FC707FD" w14:textId="1A9EAAEE" w:rsidR="002C1439" w:rsidRPr="002C1439" w:rsidRDefault="00DF4C60" w:rsidP="002C1439">
            <w:pPr>
              <w:jc w:val="right"/>
              <w:rPr>
                <w:rFonts w:asciiTheme="minorHAnsi" w:hAnsiTheme="minorHAnsi" w:cs="Arial"/>
                <w:b/>
                <w:sz w:val="20"/>
                <w:szCs w:val="20"/>
              </w:rPr>
            </w:pPr>
            <w:r>
              <w:rPr>
                <w:rFonts w:asciiTheme="minorHAnsi" w:hAnsiTheme="minorHAnsi" w:cs="Arial"/>
                <w:b/>
                <w:sz w:val="20"/>
                <w:szCs w:val="20"/>
              </w:rPr>
              <w:t>30.1</w:t>
            </w:r>
          </w:p>
        </w:tc>
        <w:tc>
          <w:tcPr>
            <w:tcW w:w="995" w:type="dxa"/>
            <w:shd w:val="clear" w:color="auto" w:fill="F2F2F2" w:themeFill="background1" w:themeFillShade="F2"/>
            <w:vAlign w:val="bottom"/>
          </w:tcPr>
          <w:p w14:paraId="718A6CCB" w14:textId="5F16F9B1" w:rsidR="002C1439" w:rsidRPr="002C1439" w:rsidRDefault="00DF4C60" w:rsidP="002C1439">
            <w:pPr>
              <w:jc w:val="right"/>
              <w:rPr>
                <w:rFonts w:asciiTheme="minorHAnsi" w:hAnsiTheme="minorHAnsi" w:cs="Arial"/>
                <w:b/>
                <w:sz w:val="20"/>
                <w:szCs w:val="20"/>
              </w:rPr>
            </w:pPr>
            <w:r>
              <w:rPr>
                <w:rFonts w:asciiTheme="minorHAnsi" w:hAnsiTheme="minorHAnsi" w:cs="Arial"/>
                <w:b/>
                <w:sz w:val="20"/>
                <w:szCs w:val="20"/>
              </w:rPr>
              <w:t>106.7</w:t>
            </w:r>
          </w:p>
        </w:tc>
        <w:tc>
          <w:tcPr>
            <w:tcW w:w="1274" w:type="dxa"/>
            <w:vAlign w:val="bottom"/>
          </w:tcPr>
          <w:p w14:paraId="6A195BCC" w14:textId="70EF9F62" w:rsidR="002C1439" w:rsidRPr="00790F6F" w:rsidRDefault="002C1439" w:rsidP="002C1439">
            <w:pPr>
              <w:jc w:val="right"/>
              <w:rPr>
                <w:rFonts w:asciiTheme="minorHAnsi" w:hAnsiTheme="minorHAnsi" w:cs="Arial"/>
                <w:bCs/>
                <w:sz w:val="20"/>
                <w:szCs w:val="20"/>
              </w:rPr>
            </w:pPr>
            <w:r w:rsidRPr="00790F6F">
              <w:rPr>
                <w:rFonts w:asciiTheme="minorHAnsi" w:hAnsiTheme="minorHAnsi" w:cs="Arial"/>
                <w:bCs/>
                <w:sz w:val="20"/>
                <w:szCs w:val="20"/>
              </w:rPr>
              <w:t>70.4</w:t>
            </w:r>
          </w:p>
        </w:tc>
        <w:tc>
          <w:tcPr>
            <w:tcW w:w="1132" w:type="dxa"/>
            <w:vAlign w:val="bottom"/>
          </w:tcPr>
          <w:p w14:paraId="30E17AB3" w14:textId="455F1EB9" w:rsidR="002C1439" w:rsidRPr="00790F6F" w:rsidRDefault="002C1439" w:rsidP="002C1439">
            <w:pPr>
              <w:jc w:val="right"/>
              <w:rPr>
                <w:rFonts w:asciiTheme="minorHAnsi" w:hAnsiTheme="minorHAnsi" w:cs="Arial"/>
                <w:bCs/>
                <w:sz w:val="20"/>
                <w:szCs w:val="20"/>
              </w:rPr>
            </w:pPr>
            <w:r w:rsidRPr="00790F6F">
              <w:rPr>
                <w:rFonts w:asciiTheme="minorHAnsi" w:hAnsiTheme="minorHAnsi" w:cs="Arial"/>
                <w:bCs/>
                <w:sz w:val="20"/>
                <w:szCs w:val="20"/>
              </w:rPr>
              <w:t>26.4</w:t>
            </w:r>
          </w:p>
        </w:tc>
        <w:tc>
          <w:tcPr>
            <w:tcW w:w="824" w:type="dxa"/>
            <w:vAlign w:val="bottom"/>
          </w:tcPr>
          <w:p w14:paraId="5DADBE43" w14:textId="0F30CD07" w:rsidR="002C1439" w:rsidRPr="00790F6F" w:rsidRDefault="002C1439" w:rsidP="002C1439">
            <w:pPr>
              <w:jc w:val="right"/>
              <w:rPr>
                <w:rFonts w:asciiTheme="minorHAnsi" w:hAnsiTheme="minorHAnsi" w:cs="Arial"/>
                <w:bCs/>
                <w:sz w:val="20"/>
                <w:szCs w:val="20"/>
              </w:rPr>
            </w:pPr>
            <w:r w:rsidRPr="00790F6F">
              <w:rPr>
                <w:rFonts w:asciiTheme="minorHAnsi" w:hAnsiTheme="minorHAnsi" w:cs="Arial"/>
                <w:bCs/>
                <w:sz w:val="20"/>
                <w:szCs w:val="20"/>
              </w:rPr>
              <w:t>96.8</w:t>
            </w:r>
          </w:p>
        </w:tc>
      </w:tr>
      <w:tr w:rsidR="000449F4" w:rsidRPr="004C7C84" w14:paraId="5E328E4D" w14:textId="5C976151" w:rsidTr="003B7755">
        <w:trPr>
          <w:trHeight w:val="248"/>
        </w:trPr>
        <w:tc>
          <w:tcPr>
            <w:tcW w:w="3259" w:type="dxa"/>
            <w:vAlign w:val="bottom"/>
          </w:tcPr>
          <w:p w14:paraId="551BFFDB" w14:textId="77777777" w:rsidR="002C1439" w:rsidRPr="00B97C61" w:rsidRDefault="002C1439" w:rsidP="002C1439">
            <w:pPr>
              <w:rPr>
                <w:rFonts w:asciiTheme="minorHAnsi" w:hAnsiTheme="minorHAnsi" w:cs="Arial"/>
                <w:sz w:val="20"/>
                <w:szCs w:val="20"/>
              </w:rPr>
            </w:pPr>
            <w:r w:rsidRPr="00B97C61">
              <w:rPr>
                <w:rFonts w:asciiTheme="minorHAnsi" w:hAnsiTheme="minorHAnsi" w:cs="Arial"/>
                <w:sz w:val="20"/>
                <w:szCs w:val="20"/>
              </w:rPr>
              <w:t>Charged to the income statement</w:t>
            </w:r>
          </w:p>
        </w:tc>
        <w:tc>
          <w:tcPr>
            <w:tcW w:w="1274" w:type="dxa"/>
            <w:shd w:val="clear" w:color="auto" w:fill="F2F2F2" w:themeFill="background1" w:themeFillShade="F2"/>
            <w:vAlign w:val="bottom"/>
          </w:tcPr>
          <w:p w14:paraId="2E334688" w14:textId="1BD96F82" w:rsidR="002C1439" w:rsidRPr="002C1439" w:rsidRDefault="00ED081B" w:rsidP="002C1439">
            <w:pPr>
              <w:jc w:val="right"/>
              <w:rPr>
                <w:rFonts w:asciiTheme="minorHAnsi" w:hAnsiTheme="minorHAnsi" w:cs="Arial"/>
                <w:b/>
                <w:sz w:val="20"/>
                <w:szCs w:val="20"/>
              </w:rPr>
            </w:pPr>
            <w:r>
              <w:rPr>
                <w:rFonts w:asciiTheme="minorHAnsi" w:hAnsiTheme="minorHAnsi" w:cs="Arial"/>
                <w:b/>
                <w:sz w:val="20"/>
                <w:szCs w:val="20"/>
              </w:rPr>
              <w:t>0.6</w:t>
            </w:r>
          </w:p>
        </w:tc>
        <w:tc>
          <w:tcPr>
            <w:tcW w:w="1132" w:type="dxa"/>
            <w:tcBorders>
              <w:bottom w:val="none" w:sz="12" w:space="0" w:color="000000" w:themeColor="text1"/>
            </w:tcBorders>
            <w:shd w:val="clear" w:color="auto" w:fill="F2F2F2" w:themeFill="background1" w:themeFillShade="F2"/>
            <w:vAlign w:val="bottom"/>
          </w:tcPr>
          <w:p w14:paraId="00259E4F" w14:textId="1EABBBF0" w:rsidR="002C1439" w:rsidRPr="002C1439" w:rsidRDefault="00110F60" w:rsidP="002C1439">
            <w:pPr>
              <w:jc w:val="right"/>
              <w:rPr>
                <w:rFonts w:asciiTheme="minorHAnsi" w:hAnsiTheme="minorHAnsi" w:cs="Arial"/>
                <w:b/>
                <w:sz w:val="20"/>
                <w:szCs w:val="20"/>
              </w:rPr>
            </w:pPr>
            <w:r>
              <w:rPr>
                <w:rFonts w:asciiTheme="minorHAnsi" w:hAnsiTheme="minorHAnsi" w:cs="Arial"/>
                <w:b/>
                <w:sz w:val="20"/>
                <w:szCs w:val="20"/>
              </w:rPr>
              <w:t>4.5</w:t>
            </w:r>
          </w:p>
        </w:tc>
        <w:tc>
          <w:tcPr>
            <w:tcW w:w="995" w:type="dxa"/>
            <w:tcBorders>
              <w:bottom w:val="none" w:sz="12" w:space="0" w:color="000000" w:themeColor="text1"/>
            </w:tcBorders>
            <w:shd w:val="clear" w:color="auto" w:fill="F2F2F2" w:themeFill="background1" w:themeFillShade="F2"/>
            <w:vAlign w:val="bottom"/>
          </w:tcPr>
          <w:p w14:paraId="3E36FA71" w14:textId="7579A3FA" w:rsidR="002C1439" w:rsidRPr="002C1439" w:rsidRDefault="00ED081B" w:rsidP="002C1439">
            <w:pPr>
              <w:jc w:val="right"/>
              <w:rPr>
                <w:rFonts w:asciiTheme="minorHAnsi" w:hAnsiTheme="minorHAnsi" w:cs="Arial"/>
                <w:b/>
                <w:sz w:val="20"/>
                <w:szCs w:val="20"/>
              </w:rPr>
            </w:pPr>
            <w:r>
              <w:rPr>
                <w:rFonts w:asciiTheme="minorHAnsi" w:hAnsiTheme="minorHAnsi" w:cs="Arial"/>
                <w:b/>
                <w:sz w:val="20"/>
                <w:szCs w:val="20"/>
              </w:rPr>
              <w:t>5.1</w:t>
            </w:r>
          </w:p>
        </w:tc>
        <w:tc>
          <w:tcPr>
            <w:tcW w:w="1274" w:type="dxa"/>
            <w:tcBorders>
              <w:bottom w:val="none" w:sz="12" w:space="0" w:color="000000" w:themeColor="text1"/>
            </w:tcBorders>
            <w:vAlign w:val="bottom"/>
          </w:tcPr>
          <w:p w14:paraId="26BAAD80" w14:textId="648EDFF2" w:rsidR="002C1439" w:rsidRPr="00D42DB7" w:rsidRDefault="002C1439" w:rsidP="002C1439">
            <w:pPr>
              <w:jc w:val="right"/>
              <w:rPr>
                <w:rFonts w:asciiTheme="minorHAnsi" w:hAnsiTheme="minorHAnsi" w:cs="Arial"/>
                <w:b/>
                <w:sz w:val="20"/>
                <w:szCs w:val="20"/>
              </w:rPr>
            </w:pPr>
            <w:r w:rsidRPr="00790F6F">
              <w:rPr>
                <w:rFonts w:asciiTheme="minorHAnsi" w:hAnsiTheme="minorHAnsi" w:cs="Arial"/>
                <w:bCs/>
                <w:sz w:val="20"/>
                <w:szCs w:val="20"/>
              </w:rPr>
              <w:t>6.2</w:t>
            </w:r>
          </w:p>
        </w:tc>
        <w:tc>
          <w:tcPr>
            <w:tcW w:w="1132" w:type="dxa"/>
            <w:tcBorders>
              <w:bottom w:val="none" w:sz="12" w:space="0" w:color="000000" w:themeColor="text1"/>
            </w:tcBorders>
            <w:vAlign w:val="bottom"/>
          </w:tcPr>
          <w:p w14:paraId="166BEDFE" w14:textId="1BBC9D20" w:rsidR="002C1439" w:rsidRPr="00D42DB7" w:rsidRDefault="002C1439" w:rsidP="002C1439">
            <w:pPr>
              <w:jc w:val="right"/>
              <w:rPr>
                <w:rFonts w:asciiTheme="minorHAnsi" w:hAnsiTheme="minorHAnsi" w:cs="Arial"/>
                <w:b/>
                <w:sz w:val="20"/>
                <w:szCs w:val="20"/>
              </w:rPr>
            </w:pPr>
            <w:r w:rsidRPr="00790F6F">
              <w:rPr>
                <w:rFonts w:asciiTheme="minorHAnsi" w:hAnsiTheme="minorHAnsi" w:cs="Arial"/>
                <w:bCs/>
                <w:sz w:val="20"/>
                <w:szCs w:val="20"/>
              </w:rPr>
              <w:t>10.7</w:t>
            </w:r>
          </w:p>
        </w:tc>
        <w:tc>
          <w:tcPr>
            <w:tcW w:w="824" w:type="dxa"/>
            <w:tcBorders>
              <w:bottom w:val="none" w:sz="12" w:space="0" w:color="000000" w:themeColor="text1"/>
            </w:tcBorders>
            <w:vAlign w:val="bottom"/>
          </w:tcPr>
          <w:p w14:paraId="0BE3F425" w14:textId="34DE4CC1" w:rsidR="002C1439" w:rsidRPr="00D42DB7" w:rsidRDefault="002C1439" w:rsidP="002C1439">
            <w:pPr>
              <w:jc w:val="right"/>
              <w:rPr>
                <w:rFonts w:asciiTheme="minorHAnsi" w:hAnsiTheme="minorHAnsi" w:cs="Arial"/>
                <w:b/>
                <w:sz w:val="20"/>
                <w:szCs w:val="20"/>
              </w:rPr>
            </w:pPr>
            <w:r w:rsidRPr="00790F6F">
              <w:rPr>
                <w:rFonts w:asciiTheme="minorHAnsi" w:hAnsiTheme="minorHAnsi" w:cs="Arial"/>
                <w:bCs/>
                <w:sz w:val="20"/>
                <w:szCs w:val="20"/>
              </w:rPr>
              <w:t>16.9</w:t>
            </w:r>
          </w:p>
        </w:tc>
      </w:tr>
      <w:tr w:rsidR="00980963" w:rsidRPr="004C7C84" w14:paraId="5C7268A5" w14:textId="54567497" w:rsidTr="003B7755">
        <w:trPr>
          <w:trHeight w:val="248"/>
        </w:trPr>
        <w:tc>
          <w:tcPr>
            <w:tcW w:w="3259" w:type="dxa"/>
            <w:vAlign w:val="bottom"/>
          </w:tcPr>
          <w:p w14:paraId="548A129D" w14:textId="77777777" w:rsidR="00980963" w:rsidRPr="009A011A" w:rsidRDefault="00980963" w:rsidP="00980963">
            <w:pPr>
              <w:rPr>
                <w:rFonts w:asciiTheme="minorHAnsi" w:hAnsiTheme="minorHAnsi" w:cs="Arial"/>
                <w:sz w:val="20"/>
                <w:szCs w:val="20"/>
              </w:rPr>
            </w:pPr>
            <w:r w:rsidRPr="009A011A">
              <w:rPr>
                <w:rFonts w:asciiTheme="minorHAnsi" w:hAnsiTheme="minorHAnsi" w:cs="Arial"/>
                <w:sz w:val="20"/>
                <w:szCs w:val="20"/>
              </w:rPr>
              <w:t>Impairment</w:t>
            </w:r>
          </w:p>
        </w:tc>
        <w:tc>
          <w:tcPr>
            <w:tcW w:w="1274" w:type="dxa"/>
            <w:tcBorders>
              <w:left w:val="nil"/>
              <w:bottom w:val="none" w:sz="4" w:space="0" w:color="000000" w:themeColor="text1"/>
              <w:right w:val="none" w:sz="12" w:space="0" w:color="000000" w:themeColor="text1"/>
            </w:tcBorders>
            <w:shd w:val="clear" w:color="auto" w:fill="F2F2F2" w:themeFill="background1" w:themeFillShade="F2"/>
            <w:vAlign w:val="bottom"/>
          </w:tcPr>
          <w:p w14:paraId="4FF8E76D" w14:textId="1B59AE04" w:rsidR="00980963" w:rsidRPr="00980963" w:rsidRDefault="00ED081B" w:rsidP="00980963">
            <w:pPr>
              <w:jc w:val="right"/>
              <w:rPr>
                <w:rFonts w:asciiTheme="minorHAnsi" w:hAnsiTheme="minorHAnsi" w:cs="Arial"/>
                <w:b/>
                <w:sz w:val="20"/>
                <w:szCs w:val="20"/>
              </w:rPr>
            </w:pPr>
            <w:r>
              <w:rPr>
                <w:rFonts w:asciiTheme="minorHAnsi" w:hAnsiTheme="minorHAnsi" w:cs="Arial"/>
                <w:b/>
                <w:sz w:val="20"/>
                <w:szCs w:val="20"/>
              </w:rPr>
              <w:t>-</w:t>
            </w:r>
          </w:p>
        </w:tc>
        <w:tc>
          <w:tcPr>
            <w:tcW w:w="1132" w:type="dxa"/>
            <w:tcBorders>
              <w:top w:val="none" w:sz="12" w:space="0" w:color="000000" w:themeColor="text1"/>
              <w:left w:val="none" w:sz="12" w:space="0" w:color="000000" w:themeColor="text1"/>
              <w:bottom w:val="none" w:sz="4" w:space="0" w:color="000000" w:themeColor="text1"/>
              <w:right w:val="none" w:sz="12" w:space="0" w:color="000000" w:themeColor="text1"/>
            </w:tcBorders>
            <w:shd w:val="clear" w:color="auto" w:fill="F2F2F2" w:themeFill="background1" w:themeFillShade="F2"/>
            <w:vAlign w:val="bottom"/>
          </w:tcPr>
          <w:p w14:paraId="1AD32B00" w14:textId="3D55B41D" w:rsidR="00980963" w:rsidRPr="002C1439" w:rsidRDefault="00C94955" w:rsidP="00980963">
            <w:pPr>
              <w:jc w:val="right"/>
              <w:rPr>
                <w:rFonts w:asciiTheme="minorHAnsi" w:hAnsiTheme="minorHAnsi" w:cs="Arial"/>
                <w:b/>
                <w:sz w:val="20"/>
                <w:szCs w:val="20"/>
              </w:rPr>
            </w:pPr>
            <w:r>
              <w:rPr>
                <w:rFonts w:asciiTheme="minorHAnsi" w:hAnsiTheme="minorHAnsi" w:cs="Arial"/>
                <w:b/>
                <w:sz w:val="20"/>
                <w:szCs w:val="20"/>
              </w:rPr>
              <w:t>-</w:t>
            </w:r>
          </w:p>
        </w:tc>
        <w:tc>
          <w:tcPr>
            <w:tcW w:w="995" w:type="dxa"/>
            <w:tcBorders>
              <w:top w:val="none" w:sz="12" w:space="0" w:color="000000" w:themeColor="text1"/>
              <w:left w:val="none" w:sz="12" w:space="0" w:color="000000" w:themeColor="text1"/>
              <w:bottom w:val="none" w:sz="4" w:space="0" w:color="000000" w:themeColor="text1"/>
              <w:right w:val="none" w:sz="12" w:space="0" w:color="000000" w:themeColor="text1"/>
            </w:tcBorders>
            <w:shd w:val="clear" w:color="auto" w:fill="F2F2F2" w:themeFill="background1" w:themeFillShade="F2"/>
            <w:vAlign w:val="bottom"/>
          </w:tcPr>
          <w:p w14:paraId="32254FC8" w14:textId="1BEB92C8" w:rsidR="00980963" w:rsidRPr="002C1439" w:rsidRDefault="00C94955" w:rsidP="00980963">
            <w:pPr>
              <w:jc w:val="right"/>
              <w:rPr>
                <w:rFonts w:asciiTheme="minorHAnsi" w:hAnsiTheme="minorHAnsi" w:cs="Arial"/>
                <w:b/>
                <w:sz w:val="20"/>
                <w:szCs w:val="20"/>
              </w:rPr>
            </w:pPr>
            <w:r>
              <w:rPr>
                <w:rFonts w:asciiTheme="minorHAnsi" w:hAnsiTheme="minorHAnsi" w:cs="Arial"/>
                <w:b/>
                <w:sz w:val="20"/>
                <w:szCs w:val="20"/>
              </w:rPr>
              <w:t>-</w:t>
            </w:r>
          </w:p>
        </w:tc>
        <w:tc>
          <w:tcPr>
            <w:tcW w:w="1274" w:type="dxa"/>
            <w:tcBorders>
              <w:top w:val="none" w:sz="12" w:space="0" w:color="000000" w:themeColor="text1"/>
              <w:left w:val="none" w:sz="12" w:space="0" w:color="000000" w:themeColor="text1"/>
              <w:bottom w:val="none" w:sz="4" w:space="0" w:color="000000" w:themeColor="text1"/>
              <w:right w:val="none" w:sz="12" w:space="0" w:color="000000" w:themeColor="text1"/>
            </w:tcBorders>
            <w:vAlign w:val="bottom"/>
          </w:tcPr>
          <w:p w14:paraId="01FB8FBE" w14:textId="7FBAB0E6" w:rsidR="00980963" w:rsidRPr="009A011A"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w:t>
            </w:r>
          </w:p>
        </w:tc>
        <w:tc>
          <w:tcPr>
            <w:tcW w:w="1132" w:type="dxa"/>
            <w:tcBorders>
              <w:top w:val="none" w:sz="12" w:space="0" w:color="000000" w:themeColor="text1"/>
              <w:left w:val="none" w:sz="12" w:space="0" w:color="000000" w:themeColor="text1"/>
              <w:bottom w:val="none" w:sz="4" w:space="0" w:color="000000" w:themeColor="text1"/>
              <w:right w:val="none" w:sz="12" w:space="0" w:color="000000" w:themeColor="text1"/>
            </w:tcBorders>
            <w:vAlign w:val="bottom"/>
          </w:tcPr>
          <w:p w14:paraId="733785C3" w14:textId="724629DD" w:rsidR="00980963" w:rsidRPr="009A011A"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8.5</w:t>
            </w:r>
          </w:p>
        </w:tc>
        <w:tc>
          <w:tcPr>
            <w:tcW w:w="824" w:type="dxa"/>
            <w:tcBorders>
              <w:top w:val="none" w:sz="12" w:space="0" w:color="000000" w:themeColor="text1"/>
              <w:left w:val="none" w:sz="12" w:space="0" w:color="000000" w:themeColor="text1"/>
              <w:bottom w:val="none" w:sz="4" w:space="0" w:color="000000" w:themeColor="text1"/>
              <w:right w:val="none" w:sz="12" w:space="0" w:color="000000" w:themeColor="text1"/>
            </w:tcBorders>
            <w:vAlign w:val="bottom"/>
          </w:tcPr>
          <w:p w14:paraId="6B477A18" w14:textId="6BA7B282" w:rsidR="00980963" w:rsidRPr="009A011A"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8.5</w:t>
            </w:r>
          </w:p>
        </w:tc>
      </w:tr>
      <w:tr w:rsidR="00980963" w:rsidRPr="004C7C84" w14:paraId="26F2309A" w14:textId="48C6967F" w:rsidTr="003B7755">
        <w:trPr>
          <w:trHeight w:val="248"/>
        </w:trPr>
        <w:tc>
          <w:tcPr>
            <w:tcW w:w="3259" w:type="dxa"/>
            <w:vAlign w:val="bottom"/>
          </w:tcPr>
          <w:p w14:paraId="2C257C9A" w14:textId="77777777" w:rsidR="00980963" w:rsidRPr="00B97C61" w:rsidRDefault="00980963" w:rsidP="00980963">
            <w:pPr>
              <w:rPr>
                <w:rFonts w:asciiTheme="minorHAnsi" w:hAnsiTheme="minorHAnsi" w:cs="Arial"/>
                <w:sz w:val="20"/>
                <w:szCs w:val="20"/>
              </w:rPr>
            </w:pPr>
            <w:r w:rsidRPr="00B97C61">
              <w:rPr>
                <w:rFonts w:asciiTheme="minorHAnsi" w:hAnsiTheme="minorHAnsi" w:cs="Arial"/>
                <w:sz w:val="20"/>
                <w:szCs w:val="20"/>
              </w:rPr>
              <w:t>Disposals</w:t>
            </w:r>
          </w:p>
        </w:tc>
        <w:tc>
          <w:tcPr>
            <w:tcW w:w="1274" w:type="dxa"/>
            <w:tcBorders>
              <w:top w:val="none" w:sz="4" w:space="0" w:color="000000" w:themeColor="text1"/>
              <w:left w:val="nil"/>
              <w:bottom w:val="single" w:sz="4" w:space="0" w:color="auto"/>
              <w:right w:val="nil"/>
            </w:tcBorders>
            <w:shd w:val="clear" w:color="auto" w:fill="F2F2F2" w:themeFill="background1" w:themeFillShade="F2"/>
            <w:vAlign w:val="bottom"/>
          </w:tcPr>
          <w:p w14:paraId="3529E0AF" w14:textId="5D99701F" w:rsidR="00980963" w:rsidRPr="00980963" w:rsidRDefault="00980963" w:rsidP="00980963">
            <w:pPr>
              <w:jc w:val="right"/>
              <w:rPr>
                <w:rFonts w:asciiTheme="minorHAnsi" w:hAnsiTheme="minorHAnsi" w:cs="Arial"/>
                <w:b/>
                <w:sz w:val="20"/>
                <w:szCs w:val="20"/>
              </w:rPr>
            </w:pPr>
            <w:r w:rsidRPr="00980963">
              <w:rPr>
                <w:rFonts w:asciiTheme="minorHAnsi" w:hAnsiTheme="minorHAnsi" w:cs="Arial"/>
                <w:b/>
                <w:sz w:val="20"/>
                <w:szCs w:val="20"/>
              </w:rPr>
              <w:t>-</w:t>
            </w:r>
          </w:p>
        </w:tc>
        <w:tc>
          <w:tcPr>
            <w:tcW w:w="1132" w:type="dxa"/>
            <w:tcBorders>
              <w:top w:val="none" w:sz="4" w:space="0" w:color="000000" w:themeColor="text1"/>
              <w:left w:val="nil"/>
              <w:bottom w:val="single" w:sz="4" w:space="0" w:color="auto"/>
              <w:right w:val="nil"/>
            </w:tcBorders>
            <w:shd w:val="clear" w:color="auto" w:fill="F2F2F2" w:themeFill="background1" w:themeFillShade="F2"/>
            <w:vAlign w:val="bottom"/>
          </w:tcPr>
          <w:p w14:paraId="229D7105" w14:textId="106562D0" w:rsidR="00980963" w:rsidRPr="002C1439" w:rsidRDefault="00B11081" w:rsidP="00980963">
            <w:pPr>
              <w:jc w:val="right"/>
              <w:rPr>
                <w:rFonts w:asciiTheme="minorHAnsi" w:hAnsiTheme="minorHAnsi" w:cs="Arial"/>
                <w:b/>
                <w:sz w:val="20"/>
                <w:szCs w:val="20"/>
              </w:rPr>
            </w:pPr>
            <w:r>
              <w:rPr>
                <w:rFonts w:asciiTheme="minorHAnsi" w:hAnsiTheme="minorHAnsi" w:cs="Arial"/>
                <w:b/>
                <w:sz w:val="20"/>
                <w:szCs w:val="20"/>
              </w:rPr>
              <w:t>(4.5)</w:t>
            </w:r>
          </w:p>
        </w:tc>
        <w:tc>
          <w:tcPr>
            <w:tcW w:w="995" w:type="dxa"/>
            <w:tcBorders>
              <w:top w:val="none" w:sz="4" w:space="0" w:color="000000" w:themeColor="text1"/>
              <w:left w:val="nil"/>
              <w:bottom w:val="single" w:sz="4" w:space="0" w:color="auto"/>
              <w:right w:val="nil"/>
            </w:tcBorders>
            <w:shd w:val="clear" w:color="auto" w:fill="F2F2F2" w:themeFill="background1" w:themeFillShade="F2"/>
            <w:vAlign w:val="bottom"/>
          </w:tcPr>
          <w:p w14:paraId="0D057F52" w14:textId="3E3E77EF" w:rsidR="00980963" w:rsidRPr="002C1439" w:rsidRDefault="00F2130A" w:rsidP="00980963">
            <w:pPr>
              <w:jc w:val="right"/>
              <w:rPr>
                <w:rFonts w:asciiTheme="minorHAnsi" w:hAnsiTheme="minorHAnsi" w:cs="Arial"/>
                <w:b/>
                <w:sz w:val="20"/>
                <w:szCs w:val="20"/>
              </w:rPr>
            </w:pPr>
            <w:r>
              <w:rPr>
                <w:rFonts w:asciiTheme="minorHAnsi" w:hAnsiTheme="minorHAnsi" w:cs="Arial"/>
                <w:b/>
                <w:sz w:val="20"/>
                <w:szCs w:val="20"/>
              </w:rPr>
              <w:t>(4.5)</w:t>
            </w:r>
          </w:p>
        </w:tc>
        <w:tc>
          <w:tcPr>
            <w:tcW w:w="1274" w:type="dxa"/>
            <w:tcBorders>
              <w:top w:val="none" w:sz="4" w:space="0" w:color="000000" w:themeColor="text1"/>
              <w:left w:val="nil"/>
              <w:bottom w:val="single" w:sz="4" w:space="0" w:color="auto"/>
              <w:right w:val="nil"/>
            </w:tcBorders>
            <w:vAlign w:val="bottom"/>
          </w:tcPr>
          <w:p w14:paraId="21F3AC2A" w14:textId="68AE7C65"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w:t>
            </w:r>
          </w:p>
        </w:tc>
        <w:tc>
          <w:tcPr>
            <w:tcW w:w="1132" w:type="dxa"/>
            <w:tcBorders>
              <w:top w:val="none" w:sz="4" w:space="0" w:color="000000" w:themeColor="text1"/>
              <w:left w:val="nil"/>
              <w:bottom w:val="single" w:sz="4" w:space="0" w:color="auto"/>
              <w:right w:val="nil"/>
            </w:tcBorders>
            <w:vAlign w:val="bottom"/>
          </w:tcPr>
          <w:p w14:paraId="666043DD" w14:textId="27B6FC19"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(15.5)</w:t>
            </w:r>
          </w:p>
        </w:tc>
        <w:tc>
          <w:tcPr>
            <w:tcW w:w="824" w:type="dxa"/>
            <w:tcBorders>
              <w:top w:val="none" w:sz="4" w:space="0" w:color="000000" w:themeColor="text1"/>
              <w:left w:val="nil"/>
              <w:bottom w:val="single" w:sz="4" w:space="0" w:color="auto"/>
              <w:right w:val="nil"/>
            </w:tcBorders>
            <w:vAlign w:val="bottom"/>
          </w:tcPr>
          <w:p w14:paraId="3C867B9E" w14:textId="2F9F3901" w:rsidR="00980963" w:rsidRPr="00D42DB7" w:rsidRDefault="00980963" w:rsidP="00980963">
            <w:pPr>
              <w:jc w:val="right"/>
              <w:rPr>
                <w:rFonts w:asciiTheme="minorHAnsi" w:hAnsiTheme="minorHAnsi" w:cs="Arial"/>
                <w:b/>
                <w:sz w:val="20"/>
                <w:szCs w:val="20"/>
              </w:rPr>
            </w:pPr>
            <w:r w:rsidRPr="00790F6F">
              <w:rPr>
                <w:rFonts w:asciiTheme="minorHAnsi" w:hAnsiTheme="minorHAnsi" w:cs="Arial"/>
                <w:bCs/>
                <w:sz w:val="20"/>
                <w:szCs w:val="20"/>
              </w:rPr>
              <w:t>(15.5)</w:t>
            </w:r>
          </w:p>
        </w:tc>
      </w:tr>
      <w:tr w:rsidR="000449F4" w:rsidRPr="004C7C84" w14:paraId="14887D4E" w14:textId="3F62DA78" w:rsidTr="003B7755">
        <w:trPr>
          <w:trHeight w:val="248"/>
        </w:trPr>
        <w:tc>
          <w:tcPr>
            <w:tcW w:w="3259" w:type="dxa"/>
            <w:vAlign w:val="bottom"/>
          </w:tcPr>
          <w:p w14:paraId="343F462F" w14:textId="289DEB32" w:rsidR="002C1439" w:rsidRPr="00B97C61" w:rsidRDefault="002C1439" w:rsidP="002C1439">
            <w:pPr>
              <w:rPr>
                <w:rFonts w:asciiTheme="minorHAnsi" w:hAnsiTheme="minorHAnsi" w:cs="Arial"/>
                <w:sz w:val="20"/>
                <w:szCs w:val="20"/>
              </w:rPr>
            </w:pPr>
            <w:r w:rsidRPr="00B97C61">
              <w:rPr>
                <w:rFonts w:asciiTheme="minorHAnsi" w:hAnsiTheme="minorHAnsi" w:cs="Arial"/>
                <w:sz w:val="20"/>
                <w:szCs w:val="20"/>
              </w:rPr>
              <w:t>At 3</w:t>
            </w:r>
            <w:r>
              <w:rPr>
                <w:rFonts w:asciiTheme="minorHAnsi" w:hAnsiTheme="minorHAnsi" w:cs="Arial"/>
                <w:sz w:val="20"/>
                <w:szCs w:val="20"/>
              </w:rPr>
              <w:t>0 June/31 December</w:t>
            </w:r>
          </w:p>
        </w:tc>
        <w:tc>
          <w:tcPr>
            <w:tcW w:w="1274" w:type="dxa"/>
            <w:tcBorders>
              <w:left w:val="nil"/>
              <w:bottom w:val="single" w:sz="4" w:space="0" w:color="auto"/>
              <w:right w:val="nil"/>
            </w:tcBorders>
            <w:shd w:val="clear" w:color="auto" w:fill="F2F2F2" w:themeFill="background1" w:themeFillShade="F2"/>
            <w:vAlign w:val="bottom"/>
          </w:tcPr>
          <w:p w14:paraId="7A74426D" w14:textId="43FDB873" w:rsidR="002C1439" w:rsidRPr="002C1439" w:rsidRDefault="00EF381E" w:rsidP="002C1439">
            <w:pPr>
              <w:jc w:val="right"/>
              <w:rPr>
                <w:rFonts w:asciiTheme="minorHAnsi" w:hAnsiTheme="minorHAnsi" w:cs="Arial"/>
                <w:b/>
                <w:sz w:val="20"/>
                <w:szCs w:val="20"/>
              </w:rPr>
            </w:pPr>
            <w:r>
              <w:rPr>
                <w:rFonts w:asciiTheme="minorHAnsi" w:hAnsiTheme="minorHAnsi" w:cs="Arial"/>
                <w:b/>
                <w:sz w:val="20"/>
                <w:szCs w:val="20"/>
              </w:rPr>
              <w:t>7</w:t>
            </w:r>
            <w:r w:rsidR="00ED1941">
              <w:rPr>
                <w:rFonts w:asciiTheme="minorHAnsi" w:hAnsiTheme="minorHAnsi" w:cs="Arial"/>
                <w:b/>
                <w:sz w:val="20"/>
                <w:szCs w:val="20"/>
              </w:rPr>
              <w:t>7.2</w:t>
            </w:r>
          </w:p>
        </w:tc>
        <w:tc>
          <w:tcPr>
            <w:tcW w:w="1132" w:type="dxa"/>
            <w:tcBorders>
              <w:left w:val="nil"/>
              <w:bottom w:val="single" w:sz="4" w:space="0" w:color="auto"/>
              <w:right w:val="nil"/>
            </w:tcBorders>
            <w:shd w:val="clear" w:color="auto" w:fill="F2F2F2" w:themeFill="background1" w:themeFillShade="F2"/>
            <w:vAlign w:val="bottom"/>
          </w:tcPr>
          <w:p w14:paraId="59254921" w14:textId="7F0C0DA0" w:rsidR="002C1439" w:rsidRPr="002C1439" w:rsidRDefault="00B11081" w:rsidP="002C1439">
            <w:pPr>
              <w:jc w:val="right"/>
              <w:rPr>
                <w:rFonts w:asciiTheme="minorHAnsi" w:hAnsiTheme="minorHAnsi" w:cs="Arial"/>
                <w:b/>
                <w:sz w:val="20"/>
                <w:szCs w:val="20"/>
              </w:rPr>
            </w:pPr>
            <w:r>
              <w:rPr>
                <w:rFonts w:asciiTheme="minorHAnsi" w:hAnsiTheme="minorHAnsi" w:cs="Arial"/>
                <w:b/>
                <w:sz w:val="20"/>
                <w:szCs w:val="20"/>
              </w:rPr>
              <w:t>30.</w:t>
            </w:r>
            <w:r w:rsidR="003A6E16">
              <w:rPr>
                <w:rFonts w:asciiTheme="minorHAnsi" w:hAnsiTheme="minorHAnsi" w:cs="Arial"/>
                <w:b/>
                <w:sz w:val="20"/>
                <w:szCs w:val="20"/>
              </w:rPr>
              <w:t>1</w:t>
            </w:r>
          </w:p>
        </w:tc>
        <w:tc>
          <w:tcPr>
            <w:tcW w:w="995" w:type="dxa"/>
            <w:tcBorders>
              <w:left w:val="nil"/>
              <w:bottom w:val="single" w:sz="4" w:space="0" w:color="auto"/>
              <w:right w:val="nil"/>
            </w:tcBorders>
            <w:shd w:val="clear" w:color="auto" w:fill="F2F2F2" w:themeFill="background1" w:themeFillShade="F2"/>
            <w:vAlign w:val="bottom"/>
          </w:tcPr>
          <w:p w14:paraId="067368CF" w14:textId="07F9133B" w:rsidR="002C1439" w:rsidRPr="002C1439" w:rsidRDefault="001478E2" w:rsidP="002C1439">
            <w:pPr>
              <w:jc w:val="right"/>
              <w:rPr>
                <w:rFonts w:asciiTheme="minorHAnsi" w:hAnsiTheme="minorHAnsi" w:cs="Arial"/>
                <w:b/>
                <w:sz w:val="20"/>
                <w:szCs w:val="20"/>
              </w:rPr>
            </w:pPr>
            <w:r>
              <w:rPr>
                <w:rFonts w:asciiTheme="minorHAnsi" w:hAnsiTheme="minorHAnsi" w:cs="Arial"/>
                <w:b/>
                <w:sz w:val="20"/>
                <w:szCs w:val="20"/>
              </w:rPr>
              <w:t>107.3</w:t>
            </w:r>
          </w:p>
        </w:tc>
        <w:tc>
          <w:tcPr>
            <w:tcW w:w="1274" w:type="dxa"/>
            <w:tcBorders>
              <w:left w:val="nil"/>
              <w:bottom w:val="single" w:sz="4" w:space="0" w:color="auto"/>
              <w:right w:val="nil"/>
            </w:tcBorders>
            <w:vAlign w:val="bottom"/>
          </w:tcPr>
          <w:p w14:paraId="46A0A908" w14:textId="0A5AB26F" w:rsidR="002C1439" w:rsidRPr="00D42DB7" w:rsidRDefault="002C1439" w:rsidP="002C1439">
            <w:pPr>
              <w:jc w:val="right"/>
              <w:rPr>
                <w:rFonts w:asciiTheme="minorHAnsi" w:hAnsiTheme="minorHAnsi" w:cs="Arial"/>
                <w:b/>
                <w:sz w:val="20"/>
                <w:szCs w:val="20"/>
              </w:rPr>
            </w:pPr>
            <w:r w:rsidRPr="00790F6F">
              <w:rPr>
                <w:rFonts w:asciiTheme="minorHAnsi" w:hAnsiTheme="minorHAnsi" w:cs="Arial"/>
                <w:bCs/>
                <w:sz w:val="20"/>
                <w:szCs w:val="20"/>
              </w:rPr>
              <w:t>76.6</w:t>
            </w:r>
          </w:p>
        </w:tc>
        <w:tc>
          <w:tcPr>
            <w:tcW w:w="1132" w:type="dxa"/>
            <w:tcBorders>
              <w:left w:val="nil"/>
              <w:bottom w:val="single" w:sz="4" w:space="0" w:color="auto"/>
              <w:right w:val="nil"/>
            </w:tcBorders>
            <w:vAlign w:val="bottom"/>
          </w:tcPr>
          <w:p w14:paraId="72487D95" w14:textId="547C0259" w:rsidR="002C1439" w:rsidRPr="00D42DB7" w:rsidRDefault="002C1439" w:rsidP="002C1439">
            <w:pPr>
              <w:jc w:val="right"/>
              <w:rPr>
                <w:rFonts w:asciiTheme="minorHAnsi" w:hAnsiTheme="minorHAnsi" w:cs="Arial"/>
                <w:b/>
                <w:sz w:val="20"/>
                <w:szCs w:val="20"/>
              </w:rPr>
            </w:pPr>
            <w:r w:rsidRPr="00790F6F">
              <w:rPr>
                <w:rFonts w:asciiTheme="minorHAnsi" w:hAnsiTheme="minorHAnsi" w:cs="Arial"/>
                <w:bCs/>
                <w:sz w:val="20"/>
                <w:szCs w:val="20"/>
              </w:rPr>
              <w:t>30.1</w:t>
            </w:r>
          </w:p>
        </w:tc>
        <w:tc>
          <w:tcPr>
            <w:tcW w:w="824" w:type="dxa"/>
            <w:tcBorders>
              <w:left w:val="nil"/>
              <w:bottom w:val="single" w:sz="4" w:space="0" w:color="auto"/>
              <w:right w:val="nil"/>
            </w:tcBorders>
            <w:vAlign w:val="bottom"/>
          </w:tcPr>
          <w:p w14:paraId="1273B2BD" w14:textId="3472E8C0" w:rsidR="002C1439" w:rsidRPr="00D42DB7" w:rsidRDefault="002C1439" w:rsidP="002C1439">
            <w:pPr>
              <w:jc w:val="right"/>
              <w:rPr>
                <w:rFonts w:asciiTheme="minorHAnsi" w:hAnsiTheme="minorHAnsi" w:cs="Arial"/>
                <w:b/>
                <w:sz w:val="20"/>
                <w:szCs w:val="20"/>
              </w:rPr>
            </w:pPr>
            <w:r w:rsidRPr="00790F6F">
              <w:rPr>
                <w:rFonts w:asciiTheme="minorHAnsi" w:hAnsiTheme="minorHAnsi" w:cs="Arial"/>
                <w:bCs/>
                <w:sz w:val="20"/>
                <w:szCs w:val="20"/>
              </w:rPr>
              <w:t>106.7</w:t>
            </w:r>
          </w:p>
        </w:tc>
      </w:tr>
      <w:tr w:rsidR="000449F4" w:rsidRPr="004C7C84" w14:paraId="19422968" w14:textId="736FD24C" w:rsidTr="003B7755">
        <w:trPr>
          <w:trHeight w:val="248"/>
        </w:trPr>
        <w:tc>
          <w:tcPr>
            <w:tcW w:w="3259" w:type="dxa"/>
            <w:vAlign w:val="bottom"/>
          </w:tcPr>
          <w:p w14:paraId="28F521EF" w14:textId="77777777" w:rsidR="002C1439" w:rsidRPr="00B97C61" w:rsidRDefault="002C1439" w:rsidP="002C1439">
            <w:pPr>
              <w:rPr>
                <w:rFonts w:asciiTheme="minorHAnsi" w:hAnsiTheme="minorHAnsi" w:cs="Arial"/>
                <w:b/>
                <w:sz w:val="20"/>
                <w:szCs w:val="20"/>
              </w:rPr>
            </w:pPr>
            <w:r w:rsidRPr="00B97C61">
              <w:rPr>
                <w:rFonts w:asciiTheme="minorHAnsi" w:hAnsiTheme="minorHAnsi" w:cs="Arial"/>
                <w:b/>
                <w:sz w:val="20"/>
                <w:szCs w:val="20"/>
              </w:rPr>
              <w:t>Net book value</w:t>
            </w:r>
          </w:p>
        </w:tc>
        <w:tc>
          <w:tcPr>
            <w:tcW w:w="1274" w:type="dxa"/>
            <w:tcBorders>
              <w:top w:val="nil"/>
              <w:left w:val="nil"/>
              <w:right w:val="nil"/>
            </w:tcBorders>
            <w:shd w:val="clear" w:color="auto" w:fill="F2F2F2" w:themeFill="background1" w:themeFillShade="F2"/>
            <w:vAlign w:val="bottom"/>
          </w:tcPr>
          <w:p w14:paraId="5F238CD6" w14:textId="77777777" w:rsidR="002C1439" w:rsidRPr="002C1439" w:rsidRDefault="002C1439" w:rsidP="002C1439">
            <w:pPr>
              <w:jc w:val="right"/>
              <w:rPr>
                <w:rFonts w:asciiTheme="minorHAnsi" w:hAnsiTheme="minorHAnsi" w:cs="Arial"/>
                <w:b/>
                <w:sz w:val="20"/>
                <w:szCs w:val="20"/>
              </w:rPr>
            </w:pPr>
          </w:p>
        </w:tc>
        <w:tc>
          <w:tcPr>
            <w:tcW w:w="1132" w:type="dxa"/>
            <w:tcBorders>
              <w:top w:val="nil"/>
              <w:left w:val="nil"/>
              <w:right w:val="nil"/>
            </w:tcBorders>
            <w:shd w:val="clear" w:color="auto" w:fill="F2F2F2" w:themeFill="background1" w:themeFillShade="F2"/>
            <w:vAlign w:val="bottom"/>
          </w:tcPr>
          <w:p w14:paraId="71DEE4BA" w14:textId="77777777" w:rsidR="002C1439" w:rsidRPr="002C1439" w:rsidRDefault="002C1439" w:rsidP="002C1439">
            <w:pPr>
              <w:jc w:val="right"/>
              <w:rPr>
                <w:rFonts w:asciiTheme="minorHAnsi" w:hAnsiTheme="minorHAnsi" w:cs="Arial"/>
                <w:b/>
                <w:sz w:val="20"/>
                <w:szCs w:val="20"/>
              </w:rPr>
            </w:pPr>
          </w:p>
        </w:tc>
        <w:tc>
          <w:tcPr>
            <w:tcW w:w="995" w:type="dxa"/>
            <w:tcBorders>
              <w:top w:val="nil"/>
              <w:left w:val="nil"/>
              <w:right w:val="nil"/>
            </w:tcBorders>
            <w:shd w:val="clear" w:color="auto" w:fill="F2F2F2" w:themeFill="background1" w:themeFillShade="F2"/>
            <w:vAlign w:val="bottom"/>
          </w:tcPr>
          <w:p w14:paraId="0EF99E7F" w14:textId="77777777" w:rsidR="002C1439" w:rsidRPr="002C1439" w:rsidRDefault="002C1439" w:rsidP="002C1439">
            <w:pPr>
              <w:jc w:val="right"/>
              <w:rPr>
                <w:rFonts w:asciiTheme="minorHAnsi" w:hAnsiTheme="minorHAnsi" w:cs="Arial"/>
                <w:b/>
                <w:sz w:val="20"/>
                <w:szCs w:val="20"/>
              </w:rPr>
            </w:pPr>
          </w:p>
        </w:tc>
        <w:tc>
          <w:tcPr>
            <w:tcW w:w="1274" w:type="dxa"/>
            <w:tcBorders>
              <w:top w:val="nil"/>
              <w:left w:val="nil"/>
              <w:right w:val="nil"/>
            </w:tcBorders>
            <w:vAlign w:val="bottom"/>
          </w:tcPr>
          <w:p w14:paraId="4A5104AE" w14:textId="68A830C8" w:rsidR="002C1439" w:rsidRPr="002C1439" w:rsidRDefault="002C1439" w:rsidP="002C1439">
            <w:pPr>
              <w:jc w:val="right"/>
              <w:rPr>
                <w:rFonts w:asciiTheme="minorHAnsi" w:hAnsiTheme="minorHAnsi" w:cs="Arial"/>
                <w:bCs/>
                <w:sz w:val="20"/>
                <w:szCs w:val="20"/>
              </w:rPr>
            </w:pPr>
          </w:p>
        </w:tc>
        <w:tc>
          <w:tcPr>
            <w:tcW w:w="1132" w:type="dxa"/>
            <w:tcBorders>
              <w:top w:val="nil"/>
              <w:left w:val="nil"/>
              <w:right w:val="nil"/>
            </w:tcBorders>
            <w:vAlign w:val="bottom"/>
          </w:tcPr>
          <w:p w14:paraId="7525C320" w14:textId="730A2E89" w:rsidR="002C1439" w:rsidRPr="002C1439" w:rsidRDefault="002C1439" w:rsidP="002C1439">
            <w:pPr>
              <w:jc w:val="right"/>
              <w:rPr>
                <w:rFonts w:asciiTheme="minorHAnsi" w:hAnsiTheme="minorHAnsi" w:cs="Arial"/>
                <w:bCs/>
                <w:sz w:val="20"/>
                <w:szCs w:val="20"/>
              </w:rPr>
            </w:pPr>
          </w:p>
        </w:tc>
        <w:tc>
          <w:tcPr>
            <w:tcW w:w="824" w:type="dxa"/>
            <w:tcBorders>
              <w:top w:val="nil"/>
              <w:left w:val="nil"/>
              <w:right w:val="nil"/>
            </w:tcBorders>
            <w:vAlign w:val="bottom"/>
          </w:tcPr>
          <w:p w14:paraId="0B063C82" w14:textId="2DE987C4" w:rsidR="002C1439" w:rsidRPr="002C1439" w:rsidRDefault="002C1439" w:rsidP="002C1439">
            <w:pPr>
              <w:jc w:val="right"/>
              <w:rPr>
                <w:rFonts w:asciiTheme="minorHAnsi" w:hAnsiTheme="minorHAnsi" w:cs="Arial"/>
                <w:bCs/>
                <w:sz w:val="20"/>
                <w:szCs w:val="20"/>
              </w:rPr>
            </w:pPr>
          </w:p>
        </w:tc>
      </w:tr>
      <w:tr w:rsidR="00DE64DB" w:rsidRPr="004C7C84" w14:paraId="6F858D9F" w14:textId="495D9DD4" w:rsidTr="003B7755">
        <w:trPr>
          <w:trHeight w:val="248"/>
        </w:trPr>
        <w:tc>
          <w:tcPr>
            <w:tcW w:w="3259" w:type="dxa"/>
            <w:vAlign w:val="bottom"/>
          </w:tcPr>
          <w:p w14:paraId="1A3B4842" w14:textId="3FA6F4C4" w:rsidR="00DE64DB" w:rsidRPr="00B97C61" w:rsidRDefault="00DE64DB" w:rsidP="00DE64DB">
            <w:pPr>
              <w:rPr>
                <w:rFonts w:asciiTheme="minorHAnsi" w:hAnsiTheme="minorHAnsi" w:cs="Arial"/>
                <w:sz w:val="20"/>
                <w:szCs w:val="20"/>
              </w:rPr>
            </w:pPr>
            <w:r w:rsidRPr="00B97C61">
              <w:rPr>
                <w:rFonts w:asciiTheme="minorHAnsi" w:hAnsiTheme="minorHAnsi" w:cs="Arial"/>
                <w:sz w:val="20"/>
                <w:szCs w:val="20"/>
              </w:rPr>
              <w:t>At 3</w:t>
            </w:r>
            <w:r>
              <w:rPr>
                <w:rFonts w:asciiTheme="minorHAnsi" w:hAnsiTheme="minorHAnsi" w:cs="Arial"/>
                <w:sz w:val="20"/>
                <w:szCs w:val="20"/>
              </w:rPr>
              <w:t>0 June</w:t>
            </w:r>
            <w:r w:rsidR="00167547">
              <w:rPr>
                <w:rFonts w:asciiTheme="minorHAnsi" w:hAnsiTheme="minorHAnsi" w:cs="Arial"/>
                <w:sz w:val="20"/>
                <w:szCs w:val="20"/>
              </w:rPr>
              <w:t>/31 December</w:t>
            </w:r>
          </w:p>
        </w:tc>
        <w:tc>
          <w:tcPr>
            <w:tcW w:w="1274" w:type="dxa"/>
            <w:tcBorders>
              <w:top w:val="nil"/>
              <w:left w:val="nil"/>
              <w:bottom w:val="single" w:sz="12" w:space="0" w:color="auto"/>
              <w:right w:val="nil"/>
            </w:tcBorders>
            <w:shd w:val="clear" w:color="auto" w:fill="F2F2F2" w:themeFill="background1" w:themeFillShade="F2"/>
            <w:vAlign w:val="bottom"/>
          </w:tcPr>
          <w:p w14:paraId="6F4FDEC5" w14:textId="2BD5BD04" w:rsidR="00DE64DB" w:rsidRPr="002C1439" w:rsidRDefault="00ED1941" w:rsidP="00DE64DB">
            <w:pPr>
              <w:jc w:val="right"/>
              <w:rPr>
                <w:rFonts w:asciiTheme="minorHAnsi" w:hAnsiTheme="minorHAnsi" w:cs="Arial"/>
                <w:b/>
                <w:sz w:val="20"/>
                <w:szCs w:val="20"/>
              </w:rPr>
            </w:pPr>
            <w:r>
              <w:rPr>
                <w:rFonts w:asciiTheme="minorHAnsi" w:hAnsiTheme="minorHAnsi" w:cs="Arial"/>
                <w:b/>
                <w:sz w:val="20"/>
                <w:szCs w:val="20"/>
              </w:rPr>
              <w:t>8.9</w:t>
            </w:r>
          </w:p>
        </w:tc>
        <w:tc>
          <w:tcPr>
            <w:tcW w:w="1132" w:type="dxa"/>
            <w:tcBorders>
              <w:top w:val="nil"/>
              <w:left w:val="nil"/>
              <w:bottom w:val="single" w:sz="12" w:space="0" w:color="auto"/>
              <w:right w:val="nil"/>
            </w:tcBorders>
            <w:shd w:val="clear" w:color="auto" w:fill="F2F2F2" w:themeFill="background1" w:themeFillShade="F2"/>
            <w:vAlign w:val="bottom"/>
          </w:tcPr>
          <w:p w14:paraId="662220C1" w14:textId="1E51A7A2" w:rsidR="00DE64DB" w:rsidRPr="002C1439" w:rsidRDefault="001478E2" w:rsidP="00DE64DB">
            <w:pPr>
              <w:jc w:val="right"/>
              <w:rPr>
                <w:rFonts w:asciiTheme="minorHAnsi" w:hAnsiTheme="minorHAnsi" w:cs="Arial"/>
                <w:b/>
                <w:sz w:val="20"/>
                <w:szCs w:val="20"/>
              </w:rPr>
            </w:pPr>
            <w:r>
              <w:rPr>
                <w:rFonts w:asciiTheme="minorHAnsi" w:hAnsiTheme="minorHAnsi" w:cs="Arial"/>
                <w:b/>
                <w:sz w:val="20"/>
                <w:szCs w:val="20"/>
              </w:rPr>
              <w:t>53.</w:t>
            </w:r>
            <w:r w:rsidR="009C6C65">
              <w:rPr>
                <w:rFonts w:asciiTheme="minorHAnsi" w:hAnsiTheme="minorHAnsi" w:cs="Arial"/>
                <w:b/>
                <w:sz w:val="20"/>
                <w:szCs w:val="20"/>
              </w:rPr>
              <w:t>6</w:t>
            </w:r>
          </w:p>
        </w:tc>
        <w:tc>
          <w:tcPr>
            <w:tcW w:w="995" w:type="dxa"/>
            <w:tcBorders>
              <w:top w:val="nil"/>
              <w:left w:val="nil"/>
              <w:bottom w:val="single" w:sz="12" w:space="0" w:color="auto"/>
              <w:right w:val="nil"/>
            </w:tcBorders>
            <w:shd w:val="clear" w:color="auto" w:fill="F2F2F2" w:themeFill="background1" w:themeFillShade="F2"/>
            <w:vAlign w:val="bottom"/>
          </w:tcPr>
          <w:p w14:paraId="464F6940" w14:textId="78553DED" w:rsidR="00DE64DB" w:rsidRPr="002C1439" w:rsidRDefault="009C6C65" w:rsidP="00DE64DB">
            <w:pPr>
              <w:jc w:val="right"/>
              <w:rPr>
                <w:rFonts w:asciiTheme="minorHAnsi" w:hAnsiTheme="minorHAnsi" w:cs="Arial"/>
                <w:b/>
                <w:sz w:val="20"/>
                <w:szCs w:val="20"/>
              </w:rPr>
            </w:pPr>
            <w:r>
              <w:rPr>
                <w:rFonts w:asciiTheme="minorHAnsi" w:hAnsiTheme="minorHAnsi" w:cs="Arial"/>
                <w:b/>
                <w:sz w:val="20"/>
                <w:szCs w:val="20"/>
              </w:rPr>
              <w:t>62.5</w:t>
            </w:r>
          </w:p>
        </w:tc>
        <w:tc>
          <w:tcPr>
            <w:tcW w:w="1274" w:type="dxa"/>
            <w:tcBorders>
              <w:top w:val="nil"/>
              <w:left w:val="nil"/>
              <w:bottom w:val="single" w:sz="12" w:space="0" w:color="auto"/>
              <w:right w:val="nil"/>
            </w:tcBorders>
            <w:vAlign w:val="bottom"/>
          </w:tcPr>
          <w:p w14:paraId="7257DEC5" w14:textId="29E478D8" w:rsidR="00DE64DB" w:rsidRPr="00D42DB7" w:rsidRDefault="00DE64DB" w:rsidP="00DE64DB">
            <w:pPr>
              <w:jc w:val="right"/>
              <w:rPr>
                <w:rFonts w:asciiTheme="minorHAnsi" w:hAnsiTheme="minorHAnsi" w:cs="Arial"/>
                <w:b/>
                <w:sz w:val="20"/>
                <w:szCs w:val="20"/>
              </w:rPr>
            </w:pPr>
            <w:r w:rsidRPr="002C1439">
              <w:rPr>
                <w:rFonts w:asciiTheme="minorHAnsi" w:hAnsiTheme="minorHAnsi" w:cs="Arial"/>
                <w:bCs/>
                <w:sz w:val="20"/>
                <w:szCs w:val="20"/>
              </w:rPr>
              <w:t>9.5</w:t>
            </w:r>
          </w:p>
        </w:tc>
        <w:tc>
          <w:tcPr>
            <w:tcW w:w="1132" w:type="dxa"/>
            <w:tcBorders>
              <w:top w:val="nil"/>
              <w:left w:val="nil"/>
              <w:bottom w:val="single" w:sz="12" w:space="0" w:color="auto"/>
              <w:right w:val="nil"/>
            </w:tcBorders>
            <w:vAlign w:val="bottom"/>
          </w:tcPr>
          <w:p w14:paraId="14A91C88" w14:textId="3CFCB483" w:rsidR="00DE64DB" w:rsidRPr="00D42DB7" w:rsidRDefault="00DE64DB" w:rsidP="00DE64DB">
            <w:pPr>
              <w:jc w:val="right"/>
              <w:rPr>
                <w:rFonts w:asciiTheme="minorHAnsi" w:hAnsiTheme="minorHAnsi" w:cs="Arial"/>
                <w:b/>
                <w:sz w:val="20"/>
                <w:szCs w:val="20"/>
              </w:rPr>
            </w:pPr>
            <w:r w:rsidRPr="002C1439">
              <w:rPr>
                <w:rFonts w:asciiTheme="minorHAnsi" w:hAnsiTheme="minorHAnsi" w:cs="Arial"/>
                <w:bCs/>
                <w:sz w:val="20"/>
                <w:szCs w:val="20"/>
              </w:rPr>
              <w:t>52.0</w:t>
            </w:r>
          </w:p>
        </w:tc>
        <w:tc>
          <w:tcPr>
            <w:tcW w:w="824" w:type="dxa"/>
            <w:tcBorders>
              <w:top w:val="nil"/>
              <w:left w:val="nil"/>
              <w:bottom w:val="single" w:sz="12" w:space="0" w:color="auto"/>
              <w:right w:val="nil"/>
            </w:tcBorders>
            <w:vAlign w:val="bottom"/>
          </w:tcPr>
          <w:p w14:paraId="263B1BE2" w14:textId="45A5C85A" w:rsidR="00DE64DB" w:rsidRPr="00D42DB7" w:rsidRDefault="00DE64DB" w:rsidP="00DE64DB">
            <w:pPr>
              <w:jc w:val="right"/>
              <w:rPr>
                <w:rFonts w:asciiTheme="minorHAnsi" w:hAnsiTheme="minorHAnsi" w:cs="Arial"/>
                <w:b/>
                <w:sz w:val="20"/>
                <w:szCs w:val="20"/>
              </w:rPr>
            </w:pPr>
            <w:r w:rsidRPr="002C1439">
              <w:rPr>
                <w:rFonts w:asciiTheme="minorHAnsi" w:hAnsiTheme="minorHAnsi" w:cs="Arial"/>
                <w:bCs/>
                <w:sz w:val="20"/>
                <w:szCs w:val="20"/>
              </w:rPr>
              <w:t>61.5</w:t>
            </w:r>
          </w:p>
        </w:tc>
      </w:tr>
      <w:tr w:rsidR="001E0359" w:rsidRPr="004C7C84" w14:paraId="0D51FDF7" w14:textId="33BE0CDD" w:rsidTr="003B7755">
        <w:trPr>
          <w:trHeight w:val="248"/>
        </w:trPr>
        <w:tc>
          <w:tcPr>
            <w:tcW w:w="3259" w:type="dxa"/>
            <w:vAlign w:val="bottom"/>
          </w:tcPr>
          <w:p w14:paraId="7196F0A3" w14:textId="77777777" w:rsidR="001E0359" w:rsidRPr="00B97C61" w:rsidRDefault="001E0359" w:rsidP="001E0359">
            <w:pPr>
              <w:rPr>
                <w:rFonts w:asciiTheme="minorHAnsi" w:hAnsiTheme="minorHAnsi" w:cs="Arial"/>
                <w:sz w:val="20"/>
                <w:szCs w:val="20"/>
              </w:rPr>
            </w:pPr>
            <w:r w:rsidRPr="00B97C61">
              <w:rPr>
                <w:rFonts w:asciiTheme="minorHAnsi" w:hAnsiTheme="minorHAnsi" w:cs="Arial"/>
                <w:sz w:val="20"/>
                <w:szCs w:val="20"/>
              </w:rPr>
              <w:t>At 1 January</w:t>
            </w:r>
          </w:p>
        </w:tc>
        <w:tc>
          <w:tcPr>
            <w:tcW w:w="1274" w:type="dxa"/>
            <w:tcBorders>
              <w:top w:val="single" w:sz="12" w:space="0" w:color="auto"/>
              <w:left w:val="nil"/>
              <w:bottom w:val="single" w:sz="12" w:space="0" w:color="auto"/>
              <w:right w:val="nil"/>
            </w:tcBorders>
            <w:shd w:val="clear" w:color="auto" w:fill="F2F2F2" w:themeFill="background1" w:themeFillShade="F2"/>
            <w:vAlign w:val="bottom"/>
          </w:tcPr>
          <w:p w14:paraId="469AA25D" w14:textId="64535F65" w:rsidR="001E0359" w:rsidRPr="002C1439" w:rsidRDefault="001E0359" w:rsidP="001E0359">
            <w:pPr>
              <w:jc w:val="right"/>
              <w:rPr>
                <w:rFonts w:asciiTheme="minorHAnsi" w:hAnsiTheme="minorHAnsi" w:cs="Arial"/>
                <w:b/>
                <w:sz w:val="20"/>
                <w:szCs w:val="20"/>
              </w:rPr>
            </w:pPr>
            <w:r w:rsidRPr="002C1439">
              <w:rPr>
                <w:rFonts w:asciiTheme="minorHAnsi" w:hAnsiTheme="minorHAnsi" w:cs="Arial"/>
                <w:bCs/>
                <w:sz w:val="20"/>
                <w:szCs w:val="20"/>
              </w:rPr>
              <w:t>9.5</w:t>
            </w:r>
          </w:p>
        </w:tc>
        <w:tc>
          <w:tcPr>
            <w:tcW w:w="1132" w:type="dxa"/>
            <w:tcBorders>
              <w:top w:val="single" w:sz="12" w:space="0" w:color="auto"/>
              <w:left w:val="nil"/>
              <w:bottom w:val="single" w:sz="12" w:space="0" w:color="auto"/>
              <w:right w:val="nil"/>
            </w:tcBorders>
            <w:shd w:val="clear" w:color="auto" w:fill="F2F2F2" w:themeFill="background1" w:themeFillShade="F2"/>
            <w:vAlign w:val="bottom"/>
          </w:tcPr>
          <w:p w14:paraId="35539B15" w14:textId="1855FBA1" w:rsidR="001E0359" w:rsidRPr="002C1439" w:rsidRDefault="001E0359" w:rsidP="001E0359">
            <w:pPr>
              <w:jc w:val="right"/>
              <w:rPr>
                <w:rFonts w:asciiTheme="minorHAnsi" w:hAnsiTheme="minorHAnsi" w:cs="Arial"/>
                <w:b/>
                <w:sz w:val="20"/>
                <w:szCs w:val="20"/>
              </w:rPr>
            </w:pPr>
            <w:r w:rsidRPr="002C1439">
              <w:rPr>
                <w:rFonts w:asciiTheme="minorHAnsi" w:hAnsiTheme="minorHAnsi" w:cs="Arial"/>
                <w:bCs/>
                <w:sz w:val="20"/>
                <w:szCs w:val="20"/>
              </w:rPr>
              <w:t>52.0</w:t>
            </w:r>
          </w:p>
        </w:tc>
        <w:tc>
          <w:tcPr>
            <w:tcW w:w="995" w:type="dxa"/>
            <w:tcBorders>
              <w:top w:val="single" w:sz="12" w:space="0" w:color="auto"/>
              <w:left w:val="nil"/>
              <w:bottom w:val="single" w:sz="12" w:space="0" w:color="auto"/>
              <w:right w:val="nil"/>
            </w:tcBorders>
            <w:shd w:val="clear" w:color="auto" w:fill="F2F2F2" w:themeFill="background1" w:themeFillShade="F2"/>
            <w:vAlign w:val="bottom"/>
          </w:tcPr>
          <w:p w14:paraId="6371518A" w14:textId="48961C56" w:rsidR="001E0359" w:rsidRPr="002C1439" w:rsidRDefault="001E0359" w:rsidP="001E0359">
            <w:pPr>
              <w:jc w:val="right"/>
              <w:rPr>
                <w:rFonts w:asciiTheme="minorHAnsi" w:hAnsiTheme="minorHAnsi" w:cs="Arial"/>
                <w:b/>
                <w:sz w:val="20"/>
                <w:szCs w:val="20"/>
              </w:rPr>
            </w:pPr>
            <w:r w:rsidRPr="002C1439">
              <w:rPr>
                <w:rFonts w:asciiTheme="minorHAnsi" w:hAnsiTheme="minorHAnsi" w:cs="Arial"/>
                <w:bCs/>
                <w:sz w:val="20"/>
                <w:szCs w:val="20"/>
              </w:rPr>
              <w:t>61.5</w:t>
            </w:r>
          </w:p>
        </w:tc>
        <w:tc>
          <w:tcPr>
            <w:tcW w:w="1274" w:type="dxa"/>
            <w:tcBorders>
              <w:top w:val="single" w:sz="12" w:space="0" w:color="auto"/>
              <w:left w:val="nil"/>
              <w:bottom w:val="single" w:sz="12" w:space="0" w:color="auto"/>
              <w:right w:val="nil"/>
            </w:tcBorders>
            <w:vAlign w:val="bottom"/>
          </w:tcPr>
          <w:p w14:paraId="601C4ADF" w14:textId="275FC9EB" w:rsidR="001E0359" w:rsidRPr="003844B8" w:rsidRDefault="001E0359" w:rsidP="001E0359">
            <w:pPr>
              <w:jc w:val="right"/>
              <w:rPr>
                <w:rFonts w:asciiTheme="minorHAnsi" w:hAnsiTheme="minorHAnsi" w:cs="Arial"/>
                <w:bCs/>
                <w:sz w:val="20"/>
                <w:szCs w:val="20"/>
              </w:rPr>
            </w:pPr>
            <w:r w:rsidRPr="00790F6F">
              <w:rPr>
                <w:rFonts w:asciiTheme="minorHAnsi" w:hAnsiTheme="minorHAnsi" w:cs="Arial"/>
                <w:bCs/>
                <w:sz w:val="20"/>
                <w:szCs w:val="20"/>
              </w:rPr>
              <w:t>15.7</w:t>
            </w:r>
          </w:p>
        </w:tc>
        <w:tc>
          <w:tcPr>
            <w:tcW w:w="1132" w:type="dxa"/>
            <w:tcBorders>
              <w:top w:val="single" w:sz="12" w:space="0" w:color="auto"/>
              <w:left w:val="nil"/>
              <w:bottom w:val="single" w:sz="12" w:space="0" w:color="auto"/>
              <w:right w:val="nil"/>
            </w:tcBorders>
            <w:vAlign w:val="bottom"/>
          </w:tcPr>
          <w:p w14:paraId="1FA16B89" w14:textId="34E1DBDA" w:rsidR="001E0359" w:rsidRPr="003844B8" w:rsidRDefault="001E0359" w:rsidP="001E0359">
            <w:pPr>
              <w:jc w:val="right"/>
              <w:rPr>
                <w:rFonts w:asciiTheme="minorHAnsi" w:hAnsiTheme="minorHAnsi" w:cs="Arial"/>
                <w:bCs/>
                <w:sz w:val="20"/>
                <w:szCs w:val="20"/>
              </w:rPr>
            </w:pPr>
            <w:r w:rsidRPr="00790F6F">
              <w:rPr>
                <w:rFonts w:asciiTheme="minorHAnsi" w:hAnsiTheme="minorHAnsi" w:cs="Arial"/>
                <w:bCs/>
                <w:sz w:val="20"/>
                <w:szCs w:val="20"/>
              </w:rPr>
              <w:t>58.7</w:t>
            </w:r>
          </w:p>
        </w:tc>
        <w:tc>
          <w:tcPr>
            <w:tcW w:w="824" w:type="dxa"/>
            <w:tcBorders>
              <w:top w:val="single" w:sz="12" w:space="0" w:color="auto"/>
              <w:left w:val="nil"/>
              <w:bottom w:val="single" w:sz="12" w:space="0" w:color="auto"/>
              <w:right w:val="nil"/>
            </w:tcBorders>
            <w:vAlign w:val="bottom"/>
          </w:tcPr>
          <w:p w14:paraId="719E7405" w14:textId="65BE0A6A" w:rsidR="001E0359" w:rsidRPr="003844B8" w:rsidRDefault="001E0359" w:rsidP="001E0359">
            <w:pPr>
              <w:jc w:val="right"/>
              <w:rPr>
                <w:rFonts w:asciiTheme="minorHAnsi" w:hAnsiTheme="minorHAnsi" w:cs="Arial"/>
                <w:bCs/>
                <w:sz w:val="20"/>
                <w:szCs w:val="20"/>
              </w:rPr>
            </w:pPr>
            <w:r w:rsidRPr="00790F6F">
              <w:rPr>
                <w:rFonts w:asciiTheme="minorHAnsi" w:hAnsiTheme="minorHAnsi" w:cs="Arial"/>
                <w:bCs/>
                <w:sz w:val="20"/>
                <w:szCs w:val="20"/>
              </w:rPr>
              <w:t>74.4</w:t>
            </w:r>
          </w:p>
        </w:tc>
      </w:tr>
    </w:tbl>
    <w:p w14:paraId="7619A7B3" w14:textId="77777777" w:rsidR="00A1425C" w:rsidRPr="00701439" w:rsidRDefault="00A1425C" w:rsidP="00A142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color w:val="4747FF"/>
          <w:sz w:val="22"/>
          <w:szCs w:val="22"/>
        </w:rPr>
      </w:pPr>
    </w:p>
    <w:p w14:paraId="3F051386" w14:textId="77777777" w:rsidR="00C0593E" w:rsidRDefault="00C0593E" w:rsidP="00A142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color w:val="4747FF"/>
          <w:sz w:val="22"/>
          <w:szCs w:val="22"/>
        </w:rPr>
      </w:pPr>
    </w:p>
    <w:p w14:paraId="1EEB4FE3" w14:textId="77777777" w:rsidR="00170439" w:rsidRDefault="00170439" w:rsidP="001704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b/>
          <w:color w:val="4747FF"/>
          <w:sz w:val="22"/>
          <w:szCs w:val="22"/>
        </w:rPr>
      </w:pPr>
    </w:p>
    <w:tbl>
      <w:tblPr>
        <w:tblW w:w="10058" w:type="dxa"/>
        <w:tblLook w:val="0000" w:firstRow="0" w:lastRow="0" w:firstColumn="0" w:lastColumn="0" w:noHBand="0" w:noVBand="0"/>
      </w:tblPr>
      <w:tblGrid>
        <w:gridCol w:w="6684"/>
        <w:gridCol w:w="1380"/>
        <w:gridCol w:w="1041"/>
        <w:gridCol w:w="953"/>
      </w:tblGrid>
      <w:tr w:rsidR="000B00AD" w:rsidRPr="004C7C84" w14:paraId="33320282" w14:textId="77777777" w:rsidTr="003B7755">
        <w:trPr>
          <w:trHeight w:val="382"/>
        </w:trPr>
        <w:tc>
          <w:tcPr>
            <w:tcW w:w="6684" w:type="dxa"/>
          </w:tcPr>
          <w:p w14:paraId="7691F040" w14:textId="77777777" w:rsidR="000B00AD" w:rsidRPr="00B97C61" w:rsidRDefault="000B00AD">
            <w:pPr>
              <w:rPr>
                <w:rFonts w:asciiTheme="minorHAnsi" w:hAnsiTheme="minorHAnsi" w:cs="Arial"/>
                <w:sz w:val="20"/>
                <w:szCs w:val="20"/>
              </w:rPr>
            </w:pPr>
          </w:p>
        </w:tc>
        <w:tc>
          <w:tcPr>
            <w:tcW w:w="3374" w:type="dxa"/>
            <w:gridSpan w:val="3"/>
            <w:tcBorders>
              <w:top w:val="nil"/>
              <w:left w:val="nil"/>
              <w:right w:val="nil"/>
            </w:tcBorders>
            <w:vAlign w:val="bottom"/>
          </w:tcPr>
          <w:p w14:paraId="57BAC55A" w14:textId="096F8CAC" w:rsidR="000B00AD" w:rsidRPr="002F6001" w:rsidRDefault="000B00AD">
            <w:pPr>
              <w:jc w:val="center"/>
              <w:rPr>
                <w:rFonts w:asciiTheme="minorHAnsi" w:hAnsiTheme="minorHAnsi" w:cs="Arial"/>
                <w:b/>
                <w:sz w:val="20"/>
                <w:szCs w:val="20"/>
              </w:rPr>
            </w:pPr>
            <w:r w:rsidRPr="002F6001">
              <w:rPr>
                <w:rFonts w:asciiTheme="minorHAnsi" w:hAnsiTheme="minorHAnsi" w:cs="Arial"/>
                <w:b/>
                <w:sz w:val="20"/>
                <w:szCs w:val="20"/>
              </w:rPr>
              <w:t>3</w:t>
            </w:r>
            <w:r>
              <w:rPr>
                <w:rFonts w:asciiTheme="minorHAnsi" w:hAnsiTheme="minorHAnsi" w:cs="Arial"/>
                <w:b/>
                <w:sz w:val="20"/>
                <w:szCs w:val="20"/>
              </w:rPr>
              <w:t>0 June</w:t>
            </w:r>
            <w:r w:rsidRPr="002F6001">
              <w:rPr>
                <w:rFonts w:asciiTheme="minorHAnsi" w:hAnsiTheme="minorHAnsi" w:cs="Arial"/>
                <w:b/>
                <w:sz w:val="20"/>
                <w:szCs w:val="20"/>
              </w:rPr>
              <w:t xml:space="preserve"> 202</w:t>
            </w:r>
            <w:r>
              <w:rPr>
                <w:rFonts w:asciiTheme="minorHAnsi" w:hAnsiTheme="minorHAnsi" w:cs="Arial"/>
                <w:b/>
                <w:sz w:val="20"/>
                <w:szCs w:val="20"/>
              </w:rPr>
              <w:t>4</w:t>
            </w:r>
            <w:r w:rsidR="007318F1">
              <w:rPr>
                <w:rFonts w:asciiTheme="minorHAnsi" w:hAnsiTheme="minorHAnsi" w:cs="Arial"/>
                <w:b/>
                <w:sz w:val="20"/>
                <w:szCs w:val="20"/>
              </w:rPr>
              <w:t xml:space="preserve"> unaudited</w:t>
            </w:r>
          </w:p>
        </w:tc>
      </w:tr>
      <w:tr w:rsidR="000B00AD" w:rsidRPr="004C7C84" w14:paraId="60840127" w14:textId="77777777" w:rsidTr="003B7755">
        <w:trPr>
          <w:trHeight w:val="252"/>
        </w:trPr>
        <w:tc>
          <w:tcPr>
            <w:tcW w:w="6684" w:type="dxa"/>
          </w:tcPr>
          <w:p w14:paraId="209715E3" w14:textId="77777777" w:rsidR="000B00AD" w:rsidRPr="00B97C61" w:rsidRDefault="000B00AD">
            <w:pPr>
              <w:rPr>
                <w:rFonts w:asciiTheme="minorHAnsi" w:hAnsiTheme="minorHAnsi" w:cs="Arial"/>
                <w:sz w:val="20"/>
                <w:szCs w:val="20"/>
              </w:rPr>
            </w:pPr>
          </w:p>
        </w:tc>
        <w:tc>
          <w:tcPr>
            <w:tcW w:w="1380" w:type="dxa"/>
            <w:tcBorders>
              <w:top w:val="nil"/>
              <w:left w:val="nil"/>
              <w:right w:val="nil"/>
            </w:tcBorders>
            <w:vAlign w:val="bottom"/>
          </w:tcPr>
          <w:p w14:paraId="5F2F6514" w14:textId="77777777" w:rsidR="000B00AD" w:rsidRPr="00EA4105" w:rsidRDefault="000B00AD">
            <w:pPr>
              <w:jc w:val="right"/>
              <w:rPr>
                <w:rFonts w:asciiTheme="minorHAnsi" w:hAnsiTheme="minorHAnsi" w:cs="Arial"/>
                <w:sz w:val="20"/>
                <w:szCs w:val="20"/>
              </w:rPr>
            </w:pPr>
            <w:r w:rsidRPr="00EA4105">
              <w:rPr>
                <w:rFonts w:asciiTheme="minorHAnsi" w:hAnsiTheme="minorHAnsi" w:cs="Arial"/>
                <w:sz w:val="20"/>
                <w:szCs w:val="20"/>
              </w:rPr>
              <w:t>Acquisition intangibles</w:t>
            </w:r>
          </w:p>
        </w:tc>
        <w:tc>
          <w:tcPr>
            <w:tcW w:w="1041" w:type="dxa"/>
            <w:tcBorders>
              <w:top w:val="nil"/>
              <w:left w:val="nil"/>
              <w:right w:val="nil"/>
            </w:tcBorders>
            <w:vAlign w:val="bottom"/>
          </w:tcPr>
          <w:p w14:paraId="38459246" w14:textId="77777777" w:rsidR="000B00AD" w:rsidRPr="00EA4105" w:rsidRDefault="000B00AD">
            <w:pPr>
              <w:jc w:val="right"/>
              <w:rPr>
                <w:rFonts w:asciiTheme="minorHAnsi" w:hAnsiTheme="minorHAnsi" w:cs="Arial"/>
                <w:sz w:val="20"/>
                <w:szCs w:val="20"/>
              </w:rPr>
            </w:pPr>
            <w:r w:rsidRPr="00EA4105">
              <w:rPr>
                <w:rFonts w:asciiTheme="minorHAnsi" w:hAnsiTheme="minorHAnsi" w:cs="Arial"/>
                <w:sz w:val="20"/>
                <w:szCs w:val="20"/>
              </w:rPr>
              <w:t xml:space="preserve">Computer software </w:t>
            </w:r>
          </w:p>
        </w:tc>
        <w:tc>
          <w:tcPr>
            <w:tcW w:w="953" w:type="dxa"/>
            <w:tcBorders>
              <w:top w:val="nil"/>
              <w:left w:val="nil"/>
              <w:right w:val="nil"/>
            </w:tcBorders>
            <w:vAlign w:val="bottom"/>
          </w:tcPr>
          <w:p w14:paraId="60095162" w14:textId="77777777" w:rsidR="000B00AD" w:rsidRPr="00EA4105" w:rsidRDefault="000B00AD">
            <w:pPr>
              <w:jc w:val="right"/>
              <w:rPr>
                <w:rFonts w:asciiTheme="minorHAnsi" w:hAnsiTheme="minorHAnsi" w:cs="Arial"/>
                <w:sz w:val="20"/>
                <w:szCs w:val="20"/>
              </w:rPr>
            </w:pPr>
            <w:r w:rsidRPr="00EA4105">
              <w:rPr>
                <w:rFonts w:asciiTheme="minorHAnsi" w:hAnsiTheme="minorHAnsi" w:cs="Arial"/>
                <w:sz w:val="20"/>
                <w:szCs w:val="20"/>
              </w:rPr>
              <w:t>Total</w:t>
            </w:r>
          </w:p>
        </w:tc>
      </w:tr>
      <w:tr w:rsidR="000B00AD" w:rsidRPr="004C7C84" w14:paraId="436F773D" w14:textId="77777777" w:rsidTr="003B7755">
        <w:trPr>
          <w:trHeight w:val="252"/>
        </w:trPr>
        <w:tc>
          <w:tcPr>
            <w:tcW w:w="6684" w:type="dxa"/>
          </w:tcPr>
          <w:p w14:paraId="432D2C3B" w14:textId="77777777" w:rsidR="000B00AD" w:rsidRPr="00B97C61" w:rsidRDefault="000B00AD">
            <w:pPr>
              <w:rPr>
                <w:rFonts w:asciiTheme="minorHAnsi" w:hAnsiTheme="minorHAnsi" w:cs="Arial"/>
                <w:sz w:val="20"/>
                <w:szCs w:val="20"/>
              </w:rPr>
            </w:pPr>
          </w:p>
        </w:tc>
        <w:tc>
          <w:tcPr>
            <w:tcW w:w="1380" w:type="dxa"/>
            <w:tcBorders>
              <w:left w:val="nil"/>
              <w:bottom w:val="single" w:sz="4" w:space="0" w:color="auto"/>
              <w:right w:val="nil"/>
            </w:tcBorders>
            <w:vAlign w:val="bottom"/>
          </w:tcPr>
          <w:p w14:paraId="37069EF6" w14:textId="77777777" w:rsidR="000B00AD" w:rsidRPr="00EA4105" w:rsidRDefault="000B00AD">
            <w:pPr>
              <w:jc w:val="right"/>
              <w:rPr>
                <w:rFonts w:asciiTheme="minorHAnsi" w:hAnsiTheme="minorHAnsi" w:cs="Arial"/>
                <w:sz w:val="20"/>
                <w:szCs w:val="20"/>
              </w:rPr>
            </w:pPr>
            <w:r w:rsidRPr="00EA4105">
              <w:rPr>
                <w:rFonts w:asciiTheme="minorHAnsi" w:hAnsiTheme="minorHAnsi" w:cs="Arial"/>
                <w:sz w:val="20"/>
                <w:szCs w:val="20"/>
              </w:rPr>
              <w:t>£m </w:t>
            </w:r>
          </w:p>
        </w:tc>
        <w:tc>
          <w:tcPr>
            <w:tcW w:w="1041" w:type="dxa"/>
            <w:tcBorders>
              <w:left w:val="nil"/>
              <w:bottom w:val="single" w:sz="4" w:space="0" w:color="auto"/>
              <w:right w:val="nil"/>
            </w:tcBorders>
            <w:vAlign w:val="bottom"/>
          </w:tcPr>
          <w:p w14:paraId="140D20CE" w14:textId="77777777" w:rsidR="000B00AD" w:rsidRPr="00EA4105" w:rsidRDefault="000B00AD">
            <w:pPr>
              <w:jc w:val="right"/>
              <w:rPr>
                <w:rFonts w:asciiTheme="minorHAnsi" w:hAnsiTheme="minorHAnsi" w:cs="Arial"/>
                <w:sz w:val="20"/>
                <w:szCs w:val="20"/>
              </w:rPr>
            </w:pPr>
            <w:r w:rsidRPr="00EA4105">
              <w:rPr>
                <w:rFonts w:asciiTheme="minorHAnsi" w:hAnsiTheme="minorHAnsi" w:cs="Arial"/>
                <w:sz w:val="20"/>
                <w:szCs w:val="20"/>
              </w:rPr>
              <w:t>£m </w:t>
            </w:r>
          </w:p>
        </w:tc>
        <w:tc>
          <w:tcPr>
            <w:tcW w:w="953" w:type="dxa"/>
            <w:tcBorders>
              <w:left w:val="nil"/>
              <w:bottom w:val="single" w:sz="4" w:space="0" w:color="auto"/>
              <w:right w:val="nil"/>
            </w:tcBorders>
            <w:vAlign w:val="bottom"/>
          </w:tcPr>
          <w:p w14:paraId="56B045B8" w14:textId="77777777" w:rsidR="000B00AD" w:rsidRPr="00EA4105" w:rsidRDefault="000B00AD">
            <w:pPr>
              <w:jc w:val="right"/>
              <w:rPr>
                <w:rFonts w:asciiTheme="minorHAnsi" w:hAnsiTheme="minorHAnsi" w:cs="Arial"/>
                <w:sz w:val="20"/>
                <w:szCs w:val="20"/>
              </w:rPr>
            </w:pPr>
            <w:r w:rsidRPr="00EA4105">
              <w:rPr>
                <w:rFonts w:asciiTheme="minorHAnsi" w:hAnsiTheme="minorHAnsi" w:cs="Arial"/>
                <w:sz w:val="20"/>
                <w:szCs w:val="20"/>
              </w:rPr>
              <w:t>£m </w:t>
            </w:r>
          </w:p>
        </w:tc>
      </w:tr>
      <w:tr w:rsidR="000B00AD" w:rsidRPr="004C7C84" w14:paraId="35775A23" w14:textId="77777777" w:rsidTr="003B7755">
        <w:trPr>
          <w:trHeight w:val="252"/>
        </w:trPr>
        <w:tc>
          <w:tcPr>
            <w:tcW w:w="6684" w:type="dxa"/>
            <w:vAlign w:val="bottom"/>
          </w:tcPr>
          <w:p w14:paraId="263E3F5F" w14:textId="77777777" w:rsidR="000B00AD" w:rsidRPr="00B97C61" w:rsidRDefault="000B00AD">
            <w:pPr>
              <w:rPr>
                <w:rFonts w:asciiTheme="minorHAnsi" w:hAnsiTheme="minorHAnsi" w:cs="Arial"/>
                <w:b/>
                <w:sz w:val="20"/>
                <w:szCs w:val="20"/>
              </w:rPr>
            </w:pPr>
            <w:r w:rsidRPr="00B97C61">
              <w:rPr>
                <w:rFonts w:asciiTheme="minorHAnsi" w:hAnsiTheme="minorHAnsi" w:cs="Arial"/>
                <w:b/>
                <w:sz w:val="20"/>
                <w:szCs w:val="20"/>
              </w:rPr>
              <w:t>Cost</w:t>
            </w:r>
          </w:p>
        </w:tc>
        <w:tc>
          <w:tcPr>
            <w:tcW w:w="1380" w:type="dxa"/>
            <w:tcBorders>
              <w:top w:val="single" w:sz="4" w:space="0" w:color="auto"/>
              <w:left w:val="nil"/>
              <w:right w:val="nil"/>
            </w:tcBorders>
            <w:vAlign w:val="bottom"/>
          </w:tcPr>
          <w:p w14:paraId="3D11DBAE" w14:textId="77777777" w:rsidR="000B00AD" w:rsidRPr="004C7C84" w:rsidRDefault="000B00AD">
            <w:pPr>
              <w:jc w:val="right"/>
              <w:rPr>
                <w:rFonts w:asciiTheme="minorHAnsi" w:hAnsiTheme="minorHAnsi" w:cs="Arial"/>
                <w:b/>
                <w:sz w:val="20"/>
                <w:szCs w:val="20"/>
              </w:rPr>
            </w:pPr>
          </w:p>
        </w:tc>
        <w:tc>
          <w:tcPr>
            <w:tcW w:w="1041" w:type="dxa"/>
            <w:tcBorders>
              <w:top w:val="single" w:sz="4" w:space="0" w:color="auto"/>
              <w:left w:val="nil"/>
              <w:right w:val="nil"/>
            </w:tcBorders>
            <w:vAlign w:val="bottom"/>
          </w:tcPr>
          <w:p w14:paraId="71257694" w14:textId="77777777" w:rsidR="000B00AD" w:rsidRPr="004C7C84" w:rsidRDefault="000B00AD">
            <w:pPr>
              <w:jc w:val="right"/>
              <w:rPr>
                <w:rFonts w:asciiTheme="minorHAnsi" w:hAnsiTheme="minorHAnsi" w:cs="Arial"/>
                <w:b/>
                <w:sz w:val="20"/>
                <w:szCs w:val="20"/>
              </w:rPr>
            </w:pPr>
          </w:p>
        </w:tc>
        <w:tc>
          <w:tcPr>
            <w:tcW w:w="953" w:type="dxa"/>
            <w:tcBorders>
              <w:top w:val="single" w:sz="4" w:space="0" w:color="auto"/>
              <w:left w:val="nil"/>
              <w:right w:val="nil"/>
            </w:tcBorders>
            <w:vAlign w:val="bottom"/>
          </w:tcPr>
          <w:p w14:paraId="4542F9D6" w14:textId="77777777" w:rsidR="000B00AD" w:rsidRPr="004C7C84" w:rsidRDefault="000B00AD">
            <w:pPr>
              <w:jc w:val="right"/>
              <w:rPr>
                <w:rFonts w:asciiTheme="minorHAnsi" w:hAnsiTheme="minorHAnsi" w:cs="Arial"/>
                <w:b/>
                <w:sz w:val="20"/>
                <w:szCs w:val="20"/>
              </w:rPr>
            </w:pPr>
          </w:p>
        </w:tc>
      </w:tr>
      <w:tr w:rsidR="000B00AD" w:rsidRPr="004C7C84" w14:paraId="2FB950FE" w14:textId="77777777" w:rsidTr="003B7755">
        <w:trPr>
          <w:trHeight w:val="252"/>
        </w:trPr>
        <w:tc>
          <w:tcPr>
            <w:tcW w:w="6684" w:type="dxa"/>
            <w:vAlign w:val="bottom"/>
          </w:tcPr>
          <w:p w14:paraId="3EC9D0EC" w14:textId="77777777" w:rsidR="000B00AD" w:rsidRPr="00B97C61" w:rsidRDefault="000B00AD">
            <w:pPr>
              <w:rPr>
                <w:rFonts w:asciiTheme="minorHAnsi" w:hAnsiTheme="minorHAnsi" w:cs="Arial"/>
                <w:sz w:val="20"/>
                <w:szCs w:val="20"/>
              </w:rPr>
            </w:pPr>
            <w:r w:rsidRPr="00B97C61">
              <w:rPr>
                <w:rFonts w:asciiTheme="minorHAnsi" w:hAnsiTheme="minorHAnsi" w:cs="Arial"/>
                <w:sz w:val="20"/>
                <w:szCs w:val="20"/>
              </w:rPr>
              <w:t>At 1 January</w:t>
            </w:r>
          </w:p>
        </w:tc>
        <w:tc>
          <w:tcPr>
            <w:tcW w:w="1380" w:type="dxa"/>
            <w:vAlign w:val="bottom"/>
          </w:tcPr>
          <w:p w14:paraId="5F60D043"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86.1</w:t>
            </w:r>
          </w:p>
        </w:tc>
        <w:tc>
          <w:tcPr>
            <w:tcW w:w="1041" w:type="dxa"/>
            <w:vAlign w:val="bottom"/>
          </w:tcPr>
          <w:p w14:paraId="20229513"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85.1</w:t>
            </w:r>
          </w:p>
        </w:tc>
        <w:tc>
          <w:tcPr>
            <w:tcW w:w="953" w:type="dxa"/>
            <w:vAlign w:val="bottom"/>
          </w:tcPr>
          <w:p w14:paraId="69BDC19B"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171.2</w:t>
            </w:r>
          </w:p>
        </w:tc>
      </w:tr>
      <w:tr w:rsidR="000B00AD" w:rsidRPr="004C7C84" w14:paraId="280C4434" w14:textId="77777777" w:rsidTr="003B7755">
        <w:trPr>
          <w:trHeight w:val="252"/>
        </w:trPr>
        <w:tc>
          <w:tcPr>
            <w:tcW w:w="6684" w:type="dxa"/>
            <w:vAlign w:val="bottom"/>
          </w:tcPr>
          <w:p w14:paraId="7364F983" w14:textId="77777777" w:rsidR="000B00AD" w:rsidRPr="00B97C61" w:rsidRDefault="000B00AD">
            <w:pPr>
              <w:rPr>
                <w:rFonts w:asciiTheme="minorHAnsi" w:hAnsiTheme="minorHAnsi" w:cs="Arial"/>
                <w:sz w:val="20"/>
                <w:szCs w:val="20"/>
              </w:rPr>
            </w:pPr>
            <w:r w:rsidRPr="00B97C61">
              <w:rPr>
                <w:rFonts w:asciiTheme="minorHAnsi" w:hAnsiTheme="minorHAnsi" w:cs="Arial"/>
                <w:sz w:val="20"/>
                <w:szCs w:val="20"/>
              </w:rPr>
              <w:t>Additions</w:t>
            </w:r>
          </w:p>
        </w:tc>
        <w:tc>
          <w:tcPr>
            <w:tcW w:w="1380" w:type="dxa"/>
            <w:vAlign w:val="bottom"/>
          </w:tcPr>
          <w:p w14:paraId="03C4FD3F"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w:t>
            </w:r>
          </w:p>
        </w:tc>
        <w:tc>
          <w:tcPr>
            <w:tcW w:w="1041" w:type="dxa"/>
            <w:vAlign w:val="bottom"/>
          </w:tcPr>
          <w:p w14:paraId="373407AB"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4.5</w:t>
            </w:r>
          </w:p>
        </w:tc>
        <w:tc>
          <w:tcPr>
            <w:tcW w:w="953" w:type="dxa"/>
            <w:vAlign w:val="bottom"/>
          </w:tcPr>
          <w:p w14:paraId="62170449"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4.5</w:t>
            </w:r>
          </w:p>
        </w:tc>
      </w:tr>
      <w:tr w:rsidR="000B00AD" w:rsidRPr="004C7C84" w14:paraId="2A740CC5" w14:textId="77777777" w:rsidTr="003B7755">
        <w:trPr>
          <w:trHeight w:val="252"/>
        </w:trPr>
        <w:tc>
          <w:tcPr>
            <w:tcW w:w="6684" w:type="dxa"/>
            <w:vAlign w:val="bottom"/>
          </w:tcPr>
          <w:p w14:paraId="79A15701" w14:textId="77777777" w:rsidR="000B00AD" w:rsidRPr="00B97C61" w:rsidRDefault="000B00AD">
            <w:pPr>
              <w:rPr>
                <w:rFonts w:asciiTheme="minorHAnsi" w:hAnsiTheme="minorHAnsi" w:cs="Arial"/>
                <w:sz w:val="20"/>
                <w:szCs w:val="20"/>
              </w:rPr>
            </w:pPr>
            <w:r w:rsidRPr="00B97C61">
              <w:rPr>
                <w:rFonts w:asciiTheme="minorHAnsi" w:hAnsiTheme="minorHAnsi" w:cs="Arial"/>
                <w:sz w:val="20"/>
                <w:szCs w:val="20"/>
              </w:rPr>
              <w:t>Disposals</w:t>
            </w:r>
          </w:p>
        </w:tc>
        <w:tc>
          <w:tcPr>
            <w:tcW w:w="1380" w:type="dxa"/>
            <w:tcBorders>
              <w:bottom w:val="single" w:sz="4" w:space="0" w:color="auto"/>
            </w:tcBorders>
            <w:vAlign w:val="bottom"/>
          </w:tcPr>
          <w:p w14:paraId="3D93B295"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w:t>
            </w:r>
          </w:p>
        </w:tc>
        <w:tc>
          <w:tcPr>
            <w:tcW w:w="1041" w:type="dxa"/>
            <w:tcBorders>
              <w:bottom w:val="single" w:sz="4" w:space="0" w:color="auto"/>
            </w:tcBorders>
            <w:vAlign w:val="bottom"/>
          </w:tcPr>
          <w:p w14:paraId="6636C349"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(14.2)</w:t>
            </w:r>
          </w:p>
        </w:tc>
        <w:tc>
          <w:tcPr>
            <w:tcW w:w="953" w:type="dxa"/>
            <w:tcBorders>
              <w:bottom w:val="single" w:sz="4" w:space="0" w:color="auto"/>
            </w:tcBorders>
            <w:vAlign w:val="bottom"/>
          </w:tcPr>
          <w:p w14:paraId="5DEEBA75"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(14.2)</w:t>
            </w:r>
          </w:p>
        </w:tc>
      </w:tr>
      <w:tr w:rsidR="000B00AD" w:rsidRPr="004C7C84" w14:paraId="702EFE0C" w14:textId="77777777" w:rsidTr="003B7755">
        <w:trPr>
          <w:trHeight w:val="252"/>
        </w:trPr>
        <w:tc>
          <w:tcPr>
            <w:tcW w:w="6684" w:type="dxa"/>
            <w:vAlign w:val="bottom"/>
          </w:tcPr>
          <w:p w14:paraId="411ABB7B" w14:textId="77777777" w:rsidR="000B00AD" w:rsidRPr="00790F6F" w:rsidRDefault="000B00AD">
            <w:pPr>
              <w:ind w:left="142" w:hanging="142"/>
              <w:rPr>
                <w:rFonts w:asciiTheme="minorHAnsi" w:hAnsiTheme="minorHAnsi" w:cs="Arial"/>
                <w:b/>
                <w:sz w:val="20"/>
                <w:szCs w:val="20"/>
              </w:rPr>
            </w:pPr>
            <w:r w:rsidRPr="00790F6F">
              <w:rPr>
                <w:rFonts w:asciiTheme="minorHAnsi" w:hAnsiTheme="minorHAnsi" w:cs="Arial"/>
                <w:b/>
                <w:sz w:val="20"/>
                <w:szCs w:val="20"/>
              </w:rPr>
              <w:t>At 30 June</w:t>
            </w:r>
          </w:p>
        </w:tc>
        <w:tc>
          <w:tcPr>
            <w:tcW w:w="1380" w:type="dxa"/>
            <w:tcBorders>
              <w:top w:val="single" w:sz="4" w:space="0" w:color="auto"/>
              <w:bottom w:val="single" w:sz="4" w:space="0" w:color="auto"/>
            </w:tcBorders>
            <w:vAlign w:val="bottom"/>
          </w:tcPr>
          <w:p w14:paraId="39973653" w14:textId="77777777" w:rsidR="000B00AD" w:rsidRPr="00D42DB7" w:rsidRDefault="000B00AD">
            <w:pPr>
              <w:jc w:val="right"/>
              <w:rPr>
                <w:rFonts w:asciiTheme="minorHAnsi" w:hAnsiTheme="minorHAnsi" w:cs="Arial"/>
                <w:b/>
                <w:sz w:val="20"/>
                <w:szCs w:val="20"/>
              </w:rPr>
            </w:pPr>
            <w:r w:rsidRPr="00D42DB7">
              <w:rPr>
                <w:rFonts w:asciiTheme="minorHAnsi" w:hAnsiTheme="minorHAnsi" w:cs="Arial"/>
                <w:b/>
                <w:sz w:val="20"/>
                <w:szCs w:val="20"/>
              </w:rPr>
              <w:t>86.1</w:t>
            </w:r>
          </w:p>
        </w:tc>
        <w:tc>
          <w:tcPr>
            <w:tcW w:w="1041" w:type="dxa"/>
            <w:tcBorders>
              <w:top w:val="single" w:sz="4" w:space="0" w:color="auto"/>
              <w:bottom w:val="single" w:sz="4" w:space="0" w:color="auto"/>
            </w:tcBorders>
            <w:vAlign w:val="bottom"/>
          </w:tcPr>
          <w:p w14:paraId="790BE36B" w14:textId="77777777" w:rsidR="000B00AD" w:rsidRPr="00D42DB7" w:rsidRDefault="000B00AD">
            <w:pPr>
              <w:jc w:val="right"/>
              <w:rPr>
                <w:rFonts w:asciiTheme="minorHAnsi" w:hAnsiTheme="minorHAnsi" w:cs="Arial"/>
                <w:b/>
                <w:sz w:val="20"/>
                <w:szCs w:val="20"/>
              </w:rPr>
            </w:pPr>
            <w:r w:rsidRPr="00D42DB7">
              <w:rPr>
                <w:rFonts w:asciiTheme="minorHAnsi" w:hAnsiTheme="minorHAnsi" w:cs="Arial"/>
                <w:b/>
                <w:sz w:val="20"/>
                <w:szCs w:val="20"/>
              </w:rPr>
              <w:t>75.4</w:t>
            </w:r>
          </w:p>
        </w:tc>
        <w:tc>
          <w:tcPr>
            <w:tcW w:w="953" w:type="dxa"/>
            <w:tcBorders>
              <w:top w:val="single" w:sz="4" w:space="0" w:color="auto"/>
              <w:bottom w:val="single" w:sz="4" w:space="0" w:color="auto"/>
            </w:tcBorders>
            <w:vAlign w:val="bottom"/>
          </w:tcPr>
          <w:p w14:paraId="582074D5" w14:textId="77777777" w:rsidR="000B00AD" w:rsidRPr="00D42DB7" w:rsidRDefault="000B00AD">
            <w:pPr>
              <w:jc w:val="right"/>
              <w:rPr>
                <w:rFonts w:asciiTheme="minorHAnsi" w:hAnsiTheme="minorHAnsi" w:cs="Arial"/>
                <w:b/>
                <w:sz w:val="20"/>
                <w:szCs w:val="20"/>
              </w:rPr>
            </w:pPr>
            <w:r w:rsidRPr="00D42DB7">
              <w:rPr>
                <w:rFonts w:asciiTheme="minorHAnsi" w:hAnsiTheme="minorHAnsi" w:cs="Arial"/>
                <w:b/>
                <w:sz w:val="20"/>
                <w:szCs w:val="20"/>
              </w:rPr>
              <w:t>161.5</w:t>
            </w:r>
          </w:p>
        </w:tc>
      </w:tr>
      <w:tr w:rsidR="000B00AD" w:rsidRPr="004C7C84" w14:paraId="072BA5D8" w14:textId="77777777" w:rsidTr="003B7755">
        <w:trPr>
          <w:trHeight w:val="252"/>
        </w:trPr>
        <w:tc>
          <w:tcPr>
            <w:tcW w:w="6684" w:type="dxa"/>
            <w:vAlign w:val="bottom"/>
          </w:tcPr>
          <w:p w14:paraId="55D4F710" w14:textId="77777777" w:rsidR="000B00AD" w:rsidRPr="00B97C61" w:rsidRDefault="000B00AD">
            <w:pPr>
              <w:ind w:left="142" w:hanging="142"/>
              <w:rPr>
                <w:rFonts w:asciiTheme="minorHAnsi" w:hAnsiTheme="minorHAnsi" w:cs="Arial"/>
                <w:sz w:val="20"/>
                <w:szCs w:val="20"/>
              </w:rPr>
            </w:pPr>
          </w:p>
        </w:tc>
        <w:tc>
          <w:tcPr>
            <w:tcW w:w="1380" w:type="dxa"/>
            <w:tcBorders>
              <w:top w:val="single" w:sz="4" w:space="0" w:color="auto"/>
            </w:tcBorders>
            <w:vAlign w:val="bottom"/>
          </w:tcPr>
          <w:p w14:paraId="6616FF72" w14:textId="77777777" w:rsidR="000B00AD" w:rsidRPr="00790F6F" w:rsidRDefault="000B00AD">
            <w:pPr>
              <w:jc w:val="right"/>
              <w:rPr>
                <w:rFonts w:asciiTheme="minorHAnsi" w:hAnsiTheme="minorHAnsi" w:cs="Arial"/>
                <w:sz w:val="20"/>
                <w:szCs w:val="20"/>
              </w:rPr>
            </w:pPr>
          </w:p>
        </w:tc>
        <w:tc>
          <w:tcPr>
            <w:tcW w:w="1041" w:type="dxa"/>
            <w:tcBorders>
              <w:top w:val="single" w:sz="4" w:space="0" w:color="auto"/>
            </w:tcBorders>
            <w:vAlign w:val="bottom"/>
          </w:tcPr>
          <w:p w14:paraId="1B52A211" w14:textId="77777777" w:rsidR="000B00AD" w:rsidRPr="00790F6F" w:rsidRDefault="000B00AD">
            <w:pPr>
              <w:jc w:val="right"/>
              <w:rPr>
                <w:rFonts w:asciiTheme="minorHAnsi" w:hAnsiTheme="minorHAnsi" w:cs="Arial"/>
                <w:sz w:val="20"/>
                <w:szCs w:val="20"/>
              </w:rPr>
            </w:pPr>
          </w:p>
        </w:tc>
        <w:tc>
          <w:tcPr>
            <w:tcW w:w="953" w:type="dxa"/>
            <w:tcBorders>
              <w:top w:val="single" w:sz="4" w:space="0" w:color="auto"/>
            </w:tcBorders>
            <w:vAlign w:val="bottom"/>
          </w:tcPr>
          <w:p w14:paraId="4C201DFF" w14:textId="77777777" w:rsidR="000B00AD" w:rsidRPr="00790F6F" w:rsidRDefault="000B00AD">
            <w:pPr>
              <w:jc w:val="right"/>
              <w:rPr>
                <w:rFonts w:asciiTheme="minorHAnsi" w:hAnsiTheme="minorHAnsi" w:cs="Arial"/>
                <w:sz w:val="20"/>
                <w:szCs w:val="20"/>
              </w:rPr>
            </w:pPr>
          </w:p>
        </w:tc>
      </w:tr>
      <w:tr w:rsidR="000B00AD" w:rsidRPr="004C7C84" w14:paraId="7A43C282" w14:textId="77777777" w:rsidTr="003B7755">
        <w:trPr>
          <w:trHeight w:val="252"/>
        </w:trPr>
        <w:tc>
          <w:tcPr>
            <w:tcW w:w="6684" w:type="dxa"/>
            <w:vAlign w:val="bottom"/>
          </w:tcPr>
          <w:p w14:paraId="3085F9A8" w14:textId="77777777" w:rsidR="000B00AD" w:rsidRPr="00B97C61" w:rsidRDefault="000B00AD">
            <w:pPr>
              <w:ind w:left="142" w:hanging="142"/>
              <w:rPr>
                <w:rFonts w:asciiTheme="minorHAnsi" w:hAnsiTheme="minorHAnsi" w:cs="Arial"/>
                <w:b/>
                <w:sz w:val="20"/>
                <w:szCs w:val="20"/>
              </w:rPr>
            </w:pPr>
            <w:r w:rsidRPr="00B97C61">
              <w:rPr>
                <w:rFonts w:asciiTheme="minorHAnsi" w:hAnsiTheme="minorHAnsi" w:cs="Arial"/>
                <w:b/>
                <w:sz w:val="20"/>
                <w:szCs w:val="20"/>
              </w:rPr>
              <w:t>Accumulated amortisation and impairment</w:t>
            </w:r>
          </w:p>
        </w:tc>
        <w:tc>
          <w:tcPr>
            <w:tcW w:w="1380" w:type="dxa"/>
            <w:vAlign w:val="bottom"/>
          </w:tcPr>
          <w:p w14:paraId="1EC75FA0" w14:textId="77777777" w:rsidR="000B00AD" w:rsidRPr="00790F6F" w:rsidRDefault="000B00AD">
            <w:pPr>
              <w:jc w:val="right"/>
              <w:rPr>
                <w:rFonts w:asciiTheme="minorHAnsi" w:hAnsiTheme="minorHAnsi" w:cs="Arial"/>
                <w:sz w:val="20"/>
                <w:szCs w:val="20"/>
              </w:rPr>
            </w:pPr>
          </w:p>
        </w:tc>
        <w:tc>
          <w:tcPr>
            <w:tcW w:w="1041" w:type="dxa"/>
            <w:vAlign w:val="bottom"/>
          </w:tcPr>
          <w:p w14:paraId="61AC3C70" w14:textId="77777777" w:rsidR="000B00AD" w:rsidRPr="00790F6F" w:rsidRDefault="000B00AD">
            <w:pPr>
              <w:jc w:val="right"/>
              <w:rPr>
                <w:rFonts w:asciiTheme="minorHAnsi" w:hAnsiTheme="minorHAnsi" w:cs="Arial"/>
                <w:sz w:val="20"/>
                <w:szCs w:val="20"/>
              </w:rPr>
            </w:pPr>
          </w:p>
        </w:tc>
        <w:tc>
          <w:tcPr>
            <w:tcW w:w="953" w:type="dxa"/>
            <w:vAlign w:val="bottom"/>
          </w:tcPr>
          <w:p w14:paraId="2797812F" w14:textId="77777777" w:rsidR="000B00AD" w:rsidRPr="00790F6F" w:rsidRDefault="000B00AD">
            <w:pPr>
              <w:jc w:val="right"/>
              <w:rPr>
                <w:rFonts w:asciiTheme="minorHAnsi" w:hAnsiTheme="minorHAnsi" w:cs="Arial"/>
                <w:sz w:val="20"/>
                <w:szCs w:val="20"/>
              </w:rPr>
            </w:pPr>
          </w:p>
        </w:tc>
      </w:tr>
      <w:tr w:rsidR="000B00AD" w:rsidRPr="004C7C84" w14:paraId="51550A4B" w14:textId="77777777" w:rsidTr="003B7755">
        <w:trPr>
          <w:trHeight w:val="252"/>
        </w:trPr>
        <w:tc>
          <w:tcPr>
            <w:tcW w:w="6684" w:type="dxa"/>
            <w:vAlign w:val="bottom"/>
          </w:tcPr>
          <w:p w14:paraId="1489FEA6" w14:textId="77777777" w:rsidR="000B00AD" w:rsidRPr="00B97C61" w:rsidRDefault="000B00AD">
            <w:pPr>
              <w:rPr>
                <w:rFonts w:asciiTheme="minorHAnsi" w:hAnsiTheme="minorHAnsi" w:cs="Arial"/>
                <w:sz w:val="20"/>
                <w:szCs w:val="20"/>
              </w:rPr>
            </w:pPr>
            <w:r w:rsidRPr="00B97C61">
              <w:rPr>
                <w:rFonts w:asciiTheme="minorHAnsi" w:hAnsiTheme="minorHAnsi" w:cs="Arial"/>
                <w:sz w:val="20"/>
                <w:szCs w:val="20"/>
              </w:rPr>
              <w:t>At 1 January</w:t>
            </w:r>
          </w:p>
        </w:tc>
        <w:tc>
          <w:tcPr>
            <w:tcW w:w="1380" w:type="dxa"/>
            <w:vAlign w:val="bottom"/>
          </w:tcPr>
          <w:p w14:paraId="0CFADEE1"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70.4</w:t>
            </w:r>
          </w:p>
        </w:tc>
        <w:tc>
          <w:tcPr>
            <w:tcW w:w="1041" w:type="dxa"/>
            <w:vAlign w:val="bottom"/>
          </w:tcPr>
          <w:p w14:paraId="0F45168A"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26.4</w:t>
            </w:r>
          </w:p>
        </w:tc>
        <w:tc>
          <w:tcPr>
            <w:tcW w:w="953" w:type="dxa"/>
            <w:vAlign w:val="bottom"/>
          </w:tcPr>
          <w:p w14:paraId="687E5378"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96.8</w:t>
            </w:r>
          </w:p>
        </w:tc>
      </w:tr>
      <w:tr w:rsidR="000B00AD" w:rsidRPr="004C7C84" w14:paraId="26C38576" w14:textId="77777777" w:rsidTr="003B7755">
        <w:trPr>
          <w:trHeight w:val="252"/>
        </w:trPr>
        <w:tc>
          <w:tcPr>
            <w:tcW w:w="6684" w:type="dxa"/>
            <w:vAlign w:val="bottom"/>
          </w:tcPr>
          <w:p w14:paraId="4678C812" w14:textId="77777777" w:rsidR="000B00AD" w:rsidRPr="00B97C61" w:rsidRDefault="000B00AD">
            <w:pPr>
              <w:rPr>
                <w:rFonts w:asciiTheme="minorHAnsi" w:hAnsiTheme="minorHAnsi" w:cs="Arial"/>
                <w:sz w:val="20"/>
                <w:szCs w:val="20"/>
              </w:rPr>
            </w:pPr>
            <w:r w:rsidRPr="00B97C61">
              <w:rPr>
                <w:rFonts w:asciiTheme="minorHAnsi" w:hAnsiTheme="minorHAnsi" w:cs="Arial"/>
                <w:sz w:val="20"/>
                <w:szCs w:val="20"/>
              </w:rPr>
              <w:t>Charged to the income statement</w:t>
            </w:r>
          </w:p>
        </w:tc>
        <w:tc>
          <w:tcPr>
            <w:tcW w:w="1380" w:type="dxa"/>
            <w:vAlign w:val="bottom"/>
          </w:tcPr>
          <w:p w14:paraId="22A038CD"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4.2</w:t>
            </w:r>
          </w:p>
        </w:tc>
        <w:tc>
          <w:tcPr>
            <w:tcW w:w="1041" w:type="dxa"/>
            <w:tcBorders>
              <w:bottom w:val="none" w:sz="12" w:space="0" w:color="000000" w:themeColor="text1"/>
            </w:tcBorders>
            <w:vAlign w:val="bottom"/>
          </w:tcPr>
          <w:p w14:paraId="77AFD747"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6.0</w:t>
            </w:r>
          </w:p>
        </w:tc>
        <w:tc>
          <w:tcPr>
            <w:tcW w:w="953" w:type="dxa"/>
            <w:tcBorders>
              <w:bottom w:val="none" w:sz="12" w:space="0" w:color="000000" w:themeColor="text1"/>
            </w:tcBorders>
            <w:vAlign w:val="bottom"/>
          </w:tcPr>
          <w:p w14:paraId="2FE2B196"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10.2</w:t>
            </w:r>
          </w:p>
        </w:tc>
      </w:tr>
      <w:tr w:rsidR="000B00AD" w:rsidRPr="004C7C84" w14:paraId="731F837F" w14:textId="77777777" w:rsidTr="003B7755">
        <w:trPr>
          <w:trHeight w:val="252"/>
        </w:trPr>
        <w:tc>
          <w:tcPr>
            <w:tcW w:w="6684" w:type="dxa"/>
            <w:vAlign w:val="bottom"/>
          </w:tcPr>
          <w:p w14:paraId="35E3BBA9" w14:textId="77777777" w:rsidR="000B00AD" w:rsidRPr="009A011A" w:rsidRDefault="000B00AD">
            <w:pPr>
              <w:rPr>
                <w:rFonts w:asciiTheme="minorHAnsi" w:hAnsiTheme="minorHAnsi" w:cs="Arial"/>
                <w:sz w:val="20"/>
                <w:szCs w:val="20"/>
              </w:rPr>
            </w:pPr>
            <w:r w:rsidRPr="009A011A">
              <w:rPr>
                <w:rFonts w:asciiTheme="minorHAnsi" w:hAnsiTheme="minorHAnsi" w:cs="Arial"/>
                <w:sz w:val="20"/>
                <w:szCs w:val="20"/>
              </w:rPr>
              <w:t>Impairment</w:t>
            </w:r>
          </w:p>
        </w:tc>
        <w:tc>
          <w:tcPr>
            <w:tcW w:w="1380" w:type="dxa"/>
            <w:tcBorders>
              <w:left w:val="nil"/>
              <w:bottom w:val="none" w:sz="4" w:space="0" w:color="000000" w:themeColor="text1"/>
              <w:right w:val="none" w:sz="12" w:space="0" w:color="000000" w:themeColor="text1"/>
            </w:tcBorders>
            <w:vAlign w:val="bottom"/>
          </w:tcPr>
          <w:p w14:paraId="7CA31A48"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w:t>
            </w:r>
          </w:p>
        </w:tc>
        <w:tc>
          <w:tcPr>
            <w:tcW w:w="1041" w:type="dxa"/>
            <w:tcBorders>
              <w:top w:val="none" w:sz="12" w:space="0" w:color="000000" w:themeColor="text1"/>
              <w:left w:val="none" w:sz="12" w:space="0" w:color="000000" w:themeColor="text1"/>
              <w:bottom w:val="none" w:sz="4" w:space="0" w:color="000000" w:themeColor="text1"/>
              <w:right w:val="none" w:sz="12" w:space="0" w:color="000000" w:themeColor="text1"/>
            </w:tcBorders>
            <w:vAlign w:val="bottom"/>
          </w:tcPr>
          <w:p w14:paraId="18343ED5"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8.5</w:t>
            </w:r>
          </w:p>
        </w:tc>
        <w:tc>
          <w:tcPr>
            <w:tcW w:w="953" w:type="dxa"/>
            <w:tcBorders>
              <w:top w:val="none" w:sz="12" w:space="0" w:color="000000" w:themeColor="text1"/>
              <w:left w:val="none" w:sz="12" w:space="0" w:color="000000" w:themeColor="text1"/>
              <w:bottom w:val="none" w:sz="4" w:space="0" w:color="000000" w:themeColor="text1"/>
              <w:right w:val="none" w:sz="12" w:space="0" w:color="000000" w:themeColor="text1"/>
            </w:tcBorders>
            <w:vAlign w:val="bottom"/>
          </w:tcPr>
          <w:p w14:paraId="275B42D4"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8.5</w:t>
            </w:r>
          </w:p>
        </w:tc>
      </w:tr>
      <w:tr w:rsidR="000B00AD" w:rsidRPr="004C7C84" w14:paraId="0F2B1F9F" w14:textId="77777777" w:rsidTr="003B7755">
        <w:trPr>
          <w:trHeight w:val="252"/>
        </w:trPr>
        <w:tc>
          <w:tcPr>
            <w:tcW w:w="6684" w:type="dxa"/>
            <w:vAlign w:val="bottom"/>
          </w:tcPr>
          <w:p w14:paraId="1B04A017" w14:textId="77777777" w:rsidR="000B00AD" w:rsidRPr="00B97C61" w:rsidRDefault="000B00AD">
            <w:pPr>
              <w:rPr>
                <w:rFonts w:asciiTheme="minorHAnsi" w:hAnsiTheme="minorHAnsi" w:cs="Arial"/>
                <w:sz w:val="20"/>
                <w:szCs w:val="20"/>
              </w:rPr>
            </w:pPr>
            <w:r w:rsidRPr="00B97C61">
              <w:rPr>
                <w:rFonts w:asciiTheme="minorHAnsi" w:hAnsiTheme="minorHAnsi" w:cs="Arial"/>
                <w:sz w:val="20"/>
                <w:szCs w:val="20"/>
              </w:rPr>
              <w:t>Disposals</w:t>
            </w:r>
          </w:p>
        </w:tc>
        <w:tc>
          <w:tcPr>
            <w:tcW w:w="1380" w:type="dxa"/>
            <w:tcBorders>
              <w:top w:val="none" w:sz="4" w:space="0" w:color="000000" w:themeColor="text1"/>
              <w:left w:val="nil"/>
              <w:bottom w:val="single" w:sz="4" w:space="0" w:color="auto"/>
              <w:right w:val="nil"/>
            </w:tcBorders>
            <w:vAlign w:val="bottom"/>
          </w:tcPr>
          <w:p w14:paraId="1B7E5D10"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w:t>
            </w:r>
          </w:p>
        </w:tc>
        <w:tc>
          <w:tcPr>
            <w:tcW w:w="1041" w:type="dxa"/>
            <w:tcBorders>
              <w:top w:val="none" w:sz="4" w:space="0" w:color="000000" w:themeColor="text1"/>
              <w:left w:val="nil"/>
              <w:bottom w:val="single" w:sz="4" w:space="0" w:color="auto"/>
              <w:right w:val="nil"/>
            </w:tcBorders>
            <w:vAlign w:val="bottom"/>
          </w:tcPr>
          <w:p w14:paraId="59C4E5F5"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(14.2)</w:t>
            </w:r>
          </w:p>
        </w:tc>
        <w:tc>
          <w:tcPr>
            <w:tcW w:w="953" w:type="dxa"/>
            <w:tcBorders>
              <w:top w:val="none" w:sz="4" w:space="0" w:color="000000" w:themeColor="text1"/>
              <w:left w:val="nil"/>
              <w:bottom w:val="single" w:sz="4" w:space="0" w:color="auto"/>
              <w:right w:val="nil"/>
            </w:tcBorders>
            <w:vAlign w:val="bottom"/>
          </w:tcPr>
          <w:p w14:paraId="71B6DC37"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(14.2)</w:t>
            </w:r>
          </w:p>
        </w:tc>
      </w:tr>
      <w:tr w:rsidR="000B00AD" w:rsidRPr="004C7C84" w14:paraId="632D5B72" w14:textId="77777777" w:rsidTr="003B7755">
        <w:trPr>
          <w:trHeight w:val="252"/>
        </w:trPr>
        <w:tc>
          <w:tcPr>
            <w:tcW w:w="6684" w:type="dxa"/>
            <w:vAlign w:val="bottom"/>
          </w:tcPr>
          <w:p w14:paraId="0468D123" w14:textId="77777777" w:rsidR="000B00AD" w:rsidRPr="00790F6F" w:rsidRDefault="000B00AD">
            <w:pPr>
              <w:rPr>
                <w:rFonts w:asciiTheme="minorHAnsi" w:hAnsiTheme="minorHAnsi" w:cs="Arial"/>
                <w:b/>
                <w:sz w:val="20"/>
                <w:szCs w:val="20"/>
              </w:rPr>
            </w:pPr>
            <w:r w:rsidRPr="00790F6F">
              <w:rPr>
                <w:rFonts w:asciiTheme="minorHAnsi" w:hAnsiTheme="minorHAnsi" w:cs="Arial"/>
                <w:b/>
                <w:sz w:val="20"/>
                <w:szCs w:val="20"/>
              </w:rPr>
              <w:t>At 30 June</w:t>
            </w:r>
          </w:p>
        </w:tc>
        <w:tc>
          <w:tcPr>
            <w:tcW w:w="1380" w:type="dxa"/>
            <w:tcBorders>
              <w:left w:val="nil"/>
              <w:bottom w:val="single" w:sz="4" w:space="0" w:color="auto"/>
              <w:right w:val="nil"/>
            </w:tcBorders>
            <w:vAlign w:val="bottom"/>
          </w:tcPr>
          <w:p w14:paraId="442BCBEF" w14:textId="77777777" w:rsidR="000B00AD" w:rsidRPr="00D42DB7" w:rsidRDefault="000B00AD">
            <w:pPr>
              <w:jc w:val="right"/>
              <w:rPr>
                <w:rFonts w:asciiTheme="minorHAnsi" w:hAnsiTheme="minorHAnsi" w:cs="Arial"/>
                <w:b/>
                <w:sz w:val="20"/>
                <w:szCs w:val="20"/>
              </w:rPr>
            </w:pPr>
            <w:r w:rsidRPr="00D42DB7">
              <w:rPr>
                <w:rFonts w:asciiTheme="minorHAnsi" w:hAnsiTheme="minorHAnsi" w:cs="Arial"/>
                <w:b/>
                <w:sz w:val="20"/>
                <w:szCs w:val="20"/>
              </w:rPr>
              <w:t>74.6</w:t>
            </w:r>
          </w:p>
        </w:tc>
        <w:tc>
          <w:tcPr>
            <w:tcW w:w="1041" w:type="dxa"/>
            <w:tcBorders>
              <w:left w:val="nil"/>
              <w:bottom w:val="single" w:sz="4" w:space="0" w:color="auto"/>
              <w:right w:val="nil"/>
            </w:tcBorders>
            <w:vAlign w:val="bottom"/>
          </w:tcPr>
          <w:p w14:paraId="5F3B6DB5" w14:textId="77777777" w:rsidR="000B00AD" w:rsidRPr="00D42DB7" w:rsidRDefault="000B00AD">
            <w:pPr>
              <w:jc w:val="right"/>
              <w:rPr>
                <w:rFonts w:asciiTheme="minorHAnsi" w:hAnsiTheme="minorHAnsi" w:cs="Arial"/>
                <w:b/>
                <w:sz w:val="20"/>
                <w:szCs w:val="20"/>
              </w:rPr>
            </w:pPr>
            <w:r w:rsidRPr="00D42DB7">
              <w:rPr>
                <w:rFonts w:asciiTheme="minorHAnsi" w:hAnsiTheme="minorHAnsi" w:cs="Arial"/>
                <w:b/>
                <w:sz w:val="20"/>
                <w:szCs w:val="20"/>
              </w:rPr>
              <w:t>26.7</w:t>
            </w:r>
          </w:p>
        </w:tc>
        <w:tc>
          <w:tcPr>
            <w:tcW w:w="953" w:type="dxa"/>
            <w:tcBorders>
              <w:left w:val="nil"/>
              <w:bottom w:val="single" w:sz="4" w:space="0" w:color="auto"/>
              <w:right w:val="nil"/>
            </w:tcBorders>
            <w:vAlign w:val="bottom"/>
          </w:tcPr>
          <w:p w14:paraId="05ECA973" w14:textId="77777777" w:rsidR="000B00AD" w:rsidRPr="00D42DB7" w:rsidRDefault="000B00AD">
            <w:pPr>
              <w:jc w:val="right"/>
              <w:rPr>
                <w:rFonts w:asciiTheme="minorHAnsi" w:hAnsiTheme="minorHAnsi" w:cs="Arial"/>
                <w:b/>
                <w:sz w:val="20"/>
                <w:szCs w:val="20"/>
              </w:rPr>
            </w:pPr>
            <w:r w:rsidRPr="00D42DB7">
              <w:rPr>
                <w:rFonts w:asciiTheme="minorHAnsi" w:hAnsiTheme="minorHAnsi" w:cs="Arial"/>
                <w:b/>
                <w:sz w:val="20"/>
                <w:szCs w:val="20"/>
              </w:rPr>
              <w:t>101.3</w:t>
            </w:r>
          </w:p>
        </w:tc>
      </w:tr>
      <w:tr w:rsidR="000B00AD" w:rsidRPr="004C7C84" w14:paraId="420DED16" w14:textId="77777777" w:rsidTr="003B7755">
        <w:trPr>
          <w:trHeight w:val="252"/>
        </w:trPr>
        <w:tc>
          <w:tcPr>
            <w:tcW w:w="6684" w:type="dxa"/>
            <w:vAlign w:val="bottom"/>
          </w:tcPr>
          <w:p w14:paraId="6942216B" w14:textId="77777777" w:rsidR="000B00AD" w:rsidRPr="00B97C61" w:rsidRDefault="000B00AD">
            <w:pPr>
              <w:rPr>
                <w:rFonts w:asciiTheme="minorHAnsi" w:hAnsiTheme="minorHAnsi" w:cs="Arial"/>
                <w:b/>
                <w:sz w:val="20"/>
                <w:szCs w:val="20"/>
              </w:rPr>
            </w:pPr>
            <w:r w:rsidRPr="00B97C61">
              <w:rPr>
                <w:rFonts w:asciiTheme="minorHAnsi" w:hAnsiTheme="minorHAnsi" w:cs="Arial"/>
                <w:b/>
                <w:sz w:val="20"/>
                <w:szCs w:val="20"/>
              </w:rPr>
              <w:t>Net book value</w:t>
            </w:r>
          </w:p>
        </w:tc>
        <w:tc>
          <w:tcPr>
            <w:tcW w:w="1380" w:type="dxa"/>
            <w:tcBorders>
              <w:top w:val="nil"/>
              <w:left w:val="nil"/>
              <w:right w:val="nil"/>
            </w:tcBorders>
            <w:vAlign w:val="bottom"/>
          </w:tcPr>
          <w:p w14:paraId="2908FE5C" w14:textId="77777777" w:rsidR="000B00AD" w:rsidRPr="00790F6F" w:rsidRDefault="000B00AD">
            <w:pPr>
              <w:jc w:val="right"/>
              <w:rPr>
                <w:rFonts w:asciiTheme="minorHAnsi" w:hAnsiTheme="minorHAnsi" w:cs="Arial"/>
                <w:sz w:val="20"/>
                <w:szCs w:val="20"/>
              </w:rPr>
            </w:pPr>
          </w:p>
        </w:tc>
        <w:tc>
          <w:tcPr>
            <w:tcW w:w="1041" w:type="dxa"/>
            <w:tcBorders>
              <w:top w:val="nil"/>
              <w:left w:val="nil"/>
              <w:right w:val="nil"/>
            </w:tcBorders>
            <w:vAlign w:val="bottom"/>
          </w:tcPr>
          <w:p w14:paraId="5912C5E5" w14:textId="77777777" w:rsidR="000B00AD" w:rsidRPr="00790F6F" w:rsidRDefault="000B00AD">
            <w:pPr>
              <w:jc w:val="right"/>
              <w:rPr>
                <w:rFonts w:asciiTheme="minorHAnsi" w:hAnsiTheme="minorHAnsi" w:cs="Arial"/>
                <w:sz w:val="20"/>
                <w:szCs w:val="20"/>
              </w:rPr>
            </w:pPr>
          </w:p>
        </w:tc>
        <w:tc>
          <w:tcPr>
            <w:tcW w:w="953" w:type="dxa"/>
            <w:tcBorders>
              <w:top w:val="nil"/>
              <w:left w:val="nil"/>
              <w:right w:val="nil"/>
            </w:tcBorders>
            <w:vAlign w:val="bottom"/>
          </w:tcPr>
          <w:p w14:paraId="403EBE0E" w14:textId="77777777" w:rsidR="000B00AD" w:rsidRPr="00790F6F" w:rsidRDefault="000B00AD">
            <w:pPr>
              <w:jc w:val="right"/>
              <w:rPr>
                <w:rFonts w:asciiTheme="minorHAnsi" w:hAnsiTheme="minorHAnsi" w:cs="Arial"/>
                <w:sz w:val="20"/>
                <w:szCs w:val="20"/>
              </w:rPr>
            </w:pPr>
          </w:p>
        </w:tc>
      </w:tr>
      <w:tr w:rsidR="000B00AD" w:rsidRPr="004C7C84" w14:paraId="76122932" w14:textId="77777777" w:rsidTr="003B7755">
        <w:trPr>
          <w:trHeight w:val="252"/>
        </w:trPr>
        <w:tc>
          <w:tcPr>
            <w:tcW w:w="6684" w:type="dxa"/>
            <w:vAlign w:val="bottom"/>
          </w:tcPr>
          <w:p w14:paraId="2B4D4234" w14:textId="77777777" w:rsidR="000B00AD" w:rsidRPr="00B97C61" w:rsidRDefault="000B00AD">
            <w:pPr>
              <w:rPr>
                <w:rFonts w:asciiTheme="minorHAnsi" w:hAnsiTheme="minorHAnsi" w:cs="Arial"/>
                <w:sz w:val="20"/>
                <w:szCs w:val="20"/>
              </w:rPr>
            </w:pPr>
            <w:r w:rsidRPr="00B97C61">
              <w:rPr>
                <w:rFonts w:asciiTheme="minorHAnsi" w:hAnsiTheme="minorHAnsi" w:cs="Arial"/>
                <w:sz w:val="20"/>
                <w:szCs w:val="20"/>
              </w:rPr>
              <w:t>At 3</w:t>
            </w:r>
            <w:r>
              <w:rPr>
                <w:rFonts w:asciiTheme="minorHAnsi" w:hAnsiTheme="minorHAnsi" w:cs="Arial"/>
                <w:sz w:val="20"/>
                <w:szCs w:val="20"/>
              </w:rPr>
              <w:t>0 June</w:t>
            </w:r>
          </w:p>
        </w:tc>
        <w:tc>
          <w:tcPr>
            <w:tcW w:w="1380" w:type="dxa"/>
            <w:tcBorders>
              <w:top w:val="nil"/>
              <w:left w:val="nil"/>
              <w:bottom w:val="single" w:sz="12" w:space="0" w:color="auto"/>
              <w:right w:val="nil"/>
            </w:tcBorders>
            <w:vAlign w:val="bottom"/>
          </w:tcPr>
          <w:p w14:paraId="4DF19D3B" w14:textId="77777777" w:rsidR="000B00AD" w:rsidRPr="00D42DB7" w:rsidRDefault="000B00AD">
            <w:pPr>
              <w:jc w:val="right"/>
              <w:rPr>
                <w:rFonts w:asciiTheme="minorHAnsi" w:hAnsiTheme="minorHAnsi" w:cs="Arial"/>
                <w:b/>
                <w:sz w:val="20"/>
                <w:szCs w:val="20"/>
              </w:rPr>
            </w:pPr>
            <w:r w:rsidRPr="00D42DB7">
              <w:rPr>
                <w:rFonts w:asciiTheme="minorHAnsi" w:hAnsiTheme="minorHAnsi" w:cs="Arial"/>
                <w:b/>
                <w:sz w:val="20"/>
                <w:szCs w:val="20"/>
              </w:rPr>
              <w:t>11.5</w:t>
            </w:r>
          </w:p>
        </w:tc>
        <w:tc>
          <w:tcPr>
            <w:tcW w:w="1041" w:type="dxa"/>
            <w:tcBorders>
              <w:top w:val="nil"/>
              <w:left w:val="nil"/>
              <w:bottom w:val="single" w:sz="12" w:space="0" w:color="auto"/>
              <w:right w:val="nil"/>
            </w:tcBorders>
            <w:vAlign w:val="bottom"/>
          </w:tcPr>
          <w:p w14:paraId="4929C031" w14:textId="77777777" w:rsidR="000B00AD" w:rsidRPr="00D42DB7" w:rsidRDefault="000B00AD">
            <w:pPr>
              <w:jc w:val="right"/>
              <w:rPr>
                <w:rFonts w:asciiTheme="minorHAnsi" w:hAnsiTheme="minorHAnsi" w:cs="Arial"/>
                <w:b/>
                <w:sz w:val="20"/>
                <w:szCs w:val="20"/>
              </w:rPr>
            </w:pPr>
            <w:r w:rsidRPr="00D42DB7">
              <w:rPr>
                <w:rFonts w:asciiTheme="minorHAnsi" w:hAnsiTheme="minorHAnsi" w:cs="Arial"/>
                <w:b/>
                <w:sz w:val="20"/>
                <w:szCs w:val="20"/>
              </w:rPr>
              <w:t>48.7</w:t>
            </w:r>
          </w:p>
        </w:tc>
        <w:tc>
          <w:tcPr>
            <w:tcW w:w="953" w:type="dxa"/>
            <w:tcBorders>
              <w:top w:val="nil"/>
              <w:left w:val="nil"/>
              <w:bottom w:val="single" w:sz="12" w:space="0" w:color="auto"/>
              <w:right w:val="nil"/>
            </w:tcBorders>
            <w:vAlign w:val="bottom"/>
          </w:tcPr>
          <w:p w14:paraId="61BEF6E2" w14:textId="77777777" w:rsidR="000B00AD" w:rsidRPr="00D42DB7" w:rsidRDefault="000B00AD">
            <w:pPr>
              <w:jc w:val="right"/>
              <w:rPr>
                <w:rFonts w:asciiTheme="minorHAnsi" w:hAnsiTheme="minorHAnsi" w:cs="Arial"/>
                <w:b/>
                <w:sz w:val="20"/>
                <w:szCs w:val="20"/>
              </w:rPr>
            </w:pPr>
            <w:r w:rsidRPr="00D42DB7">
              <w:rPr>
                <w:rFonts w:asciiTheme="minorHAnsi" w:hAnsiTheme="minorHAnsi" w:cs="Arial"/>
                <w:b/>
                <w:sz w:val="20"/>
                <w:szCs w:val="20"/>
              </w:rPr>
              <w:t>60.2</w:t>
            </w:r>
          </w:p>
        </w:tc>
      </w:tr>
      <w:tr w:rsidR="000B00AD" w:rsidRPr="004C7C84" w14:paraId="40FABC5A" w14:textId="77777777" w:rsidTr="003B7755">
        <w:trPr>
          <w:trHeight w:val="252"/>
        </w:trPr>
        <w:tc>
          <w:tcPr>
            <w:tcW w:w="6684" w:type="dxa"/>
            <w:vAlign w:val="bottom"/>
          </w:tcPr>
          <w:p w14:paraId="31C34EFD" w14:textId="77777777" w:rsidR="000B00AD" w:rsidRPr="00B97C61" w:rsidRDefault="000B00AD">
            <w:pPr>
              <w:rPr>
                <w:rFonts w:asciiTheme="minorHAnsi" w:hAnsiTheme="minorHAnsi" w:cs="Arial"/>
                <w:sz w:val="20"/>
                <w:szCs w:val="20"/>
              </w:rPr>
            </w:pPr>
            <w:r w:rsidRPr="00B97C61">
              <w:rPr>
                <w:rFonts w:asciiTheme="minorHAnsi" w:hAnsiTheme="minorHAnsi" w:cs="Arial"/>
                <w:sz w:val="20"/>
                <w:szCs w:val="20"/>
              </w:rPr>
              <w:t>At 1 January</w:t>
            </w:r>
          </w:p>
        </w:tc>
        <w:tc>
          <w:tcPr>
            <w:tcW w:w="1380" w:type="dxa"/>
            <w:tcBorders>
              <w:top w:val="single" w:sz="12" w:space="0" w:color="auto"/>
              <w:left w:val="nil"/>
              <w:bottom w:val="single" w:sz="12" w:space="0" w:color="auto"/>
              <w:right w:val="nil"/>
            </w:tcBorders>
            <w:vAlign w:val="bottom"/>
          </w:tcPr>
          <w:p w14:paraId="2CBA0213"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15.7</w:t>
            </w:r>
          </w:p>
        </w:tc>
        <w:tc>
          <w:tcPr>
            <w:tcW w:w="1041" w:type="dxa"/>
            <w:tcBorders>
              <w:top w:val="single" w:sz="12" w:space="0" w:color="auto"/>
              <w:left w:val="nil"/>
              <w:bottom w:val="single" w:sz="12" w:space="0" w:color="auto"/>
              <w:right w:val="nil"/>
            </w:tcBorders>
            <w:vAlign w:val="bottom"/>
          </w:tcPr>
          <w:p w14:paraId="76EE5549"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58.7</w:t>
            </w:r>
          </w:p>
        </w:tc>
        <w:tc>
          <w:tcPr>
            <w:tcW w:w="953" w:type="dxa"/>
            <w:tcBorders>
              <w:top w:val="single" w:sz="12" w:space="0" w:color="auto"/>
              <w:left w:val="nil"/>
              <w:bottom w:val="single" w:sz="12" w:space="0" w:color="auto"/>
              <w:right w:val="nil"/>
            </w:tcBorders>
            <w:vAlign w:val="bottom"/>
          </w:tcPr>
          <w:p w14:paraId="304ACF2D" w14:textId="77777777" w:rsidR="000B00AD" w:rsidRPr="00790F6F" w:rsidRDefault="000B00AD">
            <w:pPr>
              <w:jc w:val="right"/>
              <w:rPr>
                <w:rFonts w:asciiTheme="minorHAnsi" w:hAnsiTheme="minorHAnsi" w:cs="Arial"/>
                <w:sz w:val="20"/>
                <w:szCs w:val="20"/>
              </w:rPr>
            </w:pPr>
            <w:r w:rsidRPr="00790F6F">
              <w:rPr>
                <w:rFonts w:asciiTheme="minorHAnsi" w:hAnsiTheme="minorHAnsi" w:cs="Arial"/>
                <w:sz w:val="20"/>
                <w:szCs w:val="20"/>
              </w:rPr>
              <w:t>74.4</w:t>
            </w:r>
          </w:p>
        </w:tc>
      </w:tr>
    </w:tbl>
    <w:p w14:paraId="0D5DDB9E" w14:textId="77777777" w:rsidR="000B00AD" w:rsidRDefault="000B00AD" w:rsidP="00A1425C">
      <w:pPr>
        <w:jc w:val="both"/>
        <w:rPr>
          <w:rFonts w:asciiTheme="minorHAnsi" w:hAnsiTheme="minorHAnsi" w:cs="Poppins Light"/>
          <w:color w:val="000000"/>
          <w:sz w:val="20"/>
          <w:szCs w:val="20"/>
        </w:rPr>
      </w:pPr>
    </w:p>
    <w:p w14:paraId="0E0DE34D" w14:textId="77777777" w:rsidR="001A02A2" w:rsidRDefault="001A02A2" w:rsidP="00A1425C">
      <w:pPr>
        <w:jc w:val="both"/>
        <w:rPr>
          <w:rFonts w:asciiTheme="minorHAnsi" w:hAnsiTheme="minorHAnsi" w:cs="Poppins Light"/>
          <w:color w:val="000000" w:themeColor="text1"/>
          <w:sz w:val="20"/>
          <w:szCs w:val="20"/>
        </w:rPr>
      </w:pPr>
    </w:p>
    <w:p w14:paraId="05CE3DC6" w14:textId="35B1A574" w:rsidR="001632A6" w:rsidRDefault="001632A6" w:rsidP="001632A6">
      <w:pPr>
        <w:jc w:val="both"/>
        <w:rPr>
          <w:rFonts w:asciiTheme="minorHAnsi" w:hAnsiTheme="minorHAnsi" w:cs="Poppins Light"/>
          <w:color w:val="000000" w:themeColor="text1"/>
          <w:sz w:val="20"/>
          <w:szCs w:val="20"/>
        </w:rPr>
      </w:pPr>
      <w:r w:rsidRPr="00A83B08">
        <w:rPr>
          <w:rFonts w:asciiTheme="minorHAnsi" w:hAnsiTheme="minorHAnsi" w:cs="Poppins Light"/>
          <w:color w:val="000000" w:themeColor="text1"/>
          <w:sz w:val="20"/>
          <w:szCs w:val="20"/>
        </w:rPr>
        <w:t xml:space="preserve">Acquisition intangibles represent the fair value of the broker relationships arising on the acquisition of Moneybarn in August 2014 and </w:t>
      </w:r>
      <w:r w:rsidR="007263F6">
        <w:rPr>
          <w:rFonts w:asciiTheme="minorHAnsi" w:hAnsiTheme="minorHAnsi" w:cs="Poppins Light"/>
          <w:color w:val="000000" w:themeColor="text1"/>
          <w:sz w:val="20"/>
          <w:szCs w:val="20"/>
        </w:rPr>
        <w:t xml:space="preserve">the </w:t>
      </w:r>
      <w:r w:rsidR="008E7BA7">
        <w:rPr>
          <w:rFonts w:asciiTheme="minorHAnsi" w:hAnsiTheme="minorHAnsi" w:cs="Poppins Light"/>
          <w:color w:val="000000" w:themeColor="text1"/>
          <w:sz w:val="20"/>
          <w:szCs w:val="20"/>
        </w:rPr>
        <w:t xml:space="preserve">platform, </w:t>
      </w:r>
      <w:r w:rsidR="007263F6">
        <w:rPr>
          <w:rFonts w:asciiTheme="minorHAnsi" w:hAnsiTheme="minorHAnsi" w:cs="Poppins Light"/>
          <w:color w:val="000000" w:themeColor="text1"/>
          <w:sz w:val="20"/>
          <w:szCs w:val="20"/>
        </w:rPr>
        <w:t>technology</w:t>
      </w:r>
      <w:r w:rsidR="003413BB">
        <w:rPr>
          <w:rFonts w:asciiTheme="minorHAnsi" w:hAnsiTheme="minorHAnsi" w:cs="Poppins Light"/>
          <w:color w:val="000000" w:themeColor="text1"/>
          <w:sz w:val="20"/>
          <w:szCs w:val="20"/>
        </w:rPr>
        <w:t xml:space="preserve"> and </w:t>
      </w:r>
      <w:r w:rsidR="000E12C7">
        <w:rPr>
          <w:rFonts w:asciiTheme="minorHAnsi" w:hAnsiTheme="minorHAnsi" w:cs="Poppins Light"/>
          <w:color w:val="000000" w:themeColor="text1"/>
          <w:sz w:val="20"/>
          <w:szCs w:val="20"/>
        </w:rPr>
        <w:t xml:space="preserve">brand name in relation to </w:t>
      </w:r>
      <w:r w:rsidRPr="00A83B08">
        <w:rPr>
          <w:rFonts w:asciiTheme="minorHAnsi" w:hAnsiTheme="minorHAnsi" w:cs="Poppins Light"/>
          <w:color w:val="000000" w:themeColor="text1"/>
          <w:sz w:val="20"/>
          <w:szCs w:val="20"/>
        </w:rPr>
        <w:t xml:space="preserve">Snoop in 2023. </w:t>
      </w:r>
    </w:p>
    <w:p w14:paraId="31AE465D" w14:textId="77777777" w:rsidR="001632A6" w:rsidRDefault="001632A6" w:rsidP="00A1425C">
      <w:pPr>
        <w:jc w:val="both"/>
        <w:rPr>
          <w:rFonts w:asciiTheme="minorHAnsi" w:hAnsiTheme="minorHAnsi" w:cs="Poppins Light"/>
          <w:color w:val="000000" w:themeColor="text1"/>
          <w:sz w:val="20"/>
          <w:szCs w:val="20"/>
        </w:rPr>
      </w:pPr>
    </w:p>
    <w:p w14:paraId="51437011" w14:textId="5EAF088C" w:rsidR="00A1425C" w:rsidRPr="00A83B08" w:rsidRDefault="00E2723A" w:rsidP="00A1425C">
      <w:pPr>
        <w:jc w:val="both"/>
        <w:rPr>
          <w:rFonts w:asciiTheme="minorHAnsi" w:hAnsiTheme="minorHAnsi" w:cs="Poppins Light"/>
          <w:color w:val="000000" w:themeColor="text1"/>
          <w:sz w:val="20"/>
          <w:szCs w:val="20"/>
        </w:rPr>
      </w:pPr>
      <w:r w:rsidRPr="00A83B08">
        <w:rPr>
          <w:rFonts w:asciiTheme="minorHAnsi" w:hAnsiTheme="minorHAnsi" w:cs="Poppins Light"/>
          <w:color w:val="000000" w:themeColor="text1"/>
          <w:sz w:val="20"/>
          <w:szCs w:val="20"/>
        </w:rPr>
        <w:t xml:space="preserve">The Moneybarn intangible asset was being amortised over an estimated useful life of 10 years, the asset was fully amortised in 2024. The Snoop intangible asset comprised </w:t>
      </w:r>
      <w:r w:rsidRPr="0053622B">
        <w:rPr>
          <w:rFonts w:asciiTheme="minorHAnsi" w:hAnsiTheme="minorHAnsi" w:cs="Poppins Light"/>
          <w:color w:val="000000" w:themeColor="text1"/>
          <w:sz w:val="20"/>
          <w:szCs w:val="20"/>
        </w:rPr>
        <w:t>£10.1m of internally generated core platform and technology, and £1.0m in</w:t>
      </w:r>
      <w:r w:rsidRPr="00A83B08">
        <w:rPr>
          <w:rFonts w:asciiTheme="minorHAnsi" w:hAnsiTheme="minorHAnsi" w:cs="Poppins Light"/>
          <w:color w:val="000000" w:themeColor="text1"/>
          <w:sz w:val="20"/>
          <w:szCs w:val="20"/>
        </w:rPr>
        <w:t xml:space="preserve"> relation to the ‘Snoop’ brand name arising on the acquisition of Snoop in 2023. These are being amortised over 9 and 5 years respectively.</w:t>
      </w:r>
    </w:p>
    <w:p w14:paraId="232F27B3" w14:textId="77777777" w:rsidR="00A1425C" w:rsidRPr="00B97C61" w:rsidRDefault="00A1425C" w:rsidP="00A1425C">
      <w:pPr>
        <w:jc w:val="both"/>
        <w:rPr>
          <w:rFonts w:asciiTheme="minorHAnsi" w:hAnsiTheme="minorHAnsi" w:cs="Poppins Light"/>
          <w:color w:val="000000"/>
          <w:sz w:val="20"/>
          <w:szCs w:val="20"/>
        </w:rPr>
      </w:pPr>
    </w:p>
    <w:p w14:paraId="07BF94C5" w14:textId="376AB8C1" w:rsidR="001A02A2" w:rsidRDefault="00897326" w:rsidP="00897326">
      <w:pPr>
        <w:jc w:val="both"/>
        <w:rPr>
          <w:rFonts w:asciiTheme="minorHAnsi" w:hAnsiTheme="minorHAnsi" w:cs="Poppins Light"/>
          <w:color w:val="000000" w:themeColor="text1"/>
          <w:sz w:val="20"/>
          <w:szCs w:val="20"/>
        </w:rPr>
      </w:pPr>
      <w:r w:rsidRPr="3441915A">
        <w:rPr>
          <w:rFonts w:asciiTheme="minorHAnsi" w:hAnsiTheme="minorHAnsi" w:cs="Poppins Light"/>
          <w:color w:val="000000" w:themeColor="text1"/>
          <w:sz w:val="20"/>
          <w:szCs w:val="20"/>
        </w:rPr>
        <w:t xml:space="preserve">Additions to computer software of </w:t>
      </w:r>
      <w:r w:rsidRPr="00327A1E">
        <w:rPr>
          <w:rFonts w:asciiTheme="minorHAnsi" w:hAnsiTheme="minorHAnsi" w:cs="Poppins Light"/>
          <w:color w:val="000000" w:themeColor="text1"/>
          <w:sz w:val="20"/>
          <w:szCs w:val="20"/>
        </w:rPr>
        <w:t>£</w:t>
      </w:r>
      <w:r w:rsidR="009C6C65" w:rsidRPr="00327A1E">
        <w:rPr>
          <w:rFonts w:asciiTheme="minorHAnsi" w:hAnsiTheme="minorHAnsi" w:cs="Poppins Light"/>
          <w:color w:val="000000" w:themeColor="text1"/>
          <w:sz w:val="20"/>
          <w:szCs w:val="20"/>
        </w:rPr>
        <w:t>7.3</w:t>
      </w:r>
      <w:r w:rsidRPr="00327A1E">
        <w:rPr>
          <w:rFonts w:asciiTheme="minorHAnsi" w:hAnsiTheme="minorHAnsi" w:cs="Poppins Light"/>
          <w:color w:val="000000" w:themeColor="text1"/>
          <w:sz w:val="20"/>
          <w:szCs w:val="20"/>
        </w:rPr>
        <w:t xml:space="preserve">m </w:t>
      </w:r>
      <w:r w:rsidRPr="3441915A">
        <w:rPr>
          <w:rFonts w:asciiTheme="minorHAnsi" w:hAnsiTheme="minorHAnsi" w:cs="Poppins Light"/>
          <w:color w:val="000000" w:themeColor="text1"/>
          <w:sz w:val="20"/>
          <w:szCs w:val="20"/>
        </w:rPr>
        <w:t>(</w:t>
      </w:r>
      <w:r w:rsidR="00B47F05" w:rsidRPr="007718E9">
        <w:rPr>
          <w:rFonts w:asciiTheme="minorHAnsi" w:hAnsiTheme="minorHAnsi" w:cs="Poppins Light"/>
          <w:color w:val="000000" w:themeColor="text1"/>
          <w:sz w:val="20"/>
          <w:szCs w:val="20"/>
        </w:rPr>
        <w:t>FY24</w:t>
      </w:r>
      <w:r w:rsidR="00090155">
        <w:rPr>
          <w:rFonts w:asciiTheme="minorHAnsi" w:hAnsiTheme="minorHAnsi" w:cs="Poppins Light"/>
          <w:color w:val="000000" w:themeColor="text1"/>
          <w:sz w:val="20"/>
          <w:szCs w:val="20"/>
        </w:rPr>
        <w:t>:</w:t>
      </w:r>
      <w:r w:rsidR="00B47F05" w:rsidRPr="007718E9">
        <w:rPr>
          <w:rFonts w:asciiTheme="minorHAnsi" w:hAnsiTheme="minorHAnsi" w:cs="Poppins Light"/>
          <w:color w:val="000000" w:themeColor="text1"/>
          <w:sz w:val="20"/>
          <w:szCs w:val="20"/>
        </w:rPr>
        <w:t xml:space="preserve"> £</w:t>
      </w:r>
      <w:r w:rsidR="007718E9" w:rsidRPr="007718E9">
        <w:rPr>
          <w:rFonts w:asciiTheme="minorHAnsi" w:hAnsiTheme="minorHAnsi" w:cs="Poppins Light"/>
          <w:color w:val="000000" w:themeColor="text1"/>
          <w:sz w:val="20"/>
          <w:szCs w:val="20"/>
        </w:rPr>
        <w:t>12.5</w:t>
      </w:r>
      <w:r w:rsidR="00B47F05" w:rsidRPr="007718E9">
        <w:rPr>
          <w:rFonts w:asciiTheme="minorHAnsi" w:hAnsiTheme="minorHAnsi" w:cs="Poppins Light"/>
          <w:color w:val="000000" w:themeColor="text1"/>
          <w:sz w:val="20"/>
          <w:szCs w:val="20"/>
        </w:rPr>
        <w:t xml:space="preserve">m; </w:t>
      </w:r>
      <w:r w:rsidRPr="007718E9">
        <w:rPr>
          <w:rFonts w:asciiTheme="minorHAnsi" w:hAnsiTheme="minorHAnsi" w:cs="Poppins Light"/>
          <w:color w:val="000000" w:themeColor="text1"/>
          <w:sz w:val="20"/>
          <w:szCs w:val="20"/>
        </w:rPr>
        <w:t>1H2</w:t>
      </w:r>
      <w:r w:rsidR="00B47F05" w:rsidRPr="007718E9">
        <w:rPr>
          <w:rFonts w:asciiTheme="minorHAnsi" w:hAnsiTheme="minorHAnsi" w:cs="Poppins Light"/>
          <w:color w:val="000000" w:themeColor="text1"/>
          <w:sz w:val="20"/>
          <w:szCs w:val="20"/>
        </w:rPr>
        <w:t>4</w:t>
      </w:r>
      <w:r w:rsidRPr="007718E9">
        <w:rPr>
          <w:rFonts w:asciiTheme="minorHAnsi" w:hAnsiTheme="minorHAnsi" w:cs="Poppins Light"/>
          <w:color w:val="000000" w:themeColor="text1"/>
          <w:sz w:val="20"/>
          <w:szCs w:val="20"/>
        </w:rPr>
        <w:t>: £</w:t>
      </w:r>
      <w:r w:rsidR="00B47F05" w:rsidRPr="00373294">
        <w:rPr>
          <w:rFonts w:asciiTheme="minorHAnsi" w:hAnsiTheme="minorHAnsi" w:cs="Poppins Light"/>
          <w:color w:val="000000" w:themeColor="text1"/>
          <w:sz w:val="20"/>
          <w:szCs w:val="20"/>
        </w:rPr>
        <w:t>4.5</w:t>
      </w:r>
      <w:r w:rsidRPr="00373294">
        <w:rPr>
          <w:rFonts w:asciiTheme="minorHAnsi" w:hAnsiTheme="minorHAnsi" w:cs="Poppins Light"/>
          <w:color w:val="000000" w:themeColor="text1"/>
          <w:sz w:val="20"/>
          <w:szCs w:val="20"/>
        </w:rPr>
        <w:t>m</w:t>
      </w:r>
      <w:r w:rsidRPr="007718E9">
        <w:rPr>
          <w:rFonts w:asciiTheme="minorHAnsi" w:hAnsiTheme="minorHAnsi" w:cs="Poppins Light"/>
          <w:color w:val="000000" w:themeColor="text1"/>
          <w:sz w:val="20"/>
          <w:szCs w:val="20"/>
        </w:rPr>
        <w:t>)</w:t>
      </w:r>
      <w:r w:rsidRPr="3441915A">
        <w:rPr>
          <w:rFonts w:asciiTheme="minorHAnsi" w:hAnsiTheme="minorHAnsi" w:cs="Poppins Light"/>
          <w:color w:val="000000" w:themeColor="text1"/>
          <w:sz w:val="20"/>
          <w:szCs w:val="20"/>
        </w:rPr>
        <w:t xml:space="preserve"> </w:t>
      </w:r>
      <w:r w:rsidRPr="6A7632AC">
        <w:rPr>
          <w:rFonts w:asciiTheme="minorHAnsi" w:hAnsiTheme="minorHAnsi" w:cs="Poppins Light"/>
          <w:color w:val="000000" w:themeColor="text1"/>
          <w:sz w:val="20"/>
          <w:szCs w:val="20"/>
        </w:rPr>
        <w:t>comprise costs associated with the Gateway platform development.</w:t>
      </w:r>
      <w:r w:rsidRPr="3441915A">
        <w:rPr>
          <w:rFonts w:asciiTheme="minorHAnsi" w:hAnsiTheme="minorHAnsi" w:cs="Poppins Light"/>
          <w:color w:val="000000" w:themeColor="text1"/>
          <w:sz w:val="20"/>
          <w:szCs w:val="20"/>
        </w:rPr>
        <w:t xml:space="preserve"> </w:t>
      </w:r>
    </w:p>
    <w:p w14:paraId="2F3144AE" w14:textId="77777777" w:rsidR="001A02A2" w:rsidRDefault="001A02A2" w:rsidP="00897326">
      <w:pPr>
        <w:jc w:val="both"/>
        <w:rPr>
          <w:rFonts w:asciiTheme="minorHAnsi" w:hAnsiTheme="minorHAnsi" w:cs="Poppins Light"/>
          <w:color w:val="000000" w:themeColor="text1"/>
          <w:sz w:val="20"/>
          <w:szCs w:val="20"/>
        </w:rPr>
      </w:pPr>
    </w:p>
    <w:p w14:paraId="3A9338EC" w14:textId="3871A4D3" w:rsidR="00833091" w:rsidRPr="007F7783" w:rsidRDefault="00000CD5" w:rsidP="00A1425C">
      <w:pPr>
        <w:jc w:val="both"/>
        <w:rPr>
          <w:rFonts w:asciiTheme="minorHAnsi" w:hAnsiTheme="minorHAnsi" w:cs="Poppins Light"/>
          <w:color w:val="000000" w:themeColor="text1"/>
          <w:sz w:val="20"/>
          <w:szCs w:val="20"/>
        </w:rPr>
      </w:pPr>
      <w:r w:rsidRPr="00000CD5">
        <w:rPr>
          <w:rFonts w:asciiTheme="minorHAnsi" w:hAnsiTheme="minorHAnsi" w:cs="Poppins Light"/>
          <w:color w:val="000000" w:themeColor="text1"/>
          <w:sz w:val="20"/>
          <w:szCs w:val="20"/>
        </w:rPr>
        <w:t>Included</w:t>
      </w:r>
      <w:r w:rsidR="00361C1F" w:rsidRPr="007F7783">
        <w:rPr>
          <w:rFonts w:asciiTheme="minorHAnsi" w:hAnsiTheme="minorHAnsi" w:cs="Poppins Light"/>
          <w:color w:val="000000" w:themeColor="text1"/>
          <w:sz w:val="20"/>
          <w:szCs w:val="20"/>
        </w:rPr>
        <w:t xml:space="preserve"> with discontinued operations is a</w:t>
      </w:r>
      <w:r w:rsidRPr="007F7783">
        <w:rPr>
          <w:rFonts w:asciiTheme="minorHAnsi" w:hAnsiTheme="minorHAnsi" w:cs="Poppins Light"/>
          <w:color w:val="000000" w:themeColor="text1"/>
          <w:sz w:val="20"/>
          <w:szCs w:val="20"/>
        </w:rPr>
        <w:t>mortisation of £</w:t>
      </w:r>
      <w:r w:rsidR="005C2451">
        <w:rPr>
          <w:rFonts w:asciiTheme="minorHAnsi" w:hAnsiTheme="minorHAnsi" w:cs="Poppins Light"/>
          <w:color w:val="000000" w:themeColor="text1"/>
          <w:sz w:val="20"/>
          <w:szCs w:val="20"/>
        </w:rPr>
        <w:t>0.2</w:t>
      </w:r>
      <w:r w:rsidRPr="007F7783">
        <w:rPr>
          <w:rFonts w:asciiTheme="minorHAnsi" w:hAnsiTheme="minorHAnsi" w:cs="Poppins Light"/>
          <w:color w:val="000000" w:themeColor="text1"/>
          <w:sz w:val="20"/>
          <w:szCs w:val="20"/>
        </w:rPr>
        <w:t xml:space="preserve">m </w:t>
      </w:r>
      <w:r w:rsidRPr="3441915A">
        <w:rPr>
          <w:rFonts w:asciiTheme="minorHAnsi" w:hAnsiTheme="minorHAnsi" w:cs="Poppins Light"/>
          <w:color w:val="000000" w:themeColor="text1"/>
          <w:sz w:val="20"/>
          <w:szCs w:val="20"/>
        </w:rPr>
        <w:t>(</w:t>
      </w:r>
      <w:r w:rsidRPr="007718E9">
        <w:rPr>
          <w:rFonts w:asciiTheme="minorHAnsi" w:hAnsiTheme="minorHAnsi" w:cs="Poppins Light"/>
          <w:color w:val="000000" w:themeColor="text1"/>
          <w:sz w:val="20"/>
          <w:szCs w:val="20"/>
        </w:rPr>
        <w:t>FY24</w:t>
      </w:r>
      <w:r w:rsidR="00090155">
        <w:rPr>
          <w:rFonts w:asciiTheme="minorHAnsi" w:hAnsiTheme="minorHAnsi" w:cs="Poppins Light"/>
          <w:color w:val="000000" w:themeColor="text1"/>
          <w:sz w:val="20"/>
          <w:szCs w:val="20"/>
        </w:rPr>
        <w:t>:</w:t>
      </w:r>
      <w:r w:rsidRPr="007718E9">
        <w:rPr>
          <w:rFonts w:asciiTheme="minorHAnsi" w:hAnsiTheme="minorHAnsi" w:cs="Poppins Light"/>
          <w:color w:val="000000" w:themeColor="text1"/>
          <w:sz w:val="20"/>
          <w:szCs w:val="20"/>
        </w:rPr>
        <w:t xml:space="preserve"> £</w:t>
      </w:r>
      <w:r w:rsidR="005C2451">
        <w:rPr>
          <w:rFonts w:asciiTheme="minorHAnsi" w:hAnsiTheme="minorHAnsi" w:cs="Poppins Light"/>
          <w:color w:val="000000" w:themeColor="text1"/>
          <w:sz w:val="20"/>
          <w:szCs w:val="20"/>
        </w:rPr>
        <w:t>1.4</w:t>
      </w:r>
      <w:r w:rsidRPr="007718E9">
        <w:rPr>
          <w:rFonts w:asciiTheme="minorHAnsi" w:hAnsiTheme="minorHAnsi" w:cs="Poppins Light"/>
          <w:color w:val="000000" w:themeColor="text1"/>
          <w:sz w:val="20"/>
          <w:szCs w:val="20"/>
        </w:rPr>
        <w:t>m;</w:t>
      </w:r>
      <w:r w:rsidR="00897326" w:rsidRPr="3441915A">
        <w:rPr>
          <w:rFonts w:asciiTheme="minorHAnsi" w:hAnsiTheme="minorHAnsi" w:cs="Poppins Light"/>
          <w:color w:val="000000" w:themeColor="text1"/>
          <w:sz w:val="20"/>
          <w:szCs w:val="20"/>
        </w:rPr>
        <w:t xml:space="preserve"> 1H24</w:t>
      </w:r>
      <w:r w:rsidRPr="007718E9">
        <w:rPr>
          <w:rFonts w:asciiTheme="minorHAnsi" w:hAnsiTheme="minorHAnsi" w:cs="Poppins Light"/>
          <w:color w:val="000000" w:themeColor="text1"/>
          <w:sz w:val="20"/>
          <w:szCs w:val="20"/>
        </w:rPr>
        <w:t xml:space="preserve">: </w:t>
      </w:r>
      <w:r w:rsidR="005C2451">
        <w:rPr>
          <w:rFonts w:asciiTheme="minorHAnsi" w:hAnsiTheme="minorHAnsi" w:cs="Poppins Light"/>
          <w:color w:val="000000" w:themeColor="text1"/>
          <w:sz w:val="20"/>
          <w:szCs w:val="20"/>
        </w:rPr>
        <w:t>£0</w:t>
      </w:r>
      <w:r w:rsidR="00B70571">
        <w:rPr>
          <w:rFonts w:asciiTheme="minorHAnsi" w:hAnsiTheme="minorHAnsi" w:cs="Poppins Light"/>
          <w:color w:val="000000" w:themeColor="text1"/>
          <w:sz w:val="20"/>
          <w:szCs w:val="20"/>
        </w:rPr>
        <w:t>.7</w:t>
      </w:r>
      <w:r w:rsidRPr="007718E9">
        <w:rPr>
          <w:rFonts w:asciiTheme="minorHAnsi" w:hAnsiTheme="minorHAnsi" w:cs="Poppins Light"/>
          <w:color w:val="000000" w:themeColor="text1"/>
          <w:sz w:val="20"/>
          <w:szCs w:val="20"/>
        </w:rPr>
        <w:t>m)</w:t>
      </w:r>
      <w:r w:rsidR="007C5661">
        <w:rPr>
          <w:rFonts w:asciiTheme="minorHAnsi" w:hAnsiTheme="minorHAnsi" w:cs="Poppins Light"/>
          <w:color w:val="000000" w:themeColor="text1"/>
          <w:sz w:val="20"/>
          <w:szCs w:val="20"/>
        </w:rPr>
        <w:t xml:space="preserve"> and </w:t>
      </w:r>
      <w:r w:rsidR="006606E1">
        <w:rPr>
          <w:rFonts w:asciiTheme="minorHAnsi" w:hAnsiTheme="minorHAnsi" w:cs="Poppins Light"/>
          <w:color w:val="000000" w:themeColor="text1"/>
          <w:sz w:val="20"/>
          <w:szCs w:val="20"/>
        </w:rPr>
        <w:t xml:space="preserve">the loss on disposal of </w:t>
      </w:r>
      <w:r w:rsidR="00F57CC5">
        <w:rPr>
          <w:rFonts w:asciiTheme="minorHAnsi" w:hAnsiTheme="minorHAnsi" w:cs="Poppins Light"/>
          <w:color w:val="000000" w:themeColor="text1"/>
          <w:sz w:val="20"/>
          <w:szCs w:val="20"/>
        </w:rPr>
        <w:t xml:space="preserve"> </w:t>
      </w:r>
      <w:r w:rsidR="00F57CC5" w:rsidRPr="00CA3EDF">
        <w:rPr>
          <w:rFonts w:asciiTheme="minorHAnsi" w:hAnsiTheme="minorHAnsi" w:cs="Poppins Light"/>
          <w:color w:val="000000" w:themeColor="text1"/>
          <w:sz w:val="20"/>
          <w:szCs w:val="20"/>
        </w:rPr>
        <w:t>£</w:t>
      </w:r>
      <w:r w:rsidR="009C6C65">
        <w:rPr>
          <w:rFonts w:asciiTheme="minorHAnsi" w:hAnsiTheme="minorHAnsi" w:cs="Poppins Light"/>
          <w:color w:val="000000" w:themeColor="text1"/>
          <w:sz w:val="20"/>
          <w:szCs w:val="20"/>
        </w:rPr>
        <w:t>1.2</w:t>
      </w:r>
      <w:r w:rsidR="00F57CC5" w:rsidRPr="00CA3EDF">
        <w:rPr>
          <w:rFonts w:asciiTheme="minorHAnsi" w:hAnsiTheme="minorHAnsi" w:cs="Poppins Light"/>
          <w:color w:val="000000" w:themeColor="text1"/>
          <w:sz w:val="20"/>
          <w:szCs w:val="20"/>
        </w:rPr>
        <w:t xml:space="preserve">m </w:t>
      </w:r>
      <w:r w:rsidR="00F57CC5" w:rsidRPr="3441915A">
        <w:rPr>
          <w:rFonts w:asciiTheme="minorHAnsi" w:hAnsiTheme="minorHAnsi" w:cs="Poppins Light"/>
          <w:color w:val="000000" w:themeColor="text1"/>
          <w:sz w:val="20"/>
          <w:szCs w:val="20"/>
        </w:rPr>
        <w:t>(</w:t>
      </w:r>
      <w:r w:rsidR="00F57CC5" w:rsidRPr="007718E9">
        <w:rPr>
          <w:rFonts w:asciiTheme="minorHAnsi" w:hAnsiTheme="minorHAnsi" w:cs="Poppins Light"/>
          <w:color w:val="000000" w:themeColor="text1"/>
          <w:sz w:val="20"/>
          <w:szCs w:val="20"/>
        </w:rPr>
        <w:t>FY24</w:t>
      </w:r>
      <w:r w:rsidR="00090155">
        <w:rPr>
          <w:rFonts w:asciiTheme="minorHAnsi" w:hAnsiTheme="minorHAnsi" w:cs="Poppins Light"/>
          <w:color w:val="000000" w:themeColor="text1"/>
          <w:sz w:val="20"/>
          <w:szCs w:val="20"/>
        </w:rPr>
        <w:t>:</w:t>
      </w:r>
      <w:r w:rsidR="00F57CC5" w:rsidRPr="007718E9">
        <w:rPr>
          <w:rFonts w:asciiTheme="minorHAnsi" w:hAnsiTheme="minorHAnsi" w:cs="Poppins Light"/>
          <w:color w:val="000000" w:themeColor="text1"/>
          <w:sz w:val="20"/>
          <w:szCs w:val="20"/>
        </w:rPr>
        <w:t xml:space="preserve"> £</w:t>
      </w:r>
      <w:r w:rsidR="00B70571">
        <w:rPr>
          <w:rFonts w:asciiTheme="minorHAnsi" w:hAnsiTheme="minorHAnsi" w:cs="Poppins Light"/>
          <w:color w:val="000000" w:themeColor="text1"/>
          <w:sz w:val="20"/>
          <w:szCs w:val="20"/>
        </w:rPr>
        <w:t>nil</w:t>
      </w:r>
      <w:r w:rsidR="00F57CC5" w:rsidRPr="007718E9">
        <w:rPr>
          <w:rFonts w:asciiTheme="minorHAnsi" w:hAnsiTheme="minorHAnsi" w:cs="Poppins Light"/>
          <w:color w:val="000000" w:themeColor="text1"/>
          <w:sz w:val="20"/>
          <w:szCs w:val="20"/>
        </w:rPr>
        <w:t>; 1H24: £</w:t>
      </w:r>
      <w:r w:rsidR="00B70571">
        <w:rPr>
          <w:rFonts w:asciiTheme="minorHAnsi" w:hAnsiTheme="minorHAnsi" w:cs="Poppins Light"/>
          <w:color w:val="000000" w:themeColor="text1"/>
          <w:sz w:val="20"/>
          <w:szCs w:val="20"/>
        </w:rPr>
        <w:t>nil</w:t>
      </w:r>
      <w:r w:rsidR="00F57CC5" w:rsidRPr="007718E9">
        <w:rPr>
          <w:rFonts w:asciiTheme="minorHAnsi" w:hAnsiTheme="minorHAnsi" w:cs="Poppins Light"/>
          <w:color w:val="000000" w:themeColor="text1"/>
          <w:sz w:val="20"/>
          <w:szCs w:val="20"/>
        </w:rPr>
        <w:t>)</w:t>
      </w:r>
      <w:r w:rsidR="00F57CC5">
        <w:rPr>
          <w:rFonts w:asciiTheme="minorHAnsi" w:hAnsiTheme="minorHAnsi" w:cs="Poppins Light"/>
          <w:color w:val="000000" w:themeColor="text1"/>
          <w:sz w:val="20"/>
          <w:szCs w:val="20"/>
        </w:rPr>
        <w:t>. The</w:t>
      </w:r>
      <w:r w:rsidR="00897326" w:rsidRPr="3441915A">
        <w:rPr>
          <w:rFonts w:asciiTheme="minorHAnsi" w:hAnsiTheme="minorHAnsi" w:cs="Poppins Light"/>
          <w:color w:val="000000" w:themeColor="text1"/>
          <w:sz w:val="20"/>
          <w:szCs w:val="20"/>
        </w:rPr>
        <w:t xml:space="preserve"> </w:t>
      </w:r>
      <w:r w:rsidR="006606E1">
        <w:rPr>
          <w:rFonts w:asciiTheme="minorHAnsi" w:hAnsiTheme="minorHAnsi" w:cs="Poppins Light"/>
          <w:color w:val="000000" w:themeColor="text1"/>
          <w:sz w:val="20"/>
          <w:szCs w:val="20"/>
        </w:rPr>
        <w:t xml:space="preserve">disposal </w:t>
      </w:r>
      <w:r w:rsidR="00897326">
        <w:rPr>
          <w:rFonts w:asciiTheme="minorHAnsi" w:hAnsiTheme="minorHAnsi" w:cs="Poppins Light"/>
          <w:color w:val="000000" w:themeColor="text1"/>
          <w:sz w:val="20"/>
          <w:szCs w:val="20"/>
        </w:rPr>
        <w:t>relates to the</w:t>
      </w:r>
      <w:r w:rsidR="00897326" w:rsidRPr="3441915A">
        <w:rPr>
          <w:rFonts w:asciiTheme="minorHAnsi" w:hAnsiTheme="minorHAnsi" w:cs="Poppins Light"/>
          <w:color w:val="000000" w:themeColor="text1"/>
          <w:sz w:val="20"/>
          <w:szCs w:val="20"/>
        </w:rPr>
        <w:t xml:space="preserve"> write down of redundant</w:t>
      </w:r>
      <w:r w:rsidR="00F57CC5">
        <w:rPr>
          <w:rFonts w:asciiTheme="minorHAnsi" w:hAnsiTheme="minorHAnsi" w:cs="Poppins Light"/>
          <w:color w:val="000000" w:themeColor="text1"/>
          <w:sz w:val="20"/>
          <w:szCs w:val="20"/>
        </w:rPr>
        <w:t xml:space="preserve"> IT systems used to support the loans business. </w:t>
      </w:r>
    </w:p>
    <w:p w14:paraId="20678ABC" w14:textId="77777777" w:rsidR="00F57CC5" w:rsidRDefault="00F57CC5">
      <w:pPr>
        <w:rPr>
          <w:rFonts w:asciiTheme="minorHAnsi" w:hAnsiTheme="minorHAnsi" w:cs="Arial"/>
          <w:b/>
          <w:color w:val="4747FF"/>
          <w:sz w:val="22"/>
          <w:szCs w:val="22"/>
        </w:rPr>
      </w:pPr>
    </w:p>
    <w:p w14:paraId="15D72CD7" w14:textId="77777777" w:rsidR="00F57CC5" w:rsidRDefault="00F57CC5" w:rsidP="00F57CC5">
      <w:pPr>
        <w:jc w:val="both"/>
        <w:rPr>
          <w:rFonts w:asciiTheme="minorHAnsi" w:hAnsiTheme="minorHAnsi" w:cs="Poppins Light"/>
          <w:color w:val="000000" w:themeColor="text1"/>
          <w:sz w:val="20"/>
          <w:szCs w:val="20"/>
        </w:rPr>
      </w:pPr>
      <w:r w:rsidRPr="3441915A">
        <w:rPr>
          <w:rFonts w:asciiTheme="minorHAnsi" w:hAnsiTheme="minorHAnsi" w:cs="Poppins Light"/>
          <w:color w:val="000000" w:themeColor="text1"/>
          <w:sz w:val="20"/>
          <w:szCs w:val="20"/>
        </w:rPr>
        <w:lastRenderedPageBreak/>
        <w:t>In 1H24</w:t>
      </w:r>
      <w:r>
        <w:rPr>
          <w:rFonts w:asciiTheme="minorHAnsi" w:hAnsiTheme="minorHAnsi" w:cs="Poppins Light"/>
          <w:color w:val="000000" w:themeColor="text1"/>
          <w:sz w:val="20"/>
          <w:szCs w:val="20"/>
        </w:rPr>
        <w:t xml:space="preserve"> and FY24</w:t>
      </w:r>
      <w:r w:rsidRPr="3441915A">
        <w:rPr>
          <w:rFonts w:asciiTheme="minorHAnsi" w:hAnsiTheme="minorHAnsi" w:cs="Poppins Light"/>
          <w:color w:val="000000" w:themeColor="text1"/>
          <w:sz w:val="20"/>
          <w:szCs w:val="20"/>
        </w:rPr>
        <w:t xml:space="preserve"> £</w:t>
      </w:r>
      <w:r>
        <w:rPr>
          <w:rFonts w:asciiTheme="minorHAnsi" w:hAnsiTheme="minorHAnsi" w:cs="Poppins Light"/>
          <w:color w:val="000000" w:themeColor="text1"/>
          <w:sz w:val="20"/>
          <w:szCs w:val="20"/>
        </w:rPr>
        <w:t>8.5</w:t>
      </w:r>
      <w:r w:rsidRPr="6A7632AC">
        <w:rPr>
          <w:rFonts w:asciiTheme="minorHAnsi" w:hAnsiTheme="minorHAnsi" w:cs="Poppins Light"/>
          <w:color w:val="000000" w:themeColor="text1"/>
          <w:sz w:val="20"/>
          <w:szCs w:val="20"/>
        </w:rPr>
        <w:t>m</w:t>
      </w:r>
      <w:r w:rsidRPr="3441915A">
        <w:rPr>
          <w:rFonts w:asciiTheme="minorHAnsi" w:hAnsiTheme="minorHAnsi" w:cs="Poppins Light"/>
          <w:color w:val="000000" w:themeColor="text1"/>
          <w:sz w:val="20"/>
          <w:szCs w:val="20"/>
        </w:rPr>
        <w:t xml:space="preserve"> of </w:t>
      </w:r>
      <w:r>
        <w:rPr>
          <w:rFonts w:asciiTheme="minorHAnsi" w:hAnsiTheme="minorHAnsi" w:cs="Poppins Light"/>
          <w:color w:val="000000" w:themeColor="text1"/>
          <w:sz w:val="20"/>
          <w:szCs w:val="20"/>
        </w:rPr>
        <w:t>impairment relates to the</w:t>
      </w:r>
      <w:r w:rsidRPr="3441915A">
        <w:rPr>
          <w:rFonts w:asciiTheme="minorHAnsi" w:hAnsiTheme="minorHAnsi" w:cs="Poppins Light"/>
          <w:color w:val="000000" w:themeColor="text1"/>
          <w:sz w:val="20"/>
          <w:szCs w:val="20"/>
        </w:rPr>
        <w:t xml:space="preserve"> write down of development costs for a mobile app which </w:t>
      </w:r>
      <w:r>
        <w:rPr>
          <w:rFonts w:asciiTheme="minorHAnsi" w:hAnsiTheme="minorHAnsi" w:cs="Poppins Light"/>
          <w:color w:val="000000" w:themeColor="text1"/>
          <w:sz w:val="20"/>
          <w:szCs w:val="20"/>
        </w:rPr>
        <w:t>was</w:t>
      </w:r>
      <w:r w:rsidRPr="3441915A">
        <w:rPr>
          <w:rFonts w:asciiTheme="minorHAnsi" w:hAnsiTheme="minorHAnsi" w:cs="Poppins Light"/>
          <w:color w:val="000000" w:themeColor="text1"/>
          <w:sz w:val="20"/>
          <w:szCs w:val="20"/>
        </w:rPr>
        <w:t xml:space="preserve"> considered redundant. </w:t>
      </w:r>
    </w:p>
    <w:p w14:paraId="27103617" w14:textId="77777777" w:rsidR="00424D08" w:rsidRDefault="00424D08">
      <w:pPr>
        <w:rPr>
          <w:rFonts w:asciiTheme="minorHAnsi" w:hAnsiTheme="minorHAnsi" w:cs="Arial"/>
          <w:b/>
          <w:color w:val="4747FF"/>
          <w:sz w:val="22"/>
          <w:szCs w:val="22"/>
        </w:rPr>
      </w:pPr>
    </w:p>
    <w:p w14:paraId="0E8F2BEE" w14:textId="472E9CFB" w:rsidR="00A1425C" w:rsidRPr="00B97C61" w:rsidRDefault="003F4410" w:rsidP="00A1425C">
      <w:pPr>
        <w:jc w:val="both"/>
        <w:rPr>
          <w:rFonts w:asciiTheme="minorHAnsi" w:hAnsiTheme="minorHAnsi" w:cs="Arial"/>
          <w:b/>
          <w:color w:val="4747FF"/>
          <w:sz w:val="22"/>
          <w:szCs w:val="22"/>
        </w:rPr>
      </w:pPr>
      <w:r>
        <w:rPr>
          <w:rFonts w:asciiTheme="minorHAnsi" w:hAnsiTheme="minorHAnsi" w:cs="Arial"/>
          <w:b/>
          <w:color w:val="4747FF"/>
          <w:sz w:val="22"/>
          <w:szCs w:val="22"/>
        </w:rPr>
        <w:t>12</w:t>
      </w:r>
      <w:r w:rsidR="00A1425C" w:rsidRPr="00B97C61">
        <w:rPr>
          <w:rFonts w:asciiTheme="minorHAnsi" w:hAnsiTheme="minorHAnsi" w:cs="Arial"/>
          <w:b/>
          <w:color w:val="4747FF"/>
          <w:sz w:val="22"/>
          <w:szCs w:val="22"/>
        </w:rPr>
        <w:t>.</w:t>
      </w:r>
      <w:r w:rsidR="00A1425C" w:rsidRPr="00B97C61">
        <w:rPr>
          <w:rFonts w:asciiTheme="minorHAnsi" w:hAnsiTheme="minorHAnsi" w:cs="Arial"/>
          <w:b/>
          <w:color w:val="4747FF"/>
          <w:sz w:val="22"/>
          <w:szCs w:val="22"/>
        </w:rPr>
        <w:tab/>
        <w:t>Retirement benefit asset</w:t>
      </w:r>
    </w:p>
    <w:p w14:paraId="259504CE" w14:textId="77777777" w:rsidR="00A1425C" w:rsidRPr="00B97C61" w:rsidRDefault="00A1425C" w:rsidP="00A1425C">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olor w:val="auto"/>
          <w:sz w:val="20"/>
          <w:lang w:eastAsia="en-GB"/>
        </w:rPr>
      </w:pPr>
    </w:p>
    <w:p w14:paraId="60E62747" w14:textId="77777777" w:rsidR="00A1425C" w:rsidRPr="00B97C61" w:rsidRDefault="00A1425C" w:rsidP="00A1425C">
      <w:p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The Group operates a defined benefit scheme: the Provident Financial Staff Pension Scheme. The scheme is of the funded, defined benefit type. It is now also closed to future accrual.</w:t>
      </w:r>
    </w:p>
    <w:p w14:paraId="0352C4F8" w14:textId="77777777" w:rsidR="00C12B00" w:rsidRDefault="00C12B00" w:rsidP="00A1425C">
      <w:pPr>
        <w:autoSpaceDE w:val="0"/>
        <w:autoSpaceDN w:val="0"/>
        <w:adjustRightInd w:val="0"/>
        <w:jc w:val="both"/>
        <w:rPr>
          <w:rFonts w:asciiTheme="minorHAnsi" w:hAnsiTheme="minorHAnsi" w:cs="Poppins-Light"/>
          <w:sz w:val="20"/>
          <w:szCs w:val="20"/>
        </w:rPr>
      </w:pPr>
    </w:p>
    <w:p w14:paraId="0BCE9195" w14:textId="77777777" w:rsidR="00A1425C" w:rsidRDefault="00A1425C" w:rsidP="00A1425C">
      <w:p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 xml:space="preserve">The scheme provides pension benefits which were accrued on a final salary and, more recently, on a cash balance basis. With effect from </w:t>
      </w:r>
      <w:r w:rsidRPr="00DA2748">
        <w:rPr>
          <w:rFonts w:asciiTheme="minorHAnsi" w:hAnsiTheme="minorHAnsi" w:cs="Poppins-Light"/>
          <w:sz w:val="20"/>
          <w:szCs w:val="20"/>
        </w:rPr>
        <w:t>1 August 2021</w:t>
      </w:r>
      <w:r w:rsidRPr="00B97C61">
        <w:rPr>
          <w:rFonts w:asciiTheme="minorHAnsi" w:hAnsiTheme="minorHAnsi" w:cs="Poppins-Light"/>
          <w:sz w:val="20"/>
          <w:szCs w:val="20"/>
        </w:rPr>
        <w:t>, it was fully closed to future accrual and benefits are no longer linked to final salary, although accrued benefits are subject to statutory inflationary increases.</w:t>
      </w:r>
    </w:p>
    <w:p w14:paraId="1DF13A39" w14:textId="77777777" w:rsidR="00A1425C" w:rsidRPr="00B97C61" w:rsidRDefault="00A1425C" w:rsidP="00A1425C">
      <w:pPr>
        <w:jc w:val="both"/>
        <w:rPr>
          <w:rFonts w:asciiTheme="minorHAnsi" w:hAnsiTheme="minorHAnsi" w:cs="Arial"/>
          <w:b/>
          <w:color w:val="4747FF"/>
          <w:sz w:val="22"/>
          <w:szCs w:val="22"/>
        </w:rPr>
      </w:pPr>
    </w:p>
    <w:p w14:paraId="4A536FA7" w14:textId="77777777" w:rsidR="00A1425C" w:rsidRDefault="00A1425C" w:rsidP="00A1425C">
      <w:p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 xml:space="preserve">The scheme is a UK registered pension scheme under UK legislation. The scheme is governed by a Trust Deed and Rules, with trustees responsible for the operation and governance of the scheme. The trustees work closely with the Group on </w:t>
      </w:r>
    </w:p>
    <w:p w14:paraId="77BD5C10" w14:textId="0B4ADE39" w:rsidR="00733788" w:rsidRPr="00733788" w:rsidRDefault="00A1425C" w:rsidP="00733788">
      <w:p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 xml:space="preserve">funding and investment strategy decisions. The most recent </w:t>
      </w:r>
      <w:r w:rsidR="006104E1">
        <w:rPr>
          <w:rFonts w:asciiTheme="minorHAnsi" w:hAnsiTheme="minorHAnsi" w:cs="Poppins-Light"/>
          <w:sz w:val="20"/>
          <w:szCs w:val="20"/>
        </w:rPr>
        <w:t xml:space="preserve">completed </w:t>
      </w:r>
      <w:r w:rsidRPr="00B97C61">
        <w:rPr>
          <w:rFonts w:asciiTheme="minorHAnsi" w:hAnsiTheme="minorHAnsi" w:cs="Poppins-Light"/>
          <w:sz w:val="20"/>
          <w:szCs w:val="20"/>
        </w:rPr>
        <w:t xml:space="preserve">actuarial valuation of the scheme was carried out as at 1 June </w:t>
      </w:r>
      <w:r w:rsidRPr="00DA2748">
        <w:rPr>
          <w:rFonts w:asciiTheme="minorHAnsi" w:hAnsiTheme="minorHAnsi" w:cs="Poppins-Light"/>
          <w:sz w:val="20"/>
          <w:szCs w:val="20"/>
        </w:rPr>
        <w:t xml:space="preserve">2021 by a qualified independent actuary. </w:t>
      </w:r>
      <w:r w:rsidR="00733788" w:rsidRPr="00733788">
        <w:rPr>
          <w:rFonts w:asciiTheme="minorHAnsi" w:hAnsiTheme="minorHAnsi" w:cs="Poppins-Light"/>
          <w:sz w:val="20"/>
          <w:szCs w:val="20"/>
        </w:rPr>
        <w:t xml:space="preserve">The 1 June 2024 actuarial valuation is ongoing and expected to be completed in </w:t>
      </w:r>
      <w:r w:rsidR="00733788">
        <w:rPr>
          <w:rFonts w:asciiTheme="minorHAnsi" w:hAnsiTheme="minorHAnsi" w:cs="Poppins-Light"/>
          <w:sz w:val="20"/>
          <w:szCs w:val="20"/>
        </w:rPr>
        <w:t>2H25.</w:t>
      </w:r>
    </w:p>
    <w:p w14:paraId="3F864293" w14:textId="77777777" w:rsidR="00B5640B" w:rsidRDefault="00B5640B" w:rsidP="00A1425C">
      <w:pPr>
        <w:autoSpaceDE w:val="0"/>
        <w:autoSpaceDN w:val="0"/>
        <w:adjustRightInd w:val="0"/>
        <w:jc w:val="both"/>
        <w:rPr>
          <w:rFonts w:asciiTheme="minorHAnsi" w:hAnsiTheme="minorHAnsi" w:cs="Arial"/>
          <w:b/>
          <w:color w:val="4747FF"/>
          <w:sz w:val="22"/>
          <w:szCs w:val="22"/>
        </w:rPr>
      </w:pPr>
    </w:p>
    <w:p w14:paraId="5D07EEDA" w14:textId="0D5CE33D" w:rsidR="00A1425C" w:rsidRPr="00B97C61" w:rsidRDefault="00A1425C" w:rsidP="00A1425C">
      <w:pPr>
        <w:autoSpaceDE w:val="0"/>
        <w:autoSpaceDN w:val="0"/>
        <w:adjustRightInd w:val="0"/>
        <w:jc w:val="both"/>
        <w:rPr>
          <w:rFonts w:asciiTheme="minorHAnsi" w:hAnsiTheme="minorHAnsi" w:cs="Poppins-Light"/>
          <w:sz w:val="20"/>
          <w:szCs w:val="20"/>
        </w:rPr>
      </w:pPr>
      <w:r w:rsidRPr="00DA2748">
        <w:rPr>
          <w:rFonts w:asciiTheme="minorHAnsi" w:hAnsiTheme="minorHAnsi" w:cs="Poppins-Light"/>
          <w:sz w:val="20"/>
          <w:szCs w:val="20"/>
        </w:rPr>
        <w:t>The valuation used for the purposes of IAS 19 ‘Employee Benefits’ has been based on the</w:t>
      </w:r>
      <w:r w:rsidR="00733788">
        <w:rPr>
          <w:rFonts w:asciiTheme="minorHAnsi" w:hAnsiTheme="minorHAnsi" w:cs="Poppins-Light"/>
          <w:sz w:val="20"/>
          <w:szCs w:val="20"/>
        </w:rPr>
        <w:t xml:space="preserve"> </w:t>
      </w:r>
      <w:r w:rsidR="00D73D88">
        <w:rPr>
          <w:rFonts w:asciiTheme="minorHAnsi" w:hAnsiTheme="minorHAnsi" w:cs="Poppins-Light"/>
          <w:sz w:val="20"/>
          <w:szCs w:val="20"/>
        </w:rPr>
        <w:t>preliminary</w:t>
      </w:r>
      <w:r w:rsidRPr="00DA2748">
        <w:rPr>
          <w:rFonts w:asciiTheme="minorHAnsi" w:hAnsiTheme="minorHAnsi" w:cs="Poppins-Light"/>
          <w:sz w:val="20"/>
          <w:szCs w:val="20"/>
        </w:rPr>
        <w:t xml:space="preserve"> results of the 202</w:t>
      </w:r>
      <w:r w:rsidR="00D73D88">
        <w:rPr>
          <w:rFonts w:asciiTheme="minorHAnsi" w:hAnsiTheme="minorHAnsi" w:cs="Poppins-Light"/>
          <w:sz w:val="20"/>
          <w:szCs w:val="20"/>
        </w:rPr>
        <w:t>4</w:t>
      </w:r>
      <w:r w:rsidRPr="00DA2748">
        <w:rPr>
          <w:rFonts w:asciiTheme="minorHAnsi" w:hAnsiTheme="minorHAnsi" w:cs="Poppins-Light"/>
          <w:sz w:val="20"/>
          <w:szCs w:val="20"/>
        </w:rPr>
        <w:t xml:space="preserve"> valuation</w:t>
      </w:r>
      <w:r w:rsidRPr="00B97C61">
        <w:rPr>
          <w:rFonts w:asciiTheme="minorHAnsi" w:hAnsiTheme="minorHAnsi" w:cs="Poppins-Light"/>
          <w:sz w:val="20"/>
          <w:szCs w:val="20"/>
        </w:rPr>
        <w:t xml:space="preserve"> to take account of the requirements of IAS 19 in order to assess the liabilities of the scheme at the balance sheet date. Scheme assets are stated at fair value as at the balance sheet.</w:t>
      </w:r>
    </w:p>
    <w:p w14:paraId="146319C2" w14:textId="77777777" w:rsidR="00A1425C" w:rsidRPr="00B97C61" w:rsidRDefault="00A1425C" w:rsidP="00A1425C">
      <w:pPr>
        <w:autoSpaceDE w:val="0"/>
        <w:autoSpaceDN w:val="0"/>
        <w:adjustRightInd w:val="0"/>
        <w:jc w:val="both"/>
        <w:rPr>
          <w:rFonts w:asciiTheme="minorHAnsi" w:hAnsiTheme="minorHAnsi" w:cs="Poppins-Light"/>
          <w:sz w:val="20"/>
          <w:szCs w:val="20"/>
        </w:rPr>
      </w:pPr>
    </w:p>
    <w:p w14:paraId="1A478D29" w14:textId="6447E0F9" w:rsidR="002D3932" w:rsidRDefault="00A1425C" w:rsidP="00B73090">
      <w:p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The Group is entitled to a refund of any surplus, subject to tax, if the scheme winds up after all benefits have been paid. As a result, the Group recognises surplus assets under IAS 19.</w:t>
      </w:r>
    </w:p>
    <w:p w14:paraId="5D1CC31B" w14:textId="77777777" w:rsidR="00B73090" w:rsidRDefault="00B73090" w:rsidP="00B73090">
      <w:pPr>
        <w:autoSpaceDE w:val="0"/>
        <w:autoSpaceDN w:val="0"/>
        <w:adjustRightInd w:val="0"/>
        <w:jc w:val="both"/>
        <w:rPr>
          <w:rFonts w:asciiTheme="minorHAnsi" w:hAnsiTheme="minorHAnsi" w:cs="Arial"/>
          <w:b/>
          <w:color w:val="4747FF"/>
          <w:sz w:val="22"/>
          <w:szCs w:val="22"/>
        </w:rPr>
      </w:pPr>
    </w:p>
    <w:p w14:paraId="2CDE9DE9" w14:textId="77777777" w:rsidR="00A1425C" w:rsidRPr="00B97C61" w:rsidRDefault="00A1425C" w:rsidP="00A1425C">
      <w:p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The Group is exposed to a number of risks, the most significant of which are as follows:</w:t>
      </w:r>
    </w:p>
    <w:p w14:paraId="735CCD55" w14:textId="77777777" w:rsidR="00A1425C" w:rsidRPr="00B97C61" w:rsidRDefault="00A1425C" w:rsidP="003B25B9">
      <w:pPr>
        <w:pStyle w:val="ListParagraph"/>
        <w:numPr>
          <w:ilvl w:val="0"/>
          <w:numId w:val="3"/>
        </w:num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Investment risk – the liabilities for IAS 19 purposes are calculated using a discount rate set with reference to corporate bond yields. If the assets underperform this yield a deficit will arise. The scheme has a long-term objective to reduce the level of investment risk by investing in assets that better match liabilities.</w:t>
      </w:r>
    </w:p>
    <w:p w14:paraId="4A3E2E5D" w14:textId="77777777" w:rsidR="00A1425C" w:rsidRPr="00B97C61" w:rsidRDefault="00A1425C" w:rsidP="003B25B9">
      <w:pPr>
        <w:pStyle w:val="ListParagraph"/>
        <w:numPr>
          <w:ilvl w:val="0"/>
          <w:numId w:val="3"/>
        </w:num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Change in bond yields – a decrease in corporate bond yields will increase the liabilities, although this will be partly offset by an increase in matching assets.</w:t>
      </w:r>
    </w:p>
    <w:p w14:paraId="4E85829F" w14:textId="77777777" w:rsidR="00A1425C" w:rsidRPr="00B97C61" w:rsidRDefault="00A1425C" w:rsidP="003B25B9">
      <w:pPr>
        <w:pStyle w:val="ListParagraph"/>
        <w:numPr>
          <w:ilvl w:val="0"/>
          <w:numId w:val="3"/>
        </w:num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Inflation risk – some of the liabilities are linked to inflation. If inflation increases then liabilities will increase, although this will be partly offset by an increase in assets. As part of a long-term de-risking strategy, the scheme has increased its portfolio in inflation matched assets.</w:t>
      </w:r>
    </w:p>
    <w:p w14:paraId="72F0E99F" w14:textId="77777777" w:rsidR="00A1425C" w:rsidRPr="00B97C61" w:rsidRDefault="00A1425C" w:rsidP="003B25B9">
      <w:pPr>
        <w:pStyle w:val="ListParagraph"/>
        <w:numPr>
          <w:ilvl w:val="0"/>
          <w:numId w:val="3"/>
        </w:num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Life expectancies – the scheme’s final salary benefits provide pensions for the rest of members’ lives (and for their spouses’ lives). If members live longer than assumed, then the liabilities in respect of final salary benefits increase.</w:t>
      </w:r>
    </w:p>
    <w:p w14:paraId="2AAA5ACA" w14:textId="77777777" w:rsidR="001A02A2" w:rsidRDefault="001A02A2"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5F4A41E9" w14:textId="0E293056"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B97C61">
        <w:rPr>
          <w:rFonts w:asciiTheme="minorHAnsi" w:hAnsiTheme="minorHAnsi" w:cs="Arial"/>
          <w:sz w:val="20"/>
          <w:szCs w:val="20"/>
        </w:rPr>
        <w:t>The net retirement benefit asset recognised in the balance sheet of the Group is as follows:</w:t>
      </w:r>
    </w:p>
    <w:p w14:paraId="3ECF66F4" w14:textId="77777777" w:rsidR="00A1425C" w:rsidRPr="00B97C61" w:rsidRDefault="00A1425C" w:rsidP="00A1425C">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Arial"/>
          <w:bCs/>
          <w:color w:val="auto"/>
          <w:sz w:val="20"/>
        </w:rPr>
      </w:pPr>
    </w:p>
    <w:p w14:paraId="4E9BAF37" w14:textId="77777777" w:rsidR="00442776" w:rsidRDefault="00442776" w:rsidP="00A1425C">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Arial"/>
          <w:bCs/>
          <w:color w:val="auto"/>
          <w:sz w:val="20"/>
        </w:rPr>
      </w:pPr>
    </w:p>
    <w:tbl>
      <w:tblPr>
        <w:tblW w:w="5030" w:type="pct"/>
        <w:tblLayout w:type="fixed"/>
        <w:tblLook w:val="0000" w:firstRow="0" w:lastRow="0" w:firstColumn="0" w:lastColumn="0" w:noHBand="0" w:noVBand="0"/>
      </w:tblPr>
      <w:tblGrid>
        <w:gridCol w:w="5955"/>
        <w:gridCol w:w="1275"/>
        <w:gridCol w:w="1416"/>
        <w:gridCol w:w="1135"/>
      </w:tblGrid>
      <w:tr w:rsidR="00442776" w:rsidRPr="00AD61D8" w14:paraId="11170777" w14:textId="77777777" w:rsidTr="007F7783">
        <w:tc>
          <w:tcPr>
            <w:tcW w:w="3044" w:type="pct"/>
          </w:tcPr>
          <w:p w14:paraId="4D2FC295" w14:textId="77777777" w:rsidR="00442776" w:rsidRPr="00B97C61" w:rsidRDefault="00442776">
            <w:pPr>
              <w:jc w:val="both"/>
              <w:rPr>
                <w:rFonts w:asciiTheme="minorHAnsi" w:hAnsiTheme="minorHAnsi" w:cs="Arial"/>
                <w:sz w:val="20"/>
                <w:szCs w:val="20"/>
              </w:rPr>
            </w:pPr>
          </w:p>
        </w:tc>
        <w:tc>
          <w:tcPr>
            <w:tcW w:w="652" w:type="pct"/>
            <w:shd w:val="clear" w:color="auto" w:fill="F2F2F2" w:themeFill="background1" w:themeFillShade="F2"/>
          </w:tcPr>
          <w:p w14:paraId="3C489DA1" w14:textId="77777777" w:rsidR="00442776" w:rsidRPr="000E0F97" w:rsidRDefault="00442776">
            <w:pPr>
              <w:jc w:val="right"/>
              <w:rPr>
                <w:rFonts w:asciiTheme="minorHAnsi" w:hAnsiTheme="minorHAnsi" w:cs="Arial"/>
                <w:b/>
                <w:sz w:val="20"/>
                <w:szCs w:val="20"/>
              </w:rPr>
            </w:pPr>
            <w:r>
              <w:rPr>
                <w:rFonts w:asciiTheme="minorHAnsi" w:hAnsiTheme="minorHAnsi" w:cs="Arial"/>
                <w:b/>
                <w:sz w:val="20"/>
                <w:szCs w:val="20"/>
              </w:rPr>
              <w:t>30 June</w:t>
            </w:r>
          </w:p>
        </w:tc>
        <w:tc>
          <w:tcPr>
            <w:tcW w:w="724" w:type="pct"/>
          </w:tcPr>
          <w:p w14:paraId="48D3F89D" w14:textId="77777777" w:rsidR="00442776" w:rsidRPr="00B7427E" w:rsidRDefault="00442776">
            <w:pPr>
              <w:jc w:val="right"/>
              <w:rPr>
                <w:rFonts w:asciiTheme="minorHAnsi" w:hAnsiTheme="minorHAnsi" w:cs="Arial"/>
                <w:sz w:val="20"/>
                <w:szCs w:val="20"/>
              </w:rPr>
            </w:pPr>
            <w:r w:rsidRPr="00B7427E">
              <w:rPr>
                <w:rFonts w:asciiTheme="minorHAnsi" w:hAnsiTheme="minorHAnsi" w:cs="Arial"/>
                <w:sz w:val="20"/>
                <w:szCs w:val="20"/>
              </w:rPr>
              <w:t>31 December</w:t>
            </w:r>
          </w:p>
        </w:tc>
        <w:tc>
          <w:tcPr>
            <w:tcW w:w="580" w:type="pct"/>
          </w:tcPr>
          <w:p w14:paraId="06F571AF" w14:textId="77777777" w:rsidR="00442776" w:rsidRPr="00B7427E" w:rsidRDefault="00442776">
            <w:pPr>
              <w:jc w:val="right"/>
              <w:rPr>
                <w:rFonts w:asciiTheme="minorHAnsi" w:hAnsiTheme="minorHAnsi" w:cs="Arial"/>
                <w:sz w:val="20"/>
                <w:szCs w:val="20"/>
              </w:rPr>
            </w:pPr>
            <w:r w:rsidRPr="00B7427E">
              <w:rPr>
                <w:rFonts w:asciiTheme="minorHAnsi" w:hAnsiTheme="minorHAnsi" w:cs="Arial"/>
                <w:sz w:val="20"/>
                <w:szCs w:val="20"/>
              </w:rPr>
              <w:t xml:space="preserve">30 June </w:t>
            </w:r>
          </w:p>
        </w:tc>
      </w:tr>
      <w:tr w:rsidR="00442776" w:rsidRPr="00AD61D8" w14:paraId="7099C74A" w14:textId="77777777" w:rsidTr="007F7783">
        <w:tc>
          <w:tcPr>
            <w:tcW w:w="3044" w:type="pct"/>
          </w:tcPr>
          <w:p w14:paraId="3B861F3F" w14:textId="77777777" w:rsidR="00442776" w:rsidRPr="00B97C61" w:rsidRDefault="00442776">
            <w:pPr>
              <w:jc w:val="both"/>
              <w:rPr>
                <w:rFonts w:asciiTheme="minorHAnsi" w:eastAsiaTheme="minorEastAsia" w:hAnsiTheme="minorHAnsi" w:cstheme="minorBidi"/>
                <w:sz w:val="20"/>
                <w:szCs w:val="20"/>
              </w:rPr>
            </w:pPr>
          </w:p>
        </w:tc>
        <w:tc>
          <w:tcPr>
            <w:tcW w:w="652" w:type="pct"/>
            <w:shd w:val="clear" w:color="auto" w:fill="F2F2F2" w:themeFill="background1" w:themeFillShade="F2"/>
          </w:tcPr>
          <w:p w14:paraId="412787AA" w14:textId="77777777" w:rsidR="00F821DF" w:rsidRDefault="00442776">
            <w:pPr>
              <w:jc w:val="right"/>
              <w:rPr>
                <w:rFonts w:asciiTheme="minorHAnsi" w:eastAsiaTheme="minorEastAsia" w:hAnsiTheme="minorHAnsi" w:cstheme="minorBidi"/>
                <w:b/>
                <w:sz w:val="20"/>
                <w:szCs w:val="20"/>
              </w:rPr>
            </w:pPr>
            <w:r w:rsidRPr="44DC74BF">
              <w:rPr>
                <w:rFonts w:asciiTheme="minorHAnsi" w:eastAsiaTheme="minorEastAsia" w:hAnsiTheme="minorHAnsi" w:cstheme="minorBidi"/>
                <w:b/>
                <w:sz w:val="20"/>
                <w:szCs w:val="20"/>
              </w:rPr>
              <w:t>202</w:t>
            </w:r>
            <w:r>
              <w:rPr>
                <w:rFonts w:asciiTheme="minorHAnsi" w:eastAsiaTheme="minorEastAsia" w:hAnsiTheme="minorHAnsi" w:cstheme="minorBidi"/>
                <w:b/>
                <w:sz w:val="20"/>
                <w:szCs w:val="20"/>
              </w:rPr>
              <w:t>5</w:t>
            </w:r>
          </w:p>
          <w:p w14:paraId="23698483" w14:textId="4224D958" w:rsidR="00442776" w:rsidRPr="000E0F97" w:rsidRDefault="00F821DF">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una</w:t>
            </w:r>
            <w:r w:rsidR="004E41C3">
              <w:rPr>
                <w:rFonts w:asciiTheme="minorHAnsi" w:eastAsiaTheme="minorEastAsia" w:hAnsiTheme="minorHAnsi" w:cstheme="minorBidi"/>
                <w:b/>
                <w:sz w:val="20"/>
                <w:szCs w:val="20"/>
              </w:rPr>
              <w:t>u</w:t>
            </w:r>
            <w:r>
              <w:rPr>
                <w:rFonts w:asciiTheme="minorHAnsi" w:eastAsiaTheme="minorEastAsia" w:hAnsiTheme="minorHAnsi" w:cstheme="minorBidi"/>
                <w:b/>
                <w:sz w:val="20"/>
                <w:szCs w:val="20"/>
              </w:rPr>
              <w:t>dited</w:t>
            </w:r>
            <w:r w:rsidR="00442776" w:rsidRPr="44DC74BF">
              <w:rPr>
                <w:rFonts w:asciiTheme="minorHAnsi" w:eastAsiaTheme="minorEastAsia" w:hAnsiTheme="minorHAnsi" w:cstheme="minorBidi"/>
                <w:b/>
                <w:sz w:val="20"/>
                <w:szCs w:val="20"/>
              </w:rPr>
              <w:t> </w:t>
            </w:r>
          </w:p>
        </w:tc>
        <w:tc>
          <w:tcPr>
            <w:tcW w:w="724" w:type="pct"/>
          </w:tcPr>
          <w:p w14:paraId="0F187410" w14:textId="77777777" w:rsidR="00442776" w:rsidRDefault="00442776">
            <w:pPr>
              <w:jc w:val="right"/>
              <w:rPr>
                <w:rFonts w:asciiTheme="minorHAnsi" w:eastAsiaTheme="minorEastAsia" w:hAnsiTheme="minorHAnsi" w:cstheme="minorBidi"/>
                <w:sz w:val="20"/>
                <w:szCs w:val="20"/>
              </w:rPr>
            </w:pPr>
            <w:r w:rsidRPr="00B7427E">
              <w:rPr>
                <w:rFonts w:asciiTheme="minorHAnsi" w:eastAsiaTheme="minorEastAsia" w:hAnsiTheme="minorHAnsi" w:cstheme="minorBidi"/>
                <w:sz w:val="20"/>
                <w:szCs w:val="20"/>
              </w:rPr>
              <w:t>202</w:t>
            </w:r>
            <w:r>
              <w:rPr>
                <w:rFonts w:asciiTheme="minorHAnsi" w:eastAsiaTheme="minorEastAsia" w:hAnsiTheme="minorHAnsi" w:cstheme="minorBidi"/>
                <w:sz w:val="20"/>
                <w:szCs w:val="20"/>
              </w:rPr>
              <w:t>4</w:t>
            </w:r>
          </w:p>
          <w:p w14:paraId="220D5A27" w14:textId="165ABA48" w:rsidR="00442776" w:rsidRPr="00B7427E" w:rsidRDefault="007D6FC5">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audited</w:t>
            </w:r>
          </w:p>
        </w:tc>
        <w:tc>
          <w:tcPr>
            <w:tcW w:w="580" w:type="pct"/>
          </w:tcPr>
          <w:p w14:paraId="5CE0A870" w14:textId="77777777" w:rsidR="00442776" w:rsidRDefault="00442776">
            <w:pPr>
              <w:jc w:val="right"/>
              <w:rPr>
                <w:rFonts w:asciiTheme="minorHAnsi" w:eastAsiaTheme="minorEastAsia" w:hAnsiTheme="minorHAnsi" w:cstheme="minorBidi"/>
                <w:sz w:val="20"/>
                <w:szCs w:val="20"/>
              </w:rPr>
            </w:pPr>
            <w:r w:rsidRPr="00B7427E">
              <w:rPr>
                <w:rFonts w:asciiTheme="minorHAnsi" w:eastAsiaTheme="minorEastAsia" w:hAnsiTheme="minorHAnsi" w:cstheme="minorBidi"/>
                <w:sz w:val="20"/>
                <w:szCs w:val="20"/>
              </w:rPr>
              <w:t>202</w:t>
            </w:r>
            <w:r>
              <w:rPr>
                <w:rFonts w:asciiTheme="minorHAnsi" w:eastAsiaTheme="minorEastAsia" w:hAnsiTheme="minorHAnsi" w:cstheme="minorBidi"/>
                <w:sz w:val="20"/>
                <w:szCs w:val="20"/>
              </w:rPr>
              <w:t>4</w:t>
            </w:r>
          </w:p>
          <w:p w14:paraId="7548455C" w14:textId="577E5C9D" w:rsidR="00442776" w:rsidRPr="00B7427E" w:rsidRDefault="007D6FC5">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unaudited</w:t>
            </w:r>
          </w:p>
        </w:tc>
      </w:tr>
      <w:tr w:rsidR="00442776" w:rsidRPr="00AD61D8" w14:paraId="63F694D6" w14:textId="77777777" w:rsidTr="007F7783">
        <w:tc>
          <w:tcPr>
            <w:tcW w:w="3044" w:type="pct"/>
          </w:tcPr>
          <w:p w14:paraId="567F5F3D" w14:textId="77777777" w:rsidR="00442776" w:rsidRPr="00B97C61" w:rsidRDefault="00442776">
            <w:pPr>
              <w:pStyle w:val="Heading5"/>
              <w:overflowPunct/>
              <w:autoSpaceDE/>
              <w:adjustRightInd/>
              <w:rPr>
                <w:rFonts w:asciiTheme="minorHAnsi" w:eastAsiaTheme="minorEastAsia" w:hAnsiTheme="minorHAnsi" w:cstheme="minorBidi"/>
                <w:sz w:val="20"/>
              </w:rPr>
            </w:pPr>
          </w:p>
        </w:tc>
        <w:tc>
          <w:tcPr>
            <w:tcW w:w="652" w:type="pct"/>
            <w:tcBorders>
              <w:top w:val="nil"/>
              <w:left w:val="nil"/>
              <w:bottom w:val="single" w:sz="4" w:space="0" w:color="auto"/>
              <w:right w:val="nil"/>
            </w:tcBorders>
            <w:shd w:val="clear" w:color="auto" w:fill="F2F2F2" w:themeFill="background1" w:themeFillShade="F2"/>
          </w:tcPr>
          <w:p w14:paraId="6F757CA7" w14:textId="77777777" w:rsidR="00442776" w:rsidRPr="000E0F97" w:rsidRDefault="00442776">
            <w:pPr>
              <w:jc w:val="right"/>
              <w:rPr>
                <w:rFonts w:asciiTheme="minorHAnsi" w:eastAsiaTheme="minorEastAsia" w:hAnsiTheme="minorHAnsi" w:cstheme="minorBidi"/>
                <w:b/>
                <w:sz w:val="20"/>
                <w:szCs w:val="20"/>
              </w:rPr>
            </w:pPr>
            <w:r w:rsidRPr="44DC74BF">
              <w:rPr>
                <w:rFonts w:asciiTheme="minorHAnsi" w:eastAsiaTheme="minorEastAsia" w:hAnsiTheme="minorHAnsi" w:cstheme="minorBidi"/>
                <w:b/>
                <w:sz w:val="20"/>
                <w:szCs w:val="20"/>
              </w:rPr>
              <w:t>£m </w:t>
            </w:r>
          </w:p>
        </w:tc>
        <w:tc>
          <w:tcPr>
            <w:tcW w:w="724" w:type="pct"/>
            <w:tcBorders>
              <w:top w:val="nil"/>
              <w:left w:val="nil"/>
              <w:bottom w:val="single" w:sz="4" w:space="0" w:color="auto"/>
              <w:right w:val="nil"/>
            </w:tcBorders>
          </w:tcPr>
          <w:p w14:paraId="093BF62D" w14:textId="77777777" w:rsidR="00442776" w:rsidRPr="00B7427E" w:rsidRDefault="00442776">
            <w:pPr>
              <w:jc w:val="right"/>
              <w:rPr>
                <w:rFonts w:asciiTheme="minorHAnsi" w:eastAsiaTheme="minorEastAsia" w:hAnsiTheme="minorHAnsi" w:cstheme="minorBidi"/>
                <w:sz w:val="20"/>
                <w:szCs w:val="20"/>
              </w:rPr>
            </w:pPr>
            <w:r w:rsidRPr="00B7427E">
              <w:rPr>
                <w:rFonts w:asciiTheme="minorHAnsi" w:eastAsiaTheme="minorEastAsia" w:hAnsiTheme="minorHAnsi" w:cstheme="minorBidi"/>
                <w:sz w:val="20"/>
                <w:szCs w:val="20"/>
              </w:rPr>
              <w:t>£m</w:t>
            </w:r>
          </w:p>
        </w:tc>
        <w:tc>
          <w:tcPr>
            <w:tcW w:w="580" w:type="pct"/>
            <w:tcBorders>
              <w:top w:val="nil"/>
              <w:left w:val="nil"/>
              <w:bottom w:val="single" w:sz="4" w:space="0" w:color="auto"/>
              <w:right w:val="nil"/>
            </w:tcBorders>
          </w:tcPr>
          <w:p w14:paraId="5C5FD837" w14:textId="77777777" w:rsidR="00442776" w:rsidRPr="00B7427E" w:rsidRDefault="00442776">
            <w:pPr>
              <w:jc w:val="right"/>
              <w:rPr>
                <w:rFonts w:asciiTheme="minorHAnsi" w:eastAsiaTheme="minorEastAsia" w:hAnsiTheme="minorHAnsi" w:cstheme="minorBidi"/>
                <w:sz w:val="20"/>
                <w:szCs w:val="20"/>
              </w:rPr>
            </w:pPr>
            <w:r w:rsidRPr="00B7427E">
              <w:rPr>
                <w:rFonts w:asciiTheme="minorHAnsi" w:eastAsiaTheme="minorEastAsia" w:hAnsiTheme="minorHAnsi" w:cstheme="minorBidi"/>
                <w:sz w:val="20"/>
                <w:szCs w:val="20"/>
              </w:rPr>
              <w:t>£m </w:t>
            </w:r>
          </w:p>
        </w:tc>
      </w:tr>
      <w:tr w:rsidR="00442776" w:rsidRPr="00AD61D8" w14:paraId="7FBCD526" w14:textId="77777777" w:rsidTr="007F7783">
        <w:tc>
          <w:tcPr>
            <w:tcW w:w="3044" w:type="pct"/>
          </w:tcPr>
          <w:p w14:paraId="05B8D44D" w14:textId="77777777" w:rsidR="00442776" w:rsidRPr="00B97C61" w:rsidRDefault="00442776" w:rsidP="00442776">
            <w:pPr>
              <w:tabs>
                <w:tab w:val="right" w:pos="4680"/>
              </w:tabs>
              <w:rPr>
                <w:rFonts w:asciiTheme="minorHAnsi" w:eastAsiaTheme="minorEastAsia" w:hAnsiTheme="minorHAnsi" w:cstheme="minorBidi"/>
                <w:sz w:val="20"/>
                <w:szCs w:val="20"/>
              </w:rPr>
            </w:pPr>
            <w:r w:rsidRPr="44DC74BF">
              <w:rPr>
                <w:rFonts w:asciiTheme="minorHAnsi" w:eastAsiaTheme="minorEastAsia" w:hAnsiTheme="minorHAnsi" w:cstheme="minorBidi"/>
                <w:sz w:val="20"/>
                <w:szCs w:val="20"/>
              </w:rPr>
              <w:t>Fair value of scheme assets</w:t>
            </w:r>
          </w:p>
        </w:tc>
        <w:tc>
          <w:tcPr>
            <w:tcW w:w="652" w:type="pct"/>
            <w:tcBorders>
              <w:top w:val="single" w:sz="4" w:space="0" w:color="auto"/>
              <w:left w:val="nil"/>
              <w:bottom w:val="nil"/>
              <w:right w:val="nil"/>
            </w:tcBorders>
            <w:shd w:val="clear" w:color="auto" w:fill="F2F2F2" w:themeFill="background1" w:themeFillShade="F2"/>
            <w:vAlign w:val="bottom"/>
          </w:tcPr>
          <w:p w14:paraId="1EB5396F" w14:textId="2FCCADB6" w:rsidR="00442776" w:rsidRPr="006D4208" w:rsidRDefault="00467850" w:rsidP="00442776">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447.5</w:t>
            </w:r>
          </w:p>
        </w:tc>
        <w:tc>
          <w:tcPr>
            <w:tcW w:w="724" w:type="pct"/>
            <w:tcBorders>
              <w:top w:val="single" w:sz="4" w:space="0" w:color="auto"/>
              <w:left w:val="nil"/>
              <w:bottom w:val="nil"/>
              <w:right w:val="nil"/>
            </w:tcBorders>
            <w:vAlign w:val="bottom"/>
          </w:tcPr>
          <w:p w14:paraId="2969184A" w14:textId="273B8E1D" w:rsidR="00442776" w:rsidRPr="00B7427E" w:rsidRDefault="00442776" w:rsidP="00442776">
            <w:pPr>
              <w:jc w:val="right"/>
              <w:rPr>
                <w:rFonts w:asciiTheme="minorHAnsi" w:eastAsiaTheme="minorEastAsia" w:hAnsiTheme="minorHAnsi" w:cstheme="minorBidi"/>
                <w:sz w:val="20"/>
                <w:szCs w:val="20"/>
              </w:rPr>
            </w:pPr>
            <w:r w:rsidRPr="00F043F6">
              <w:rPr>
                <w:rFonts w:asciiTheme="minorHAnsi" w:hAnsiTheme="minorHAnsi" w:cs="Arial"/>
                <w:sz w:val="20"/>
                <w:szCs w:val="20"/>
              </w:rPr>
              <w:t>453.7</w:t>
            </w:r>
          </w:p>
        </w:tc>
        <w:tc>
          <w:tcPr>
            <w:tcW w:w="580" w:type="pct"/>
            <w:tcBorders>
              <w:top w:val="single" w:sz="4" w:space="0" w:color="auto"/>
              <w:left w:val="nil"/>
              <w:bottom w:val="nil"/>
              <w:right w:val="nil"/>
            </w:tcBorders>
            <w:vAlign w:val="bottom"/>
          </w:tcPr>
          <w:p w14:paraId="3FD594DE" w14:textId="027C8FF9" w:rsidR="00442776" w:rsidRPr="00B7427E" w:rsidRDefault="00442776" w:rsidP="00442776">
            <w:pPr>
              <w:jc w:val="right"/>
              <w:rPr>
                <w:rFonts w:asciiTheme="minorHAnsi" w:eastAsiaTheme="minorEastAsia" w:hAnsiTheme="minorHAnsi" w:cstheme="minorBidi"/>
                <w:sz w:val="20"/>
                <w:szCs w:val="20"/>
              </w:rPr>
            </w:pPr>
            <w:r w:rsidRPr="00F043F6">
              <w:rPr>
                <w:rFonts w:asciiTheme="minorHAnsi" w:eastAsiaTheme="minorEastAsia" w:hAnsiTheme="minorHAnsi" w:cstheme="minorBidi"/>
                <w:sz w:val="20"/>
                <w:szCs w:val="20"/>
              </w:rPr>
              <w:t>481.0</w:t>
            </w:r>
          </w:p>
        </w:tc>
      </w:tr>
      <w:tr w:rsidR="00442776" w:rsidRPr="00AD61D8" w14:paraId="2C68E962" w14:textId="77777777" w:rsidTr="007F7783">
        <w:trPr>
          <w:trHeight w:val="260"/>
        </w:trPr>
        <w:tc>
          <w:tcPr>
            <w:tcW w:w="3044" w:type="pct"/>
          </w:tcPr>
          <w:p w14:paraId="0A49FE1B" w14:textId="77777777" w:rsidR="00442776" w:rsidRPr="00B97C61" w:rsidRDefault="00442776" w:rsidP="00442776">
            <w:pPr>
              <w:tabs>
                <w:tab w:val="right" w:pos="4680"/>
              </w:tabs>
              <w:rPr>
                <w:rFonts w:asciiTheme="minorHAnsi" w:eastAsiaTheme="minorEastAsia" w:hAnsiTheme="minorHAnsi" w:cstheme="minorBidi"/>
                <w:sz w:val="20"/>
                <w:szCs w:val="20"/>
              </w:rPr>
            </w:pPr>
            <w:r w:rsidRPr="44DC74BF">
              <w:rPr>
                <w:rFonts w:asciiTheme="minorHAnsi" w:eastAsiaTheme="minorEastAsia" w:hAnsiTheme="minorHAnsi" w:cstheme="minorBidi"/>
                <w:sz w:val="20"/>
                <w:szCs w:val="20"/>
              </w:rPr>
              <w:t>Present value of defined benefit obligation</w:t>
            </w:r>
          </w:p>
        </w:tc>
        <w:tc>
          <w:tcPr>
            <w:tcW w:w="652" w:type="pct"/>
            <w:tcBorders>
              <w:top w:val="nil"/>
              <w:left w:val="nil"/>
              <w:bottom w:val="single" w:sz="4" w:space="0" w:color="auto"/>
              <w:right w:val="nil"/>
            </w:tcBorders>
            <w:shd w:val="clear" w:color="auto" w:fill="F2F2F2" w:themeFill="background1" w:themeFillShade="F2"/>
          </w:tcPr>
          <w:p w14:paraId="53A6097B" w14:textId="2B411178" w:rsidR="00442776" w:rsidRPr="006D4208" w:rsidRDefault="00467850" w:rsidP="00442776">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(434.8)</w:t>
            </w:r>
          </w:p>
        </w:tc>
        <w:tc>
          <w:tcPr>
            <w:tcW w:w="724" w:type="pct"/>
            <w:tcBorders>
              <w:top w:val="nil"/>
              <w:left w:val="nil"/>
              <w:bottom w:val="single" w:sz="4" w:space="0" w:color="auto"/>
              <w:right w:val="nil"/>
            </w:tcBorders>
          </w:tcPr>
          <w:p w14:paraId="23C68BF3" w14:textId="32ACFB96" w:rsidR="00442776" w:rsidRPr="00B7427E" w:rsidRDefault="00442776" w:rsidP="00442776">
            <w:pPr>
              <w:jc w:val="right"/>
              <w:rPr>
                <w:rFonts w:asciiTheme="minorHAnsi" w:eastAsiaTheme="minorEastAsia" w:hAnsiTheme="minorHAnsi" w:cstheme="minorBidi"/>
                <w:sz w:val="20"/>
                <w:szCs w:val="20"/>
              </w:rPr>
            </w:pPr>
            <w:r w:rsidRPr="00F043F6">
              <w:rPr>
                <w:rFonts w:asciiTheme="minorHAnsi" w:hAnsiTheme="minorHAnsi" w:cs="Arial"/>
                <w:sz w:val="20"/>
                <w:szCs w:val="20"/>
              </w:rPr>
              <w:t>(425.9)</w:t>
            </w:r>
          </w:p>
        </w:tc>
        <w:tc>
          <w:tcPr>
            <w:tcW w:w="580" w:type="pct"/>
            <w:tcBorders>
              <w:top w:val="nil"/>
              <w:left w:val="nil"/>
              <w:bottom w:val="single" w:sz="4" w:space="0" w:color="auto"/>
              <w:right w:val="nil"/>
            </w:tcBorders>
          </w:tcPr>
          <w:p w14:paraId="12F3C212" w14:textId="024FAA76" w:rsidR="00442776" w:rsidRPr="00B7427E" w:rsidRDefault="00442776" w:rsidP="00442776">
            <w:pPr>
              <w:jc w:val="right"/>
              <w:rPr>
                <w:rFonts w:asciiTheme="minorHAnsi" w:eastAsiaTheme="minorEastAsia" w:hAnsiTheme="minorHAnsi" w:cstheme="minorBidi"/>
                <w:sz w:val="20"/>
                <w:szCs w:val="20"/>
              </w:rPr>
            </w:pPr>
            <w:r w:rsidRPr="00F043F6">
              <w:rPr>
                <w:rFonts w:asciiTheme="minorHAnsi" w:eastAsiaTheme="minorEastAsia" w:hAnsiTheme="minorHAnsi" w:cstheme="minorBidi"/>
                <w:sz w:val="20"/>
                <w:szCs w:val="20"/>
              </w:rPr>
              <w:t>(446.6)</w:t>
            </w:r>
          </w:p>
        </w:tc>
      </w:tr>
      <w:tr w:rsidR="00442776" w:rsidRPr="00AD61D8" w14:paraId="1F9CF404" w14:textId="77777777" w:rsidTr="007F7783">
        <w:tc>
          <w:tcPr>
            <w:tcW w:w="3044" w:type="pct"/>
          </w:tcPr>
          <w:p w14:paraId="4FCE1AF5" w14:textId="77777777" w:rsidR="00442776" w:rsidRPr="00B97C61" w:rsidRDefault="00442776" w:rsidP="00442776">
            <w:pPr>
              <w:pStyle w:val="Heading5"/>
              <w:tabs>
                <w:tab w:val="clear" w:pos="720"/>
                <w:tab w:val="right" w:pos="4680"/>
              </w:tabs>
              <w:jc w:val="left"/>
              <w:rPr>
                <w:rFonts w:asciiTheme="minorHAnsi" w:eastAsiaTheme="minorEastAsia" w:hAnsiTheme="minorHAnsi" w:cstheme="minorBidi"/>
                <w:sz w:val="20"/>
              </w:rPr>
            </w:pPr>
            <w:r w:rsidRPr="49B2F372">
              <w:rPr>
                <w:rFonts w:asciiTheme="minorHAnsi" w:eastAsiaTheme="minorEastAsia" w:hAnsiTheme="minorHAnsi" w:cstheme="minorBidi"/>
                <w:sz w:val="20"/>
              </w:rPr>
              <w:t>Net</w:t>
            </w:r>
            <w:r w:rsidRPr="44DC74BF">
              <w:rPr>
                <w:rFonts w:asciiTheme="minorHAnsi" w:eastAsiaTheme="minorEastAsia" w:hAnsiTheme="minorHAnsi" w:cstheme="minorBidi"/>
                <w:sz w:val="20"/>
              </w:rPr>
              <w:t xml:space="preserve"> retirement benefit asset recognised in the balance sheet</w:t>
            </w:r>
          </w:p>
        </w:tc>
        <w:tc>
          <w:tcPr>
            <w:tcW w:w="652" w:type="pct"/>
            <w:tcBorders>
              <w:top w:val="single" w:sz="4" w:space="0" w:color="auto"/>
              <w:left w:val="nil"/>
              <w:bottom w:val="single" w:sz="18" w:space="0" w:color="auto"/>
              <w:right w:val="nil"/>
            </w:tcBorders>
            <w:shd w:val="clear" w:color="auto" w:fill="F2F2F2" w:themeFill="background1" w:themeFillShade="F2"/>
          </w:tcPr>
          <w:p w14:paraId="30ED1859" w14:textId="4905DA6C" w:rsidR="00442776" w:rsidRPr="006D4208" w:rsidRDefault="00467850" w:rsidP="00442776">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12.7</w:t>
            </w:r>
          </w:p>
        </w:tc>
        <w:tc>
          <w:tcPr>
            <w:tcW w:w="724" w:type="pct"/>
            <w:tcBorders>
              <w:top w:val="single" w:sz="4" w:space="0" w:color="auto"/>
              <w:left w:val="nil"/>
              <w:bottom w:val="single" w:sz="18" w:space="0" w:color="auto"/>
              <w:right w:val="nil"/>
            </w:tcBorders>
          </w:tcPr>
          <w:p w14:paraId="12CBE507" w14:textId="7833F4CF" w:rsidR="00442776" w:rsidRPr="00B7427E" w:rsidRDefault="00442776" w:rsidP="00442776">
            <w:pPr>
              <w:jc w:val="right"/>
              <w:rPr>
                <w:rFonts w:asciiTheme="minorHAnsi" w:eastAsiaTheme="minorEastAsia" w:hAnsiTheme="minorHAnsi" w:cstheme="minorBidi"/>
                <w:sz w:val="20"/>
                <w:szCs w:val="20"/>
              </w:rPr>
            </w:pPr>
            <w:r w:rsidRPr="00F043F6">
              <w:rPr>
                <w:rFonts w:asciiTheme="minorHAnsi" w:hAnsiTheme="minorHAnsi" w:cs="Arial"/>
                <w:sz w:val="20"/>
                <w:szCs w:val="20"/>
              </w:rPr>
              <w:t>27.8</w:t>
            </w:r>
          </w:p>
        </w:tc>
        <w:tc>
          <w:tcPr>
            <w:tcW w:w="580" w:type="pct"/>
            <w:tcBorders>
              <w:top w:val="single" w:sz="4" w:space="0" w:color="auto"/>
              <w:left w:val="nil"/>
              <w:bottom w:val="single" w:sz="18" w:space="0" w:color="auto"/>
              <w:right w:val="nil"/>
            </w:tcBorders>
          </w:tcPr>
          <w:p w14:paraId="331DF717" w14:textId="6DEF1EF4" w:rsidR="00442776" w:rsidRPr="00B7427E" w:rsidRDefault="00442776" w:rsidP="00442776">
            <w:pPr>
              <w:jc w:val="right"/>
              <w:rPr>
                <w:rFonts w:asciiTheme="minorHAnsi" w:eastAsiaTheme="minorEastAsia" w:hAnsiTheme="minorHAnsi" w:cstheme="minorBidi"/>
                <w:sz w:val="20"/>
                <w:szCs w:val="20"/>
              </w:rPr>
            </w:pPr>
            <w:r w:rsidRPr="00F043F6">
              <w:rPr>
                <w:rFonts w:asciiTheme="minorHAnsi" w:eastAsiaTheme="minorEastAsia" w:hAnsiTheme="minorHAnsi" w:cstheme="minorBidi"/>
                <w:sz w:val="20"/>
                <w:szCs w:val="20"/>
              </w:rPr>
              <w:t>34.4</w:t>
            </w:r>
          </w:p>
        </w:tc>
      </w:tr>
    </w:tbl>
    <w:p w14:paraId="4B9278C4" w14:textId="77777777" w:rsidR="00442776" w:rsidRPr="00B97C61" w:rsidRDefault="00442776" w:rsidP="00A1425C">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Arial"/>
          <w:bCs/>
          <w:color w:val="auto"/>
          <w:sz w:val="20"/>
        </w:rPr>
      </w:pPr>
    </w:p>
    <w:p w14:paraId="19BC2D09" w14:textId="77777777" w:rsidR="00A1425C" w:rsidRPr="000C4DA9"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63187D92" w14:textId="77777777" w:rsidR="00A1425C" w:rsidRPr="000C4DA9" w:rsidRDefault="00A1425C" w:rsidP="00A1425C">
      <w:pPr>
        <w:rPr>
          <w:rFonts w:asciiTheme="minorHAnsi" w:hAnsiTheme="minorHAnsi" w:cs="Arial"/>
          <w:sz w:val="20"/>
          <w:szCs w:val="20"/>
        </w:rPr>
      </w:pPr>
      <w:r w:rsidRPr="000C4DA9">
        <w:rPr>
          <w:rFonts w:asciiTheme="minorHAnsi" w:hAnsiTheme="minorHAnsi" w:cs="Arial"/>
          <w:sz w:val="20"/>
          <w:szCs w:val="20"/>
        </w:rPr>
        <w:t>The amounts recognised in the income statement were as follows:</w:t>
      </w:r>
    </w:p>
    <w:p w14:paraId="22139F5B" w14:textId="77777777" w:rsidR="0092053F" w:rsidRDefault="0092053F" w:rsidP="00A1425C">
      <w:pPr>
        <w:rPr>
          <w:rFonts w:asciiTheme="minorHAnsi" w:hAnsiTheme="minorHAnsi" w:cs="Arial"/>
          <w:sz w:val="20"/>
          <w:szCs w:val="20"/>
        </w:rPr>
      </w:pPr>
    </w:p>
    <w:tbl>
      <w:tblPr>
        <w:tblW w:w="4968" w:type="pct"/>
        <w:tblLook w:val="0000" w:firstRow="0" w:lastRow="0" w:firstColumn="0" w:lastColumn="0" w:noHBand="0" w:noVBand="0"/>
      </w:tblPr>
      <w:tblGrid>
        <w:gridCol w:w="7393"/>
        <w:gridCol w:w="1134"/>
        <w:gridCol w:w="1134"/>
      </w:tblGrid>
      <w:tr w:rsidR="0092053F" w:rsidRPr="00B97C61" w14:paraId="5133658C" w14:textId="77777777" w:rsidTr="003B7755">
        <w:tc>
          <w:tcPr>
            <w:tcW w:w="3826" w:type="pct"/>
          </w:tcPr>
          <w:p w14:paraId="03265DD0" w14:textId="77777777" w:rsidR="0092053F" w:rsidRPr="00B97C61" w:rsidRDefault="0092053F">
            <w:pPr>
              <w:jc w:val="both"/>
              <w:rPr>
                <w:rFonts w:asciiTheme="minorHAnsi" w:hAnsiTheme="minorHAnsi" w:cs="Arial"/>
                <w:sz w:val="20"/>
                <w:szCs w:val="20"/>
              </w:rPr>
            </w:pPr>
          </w:p>
        </w:tc>
        <w:tc>
          <w:tcPr>
            <w:tcW w:w="587" w:type="pct"/>
            <w:shd w:val="clear" w:color="auto" w:fill="F2F2F2" w:themeFill="background1" w:themeFillShade="F2"/>
          </w:tcPr>
          <w:p w14:paraId="084C7E34" w14:textId="77777777" w:rsidR="0092053F" w:rsidRDefault="0092053F">
            <w:pPr>
              <w:jc w:val="right"/>
              <w:rPr>
                <w:rFonts w:asciiTheme="minorHAnsi" w:hAnsiTheme="minorHAnsi" w:cs="Arial"/>
                <w:b/>
                <w:sz w:val="20"/>
                <w:szCs w:val="20"/>
              </w:rPr>
            </w:pPr>
            <w:r w:rsidRPr="000E0F97">
              <w:rPr>
                <w:rFonts w:asciiTheme="minorHAnsi" w:hAnsiTheme="minorHAnsi" w:cs="Arial"/>
                <w:b/>
                <w:sz w:val="20"/>
                <w:szCs w:val="20"/>
              </w:rPr>
              <w:t>202</w:t>
            </w:r>
            <w:r>
              <w:rPr>
                <w:rFonts w:asciiTheme="minorHAnsi" w:hAnsiTheme="minorHAnsi" w:cs="Arial"/>
                <w:b/>
                <w:sz w:val="20"/>
                <w:szCs w:val="20"/>
              </w:rPr>
              <w:t>5</w:t>
            </w:r>
          </w:p>
          <w:p w14:paraId="71E99D3F" w14:textId="2CA762F7" w:rsidR="0092053F" w:rsidRPr="000E0F97" w:rsidRDefault="007D6FC5">
            <w:pPr>
              <w:jc w:val="right"/>
              <w:rPr>
                <w:rFonts w:asciiTheme="minorHAnsi" w:hAnsiTheme="minorHAnsi" w:cs="Arial"/>
                <w:b/>
                <w:sz w:val="20"/>
                <w:szCs w:val="20"/>
              </w:rPr>
            </w:pPr>
            <w:r>
              <w:rPr>
                <w:rFonts w:asciiTheme="minorHAnsi" w:hAnsiTheme="minorHAnsi" w:cs="Arial"/>
                <w:b/>
                <w:sz w:val="20"/>
                <w:szCs w:val="20"/>
              </w:rPr>
              <w:t>unaudited</w:t>
            </w:r>
          </w:p>
        </w:tc>
        <w:tc>
          <w:tcPr>
            <w:tcW w:w="587" w:type="pct"/>
          </w:tcPr>
          <w:p w14:paraId="225E3E87" w14:textId="77777777" w:rsidR="0092053F" w:rsidRDefault="0092053F">
            <w:pPr>
              <w:jc w:val="right"/>
              <w:rPr>
                <w:rFonts w:asciiTheme="minorHAnsi" w:hAnsiTheme="minorHAnsi" w:cs="Arial"/>
                <w:sz w:val="20"/>
                <w:szCs w:val="20"/>
              </w:rPr>
            </w:pPr>
            <w:r w:rsidRPr="00B97C61">
              <w:rPr>
                <w:rFonts w:asciiTheme="minorHAnsi" w:hAnsiTheme="minorHAnsi" w:cs="Arial"/>
                <w:sz w:val="20"/>
                <w:szCs w:val="20"/>
              </w:rPr>
              <w:t>202</w:t>
            </w:r>
            <w:r>
              <w:rPr>
                <w:rFonts w:asciiTheme="minorHAnsi" w:hAnsiTheme="minorHAnsi" w:cs="Arial"/>
                <w:sz w:val="20"/>
                <w:szCs w:val="20"/>
              </w:rPr>
              <w:t>4</w:t>
            </w:r>
          </w:p>
          <w:p w14:paraId="2A426BEE" w14:textId="6C5CB8EB" w:rsidR="0092053F" w:rsidRPr="00B97C61" w:rsidRDefault="007D6FC5">
            <w:pPr>
              <w:jc w:val="right"/>
              <w:rPr>
                <w:rFonts w:asciiTheme="minorHAnsi" w:hAnsiTheme="minorHAnsi" w:cs="Arial"/>
                <w:sz w:val="20"/>
                <w:szCs w:val="20"/>
              </w:rPr>
            </w:pPr>
            <w:r>
              <w:rPr>
                <w:rFonts w:asciiTheme="minorHAnsi" w:hAnsiTheme="minorHAnsi" w:cs="Arial"/>
                <w:sz w:val="20"/>
                <w:szCs w:val="20"/>
              </w:rPr>
              <w:t>unaudited</w:t>
            </w:r>
          </w:p>
        </w:tc>
      </w:tr>
      <w:tr w:rsidR="0092053F" w:rsidRPr="00B97C61" w14:paraId="273598A2" w14:textId="77777777" w:rsidTr="003B7755">
        <w:tc>
          <w:tcPr>
            <w:tcW w:w="3826" w:type="pct"/>
          </w:tcPr>
          <w:p w14:paraId="3BCB8EC4" w14:textId="77777777" w:rsidR="0092053F" w:rsidRPr="00B97C61" w:rsidRDefault="0092053F">
            <w:pPr>
              <w:pStyle w:val="Heading5"/>
              <w:overflowPunct/>
              <w:autoSpaceDE/>
              <w:adjustRightInd/>
              <w:rPr>
                <w:rFonts w:asciiTheme="minorHAnsi" w:hAnsiTheme="minorHAnsi" w:cs="Arial"/>
                <w:bCs/>
                <w:sz w:val="20"/>
              </w:rPr>
            </w:pPr>
          </w:p>
        </w:tc>
        <w:tc>
          <w:tcPr>
            <w:tcW w:w="587" w:type="pct"/>
            <w:tcBorders>
              <w:top w:val="nil"/>
              <w:left w:val="nil"/>
              <w:bottom w:val="single" w:sz="4" w:space="0" w:color="auto"/>
              <w:right w:val="nil"/>
            </w:tcBorders>
            <w:shd w:val="clear" w:color="auto" w:fill="F2F2F2" w:themeFill="background1" w:themeFillShade="F2"/>
          </w:tcPr>
          <w:p w14:paraId="0B30C60E" w14:textId="77777777" w:rsidR="0092053F" w:rsidRPr="000E0F97" w:rsidRDefault="0092053F">
            <w:pPr>
              <w:jc w:val="right"/>
              <w:rPr>
                <w:rFonts w:asciiTheme="minorHAnsi" w:hAnsiTheme="minorHAnsi" w:cs="Arial"/>
                <w:b/>
                <w:sz w:val="20"/>
                <w:szCs w:val="20"/>
              </w:rPr>
            </w:pPr>
            <w:r w:rsidRPr="000E0F97">
              <w:rPr>
                <w:rFonts w:asciiTheme="minorHAnsi" w:hAnsiTheme="minorHAnsi" w:cs="Arial"/>
                <w:b/>
                <w:sz w:val="20"/>
                <w:szCs w:val="20"/>
              </w:rPr>
              <w:t>£m </w:t>
            </w:r>
          </w:p>
        </w:tc>
        <w:tc>
          <w:tcPr>
            <w:tcW w:w="587" w:type="pct"/>
            <w:tcBorders>
              <w:top w:val="nil"/>
              <w:left w:val="nil"/>
              <w:bottom w:val="single" w:sz="4" w:space="0" w:color="auto"/>
              <w:right w:val="nil"/>
            </w:tcBorders>
          </w:tcPr>
          <w:p w14:paraId="692ABA2F" w14:textId="77777777" w:rsidR="0092053F" w:rsidRPr="00B97C61" w:rsidRDefault="0092053F">
            <w:pPr>
              <w:jc w:val="right"/>
              <w:rPr>
                <w:rFonts w:asciiTheme="minorHAnsi" w:hAnsiTheme="minorHAnsi" w:cs="Arial"/>
                <w:sz w:val="20"/>
                <w:szCs w:val="20"/>
              </w:rPr>
            </w:pPr>
            <w:r w:rsidRPr="00B97C61">
              <w:rPr>
                <w:rFonts w:asciiTheme="minorHAnsi" w:hAnsiTheme="minorHAnsi" w:cs="Arial"/>
                <w:sz w:val="20"/>
                <w:szCs w:val="20"/>
              </w:rPr>
              <w:t>£m </w:t>
            </w:r>
          </w:p>
        </w:tc>
      </w:tr>
      <w:tr w:rsidR="0092053F" w:rsidRPr="00B97C61" w14:paraId="0ECD1DCA" w14:textId="77777777" w:rsidTr="003B7755">
        <w:tc>
          <w:tcPr>
            <w:tcW w:w="3826" w:type="pct"/>
            <w:vAlign w:val="bottom"/>
          </w:tcPr>
          <w:p w14:paraId="4E2D467C" w14:textId="77777777" w:rsidR="0092053F" w:rsidRPr="00B97C61" w:rsidRDefault="0092053F" w:rsidP="0092053F">
            <w:pPr>
              <w:tabs>
                <w:tab w:val="right" w:pos="4680"/>
              </w:tabs>
              <w:rPr>
                <w:rFonts w:asciiTheme="minorHAnsi" w:hAnsiTheme="minorHAnsi" w:cs="Arial"/>
                <w:sz w:val="20"/>
                <w:szCs w:val="20"/>
              </w:rPr>
            </w:pPr>
            <w:r w:rsidRPr="00B97C61">
              <w:rPr>
                <w:rFonts w:asciiTheme="minorHAnsi" w:hAnsiTheme="minorHAnsi" w:cs="Arial"/>
                <w:sz w:val="20"/>
                <w:szCs w:val="20"/>
              </w:rPr>
              <w:t>Administration costs and taxes</w:t>
            </w:r>
          </w:p>
        </w:tc>
        <w:tc>
          <w:tcPr>
            <w:tcW w:w="587" w:type="pct"/>
            <w:tcBorders>
              <w:top w:val="single" w:sz="4" w:space="0" w:color="auto"/>
              <w:left w:val="nil"/>
              <w:bottom w:val="nil"/>
              <w:right w:val="nil"/>
            </w:tcBorders>
            <w:shd w:val="clear" w:color="auto" w:fill="F2F2F2" w:themeFill="background1" w:themeFillShade="F2"/>
            <w:vAlign w:val="bottom"/>
          </w:tcPr>
          <w:p w14:paraId="39F5CF66" w14:textId="126F4149" w:rsidR="0092053F" w:rsidRPr="006D4208" w:rsidRDefault="00ED3529" w:rsidP="0092053F">
            <w:pPr>
              <w:jc w:val="right"/>
              <w:rPr>
                <w:rFonts w:asciiTheme="minorHAnsi" w:hAnsiTheme="minorHAnsi" w:cs="Arial"/>
                <w:b/>
                <w:sz w:val="20"/>
                <w:szCs w:val="20"/>
              </w:rPr>
            </w:pPr>
            <w:r>
              <w:rPr>
                <w:rFonts w:asciiTheme="minorHAnsi" w:hAnsiTheme="minorHAnsi" w:cs="Arial"/>
                <w:b/>
                <w:sz w:val="20"/>
                <w:szCs w:val="20"/>
              </w:rPr>
              <w:t>(0.9)</w:t>
            </w:r>
          </w:p>
        </w:tc>
        <w:tc>
          <w:tcPr>
            <w:tcW w:w="587" w:type="pct"/>
            <w:tcBorders>
              <w:top w:val="single" w:sz="4" w:space="0" w:color="auto"/>
              <w:left w:val="nil"/>
              <w:bottom w:val="nil"/>
              <w:right w:val="nil"/>
            </w:tcBorders>
            <w:vAlign w:val="bottom"/>
          </w:tcPr>
          <w:p w14:paraId="2622596B" w14:textId="109E5723" w:rsidR="0092053F" w:rsidRPr="0092053F" w:rsidRDefault="0092053F" w:rsidP="0092053F">
            <w:pPr>
              <w:jc w:val="right"/>
              <w:rPr>
                <w:rFonts w:asciiTheme="minorHAnsi" w:hAnsiTheme="minorHAnsi" w:cs="Arial"/>
                <w:bCs/>
                <w:sz w:val="20"/>
                <w:szCs w:val="20"/>
              </w:rPr>
            </w:pPr>
            <w:r w:rsidRPr="0092053F">
              <w:rPr>
                <w:rFonts w:asciiTheme="minorHAnsi" w:hAnsiTheme="minorHAnsi" w:cs="Arial"/>
                <w:bCs/>
                <w:sz w:val="20"/>
                <w:szCs w:val="20"/>
              </w:rPr>
              <w:t>(</w:t>
            </w:r>
            <w:r w:rsidR="006A0444" w:rsidRPr="006A0444">
              <w:rPr>
                <w:rFonts w:asciiTheme="minorHAnsi" w:hAnsiTheme="minorHAnsi" w:cs="Arial"/>
                <w:bCs/>
                <w:sz w:val="20"/>
                <w:szCs w:val="20"/>
              </w:rPr>
              <w:t>0.5</w:t>
            </w:r>
            <w:r w:rsidRPr="0092053F">
              <w:rPr>
                <w:rFonts w:asciiTheme="minorHAnsi" w:hAnsiTheme="minorHAnsi" w:cs="Arial"/>
                <w:bCs/>
                <w:sz w:val="20"/>
                <w:szCs w:val="20"/>
              </w:rPr>
              <w:t>)</w:t>
            </w:r>
          </w:p>
        </w:tc>
      </w:tr>
      <w:tr w:rsidR="0092053F" w:rsidRPr="00B97C61" w14:paraId="33A8CE7C" w14:textId="77777777" w:rsidTr="003B7755">
        <w:tc>
          <w:tcPr>
            <w:tcW w:w="3826" w:type="pct"/>
            <w:vAlign w:val="bottom"/>
          </w:tcPr>
          <w:p w14:paraId="6DFC7F89" w14:textId="77777777" w:rsidR="0092053F" w:rsidRPr="00B97C61" w:rsidRDefault="0092053F" w:rsidP="0092053F">
            <w:pPr>
              <w:tabs>
                <w:tab w:val="right" w:pos="4680"/>
              </w:tabs>
              <w:rPr>
                <w:rFonts w:asciiTheme="minorHAnsi" w:hAnsiTheme="minorHAnsi" w:cs="Arial"/>
                <w:sz w:val="20"/>
                <w:szCs w:val="20"/>
              </w:rPr>
            </w:pPr>
            <w:r w:rsidRPr="00B97C61">
              <w:rPr>
                <w:rFonts w:asciiTheme="minorHAnsi" w:hAnsiTheme="minorHAnsi" w:cs="Arial"/>
                <w:sz w:val="20"/>
                <w:szCs w:val="20"/>
              </w:rPr>
              <w:t>Interest on scheme liabilities</w:t>
            </w:r>
          </w:p>
        </w:tc>
        <w:tc>
          <w:tcPr>
            <w:tcW w:w="587" w:type="pct"/>
            <w:shd w:val="clear" w:color="auto" w:fill="F2F2F2" w:themeFill="background1" w:themeFillShade="F2"/>
            <w:vAlign w:val="bottom"/>
          </w:tcPr>
          <w:p w14:paraId="0AB58A9B" w14:textId="3CF396E6" w:rsidR="0092053F" w:rsidRPr="006D4208" w:rsidRDefault="00ED3529" w:rsidP="0092053F">
            <w:pPr>
              <w:jc w:val="right"/>
              <w:rPr>
                <w:rFonts w:asciiTheme="minorHAnsi" w:hAnsiTheme="minorHAnsi" w:cs="Arial"/>
                <w:b/>
                <w:sz w:val="20"/>
                <w:szCs w:val="20"/>
              </w:rPr>
            </w:pPr>
            <w:r>
              <w:rPr>
                <w:rFonts w:asciiTheme="minorHAnsi" w:hAnsiTheme="minorHAnsi" w:cs="Arial"/>
                <w:b/>
                <w:sz w:val="20"/>
                <w:szCs w:val="20"/>
              </w:rPr>
              <w:t>(11.5)</w:t>
            </w:r>
          </w:p>
        </w:tc>
        <w:tc>
          <w:tcPr>
            <w:tcW w:w="587" w:type="pct"/>
            <w:vAlign w:val="bottom"/>
          </w:tcPr>
          <w:p w14:paraId="71931C12" w14:textId="77E9CD43" w:rsidR="0092053F" w:rsidRPr="0092053F" w:rsidRDefault="0092053F" w:rsidP="0092053F">
            <w:pPr>
              <w:jc w:val="right"/>
              <w:rPr>
                <w:rFonts w:asciiTheme="minorHAnsi" w:hAnsiTheme="minorHAnsi" w:cs="Arial"/>
                <w:bCs/>
                <w:sz w:val="20"/>
                <w:szCs w:val="20"/>
              </w:rPr>
            </w:pPr>
            <w:r w:rsidRPr="0092053F">
              <w:rPr>
                <w:rFonts w:asciiTheme="minorHAnsi" w:hAnsiTheme="minorHAnsi" w:cs="Arial"/>
                <w:bCs/>
                <w:sz w:val="20"/>
                <w:szCs w:val="20"/>
              </w:rPr>
              <w:t>(</w:t>
            </w:r>
            <w:r w:rsidR="006A0444" w:rsidRPr="006A0444">
              <w:rPr>
                <w:rFonts w:asciiTheme="minorHAnsi" w:hAnsiTheme="minorHAnsi" w:cs="Arial"/>
                <w:bCs/>
                <w:sz w:val="20"/>
                <w:szCs w:val="20"/>
              </w:rPr>
              <w:t>10.9</w:t>
            </w:r>
            <w:r w:rsidRPr="0092053F">
              <w:rPr>
                <w:rFonts w:asciiTheme="minorHAnsi" w:hAnsiTheme="minorHAnsi" w:cs="Arial"/>
                <w:bCs/>
                <w:sz w:val="20"/>
                <w:szCs w:val="20"/>
              </w:rPr>
              <w:t>)</w:t>
            </w:r>
          </w:p>
        </w:tc>
      </w:tr>
      <w:tr w:rsidR="0092053F" w:rsidRPr="00B97C61" w14:paraId="2DD86AF7" w14:textId="77777777" w:rsidTr="003B7755">
        <w:tc>
          <w:tcPr>
            <w:tcW w:w="3826" w:type="pct"/>
            <w:vAlign w:val="bottom"/>
          </w:tcPr>
          <w:p w14:paraId="6E062CE8" w14:textId="77777777" w:rsidR="0092053F" w:rsidRPr="00B97C61" w:rsidRDefault="0092053F" w:rsidP="0092053F">
            <w:pPr>
              <w:tabs>
                <w:tab w:val="right" w:pos="4680"/>
              </w:tabs>
              <w:rPr>
                <w:rFonts w:asciiTheme="minorHAnsi" w:hAnsiTheme="minorHAnsi" w:cs="Arial"/>
                <w:sz w:val="20"/>
                <w:szCs w:val="20"/>
              </w:rPr>
            </w:pPr>
            <w:r w:rsidRPr="00B97C61">
              <w:rPr>
                <w:rFonts w:asciiTheme="minorHAnsi" w:hAnsiTheme="minorHAnsi" w:cs="Arial"/>
                <w:sz w:val="20"/>
                <w:szCs w:val="20"/>
              </w:rPr>
              <w:lastRenderedPageBreak/>
              <w:t>Interest on scheme assets</w:t>
            </w:r>
          </w:p>
        </w:tc>
        <w:tc>
          <w:tcPr>
            <w:tcW w:w="587" w:type="pct"/>
            <w:tcBorders>
              <w:top w:val="nil"/>
              <w:left w:val="nil"/>
              <w:bottom w:val="single" w:sz="4" w:space="0" w:color="auto"/>
              <w:right w:val="nil"/>
            </w:tcBorders>
            <w:shd w:val="clear" w:color="auto" w:fill="F2F2F2" w:themeFill="background1" w:themeFillShade="F2"/>
            <w:vAlign w:val="bottom"/>
          </w:tcPr>
          <w:p w14:paraId="7DF5B384" w14:textId="55F20C0E" w:rsidR="0092053F" w:rsidRPr="006D4208" w:rsidRDefault="00ED3529" w:rsidP="0092053F">
            <w:pPr>
              <w:jc w:val="right"/>
              <w:rPr>
                <w:rFonts w:asciiTheme="minorHAnsi" w:hAnsiTheme="minorHAnsi" w:cs="Arial"/>
                <w:b/>
                <w:sz w:val="20"/>
                <w:szCs w:val="20"/>
              </w:rPr>
            </w:pPr>
            <w:r>
              <w:rPr>
                <w:rFonts w:asciiTheme="minorHAnsi" w:hAnsiTheme="minorHAnsi" w:cs="Arial"/>
                <w:b/>
                <w:sz w:val="20"/>
                <w:szCs w:val="20"/>
              </w:rPr>
              <w:t>12.3</w:t>
            </w:r>
          </w:p>
        </w:tc>
        <w:tc>
          <w:tcPr>
            <w:tcW w:w="587" w:type="pct"/>
            <w:tcBorders>
              <w:top w:val="nil"/>
              <w:left w:val="nil"/>
              <w:bottom w:val="single" w:sz="4" w:space="0" w:color="auto"/>
              <w:right w:val="nil"/>
            </w:tcBorders>
            <w:vAlign w:val="bottom"/>
          </w:tcPr>
          <w:p w14:paraId="55F4DD3E" w14:textId="1049A6E4" w:rsidR="0092053F" w:rsidRPr="0092053F" w:rsidRDefault="006A0444" w:rsidP="0092053F">
            <w:pPr>
              <w:jc w:val="right"/>
              <w:rPr>
                <w:rFonts w:asciiTheme="minorHAnsi" w:hAnsiTheme="minorHAnsi" w:cs="Arial"/>
                <w:bCs/>
                <w:sz w:val="20"/>
                <w:szCs w:val="20"/>
              </w:rPr>
            </w:pPr>
            <w:r w:rsidRPr="006A0444">
              <w:rPr>
                <w:rFonts w:asciiTheme="minorHAnsi" w:hAnsiTheme="minorHAnsi" w:cs="Arial"/>
                <w:bCs/>
                <w:sz w:val="20"/>
                <w:szCs w:val="20"/>
              </w:rPr>
              <w:t>11.7</w:t>
            </w:r>
          </w:p>
        </w:tc>
      </w:tr>
      <w:tr w:rsidR="0092053F" w:rsidRPr="00B97C61" w14:paraId="600B16D0" w14:textId="77777777" w:rsidTr="003B7755">
        <w:tc>
          <w:tcPr>
            <w:tcW w:w="3826" w:type="pct"/>
            <w:vAlign w:val="bottom"/>
          </w:tcPr>
          <w:p w14:paraId="628C5E98" w14:textId="6890BA20" w:rsidR="0092053F" w:rsidRPr="00B97C61" w:rsidRDefault="0092053F" w:rsidP="0092053F">
            <w:pPr>
              <w:tabs>
                <w:tab w:val="right" w:pos="4680"/>
              </w:tabs>
              <w:rPr>
                <w:rFonts w:asciiTheme="minorHAnsi" w:hAnsiTheme="minorHAnsi" w:cs="Arial"/>
                <w:b/>
                <w:sz w:val="20"/>
                <w:szCs w:val="20"/>
              </w:rPr>
            </w:pPr>
            <w:r w:rsidRPr="00B97C61">
              <w:rPr>
                <w:rFonts w:asciiTheme="minorHAnsi" w:hAnsiTheme="minorHAnsi" w:cs="Arial"/>
                <w:b/>
                <w:sz w:val="20"/>
                <w:szCs w:val="20"/>
              </w:rPr>
              <w:t xml:space="preserve">Net </w:t>
            </w:r>
            <w:r w:rsidR="00ED3529">
              <w:rPr>
                <w:rFonts w:asciiTheme="minorHAnsi" w:hAnsiTheme="minorHAnsi" w:cs="Arial"/>
                <w:b/>
                <w:sz w:val="20"/>
                <w:szCs w:val="20"/>
              </w:rPr>
              <w:t>(charge)/</w:t>
            </w:r>
            <w:r w:rsidRPr="00B97C61">
              <w:rPr>
                <w:rFonts w:asciiTheme="minorHAnsi" w:hAnsiTheme="minorHAnsi" w:cs="Arial"/>
                <w:b/>
                <w:sz w:val="20"/>
                <w:szCs w:val="20"/>
              </w:rPr>
              <w:t>credit recognised in the income statement</w:t>
            </w:r>
          </w:p>
        </w:tc>
        <w:tc>
          <w:tcPr>
            <w:tcW w:w="587" w:type="pct"/>
            <w:tcBorders>
              <w:top w:val="single" w:sz="4" w:space="0" w:color="auto"/>
              <w:left w:val="nil"/>
              <w:bottom w:val="single" w:sz="12" w:space="0" w:color="auto"/>
              <w:right w:val="nil"/>
            </w:tcBorders>
            <w:shd w:val="clear" w:color="auto" w:fill="F2F2F2" w:themeFill="background1" w:themeFillShade="F2"/>
          </w:tcPr>
          <w:p w14:paraId="3E15D765" w14:textId="4CE1C963" w:rsidR="0092053F" w:rsidRPr="006D4208" w:rsidRDefault="00ED3529" w:rsidP="0092053F">
            <w:pPr>
              <w:jc w:val="right"/>
              <w:rPr>
                <w:rFonts w:asciiTheme="minorHAnsi" w:hAnsiTheme="minorHAnsi" w:cs="Arial"/>
                <w:b/>
                <w:sz w:val="20"/>
                <w:szCs w:val="20"/>
              </w:rPr>
            </w:pPr>
            <w:r>
              <w:rPr>
                <w:rFonts w:asciiTheme="minorHAnsi" w:hAnsiTheme="minorHAnsi" w:cs="Arial"/>
                <w:b/>
                <w:sz w:val="20"/>
                <w:szCs w:val="20"/>
              </w:rPr>
              <w:t>(0.1)</w:t>
            </w:r>
          </w:p>
        </w:tc>
        <w:tc>
          <w:tcPr>
            <w:tcW w:w="587" w:type="pct"/>
            <w:tcBorders>
              <w:top w:val="single" w:sz="4" w:space="0" w:color="auto"/>
              <w:left w:val="nil"/>
              <w:bottom w:val="single" w:sz="12" w:space="0" w:color="auto"/>
              <w:right w:val="nil"/>
            </w:tcBorders>
          </w:tcPr>
          <w:p w14:paraId="66F4FFED" w14:textId="7212EDEA" w:rsidR="0092053F" w:rsidRPr="0092053F" w:rsidRDefault="0092053F" w:rsidP="0092053F">
            <w:pPr>
              <w:jc w:val="right"/>
              <w:rPr>
                <w:rFonts w:asciiTheme="minorHAnsi" w:hAnsiTheme="minorHAnsi" w:cs="Arial"/>
                <w:bCs/>
                <w:sz w:val="20"/>
                <w:szCs w:val="20"/>
              </w:rPr>
            </w:pPr>
            <w:r w:rsidRPr="0092053F">
              <w:rPr>
                <w:rFonts w:asciiTheme="minorHAnsi" w:hAnsiTheme="minorHAnsi" w:cs="Arial"/>
                <w:bCs/>
                <w:sz w:val="20"/>
                <w:szCs w:val="20"/>
              </w:rPr>
              <w:t>0.</w:t>
            </w:r>
            <w:r w:rsidR="006A0444" w:rsidRPr="006A0444">
              <w:rPr>
                <w:rFonts w:asciiTheme="minorHAnsi" w:hAnsiTheme="minorHAnsi" w:cs="Arial"/>
                <w:bCs/>
                <w:sz w:val="20"/>
                <w:szCs w:val="20"/>
              </w:rPr>
              <w:t>3</w:t>
            </w:r>
          </w:p>
        </w:tc>
      </w:tr>
    </w:tbl>
    <w:p w14:paraId="3D9473AC" w14:textId="77777777" w:rsidR="0092053F" w:rsidRPr="000C4DA9" w:rsidRDefault="0092053F" w:rsidP="00A1425C">
      <w:pPr>
        <w:rPr>
          <w:rFonts w:asciiTheme="minorHAnsi" w:hAnsiTheme="minorHAnsi" w:cs="Arial"/>
          <w:sz w:val="20"/>
          <w:szCs w:val="20"/>
        </w:rPr>
      </w:pPr>
    </w:p>
    <w:p w14:paraId="3D9638EF" w14:textId="77777777" w:rsidR="00A1425C" w:rsidRPr="000C4DA9" w:rsidRDefault="00A1425C" w:rsidP="00A1425C">
      <w:pPr>
        <w:pStyle w:val="bodycop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Arial"/>
          <w:sz w:val="20"/>
        </w:rPr>
      </w:pPr>
    </w:p>
    <w:p w14:paraId="2B4B7F40" w14:textId="1EAFAEE4"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B97C61">
        <w:rPr>
          <w:rFonts w:asciiTheme="minorHAnsi" w:hAnsiTheme="minorHAnsi" w:cs="Arial"/>
          <w:sz w:val="20"/>
          <w:szCs w:val="20"/>
        </w:rPr>
        <w:t xml:space="preserve">The net </w:t>
      </w:r>
      <w:r w:rsidR="001B693A">
        <w:rPr>
          <w:rFonts w:asciiTheme="minorHAnsi" w:hAnsiTheme="minorHAnsi" w:cs="Arial"/>
          <w:sz w:val="20"/>
          <w:szCs w:val="20"/>
        </w:rPr>
        <w:t>(charge)/</w:t>
      </w:r>
      <w:r w:rsidRPr="00B97C61">
        <w:rPr>
          <w:rFonts w:asciiTheme="minorHAnsi" w:hAnsiTheme="minorHAnsi" w:cs="Arial"/>
          <w:sz w:val="20"/>
          <w:szCs w:val="20"/>
        </w:rPr>
        <w:t>credit recognised in the income statement has been included within operating costs.</w:t>
      </w:r>
    </w:p>
    <w:p w14:paraId="2D4C7195" w14:textId="77777777" w:rsidR="00833091" w:rsidRDefault="00833091"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433675E5" w14:textId="2EE1F3A3"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B97C61">
        <w:rPr>
          <w:rFonts w:asciiTheme="minorHAnsi" w:hAnsiTheme="minorHAnsi" w:cs="Arial"/>
          <w:sz w:val="20"/>
          <w:szCs w:val="20"/>
        </w:rPr>
        <w:t>Movements in the fair value of scheme assets were as follows:</w:t>
      </w:r>
    </w:p>
    <w:tbl>
      <w:tblPr>
        <w:tblW w:w="5000" w:type="pct"/>
        <w:tblLook w:val="0000" w:firstRow="0" w:lastRow="0" w:firstColumn="0" w:lastColumn="0" w:noHBand="0" w:noVBand="0"/>
      </w:tblPr>
      <w:tblGrid>
        <w:gridCol w:w="5752"/>
        <w:gridCol w:w="1280"/>
        <w:gridCol w:w="1328"/>
        <w:gridCol w:w="1363"/>
      </w:tblGrid>
      <w:tr w:rsidR="00746959" w:rsidRPr="00B97C61" w14:paraId="007AFEB9" w14:textId="77777777" w:rsidTr="003B7755">
        <w:tc>
          <w:tcPr>
            <w:tcW w:w="2958" w:type="pct"/>
          </w:tcPr>
          <w:p w14:paraId="7B02624A" w14:textId="77777777" w:rsidR="00746959" w:rsidRPr="00B97C61" w:rsidRDefault="00746959">
            <w:pPr>
              <w:rPr>
                <w:rFonts w:asciiTheme="minorHAnsi" w:hAnsiTheme="minorHAnsi" w:cs="Arial"/>
                <w:sz w:val="20"/>
                <w:szCs w:val="20"/>
              </w:rPr>
            </w:pPr>
          </w:p>
        </w:tc>
        <w:tc>
          <w:tcPr>
            <w:tcW w:w="658" w:type="pct"/>
            <w:shd w:val="clear" w:color="auto" w:fill="F2F2F2" w:themeFill="background1" w:themeFillShade="F2"/>
          </w:tcPr>
          <w:p w14:paraId="2581A0C1" w14:textId="77777777" w:rsidR="00746959" w:rsidRPr="000E0F97" w:rsidRDefault="00746959">
            <w:pPr>
              <w:jc w:val="right"/>
              <w:rPr>
                <w:rFonts w:asciiTheme="minorHAnsi" w:hAnsiTheme="minorHAnsi" w:cs="Arial"/>
                <w:b/>
                <w:sz w:val="20"/>
                <w:szCs w:val="20"/>
              </w:rPr>
            </w:pPr>
            <w:r>
              <w:rPr>
                <w:rFonts w:asciiTheme="minorHAnsi" w:hAnsiTheme="minorHAnsi" w:cs="Arial"/>
                <w:b/>
                <w:sz w:val="20"/>
                <w:szCs w:val="20"/>
              </w:rPr>
              <w:t>30 June</w:t>
            </w:r>
          </w:p>
        </w:tc>
        <w:tc>
          <w:tcPr>
            <w:tcW w:w="683" w:type="pct"/>
          </w:tcPr>
          <w:p w14:paraId="7900C6EE" w14:textId="77777777" w:rsidR="00746959" w:rsidRPr="00B7427E" w:rsidRDefault="00746959">
            <w:pPr>
              <w:jc w:val="right"/>
              <w:rPr>
                <w:rFonts w:asciiTheme="minorHAnsi" w:hAnsiTheme="minorHAnsi" w:cs="Arial"/>
                <w:sz w:val="20"/>
                <w:szCs w:val="20"/>
              </w:rPr>
            </w:pPr>
            <w:r w:rsidRPr="00B7427E">
              <w:rPr>
                <w:rFonts w:asciiTheme="minorHAnsi" w:hAnsiTheme="minorHAnsi" w:cs="Arial"/>
                <w:sz w:val="20"/>
                <w:szCs w:val="20"/>
              </w:rPr>
              <w:t>31 December</w:t>
            </w:r>
          </w:p>
        </w:tc>
        <w:tc>
          <w:tcPr>
            <w:tcW w:w="701" w:type="pct"/>
          </w:tcPr>
          <w:p w14:paraId="2DDC88DB" w14:textId="77777777" w:rsidR="00746959" w:rsidRPr="00B97C61" w:rsidRDefault="00746959">
            <w:pPr>
              <w:jc w:val="right"/>
              <w:rPr>
                <w:rFonts w:asciiTheme="minorHAnsi" w:hAnsiTheme="minorHAnsi" w:cs="Arial"/>
                <w:sz w:val="20"/>
                <w:szCs w:val="20"/>
              </w:rPr>
            </w:pPr>
            <w:r w:rsidRPr="00B7427E">
              <w:rPr>
                <w:rFonts w:asciiTheme="minorHAnsi" w:hAnsiTheme="minorHAnsi" w:cs="Arial"/>
                <w:sz w:val="20"/>
                <w:szCs w:val="20"/>
              </w:rPr>
              <w:t xml:space="preserve">30 June </w:t>
            </w:r>
          </w:p>
        </w:tc>
      </w:tr>
      <w:tr w:rsidR="00746959" w:rsidRPr="00B97C61" w14:paraId="57D82E83" w14:textId="77777777" w:rsidTr="003B7755">
        <w:tc>
          <w:tcPr>
            <w:tcW w:w="2958" w:type="pct"/>
          </w:tcPr>
          <w:p w14:paraId="098AA56D" w14:textId="77777777" w:rsidR="00746959" w:rsidRPr="00B97C61" w:rsidRDefault="00746959">
            <w:pPr>
              <w:rPr>
                <w:rFonts w:asciiTheme="minorHAnsi" w:hAnsiTheme="minorHAnsi" w:cs="Arial"/>
                <w:sz w:val="20"/>
                <w:szCs w:val="20"/>
              </w:rPr>
            </w:pPr>
          </w:p>
        </w:tc>
        <w:tc>
          <w:tcPr>
            <w:tcW w:w="658" w:type="pct"/>
            <w:shd w:val="clear" w:color="auto" w:fill="F2F2F2" w:themeFill="background1" w:themeFillShade="F2"/>
          </w:tcPr>
          <w:p w14:paraId="7310DC2F" w14:textId="77777777" w:rsidR="00746959" w:rsidRDefault="00746959">
            <w:pPr>
              <w:jc w:val="right"/>
              <w:rPr>
                <w:rFonts w:asciiTheme="minorHAnsi" w:hAnsiTheme="minorHAnsi" w:cs="Arial"/>
                <w:b/>
                <w:sz w:val="20"/>
                <w:szCs w:val="20"/>
              </w:rPr>
            </w:pPr>
            <w:r w:rsidRPr="000E0F97">
              <w:rPr>
                <w:rFonts w:asciiTheme="minorHAnsi" w:hAnsiTheme="minorHAnsi" w:cs="Arial"/>
                <w:b/>
                <w:sz w:val="20"/>
                <w:szCs w:val="20"/>
              </w:rPr>
              <w:t>202</w:t>
            </w:r>
            <w:r>
              <w:rPr>
                <w:rFonts w:asciiTheme="minorHAnsi" w:hAnsiTheme="minorHAnsi" w:cs="Arial"/>
                <w:b/>
                <w:sz w:val="20"/>
                <w:szCs w:val="20"/>
              </w:rPr>
              <w:t>5</w:t>
            </w:r>
          </w:p>
          <w:p w14:paraId="26F8EC24" w14:textId="3DA16EF0" w:rsidR="00746959" w:rsidRPr="000E0F97" w:rsidRDefault="007D6FC5">
            <w:pPr>
              <w:jc w:val="right"/>
              <w:rPr>
                <w:rFonts w:asciiTheme="minorHAnsi" w:hAnsiTheme="minorHAnsi" w:cs="Arial"/>
                <w:b/>
                <w:sz w:val="20"/>
                <w:szCs w:val="20"/>
              </w:rPr>
            </w:pPr>
            <w:r>
              <w:rPr>
                <w:rFonts w:asciiTheme="minorHAnsi" w:hAnsiTheme="minorHAnsi" w:cs="Arial"/>
                <w:b/>
                <w:sz w:val="20"/>
                <w:szCs w:val="20"/>
              </w:rPr>
              <w:t>unaudited</w:t>
            </w:r>
          </w:p>
        </w:tc>
        <w:tc>
          <w:tcPr>
            <w:tcW w:w="683" w:type="pct"/>
          </w:tcPr>
          <w:p w14:paraId="60BC3295" w14:textId="77777777" w:rsidR="00746959" w:rsidRDefault="00746959">
            <w:pPr>
              <w:jc w:val="right"/>
              <w:rPr>
                <w:rFonts w:asciiTheme="minorHAnsi" w:hAnsiTheme="minorHAnsi" w:cs="Arial"/>
                <w:sz w:val="20"/>
                <w:szCs w:val="20"/>
              </w:rPr>
            </w:pPr>
            <w:r w:rsidRPr="00B7427E">
              <w:rPr>
                <w:rFonts w:asciiTheme="minorHAnsi" w:hAnsiTheme="minorHAnsi" w:cs="Arial"/>
                <w:sz w:val="20"/>
                <w:szCs w:val="20"/>
              </w:rPr>
              <w:t>202</w:t>
            </w:r>
            <w:r>
              <w:rPr>
                <w:rFonts w:asciiTheme="minorHAnsi" w:hAnsiTheme="minorHAnsi" w:cs="Arial"/>
                <w:sz w:val="20"/>
                <w:szCs w:val="20"/>
              </w:rPr>
              <w:t>4</w:t>
            </w:r>
          </w:p>
          <w:p w14:paraId="3687E022" w14:textId="0A43AE9B" w:rsidR="00746959" w:rsidRPr="00B97C61" w:rsidRDefault="007D6FC5">
            <w:pPr>
              <w:jc w:val="right"/>
              <w:rPr>
                <w:rFonts w:asciiTheme="minorHAnsi" w:hAnsiTheme="minorHAnsi" w:cs="Arial"/>
                <w:sz w:val="20"/>
                <w:szCs w:val="20"/>
              </w:rPr>
            </w:pPr>
            <w:r>
              <w:rPr>
                <w:rFonts w:asciiTheme="minorHAnsi" w:hAnsiTheme="minorHAnsi" w:cs="Arial"/>
                <w:sz w:val="20"/>
                <w:szCs w:val="20"/>
              </w:rPr>
              <w:t>audited</w:t>
            </w:r>
          </w:p>
        </w:tc>
        <w:tc>
          <w:tcPr>
            <w:tcW w:w="701" w:type="pct"/>
          </w:tcPr>
          <w:p w14:paraId="24504F95" w14:textId="77777777" w:rsidR="00746959" w:rsidRDefault="00746959">
            <w:pPr>
              <w:jc w:val="right"/>
              <w:rPr>
                <w:rFonts w:asciiTheme="minorHAnsi" w:hAnsiTheme="minorHAnsi" w:cs="Arial"/>
                <w:sz w:val="20"/>
                <w:szCs w:val="20"/>
              </w:rPr>
            </w:pPr>
            <w:r w:rsidRPr="00B7427E">
              <w:rPr>
                <w:rFonts w:asciiTheme="minorHAnsi" w:hAnsiTheme="minorHAnsi" w:cs="Arial"/>
                <w:sz w:val="20"/>
                <w:szCs w:val="20"/>
              </w:rPr>
              <w:t>202</w:t>
            </w:r>
            <w:r>
              <w:rPr>
                <w:rFonts w:asciiTheme="minorHAnsi" w:hAnsiTheme="minorHAnsi" w:cs="Arial"/>
                <w:sz w:val="20"/>
                <w:szCs w:val="20"/>
              </w:rPr>
              <w:t>4</w:t>
            </w:r>
          </w:p>
          <w:p w14:paraId="15AE3948" w14:textId="2E789E09" w:rsidR="00746959" w:rsidRPr="00B97C61" w:rsidRDefault="007D6FC5">
            <w:pPr>
              <w:jc w:val="right"/>
              <w:rPr>
                <w:rFonts w:asciiTheme="minorHAnsi" w:hAnsiTheme="minorHAnsi" w:cs="Arial"/>
                <w:sz w:val="20"/>
                <w:szCs w:val="20"/>
              </w:rPr>
            </w:pPr>
            <w:r>
              <w:rPr>
                <w:rFonts w:asciiTheme="minorHAnsi" w:hAnsiTheme="minorHAnsi" w:cs="Arial"/>
                <w:sz w:val="20"/>
                <w:szCs w:val="20"/>
              </w:rPr>
              <w:t>unaudited</w:t>
            </w:r>
          </w:p>
        </w:tc>
      </w:tr>
      <w:tr w:rsidR="00746959" w:rsidRPr="00B97C61" w14:paraId="73D56D20" w14:textId="77777777" w:rsidTr="003B7755">
        <w:tc>
          <w:tcPr>
            <w:tcW w:w="2958" w:type="pct"/>
          </w:tcPr>
          <w:p w14:paraId="1B7D29A4" w14:textId="77777777" w:rsidR="00746959" w:rsidRPr="00B97C61" w:rsidRDefault="00746959">
            <w:pPr>
              <w:rPr>
                <w:rFonts w:asciiTheme="minorHAnsi" w:hAnsiTheme="minorHAnsi" w:cs="Arial"/>
                <w:bCs/>
                <w:sz w:val="20"/>
                <w:szCs w:val="20"/>
              </w:rPr>
            </w:pPr>
          </w:p>
        </w:tc>
        <w:tc>
          <w:tcPr>
            <w:tcW w:w="658" w:type="pct"/>
            <w:tcBorders>
              <w:top w:val="nil"/>
              <w:left w:val="nil"/>
              <w:bottom w:val="single" w:sz="4" w:space="0" w:color="auto"/>
              <w:right w:val="nil"/>
            </w:tcBorders>
            <w:shd w:val="clear" w:color="auto" w:fill="F2F2F2" w:themeFill="background1" w:themeFillShade="F2"/>
          </w:tcPr>
          <w:p w14:paraId="2BB32816" w14:textId="77777777" w:rsidR="00746959" w:rsidRPr="000E0F97" w:rsidRDefault="00746959">
            <w:pPr>
              <w:jc w:val="right"/>
              <w:rPr>
                <w:rFonts w:asciiTheme="minorHAnsi" w:hAnsiTheme="minorHAnsi" w:cs="Arial"/>
                <w:b/>
                <w:sz w:val="20"/>
                <w:szCs w:val="20"/>
              </w:rPr>
            </w:pPr>
            <w:r w:rsidRPr="000E0F97">
              <w:rPr>
                <w:rFonts w:asciiTheme="minorHAnsi" w:hAnsiTheme="minorHAnsi" w:cs="Arial"/>
                <w:b/>
                <w:sz w:val="20"/>
                <w:szCs w:val="20"/>
              </w:rPr>
              <w:t>£m </w:t>
            </w:r>
          </w:p>
        </w:tc>
        <w:tc>
          <w:tcPr>
            <w:tcW w:w="683" w:type="pct"/>
            <w:tcBorders>
              <w:top w:val="nil"/>
              <w:left w:val="nil"/>
              <w:bottom w:val="single" w:sz="4" w:space="0" w:color="auto"/>
              <w:right w:val="nil"/>
            </w:tcBorders>
          </w:tcPr>
          <w:p w14:paraId="13158D9D" w14:textId="77777777" w:rsidR="00746959" w:rsidRPr="00B97C61" w:rsidRDefault="00746959">
            <w:pPr>
              <w:jc w:val="right"/>
              <w:rPr>
                <w:rFonts w:asciiTheme="minorHAnsi" w:hAnsiTheme="minorHAnsi" w:cs="Arial"/>
                <w:sz w:val="20"/>
                <w:szCs w:val="20"/>
              </w:rPr>
            </w:pPr>
            <w:r w:rsidRPr="00B7427E">
              <w:rPr>
                <w:rFonts w:asciiTheme="minorHAnsi" w:hAnsiTheme="minorHAnsi" w:cs="Arial"/>
                <w:sz w:val="20"/>
                <w:szCs w:val="20"/>
              </w:rPr>
              <w:t>£m</w:t>
            </w:r>
          </w:p>
        </w:tc>
        <w:tc>
          <w:tcPr>
            <w:tcW w:w="701" w:type="pct"/>
            <w:tcBorders>
              <w:top w:val="nil"/>
              <w:left w:val="nil"/>
              <w:bottom w:val="single" w:sz="4" w:space="0" w:color="auto"/>
              <w:right w:val="nil"/>
            </w:tcBorders>
          </w:tcPr>
          <w:p w14:paraId="3CE68DA9" w14:textId="77777777" w:rsidR="00746959" w:rsidRPr="00B97C61" w:rsidRDefault="00746959">
            <w:pPr>
              <w:jc w:val="right"/>
              <w:rPr>
                <w:rFonts w:asciiTheme="minorHAnsi" w:hAnsiTheme="minorHAnsi" w:cs="Arial"/>
                <w:sz w:val="20"/>
                <w:szCs w:val="20"/>
              </w:rPr>
            </w:pPr>
            <w:r w:rsidRPr="00B97C61">
              <w:rPr>
                <w:rFonts w:asciiTheme="minorHAnsi" w:hAnsiTheme="minorHAnsi" w:cs="Arial"/>
                <w:sz w:val="20"/>
                <w:szCs w:val="20"/>
              </w:rPr>
              <w:t>£m </w:t>
            </w:r>
          </w:p>
        </w:tc>
      </w:tr>
      <w:tr w:rsidR="00746959" w:rsidRPr="00B97C61" w14:paraId="1520565A" w14:textId="77777777" w:rsidTr="003B7755">
        <w:tc>
          <w:tcPr>
            <w:tcW w:w="2958" w:type="pct"/>
            <w:vAlign w:val="bottom"/>
          </w:tcPr>
          <w:p w14:paraId="5DC85192" w14:textId="77777777" w:rsidR="00746959" w:rsidRPr="00B97C61" w:rsidRDefault="00746959" w:rsidP="00746959">
            <w:pPr>
              <w:rPr>
                <w:rFonts w:asciiTheme="minorHAnsi" w:hAnsiTheme="minorHAnsi" w:cs="Arial"/>
                <w:sz w:val="20"/>
                <w:szCs w:val="20"/>
              </w:rPr>
            </w:pPr>
            <w:r w:rsidRPr="00B97C61">
              <w:rPr>
                <w:rFonts w:asciiTheme="minorHAnsi" w:hAnsiTheme="minorHAnsi" w:cs="Arial"/>
                <w:sz w:val="20"/>
                <w:szCs w:val="20"/>
              </w:rPr>
              <w:t>Fair value of scheme assets at 1 January</w:t>
            </w:r>
          </w:p>
        </w:tc>
        <w:tc>
          <w:tcPr>
            <w:tcW w:w="658" w:type="pct"/>
            <w:tcBorders>
              <w:top w:val="single" w:sz="4" w:space="0" w:color="auto"/>
              <w:left w:val="nil"/>
              <w:bottom w:val="nil"/>
              <w:right w:val="nil"/>
            </w:tcBorders>
            <w:shd w:val="clear" w:color="auto" w:fill="F2F2F2" w:themeFill="background1" w:themeFillShade="F2"/>
            <w:vAlign w:val="bottom"/>
          </w:tcPr>
          <w:p w14:paraId="68EE2C12" w14:textId="58B74A38" w:rsidR="00746959" w:rsidRPr="006D4208" w:rsidRDefault="00C370BA" w:rsidP="00746959">
            <w:pPr>
              <w:jc w:val="right"/>
              <w:rPr>
                <w:rFonts w:asciiTheme="minorHAnsi" w:hAnsiTheme="minorHAnsi" w:cs="Arial"/>
                <w:b/>
                <w:sz w:val="20"/>
                <w:szCs w:val="20"/>
              </w:rPr>
            </w:pPr>
            <w:r>
              <w:rPr>
                <w:rFonts w:asciiTheme="minorHAnsi" w:hAnsiTheme="minorHAnsi" w:cs="Arial"/>
                <w:b/>
                <w:sz w:val="20"/>
                <w:szCs w:val="20"/>
              </w:rPr>
              <w:t>453.7</w:t>
            </w:r>
          </w:p>
        </w:tc>
        <w:tc>
          <w:tcPr>
            <w:tcW w:w="683" w:type="pct"/>
            <w:tcBorders>
              <w:top w:val="single" w:sz="4" w:space="0" w:color="auto"/>
              <w:left w:val="nil"/>
              <w:bottom w:val="nil"/>
              <w:right w:val="nil"/>
            </w:tcBorders>
            <w:vAlign w:val="bottom"/>
          </w:tcPr>
          <w:p w14:paraId="141DAD2C" w14:textId="24FCE9E4" w:rsidR="00746959" w:rsidRPr="00B7427E" w:rsidRDefault="00746959" w:rsidP="00746959">
            <w:pPr>
              <w:jc w:val="right"/>
              <w:rPr>
                <w:rFonts w:asciiTheme="minorHAnsi" w:hAnsiTheme="minorHAnsi" w:cs="Arial"/>
                <w:sz w:val="20"/>
                <w:szCs w:val="20"/>
              </w:rPr>
            </w:pPr>
            <w:r w:rsidRPr="00F043F6">
              <w:rPr>
                <w:rFonts w:asciiTheme="minorHAnsi" w:hAnsiTheme="minorHAnsi" w:cs="Arial"/>
                <w:sz w:val="20"/>
                <w:szCs w:val="20"/>
              </w:rPr>
              <w:t>512.9</w:t>
            </w:r>
          </w:p>
        </w:tc>
        <w:tc>
          <w:tcPr>
            <w:tcW w:w="701" w:type="pct"/>
            <w:tcBorders>
              <w:top w:val="single" w:sz="4" w:space="0" w:color="auto"/>
              <w:left w:val="nil"/>
              <w:bottom w:val="nil"/>
              <w:right w:val="nil"/>
            </w:tcBorders>
            <w:vAlign w:val="bottom"/>
          </w:tcPr>
          <w:p w14:paraId="51892369" w14:textId="0B6DAFD8" w:rsidR="00746959" w:rsidRPr="006D4208" w:rsidRDefault="00746959" w:rsidP="00746959">
            <w:pPr>
              <w:jc w:val="right"/>
              <w:rPr>
                <w:rFonts w:asciiTheme="minorHAnsi" w:hAnsiTheme="minorHAnsi" w:cs="Arial"/>
                <w:sz w:val="20"/>
                <w:szCs w:val="20"/>
              </w:rPr>
            </w:pPr>
            <w:r w:rsidRPr="00F043F6">
              <w:rPr>
                <w:rFonts w:asciiTheme="minorHAnsi" w:hAnsiTheme="minorHAnsi" w:cs="Arial"/>
                <w:sz w:val="20"/>
                <w:szCs w:val="20"/>
              </w:rPr>
              <w:t>512.9</w:t>
            </w:r>
          </w:p>
        </w:tc>
      </w:tr>
      <w:tr w:rsidR="00746959" w:rsidRPr="00B97C61" w14:paraId="4E05D57A" w14:textId="77777777" w:rsidTr="003B7755">
        <w:tc>
          <w:tcPr>
            <w:tcW w:w="2958" w:type="pct"/>
            <w:vAlign w:val="bottom"/>
          </w:tcPr>
          <w:p w14:paraId="149D810E" w14:textId="77777777" w:rsidR="00746959" w:rsidRPr="00B97C61" w:rsidRDefault="00746959" w:rsidP="00746959">
            <w:pPr>
              <w:rPr>
                <w:rFonts w:asciiTheme="minorHAnsi" w:hAnsiTheme="minorHAnsi" w:cs="Arial"/>
                <w:sz w:val="20"/>
                <w:szCs w:val="20"/>
              </w:rPr>
            </w:pPr>
            <w:r w:rsidRPr="00B97C61">
              <w:rPr>
                <w:rFonts w:asciiTheme="minorHAnsi" w:hAnsiTheme="minorHAnsi" w:cs="Arial"/>
                <w:sz w:val="20"/>
                <w:szCs w:val="20"/>
              </w:rPr>
              <w:t>Interest on scheme assets</w:t>
            </w:r>
          </w:p>
        </w:tc>
        <w:tc>
          <w:tcPr>
            <w:tcW w:w="658" w:type="pct"/>
            <w:shd w:val="clear" w:color="auto" w:fill="F2F2F2" w:themeFill="background1" w:themeFillShade="F2"/>
          </w:tcPr>
          <w:p w14:paraId="796CBF10" w14:textId="4523AF64" w:rsidR="00746959" w:rsidRPr="006D4208" w:rsidRDefault="001B4DC2" w:rsidP="00746959">
            <w:pPr>
              <w:jc w:val="right"/>
              <w:rPr>
                <w:rFonts w:asciiTheme="minorHAnsi" w:hAnsiTheme="minorHAnsi" w:cs="Arial"/>
                <w:b/>
                <w:sz w:val="20"/>
                <w:szCs w:val="20"/>
              </w:rPr>
            </w:pPr>
            <w:r>
              <w:rPr>
                <w:rFonts w:asciiTheme="minorHAnsi" w:hAnsiTheme="minorHAnsi" w:cs="Arial"/>
                <w:b/>
                <w:sz w:val="20"/>
                <w:szCs w:val="20"/>
              </w:rPr>
              <w:t>12.3</w:t>
            </w:r>
          </w:p>
        </w:tc>
        <w:tc>
          <w:tcPr>
            <w:tcW w:w="683" w:type="pct"/>
          </w:tcPr>
          <w:p w14:paraId="5BEAC5DE" w14:textId="0ADBCB4E" w:rsidR="00746959" w:rsidRPr="00B7427E" w:rsidRDefault="00746959" w:rsidP="00746959">
            <w:pPr>
              <w:jc w:val="right"/>
              <w:rPr>
                <w:rFonts w:asciiTheme="minorHAnsi" w:hAnsiTheme="minorHAnsi" w:cs="Arial"/>
                <w:sz w:val="20"/>
                <w:szCs w:val="20"/>
              </w:rPr>
            </w:pPr>
            <w:r w:rsidRPr="00F043F6">
              <w:rPr>
                <w:rFonts w:asciiTheme="minorHAnsi" w:hAnsiTheme="minorHAnsi" w:cs="Arial"/>
                <w:sz w:val="20"/>
                <w:szCs w:val="20"/>
              </w:rPr>
              <w:t>23.4</w:t>
            </w:r>
          </w:p>
        </w:tc>
        <w:tc>
          <w:tcPr>
            <w:tcW w:w="701" w:type="pct"/>
          </w:tcPr>
          <w:p w14:paraId="58B5B5A1" w14:textId="31F14C5C" w:rsidR="00746959" w:rsidRPr="006D4208" w:rsidRDefault="00746959" w:rsidP="00746959">
            <w:pPr>
              <w:jc w:val="right"/>
              <w:rPr>
                <w:rFonts w:asciiTheme="minorHAnsi" w:hAnsiTheme="minorHAnsi" w:cs="Arial"/>
                <w:sz w:val="20"/>
                <w:szCs w:val="20"/>
              </w:rPr>
            </w:pPr>
            <w:r w:rsidRPr="00F043F6">
              <w:rPr>
                <w:rFonts w:asciiTheme="minorHAnsi" w:hAnsiTheme="minorHAnsi" w:cs="Arial"/>
                <w:sz w:val="20"/>
                <w:szCs w:val="20"/>
              </w:rPr>
              <w:t>11.7</w:t>
            </w:r>
          </w:p>
        </w:tc>
      </w:tr>
      <w:tr w:rsidR="00746959" w:rsidRPr="00B97C61" w14:paraId="28BD481F" w14:textId="77777777" w:rsidTr="003B7755">
        <w:tc>
          <w:tcPr>
            <w:tcW w:w="2958" w:type="pct"/>
            <w:vAlign w:val="bottom"/>
          </w:tcPr>
          <w:p w14:paraId="50DB8A0D" w14:textId="77777777" w:rsidR="00746959" w:rsidRPr="00B97C61" w:rsidRDefault="00746959" w:rsidP="00746959">
            <w:pPr>
              <w:rPr>
                <w:rFonts w:asciiTheme="minorHAnsi" w:hAnsiTheme="minorHAnsi" w:cs="Arial"/>
                <w:sz w:val="20"/>
                <w:szCs w:val="20"/>
              </w:rPr>
            </w:pPr>
            <w:r w:rsidRPr="00B97C61">
              <w:rPr>
                <w:rFonts w:asciiTheme="minorHAnsi" w:hAnsiTheme="minorHAnsi" w:cs="Arial"/>
                <w:sz w:val="20"/>
                <w:szCs w:val="20"/>
              </w:rPr>
              <w:t>Actuarial movements on scheme assets</w:t>
            </w:r>
          </w:p>
        </w:tc>
        <w:tc>
          <w:tcPr>
            <w:tcW w:w="658" w:type="pct"/>
            <w:shd w:val="clear" w:color="auto" w:fill="F2F2F2" w:themeFill="background1" w:themeFillShade="F2"/>
          </w:tcPr>
          <w:p w14:paraId="114C01AC" w14:textId="45C27BAF" w:rsidR="00746959" w:rsidRPr="006D4208" w:rsidRDefault="001B4DC2" w:rsidP="00746959">
            <w:pPr>
              <w:jc w:val="right"/>
              <w:rPr>
                <w:rFonts w:asciiTheme="minorHAnsi" w:hAnsiTheme="minorHAnsi" w:cs="Arial"/>
                <w:b/>
                <w:sz w:val="20"/>
                <w:szCs w:val="20"/>
              </w:rPr>
            </w:pPr>
            <w:r>
              <w:rPr>
                <w:rFonts w:asciiTheme="minorHAnsi" w:hAnsiTheme="minorHAnsi" w:cs="Arial"/>
                <w:b/>
                <w:sz w:val="20"/>
                <w:szCs w:val="20"/>
              </w:rPr>
              <w:t>(6.8)</w:t>
            </w:r>
          </w:p>
        </w:tc>
        <w:tc>
          <w:tcPr>
            <w:tcW w:w="683" w:type="pct"/>
          </w:tcPr>
          <w:p w14:paraId="2BE8DB02" w14:textId="4FE0F19E" w:rsidR="00746959" w:rsidRPr="00B7427E" w:rsidRDefault="00746959" w:rsidP="00746959">
            <w:pPr>
              <w:jc w:val="right"/>
              <w:rPr>
                <w:rFonts w:asciiTheme="minorHAnsi" w:hAnsiTheme="minorHAnsi" w:cs="Arial"/>
                <w:sz w:val="20"/>
                <w:szCs w:val="20"/>
              </w:rPr>
            </w:pPr>
            <w:r w:rsidRPr="00F043F6">
              <w:rPr>
                <w:rFonts w:asciiTheme="minorHAnsi" w:hAnsiTheme="minorHAnsi" w:cs="Arial"/>
                <w:sz w:val="20"/>
                <w:szCs w:val="20"/>
              </w:rPr>
              <w:t>(54.6)</w:t>
            </w:r>
          </w:p>
        </w:tc>
        <w:tc>
          <w:tcPr>
            <w:tcW w:w="701" w:type="pct"/>
          </w:tcPr>
          <w:p w14:paraId="1F26A60F" w14:textId="75DD5226" w:rsidR="00746959" w:rsidRPr="006D4208" w:rsidRDefault="00746959" w:rsidP="00746959">
            <w:pPr>
              <w:jc w:val="right"/>
              <w:rPr>
                <w:rFonts w:asciiTheme="minorHAnsi" w:hAnsiTheme="minorHAnsi" w:cs="Arial"/>
                <w:sz w:val="20"/>
                <w:szCs w:val="20"/>
              </w:rPr>
            </w:pPr>
            <w:r w:rsidRPr="00F043F6">
              <w:rPr>
                <w:rFonts w:asciiTheme="minorHAnsi" w:hAnsiTheme="minorHAnsi" w:cs="Arial"/>
                <w:sz w:val="20"/>
                <w:szCs w:val="20"/>
              </w:rPr>
              <w:t>(31.4)</w:t>
            </w:r>
          </w:p>
        </w:tc>
      </w:tr>
      <w:tr w:rsidR="00746959" w:rsidRPr="00B97C61" w14:paraId="0668DF85" w14:textId="77777777" w:rsidTr="003B7755">
        <w:tc>
          <w:tcPr>
            <w:tcW w:w="2958" w:type="pct"/>
            <w:vAlign w:val="bottom"/>
          </w:tcPr>
          <w:p w14:paraId="0084895C" w14:textId="77777777" w:rsidR="00746959" w:rsidRPr="00B97C61" w:rsidRDefault="00746959" w:rsidP="00746959">
            <w:pPr>
              <w:rPr>
                <w:rFonts w:asciiTheme="minorHAnsi" w:hAnsiTheme="minorHAnsi" w:cs="Arial"/>
                <w:sz w:val="20"/>
                <w:szCs w:val="20"/>
              </w:rPr>
            </w:pPr>
            <w:r w:rsidRPr="00B97C61">
              <w:rPr>
                <w:rFonts w:asciiTheme="minorHAnsi" w:hAnsiTheme="minorHAnsi" w:cs="Arial"/>
                <w:sz w:val="20"/>
                <w:szCs w:val="20"/>
              </w:rPr>
              <w:t>Contributions by the Group</w:t>
            </w:r>
          </w:p>
        </w:tc>
        <w:tc>
          <w:tcPr>
            <w:tcW w:w="658" w:type="pct"/>
            <w:shd w:val="clear" w:color="auto" w:fill="F2F2F2" w:themeFill="background1" w:themeFillShade="F2"/>
          </w:tcPr>
          <w:p w14:paraId="77963575" w14:textId="4D6F0300" w:rsidR="00746959" w:rsidRPr="006D4208" w:rsidRDefault="001B4DC2" w:rsidP="00746959">
            <w:pPr>
              <w:jc w:val="right"/>
              <w:rPr>
                <w:rFonts w:asciiTheme="minorHAnsi" w:hAnsiTheme="minorHAnsi" w:cs="Arial"/>
                <w:b/>
                <w:sz w:val="20"/>
                <w:szCs w:val="20"/>
              </w:rPr>
            </w:pPr>
            <w:r>
              <w:rPr>
                <w:rFonts w:asciiTheme="minorHAnsi" w:hAnsiTheme="minorHAnsi" w:cs="Arial"/>
                <w:b/>
                <w:sz w:val="20"/>
                <w:szCs w:val="20"/>
              </w:rPr>
              <w:t>0.4</w:t>
            </w:r>
          </w:p>
        </w:tc>
        <w:tc>
          <w:tcPr>
            <w:tcW w:w="683" w:type="pct"/>
          </w:tcPr>
          <w:p w14:paraId="588DBBB2" w14:textId="7B5F804C" w:rsidR="00746959" w:rsidRPr="00B7427E" w:rsidRDefault="00746959" w:rsidP="00746959">
            <w:pPr>
              <w:jc w:val="right"/>
              <w:rPr>
                <w:rFonts w:asciiTheme="minorHAnsi" w:hAnsiTheme="minorHAnsi" w:cs="Arial"/>
                <w:sz w:val="20"/>
                <w:szCs w:val="20"/>
              </w:rPr>
            </w:pPr>
            <w:r w:rsidRPr="00F043F6">
              <w:rPr>
                <w:rFonts w:asciiTheme="minorHAnsi" w:hAnsiTheme="minorHAnsi" w:cs="Arial"/>
                <w:sz w:val="20"/>
                <w:szCs w:val="20"/>
              </w:rPr>
              <w:t>0.8</w:t>
            </w:r>
          </w:p>
        </w:tc>
        <w:tc>
          <w:tcPr>
            <w:tcW w:w="701" w:type="pct"/>
          </w:tcPr>
          <w:p w14:paraId="50667A26" w14:textId="54EC71F9" w:rsidR="00746959" w:rsidRPr="006D4208" w:rsidRDefault="00746959" w:rsidP="00746959">
            <w:pPr>
              <w:jc w:val="right"/>
              <w:rPr>
                <w:rFonts w:asciiTheme="minorHAnsi" w:hAnsiTheme="minorHAnsi" w:cs="Arial"/>
                <w:sz w:val="20"/>
                <w:szCs w:val="20"/>
              </w:rPr>
            </w:pPr>
            <w:r w:rsidRPr="00F043F6">
              <w:rPr>
                <w:rFonts w:asciiTheme="minorHAnsi" w:hAnsiTheme="minorHAnsi" w:cs="Arial"/>
                <w:sz w:val="20"/>
                <w:szCs w:val="20"/>
              </w:rPr>
              <w:t>0.4</w:t>
            </w:r>
          </w:p>
        </w:tc>
      </w:tr>
      <w:tr w:rsidR="00746959" w:rsidRPr="00B97C61" w14:paraId="6E80C296" w14:textId="77777777" w:rsidTr="003B7755">
        <w:tc>
          <w:tcPr>
            <w:tcW w:w="2958" w:type="pct"/>
            <w:vAlign w:val="bottom"/>
          </w:tcPr>
          <w:p w14:paraId="0053B162" w14:textId="77777777" w:rsidR="00746959" w:rsidRPr="00B97C61" w:rsidRDefault="00746959" w:rsidP="00746959">
            <w:pPr>
              <w:rPr>
                <w:rFonts w:asciiTheme="minorHAnsi" w:hAnsiTheme="minorHAnsi" w:cs="Arial"/>
                <w:sz w:val="20"/>
                <w:szCs w:val="20"/>
              </w:rPr>
            </w:pPr>
            <w:r w:rsidRPr="00B97C61">
              <w:rPr>
                <w:rFonts w:asciiTheme="minorHAnsi" w:hAnsiTheme="minorHAnsi" w:cs="Arial"/>
                <w:sz w:val="20"/>
                <w:szCs w:val="20"/>
              </w:rPr>
              <w:t>Net benefits paid out</w:t>
            </w:r>
          </w:p>
        </w:tc>
        <w:tc>
          <w:tcPr>
            <w:tcW w:w="658" w:type="pct"/>
            <w:tcBorders>
              <w:top w:val="nil"/>
              <w:left w:val="nil"/>
              <w:bottom w:val="single" w:sz="4" w:space="0" w:color="auto"/>
              <w:right w:val="nil"/>
            </w:tcBorders>
            <w:shd w:val="clear" w:color="auto" w:fill="F2F2F2" w:themeFill="background1" w:themeFillShade="F2"/>
          </w:tcPr>
          <w:p w14:paraId="25C8BBB1" w14:textId="629CD6B5" w:rsidR="00746959" w:rsidRPr="006D4208" w:rsidRDefault="001B4DC2" w:rsidP="00746959">
            <w:pPr>
              <w:jc w:val="right"/>
              <w:rPr>
                <w:rFonts w:asciiTheme="minorHAnsi" w:hAnsiTheme="minorHAnsi" w:cs="Arial"/>
                <w:b/>
                <w:sz w:val="20"/>
                <w:szCs w:val="20"/>
              </w:rPr>
            </w:pPr>
            <w:r>
              <w:rPr>
                <w:rFonts w:asciiTheme="minorHAnsi" w:hAnsiTheme="minorHAnsi" w:cs="Arial"/>
                <w:b/>
                <w:sz w:val="20"/>
                <w:szCs w:val="20"/>
              </w:rPr>
              <w:t>(12.1)</w:t>
            </w:r>
          </w:p>
        </w:tc>
        <w:tc>
          <w:tcPr>
            <w:tcW w:w="683" w:type="pct"/>
            <w:tcBorders>
              <w:top w:val="nil"/>
              <w:left w:val="nil"/>
              <w:bottom w:val="single" w:sz="4" w:space="0" w:color="auto"/>
              <w:right w:val="nil"/>
            </w:tcBorders>
          </w:tcPr>
          <w:p w14:paraId="20D54CE5" w14:textId="6D869EBA" w:rsidR="00746959" w:rsidRPr="00B7427E" w:rsidRDefault="00746959" w:rsidP="00746959">
            <w:pPr>
              <w:jc w:val="right"/>
              <w:rPr>
                <w:rFonts w:asciiTheme="minorHAnsi" w:hAnsiTheme="minorHAnsi" w:cs="Arial"/>
                <w:sz w:val="20"/>
                <w:szCs w:val="20"/>
              </w:rPr>
            </w:pPr>
            <w:r w:rsidRPr="00F043F6">
              <w:rPr>
                <w:rFonts w:asciiTheme="minorHAnsi" w:hAnsiTheme="minorHAnsi" w:cs="Arial"/>
                <w:sz w:val="20"/>
                <w:szCs w:val="20"/>
              </w:rPr>
              <w:t>(28.8)</w:t>
            </w:r>
          </w:p>
        </w:tc>
        <w:tc>
          <w:tcPr>
            <w:tcW w:w="701" w:type="pct"/>
            <w:tcBorders>
              <w:top w:val="nil"/>
              <w:left w:val="nil"/>
              <w:bottom w:val="single" w:sz="4" w:space="0" w:color="auto"/>
              <w:right w:val="nil"/>
            </w:tcBorders>
          </w:tcPr>
          <w:p w14:paraId="31F3BC04" w14:textId="7CEC75C4" w:rsidR="00746959" w:rsidRPr="006D4208" w:rsidRDefault="00746959" w:rsidP="00746959">
            <w:pPr>
              <w:jc w:val="right"/>
              <w:rPr>
                <w:rFonts w:asciiTheme="minorHAnsi" w:hAnsiTheme="minorHAnsi" w:cs="Arial"/>
                <w:sz w:val="20"/>
                <w:szCs w:val="20"/>
              </w:rPr>
            </w:pPr>
            <w:r w:rsidRPr="00F043F6">
              <w:rPr>
                <w:rFonts w:asciiTheme="minorHAnsi" w:hAnsiTheme="minorHAnsi" w:cs="Arial"/>
                <w:sz w:val="20"/>
                <w:szCs w:val="20"/>
              </w:rPr>
              <w:t>(12.6)</w:t>
            </w:r>
          </w:p>
        </w:tc>
      </w:tr>
      <w:tr w:rsidR="00746959" w:rsidRPr="00B97C61" w14:paraId="3F2E41BA" w14:textId="77777777" w:rsidTr="003B7755">
        <w:tc>
          <w:tcPr>
            <w:tcW w:w="2958" w:type="pct"/>
            <w:vAlign w:val="bottom"/>
          </w:tcPr>
          <w:p w14:paraId="5CB5EC3A" w14:textId="77777777" w:rsidR="00746959" w:rsidRPr="00B97C61" w:rsidRDefault="00746959" w:rsidP="00746959">
            <w:pPr>
              <w:rPr>
                <w:rFonts w:asciiTheme="minorHAnsi" w:hAnsiTheme="minorHAnsi" w:cs="Arial"/>
                <w:b/>
                <w:sz w:val="20"/>
                <w:szCs w:val="20"/>
              </w:rPr>
            </w:pPr>
            <w:r w:rsidRPr="00B97C61">
              <w:rPr>
                <w:rFonts w:asciiTheme="minorHAnsi" w:hAnsiTheme="minorHAnsi" w:cs="Arial"/>
                <w:b/>
                <w:sz w:val="20"/>
                <w:szCs w:val="20"/>
              </w:rPr>
              <w:t xml:space="preserve">Fair value of scheme assets at </w:t>
            </w:r>
            <w:r>
              <w:rPr>
                <w:rFonts w:asciiTheme="minorHAnsi" w:hAnsiTheme="minorHAnsi" w:cs="Arial"/>
                <w:b/>
                <w:sz w:val="20"/>
                <w:szCs w:val="20"/>
              </w:rPr>
              <w:t>period end</w:t>
            </w:r>
          </w:p>
        </w:tc>
        <w:tc>
          <w:tcPr>
            <w:tcW w:w="658" w:type="pct"/>
            <w:tcBorders>
              <w:top w:val="single" w:sz="4" w:space="0" w:color="auto"/>
              <w:left w:val="nil"/>
              <w:bottom w:val="single" w:sz="18" w:space="0" w:color="auto"/>
              <w:right w:val="nil"/>
            </w:tcBorders>
            <w:shd w:val="clear" w:color="auto" w:fill="F2F2F2" w:themeFill="background1" w:themeFillShade="F2"/>
          </w:tcPr>
          <w:p w14:paraId="4A345119" w14:textId="20198F9F" w:rsidR="00746959" w:rsidRPr="006D4208" w:rsidRDefault="001B4DC2" w:rsidP="00746959">
            <w:pPr>
              <w:jc w:val="right"/>
              <w:rPr>
                <w:rFonts w:asciiTheme="minorHAnsi" w:hAnsiTheme="minorHAnsi" w:cs="Arial"/>
                <w:b/>
                <w:sz w:val="20"/>
                <w:szCs w:val="20"/>
              </w:rPr>
            </w:pPr>
            <w:r>
              <w:rPr>
                <w:rFonts w:asciiTheme="minorHAnsi" w:hAnsiTheme="minorHAnsi" w:cs="Arial"/>
                <w:b/>
                <w:sz w:val="20"/>
                <w:szCs w:val="20"/>
              </w:rPr>
              <w:t>447.5</w:t>
            </w:r>
          </w:p>
        </w:tc>
        <w:tc>
          <w:tcPr>
            <w:tcW w:w="683" w:type="pct"/>
            <w:tcBorders>
              <w:top w:val="single" w:sz="4" w:space="0" w:color="auto"/>
              <w:left w:val="nil"/>
              <w:bottom w:val="single" w:sz="18" w:space="0" w:color="auto"/>
              <w:right w:val="nil"/>
            </w:tcBorders>
          </w:tcPr>
          <w:p w14:paraId="541818BA" w14:textId="4A08D632" w:rsidR="00746959" w:rsidRPr="00B7427E" w:rsidRDefault="00746959" w:rsidP="00746959">
            <w:pPr>
              <w:jc w:val="right"/>
              <w:rPr>
                <w:rFonts w:asciiTheme="minorHAnsi" w:hAnsiTheme="minorHAnsi" w:cs="Arial"/>
                <w:sz w:val="20"/>
                <w:szCs w:val="20"/>
              </w:rPr>
            </w:pPr>
            <w:r w:rsidRPr="00F043F6">
              <w:rPr>
                <w:rFonts w:asciiTheme="minorHAnsi" w:hAnsiTheme="minorHAnsi" w:cs="Arial"/>
                <w:sz w:val="20"/>
                <w:szCs w:val="20"/>
              </w:rPr>
              <w:t>453.7</w:t>
            </w:r>
          </w:p>
        </w:tc>
        <w:tc>
          <w:tcPr>
            <w:tcW w:w="701" w:type="pct"/>
            <w:tcBorders>
              <w:top w:val="single" w:sz="4" w:space="0" w:color="auto"/>
              <w:left w:val="nil"/>
              <w:bottom w:val="single" w:sz="18" w:space="0" w:color="auto"/>
              <w:right w:val="nil"/>
            </w:tcBorders>
          </w:tcPr>
          <w:p w14:paraId="3B797FF2" w14:textId="3672E9CD" w:rsidR="00746959" w:rsidRPr="006D4208" w:rsidRDefault="00746959" w:rsidP="00746959">
            <w:pPr>
              <w:jc w:val="right"/>
              <w:rPr>
                <w:rFonts w:asciiTheme="minorHAnsi" w:hAnsiTheme="minorHAnsi" w:cs="Arial"/>
                <w:sz w:val="20"/>
                <w:szCs w:val="20"/>
              </w:rPr>
            </w:pPr>
            <w:r w:rsidRPr="00F043F6">
              <w:rPr>
                <w:rFonts w:asciiTheme="minorHAnsi" w:hAnsiTheme="minorHAnsi" w:cs="Arial"/>
                <w:sz w:val="20"/>
                <w:szCs w:val="20"/>
              </w:rPr>
              <w:t>481.0</w:t>
            </w:r>
          </w:p>
        </w:tc>
      </w:tr>
    </w:tbl>
    <w:p w14:paraId="7BF00CDF" w14:textId="1BEC61F9" w:rsidR="00170439" w:rsidRDefault="00170439"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hanging="600"/>
        <w:rPr>
          <w:rFonts w:asciiTheme="minorHAnsi" w:hAnsiTheme="minorHAnsi" w:cs="Arial"/>
          <w:sz w:val="20"/>
          <w:szCs w:val="20"/>
        </w:rPr>
      </w:pPr>
    </w:p>
    <w:p w14:paraId="2194850D" w14:textId="22E86940" w:rsidR="00A1425C" w:rsidRPr="000C4DA9" w:rsidRDefault="001A02A2"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hanging="600"/>
        <w:rPr>
          <w:rFonts w:asciiTheme="minorHAnsi" w:hAnsiTheme="minorHAnsi" w:cs="Arial"/>
          <w:sz w:val="20"/>
          <w:szCs w:val="20"/>
        </w:rPr>
      </w:pPr>
      <w:r>
        <w:rPr>
          <w:rFonts w:asciiTheme="minorHAnsi" w:hAnsiTheme="minorHAnsi" w:cs="Arial"/>
          <w:sz w:val="20"/>
          <w:szCs w:val="20"/>
        </w:rPr>
        <w:t>M</w:t>
      </w:r>
      <w:r w:rsidR="00A1425C" w:rsidRPr="000C4DA9">
        <w:rPr>
          <w:rFonts w:asciiTheme="minorHAnsi" w:hAnsiTheme="minorHAnsi" w:cs="Arial"/>
          <w:sz w:val="20"/>
          <w:szCs w:val="20"/>
        </w:rPr>
        <w:t>ovements in the present value of the defined benefit obligation were as follows:</w:t>
      </w:r>
    </w:p>
    <w:p w14:paraId="42B2523D" w14:textId="77777777" w:rsidR="00BA7500" w:rsidRDefault="00BA7500"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hanging="600"/>
        <w:rPr>
          <w:rFonts w:asciiTheme="minorHAnsi" w:hAnsiTheme="minorHAnsi" w:cs="Arial"/>
          <w:sz w:val="20"/>
          <w:szCs w:val="20"/>
        </w:rPr>
      </w:pPr>
    </w:p>
    <w:tbl>
      <w:tblPr>
        <w:tblW w:w="5000" w:type="pct"/>
        <w:tblLook w:val="0000" w:firstRow="0" w:lastRow="0" w:firstColumn="0" w:lastColumn="0" w:noHBand="0" w:noVBand="0"/>
      </w:tblPr>
      <w:tblGrid>
        <w:gridCol w:w="5806"/>
        <w:gridCol w:w="1412"/>
        <w:gridCol w:w="1455"/>
        <w:gridCol w:w="1050"/>
      </w:tblGrid>
      <w:tr w:rsidR="00BA7500" w:rsidRPr="00B97C61" w14:paraId="287C8615" w14:textId="77777777" w:rsidTr="003B7755">
        <w:tc>
          <w:tcPr>
            <w:tcW w:w="2989" w:type="pct"/>
          </w:tcPr>
          <w:p w14:paraId="3E462887" w14:textId="77777777" w:rsidR="00BA7500" w:rsidRPr="00B97C61" w:rsidRDefault="00BA7500">
            <w:pPr>
              <w:jc w:val="both"/>
              <w:rPr>
                <w:rFonts w:asciiTheme="minorHAnsi" w:hAnsiTheme="minorHAnsi" w:cs="Arial"/>
                <w:sz w:val="20"/>
                <w:szCs w:val="20"/>
              </w:rPr>
            </w:pPr>
          </w:p>
        </w:tc>
        <w:tc>
          <w:tcPr>
            <w:tcW w:w="729" w:type="pct"/>
            <w:shd w:val="clear" w:color="auto" w:fill="F2F2F2" w:themeFill="background1" w:themeFillShade="F2"/>
          </w:tcPr>
          <w:p w14:paraId="248D88F4" w14:textId="7E2E92A2" w:rsidR="00BA7500" w:rsidRPr="000E0F97" w:rsidRDefault="00BA7500">
            <w:pPr>
              <w:jc w:val="right"/>
              <w:rPr>
                <w:rFonts w:asciiTheme="minorHAnsi" w:hAnsiTheme="minorHAnsi" w:cs="Arial"/>
                <w:b/>
                <w:sz w:val="20"/>
                <w:szCs w:val="20"/>
              </w:rPr>
            </w:pPr>
            <w:r>
              <w:rPr>
                <w:rFonts w:asciiTheme="minorHAnsi" w:hAnsiTheme="minorHAnsi" w:cs="Arial"/>
                <w:b/>
                <w:sz w:val="20"/>
                <w:szCs w:val="20"/>
              </w:rPr>
              <w:t>30 June</w:t>
            </w:r>
          </w:p>
        </w:tc>
        <w:tc>
          <w:tcPr>
            <w:tcW w:w="751" w:type="pct"/>
          </w:tcPr>
          <w:p w14:paraId="64CBBE2C" w14:textId="60704F6C" w:rsidR="00BA7500" w:rsidRPr="00B97C61" w:rsidRDefault="00BA7500">
            <w:pPr>
              <w:jc w:val="right"/>
              <w:rPr>
                <w:rFonts w:asciiTheme="minorHAnsi" w:hAnsiTheme="minorHAnsi" w:cs="Arial"/>
                <w:sz w:val="20"/>
                <w:szCs w:val="20"/>
              </w:rPr>
            </w:pPr>
            <w:r w:rsidRPr="00B7427E">
              <w:rPr>
                <w:rFonts w:asciiTheme="minorHAnsi" w:hAnsiTheme="minorHAnsi" w:cs="Arial"/>
                <w:sz w:val="20"/>
                <w:szCs w:val="20"/>
              </w:rPr>
              <w:t>31 December</w:t>
            </w:r>
          </w:p>
        </w:tc>
        <w:tc>
          <w:tcPr>
            <w:tcW w:w="531" w:type="pct"/>
          </w:tcPr>
          <w:p w14:paraId="774B8D66" w14:textId="5B2A6BC4" w:rsidR="00BA7500" w:rsidRPr="00B97C61" w:rsidRDefault="00BA7500">
            <w:pPr>
              <w:jc w:val="right"/>
              <w:rPr>
                <w:rFonts w:asciiTheme="minorHAnsi" w:hAnsiTheme="minorHAnsi" w:cs="Arial"/>
                <w:sz w:val="20"/>
                <w:szCs w:val="20"/>
              </w:rPr>
            </w:pPr>
            <w:r w:rsidRPr="00F043F6">
              <w:rPr>
                <w:rFonts w:asciiTheme="minorHAnsi" w:hAnsiTheme="minorHAnsi" w:cs="Arial"/>
                <w:sz w:val="20"/>
                <w:szCs w:val="20"/>
              </w:rPr>
              <w:t>30 June</w:t>
            </w:r>
            <w:r w:rsidR="007D6FC5" w:rsidRPr="00B7427E">
              <w:rPr>
                <w:rFonts w:asciiTheme="minorHAnsi" w:hAnsiTheme="minorHAnsi" w:cs="Arial"/>
                <w:sz w:val="20"/>
                <w:szCs w:val="20"/>
              </w:rPr>
              <w:t xml:space="preserve"> </w:t>
            </w:r>
          </w:p>
        </w:tc>
      </w:tr>
      <w:tr w:rsidR="00BA7500" w:rsidRPr="00B97C61" w14:paraId="0CC8E6F2" w14:textId="77777777" w:rsidTr="003B7755">
        <w:tc>
          <w:tcPr>
            <w:tcW w:w="2989" w:type="pct"/>
          </w:tcPr>
          <w:p w14:paraId="4C308934" w14:textId="77777777" w:rsidR="00BA7500" w:rsidRPr="00B97C61" w:rsidRDefault="00BA7500">
            <w:pPr>
              <w:jc w:val="both"/>
              <w:rPr>
                <w:rFonts w:asciiTheme="minorHAnsi" w:hAnsiTheme="minorHAnsi" w:cs="Arial"/>
                <w:sz w:val="20"/>
                <w:szCs w:val="20"/>
              </w:rPr>
            </w:pPr>
          </w:p>
        </w:tc>
        <w:tc>
          <w:tcPr>
            <w:tcW w:w="729" w:type="pct"/>
            <w:shd w:val="clear" w:color="auto" w:fill="F2F2F2" w:themeFill="background1" w:themeFillShade="F2"/>
          </w:tcPr>
          <w:p w14:paraId="7AA37315" w14:textId="77777777" w:rsidR="007D6FC5" w:rsidRDefault="00BA7500" w:rsidP="007D6FC5">
            <w:pPr>
              <w:jc w:val="right"/>
              <w:rPr>
                <w:rFonts w:asciiTheme="minorHAnsi" w:hAnsiTheme="minorHAnsi" w:cs="Arial"/>
                <w:b/>
                <w:sz w:val="20"/>
                <w:szCs w:val="20"/>
              </w:rPr>
            </w:pPr>
            <w:r w:rsidRPr="000E0F97">
              <w:rPr>
                <w:rFonts w:asciiTheme="minorHAnsi" w:hAnsiTheme="minorHAnsi" w:cs="Arial"/>
                <w:b/>
                <w:sz w:val="20"/>
                <w:szCs w:val="20"/>
              </w:rPr>
              <w:t>202</w:t>
            </w:r>
            <w:r>
              <w:rPr>
                <w:rFonts w:asciiTheme="minorHAnsi" w:hAnsiTheme="minorHAnsi" w:cs="Arial"/>
                <w:b/>
                <w:sz w:val="20"/>
                <w:szCs w:val="20"/>
              </w:rPr>
              <w:t>5</w:t>
            </w:r>
          </w:p>
          <w:p w14:paraId="7D0C64DB" w14:textId="6B82F658" w:rsidR="00BA7500" w:rsidRPr="000E0F97" w:rsidRDefault="007D6FC5">
            <w:pPr>
              <w:jc w:val="right"/>
              <w:rPr>
                <w:rFonts w:asciiTheme="minorHAnsi" w:hAnsiTheme="minorHAnsi" w:cs="Arial"/>
                <w:b/>
                <w:sz w:val="20"/>
                <w:szCs w:val="20"/>
              </w:rPr>
            </w:pPr>
            <w:r>
              <w:rPr>
                <w:rFonts w:asciiTheme="minorHAnsi" w:hAnsiTheme="minorHAnsi" w:cs="Arial"/>
                <w:b/>
                <w:sz w:val="20"/>
                <w:szCs w:val="20"/>
              </w:rPr>
              <w:t>unaudited</w:t>
            </w:r>
          </w:p>
        </w:tc>
        <w:tc>
          <w:tcPr>
            <w:tcW w:w="751" w:type="pct"/>
          </w:tcPr>
          <w:p w14:paraId="7959090A" w14:textId="77777777" w:rsidR="007D6FC5" w:rsidRDefault="00BA7500" w:rsidP="007D6FC5">
            <w:pPr>
              <w:jc w:val="right"/>
              <w:rPr>
                <w:rFonts w:asciiTheme="minorHAnsi" w:hAnsiTheme="minorHAnsi" w:cs="Arial"/>
                <w:sz w:val="20"/>
                <w:szCs w:val="20"/>
              </w:rPr>
            </w:pPr>
            <w:r w:rsidRPr="00B7427E">
              <w:rPr>
                <w:rFonts w:asciiTheme="minorHAnsi" w:hAnsiTheme="minorHAnsi" w:cs="Arial"/>
                <w:sz w:val="20"/>
                <w:szCs w:val="20"/>
              </w:rPr>
              <w:t>202</w:t>
            </w:r>
            <w:r>
              <w:rPr>
                <w:rFonts w:asciiTheme="minorHAnsi" w:hAnsiTheme="minorHAnsi" w:cs="Arial"/>
                <w:sz w:val="20"/>
                <w:szCs w:val="20"/>
              </w:rPr>
              <w:t>4</w:t>
            </w:r>
          </w:p>
          <w:p w14:paraId="5F862503" w14:textId="67BCC129" w:rsidR="00BA7500" w:rsidRPr="00B7427E" w:rsidRDefault="007D6FC5">
            <w:pPr>
              <w:jc w:val="right"/>
              <w:rPr>
                <w:rFonts w:asciiTheme="minorHAnsi" w:hAnsiTheme="minorHAnsi" w:cs="Arial"/>
                <w:sz w:val="20"/>
                <w:szCs w:val="20"/>
              </w:rPr>
            </w:pPr>
            <w:r>
              <w:rPr>
                <w:rFonts w:asciiTheme="minorHAnsi" w:hAnsiTheme="minorHAnsi" w:cs="Arial"/>
                <w:sz w:val="20"/>
                <w:szCs w:val="20"/>
              </w:rPr>
              <w:t>audited</w:t>
            </w:r>
          </w:p>
        </w:tc>
        <w:tc>
          <w:tcPr>
            <w:tcW w:w="531" w:type="pct"/>
          </w:tcPr>
          <w:p w14:paraId="14929200" w14:textId="77777777" w:rsidR="007D6FC5" w:rsidRDefault="00BA7500" w:rsidP="007D6FC5">
            <w:pPr>
              <w:jc w:val="right"/>
              <w:rPr>
                <w:rFonts w:asciiTheme="minorHAnsi" w:hAnsiTheme="minorHAnsi" w:cs="Arial"/>
                <w:sz w:val="20"/>
                <w:szCs w:val="20"/>
              </w:rPr>
            </w:pPr>
            <w:r w:rsidRPr="00F043F6">
              <w:rPr>
                <w:rFonts w:asciiTheme="minorHAnsi" w:hAnsiTheme="minorHAnsi" w:cs="Arial"/>
                <w:sz w:val="20"/>
                <w:szCs w:val="20"/>
              </w:rPr>
              <w:t>2024</w:t>
            </w:r>
          </w:p>
          <w:p w14:paraId="3846BCE1" w14:textId="55F7BDA0" w:rsidR="00BA7500" w:rsidRPr="00F043F6" w:rsidRDefault="007D6FC5">
            <w:pPr>
              <w:jc w:val="right"/>
              <w:rPr>
                <w:rFonts w:asciiTheme="minorHAnsi" w:hAnsiTheme="minorHAnsi" w:cs="Arial"/>
                <w:sz w:val="20"/>
                <w:szCs w:val="20"/>
              </w:rPr>
            </w:pPr>
            <w:r>
              <w:rPr>
                <w:rFonts w:asciiTheme="minorHAnsi" w:hAnsiTheme="minorHAnsi" w:cs="Arial"/>
                <w:sz w:val="20"/>
                <w:szCs w:val="20"/>
              </w:rPr>
              <w:t>unaudited</w:t>
            </w:r>
          </w:p>
        </w:tc>
      </w:tr>
      <w:tr w:rsidR="00BA7500" w:rsidRPr="00B97C61" w14:paraId="3E907253" w14:textId="77777777" w:rsidTr="003B7755">
        <w:tc>
          <w:tcPr>
            <w:tcW w:w="2989" w:type="pct"/>
          </w:tcPr>
          <w:p w14:paraId="12509846" w14:textId="77777777" w:rsidR="00BA7500" w:rsidRPr="00B97C61" w:rsidRDefault="00BA7500">
            <w:pPr>
              <w:pStyle w:val="Heading5"/>
              <w:overflowPunct/>
              <w:autoSpaceDE/>
              <w:adjustRightInd/>
              <w:rPr>
                <w:rFonts w:asciiTheme="minorHAnsi" w:hAnsiTheme="minorHAnsi" w:cs="Arial"/>
                <w:bCs/>
                <w:sz w:val="20"/>
              </w:rPr>
            </w:pPr>
          </w:p>
        </w:tc>
        <w:tc>
          <w:tcPr>
            <w:tcW w:w="729" w:type="pct"/>
            <w:tcBorders>
              <w:top w:val="nil"/>
              <w:left w:val="nil"/>
              <w:bottom w:val="single" w:sz="4" w:space="0" w:color="auto"/>
              <w:right w:val="nil"/>
            </w:tcBorders>
            <w:shd w:val="clear" w:color="auto" w:fill="F2F2F2" w:themeFill="background1" w:themeFillShade="F2"/>
          </w:tcPr>
          <w:p w14:paraId="38EE7E69" w14:textId="77777777" w:rsidR="00BA7500" w:rsidRPr="000E0F97" w:rsidRDefault="00BA7500">
            <w:pPr>
              <w:jc w:val="right"/>
              <w:rPr>
                <w:rFonts w:asciiTheme="minorHAnsi" w:hAnsiTheme="minorHAnsi" w:cs="Arial"/>
                <w:b/>
                <w:sz w:val="20"/>
                <w:szCs w:val="20"/>
              </w:rPr>
            </w:pPr>
            <w:r w:rsidRPr="000E0F97">
              <w:rPr>
                <w:rFonts w:asciiTheme="minorHAnsi" w:hAnsiTheme="minorHAnsi" w:cs="Arial"/>
                <w:b/>
                <w:sz w:val="20"/>
                <w:szCs w:val="20"/>
              </w:rPr>
              <w:t>£m </w:t>
            </w:r>
          </w:p>
        </w:tc>
        <w:tc>
          <w:tcPr>
            <w:tcW w:w="751" w:type="pct"/>
            <w:tcBorders>
              <w:top w:val="nil"/>
              <w:left w:val="nil"/>
              <w:bottom w:val="single" w:sz="4" w:space="0" w:color="auto"/>
              <w:right w:val="nil"/>
            </w:tcBorders>
          </w:tcPr>
          <w:p w14:paraId="307458D6" w14:textId="77777777" w:rsidR="00BA7500" w:rsidRPr="00B7427E" w:rsidRDefault="00BA7500">
            <w:pPr>
              <w:jc w:val="right"/>
              <w:rPr>
                <w:rFonts w:asciiTheme="minorHAnsi" w:hAnsiTheme="minorHAnsi" w:cs="Arial"/>
                <w:sz w:val="20"/>
                <w:szCs w:val="20"/>
              </w:rPr>
            </w:pPr>
            <w:r w:rsidRPr="00B7427E">
              <w:rPr>
                <w:rFonts w:asciiTheme="minorHAnsi" w:hAnsiTheme="minorHAnsi" w:cs="Arial"/>
                <w:sz w:val="20"/>
                <w:szCs w:val="20"/>
              </w:rPr>
              <w:t>£m</w:t>
            </w:r>
          </w:p>
        </w:tc>
        <w:tc>
          <w:tcPr>
            <w:tcW w:w="531" w:type="pct"/>
            <w:tcBorders>
              <w:top w:val="nil"/>
              <w:left w:val="nil"/>
              <w:bottom w:val="single" w:sz="4" w:space="0" w:color="auto"/>
              <w:right w:val="nil"/>
            </w:tcBorders>
          </w:tcPr>
          <w:p w14:paraId="7A80E9A6" w14:textId="77777777" w:rsidR="00BA7500" w:rsidRPr="00B97C61" w:rsidRDefault="00BA7500">
            <w:pPr>
              <w:jc w:val="right"/>
              <w:rPr>
                <w:rFonts w:asciiTheme="minorHAnsi" w:hAnsiTheme="minorHAnsi" w:cs="Arial"/>
                <w:sz w:val="20"/>
                <w:szCs w:val="20"/>
              </w:rPr>
            </w:pPr>
            <w:r w:rsidRPr="00B97C61">
              <w:rPr>
                <w:rFonts w:asciiTheme="minorHAnsi" w:hAnsiTheme="minorHAnsi" w:cs="Arial"/>
                <w:sz w:val="20"/>
                <w:szCs w:val="20"/>
              </w:rPr>
              <w:t>£m </w:t>
            </w:r>
          </w:p>
        </w:tc>
      </w:tr>
      <w:tr w:rsidR="00BA7500" w:rsidRPr="00B97C61" w14:paraId="4BECF5AD" w14:textId="77777777" w:rsidTr="003B7755">
        <w:tc>
          <w:tcPr>
            <w:tcW w:w="2989" w:type="pct"/>
            <w:vAlign w:val="bottom"/>
          </w:tcPr>
          <w:p w14:paraId="467EBF15" w14:textId="77777777" w:rsidR="00BA7500" w:rsidRPr="00B97C61" w:rsidRDefault="00BA7500" w:rsidP="00BA7500">
            <w:pPr>
              <w:tabs>
                <w:tab w:val="right" w:pos="4680"/>
              </w:tabs>
              <w:rPr>
                <w:rFonts w:asciiTheme="minorHAnsi" w:hAnsiTheme="minorHAnsi" w:cs="Arial"/>
                <w:sz w:val="20"/>
                <w:szCs w:val="20"/>
              </w:rPr>
            </w:pPr>
            <w:r w:rsidRPr="00B97C61">
              <w:rPr>
                <w:rFonts w:asciiTheme="minorHAnsi" w:hAnsiTheme="minorHAnsi" w:cs="Arial"/>
                <w:sz w:val="20"/>
                <w:szCs w:val="20"/>
              </w:rPr>
              <w:t>Present value of defined benefit obligation at 1 January</w:t>
            </w:r>
          </w:p>
        </w:tc>
        <w:tc>
          <w:tcPr>
            <w:tcW w:w="729" w:type="pct"/>
            <w:tcBorders>
              <w:top w:val="single" w:sz="4" w:space="0" w:color="auto"/>
              <w:left w:val="nil"/>
              <w:bottom w:val="nil"/>
              <w:right w:val="nil"/>
            </w:tcBorders>
            <w:shd w:val="clear" w:color="auto" w:fill="F2F2F2" w:themeFill="background1" w:themeFillShade="F2"/>
            <w:vAlign w:val="bottom"/>
          </w:tcPr>
          <w:p w14:paraId="077555CF" w14:textId="322B3C60" w:rsidR="00BA7500" w:rsidRPr="006D4208" w:rsidRDefault="00C370BA" w:rsidP="00BA7500">
            <w:pPr>
              <w:jc w:val="right"/>
              <w:rPr>
                <w:rFonts w:asciiTheme="minorHAnsi" w:hAnsiTheme="minorHAnsi" w:cs="Arial"/>
                <w:b/>
                <w:sz w:val="20"/>
                <w:szCs w:val="20"/>
              </w:rPr>
            </w:pPr>
            <w:r>
              <w:rPr>
                <w:rFonts w:asciiTheme="minorHAnsi" w:hAnsiTheme="minorHAnsi" w:cs="Arial"/>
                <w:b/>
                <w:sz w:val="20"/>
                <w:szCs w:val="20"/>
              </w:rPr>
              <w:t>(425.9)</w:t>
            </w:r>
          </w:p>
        </w:tc>
        <w:tc>
          <w:tcPr>
            <w:tcW w:w="751" w:type="pct"/>
            <w:tcBorders>
              <w:top w:val="single" w:sz="4" w:space="0" w:color="auto"/>
              <w:left w:val="nil"/>
              <w:bottom w:val="nil"/>
              <w:right w:val="nil"/>
            </w:tcBorders>
            <w:vAlign w:val="bottom"/>
          </w:tcPr>
          <w:p w14:paraId="3B699D1F" w14:textId="21F3CAA5"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(474.7)</w:t>
            </w:r>
          </w:p>
        </w:tc>
        <w:tc>
          <w:tcPr>
            <w:tcW w:w="531" w:type="pct"/>
            <w:tcBorders>
              <w:top w:val="single" w:sz="4" w:space="0" w:color="auto"/>
              <w:left w:val="nil"/>
              <w:bottom w:val="nil"/>
              <w:right w:val="nil"/>
            </w:tcBorders>
            <w:vAlign w:val="bottom"/>
          </w:tcPr>
          <w:p w14:paraId="5DBD8D92" w14:textId="200808C6"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(474.7)</w:t>
            </w:r>
          </w:p>
        </w:tc>
      </w:tr>
      <w:tr w:rsidR="00BA7500" w:rsidRPr="00B97C61" w14:paraId="58573E0F" w14:textId="77777777" w:rsidTr="003B7755">
        <w:tc>
          <w:tcPr>
            <w:tcW w:w="2989" w:type="pct"/>
            <w:vAlign w:val="bottom"/>
          </w:tcPr>
          <w:p w14:paraId="5C99CD4E" w14:textId="77777777" w:rsidR="00BA7500" w:rsidRPr="00B97C61" w:rsidRDefault="00BA7500" w:rsidP="00BA7500">
            <w:pPr>
              <w:tabs>
                <w:tab w:val="right" w:pos="4680"/>
              </w:tabs>
              <w:rPr>
                <w:rFonts w:asciiTheme="minorHAnsi" w:hAnsiTheme="minorHAnsi" w:cs="Arial"/>
                <w:sz w:val="20"/>
                <w:szCs w:val="20"/>
              </w:rPr>
            </w:pPr>
            <w:r w:rsidRPr="00B97C61">
              <w:rPr>
                <w:rFonts w:asciiTheme="minorHAnsi" w:hAnsiTheme="minorHAnsi" w:cs="Arial"/>
                <w:sz w:val="20"/>
                <w:szCs w:val="20"/>
              </w:rPr>
              <w:t>Current service cost</w:t>
            </w:r>
          </w:p>
        </w:tc>
        <w:tc>
          <w:tcPr>
            <w:tcW w:w="729" w:type="pct"/>
            <w:shd w:val="clear" w:color="auto" w:fill="F2F2F2" w:themeFill="background1" w:themeFillShade="F2"/>
          </w:tcPr>
          <w:p w14:paraId="136612EA" w14:textId="1017ECE6" w:rsidR="00BA7500" w:rsidRPr="006D4208" w:rsidRDefault="00270D0A" w:rsidP="00BA7500">
            <w:pPr>
              <w:jc w:val="right"/>
              <w:rPr>
                <w:rFonts w:asciiTheme="minorHAnsi" w:hAnsiTheme="minorHAnsi" w:cs="Arial"/>
                <w:b/>
                <w:sz w:val="20"/>
                <w:szCs w:val="20"/>
              </w:rPr>
            </w:pPr>
            <w:r>
              <w:rPr>
                <w:rFonts w:asciiTheme="minorHAnsi" w:hAnsiTheme="minorHAnsi" w:cs="Arial"/>
                <w:b/>
                <w:sz w:val="20"/>
                <w:szCs w:val="20"/>
              </w:rPr>
              <w:t>(0.9)</w:t>
            </w:r>
          </w:p>
        </w:tc>
        <w:tc>
          <w:tcPr>
            <w:tcW w:w="751" w:type="pct"/>
          </w:tcPr>
          <w:p w14:paraId="4DF04BDC" w14:textId="6140E41A"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(1.3)</w:t>
            </w:r>
          </w:p>
        </w:tc>
        <w:tc>
          <w:tcPr>
            <w:tcW w:w="531" w:type="pct"/>
          </w:tcPr>
          <w:p w14:paraId="169B213F" w14:textId="530D0D35"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(0.5)</w:t>
            </w:r>
          </w:p>
        </w:tc>
      </w:tr>
      <w:tr w:rsidR="00BA7500" w:rsidRPr="00B97C61" w14:paraId="3DBA3D6B" w14:textId="77777777" w:rsidTr="003B7755">
        <w:tc>
          <w:tcPr>
            <w:tcW w:w="2989" w:type="pct"/>
            <w:vAlign w:val="bottom"/>
          </w:tcPr>
          <w:p w14:paraId="25F4ACED" w14:textId="77777777" w:rsidR="00BA7500" w:rsidRPr="00B97C61" w:rsidRDefault="00BA7500" w:rsidP="00BA7500">
            <w:pPr>
              <w:tabs>
                <w:tab w:val="right" w:pos="4680"/>
              </w:tabs>
              <w:rPr>
                <w:rFonts w:asciiTheme="minorHAnsi" w:hAnsiTheme="minorHAnsi" w:cs="Arial"/>
                <w:sz w:val="20"/>
                <w:szCs w:val="20"/>
              </w:rPr>
            </w:pPr>
            <w:r w:rsidRPr="00B97C61">
              <w:rPr>
                <w:rFonts w:asciiTheme="minorHAnsi" w:hAnsiTheme="minorHAnsi" w:cs="Arial"/>
                <w:sz w:val="20"/>
                <w:szCs w:val="20"/>
              </w:rPr>
              <w:t>Interest on scheme liabilities</w:t>
            </w:r>
          </w:p>
        </w:tc>
        <w:tc>
          <w:tcPr>
            <w:tcW w:w="729" w:type="pct"/>
            <w:shd w:val="clear" w:color="auto" w:fill="F2F2F2" w:themeFill="background1" w:themeFillShade="F2"/>
          </w:tcPr>
          <w:p w14:paraId="369AD405" w14:textId="5A98B133" w:rsidR="00BA7500" w:rsidRPr="006D4208" w:rsidRDefault="006E65F8" w:rsidP="00BA7500">
            <w:pPr>
              <w:jc w:val="right"/>
              <w:rPr>
                <w:rFonts w:asciiTheme="minorHAnsi" w:hAnsiTheme="minorHAnsi" w:cs="Arial"/>
                <w:b/>
                <w:sz w:val="20"/>
                <w:szCs w:val="20"/>
              </w:rPr>
            </w:pPr>
            <w:r>
              <w:rPr>
                <w:rFonts w:asciiTheme="minorHAnsi" w:hAnsiTheme="minorHAnsi" w:cs="Arial"/>
                <w:b/>
                <w:sz w:val="20"/>
                <w:szCs w:val="20"/>
              </w:rPr>
              <w:t>(11.5)</w:t>
            </w:r>
          </w:p>
        </w:tc>
        <w:tc>
          <w:tcPr>
            <w:tcW w:w="751" w:type="pct"/>
          </w:tcPr>
          <w:p w14:paraId="6CC48813" w14:textId="4DA5BF7E"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(21.7)</w:t>
            </w:r>
          </w:p>
        </w:tc>
        <w:tc>
          <w:tcPr>
            <w:tcW w:w="531" w:type="pct"/>
          </w:tcPr>
          <w:p w14:paraId="4AA52CF3" w14:textId="12E8DAC6"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(10.9)</w:t>
            </w:r>
          </w:p>
        </w:tc>
      </w:tr>
      <w:tr w:rsidR="00BA7500" w:rsidRPr="00B97C61" w14:paraId="4DE1F025" w14:textId="77777777" w:rsidTr="003B7755">
        <w:tc>
          <w:tcPr>
            <w:tcW w:w="2989" w:type="pct"/>
            <w:vAlign w:val="bottom"/>
          </w:tcPr>
          <w:p w14:paraId="2CD3153A" w14:textId="77777777" w:rsidR="00BA7500" w:rsidRPr="00B97C61" w:rsidRDefault="00BA7500" w:rsidP="00BA7500">
            <w:pPr>
              <w:tabs>
                <w:tab w:val="right" w:pos="4680"/>
              </w:tabs>
              <w:rPr>
                <w:rFonts w:asciiTheme="minorHAnsi" w:hAnsiTheme="minorHAnsi" w:cs="Arial"/>
                <w:sz w:val="20"/>
                <w:szCs w:val="20"/>
              </w:rPr>
            </w:pPr>
            <w:r w:rsidRPr="00B97C61">
              <w:rPr>
                <w:rFonts w:asciiTheme="minorHAnsi" w:hAnsiTheme="minorHAnsi" w:cs="Arial"/>
                <w:sz w:val="20"/>
                <w:szCs w:val="20"/>
              </w:rPr>
              <w:t xml:space="preserve">Actuarial movement – experience </w:t>
            </w:r>
          </w:p>
        </w:tc>
        <w:tc>
          <w:tcPr>
            <w:tcW w:w="729" w:type="pct"/>
            <w:shd w:val="clear" w:color="auto" w:fill="F2F2F2" w:themeFill="background1" w:themeFillShade="F2"/>
          </w:tcPr>
          <w:p w14:paraId="38E2265E" w14:textId="4D19AC77" w:rsidR="00BA7500" w:rsidRPr="006D4208" w:rsidRDefault="007756CC" w:rsidP="00BA7500">
            <w:pPr>
              <w:jc w:val="right"/>
              <w:rPr>
                <w:rFonts w:asciiTheme="minorHAnsi" w:hAnsiTheme="minorHAnsi" w:cs="Arial"/>
                <w:b/>
                <w:sz w:val="20"/>
                <w:szCs w:val="20"/>
              </w:rPr>
            </w:pPr>
            <w:r>
              <w:rPr>
                <w:rFonts w:asciiTheme="minorHAnsi" w:hAnsiTheme="minorHAnsi" w:cs="Arial"/>
                <w:b/>
                <w:sz w:val="20"/>
                <w:szCs w:val="20"/>
              </w:rPr>
              <w:t>(</w:t>
            </w:r>
            <w:r w:rsidR="00270D0A">
              <w:rPr>
                <w:rFonts w:asciiTheme="minorHAnsi" w:hAnsiTheme="minorHAnsi" w:cs="Arial"/>
                <w:b/>
                <w:sz w:val="20"/>
                <w:szCs w:val="20"/>
              </w:rPr>
              <w:t>11.1</w:t>
            </w:r>
            <w:r>
              <w:rPr>
                <w:rFonts w:asciiTheme="minorHAnsi" w:hAnsiTheme="minorHAnsi" w:cs="Arial"/>
                <w:b/>
                <w:sz w:val="20"/>
                <w:szCs w:val="20"/>
              </w:rPr>
              <w:t>)</w:t>
            </w:r>
          </w:p>
        </w:tc>
        <w:tc>
          <w:tcPr>
            <w:tcW w:w="751" w:type="pct"/>
          </w:tcPr>
          <w:p w14:paraId="56E6A4E3" w14:textId="012EA33D"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0.2</w:t>
            </w:r>
          </w:p>
        </w:tc>
        <w:tc>
          <w:tcPr>
            <w:tcW w:w="531" w:type="pct"/>
          </w:tcPr>
          <w:p w14:paraId="69506FE7" w14:textId="2B4355BF"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26.9</w:t>
            </w:r>
          </w:p>
        </w:tc>
      </w:tr>
      <w:tr w:rsidR="00BA7500" w:rsidRPr="00B97C61" w14:paraId="797B8CEB" w14:textId="77777777" w:rsidTr="003B7755">
        <w:tc>
          <w:tcPr>
            <w:tcW w:w="2989" w:type="pct"/>
            <w:vAlign w:val="bottom"/>
          </w:tcPr>
          <w:p w14:paraId="6FC6A59D" w14:textId="77777777" w:rsidR="00BA7500" w:rsidRPr="00B97C61" w:rsidRDefault="00BA7500" w:rsidP="00BA7500">
            <w:pPr>
              <w:tabs>
                <w:tab w:val="right" w:pos="4680"/>
              </w:tabs>
              <w:rPr>
                <w:rFonts w:asciiTheme="minorHAnsi" w:hAnsiTheme="minorHAnsi" w:cs="Arial"/>
                <w:sz w:val="20"/>
                <w:szCs w:val="20"/>
              </w:rPr>
            </w:pPr>
            <w:r w:rsidRPr="00B97C61">
              <w:rPr>
                <w:rFonts w:asciiTheme="minorHAnsi" w:hAnsiTheme="minorHAnsi" w:cs="Arial"/>
                <w:sz w:val="20"/>
                <w:szCs w:val="20"/>
              </w:rPr>
              <w:t>Actuarial movement – demographic assumptions</w:t>
            </w:r>
          </w:p>
        </w:tc>
        <w:tc>
          <w:tcPr>
            <w:tcW w:w="729" w:type="pct"/>
            <w:shd w:val="clear" w:color="auto" w:fill="F2F2F2" w:themeFill="background1" w:themeFillShade="F2"/>
          </w:tcPr>
          <w:p w14:paraId="32CC60A3" w14:textId="59AFC7B2" w:rsidR="00BA7500" w:rsidRPr="006D4208" w:rsidRDefault="008300D0" w:rsidP="00BA7500">
            <w:pPr>
              <w:jc w:val="right"/>
              <w:rPr>
                <w:rFonts w:asciiTheme="minorHAnsi" w:hAnsiTheme="minorHAnsi" w:cs="Arial"/>
                <w:b/>
                <w:sz w:val="20"/>
                <w:szCs w:val="20"/>
              </w:rPr>
            </w:pPr>
            <w:r>
              <w:rPr>
                <w:rFonts w:asciiTheme="minorHAnsi" w:hAnsiTheme="minorHAnsi" w:cs="Arial"/>
                <w:b/>
                <w:sz w:val="20"/>
                <w:szCs w:val="20"/>
              </w:rPr>
              <w:t>(5.1)</w:t>
            </w:r>
          </w:p>
        </w:tc>
        <w:tc>
          <w:tcPr>
            <w:tcW w:w="751" w:type="pct"/>
          </w:tcPr>
          <w:p w14:paraId="65A41691" w14:textId="27808593"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(0.9)</w:t>
            </w:r>
          </w:p>
        </w:tc>
        <w:tc>
          <w:tcPr>
            <w:tcW w:w="531" w:type="pct"/>
          </w:tcPr>
          <w:p w14:paraId="6302B235" w14:textId="3A17309B"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w:t>
            </w:r>
          </w:p>
        </w:tc>
      </w:tr>
      <w:tr w:rsidR="00BA7500" w:rsidRPr="00B97C61" w14:paraId="1BFC1879" w14:textId="77777777" w:rsidTr="003B7755">
        <w:tc>
          <w:tcPr>
            <w:tcW w:w="2989" w:type="pct"/>
            <w:vAlign w:val="bottom"/>
          </w:tcPr>
          <w:p w14:paraId="13DA0245" w14:textId="77777777" w:rsidR="00BA7500" w:rsidRPr="00B97C61" w:rsidRDefault="00BA7500" w:rsidP="00BA7500">
            <w:pPr>
              <w:tabs>
                <w:tab w:val="right" w:pos="4680"/>
              </w:tabs>
              <w:rPr>
                <w:rFonts w:asciiTheme="minorHAnsi" w:hAnsiTheme="minorHAnsi" w:cs="Arial"/>
                <w:sz w:val="20"/>
                <w:szCs w:val="20"/>
              </w:rPr>
            </w:pPr>
            <w:r w:rsidRPr="00B97C61">
              <w:rPr>
                <w:rFonts w:asciiTheme="minorHAnsi" w:hAnsiTheme="minorHAnsi" w:cs="Arial"/>
                <w:sz w:val="20"/>
                <w:szCs w:val="20"/>
              </w:rPr>
              <w:t>Actuarial movement – financial assumptions</w:t>
            </w:r>
          </w:p>
        </w:tc>
        <w:tc>
          <w:tcPr>
            <w:tcW w:w="729" w:type="pct"/>
            <w:shd w:val="clear" w:color="auto" w:fill="F2F2F2" w:themeFill="background1" w:themeFillShade="F2"/>
          </w:tcPr>
          <w:p w14:paraId="2D95BDF3" w14:textId="5C4F2CA3" w:rsidR="00BA7500" w:rsidRPr="006D4208" w:rsidRDefault="008300D0" w:rsidP="00BA7500">
            <w:pPr>
              <w:jc w:val="right"/>
              <w:rPr>
                <w:rFonts w:asciiTheme="minorHAnsi" w:hAnsiTheme="minorHAnsi" w:cs="Arial"/>
                <w:b/>
                <w:sz w:val="20"/>
                <w:szCs w:val="20"/>
              </w:rPr>
            </w:pPr>
            <w:r>
              <w:rPr>
                <w:rFonts w:asciiTheme="minorHAnsi" w:hAnsiTheme="minorHAnsi" w:cs="Arial"/>
                <w:b/>
                <w:sz w:val="20"/>
                <w:szCs w:val="20"/>
              </w:rPr>
              <w:t>7.6</w:t>
            </w:r>
          </w:p>
        </w:tc>
        <w:tc>
          <w:tcPr>
            <w:tcW w:w="751" w:type="pct"/>
          </w:tcPr>
          <w:p w14:paraId="64A4E58C" w14:textId="405BFE95"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43.7</w:t>
            </w:r>
          </w:p>
        </w:tc>
        <w:tc>
          <w:tcPr>
            <w:tcW w:w="531" w:type="pct"/>
          </w:tcPr>
          <w:p w14:paraId="250716A2" w14:textId="5A355538"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w:t>
            </w:r>
          </w:p>
        </w:tc>
      </w:tr>
      <w:tr w:rsidR="00BA7500" w:rsidRPr="00B97C61" w14:paraId="4074A9A2" w14:textId="77777777" w:rsidTr="003B7755">
        <w:tc>
          <w:tcPr>
            <w:tcW w:w="2989" w:type="pct"/>
            <w:vAlign w:val="bottom"/>
          </w:tcPr>
          <w:p w14:paraId="3143A8B5" w14:textId="77777777" w:rsidR="00BA7500" w:rsidRPr="00B97C61" w:rsidRDefault="00BA7500" w:rsidP="00BA7500">
            <w:pPr>
              <w:tabs>
                <w:tab w:val="right" w:pos="4680"/>
              </w:tabs>
              <w:rPr>
                <w:rFonts w:asciiTheme="minorHAnsi" w:hAnsiTheme="minorHAnsi" w:cs="Arial"/>
                <w:sz w:val="20"/>
                <w:szCs w:val="20"/>
              </w:rPr>
            </w:pPr>
            <w:r w:rsidRPr="00B97C61">
              <w:rPr>
                <w:rFonts w:asciiTheme="minorHAnsi" w:hAnsiTheme="minorHAnsi" w:cs="Arial"/>
                <w:sz w:val="20"/>
                <w:szCs w:val="20"/>
              </w:rPr>
              <w:t>Net benefits paid out</w:t>
            </w:r>
          </w:p>
        </w:tc>
        <w:tc>
          <w:tcPr>
            <w:tcW w:w="729" w:type="pct"/>
            <w:tcBorders>
              <w:top w:val="nil"/>
              <w:left w:val="nil"/>
              <w:bottom w:val="single" w:sz="4" w:space="0" w:color="auto"/>
              <w:right w:val="nil"/>
            </w:tcBorders>
            <w:shd w:val="clear" w:color="auto" w:fill="F2F2F2" w:themeFill="background1" w:themeFillShade="F2"/>
          </w:tcPr>
          <w:p w14:paraId="0BABFDED" w14:textId="23FA6FA9" w:rsidR="00BA7500" w:rsidRPr="006D4208" w:rsidRDefault="008300D0" w:rsidP="00BA7500">
            <w:pPr>
              <w:jc w:val="right"/>
              <w:rPr>
                <w:rFonts w:asciiTheme="minorHAnsi" w:hAnsiTheme="minorHAnsi" w:cs="Arial"/>
                <w:b/>
                <w:sz w:val="20"/>
                <w:szCs w:val="20"/>
              </w:rPr>
            </w:pPr>
            <w:r>
              <w:rPr>
                <w:rFonts w:asciiTheme="minorHAnsi" w:hAnsiTheme="minorHAnsi" w:cs="Arial"/>
                <w:b/>
                <w:sz w:val="20"/>
                <w:szCs w:val="20"/>
              </w:rPr>
              <w:t>12.1</w:t>
            </w:r>
          </w:p>
        </w:tc>
        <w:tc>
          <w:tcPr>
            <w:tcW w:w="751" w:type="pct"/>
            <w:tcBorders>
              <w:top w:val="nil"/>
              <w:left w:val="nil"/>
              <w:bottom w:val="single" w:sz="4" w:space="0" w:color="auto"/>
              <w:right w:val="nil"/>
            </w:tcBorders>
          </w:tcPr>
          <w:p w14:paraId="60391C3A" w14:textId="23650E68"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28.8</w:t>
            </w:r>
          </w:p>
        </w:tc>
        <w:tc>
          <w:tcPr>
            <w:tcW w:w="531" w:type="pct"/>
            <w:tcBorders>
              <w:top w:val="nil"/>
              <w:left w:val="nil"/>
              <w:bottom w:val="single" w:sz="4" w:space="0" w:color="auto"/>
              <w:right w:val="nil"/>
            </w:tcBorders>
          </w:tcPr>
          <w:p w14:paraId="09FCC094" w14:textId="3B9F71B5"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12.6</w:t>
            </w:r>
          </w:p>
        </w:tc>
      </w:tr>
      <w:tr w:rsidR="00BA7500" w:rsidRPr="00B97C61" w14:paraId="32A00900" w14:textId="77777777" w:rsidTr="003B7755">
        <w:tc>
          <w:tcPr>
            <w:tcW w:w="2989" w:type="pct"/>
            <w:vAlign w:val="bottom"/>
          </w:tcPr>
          <w:p w14:paraId="569C8AB6" w14:textId="77777777" w:rsidR="00BA7500" w:rsidRPr="00B97C61" w:rsidRDefault="00BA7500" w:rsidP="00BA7500">
            <w:pPr>
              <w:rPr>
                <w:rFonts w:asciiTheme="minorHAnsi" w:hAnsiTheme="minorHAnsi" w:cs="Arial"/>
                <w:b/>
                <w:sz w:val="20"/>
                <w:szCs w:val="20"/>
              </w:rPr>
            </w:pPr>
            <w:r w:rsidRPr="00B97C61">
              <w:rPr>
                <w:rFonts w:asciiTheme="minorHAnsi" w:hAnsiTheme="minorHAnsi" w:cs="Arial"/>
                <w:b/>
                <w:sz w:val="20"/>
                <w:szCs w:val="20"/>
              </w:rPr>
              <w:t xml:space="preserve">Present value of defined benefit obligation at </w:t>
            </w:r>
            <w:r>
              <w:rPr>
                <w:rFonts w:asciiTheme="minorHAnsi" w:hAnsiTheme="minorHAnsi" w:cs="Arial"/>
                <w:b/>
                <w:sz w:val="20"/>
                <w:szCs w:val="20"/>
              </w:rPr>
              <w:t>period end</w:t>
            </w:r>
          </w:p>
        </w:tc>
        <w:tc>
          <w:tcPr>
            <w:tcW w:w="729" w:type="pct"/>
            <w:tcBorders>
              <w:top w:val="single" w:sz="4" w:space="0" w:color="auto"/>
              <w:left w:val="nil"/>
              <w:bottom w:val="single" w:sz="12" w:space="0" w:color="auto"/>
              <w:right w:val="nil"/>
            </w:tcBorders>
            <w:shd w:val="clear" w:color="auto" w:fill="F2F2F2" w:themeFill="background1" w:themeFillShade="F2"/>
          </w:tcPr>
          <w:p w14:paraId="4E82404F" w14:textId="619D77B1" w:rsidR="00BA7500" w:rsidRPr="006D4208" w:rsidRDefault="007756CC" w:rsidP="00BA7500">
            <w:pPr>
              <w:jc w:val="right"/>
              <w:rPr>
                <w:rFonts w:asciiTheme="minorHAnsi" w:hAnsiTheme="minorHAnsi" w:cs="Arial"/>
                <w:b/>
                <w:sz w:val="20"/>
                <w:szCs w:val="20"/>
              </w:rPr>
            </w:pPr>
            <w:r>
              <w:rPr>
                <w:rFonts w:asciiTheme="minorHAnsi" w:hAnsiTheme="minorHAnsi" w:cs="Arial"/>
                <w:b/>
                <w:sz w:val="20"/>
                <w:szCs w:val="20"/>
              </w:rPr>
              <w:t>(434.8)</w:t>
            </w:r>
          </w:p>
        </w:tc>
        <w:tc>
          <w:tcPr>
            <w:tcW w:w="751" w:type="pct"/>
            <w:tcBorders>
              <w:top w:val="single" w:sz="4" w:space="0" w:color="auto"/>
              <w:left w:val="nil"/>
              <w:bottom w:val="single" w:sz="12" w:space="0" w:color="auto"/>
              <w:right w:val="nil"/>
            </w:tcBorders>
          </w:tcPr>
          <w:p w14:paraId="75E9E885" w14:textId="02A70D33"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(425.9)</w:t>
            </w:r>
          </w:p>
        </w:tc>
        <w:tc>
          <w:tcPr>
            <w:tcW w:w="531" w:type="pct"/>
            <w:tcBorders>
              <w:top w:val="single" w:sz="4" w:space="0" w:color="auto"/>
              <w:left w:val="nil"/>
              <w:bottom w:val="single" w:sz="12" w:space="0" w:color="auto"/>
              <w:right w:val="nil"/>
            </w:tcBorders>
          </w:tcPr>
          <w:p w14:paraId="298A1DA5" w14:textId="3BC617B4" w:rsidR="00BA7500" w:rsidRPr="00BA7500" w:rsidRDefault="00BA7500" w:rsidP="00BA7500">
            <w:pPr>
              <w:jc w:val="right"/>
              <w:rPr>
                <w:rFonts w:asciiTheme="minorHAnsi" w:hAnsiTheme="minorHAnsi" w:cs="Arial"/>
                <w:bCs/>
                <w:sz w:val="20"/>
                <w:szCs w:val="20"/>
              </w:rPr>
            </w:pPr>
            <w:r w:rsidRPr="00BA7500">
              <w:rPr>
                <w:rFonts w:asciiTheme="minorHAnsi" w:hAnsiTheme="minorHAnsi" w:cs="Arial"/>
                <w:bCs/>
                <w:sz w:val="20"/>
                <w:szCs w:val="20"/>
              </w:rPr>
              <w:t>(446.6)</w:t>
            </w:r>
          </w:p>
        </w:tc>
      </w:tr>
    </w:tbl>
    <w:p w14:paraId="66FA28CD" w14:textId="77777777" w:rsidR="00BA7500" w:rsidRDefault="00BA7500"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hanging="600"/>
        <w:rPr>
          <w:rFonts w:asciiTheme="minorHAnsi" w:hAnsiTheme="minorHAnsi" w:cs="Arial"/>
          <w:sz w:val="20"/>
          <w:szCs w:val="20"/>
        </w:rPr>
      </w:pPr>
    </w:p>
    <w:p w14:paraId="6797063D" w14:textId="3375C57E" w:rsidR="002D10EE" w:rsidRDefault="002D10EE">
      <w:pPr>
        <w:rPr>
          <w:rFonts w:asciiTheme="minorHAnsi" w:hAnsiTheme="minorHAnsi" w:cs="Arial"/>
          <w:b/>
          <w:color w:val="4747FF"/>
          <w:sz w:val="22"/>
          <w:szCs w:val="22"/>
        </w:rPr>
      </w:pPr>
    </w:p>
    <w:p w14:paraId="5475CCE8" w14:textId="77777777"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B97C61">
        <w:rPr>
          <w:rFonts w:asciiTheme="minorHAnsi" w:hAnsiTheme="minorHAnsi" w:cs="Arial"/>
          <w:sz w:val="20"/>
          <w:szCs w:val="20"/>
        </w:rPr>
        <w:t>The principal actuarial assumptions used at the balance sheet date were as follows:</w:t>
      </w:r>
    </w:p>
    <w:p w14:paraId="228E0B9B" w14:textId="4C7ED4EB" w:rsidR="00424D08" w:rsidRPr="00B97C61" w:rsidRDefault="00424D08" w:rsidP="00424D08">
      <w:pPr>
        <w:jc w:val="both"/>
        <w:rPr>
          <w:rFonts w:asciiTheme="minorHAnsi" w:hAnsiTheme="minorHAnsi" w:cs="Arial"/>
          <w:b/>
          <w:color w:val="4747FF"/>
          <w:sz w:val="22"/>
          <w:szCs w:val="22"/>
        </w:rPr>
      </w:pPr>
    </w:p>
    <w:tbl>
      <w:tblPr>
        <w:tblW w:w="5000" w:type="pct"/>
        <w:tblLayout w:type="fixed"/>
        <w:tblLook w:val="0000" w:firstRow="0" w:lastRow="0" w:firstColumn="0" w:lastColumn="0" w:noHBand="0" w:noVBand="0"/>
      </w:tblPr>
      <w:tblGrid>
        <w:gridCol w:w="5812"/>
        <w:gridCol w:w="1418"/>
        <w:gridCol w:w="1418"/>
        <w:gridCol w:w="1075"/>
      </w:tblGrid>
      <w:tr w:rsidR="00834C78" w:rsidRPr="00B97C61" w14:paraId="42382AF6" w14:textId="77777777">
        <w:trPr>
          <w:gridAfter w:val="3"/>
          <w:wAfter w:w="2011" w:type="pct"/>
          <w:trHeight w:val="344"/>
        </w:trPr>
        <w:tc>
          <w:tcPr>
            <w:tcW w:w="2989" w:type="pct"/>
          </w:tcPr>
          <w:p w14:paraId="24509385" w14:textId="77777777" w:rsidR="00834C78" w:rsidRPr="00B97C61" w:rsidRDefault="00834C78">
            <w:pPr>
              <w:jc w:val="both"/>
              <w:rPr>
                <w:rFonts w:asciiTheme="minorHAnsi" w:hAnsiTheme="minorHAnsi" w:cs="Arial"/>
                <w:sz w:val="20"/>
                <w:szCs w:val="20"/>
              </w:rPr>
            </w:pPr>
          </w:p>
        </w:tc>
      </w:tr>
      <w:tr w:rsidR="00834C78" w:rsidRPr="00B97C61" w14:paraId="402A6AB5" w14:textId="77777777" w:rsidTr="007D6FC5">
        <w:tc>
          <w:tcPr>
            <w:tcW w:w="2989" w:type="pct"/>
          </w:tcPr>
          <w:p w14:paraId="7FD4EA71" w14:textId="77777777" w:rsidR="00834C78" w:rsidRPr="00B97C61" w:rsidRDefault="00834C78">
            <w:pPr>
              <w:jc w:val="both"/>
              <w:rPr>
                <w:rFonts w:asciiTheme="minorHAnsi" w:hAnsiTheme="minorHAnsi" w:cs="Arial"/>
                <w:sz w:val="20"/>
                <w:szCs w:val="20"/>
              </w:rPr>
            </w:pPr>
          </w:p>
        </w:tc>
        <w:tc>
          <w:tcPr>
            <w:tcW w:w="729" w:type="pct"/>
            <w:shd w:val="clear" w:color="auto" w:fill="F2F2F2" w:themeFill="background1" w:themeFillShade="F2"/>
          </w:tcPr>
          <w:p w14:paraId="2632F168" w14:textId="77777777" w:rsidR="00834C78" w:rsidRDefault="00834C78">
            <w:pPr>
              <w:jc w:val="right"/>
              <w:rPr>
                <w:rFonts w:asciiTheme="minorHAnsi" w:hAnsiTheme="minorHAnsi" w:cs="Arial"/>
                <w:b/>
                <w:sz w:val="20"/>
                <w:szCs w:val="20"/>
              </w:rPr>
            </w:pPr>
            <w:r>
              <w:rPr>
                <w:rFonts w:asciiTheme="minorHAnsi" w:hAnsiTheme="minorHAnsi" w:cs="Arial"/>
                <w:b/>
                <w:sz w:val="20"/>
                <w:szCs w:val="20"/>
              </w:rPr>
              <w:t>30 June</w:t>
            </w:r>
          </w:p>
          <w:p w14:paraId="71B8EEEC" w14:textId="77777777" w:rsidR="007D6FC5" w:rsidRDefault="00834C78">
            <w:pPr>
              <w:jc w:val="right"/>
              <w:rPr>
                <w:rFonts w:asciiTheme="minorHAnsi" w:hAnsiTheme="minorHAnsi" w:cs="Arial"/>
                <w:b/>
                <w:sz w:val="20"/>
                <w:szCs w:val="20"/>
              </w:rPr>
            </w:pPr>
            <w:r w:rsidRPr="000E0F97">
              <w:rPr>
                <w:rFonts w:asciiTheme="minorHAnsi" w:hAnsiTheme="minorHAnsi" w:cs="Arial"/>
                <w:b/>
                <w:sz w:val="20"/>
                <w:szCs w:val="20"/>
              </w:rPr>
              <w:t>202</w:t>
            </w:r>
            <w:r>
              <w:rPr>
                <w:rFonts w:asciiTheme="minorHAnsi" w:hAnsiTheme="minorHAnsi" w:cs="Arial"/>
                <w:b/>
                <w:sz w:val="20"/>
                <w:szCs w:val="20"/>
              </w:rPr>
              <w:t>5</w:t>
            </w:r>
          </w:p>
          <w:p w14:paraId="0B63DC1B" w14:textId="525D14B7" w:rsidR="00834C78" w:rsidRPr="000E0F97" w:rsidRDefault="007D6FC5">
            <w:pPr>
              <w:jc w:val="right"/>
              <w:rPr>
                <w:rFonts w:asciiTheme="minorHAnsi" w:hAnsiTheme="minorHAnsi" w:cs="Arial"/>
                <w:b/>
                <w:sz w:val="20"/>
                <w:szCs w:val="20"/>
              </w:rPr>
            </w:pPr>
            <w:r>
              <w:rPr>
                <w:rFonts w:asciiTheme="minorHAnsi" w:hAnsiTheme="minorHAnsi" w:cs="Arial"/>
                <w:b/>
                <w:sz w:val="20"/>
                <w:szCs w:val="20"/>
              </w:rPr>
              <w:t>unaudited</w:t>
            </w:r>
            <w:r w:rsidR="00834C78" w:rsidRPr="000E0F97">
              <w:rPr>
                <w:rFonts w:asciiTheme="minorHAnsi" w:hAnsiTheme="minorHAnsi" w:cs="Arial"/>
                <w:b/>
                <w:sz w:val="20"/>
                <w:szCs w:val="20"/>
              </w:rPr>
              <w:t> </w:t>
            </w:r>
          </w:p>
        </w:tc>
        <w:tc>
          <w:tcPr>
            <w:tcW w:w="729" w:type="pct"/>
          </w:tcPr>
          <w:p w14:paraId="78247269" w14:textId="77777777" w:rsidR="00834C78" w:rsidRDefault="00834C78">
            <w:pPr>
              <w:jc w:val="right"/>
              <w:rPr>
                <w:rFonts w:asciiTheme="minorHAnsi" w:hAnsiTheme="minorHAnsi" w:cs="Arial"/>
                <w:sz w:val="20"/>
                <w:szCs w:val="20"/>
              </w:rPr>
            </w:pPr>
            <w:r>
              <w:rPr>
                <w:rFonts w:asciiTheme="minorHAnsi" w:hAnsiTheme="minorHAnsi" w:cs="Arial"/>
                <w:sz w:val="20"/>
                <w:szCs w:val="20"/>
              </w:rPr>
              <w:t xml:space="preserve">31 December </w:t>
            </w:r>
            <w:r w:rsidRPr="00B97C61">
              <w:rPr>
                <w:rFonts w:asciiTheme="minorHAnsi" w:hAnsiTheme="minorHAnsi" w:cs="Arial"/>
                <w:sz w:val="20"/>
                <w:szCs w:val="20"/>
              </w:rPr>
              <w:t>202</w:t>
            </w:r>
            <w:r>
              <w:rPr>
                <w:rFonts w:asciiTheme="minorHAnsi" w:hAnsiTheme="minorHAnsi" w:cs="Arial"/>
                <w:sz w:val="20"/>
                <w:szCs w:val="20"/>
              </w:rPr>
              <w:t>4</w:t>
            </w:r>
          </w:p>
          <w:p w14:paraId="10FFA990" w14:textId="5548D552" w:rsidR="00834C78" w:rsidRPr="00B97C61" w:rsidRDefault="007D6FC5">
            <w:pPr>
              <w:jc w:val="right"/>
              <w:rPr>
                <w:rFonts w:asciiTheme="minorHAnsi" w:hAnsiTheme="minorHAnsi" w:cs="Arial"/>
                <w:sz w:val="20"/>
                <w:szCs w:val="20"/>
              </w:rPr>
            </w:pPr>
            <w:r>
              <w:rPr>
                <w:rFonts w:asciiTheme="minorHAnsi" w:hAnsiTheme="minorHAnsi" w:cs="Arial"/>
                <w:sz w:val="20"/>
                <w:szCs w:val="20"/>
              </w:rPr>
              <w:t>audited</w:t>
            </w:r>
          </w:p>
        </w:tc>
        <w:tc>
          <w:tcPr>
            <w:tcW w:w="553" w:type="pct"/>
          </w:tcPr>
          <w:p w14:paraId="389BF61F" w14:textId="77777777" w:rsidR="00834C78" w:rsidRDefault="00834C78">
            <w:pPr>
              <w:jc w:val="right"/>
              <w:rPr>
                <w:rFonts w:asciiTheme="minorHAnsi" w:hAnsiTheme="minorHAnsi" w:cs="Arial"/>
                <w:sz w:val="20"/>
                <w:szCs w:val="20"/>
              </w:rPr>
            </w:pPr>
            <w:r>
              <w:rPr>
                <w:rFonts w:asciiTheme="minorHAnsi" w:hAnsiTheme="minorHAnsi" w:cs="Arial"/>
                <w:sz w:val="20"/>
                <w:szCs w:val="20"/>
              </w:rPr>
              <w:t xml:space="preserve">30 June </w:t>
            </w:r>
            <w:r w:rsidRPr="00B97C61">
              <w:rPr>
                <w:rFonts w:asciiTheme="minorHAnsi" w:hAnsiTheme="minorHAnsi" w:cs="Arial"/>
                <w:sz w:val="20"/>
                <w:szCs w:val="20"/>
              </w:rPr>
              <w:t>202</w:t>
            </w:r>
            <w:r>
              <w:rPr>
                <w:rFonts w:asciiTheme="minorHAnsi" w:hAnsiTheme="minorHAnsi" w:cs="Arial"/>
                <w:sz w:val="20"/>
                <w:szCs w:val="20"/>
              </w:rPr>
              <w:t>4</w:t>
            </w:r>
          </w:p>
          <w:p w14:paraId="3B18C42B" w14:textId="52B054E3" w:rsidR="00834C78" w:rsidRPr="00B97C61" w:rsidRDefault="007D6FC5">
            <w:pPr>
              <w:jc w:val="right"/>
              <w:rPr>
                <w:rFonts w:asciiTheme="minorHAnsi" w:hAnsiTheme="minorHAnsi" w:cs="Arial"/>
                <w:sz w:val="20"/>
                <w:szCs w:val="20"/>
              </w:rPr>
            </w:pPr>
            <w:r>
              <w:rPr>
                <w:rFonts w:asciiTheme="minorHAnsi" w:hAnsiTheme="minorHAnsi" w:cs="Arial"/>
                <w:sz w:val="20"/>
                <w:szCs w:val="20"/>
              </w:rPr>
              <w:t>unaudited</w:t>
            </w:r>
          </w:p>
        </w:tc>
      </w:tr>
      <w:tr w:rsidR="00834C78" w:rsidRPr="00B97C61" w14:paraId="3BDC382A" w14:textId="77777777" w:rsidTr="007D6FC5">
        <w:tc>
          <w:tcPr>
            <w:tcW w:w="2989" w:type="pct"/>
          </w:tcPr>
          <w:p w14:paraId="364C675D" w14:textId="77777777" w:rsidR="00834C78" w:rsidRPr="00B97C61" w:rsidRDefault="00834C78">
            <w:pPr>
              <w:pStyle w:val="Heading5"/>
              <w:overflowPunct/>
              <w:autoSpaceDE/>
              <w:adjustRightInd/>
              <w:rPr>
                <w:rFonts w:asciiTheme="minorHAnsi" w:hAnsiTheme="minorHAnsi" w:cs="Arial"/>
                <w:bCs/>
                <w:sz w:val="20"/>
              </w:rPr>
            </w:pPr>
          </w:p>
        </w:tc>
        <w:tc>
          <w:tcPr>
            <w:tcW w:w="729" w:type="pct"/>
            <w:tcBorders>
              <w:top w:val="nil"/>
              <w:left w:val="nil"/>
              <w:bottom w:val="single" w:sz="4" w:space="0" w:color="auto"/>
              <w:right w:val="nil"/>
            </w:tcBorders>
            <w:shd w:val="clear" w:color="auto" w:fill="F2F2F2" w:themeFill="background1" w:themeFillShade="F2"/>
          </w:tcPr>
          <w:p w14:paraId="2C262ACF" w14:textId="77777777" w:rsidR="00834C78" w:rsidRPr="000E0F97" w:rsidRDefault="00834C78">
            <w:pPr>
              <w:jc w:val="right"/>
              <w:rPr>
                <w:rFonts w:asciiTheme="minorHAnsi" w:hAnsiTheme="minorHAnsi" w:cs="Arial"/>
                <w:b/>
                <w:sz w:val="20"/>
                <w:szCs w:val="20"/>
              </w:rPr>
            </w:pPr>
            <w:r w:rsidRPr="000E0F97">
              <w:rPr>
                <w:rFonts w:asciiTheme="minorHAnsi" w:hAnsiTheme="minorHAnsi" w:cs="Arial"/>
                <w:b/>
                <w:sz w:val="20"/>
                <w:szCs w:val="20"/>
              </w:rPr>
              <w:t>% </w:t>
            </w:r>
          </w:p>
        </w:tc>
        <w:tc>
          <w:tcPr>
            <w:tcW w:w="729" w:type="pct"/>
            <w:tcBorders>
              <w:top w:val="nil"/>
              <w:left w:val="nil"/>
              <w:bottom w:val="single" w:sz="4" w:space="0" w:color="auto"/>
              <w:right w:val="nil"/>
            </w:tcBorders>
          </w:tcPr>
          <w:p w14:paraId="4F4520BD" w14:textId="77777777" w:rsidR="00834C78" w:rsidRPr="00B97C61" w:rsidRDefault="00834C78">
            <w:pPr>
              <w:jc w:val="right"/>
              <w:rPr>
                <w:rFonts w:asciiTheme="minorHAnsi" w:hAnsiTheme="minorHAnsi" w:cs="Arial"/>
                <w:sz w:val="20"/>
                <w:szCs w:val="20"/>
              </w:rPr>
            </w:pPr>
            <w:r w:rsidRPr="00B97C61">
              <w:rPr>
                <w:rFonts w:asciiTheme="minorHAnsi" w:hAnsiTheme="minorHAnsi" w:cs="Arial"/>
                <w:sz w:val="20"/>
                <w:szCs w:val="20"/>
              </w:rPr>
              <w:t>% </w:t>
            </w:r>
          </w:p>
        </w:tc>
        <w:tc>
          <w:tcPr>
            <w:tcW w:w="553" w:type="pct"/>
            <w:tcBorders>
              <w:top w:val="nil"/>
              <w:left w:val="nil"/>
              <w:bottom w:val="single" w:sz="4" w:space="0" w:color="auto"/>
              <w:right w:val="nil"/>
            </w:tcBorders>
          </w:tcPr>
          <w:p w14:paraId="2A05CED3" w14:textId="77777777" w:rsidR="00834C78" w:rsidRPr="00B97C61" w:rsidRDefault="00834C78">
            <w:pPr>
              <w:jc w:val="right"/>
              <w:rPr>
                <w:rFonts w:asciiTheme="minorHAnsi" w:hAnsiTheme="minorHAnsi" w:cs="Arial"/>
                <w:sz w:val="20"/>
                <w:szCs w:val="20"/>
              </w:rPr>
            </w:pPr>
            <w:r w:rsidRPr="00B97C61">
              <w:rPr>
                <w:rFonts w:asciiTheme="minorHAnsi" w:hAnsiTheme="minorHAnsi" w:cs="Arial"/>
                <w:sz w:val="20"/>
                <w:szCs w:val="20"/>
              </w:rPr>
              <w:t>% </w:t>
            </w:r>
          </w:p>
        </w:tc>
      </w:tr>
      <w:tr w:rsidR="00834C78" w:rsidRPr="00B97C61" w14:paraId="228F4589" w14:textId="77777777" w:rsidTr="007D6FC5">
        <w:tc>
          <w:tcPr>
            <w:tcW w:w="2989" w:type="pct"/>
            <w:vAlign w:val="bottom"/>
          </w:tcPr>
          <w:p w14:paraId="0A636FFD" w14:textId="77777777" w:rsidR="00834C78" w:rsidRPr="00B97C61" w:rsidRDefault="00834C78" w:rsidP="00834C78">
            <w:pPr>
              <w:rPr>
                <w:rFonts w:asciiTheme="minorHAnsi" w:hAnsiTheme="minorHAnsi" w:cs="Arial"/>
                <w:sz w:val="20"/>
                <w:szCs w:val="20"/>
              </w:rPr>
            </w:pPr>
            <w:r w:rsidRPr="00B97C61">
              <w:rPr>
                <w:rFonts w:asciiTheme="minorHAnsi" w:hAnsiTheme="minorHAnsi" w:cs="Arial"/>
                <w:sz w:val="20"/>
                <w:szCs w:val="20"/>
              </w:rPr>
              <w:t xml:space="preserve">Price inflation – RPI </w:t>
            </w:r>
          </w:p>
        </w:tc>
        <w:tc>
          <w:tcPr>
            <w:tcW w:w="729" w:type="pct"/>
            <w:tcBorders>
              <w:top w:val="single" w:sz="4" w:space="0" w:color="auto"/>
              <w:left w:val="nil"/>
              <w:bottom w:val="nil"/>
              <w:right w:val="nil"/>
            </w:tcBorders>
            <w:shd w:val="clear" w:color="auto" w:fill="F2F2F2" w:themeFill="background1" w:themeFillShade="F2"/>
            <w:vAlign w:val="bottom"/>
          </w:tcPr>
          <w:p w14:paraId="23CBF063" w14:textId="3E0F2F1D" w:rsidR="00834C78" w:rsidRPr="006D4208" w:rsidRDefault="001B693A" w:rsidP="00834C78">
            <w:pPr>
              <w:jc w:val="right"/>
              <w:rPr>
                <w:rFonts w:asciiTheme="minorHAnsi" w:hAnsiTheme="minorHAnsi" w:cs="Arial"/>
                <w:b/>
                <w:sz w:val="20"/>
                <w:szCs w:val="20"/>
              </w:rPr>
            </w:pPr>
            <w:r>
              <w:rPr>
                <w:rFonts w:asciiTheme="minorHAnsi" w:hAnsiTheme="minorHAnsi" w:cs="Arial"/>
                <w:b/>
                <w:sz w:val="20"/>
                <w:szCs w:val="20"/>
              </w:rPr>
              <w:t>2.95</w:t>
            </w:r>
          </w:p>
        </w:tc>
        <w:tc>
          <w:tcPr>
            <w:tcW w:w="729" w:type="pct"/>
            <w:tcBorders>
              <w:top w:val="single" w:sz="4" w:space="0" w:color="auto"/>
              <w:left w:val="nil"/>
              <w:bottom w:val="nil"/>
              <w:right w:val="nil"/>
            </w:tcBorders>
            <w:vAlign w:val="bottom"/>
          </w:tcPr>
          <w:p w14:paraId="61D1D7A3" w14:textId="2669D990"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3.20</w:t>
            </w:r>
          </w:p>
        </w:tc>
        <w:tc>
          <w:tcPr>
            <w:tcW w:w="553" w:type="pct"/>
            <w:tcBorders>
              <w:top w:val="single" w:sz="4" w:space="0" w:color="auto"/>
              <w:left w:val="nil"/>
              <w:bottom w:val="nil"/>
              <w:right w:val="nil"/>
            </w:tcBorders>
            <w:vAlign w:val="bottom"/>
          </w:tcPr>
          <w:p w14:paraId="4A4A619B" w14:textId="3A5BF134"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3.25</w:t>
            </w:r>
          </w:p>
        </w:tc>
      </w:tr>
      <w:tr w:rsidR="00834C78" w:rsidRPr="00B97C61" w14:paraId="70184E77" w14:textId="77777777" w:rsidTr="007D6FC5">
        <w:tc>
          <w:tcPr>
            <w:tcW w:w="2989" w:type="pct"/>
            <w:vAlign w:val="bottom"/>
          </w:tcPr>
          <w:p w14:paraId="6D6B6485" w14:textId="77777777" w:rsidR="00834C78" w:rsidRPr="00B97C61" w:rsidRDefault="00834C78" w:rsidP="00834C78">
            <w:pPr>
              <w:rPr>
                <w:rFonts w:asciiTheme="minorHAnsi" w:hAnsiTheme="minorHAnsi" w:cs="Arial"/>
                <w:sz w:val="20"/>
                <w:szCs w:val="20"/>
              </w:rPr>
            </w:pPr>
            <w:r w:rsidRPr="00B97C61">
              <w:rPr>
                <w:rFonts w:asciiTheme="minorHAnsi" w:hAnsiTheme="minorHAnsi" w:cs="Arial"/>
                <w:sz w:val="20"/>
                <w:szCs w:val="20"/>
              </w:rPr>
              <w:t xml:space="preserve">Price inflation – CPI </w:t>
            </w:r>
          </w:p>
        </w:tc>
        <w:tc>
          <w:tcPr>
            <w:tcW w:w="729" w:type="pct"/>
            <w:shd w:val="clear" w:color="auto" w:fill="F2F2F2" w:themeFill="background1" w:themeFillShade="F2"/>
          </w:tcPr>
          <w:p w14:paraId="4BFC34A8" w14:textId="583C6DF6" w:rsidR="00834C78" w:rsidRPr="006D4208" w:rsidRDefault="00B173C3" w:rsidP="00834C78">
            <w:pPr>
              <w:jc w:val="right"/>
              <w:rPr>
                <w:rFonts w:asciiTheme="minorHAnsi" w:hAnsiTheme="minorHAnsi" w:cs="Arial"/>
                <w:b/>
                <w:sz w:val="20"/>
                <w:szCs w:val="20"/>
              </w:rPr>
            </w:pPr>
            <w:r>
              <w:rPr>
                <w:rFonts w:asciiTheme="minorHAnsi" w:hAnsiTheme="minorHAnsi" w:cs="Arial"/>
                <w:b/>
                <w:sz w:val="20"/>
                <w:szCs w:val="20"/>
              </w:rPr>
              <w:t>2.45</w:t>
            </w:r>
          </w:p>
        </w:tc>
        <w:tc>
          <w:tcPr>
            <w:tcW w:w="729" w:type="pct"/>
          </w:tcPr>
          <w:p w14:paraId="257CF211" w14:textId="45A0FEB7"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2.75</w:t>
            </w:r>
          </w:p>
        </w:tc>
        <w:tc>
          <w:tcPr>
            <w:tcW w:w="553" w:type="pct"/>
          </w:tcPr>
          <w:p w14:paraId="455F3245" w14:textId="03D2E7F9"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2.75</w:t>
            </w:r>
          </w:p>
        </w:tc>
      </w:tr>
      <w:tr w:rsidR="00834C78" w:rsidRPr="00B97C61" w14:paraId="34518535" w14:textId="77777777" w:rsidTr="007D6FC5">
        <w:tc>
          <w:tcPr>
            <w:tcW w:w="2989" w:type="pct"/>
            <w:vAlign w:val="bottom"/>
          </w:tcPr>
          <w:p w14:paraId="6F871D6B" w14:textId="77777777" w:rsidR="00834C78" w:rsidRPr="00B97C61" w:rsidRDefault="00834C78" w:rsidP="00834C78">
            <w:pPr>
              <w:rPr>
                <w:rFonts w:asciiTheme="minorHAnsi" w:hAnsiTheme="minorHAnsi" w:cs="Arial"/>
                <w:sz w:val="20"/>
                <w:szCs w:val="20"/>
              </w:rPr>
            </w:pPr>
            <w:r w:rsidRPr="00B97C61">
              <w:rPr>
                <w:rFonts w:asciiTheme="minorHAnsi" w:hAnsiTheme="minorHAnsi" w:cs="Arial"/>
                <w:sz w:val="20"/>
                <w:szCs w:val="20"/>
              </w:rPr>
              <w:t>Rate of increase to pensions in payment</w:t>
            </w:r>
          </w:p>
        </w:tc>
        <w:tc>
          <w:tcPr>
            <w:tcW w:w="729" w:type="pct"/>
            <w:shd w:val="clear" w:color="auto" w:fill="F2F2F2" w:themeFill="background1" w:themeFillShade="F2"/>
          </w:tcPr>
          <w:p w14:paraId="2D808B2E" w14:textId="6D140E5A" w:rsidR="00834C78" w:rsidRPr="006D4208" w:rsidRDefault="00C50FE1" w:rsidP="00834C78">
            <w:pPr>
              <w:jc w:val="right"/>
              <w:rPr>
                <w:rFonts w:asciiTheme="minorHAnsi" w:hAnsiTheme="minorHAnsi" w:cs="Arial"/>
                <w:b/>
                <w:sz w:val="20"/>
                <w:szCs w:val="20"/>
              </w:rPr>
            </w:pPr>
            <w:r>
              <w:rPr>
                <w:rFonts w:asciiTheme="minorHAnsi" w:hAnsiTheme="minorHAnsi" w:cs="Arial"/>
                <w:b/>
                <w:sz w:val="20"/>
                <w:szCs w:val="20"/>
              </w:rPr>
              <w:t>2.90</w:t>
            </w:r>
          </w:p>
        </w:tc>
        <w:tc>
          <w:tcPr>
            <w:tcW w:w="729" w:type="pct"/>
          </w:tcPr>
          <w:p w14:paraId="3768408C" w14:textId="7AE9A485"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3.00</w:t>
            </w:r>
          </w:p>
        </w:tc>
        <w:tc>
          <w:tcPr>
            <w:tcW w:w="553" w:type="pct"/>
          </w:tcPr>
          <w:p w14:paraId="358116B9" w14:textId="75AE26FA"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3.00</w:t>
            </w:r>
          </w:p>
        </w:tc>
      </w:tr>
      <w:tr w:rsidR="00834C78" w:rsidRPr="00B97C61" w14:paraId="266EC1E6" w14:textId="77777777" w:rsidTr="007D6FC5">
        <w:tc>
          <w:tcPr>
            <w:tcW w:w="2989" w:type="pct"/>
            <w:vAlign w:val="bottom"/>
          </w:tcPr>
          <w:p w14:paraId="36701F77" w14:textId="77777777" w:rsidR="00834C78" w:rsidRPr="00B97C61" w:rsidRDefault="00834C78" w:rsidP="00834C78">
            <w:pPr>
              <w:rPr>
                <w:rFonts w:asciiTheme="minorHAnsi" w:hAnsiTheme="minorHAnsi" w:cs="Arial"/>
                <w:sz w:val="20"/>
                <w:szCs w:val="20"/>
              </w:rPr>
            </w:pPr>
            <w:r w:rsidRPr="00B97C61">
              <w:rPr>
                <w:rFonts w:asciiTheme="minorHAnsi" w:hAnsiTheme="minorHAnsi" w:cs="Arial"/>
                <w:sz w:val="20"/>
                <w:szCs w:val="20"/>
              </w:rPr>
              <w:t>Inflationary increases to pensions in deferment</w:t>
            </w:r>
          </w:p>
        </w:tc>
        <w:tc>
          <w:tcPr>
            <w:tcW w:w="729" w:type="pct"/>
            <w:tcBorders>
              <w:top w:val="nil"/>
              <w:left w:val="nil"/>
              <w:right w:val="nil"/>
            </w:tcBorders>
            <w:shd w:val="clear" w:color="auto" w:fill="F2F2F2" w:themeFill="background1" w:themeFillShade="F2"/>
          </w:tcPr>
          <w:p w14:paraId="0673F093" w14:textId="79EFB621" w:rsidR="00834C78" w:rsidRPr="006D4208" w:rsidRDefault="00C50FE1" w:rsidP="00834C78">
            <w:pPr>
              <w:jc w:val="right"/>
              <w:rPr>
                <w:rFonts w:asciiTheme="minorHAnsi" w:hAnsiTheme="minorHAnsi" w:cs="Arial"/>
                <w:b/>
                <w:sz w:val="20"/>
                <w:szCs w:val="20"/>
              </w:rPr>
            </w:pPr>
            <w:r>
              <w:rPr>
                <w:rFonts w:asciiTheme="minorHAnsi" w:hAnsiTheme="minorHAnsi" w:cs="Arial"/>
                <w:b/>
                <w:sz w:val="20"/>
                <w:szCs w:val="20"/>
              </w:rPr>
              <w:t>2.45</w:t>
            </w:r>
          </w:p>
        </w:tc>
        <w:tc>
          <w:tcPr>
            <w:tcW w:w="729" w:type="pct"/>
            <w:tcBorders>
              <w:top w:val="nil"/>
              <w:left w:val="nil"/>
              <w:right w:val="nil"/>
            </w:tcBorders>
          </w:tcPr>
          <w:p w14:paraId="28E0F0CD" w14:textId="340264B9"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2.75</w:t>
            </w:r>
          </w:p>
        </w:tc>
        <w:tc>
          <w:tcPr>
            <w:tcW w:w="553" w:type="pct"/>
            <w:tcBorders>
              <w:top w:val="nil"/>
              <w:left w:val="nil"/>
              <w:right w:val="nil"/>
            </w:tcBorders>
          </w:tcPr>
          <w:p w14:paraId="5882A131" w14:textId="4BF387A2"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2.75</w:t>
            </w:r>
          </w:p>
        </w:tc>
      </w:tr>
      <w:tr w:rsidR="00834C78" w:rsidRPr="00B97C61" w14:paraId="43A7B629" w14:textId="77777777" w:rsidTr="007D6FC5">
        <w:tc>
          <w:tcPr>
            <w:tcW w:w="2989" w:type="pct"/>
            <w:vAlign w:val="bottom"/>
          </w:tcPr>
          <w:p w14:paraId="02115A04" w14:textId="77777777" w:rsidR="00834C78" w:rsidRPr="00B97C61" w:rsidRDefault="00834C78" w:rsidP="00834C78">
            <w:pPr>
              <w:rPr>
                <w:rFonts w:asciiTheme="minorHAnsi" w:hAnsiTheme="minorHAnsi" w:cs="Arial"/>
                <w:sz w:val="20"/>
                <w:szCs w:val="20"/>
              </w:rPr>
            </w:pPr>
            <w:r w:rsidRPr="00B97C61">
              <w:rPr>
                <w:rFonts w:asciiTheme="minorHAnsi" w:hAnsiTheme="minorHAnsi" w:cs="Arial"/>
                <w:sz w:val="20"/>
                <w:szCs w:val="20"/>
              </w:rPr>
              <w:t>Discount rate</w:t>
            </w:r>
          </w:p>
        </w:tc>
        <w:tc>
          <w:tcPr>
            <w:tcW w:w="729" w:type="pct"/>
            <w:tcBorders>
              <w:left w:val="nil"/>
              <w:bottom w:val="single" w:sz="18" w:space="0" w:color="auto"/>
              <w:right w:val="nil"/>
            </w:tcBorders>
            <w:shd w:val="clear" w:color="auto" w:fill="F2F2F2" w:themeFill="background1" w:themeFillShade="F2"/>
          </w:tcPr>
          <w:p w14:paraId="6EB70D8A" w14:textId="2502937A" w:rsidR="00834C78" w:rsidRPr="006D4208" w:rsidRDefault="00B173C3" w:rsidP="00834C78">
            <w:pPr>
              <w:jc w:val="right"/>
              <w:rPr>
                <w:rFonts w:asciiTheme="minorHAnsi" w:hAnsiTheme="minorHAnsi" w:cs="Arial"/>
                <w:b/>
                <w:sz w:val="20"/>
                <w:szCs w:val="20"/>
              </w:rPr>
            </w:pPr>
            <w:r>
              <w:rPr>
                <w:rFonts w:asciiTheme="minorHAnsi" w:hAnsiTheme="minorHAnsi" w:cs="Arial"/>
                <w:b/>
                <w:sz w:val="20"/>
                <w:szCs w:val="20"/>
              </w:rPr>
              <w:t>5.65</w:t>
            </w:r>
          </w:p>
        </w:tc>
        <w:tc>
          <w:tcPr>
            <w:tcW w:w="729" w:type="pct"/>
            <w:tcBorders>
              <w:left w:val="nil"/>
              <w:bottom w:val="single" w:sz="18" w:space="0" w:color="auto"/>
              <w:right w:val="nil"/>
            </w:tcBorders>
          </w:tcPr>
          <w:p w14:paraId="7F8F48EA" w14:textId="33C88F3D"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5.55</w:t>
            </w:r>
          </w:p>
        </w:tc>
        <w:tc>
          <w:tcPr>
            <w:tcW w:w="553" w:type="pct"/>
            <w:tcBorders>
              <w:left w:val="nil"/>
              <w:bottom w:val="single" w:sz="18" w:space="0" w:color="auto"/>
              <w:right w:val="nil"/>
            </w:tcBorders>
          </w:tcPr>
          <w:p w14:paraId="36ED2B6D" w14:textId="20D0D0A3" w:rsidR="00834C78" w:rsidRPr="00834C78" w:rsidRDefault="00834C78" w:rsidP="00834C78">
            <w:pPr>
              <w:jc w:val="right"/>
              <w:rPr>
                <w:rFonts w:asciiTheme="minorHAnsi" w:hAnsiTheme="minorHAnsi" w:cs="Arial"/>
                <w:bCs/>
                <w:sz w:val="20"/>
                <w:szCs w:val="20"/>
              </w:rPr>
            </w:pPr>
            <w:r w:rsidRPr="00834C78">
              <w:rPr>
                <w:rFonts w:asciiTheme="minorHAnsi" w:hAnsiTheme="minorHAnsi" w:cs="Arial"/>
                <w:bCs/>
                <w:sz w:val="20"/>
                <w:szCs w:val="20"/>
              </w:rPr>
              <w:t>5.25</w:t>
            </w:r>
          </w:p>
        </w:tc>
      </w:tr>
    </w:tbl>
    <w:p w14:paraId="7264E921" w14:textId="77777777" w:rsidR="00834C78" w:rsidRPr="00B97C61" w:rsidRDefault="00834C78"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4642C210" w14:textId="77777777"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ectionheadernumber"/>
          <w:rFonts w:asciiTheme="minorHAnsi" w:hAnsiTheme="minorHAnsi" w:cs="Arial"/>
          <w:sz w:val="20"/>
          <w:szCs w:val="20"/>
        </w:rPr>
      </w:pPr>
    </w:p>
    <w:p w14:paraId="74709F99" w14:textId="77777777"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1FA79D9B" w14:textId="77777777" w:rsidR="00A1425C" w:rsidRPr="00B97C61" w:rsidRDefault="00A1425C" w:rsidP="00A1425C">
      <w:p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 xml:space="preserve">The pension increase assumption shown above applies to pensions increasing in payment each year in line with RPI up to </w:t>
      </w:r>
      <w:r w:rsidRPr="000C4DA9">
        <w:rPr>
          <w:rFonts w:asciiTheme="minorHAnsi" w:hAnsiTheme="minorHAnsi" w:cs="Poppins-Light"/>
          <w:sz w:val="20"/>
          <w:szCs w:val="20"/>
        </w:rPr>
        <w:t>5%. Pensions accrued prior to 2000 are substantially subject to fixed 5% increases each year. In deferment</w:t>
      </w:r>
      <w:r w:rsidRPr="00B97C61">
        <w:rPr>
          <w:rFonts w:asciiTheme="minorHAnsi" w:hAnsiTheme="minorHAnsi" w:cs="Poppins-Light"/>
          <w:sz w:val="20"/>
          <w:szCs w:val="20"/>
        </w:rPr>
        <w:t xml:space="preserve"> increases prior to retirement are linked to CPI.</w:t>
      </w:r>
    </w:p>
    <w:p w14:paraId="7C5601DF" w14:textId="77777777" w:rsidR="00A1425C" w:rsidRPr="005F39F9" w:rsidRDefault="00A1425C" w:rsidP="00A1425C">
      <w:pPr>
        <w:autoSpaceDE w:val="0"/>
        <w:autoSpaceDN w:val="0"/>
        <w:adjustRightInd w:val="0"/>
        <w:jc w:val="both"/>
        <w:rPr>
          <w:rFonts w:asciiTheme="minorHAnsi" w:hAnsiTheme="minorHAnsi" w:cs="Poppins-Light"/>
          <w:color w:val="FF0000"/>
          <w:sz w:val="20"/>
          <w:szCs w:val="20"/>
        </w:rPr>
      </w:pPr>
    </w:p>
    <w:p w14:paraId="0A92BB8E" w14:textId="05502A50" w:rsidR="00A1425C" w:rsidRPr="002F5C76" w:rsidRDefault="00A1425C" w:rsidP="00A1425C">
      <w:pPr>
        <w:autoSpaceDE w:val="0"/>
        <w:autoSpaceDN w:val="0"/>
        <w:adjustRightInd w:val="0"/>
        <w:jc w:val="both"/>
        <w:rPr>
          <w:rFonts w:asciiTheme="minorHAnsi" w:hAnsiTheme="minorHAnsi" w:cs="Poppins-Light"/>
          <w:sz w:val="20"/>
          <w:szCs w:val="20"/>
        </w:rPr>
      </w:pPr>
      <w:r w:rsidRPr="00386DAB">
        <w:rPr>
          <w:rFonts w:asciiTheme="minorHAnsi" w:hAnsiTheme="minorHAnsi" w:cs="Poppins-Light"/>
          <w:sz w:val="20"/>
          <w:szCs w:val="20"/>
        </w:rPr>
        <w:t xml:space="preserve">The mortality assumptions are based on the self-administered pension scheme </w:t>
      </w:r>
      <w:r w:rsidRPr="007F7783">
        <w:rPr>
          <w:rFonts w:asciiTheme="minorHAnsi" w:hAnsiTheme="minorHAnsi" w:cs="Poppins-Light"/>
          <w:sz w:val="20"/>
          <w:szCs w:val="20"/>
        </w:rPr>
        <w:t xml:space="preserve">(SAPS) series </w:t>
      </w:r>
      <w:r w:rsidR="00E03F5A" w:rsidRPr="007F7783">
        <w:rPr>
          <w:rFonts w:asciiTheme="minorHAnsi" w:hAnsiTheme="minorHAnsi" w:cs="Poppins-Light"/>
          <w:sz w:val="20"/>
          <w:szCs w:val="20"/>
        </w:rPr>
        <w:t>4</w:t>
      </w:r>
      <w:r w:rsidRPr="007F7783">
        <w:rPr>
          <w:rFonts w:asciiTheme="minorHAnsi" w:hAnsiTheme="minorHAnsi" w:cs="Poppins-Light"/>
          <w:sz w:val="20"/>
          <w:szCs w:val="20"/>
        </w:rPr>
        <w:t xml:space="preserve"> tables </w:t>
      </w:r>
      <w:r w:rsidRPr="002F5C76">
        <w:rPr>
          <w:rFonts w:asciiTheme="minorHAnsi" w:hAnsiTheme="minorHAnsi" w:cs="Poppins-Light"/>
          <w:sz w:val="20"/>
          <w:szCs w:val="20"/>
        </w:rPr>
        <w:t>(</w:t>
      </w:r>
      <w:r w:rsidR="002F5C76" w:rsidRPr="002F5C76">
        <w:rPr>
          <w:rFonts w:asciiTheme="minorHAnsi" w:hAnsiTheme="minorHAnsi" w:cs="Poppins-Light"/>
          <w:sz w:val="20"/>
          <w:szCs w:val="20"/>
        </w:rPr>
        <w:t>FY24 and 1H24</w:t>
      </w:r>
      <w:r w:rsidRPr="002F5C76">
        <w:rPr>
          <w:rFonts w:asciiTheme="minorHAnsi" w:hAnsiTheme="minorHAnsi" w:cs="Poppins-Light"/>
          <w:sz w:val="20"/>
          <w:szCs w:val="20"/>
        </w:rPr>
        <w:t>: SAPS series 3 tables):</w:t>
      </w:r>
    </w:p>
    <w:p w14:paraId="3A31EDA9" w14:textId="2FFB2881" w:rsidR="00A1425C" w:rsidRPr="00327A1E" w:rsidRDefault="00A1425C" w:rsidP="003B25B9">
      <w:pPr>
        <w:pStyle w:val="ListParagraph"/>
        <w:numPr>
          <w:ilvl w:val="0"/>
          <w:numId w:val="4"/>
        </w:numPr>
        <w:autoSpaceDE w:val="0"/>
        <w:autoSpaceDN w:val="0"/>
        <w:adjustRightInd w:val="0"/>
        <w:jc w:val="both"/>
        <w:rPr>
          <w:rFonts w:asciiTheme="minorHAnsi" w:hAnsiTheme="minorHAnsi" w:cs="Poppins-Light"/>
          <w:color w:val="000000" w:themeColor="text1"/>
          <w:sz w:val="20"/>
          <w:szCs w:val="20"/>
        </w:rPr>
      </w:pPr>
      <w:r w:rsidRPr="007F7783">
        <w:rPr>
          <w:rFonts w:asciiTheme="minorHAnsi" w:hAnsiTheme="minorHAnsi" w:cs="Poppins-Light"/>
          <w:color w:val="000000" w:themeColor="text1"/>
          <w:sz w:val="20"/>
          <w:szCs w:val="20"/>
        </w:rPr>
        <w:t xml:space="preserve">female non-pensioners: </w:t>
      </w:r>
      <w:r w:rsidR="00536067" w:rsidRPr="007F7783">
        <w:rPr>
          <w:rFonts w:asciiTheme="minorHAnsi" w:hAnsiTheme="minorHAnsi" w:cs="Poppins-Light"/>
          <w:color w:val="000000" w:themeColor="text1"/>
          <w:sz w:val="20"/>
          <w:szCs w:val="20"/>
        </w:rPr>
        <w:t>1</w:t>
      </w:r>
      <w:r w:rsidR="00D82E4A" w:rsidRPr="007F7783">
        <w:rPr>
          <w:rFonts w:asciiTheme="minorHAnsi" w:hAnsiTheme="minorHAnsi" w:cs="Poppins-Light"/>
          <w:color w:val="000000" w:themeColor="text1"/>
          <w:sz w:val="20"/>
          <w:szCs w:val="20"/>
        </w:rPr>
        <w:t>10</w:t>
      </w:r>
      <w:r w:rsidRPr="007F7783">
        <w:rPr>
          <w:rFonts w:asciiTheme="minorHAnsi" w:hAnsiTheme="minorHAnsi" w:cs="Poppins-Light"/>
          <w:color w:val="000000" w:themeColor="text1"/>
          <w:sz w:val="20"/>
          <w:szCs w:val="20"/>
        </w:rPr>
        <w:t xml:space="preserve">% of the </w:t>
      </w:r>
      <w:r w:rsidRPr="00327A1E">
        <w:rPr>
          <w:rFonts w:asciiTheme="minorHAnsi" w:hAnsiTheme="minorHAnsi" w:cs="Poppins-Light"/>
          <w:color w:val="000000" w:themeColor="text1"/>
          <w:sz w:val="20"/>
          <w:szCs w:val="20"/>
        </w:rPr>
        <w:t>‘</w:t>
      </w:r>
      <w:r w:rsidR="00B82174">
        <w:rPr>
          <w:rFonts w:asciiTheme="minorHAnsi" w:hAnsiTheme="minorHAnsi" w:cs="Poppins-Light"/>
          <w:color w:val="000000" w:themeColor="text1"/>
          <w:sz w:val="20"/>
          <w:szCs w:val="20"/>
        </w:rPr>
        <w:t>All</w:t>
      </w:r>
      <w:r w:rsidRPr="00327A1E">
        <w:rPr>
          <w:rFonts w:asciiTheme="minorHAnsi" w:hAnsiTheme="minorHAnsi" w:cs="Poppins-Light"/>
          <w:color w:val="000000" w:themeColor="text1"/>
          <w:sz w:val="20"/>
          <w:szCs w:val="20"/>
        </w:rPr>
        <w:t>’ table (</w:t>
      </w:r>
      <w:r w:rsidR="008536D4" w:rsidRPr="00327A1E">
        <w:rPr>
          <w:rFonts w:asciiTheme="minorHAnsi" w:hAnsiTheme="minorHAnsi" w:cs="Poppins-Light"/>
          <w:color w:val="000000" w:themeColor="text1"/>
          <w:sz w:val="20"/>
          <w:szCs w:val="20"/>
        </w:rPr>
        <w:t>FY24 and 1H24</w:t>
      </w:r>
      <w:r w:rsidRPr="00327A1E">
        <w:rPr>
          <w:rFonts w:asciiTheme="minorHAnsi" w:hAnsiTheme="minorHAnsi" w:cs="Poppins-Light"/>
          <w:color w:val="000000" w:themeColor="text1"/>
          <w:sz w:val="20"/>
          <w:szCs w:val="20"/>
        </w:rPr>
        <w:t>: 105% of the ‘Middle’ table);</w:t>
      </w:r>
    </w:p>
    <w:p w14:paraId="28773347" w14:textId="505F152E" w:rsidR="00A1425C" w:rsidRPr="00327A1E" w:rsidRDefault="00A1425C" w:rsidP="003B25B9">
      <w:pPr>
        <w:pStyle w:val="ListParagraph"/>
        <w:numPr>
          <w:ilvl w:val="0"/>
          <w:numId w:val="4"/>
        </w:numPr>
        <w:autoSpaceDE w:val="0"/>
        <w:autoSpaceDN w:val="0"/>
        <w:adjustRightInd w:val="0"/>
        <w:jc w:val="both"/>
        <w:rPr>
          <w:rFonts w:asciiTheme="minorHAnsi" w:hAnsiTheme="minorHAnsi" w:cs="Poppins-Light"/>
          <w:color w:val="000000" w:themeColor="text1"/>
          <w:sz w:val="20"/>
          <w:szCs w:val="20"/>
        </w:rPr>
      </w:pPr>
      <w:r w:rsidRPr="007F7783">
        <w:rPr>
          <w:rFonts w:asciiTheme="minorHAnsi" w:hAnsiTheme="minorHAnsi" w:cs="Poppins-Light"/>
          <w:color w:val="000000" w:themeColor="text1"/>
          <w:sz w:val="20"/>
          <w:szCs w:val="20"/>
        </w:rPr>
        <w:t xml:space="preserve">male non-pensioners: </w:t>
      </w:r>
      <w:r w:rsidR="00900D65" w:rsidRPr="007F7783">
        <w:rPr>
          <w:rFonts w:asciiTheme="minorHAnsi" w:hAnsiTheme="minorHAnsi" w:cs="Poppins-Light"/>
          <w:color w:val="000000" w:themeColor="text1"/>
          <w:sz w:val="20"/>
          <w:szCs w:val="20"/>
        </w:rPr>
        <w:t>1</w:t>
      </w:r>
      <w:r w:rsidR="007A1505" w:rsidRPr="007F7783">
        <w:rPr>
          <w:rFonts w:asciiTheme="minorHAnsi" w:hAnsiTheme="minorHAnsi" w:cs="Poppins-Light"/>
          <w:color w:val="000000" w:themeColor="text1"/>
          <w:sz w:val="20"/>
          <w:szCs w:val="20"/>
        </w:rPr>
        <w:t>13</w:t>
      </w:r>
      <w:r w:rsidRPr="007F7783">
        <w:rPr>
          <w:rFonts w:asciiTheme="minorHAnsi" w:hAnsiTheme="minorHAnsi" w:cs="Poppins-Light"/>
          <w:color w:val="000000" w:themeColor="text1"/>
          <w:sz w:val="20"/>
          <w:szCs w:val="20"/>
        </w:rPr>
        <w:t xml:space="preserve">% of the </w:t>
      </w:r>
      <w:r w:rsidRPr="00327A1E">
        <w:rPr>
          <w:rFonts w:asciiTheme="minorHAnsi" w:hAnsiTheme="minorHAnsi" w:cs="Poppins-Light"/>
          <w:color w:val="000000" w:themeColor="text1"/>
          <w:sz w:val="20"/>
          <w:szCs w:val="20"/>
        </w:rPr>
        <w:t>‘</w:t>
      </w:r>
      <w:r w:rsidR="00B82174">
        <w:rPr>
          <w:rFonts w:asciiTheme="minorHAnsi" w:hAnsiTheme="minorHAnsi" w:cs="Poppins-Light"/>
          <w:color w:val="000000" w:themeColor="text1"/>
          <w:sz w:val="20"/>
          <w:szCs w:val="20"/>
        </w:rPr>
        <w:t>All</w:t>
      </w:r>
      <w:r w:rsidRPr="00327A1E">
        <w:rPr>
          <w:rFonts w:asciiTheme="minorHAnsi" w:hAnsiTheme="minorHAnsi" w:cs="Poppins-Light"/>
          <w:color w:val="000000" w:themeColor="text1"/>
          <w:sz w:val="20"/>
          <w:szCs w:val="20"/>
        </w:rPr>
        <w:t xml:space="preserve">’ table </w:t>
      </w:r>
      <w:r w:rsidR="00700B97" w:rsidRPr="00327A1E">
        <w:rPr>
          <w:rFonts w:asciiTheme="minorHAnsi" w:hAnsiTheme="minorHAnsi" w:cs="Poppins-Light"/>
          <w:color w:val="000000" w:themeColor="text1"/>
          <w:sz w:val="20"/>
          <w:szCs w:val="20"/>
        </w:rPr>
        <w:t>(FY24 and 1H24: 105% of the ‘Middle’ table);</w:t>
      </w:r>
    </w:p>
    <w:p w14:paraId="7FF6FE2F" w14:textId="69F6AE98" w:rsidR="00A1425C" w:rsidRPr="00327A1E" w:rsidRDefault="00A1425C" w:rsidP="003B25B9">
      <w:pPr>
        <w:pStyle w:val="ListParagraph"/>
        <w:numPr>
          <w:ilvl w:val="0"/>
          <w:numId w:val="4"/>
        </w:numPr>
        <w:autoSpaceDE w:val="0"/>
        <w:autoSpaceDN w:val="0"/>
        <w:adjustRightInd w:val="0"/>
        <w:jc w:val="both"/>
        <w:rPr>
          <w:rFonts w:asciiTheme="minorHAnsi" w:hAnsiTheme="minorHAnsi" w:cs="Poppins-Light"/>
          <w:sz w:val="20"/>
          <w:szCs w:val="20"/>
        </w:rPr>
      </w:pPr>
      <w:r w:rsidRPr="00424D08">
        <w:rPr>
          <w:rFonts w:asciiTheme="minorHAnsi" w:hAnsiTheme="minorHAnsi" w:cs="Poppins-Light"/>
          <w:sz w:val="20"/>
          <w:szCs w:val="20"/>
        </w:rPr>
        <w:lastRenderedPageBreak/>
        <w:t xml:space="preserve">female pensioners: </w:t>
      </w:r>
      <w:r w:rsidR="00037F41" w:rsidRPr="00424D08">
        <w:rPr>
          <w:rFonts w:asciiTheme="minorHAnsi" w:hAnsiTheme="minorHAnsi" w:cs="Poppins-Light"/>
          <w:sz w:val="20"/>
          <w:szCs w:val="20"/>
        </w:rPr>
        <w:t>1</w:t>
      </w:r>
      <w:r w:rsidR="007A1505" w:rsidRPr="00424D08">
        <w:rPr>
          <w:rFonts w:asciiTheme="minorHAnsi" w:hAnsiTheme="minorHAnsi" w:cs="Poppins-Light"/>
          <w:sz w:val="20"/>
          <w:szCs w:val="20"/>
        </w:rPr>
        <w:t>10</w:t>
      </w:r>
      <w:r w:rsidRPr="00424D08">
        <w:rPr>
          <w:rFonts w:asciiTheme="minorHAnsi" w:hAnsiTheme="minorHAnsi" w:cs="Poppins-Light"/>
          <w:sz w:val="20"/>
          <w:szCs w:val="20"/>
        </w:rPr>
        <w:t>% of the</w:t>
      </w:r>
      <w:r w:rsidRPr="00327A1E">
        <w:rPr>
          <w:rFonts w:asciiTheme="minorHAnsi" w:hAnsiTheme="minorHAnsi" w:cs="Poppins-Light"/>
          <w:sz w:val="20"/>
          <w:szCs w:val="20"/>
        </w:rPr>
        <w:t xml:space="preserve"> ‘</w:t>
      </w:r>
      <w:r w:rsidR="00B82174">
        <w:rPr>
          <w:rFonts w:asciiTheme="minorHAnsi" w:hAnsiTheme="minorHAnsi" w:cs="Poppins-Light"/>
          <w:sz w:val="20"/>
          <w:szCs w:val="20"/>
        </w:rPr>
        <w:t>All</w:t>
      </w:r>
      <w:r w:rsidRPr="00327A1E">
        <w:rPr>
          <w:rFonts w:asciiTheme="minorHAnsi" w:hAnsiTheme="minorHAnsi" w:cs="Poppins-Light"/>
          <w:sz w:val="20"/>
          <w:szCs w:val="20"/>
        </w:rPr>
        <w:t xml:space="preserve">’ table </w:t>
      </w:r>
      <w:r w:rsidRPr="00F53939">
        <w:rPr>
          <w:rFonts w:asciiTheme="minorHAnsi" w:hAnsiTheme="minorHAnsi" w:cs="Poppins-Light"/>
          <w:sz w:val="20"/>
          <w:szCs w:val="20"/>
        </w:rPr>
        <w:t>(</w:t>
      </w:r>
      <w:r w:rsidR="00916CC7" w:rsidRPr="00F53939">
        <w:rPr>
          <w:rFonts w:asciiTheme="minorHAnsi" w:hAnsiTheme="minorHAnsi" w:cs="Poppins-Light"/>
          <w:sz w:val="20"/>
          <w:szCs w:val="20"/>
        </w:rPr>
        <w:t xml:space="preserve">FY24 and 1H24: </w:t>
      </w:r>
      <w:r w:rsidRPr="00F53939">
        <w:rPr>
          <w:rFonts w:asciiTheme="minorHAnsi" w:hAnsiTheme="minorHAnsi" w:cs="Poppins-Light"/>
          <w:sz w:val="20"/>
          <w:szCs w:val="20"/>
        </w:rPr>
        <w:t>102% of the ‘Middle’ table); and</w:t>
      </w:r>
    </w:p>
    <w:p w14:paraId="418257A5" w14:textId="721ED1A1" w:rsidR="00A1425C" w:rsidRPr="005F39F9" w:rsidRDefault="00A1425C" w:rsidP="003B25B9">
      <w:pPr>
        <w:pStyle w:val="ListParagraph"/>
        <w:numPr>
          <w:ilvl w:val="0"/>
          <w:numId w:val="4"/>
        </w:numPr>
        <w:autoSpaceDE w:val="0"/>
        <w:autoSpaceDN w:val="0"/>
        <w:adjustRightInd w:val="0"/>
        <w:jc w:val="both"/>
        <w:rPr>
          <w:rFonts w:asciiTheme="minorHAnsi" w:hAnsiTheme="minorHAnsi" w:cs="Poppins-Light"/>
          <w:color w:val="FF0000"/>
          <w:sz w:val="20"/>
          <w:szCs w:val="20"/>
        </w:rPr>
      </w:pPr>
      <w:r w:rsidRPr="00424D08">
        <w:rPr>
          <w:rFonts w:asciiTheme="minorHAnsi" w:hAnsiTheme="minorHAnsi" w:cs="Poppins-Light"/>
          <w:sz w:val="20"/>
          <w:szCs w:val="20"/>
        </w:rPr>
        <w:t>male pensioners</w:t>
      </w:r>
      <w:r w:rsidRPr="007F7783">
        <w:rPr>
          <w:rFonts w:asciiTheme="minorHAnsi" w:hAnsiTheme="minorHAnsi" w:cs="Poppins-Light"/>
          <w:color w:val="000000" w:themeColor="text1"/>
          <w:sz w:val="20"/>
          <w:szCs w:val="20"/>
        </w:rPr>
        <w:t xml:space="preserve">: </w:t>
      </w:r>
      <w:r w:rsidR="00D20515" w:rsidRPr="007F7783">
        <w:rPr>
          <w:rFonts w:asciiTheme="minorHAnsi" w:hAnsiTheme="minorHAnsi" w:cs="Poppins-Light"/>
          <w:color w:val="000000" w:themeColor="text1"/>
          <w:sz w:val="20"/>
          <w:szCs w:val="20"/>
        </w:rPr>
        <w:t>99</w:t>
      </w:r>
      <w:r w:rsidRPr="007F7783">
        <w:rPr>
          <w:rFonts w:asciiTheme="minorHAnsi" w:hAnsiTheme="minorHAnsi" w:cs="Poppins-Light"/>
          <w:color w:val="000000" w:themeColor="text1"/>
          <w:sz w:val="20"/>
          <w:szCs w:val="20"/>
        </w:rPr>
        <w:t xml:space="preserve">% of the </w:t>
      </w:r>
      <w:r w:rsidRPr="00327A1E">
        <w:rPr>
          <w:rFonts w:asciiTheme="minorHAnsi" w:hAnsiTheme="minorHAnsi" w:cs="Poppins-Light"/>
          <w:color w:val="000000" w:themeColor="text1"/>
          <w:sz w:val="20"/>
          <w:szCs w:val="20"/>
        </w:rPr>
        <w:t>‘All’ table (</w:t>
      </w:r>
      <w:r w:rsidR="00386DAB" w:rsidRPr="00327A1E">
        <w:rPr>
          <w:rFonts w:asciiTheme="minorHAnsi" w:hAnsiTheme="minorHAnsi" w:cs="Poppins-Light"/>
          <w:color w:val="000000" w:themeColor="text1"/>
          <w:sz w:val="20"/>
          <w:szCs w:val="20"/>
        </w:rPr>
        <w:t>F</w:t>
      </w:r>
      <w:r w:rsidR="00386DAB" w:rsidRPr="00386DAB">
        <w:rPr>
          <w:rFonts w:asciiTheme="minorHAnsi" w:hAnsiTheme="minorHAnsi" w:cs="Poppins-Light"/>
          <w:sz w:val="20"/>
          <w:szCs w:val="20"/>
        </w:rPr>
        <w:t>Y24 and 1H24:</w:t>
      </w:r>
      <w:r w:rsidRPr="00386DAB">
        <w:rPr>
          <w:rFonts w:asciiTheme="minorHAnsi" w:hAnsiTheme="minorHAnsi" w:cs="Poppins-Light"/>
          <w:sz w:val="20"/>
          <w:szCs w:val="20"/>
        </w:rPr>
        <w:t xml:space="preserve"> 99% of the ‘All’ table).</w:t>
      </w:r>
    </w:p>
    <w:p w14:paraId="40693779" w14:textId="77777777" w:rsidR="00A1425C" w:rsidRPr="00B97C61" w:rsidRDefault="00A1425C" w:rsidP="00A1425C">
      <w:pPr>
        <w:autoSpaceDE w:val="0"/>
        <w:autoSpaceDN w:val="0"/>
        <w:adjustRightInd w:val="0"/>
        <w:jc w:val="both"/>
        <w:rPr>
          <w:rFonts w:asciiTheme="minorHAnsi" w:hAnsiTheme="minorHAnsi" w:cs="Poppins-Light"/>
          <w:sz w:val="20"/>
          <w:szCs w:val="20"/>
        </w:rPr>
      </w:pPr>
    </w:p>
    <w:p w14:paraId="1F81F154" w14:textId="1DB07DF9" w:rsidR="00A1425C" w:rsidRPr="00B97C61" w:rsidRDefault="00A1425C" w:rsidP="00A1425C">
      <w:p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 xml:space="preserve">The above multipliers and table types were chosen following a study of the scheme’s membership. Where the multiplier is greater than 100%, this reflects a shorter life expectancy within the scheme compared to average pension schemes, with the opposite being true where the multiplier is less than 100%. </w:t>
      </w:r>
    </w:p>
    <w:p w14:paraId="5713EB39" w14:textId="77777777" w:rsidR="00A1425C" w:rsidRPr="00B97C61" w:rsidRDefault="00A1425C" w:rsidP="00A1425C">
      <w:pPr>
        <w:autoSpaceDE w:val="0"/>
        <w:autoSpaceDN w:val="0"/>
        <w:adjustRightInd w:val="0"/>
        <w:jc w:val="both"/>
        <w:rPr>
          <w:rFonts w:asciiTheme="minorHAnsi" w:hAnsiTheme="minorHAnsi" w:cs="Poppins-Light"/>
          <w:sz w:val="20"/>
          <w:szCs w:val="20"/>
        </w:rPr>
      </w:pPr>
    </w:p>
    <w:p w14:paraId="3233BD07" w14:textId="7890D112" w:rsidR="00A1425C" w:rsidRDefault="00A1425C" w:rsidP="00A1425C">
      <w:pPr>
        <w:autoSpaceDE w:val="0"/>
        <w:autoSpaceDN w:val="0"/>
        <w:adjustRightInd w:val="0"/>
        <w:jc w:val="both"/>
        <w:rPr>
          <w:rFonts w:asciiTheme="minorHAnsi" w:hAnsiTheme="minorHAnsi" w:cs="Poppins-Light"/>
          <w:sz w:val="20"/>
          <w:szCs w:val="20"/>
        </w:rPr>
      </w:pPr>
      <w:r w:rsidRPr="00B97C61">
        <w:rPr>
          <w:rFonts w:asciiTheme="minorHAnsi" w:hAnsiTheme="minorHAnsi" w:cs="Poppins-Light"/>
          <w:sz w:val="20"/>
          <w:szCs w:val="20"/>
        </w:rPr>
        <w:t>Future improvements in mortality are based on the Continuous Mortality Investigation (CMI) 202</w:t>
      </w:r>
      <w:r w:rsidR="00C71032">
        <w:rPr>
          <w:rFonts w:asciiTheme="minorHAnsi" w:hAnsiTheme="minorHAnsi" w:cs="Poppins-Light"/>
          <w:sz w:val="20"/>
          <w:szCs w:val="20"/>
        </w:rPr>
        <w:t>3</w:t>
      </w:r>
      <w:r w:rsidRPr="00B97C61">
        <w:rPr>
          <w:rFonts w:asciiTheme="minorHAnsi" w:hAnsiTheme="minorHAnsi" w:cs="Poppins-Light"/>
          <w:sz w:val="20"/>
          <w:szCs w:val="20"/>
        </w:rPr>
        <w:t xml:space="preserve"> model with a long</w:t>
      </w:r>
      <w:r w:rsidR="00A150F9" w:rsidRPr="00A150F9">
        <w:rPr>
          <w:rFonts w:ascii="Cambria Math" w:hAnsi="Cambria Math" w:cs="Cambria Math"/>
          <w:sz w:val="20"/>
          <w:szCs w:val="20"/>
        </w:rPr>
        <w:t>‑</w:t>
      </w:r>
      <w:r w:rsidRPr="00B97C61">
        <w:rPr>
          <w:rFonts w:asciiTheme="minorHAnsi" w:hAnsiTheme="minorHAnsi" w:cs="Poppins-Light"/>
          <w:sz w:val="20"/>
          <w:szCs w:val="20"/>
        </w:rPr>
        <w:t xml:space="preserve">term trend of </w:t>
      </w:r>
      <w:r w:rsidRPr="002043BC">
        <w:rPr>
          <w:rFonts w:asciiTheme="minorHAnsi" w:hAnsiTheme="minorHAnsi" w:cs="Poppins-Light"/>
          <w:sz w:val="20"/>
          <w:szCs w:val="20"/>
        </w:rPr>
        <w:t xml:space="preserve">1.00% </w:t>
      </w:r>
      <w:r w:rsidR="00A150F9" w:rsidRPr="00A150F9">
        <w:rPr>
          <w:rFonts w:asciiTheme="minorHAnsi" w:hAnsiTheme="minorHAnsi" w:cs="Poppins-Light"/>
          <w:sz w:val="20"/>
          <w:szCs w:val="20"/>
        </w:rPr>
        <w:t>pa, the core parameters for the initial addition</w:t>
      </w:r>
      <w:r w:rsidRPr="002043BC">
        <w:rPr>
          <w:rFonts w:asciiTheme="minorHAnsi" w:hAnsiTheme="minorHAnsi" w:cs="Poppins-Light"/>
          <w:sz w:val="20"/>
          <w:szCs w:val="20"/>
        </w:rPr>
        <w:t xml:space="preserve"> and </w:t>
      </w:r>
      <w:r w:rsidR="00A150F9" w:rsidRPr="00A150F9">
        <w:rPr>
          <w:rFonts w:asciiTheme="minorHAnsi" w:hAnsiTheme="minorHAnsi" w:cs="Poppins-Light"/>
          <w:sz w:val="20"/>
          <w:szCs w:val="20"/>
        </w:rPr>
        <w:t xml:space="preserve">smoothing parameter but with </w:t>
      </w:r>
      <w:r w:rsidRPr="002043BC">
        <w:rPr>
          <w:rFonts w:asciiTheme="minorHAnsi" w:hAnsiTheme="minorHAnsi" w:cs="Poppins-Light"/>
          <w:sz w:val="20"/>
          <w:szCs w:val="20"/>
        </w:rPr>
        <w:t xml:space="preserve">a </w:t>
      </w:r>
      <w:r w:rsidR="00A150F9" w:rsidRPr="00A150F9">
        <w:rPr>
          <w:rFonts w:asciiTheme="minorHAnsi" w:hAnsiTheme="minorHAnsi" w:cs="Poppins-Light"/>
          <w:sz w:val="20"/>
          <w:szCs w:val="20"/>
        </w:rPr>
        <w:t>weighting</w:t>
      </w:r>
      <w:r w:rsidRPr="002043BC">
        <w:rPr>
          <w:rFonts w:asciiTheme="minorHAnsi" w:hAnsiTheme="minorHAnsi" w:cs="Poppins-Light"/>
          <w:sz w:val="20"/>
          <w:szCs w:val="20"/>
        </w:rPr>
        <w:t xml:space="preserve"> of 0</w:t>
      </w:r>
      <w:r w:rsidR="00A150F9" w:rsidRPr="00A150F9">
        <w:rPr>
          <w:rFonts w:asciiTheme="minorHAnsi" w:hAnsiTheme="minorHAnsi" w:cs="Poppins-Light"/>
          <w:sz w:val="20"/>
          <w:szCs w:val="20"/>
        </w:rPr>
        <w:t>%, 0%,</w:t>
      </w:r>
      <w:r w:rsidR="00A150F9">
        <w:rPr>
          <w:rFonts w:asciiTheme="minorHAnsi" w:hAnsiTheme="minorHAnsi" w:cs="Poppins-Light"/>
          <w:sz w:val="20"/>
          <w:szCs w:val="20"/>
        </w:rPr>
        <w:t xml:space="preserve"> </w:t>
      </w:r>
      <w:r w:rsidR="00A150F9" w:rsidRPr="00A150F9">
        <w:rPr>
          <w:rFonts w:asciiTheme="minorHAnsi" w:hAnsiTheme="minorHAnsi" w:cs="Poppins-Light"/>
          <w:sz w:val="20"/>
          <w:szCs w:val="20"/>
        </w:rPr>
        <w:t>25% and 25% on</w:t>
      </w:r>
      <w:r w:rsidRPr="002043BC">
        <w:rPr>
          <w:rFonts w:asciiTheme="minorHAnsi" w:hAnsiTheme="minorHAnsi" w:cs="Poppins-Light"/>
          <w:sz w:val="20"/>
          <w:szCs w:val="20"/>
        </w:rPr>
        <w:t xml:space="preserve"> 2020</w:t>
      </w:r>
      <w:r w:rsidR="00A150F9" w:rsidRPr="00A150F9">
        <w:rPr>
          <w:rFonts w:asciiTheme="minorHAnsi" w:hAnsiTheme="minorHAnsi" w:cs="Poppins-Light"/>
          <w:sz w:val="20"/>
          <w:szCs w:val="20"/>
        </w:rPr>
        <w:t xml:space="preserve">, </w:t>
      </w:r>
      <w:r w:rsidRPr="002043BC">
        <w:rPr>
          <w:rFonts w:asciiTheme="minorHAnsi" w:hAnsiTheme="minorHAnsi" w:cs="Poppins-Light"/>
          <w:sz w:val="20"/>
          <w:szCs w:val="20"/>
        </w:rPr>
        <w:t>2021</w:t>
      </w:r>
      <w:r w:rsidR="00A150F9" w:rsidRPr="00A150F9">
        <w:rPr>
          <w:rFonts w:asciiTheme="minorHAnsi" w:hAnsiTheme="minorHAnsi" w:cs="Poppins-Light"/>
          <w:sz w:val="20"/>
          <w:szCs w:val="20"/>
        </w:rPr>
        <w:t>, 2022</w:t>
      </w:r>
      <w:r w:rsidRPr="002043BC">
        <w:rPr>
          <w:rFonts w:asciiTheme="minorHAnsi" w:hAnsiTheme="minorHAnsi" w:cs="Poppins-Light"/>
          <w:sz w:val="20"/>
          <w:szCs w:val="20"/>
        </w:rPr>
        <w:t xml:space="preserve"> and </w:t>
      </w:r>
      <w:r w:rsidR="00A150F9" w:rsidRPr="00A150F9">
        <w:rPr>
          <w:rFonts w:asciiTheme="minorHAnsi" w:hAnsiTheme="minorHAnsi" w:cs="Poppins-Light"/>
          <w:sz w:val="20"/>
          <w:szCs w:val="20"/>
        </w:rPr>
        <w:t>2023 experiences respectively.</w:t>
      </w:r>
      <w:r w:rsidRPr="002043BC">
        <w:rPr>
          <w:rFonts w:asciiTheme="minorHAnsi" w:hAnsiTheme="minorHAnsi" w:cs="Poppins-Light"/>
          <w:sz w:val="20"/>
          <w:szCs w:val="20"/>
        </w:rPr>
        <w:t xml:space="preserve"> All other available parameters for the mortality improvements</w:t>
      </w:r>
      <w:r w:rsidRPr="00B97C61">
        <w:rPr>
          <w:rFonts w:asciiTheme="minorHAnsi" w:hAnsiTheme="minorHAnsi" w:cs="Poppins-Light"/>
          <w:sz w:val="20"/>
          <w:szCs w:val="20"/>
        </w:rPr>
        <w:t xml:space="preserve"> model were adopted at the default (core) level. Under these mortality assumptions, the life expectancies of members are as follows:</w:t>
      </w:r>
    </w:p>
    <w:p w14:paraId="06798F73" w14:textId="77777777" w:rsidR="00DA47A8" w:rsidRDefault="00DA47A8" w:rsidP="00A56859">
      <w:pPr>
        <w:jc w:val="both"/>
        <w:rPr>
          <w:rFonts w:asciiTheme="minorHAnsi" w:hAnsiTheme="minorHAnsi" w:cs="Arial"/>
          <w:b/>
          <w:color w:val="4747FF"/>
          <w:sz w:val="22"/>
          <w:szCs w:val="22"/>
        </w:rPr>
      </w:pPr>
    </w:p>
    <w:p w14:paraId="0B932C73" w14:textId="51F33DC1" w:rsidR="00170439" w:rsidRPr="00B5640B" w:rsidRDefault="00D6141B" w:rsidP="00B5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2725AC">
        <w:rPr>
          <w:rFonts w:asciiTheme="minorHAnsi" w:hAnsiTheme="minorHAnsi" w:cs="Arial"/>
          <w:sz w:val="20"/>
          <w:szCs w:val="20"/>
        </w:rPr>
        <w:t xml:space="preserve">If the discount rate decreased by 0.5% </w:t>
      </w:r>
      <w:r w:rsidRPr="007F7783">
        <w:rPr>
          <w:rFonts w:asciiTheme="minorHAnsi" w:hAnsiTheme="minorHAnsi" w:cs="Arial"/>
          <w:sz w:val="20"/>
          <w:szCs w:val="20"/>
        </w:rPr>
        <w:t>(</w:t>
      </w:r>
      <w:r w:rsidR="00BE217F" w:rsidRPr="007F7783">
        <w:rPr>
          <w:rFonts w:asciiTheme="minorHAnsi" w:hAnsiTheme="minorHAnsi" w:cs="Arial"/>
          <w:sz w:val="20"/>
          <w:szCs w:val="20"/>
        </w:rPr>
        <w:t>FY24</w:t>
      </w:r>
      <w:r w:rsidRPr="007F7783">
        <w:rPr>
          <w:rFonts w:asciiTheme="minorHAnsi" w:hAnsiTheme="minorHAnsi" w:cs="Arial"/>
          <w:sz w:val="20"/>
          <w:szCs w:val="20"/>
        </w:rPr>
        <w:t xml:space="preserve">: 0.5%, </w:t>
      </w:r>
      <w:r w:rsidR="00BE217F" w:rsidRPr="007F7783">
        <w:rPr>
          <w:rFonts w:asciiTheme="minorHAnsi" w:hAnsiTheme="minorHAnsi" w:cs="Arial"/>
          <w:sz w:val="20"/>
          <w:szCs w:val="20"/>
        </w:rPr>
        <w:t>1H24</w:t>
      </w:r>
      <w:r w:rsidRPr="007F7783">
        <w:rPr>
          <w:rFonts w:asciiTheme="minorHAnsi" w:hAnsiTheme="minorHAnsi" w:cs="Arial"/>
          <w:sz w:val="20"/>
          <w:szCs w:val="20"/>
        </w:rPr>
        <w:t xml:space="preserve">: </w:t>
      </w:r>
      <w:r w:rsidR="004C60F9" w:rsidRPr="007F7783">
        <w:rPr>
          <w:rFonts w:asciiTheme="minorHAnsi" w:hAnsiTheme="minorHAnsi" w:cs="Arial"/>
          <w:sz w:val="20"/>
          <w:szCs w:val="20"/>
        </w:rPr>
        <w:t>0.5</w:t>
      </w:r>
      <w:r w:rsidRPr="007F7783">
        <w:rPr>
          <w:rFonts w:asciiTheme="minorHAnsi" w:hAnsiTheme="minorHAnsi" w:cs="Arial"/>
          <w:sz w:val="20"/>
          <w:szCs w:val="20"/>
        </w:rPr>
        <w:t xml:space="preserve">%), </w:t>
      </w:r>
      <w:r w:rsidRPr="006D4208">
        <w:rPr>
          <w:rFonts w:asciiTheme="minorHAnsi" w:hAnsiTheme="minorHAnsi" w:cs="Arial"/>
          <w:sz w:val="20"/>
          <w:szCs w:val="20"/>
        </w:rPr>
        <w:t>the defined benefit obligation (not including any impact on assets</w:t>
      </w:r>
      <w:r w:rsidRPr="002725AC">
        <w:rPr>
          <w:rFonts w:asciiTheme="minorHAnsi" w:hAnsiTheme="minorHAnsi" w:cs="Arial"/>
          <w:sz w:val="20"/>
          <w:szCs w:val="20"/>
        </w:rPr>
        <w:t xml:space="preserve">) would have been increased by approximately </w:t>
      </w:r>
      <w:r w:rsidRPr="007F7783">
        <w:rPr>
          <w:rFonts w:asciiTheme="minorHAnsi" w:hAnsiTheme="minorHAnsi" w:cs="Arial"/>
          <w:sz w:val="20"/>
          <w:szCs w:val="20"/>
        </w:rPr>
        <w:t>£</w:t>
      </w:r>
      <w:r w:rsidR="00254F3B" w:rsidRPr="007F7783">
        <w:rPr>
          <w:rFonts w:asciiTheme="minorHAnsi" w:hAnsiTheme="minorHAnsi" w:cs="Arial"/>
          <w:sz w:val="20"/>
          <w:szCs w:val="20"/>
        </w:rPr>
        <w:t>24</w:t>
      </w:r>
      <w:r w:rsidRPr="007F7783">
        <w:rPr>
          <w:rFonts w:asciiTheme="minorHAnsi" w:hAnsiTheme="minorHAnsi" w:cs="Arial"/>
          <w:sz w:val="20"/>
          <w:szCs w:val="20"/>
        </w:rPr>
        <w:t xml:space="preserve">m </w:t>
      </w:r>
      <w:r w:rsidRPr="00F41E77">
        <w:rPr>
          <w:rFonts w:asciiTheme="minorHAnsi" w:hAnsiTheme="minorHAnsi" w:cs="Arial"/>
          <w:sz w:val="20"/>
          <w:szCs w:val="20"/>
        </w:rPr>
        <w:t>(</w:t>
      </w:r>
      <w:r w:rsidR="00BE217F">
        <w:rPr>
          <w:rFonts w:asciiTheme="minorHAnsi" w:hAnsiTheme="minorHAnsi" w:cs="Arial"/>
          <w:sz w:val="20"/>
          <w:szCs w:val="20"/>
        </w:rPr>
        <w:t>FY24</w:t>
      </w:r>
      <w:r w:rsidRPr="00F41E77">
        <w:rPr>
          <w:rFonts w:asciiTheme="minorHAnsi" w:hAnsiTheme="minorHAnsi" w:cs="Arial"/>
          <w:sz w:val="20"/>
          <w:szCs w:val="20"/>
        </w:rPr>
        <w:t>: £</w:t>
      </w:r>
      <w:r w:rsidR="00F41E77" w:rsidRPr="00F41E77">
        <w:rPr>
          <w:rFonts w:asciiTheme="minorHAnsi" w:hAnsiTheme="minorHAnsi" w:cstheme="minorHAnsi"/>
          <w:sz w:val="20"/>
          <w:szCs w:val="20"/>
        </w:rPr>
        <w:t>24</w:t>
      </w:r>
      <w:r w:rsidRPr="00F41E77">
        <w:rPr>
          <w:rFonts w:asciiTheme="minorHAnsi" w:hAnsiTheme="minorHAnsi" w:cs="Arial"/>
          <w:sz w:val="20"/>
          <w:szCs w:val="20"/>
        </w:rPr>
        <w:t xml:space="preserve">m, </w:t>
      </w:r>
      <w:r w:rsidR="00BE217F">
        <w:rPr>
          <w:rFonts w:asciiTheme="minorHAnsi" w:hAnsiTheme="minorHAnsi" w:cs="Arial"/>
          <w:sz w:val="20"/>
          <w:szCs w:val="20"/>
        </w:rPr>
        <w:t>1H</w:t>
      </w:r>
      <w:r w:rsidRPr="00F41E77">
        <w:rPr>
          <w:rFonts w:asciiTheme="minorHAnsi" w:hAnsiTheme="minorHAnsi" w:cs="Arial"/>
          <w:sz w:val="20"/>
          <w:szCs w:val="20"/>
        </w:rPr>
        <w:t>2</w:t>
      </w:r>
      <w:r w:rsidR="00F41E77" w:rsidRPr="00F41E77">
        <w:rPr>
          <w:rFonts w:asciiTheme="minorHAnsi" w:hAnsiTheme="minorHAnsi" w:cs="Arial"/>
          <w:sz w:val="20"/>
          <w:szCs w:val="20"/>
        </w:rPr>
        <w:t>4</w:t>
      </w:r>
      <w:r w:rsidRPr="00F41E77">
        <w:rPr>
          <w:rFonts w:asciiTheme="minorHAnsi" w:hAnsiTheme="minorHAnsi" w:cs="Arial"/>
          <w:sz w:val="20"/>
          <w:szCs w:val="20"/>
        </w:rPr>
        <w:t>: £</w:t>
      </w:r>
      <w:r w:rsidR="00F41E77" w:rsidRPr="00F41E77">
        <w:rPr>
          <w:rFonts w:asciiTheme="minorHAnsi" w:hAnsiTheme="minorHAnsi" w:cs="Arial"/>
          <w:sz w:val="20"/>
          <w:szCs w:val="20"/>
        </w:rPr>
        <w:t>27</w:t>
      </w:r>
      <w:r w:rsidRPr="00F41E77">
        <w:rPr>
          <w:rFonts w:asciiTheme="minorHAnsi" w:hAnsiTheme="minorHAnsi" w:cs="Arial"/>
          <w:sz w:val="20"/>
          <w:szCs w:val="20"/>
        </w:rPr>
        <w:t>m).</w:t>
      </w:r>
    </w:p>
    <w:p w14:paraId="79DC180A" w14:textId="77777777" w:rsidR="00170439" w:rsidRPr="00306AF1" w:rsidRDefault="00170439" w:rsidP="00D6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2936F56B" w14:textId="77777777"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tbl>
      <w:tblPr>
        <w:tblW w:w="10033" w:type="dxa"/>
        <w:tblInd w:w="8" w:type="dxa"/>
        <w:tblLayout w:type="fixed"/>
        <w:tblLook w:val="0000" w:firstRow="0" w:lastRow="0" w:firstColumn="0" w:lastColumn="0" w:noHBand="0" w:noVBand="0"/>
      </w:tblPr>
      <w:tblGrid>
        <w:gridCol w:w="2969"/>
        <w:gridCol w:w="1134"/>
        <w:gridCol w:w="1276"/>
        <w:gridCol w:w="1134"/>
        <w:gridCol w:w="1134"/>
        <w:gridCol w:w="1276"/>
        <w:gridCol w:w="1110"/>
      </w:tblGrid>
      <w:tr w:rsidR="006A4387" w:rsidRPr="00A61A03" w14:paraId="23FDFA53" w14:textId="77777777" w:rsidTr="00C63EFD">
        <w:trPr>
          <w:trHeight w:val="249"/>
        </w:trPr>
        <w:tc>
          <w:tcPr>
            <w:tcW w:w="2969" w:type="dxa"/>
            <w:tcBorders>
              <w:top w:val="nil"/>
              <w:left w:val="nil"/>
              <w:bottom w:val="nil"/>
              <w:right w:val="nil"/>
            </w:tcBorders>
            <w:vAlign w:val="bottom"/>
          </w:tcPr>
          <w:p w14:paraId="40364CB6" w14:textId="77777777" w:rsidR="006A4387" w:rsidRPr="00A61A03" w:rsidRDefault="006A4387">
            <w:pPr>
              <w:rPr>
                <w:rFonts w:ascii="Calibri" w:hAnsi="Calibri" w:cs="Arial"/>
                <w:sz w:val="20"/>
                <w:szCs w:val="20"/>
              </w:rPr>
            </w:pPr>
            <w:r w:rsidRPr="00A61A03">
              <w:rPr>
                <w:rFonts w:ascii="Calibri" w:hAnsi="Calibri"/>
                <w:bCs/>
                <w:sz w:val="20"/>
                <w:szCs w:val="20"/>
              </w:rPr>
              <w:br w:type="page"/>
            </w:r>
          </w:p>
        </w:tc>
        <w:tc>
          <w:tcPr>
            <w:tcW w:w="3544" w:type="dxa"/>
            <w:gridSpan w:val="3"/>
            <w:tcBorders>
              <w:top w:val="nil"/>
              <w:left w:val="nil"/>
              <w:bottom w:val="nil"/>
              <w:right w:val="nil"/>
            </w:tcBorders>
            <w:vAlign w:val="bottom"/>
          </w:tcPr>
          <w:p w14:paraId="7E29A806" w14:textId="77777777" w:rsidR="006A4387" w:rsidRPr="00A61A03" w:rsidRDefault="006A4387">
            <w:pPr>
              <w:jc w:val="center"/>
              <w:rPr>
                <w:rFonts w:ascii="Calibri" w:hAnsi="Calibri" w:cs="Arial"/>
                <w:sz w:val="20"/>
                <w:szCs w:val="20"/>
              </w:rPr>
            </w:pPr>
            <w:r w:rsidRPr="00A61A03">
              <w:rPr>
                <w:rFonts w:ascii="Calibri" w:hAnsi="Calibri" w:cs="Arial"/>
                <w:sz w:val="20"/>
                <w:szCs w:val="20"/>
              </w:rPr>
              <w:t>Male</w:t>
            </w:r>
          </w:p>
        </w:tc>
        <w:tc>
          <w:tcPr>
            <w:tcW w:w="3520" w:type="dxa"/>
            <w:gridSpan w:val="3"/>
            <w:tcBorders>
              <w:top w:val="nil"/>
              <w:left w:val="nil"/>
              <w:bottom w:val="nil"/>
              <w:right w:val="nil"/>
            </w:tcBorders>
            <w:vAlign w:val="bottom"/>
          </w:tcPr>
          <w:p w14:paraId="1F1FDA14" w14:textId="77777777" w:rsidR="006A4387" w:rsidRPr="00A61A03" w:rsidRDefault="006A4387">
            <w:pPr>
              <w:jc w:val="center"/>
              <w:rPr>
                <w:rFonts w:ascii="Calibri" w:hAnsi="Calibri" w:cs="Arial"/>
                <w:sz w:val="20"/>
                <w:szCs w:val="20"/>
              </w:rPr>
            </w:pPr>
            <w:r w:rsidRPr="00A61A03">
              <w:rPr>
                <w:rFonts w:ascii="Calibri" w:hAnsi="Calibri" w:cs="Arial"/>
                <w:sz w:val="20"/>
                <w:szCs w:val="20"/>
              </w:rPr>
              <w:t>Female</w:t>
            </w:r>
          </w:p>
        </w:tc>
      </w:tr>
      <w:tr w:rsidR="006A4387" w:rsidRPr="00A61A03" w14:paraId="70ED29CC" w14:textId="77777777" w:rsidTr="00C63EFD">
        <w:trPr>
          <w:trHeight w:val="700"/>
        </w:trPr>
        <w:tc>
          <w:tcPr>
            <w:tcW w:w="2969" w:type="dxa"/>
            <w:tcBorders>
              <w:top w:val="nil"/>
              <w:left w:val="nil"/>
              <w:bottom w:val="nil"/>
              <w:right w:val="nil"/>
            </w:tcBorders>
            <w:vAlign w:val="bottom"/>
          </w:tcPr>
          <w:p w14:paraId="6178F973" w14:textId="77777777" w:rsidR="006A4387" w:rsidRPr="00A61A03" w:rsidRDefault="006A4387">
            <w:pPr>
              <w:rPr>
                <w:rFonts w:ascii="Calibri" w:hAnsi="Calibri" w:cs="Arial"/>
                <w:sz w:val="20"/>
                <w:szCs w:val="20"/>
              </w:rPr>
            </w:pPr>
          </w:p>
        </w:tc>
        <w:tc>
          <w:tcPr>
            <w:tcW w:w="1134" w:type="dxa"/>
            <w:tcBorders>
              <w:top w:val="nil"/>
              <w:left w:val="nil"/>
              <w:bottom w:val="nil"/>
              <w:right w:val="nil"/>
            </w:tcBorders>
            <w:shd w:val="clear" w:color="auto" w:fill="F2F2F2" w:themeFill="background1" w:themeFillShade="F2"/>
            <w:vAlign w:val="bottom"/>
          </w:tcPr>
          <w:p w14:paraId="1B837C6E" w14:textId="76F4FCF8" w:rsidR="007D6FC5" w:rsidRDefault="006A4387" w:rsidP="00C63EFD">
            <w:pPr>
              <w:jc w:val="right"/>
              <w:rPr>
                <w:rFonts w:ascii="Calibri" w:hAnsi="Calibri" w:cs="Arial"/>
                <w:b/>
                <w:sz w:val="20"/>
                <w:szCs w:val="20"/>
              </w:rPr>
            </w:pPr>
            <w:r w:rsidRPr="00673F0D">
              <w:rPr>
                <w:rFonts w:ascii="Calibri" w:hAnsi="Calibri" w:cs="Arial"/>
                <w:b/>
                <w:sz w:val="20"/>
                <w:szCs w:val="20"/>
              </w:rPr>
              <w:t>30 June 202</w:t>
            </w:r>
            <w:r w:rsidR="00F61084">
              <w:rPr>
                <w:rFonts w:ascii="Calibri" w:hAnsi="Calibri" w:cs="Arial"/>
                <w:b/>
                <w:sz w:val="20"/>
                <w:szCs w:val="20"/>
              </w:rPr>
              <w:t>5</w:t>
            </w:r>
          </w:p>
          <w:p w14:paraId="79068C90" w14:textId="6471E32A" w:rsidR="006A4387" w:rsidRPr="00673F0D" w:rsidRDefault="007D6FC5">
            <w:pPr>
              <w:jc w:val="right"/>
              <w:rPr>
                <w:rFonts w:ascii="Calibri" w:hAnsi="Calibri" w:cs="Arial"/>
                <w:b/>
                <w:sz w:val="20"/>
                <w:szCs w:val="20"/>
              </w:rPr>
            </w:pPr>
            <w:r>
              <w:rPr>
                <w:rFonts w:ascii="Calibri" w:hAnsi="Calibri" w:cs="Arial"/>
                <w:b/>
                <w:sz w:val="20"/>
                <w:szCs w:val="20"/>
              </w:rPr>
              <w:t>unaudited</w:t>
            </w:r>
          </w:p>
        </w:tc>
        <w:tc>
          <w:tcPr>
            <w:tcW w:w="1276" w:type="dxa"/>
            <w:tcBorders>
              <w:top w:val="nil"/>
              <w:left w:val="nil"/>
              <w:bottom w:val="nil"/>
              <w:right w:val="nil"/>
            </w:tcBorders>
          </w:tcPr>
          <w:p w14:paraId="0B4B5DB6" w14:textId="77777777" w:rsidR="006A4387" w:rsidRPr="00A61A03" w:rsidRDefault="006A4387">
            <w:pPr>
              <w:ind w:left="-108"/>
              <w:jc w:val="right"/>
              <w:rPr>
                <w:rFonts w:ascii="Calibri" w:hAnsi="Calibri" w:cs="Arial"/>
                <w:sz w:val="20"/>
                <w:szCs w:val="20"/>
              </w:rPr>
            </w:pPr>
            <w:r w:rsidRPr="00A61A03">
              <w:rPr>
                <w:rFonts w:ascii="Calibri" w:hAnsi="Calibri" w:cs="Arial"/>
                <w:sz w:val="20"/>
                <w:szCs w:val="20"/>
              </w:rPr>
              <w:t>31 December</w:t>
            </w:r>
          </w:p>
          <w:p w14:paraId="18965078" w14:textId="33DFB6CB" w:rsidR="007D6FC5" w:rsidRDefault="006A4387" w:rsidP="007D6FC5">
            <w:pPr>
              <w:ind w:left="-108"/>
              <w:jc w:val="right"/>
              <w:rPr>
                <w:rFonts w:ascii="Calibri" w:hAnsi="Calibri" w:cs="Arial"/>
                <w:sz w:val="20"/>
                <w:szCs w:val="20"/>
              </w:rPr>
            </w:pPr>
            <w:r>
              <w:rPr>
                <w:rFonts w:ascii="Calibri" w:hAnsi="Calibri" w:cs="Arial"/>
                <w:sz w:val="20"/>
                <w:szCs w:val="20"/>
              </w:rPr>
              <w:t>202</w:t>
            </w:r>
            <w:r w:rsidR="00F61084">
              <w:rPr>
                <w:rFonts w:ascii="Calibri" w:hAnsi="Calibri" w:cs="Arial"/>
                <w:sz w:val="20"/>
                <w:szCs w:val="20"/>
              </w:rPr>
              <w:t>4</w:t>
            </w:r>
          </w:p>
          <w:p w14:paraId="6556CA15" w14:textId="7E7D724B" w:rsidR="006A4387" w:rsidRPr="00A61A03" w:rsidRDefault="007D6FC5">
            <w:pPr>
              <w:ind w:left="-108"/>
              <w:jc w:val="right"/>
              <w:rPr>
                <w:rFonts w:ascii="Calibri" w:hAnsi="Calibri" w:cs="Arial"/>
                <w:sz w:val="20"/>
                <w:szCs w:val="20"/>
              </w:rPr>
            </w:pPr>
            <w:r>
              <w:rPr>
                <w:rFonts w:ascii="Calibri" w:hAnsi="Calibri" w:cs="Arial"/>
                <w:sz w:val="20"/>
                <w:szCs w:val="20"/>
              </w:rPr>
              <w:t>audited</w:t>
            </w:r>
          </w:p>
        </w:tc>
        <w:tc>
          <w:tcPr>
            <w:tcW w:w="1134" w:type="dxa"/>
            <w:tcBorders>
              <w:top w:val="nil"/>
              <w:left w:val="nil"/>
              <w:bottom w:val="nil"/>
              <w:right w:val="nil"/>
            </w:tcBorders>
            <w:vAlign w:val="bottom"/>
          </w:tcPr>
          <w:p w14:paraId="05E24CB4" w14:textId="11D5BD6C" w:rsidR="007D6FC5" w:rsidRDefault="006A4387" w:rsidP="007D6FC5">
            <w:pPr>
              <w:jc w:val="right"/>
              <w:rPr>
                <w:rFonts w:ascii="Calibri" w:hAnsi="Calibri" w:cs="Arial"/>
                <w:sz w:val="20"/>
                <w:szCs w:val="20"/>
              </w:rPr>
            </w:pPr>
            <w:r w:rsidRPr="00A61A03">
              <w:rPr>
                <w:rFonts w:ascii="Calibri" w:hAnsi="Calibri" w:cs="Arial"/>
                <w:sz w:val="20"/>
                <w:szCs w:val="20"/>
              </w:rPr>
              <w:t xml:space="preserve">30 June </w:t>
            </w:r>
            <w:r>
              <w:rPr>
                <w:rFonts w:ascii="Calibri" w:hAnsi="Calibri" w:cs="Arial"/>
                <w:sz w:val="20"/>
                <w:szCs w:val="20"/>
              </w:rPr>
              <w:t>202</w:t>
            </w:r>
            <w:r w:rsidR="00F61084">
              <w:rPr>
                <w:rFonts w:ascii="Calibri" w:hAnsi="Calibri" w:cs="Arial"/>
                <w:sz w:val="20"/>
                <w:szCs w:val="20"/>
              </w:rPr>
              <w:t>4</w:t>
            </w:r>
          </w:p>
          <w:p w14:paraId="4D9385F5" w14:textId="6082FB48" w:rsidR="006A4387" w:rsidRPr="00A61A03" w:rsidRDefault="007D6FC5">
            <w:pPr>
              <w:jc w:val="right"/>
              <w:rPr>
                <w:rFonts w:ascii="Calibri" w:hAnsi="Calibri" w:cs="Arial"/>
                <w:sz w:val="20"/>
                <w:szCs w:val="20"/>
              </w:rPr>
            </w:pPr>
            <w:r>
              <w:rPr>
                <w:rFonts w:ascii="Calibri" w:hAnsi="Calibri" w:cs="Arial"/>
                <w:sz w:val="20"/>
                <w:szCs w:val="20"/>
              </w:rPr>
              <w:t>unaudited</w:t>
            </w:r>
          </w:p>
        </w:tc>
        <w:tc>
          <w:tcPr>
            <w:tcW w:w="1134" w:type="dxa"/>
            <w:tcBorders>
              <w:top w:val="nil"/>
              <w:left w:val="nil"/>
              <w:bottom w:val="nil"/>
              <w:right w:val="nil"/>
            </w:tcBorders>
            <w:shd w:val="clear" w:color="auto" w:fill="F2F2F2" w:themeFill="background1" w:themeFillShade="F2"/>
            <w:vAlign w:val="bottom"/>
          </w:tcPr>
          <w:p w14:paraId="7720B97F" w14:textId="0D5EC45F" w:rsidR="007D6FC5" w:rsidRDefault="007D6FC5" w:rsidP="007D6FC5">
            <w:pPr>
              <w:jc w:val="right"/>
              <w:rPr>
                <w:rFonts w:ascii="Calibri" w:hAnsi="Calibri" w:cs="Arial"/>
                <w:b/>
                <w:sz w:val="20"/>
                <w:szCs w:val="20"/>
              </w:rPr>
            </w:pPr>
            <w:r w:rsidRPr="00673F0D">
              <w:rPr>
                <w:rFonts w:ascii="Calibri" w:hAnsi="Calibri" w:cs="Arial"/>
                <w:b/>
                <w:sz w:val="20"/>
                <w:szCs w:val="20"/>
              </w:rPr>
              <w:t>30 June 202</w:t>
            </w:r>
            <w:r w:rsidR="00F61084">
              <w:rPr>
                <w:rFonts w:ascii="Calibri" w:hAnsi="Calibri" w:cs="Arial"/>
                <w:b/>
                <w:sz w:val="20"/>
                <w:szCs w:val="20"/>
              </w:rPr>
              <w:t>5</w:t>
            </w:r>
          </w:p>
          <w:p w14:paraId="65FD1CD8" w14:textId="3D79352C" w:rsidR="006A4387" w:rsidRPr="00673F0D" w:rsidRDefault="007D6FC5">
            <w:pPr>
              <w:jc w:val="right"/>
              <w:rPr>
                <w:rFonts w:ascii="Calibri" w:hAnsi="Calibri" w:cs="Arial"/>
                <w:b/>
                <w:sz w:val="20"/>
                <w:szCs w:val="20"/>
              </w:rPr>
            </w:pPr>
            <w:r>
              <w:rPr>
                <w:rFonts w:ascii="Calibri" w:hAnsi="Calibri" w:cs="Arial"/>
                <w:b/>
                <w:sz w:val="20"/>
                <w:szCs w:val="20"/>
              </w:rPr>
              <w:t>unaudited</w:t>
            </w:r>
          </w:p>
        </w:tc>
        <w:tc>
          <w:tcPr>
            <w:tcW w:w="1276" w:type="dxa"/>
            <w:tcBorders>
              <w:top w:val="nil"/>
              <w:left w:val="nil"/>
              <w:bottom w:val="nil"/>
              <w:right w:val="nil"/>
            </w:tcBorders>
          </w:tcPr>
          <w:p w14:paraId="1F429AD8" w14:textId="77777777" w:rsidR="006A4387" w:rsidRPr="00A61A03" w:rsidRDefault="006A4387">
            <w:pPr>
              <w:ind w:left="-108"/>
              <w:jc w:val="right"/>
              <w:rPr>
                <w:rFonts w:ascii="Calibri" w:hAnsi="Calibri" w:cs="Arial"/>
                <w:sz w:val="20"/>
                <w:szCs w:val="20"/>
              </w:rPr>
            </w:pPr>
            <w:r w:rsidRPr="00A61A03">
              <w:rPr>
                <w:rFonts w:ascii="Calibri" w:hAnsi="Calibri" w:cs="Arial"/>
                <w:sz w:val="20"/>
                <w:szCs w:val="20"/>
              </w:rPr>
              <w:t>31 December</w:t>
            </w:r>
          </w:p>
          <w:p w14:paraId="593B1421" w14:textId="271B40DE" w:rsidR="007D6FC5" w:rsidRDefault="006A4387" w:rsidP="007D6FC5">
            <w:pPr>
              <w:ind w:left="-108"/>
              <w:jc w:val="right"/>
              <w:rPr>
                <w:rFonts w:ascii="Calibri" w:hAnsi="Calibri" w:cs="Arial"/>
                <w:sz w:val="20"/>
                <w:szCs w:val="20"/>
              </w:rPr>
            </w:pPr>
            <w:r>
              <w:rPr>
                <w:rFonts w:ascii="Calibri" w:hAnsi="Calibri" w:cs="Arial"/>
                <w:sz w:val="20"/>
                <w:szCs w:val="20"/>
              </w:rPr>
              <w:t>202</w:t>
            </w:r>
            <w:r w:rsidR="00F61084">
              <w:rPr>
                <w:rFonts w:ascii="Calibri" w:hAnsi="Calibri" w:cs="Arial"/>
                <w:sz w:val="20"/>
                <w:szCs w:val="20"/>
              </w:rPr>
              <w:t>4</w:t>
            </w:r>
          </w:p>
          <w:p w14:paraId="08D7DE5F" w14:textId="4A8010A7" w:rsidR="006A4387" w:rsidRPr="00A61A03" w:rsidRDefault="007D6FC5">
            <w:pPr>
              <w:jc w:val="right"/>
              <w:rPr>
                <w:rFonts w:ascii="Calibri" w:hAnsi="Calibri" w:cs="Arial"/>
                <w:sz w:val="20"/>
                <w:szCs w:val="20"/>
              </w:rPr>
            </w:pPr>
            <w:r>
              <w:rPr>
                <w:rFonts w:ascii="Calibri" w:hAnsi="Calibri" w:cs="Arial"/>
                <w:sz w:val="20"/>
                <w:szCs w:val="20"/>
              </w:rPr>
              <w:t>audited</w:t>
            </w:r>
          </w:p>
        </w:tc>
        <w:tc>
          <w:tcPr>
            <w:tcW w:w="1110" w:type="dxa"/>
            <w:tcBorders>
              <w:top w:val="nil"/>
              <w:left w:val="nil"/>
              <w:bottom w:val="nil"/>
              <w:right w:val="nil"/>
            </w:tcBorders>
            <w:vAlign w:val="bottom"/>
          </w:tcPr>
          <w:p w14:paraId="10430B21" w14:textId="61C98352" w:rsidR="007D6FC5" w:rsidRDefault="007D6FC5" w:rsidP="007D6FC5">
            <w:pPr>
              <w:jc w:val="right"/>
              <w:rPr>
                <w:rFonts w:ascii="Calibri" w:hAnsi="Calibri" w:cs="Arial"/>
                <w:sz w:val="20"/>
                <w:szCs w:val="20"/>
              </w:rPr>
            </w:pPr>
            <w:r w:rsidRPr="00A61A03">
              <w:rPr>
                <w:rFonts w:ascii="Calibri" w:hAnsi="Calibri" w:cs="Arial"/>
                <w:sz w:val="20"/>
                <w:szCs w:val="20"/>
              </w:rPr>
              <w:t xml:space="preserve">30 June </w:t>
            </w:r>
            <w:r>
              <w:rPr>
                <w:rFonts w:ascii="Calibri" w:hAnsi="Calibri" w:cs="Arial"/>
                <w:sz w:val="20"/>
                <w:szCs w:val="20"/>
              </w:rPr>
              <w:t>202</w:t>
            </w:r>
            <w:r w:rsidR="00F61084">
              <w:rPr>
                <w:rFonts w:ascii="Calibri" w:hAnsi="Calibri" w:cs="Arial"/>
                <w:sz w:val="20"/>
                <w:szCs w:val="20"/>
              </w:rPr>
              <w:t>4</w:t>
            </w:r>
          </w:p>
          <w:p w14:paraId="663A982F" w14:textId="770E9CF8" w:rsidR="006A4387" w:rsidRPr="00A61A03" w:rsidRDefault="007D6FC5">
            <w:pPr>
              <w:jc w:val="right"/>
              <w:rPr>
                <w:rFonts w:ascii="Calibri" w:hAnsi="Calibri" w:cs="Arial"/>
                <w:sz w:val="20"/>
                <w:szCs w:val="20"/>
              </w:rPr>
            </w:pPr>
            <w:r>
              <w:rPr>
                <w:rFonts w:ascii="Calibri" w:hAnsi="Calibri" w:cs="Arial"/>
                <w:sz w:val="20"/>
                <w:szCs w:val="20"/>
              </w:rPr>
              <w:t>unaudited</w:t>
            </w:r>
          </w:p>
        </w:tc>
      </w:tr>
      <w:tr w:rsidR="006A4387" w:rsidRPr="00A61A03" w14:paraId="3B7D4920" w14:textId="77777777" w:rsidTr="00C63EFD">
        <w:trPr>
          <w:trHeight w:val="265"/>
        </w:trPr>
        <w:tc>
          <w:tcPr>
            <w:tcW w:w="2969" w:type="dxa"/>
            <w:tcBorders>
              <w:top w:val="nil"/>
              <w:left w:val="nil"/>
              <w:bottom w:val="nil"/>
              <w:right w:val="nil"/>
            </w:tcBorders>
            <w:vAlign w:val="bottom"/>
          </w:tcPr>
          <w:p w14:paraId="5569786F" w14:textId="77777777" w:rsidR="006A4387" w:rsidRPr="00A61A03" w:rsidRDefault="006A4387">
            <w:pPr>
              <w:keepNext/>
              <w:tabs>
                <w:tab w:val="left" w:pos="720"/>
              </w:tabs>
              <w:overflowPunct w:val="0"/>
              <w:autoSpaceDE w:val="0"/>
              <w:autoSpaceDN w:val="0"/>
              <w:adjustRightInd w:val="0"/>
              <w:outlineLvl w:val="4"/>
              <w:rPr>
                <w:rFonts w:ascii="Calibri" w:hAnsi="Calibri" w:cs="Arial"/>
                <w:bCs/>
                <w:sz w:val="20"/>
                <w:szCs w:val="20"/>
                <w:lang w:eastAsia="en-US"/>
              </w:rPr>
            </w:pPr>
          </w:p>
        </w:tc>
        <w:tc>
          <w:tcPr>
            <w:tcW w:w="1134" w:type="dxa"/>
            <w:tcBorders>
              <w:top w:val="nil"/>
              <w:left w:val="nil"/>
              <w:bottom w:val="single" w:sz="4" w:space="0" w:color="auto"/>
              <w:right w:val="nil"/>
            </w:tcBorders>
            <w:shd w:val="clear" w:color="auto" w:fill="F2F2F2" w:themeFill="background1" w:themeFillShade="F2"/>
            <w:vAlign w:val="bottom"/>
          </w:tcPr>
          <w:p w14:paraId="4A3E27F2" w14:textId="77777777" w:rsidR="006A4387" w:rsidRPr="00673F0D" w:rsidRDefault="006A4387">
            <w:pPr>
              <w:jc w:val="right"/>
              <w:rPr>
                <w:rFonts w:ascii="Calibri" w:hAnsi="Calibri" w:cs="Arial"/>
                <w:b/>
                <w:sz w:val="20"/>
                <w:szCs w:val="20"/>
              </w:rPr>
            </w:pPr>
            <w:r w:rsidRPr="00673F0D">
              <w:rPr>
                <w:rFonts w:ascii="Calibri" w:hAnsi="Calibri" w:cs="Arial"/>
                <w:b/>
                <w:sz w:val="20"/>
                <w:szCs w:val="20"/>
              </w:rPr>
              <w:t>Years</w:t>
            </w:r>
          </w:p>
        </w:tc>
        <w:tc>
          <w:tcPr>
            <w:tcW w:w="1276" w:type="dxa"/>
            <w:tcBorders>
              <w:top w:val="nil"/>
              <w:left w:val="nil"/>
              <w:bottom w:val="single" w:sz="4" w:space="0" w:color="auto"/>
              <w:right w:val="nil"/>
            </w:tcBorders>
          </w:tcPr>
          <w:p w14:paraId="4D8F3ECA" w14:textId="77777777" w:rsidR="006A4387" w:rsidRPr="00A61A03" w:rsidRDefault="006A4387">
            <w:pPr>
              <w:ind w:left="-108"/>
              <w:jc w:val="right"/>
              <w:rPr>
                <w:rFonts w:ascii="Calibri" w:hAnsi="Calibri" w:cs="Arial"/>
                <w:sz w:val="20"/>
                <w:szCs w:val="20"/>
              </w:rPr>
            </w:pPr>
            <w:r w:rsidRPr="00A61A03">
              <w:rPr>
                <w:rFonts w:ascii="Calibri" w:hAnsi="Calibri" w:cs="Arial"/>
                <w:sz w:val="20"/>
                <w:szCs w:val="20"/>
              </w:rPr>
              <w:t>Years</w:t>
            </w:r>
          </w:p>
        </w:tc>
        <w:tc>
          <w:tcPr>
            <w:tcW w:w="1134" w:type="dxa"/>
            <w:tcBorders>
              <w:top w:val="nil"/>
              <w:left w:val="nil"/>
              <w:bottom w:val="single" w:sz="4" w:space="0" w:color="auto"/>
              <w:right w:val="nil"/>
            </w:tcBorders>
            <w:vAlign w:val="bottom"/>
          </w:tcPr>
          <w:p w14:paraId="0B6896FD" w14:textId="77777777" w:rsidR="006A4387" w:rsidRPr="00A61A03" w:rsidRDefault="006A4387">
            <w:pPr>
              <w:jc w:val="right"/>
              <w:rPr>
                <w:rFonts w:ascii="Calibri" w:hAnsi="Calibri" w:cs="Arial"/>
                <w:sz w:val="20"/>
                <w:szCs w:val="20"/>
              </w:rPr>
            </w:pPr>
            <w:r w:rsidRPr="00A61A03">
              <w:rPr>
                <w:rFonts w:ascii="Calibri" w:hAnsi="Calibri" w:cs="Arial"/>
                <w:sz w:val="20"/>
                <w:szCs w:val="20"/>
              </w:rPr>
              <w:t>Years</w:t>
            </w:r>
          </w:p>
        </w:tc>
        <w:tc>
          <w:tcPr>
            <w:tcW w:w="1134" w:type="dxa"/>
            <w:tcBorders>
              <w:top w:val="nil"/>
              <w:left w:val="nil"/>
              <w:bottom w:val="single" w:sz="4" w:space="0" w:color="auto"/>
              <w:right w:val="nil"/>
            </w:tcBorders>
            <w:shd w:val="clear" w:color="auto" w:fill="F2F2F2" w:themeFill="background1" w:themeFillShade="F2"/>
            <w:vAlign w:val="bottom"/>
          </w:tcPr>
          <w:p w14:paraId="467525F3" w14:textId="77777777" w:rsidR="006A4387" w:rsidRPr="00673F0D" w:rsidRDefault="006A4387">
            <w:pPr>
              <w:jc w:val="right"/>
              <w:rPr>
                <w:rFonts w:ascii="Calibri" w:hAnsi="Calibri" w:cs="Arial"/>
                <w:b/>
                <w:sz w:val="20"/>
                <w:szCs w:val="20"/>
              </w:rPr>
            </w:pPr>
            <w:r w:rsidRPr="00673F0D">
              <w:rPr>
                <w:rFonts w:ascii="Calibri" w:hAnsi="Calibri" w:cs="Arial"/>
                <w:b/>
                <w:sz w:val="20"/>
                <w:szCs w:val="20"/>
              </w:rPr>
              <w:t>Years</w:t>
            </w:r>
          </w:p>
        </w:tc>
        <w:tc>
          <w:tcPr>
            <w:tcW w:w="1276" w:type="dxa"/>
            <w:tcBorders>
              <w:top w:val="nil"/>
              <w:left w:val="nil"/>
              <w:bottom w:val="single" w:sz="4" w:space="0" w:color="auto"/>
              <w:right w:val="nil"/>
            </w:tcBorders>
          </w:tcPr>
          <w:p w14:paraId="173DC468" w14:textId="77777777" w:rsidR="006A4387" w:rsidRPr="00A61A03" w:rsidRDefault="006A4387">
            <w:pPr>
              <w:jc w:val="right"/>
              <w:rPr>
                <w:rFonts w:ascii="Calibri" w:hAnsi="Calibri" w:cs="Arial"/>
                <w:sz w:val="20"/>
                <w:szCs w:val="20"/>
              </w:rPr>
            </w:pPr>
            <w:r w:rsidRPr="00A61A03">
              <w:rPr>
                <w:rFonts w:ascii="Calibri" w:hAnsi="Calibri" w:cs="Arial"/>
                <w:sz w:val="20"/>
                <w:szCs w:val="20"/>
              </w:rPr>
              <w:t>Years</w:t>
            </w:r>
          </w:p>
        </w:tc>
        <w:tc>
          <w:tcPr>
            <w:tcW w:w="1110" w:type="dxa"/>
            <w:tcBorders>
              <w:top w:val="nil"/>
              <w:left w:val="nil"/>
              <w:bottom w:val="single" w:sz="4" w:space="0" w:color="auto"/>
              <w:right w:val="nil"/>
            </w:tcBorders>
            <w:vAlign w:val="bottom"/>
          </w:tcPr>
          <w:p w14:paraId="37A47730" w14:textId="77777777" w:rsidR="006A4387" w:rsidRPr="00A61A03" w:rsidRDefault="006A4387">
            <w:pPr>
              <w:jc w:val="right"/>
              <w:rPr>
                <w:rFonts w:ascii="Calibri" w:hAnsi="Calibri" w:cs="Arial"/>
                <w:sz w:val="20"/>
                <w:szCs w:val="20"/>
              </w:rPr>
            </w:pPr>
            <w:r w:rsidRPr="00A61A03">
              <w:rPr>
                <w:rFonts w:ascii="Calibri" w:hAnsi="Calibri" w:cs="Arial"/>
                <w:sz w:val="20"/>
                <w:szCs w:val="20"/>
              </w:rPr>
              <w:t>years</w:t>
            </w:r>
          </w:p>
        </w:tc>
      </w:tr>
      <w:tr w:rsidR="006A4387" w:rsidRPr="00A61A03" w14:paraId="309BDB44" w14:textId="77777777" w:rsidTr="00C63EFD">
        <w:trPr>
          <w:trHeight w:val="249"/>
        </w:trPr>
        <w:tc>
          <w:tcPr>
            <w:tcW w:w="2969" w:type="dxa"/>
            <w:tcBorders>
              <w:top w:val="nil"/>
              <w:left w:val="nil"/>
              <w:bottom w:val="nil"/>
              <w:right w:val="nil"/>
            </w:tcBorders>
            <w:vAlign w:val="bottom"/>
          </w:tcPr>
          <w:p w14:paraId="506B1E8D" w14:textId="77777777" w:rsidR="006A4387" w:rsidRPr="00A61A03" w:rsidRDefault="006A4387" w:rsidP="006A4387">
            <w:pPr>
              <w:rPr>
                <w:rFonts w:ascii="Calibri" w:hAnsi="Calibri" w:cs="Arial"/>
                <w:sz w:val="20"/>
                <w:szCs w:val="20"/>
              </w:rPr>
            </w:pPr>
            <w:r w:rsidRPr="00A61A03">
              <w:rPr>
                <w:rFonts w:ascii="Calibri" w:hAnsi="Calibri" w:cs="Arial"/>
                <w:sz w:val="20"/>
                <w:szCs w:val="20"/>
              </w:rPr>
              <w:t xml:space="preserve">Current pensioner aged 65 </w:t>
            </w:r>
          </w:p>
        </w:tc>
        <w:tc>
          <w:tcPr>
            <w:tcW w:w="1134" w:type="dxa"/>
            <w:tcBorders>
              <w:top w:val="single" w:sz="4" w:space="0" w:color="auto"/>
              <w:left w:val="nil"/>
              <w:bottom w:val="nil"/>
              <w:right w:val="nil"/>
            </w:tcBorders>
            <w:shd w:val="clear" w:color="auto" w:fill="F2F2F2" w:themeFill="background1" w:themeFillShade="F2"/>
          </w:tcPr>
          <w:p w14:paraId="387FDD77" w14:textId="103D1EB1" w:rsidR="006A4387" w:rsidRPr="00673F0D" w:rsidRDefault="00064DC2" w:rsidP="006A4387">
            <w:pPr>
              <w:jc w:val="right"/>
              <w:rPr>
                <w:rFonts w:ascii="Calibri" w:hAnsi="Calibri" w:cs="Arial"/>
                <w:b/>
                <w:sz w:val="20"/>
                <w:szCs w:val="20"/>
              </w:rPr>
            </w:pPr>
            <w:r>
              <w:rPr>
                <w:rFonts w:ascii="Calibri" w:hAnsi="Calibri" w:cs="Arial"/>
                <w:b/>
                <w:sz w:val="20"/>
                <w:szCs w:val="20"/>
              </w:rPr>
              <w:t>21.1</w:t>
            </w:r>
          </w:p>
        </w:tc>
        <w:tc>
          <w:tcPr>
            <w:tcW w:w="1276" w:type="dxa"/>
            <w:tcBorders>
              <w:top w:val="single" w:sz="4" w:space="0" w:color="auto"/>
              <w:left w:val="nil"/>
              <w:bottom w:val="nil"/>
              <w:right w:val="nil"/>
            </w:tcBorders>
          </w:tcPr>
          <w:p w14:paraId="1C5FFAB2" w14:textId="0B1EA8DB" w:rsidR="006A4387" w:rsidRPr="006A4387" w:rsidRDefault="006A4387" w:rsidP="006A4387">
            <w:pPr>
              <w:ind w:left="-108"/>
              <w:jc w:val="right"/>
              <w:rPr>
                <w:rFonts w:ascii="Calibri" w:hAnsi="Calibri" w:cs="Arial"/>
                <w:bCs/>
                <w:sz w:val="20"/>
                <w:szCs w:val="20"/>
              </w:rPr>
            </w:pPr>
            <w:r w:rsidRPr="006A4387">
              <w:rPr>
                <w:rFonts w:asciiTheme="minorHAnsi" w:hAnsiTheme="minorHAnsi" w:cs="Arial"/>
                <w:bCs/>
                <w:sz w:val="20"/>
                <w:szCs w:val="20"/>
              </w:rPr>
              <w:t>21.2</w:t>
            </w:r>
          </w:p>
        </w:tc>
        <w:tc>
          <w:tcPr>
            <w:tcW w:w="1134" w:type="dxa"/>
            <w:tcBorders>
              <w:top w:val="single" w:sz="4" w:space="0" w:color="auto"/>
              <w:left w:val="nil"/>
              <w:bottom w:val="nil"/>
              <w:right w:val="nil"/>
            </w:tcBorders>
          </w:tcPr>
          <w:p w14:paraId="292137B0" w14:textId="1E995F9D" w:rsidR="006A4387" w:rsidRPr="006A4387" w:rsidRDefault="006A4387" w:rsidP="006A4387">
            <w:pPr>
              <w:jc w:val="right"/>
              <w:rPr>
                <w:rFonts w:ascii="Calibri" w:hAnsi="Calibri" w:cs="Arial"/>
                <w:bCs/>
                <w:sz w:val="20"/>
                <w:szCs w:val="20"/>
              </w:rPr>
            </w:pPr>
            <w:r w:rsidRPr="006A4387">
              <w:rPr>
                <w:rFonts w:ascii="Calibri" w:hAnsi="Calibri" w:cs="Arial"/>
                <w:bCs/>
                <w:sz w:val="20"/>
                <w:szCs w:val="20"/>
              </w:rPr>
              <w:t>21.2</w:t>
            </w:r>
          </w:p>
        </w:tc>
        <w:tc>
          <w:tcPr>
            <w:tcW w:w="1134" w:type="dxa"/>
            <w:tcBorders>
              <w:top w:val="single" w:sz="4" w:space="0" w:color="auto"/>
              <w:left w:val="nil"/>
              <w:bottom w:val="nil"/>
              <w:right w:val="nil"/>
            </w:tcBorders>
            <w:shd w:val="clear" w:color="auto" w:fill="F2F2F2" w:themeFill="background1" w:themeFillShade="F2"/>
          </w:tcPr>
          <w:p w14:paraId="7A62172D" w14:textId="207DD913" w:rsidR="006A4387" w:rsidRPr="006A4387" w:rsidRDefault="00064DC2" w:rsidP="006A4387">
            <w:pPr>
              <w:jc w:val="right"/>
              <w:rPr>
                <w:rFonts w:ascii="Calibri" w:hAnsi="Calibri" w:cs="Arial"/>
                <w:bCs/>
                <w:sz w:val="20"/>
                <w:szCs w:val="20"/>
              </w:rPr>
            </w:pPr>
            <w:r>
              <w:rPr>
                <w:rFonts w:ascii="Calibri" w:hAnsi="Calibri" w:cs="Arial"/>
                <w:bCs/>
                <w:sz w:val="20"/>
                <w:szCs w:val="20"/>
              </w:rPr>
              <w:t>22.9</w:t>
            </w:r>
          </w:p>
        </w:tc>
        <w:tc>
          <w:tcPr>
            <w:tcW w:w="1276" w:type="dxa"/>
            <w:tcBorders>
              <w:top w:val="single" w:sz="4" w:space="0" w:color="auto"/>
              <w:left w:val="nil"/>
              <w:bottom w:val="nil"/>
              <w:right w:val="nil"/>
            </w:tcBorders>
          </w:tcPr>
          <w:p w14:paraId="20201B0D" w14:textId="5DA7E3B8" w:rsidR="006A4387" w:rsidRPr="006A4387" w:rsidRDefault="006A4387" w:rsidP="006A4387">
            <w:pPr>
              <w:jc w:val="right"/>
              <w:rPr>
                <w:rFonts w:ascii="Calibri" w:hAnsi="Calibri" w:cs="Arial"/>
                <w:bCs/>
                <w:sz w:val="20"/>
                <w:szCs w:val="20"/>
              </w:rPr>
            </w:pPr>
            <w:r w:rsidRPr="006A4387">
              <w:rPr>
                <w:rFonts w:asciiTheme="minorHAnsi" w:hAnsiTheme="minorHAnsi" w:cs="Arial"/>
                <w:bCs/>
                <w:sz w:val="20"/>
                <w:szCs w:val="20"/>
              </w:rPr>
              <w:t>23.0</w:t>
            </w:r>
          </w:p>
        </w:tc>
        <w:tc>
          <w:tcPr>
            <w:tcW w:w="1110" w:type="dxa"/>
            <w:tcBorders>
              <w:top w:val="single" w:sz="4" w:space="0" w:color="auto"/>
              <w:left w:val="nil"/>
              <w:bottom w:val="nil"/>
              <w:right w:val="nil"/>
            </w:tcBorders>
          </w:tcPr>
          <w:p w14:paraId="0ABA8563" w14:textId="699379A6" w:rsidR="006A4387" w:rsidRPr="006A4387" w:rsidRDefault="006A4387" w:rsidP="006A4387">
            <w:pPr>
              <w:jc w:val="right"/>
              <w:rPr>
                <w:rFonts w:ascii="Calibri" w:hAnsi="Calibri" w:cs="Arial"/>
                <w:bCs/>
                <w:sz w:val="20"/>
                <w:szCs w:val="20"/>
              </w:rPr>
            </w:pPr>
            <w:r w:rsidRPr="006A4387">
              <w:rPr>
                <w:rFonts w:ascii="Calibri" w:hAnsi="Calibri" w:cs="Arial"/>
                <w:bCs/>
                <w:sz w:val="20"/>
                <w:szCs w:val="20"/>
              </w:rPr>
              <w:t>23.0</w:t>
            </w:r>
          </w:p>
        </w:tc>
      </w:tr>
      <w:tr w:rsidR="006A4387" w:rsidRPr="00A61A03" w14:paraId="0FD3086C" w14:textId="77777777" w:rsidTr="00C63EFD">
        <w:trPr>
          <w:trHeight w:val="499"/>
        </w:trPr>
        <w:tc>
          <w:tcPr>
            <w:tcW w:w="2969" w:type="dxa"/>
            <w:tcBorders>
              <w:top w:val="nil"/>
              <w:left w:val="nil"/>
              <w:bottom w:val="nil"/>
              <w:right w:val="nil"/>
            </w:tcBorders>
            <w:vAlign w:val="bottom"/>
          </w:tcPr>
          <w:p w14:paraId="6637914C" w14:textId="77777777" w:rsidR="006A4387" w:rsidRPr="00A61A03" w:rsidRDefault="006A4387" w:rsidP="006A4387">
            <w:pPr>
              <w:rPr>
                <w:rFonts w:ascii="Calibri" w:hAnsi="Calibri" w:cs="Arial"/>
                <w:sz w:val="20"/>
                <w:szCs w:val="20"/>
              </w:rPr>
            </w:pPr>
            <w:r w:rsidRPr="00A61A03">
              <w:rPr>
                <w:rFonts w:ascii="Calibri" w:hAnsi="Calibri" w:cs="Arial"/>
                <w:sz w:val="20"/>
                <w:szCs w:val="20"/>
              </w:rPr>
              <w:t>Current member aged 45 from age 65</w:t>
            </w:r>
          </w:p>
        </w:tc>
        <w:tc>
          <w:tcPr>
            <w:tcW w:w="1134" w:type="dxa"/>
            <w:tcBorders>
              <w:top w:val="nil"/>
              <w:left w:val="nil"/>
              <w:bottom w:val="single" w:sz="4" w:space="0" w:color="auto"/>
              <w:right w:val="nil"/>
            </w:tcBorders>
            <w:shd w:val="clear" w:color="auto" w:fill="F2F2F2" w:themeFill="background1" w:themeFillShade="F2"/>
          </w:tcPr>
          <w:p w14:paraId="7CCE0964" w14:textId="7A3E8F1E" w:rsidR="006A4387" w:rsidRPr="00673F0D" w:rsidRDefault="00064DC2" w:rsidP="006A4387">
            <w:pPr>
              <w:jc w:val="right"/>
              <w:rPr>
                <w:rFonts w:ascii="Calibri" w:hAnsi="Calibri" w:cs="Arial"/>
                <w:b/>
                <w:sz w:val="20"/>
                <w:szCs w:val="20"/>
              </w:rPr>
            </w:pPr>
            <w:r>
              <w:rPr>
                <w:rFonts w:ascii="Calibri" w:hAnsi="Calibri" w:cs="Arial"/>
                <w:b/>
                <w:sz w:val="20"/>
                <w:szCs w:val="20"/>
              </w:rPr>
              <w:t>21.1</w:t>
            </w:r>
          </w:p>
        </w:tc>
        <w:tc>
          <w:tcPr>
            <w:tcW w:w="1276" w:type="dxa"/>
            <w:tcBorders>
              <w:top w:val="nil"/>
              <w:left w:val="nil"/>
              <w:bottom w:val="single" w:sz="4" w:space="0" w:color="auto"/>
              <w:right w:val="nil"/>
            </w:tcBorders>
          </w:tcPr>
          <w:p w14:paraId="074B3A0B" w14:textId="6F5E7BBC" w:rsidR="006A4387" w:rsidRPr="006A4387" w:rsidRDefault="006A4387" w:rsidP="006A4387">
            <w:pPr>
              <w:ind w:left="-108"/>
              <w:jc w:val="right"/>
              <w:rPr>
                <w:rFonts w:ascii="Calibri" w:hAnsi="Calibri" w:cs="Arial"/>
                <w:bCs/>
                <w:sz w:val="20"/>
                <w:szCs w:val="20"/>
              </w:rPr>
            </w:pPr>
            <w:r w:rsidRPr="006A4387">
              <w:rPr>
                <w:rFonts w:asciiTheme="minorHAnsi" w:hAnsiTheme="minorHAnsi" w:cs="Arial"/>
                <w:bCs/>
                <w:sz w:val="20"/>
                <w:szCs w:val="20"/>
              </w:rPr>
              <w:t>21.2</w:t>
            </w:r>
          </w:p>
        </w:tc>
        <w:tc>
          <w:tcPr>
            <w:tcW w:w="1134" w:type="dxa"/>
            <w:tcBorders>
              <w:top w:val="nil"/>
              <w:left w:val="nil"/>
              <w:bottom w:val="single" w:sz="4" w:space="0" w:color="auto"/>
              <w:right w:val="nil"/>
            </w:tcBorders>
          </w:tcPr>
          <w:p w14:paraId="6BFE5D15" w14:textId="7B3D5335" w:rsidR="006A4387" w:rsidRPr="006A4387" w:rsidRDefault="006A4387" w:rsidP="006A4387">
            <w:pPr>
              <w:jc w:val="right"/>
              <w:rPr>
                <w:rFonts w:ascii="Calibri" w:hAnsi="Calibri" w:cs="Arial"/>
                <w:bCs/>
                <w:sz w:val="20"/>
                <w:szCs w:val="20"/>
              </w:rPr>
            </w:pPr>
            <w:r w:rsidRPr="006A4387">
              <w:rPr>
                <w:rFonts w:ascii="Calibri" w:hAnsi="Calibri" w:cs="Arial"/>
                <w:bCs/>
                <w:sz w:val="20"/>
                <w:szCs w:val="20"/>
              </w:rPr>
              <w:t xml:space="preserve">21.1 </w:t>
            </w:r>
          </w:p>
        </w:tc>
        <w:tc>
          <w:tcPr>
            <w:tcW w:w="1134" w:type="dxa"/>
            <w:tcBorders>
              <w:top w:val="nil"/>
              <w:left w:val="nil"/>
              <w:bottom w:val="single" w:sz="4" w:space="0" w:color="auto"/>
              <w:right w:val="nil"/>
            </w:tcBorders>
            <w:shd w:val="clear" w:color="auto" w:fill="F2F2F2" w:themeFill="background1" w:themeFillShade="F2"/>
          </w:tcPr>
          <w:p w14:paraId="1845EB76" w14:textId="36DA7188" w:rsidR="006A4387" w:rsidRPr="006A4387" w:rsidRDefault="00064DC2" w:rsidP="006A4387">
            <w:pPr>
              <w:jc w:val="right"/>
              <w:rPr>
                <w:rFonts w:ascii="Calibri" w:hAnsi="Calibri" w:cs="Arial"/>
                <w:bCs/>
                <w:sz w:val="20"/>
                <w:szCs w:val="20"/>
              </w:rPr>
            </w:pPr>
            <w:r>
              <w:rPr>
                <w:rFonts w:ascii="Calibri" w:hAnsi="Calibri" w:cs="Arial"/>
                <w:bCs/>
                <w:sz w:val="20"/>
                <w:szCs w:val="20"/>
              </w:rPr>
              <w:t>24.0</w:t>
            </w:r>
          </w:p>
        </w:tc>
        <w:tc>
          <w:tcPr>
            <w:tcW w:w="1276" w:type="dxa"/>
            <w:tcBorders>
              <w:top w:val="nil"/>
              <w:left w:val="nil"/>
              <w:bottom w:val="single" w:sz="4" w:space="0" w:color="auto"/>
              <w:right w:val="nil"/>
            </w:tcBorders>
          </w:tcPr>
          <w:p w14:paraId="4D66D905" w14:textId="55229DCF" w:rsidR="006A4387" w:rsidRPr="006A4387" w:rsidRDefault="006A4387" w:rsidP="006A4387">
            <w:pPr>
              <w:jc w:val="right"/>
              <w:rPr>
                <w:rFonts w:ascii="Calibri" w:hAnsi="Calibri" w:cs="Arial"/>
                <w:bCs/>
                <w:sz w:val="20"/>
                <w:szCs w:val="20"/>
              </w:rPr>
            </w:pPr>
            <w:r w:rsidRPr="006A4387">
              <w:rPr>
                <w:rFonts w:asciiTheme="minorHAnsi" w:hAnsiTheme="minorHAnsi" w:cs="Arial"/>
                <w:bCs/>
                <w:sz w:val="20"/>
                <w:szCs w:val="20"/>
              </w:rPr>
              <w:t>24.0</w:t>
            </w:r>
          </w:p>
        </w:tc>
        <w:tc>
          <w:tcPr>
            <w:tcW w:w="1110" w:type="dxa"/>
            <w:tcBorders>
              <w:top w:val="nil"/>
              <w:left w:val="nil"/>
              <w:bottom w:val="single" w:sz="4" w:space="0" w:color="auto"/>
              <w:right w:val="nil"/>
            </w:tcBorders>
          </w:tcPr>
          <w:p w14:paraId="7DA075C5" w14:textId="1DE68B97" w:rsidR="006A4387" w:rsidRPr="006A4387" w:rsidRDefault="006A4387" w:rsidP="006A4387">
            <w:pPr>
              <w:jc w:val="right"/>
              <w:rPr>
                <w:rFonts w:ascii="Calibri" w:hAnsi="Calibri" w:cs="Arial"/>
                <w:bCs/>
                <w:sz w:val="20"/>
                <w:szCs w:val="20"/>
              </w:rPr>
            </w:pPr>
            <w:r w:rsidRPr="006A4387">
              <w:rPr>
                <w:rFonts w:ascii="Calibri" w:hAnsi="Calibri" w:cs="Arial"/>
                <w:bCs/>
                <w:sz w:val="20"/>
                <w:szCs w:val="20"/>
              </w:rPr>
              <w:t>23.9</w:t>
            </w:r>
          </w:p>
        </w:tc>
      </w:tr>
    </w:tbl>
    <w:p w14:paraId="0B1BAFDC" w14:textId="77777777" w:rsidR="006A4387" w:rsidRPr="00B97C61" w:rsidRDefault="006A4387"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p w14:paraId="39528A42" w14:textId="77777777" w:rsidR="00424D08" w:rsidRDefault="00424D08"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p w14:paraId="61AF3D52" w14:textId="0DDE0830" w:rsidR="00A1425C" w:rsidRPr="00B97C61" w:rsidRDefault="00A1425C"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r w:rsidRPr="00B97C61">
        <w:rPr>
          <w:rFonts w:asciiTheme="minorHAnsi" w:hAnsiTheme="minorHAnsi" w:cs="Arial"/>
          <w:bCs/>
          <w:sz w:val="20"/>
          <w:szCs w:val="20"/>
        </w:rPr>
        <w:t>An analysis of amounts recognised in the statement of comprehensive income is set out below:</w:t>
      </w:r>
    </w:p>
    <w:p w14:paraId="1C2091AF" w14:textId="77777777" w:rsidR="00F46D26" w:rsidRDefault="00F46D26" w:rsidP="00A1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tbl>
      <w:tblPr>
        <w:tblW w:w="9723" w:type="dxa"/>
        <w:tblLook w:val="0000" w:firstRow="0" w:lastRow="0" w:firstColumn="0" w:lastColumn="0" w:noHBand="0" w:noVBand="0"/>
      </w:tblPr>
      <w:tblGrid>
        <w:gridCol w:w="6130"/>
        <w:gridCol w:w="1133"/>
        <w:gridCol w:w="1410"/>
        <w:gridCol w:w="1050"/>
      </w:tblGrid>
      <w:tr w:rsidR="00F46D26" w:rsidRPr="00B97C61" w14:paraId="48E58FBE" w14:textId="77777777" w:rsidTr="003B7755">
        <w:tc>
          <w:tcPr>
            <w:tcW w:w="6130" w:type="dxa"/>
          </w:tcPr>
          <w:p w14:paraId="79063155" w14:textId="77777777" w:rsidR="00F46D26" w:rsidRPr="00B97C61" w:rsidRDefault="00F46D26">
            <w:pPr>
              <w:jc w:val="both"/>
              <w:rPr>
                <w:rFonts w:asciiTheme="minorHAnsi" w:hAnsiTheme="minorHAnsi" w:cs="Arial"/>
                <w:sz w:val="20"/>
                <w:szCs w:val="20"/>
              </w:rPr>
            </w:pPr>
          </w:p>
        </w:tc>
        <w:tc>
          <w:tcPr>
            <w:tcW w:w="1133" w:type="dxa"/>
            <w:shd w:val="clear" w:color="auto" w:fill="F2F2F2" w:themeFill="background1" w:themeFillShade="F2"/>
          </w:tcPr>
          <w:p w14:paraId="562EC57A" w14:textId="77777777" w:rsidR="006C0CA9" w:rsidRDefault="00F46D26" w:rsidP="006C0CA9">
            <w:pPr>
              <w:jc w:val="right"/>
              <w:rPr>
                <w:rFonts w:asciiTheme="minorHAnsi" w:hAnsiTheme="minorHAnsi" w:cs="Arial"/>
                <w:b/>
                <w:sz w:val="20"/>
                <w:szCs w:val="20"/>
              </w:rPr>
            </w:pPr>
            <w:r>
              <w:rPr>
                <w:rFonts w:asciiTheme="minorHAnsi" w:hAnsiTheme="minorHAnsi" w:cs="Arial"/>
                <w:b/>
                <w:sz w:val="20"/>
                <w:szCs w:val="20"/>
              </w:rPr>
              <w:t>30 June</w:t>
            </w:r>
          </w:p>
          <w:p w14:paraId="5B5AC524" w14:textId="77777777" w:rsidR="006C0CA9" w:rsidRDefault="006C0CA9" w:rsidP="006C0CA9">
            <w:pPr>
              <w:jc w:val="right"/>
              <w:rPr>
                <w:rFonts w:asciiTheme="minorHAnsi" w:hAnsiTheme="minorHAnsi" w:cs="Arial"/>
                <w:b/>
                <w:sz w:val="20"/>
                <w:szCs w:val="20"/>
              </w:rPr>
            </w:pPr>
            <w:r w:rsidRPr="000E0F97">
              <w:rPr>
                <w:rFonts w:asciiTheme="minorHAnsi" w:hAnsiTheme="minorHAnsi" w:cs="Arial"/>
                <w:b/>
                <w:sz w:val="20"/>
                <w:szCs w:val="20"/>
              </w:rPr>
              <w:t>202</w:t>
            </w:r>
            <w:r>
              <w:rPr>
                <w:rFonts w:asciiTheme="minorHAnsi" w:hAnsiTheme="minorHAnsi" w:cs="Arial"/>
                <w:b/>
                <w:sz w:val="20"/>
                <w:szCs w:val="20"/>
              </w:rPr>
              <w:t>5</w:t>
            </w:r>
          </w:p>
          <w:p w14:paraId="7D9F7612" w14:textId="36545A2E" w:rsidR="00F46D26" w:rsidRPr="000E0F97" w:rsidRDefault="006C0CA9">
            <w:pPr>
              <w:jc w:val="right"/>
              <w:rPr>
                <w:rFonts w:asciiTheme="minorHAnsi" w:hAnsiTheme="minorHAnsi" w:cs="Arial"/>
                <w:b/>
                <w:sz w:val="20"/>
                <w:szCs w:val="20"/>
              </w:rPr>
            </w:pPr>
            <w:r>
              <w:rPr>
                <w:rFonts w:asciiTheme="minorHAnsi" w:hAnsiTheme="minorHAnsi" w:cs="Arial"/>
                <w:b/>
                <w:sz w:val="20"/>
                <w:szCs w:val="20"/>
              </w:rPr>
              <w:t>unaudited</w:t>
            </w:r>
          </w:p>
        </w:tc>
        <w:tc>
          <w:tcPr>
            <w:tcW w:w="1410" w:type="dxa"/>
          </w:tcPr>
          <w:p w14:paraId="2940F411" w14:textId="77777777" w:rsidR="006C0CA9" w:rsidRDefault="00F46D26" w:rsidP="006C0CA9">
            <w:pPr>
              <w:jc w:val="right"/>
              <w:rPr>
                <w:rFonts w:asciiTheme="minorHAnsi" w:hAnsiTheme="minorHAnsi" w:cs="Arial"/>
                <w:sz w:val="20"/>
                <w:szCs w:val="20"/>
              </w:rPr>
            </w:pPr>
            <w:r w:rsidRPr="00B7427E">
              <w:rPr>
                <w:rFonts w:asciiTheme="minorHAnsi" w:hAnsiTheme="minorHAnsi" w:cs="Arial"/>
                <w:sz w:val="20"/>
                <w:szCs w:val="20"/>
              </w:rPr>
              <w:t>31 December</w:t>
            </w:r>
            <w:r w:rsidR="006C0CA9">
              <w:rPr>
                <w:rFonts w:asciiTheme="minorHAnsi" w:hAnsiTheme="minorHAnsi" w:cs="Arial"/>
                <w:sz w:val="20"/>
                <w:szCs w:val="20"/>
              </w:rPr>
              <w:t xml:space="preserve"> </w:t>
            </w:r>
            <w:r w:rsidR="006C0CA9" w:rsidRPr="00B97C61">
              <w:rPr>
                <w:rFonts w:asciiTheme="minorHAnsi" w:hAnsiTheme="minorHAnsi" w:cs="Arial"/>
                <w:sz w:val="20"/>
                <w:szCs w:val="20"/>
              </w:rPr>
              <w:t>202</w:t>
            </w:r>
            <w:r w:rsidR="006C0CA9">
              <w:rPr>
                <w:rFonts w:asciiTheme="minorHAnsi" w:hAnsiTheme="minorHAnsi" w:cs="Arial"/>
                <w:sz w:val="20"/>
                <w:szCs w:val="20"/>
              </w:rPr>
              <w:t>4</w:t>
            </w:r>
          </w:p>
          <w:p w14:paraId="69819BD4" w14:textId="5E2AFA3A" w:rsidR="00F46D26" w:rsidRPr="00B97C61" w:rsidRDefault="006C0CA9">
            <w:pPr>
              <w:jc w:val="right"/>
              <w:rPr>
                <w:rFonts w:asciiTheme="minorHAnsi" w:hAnsiTheme="minorHAnsi" w:cs="Arial"/>
                <w:sz w:val="20"/>
                <w:szCs w:val="20"/>
              </w:rPr>
            </w:pPr>
            <w:r>
              <w:rPr>
                <w:rFonts w:asciiTheme="minorHAnsi" w:hAnsiTheme="minorHAnsi" w:cs="Arial"/>
                <w:sz w:val="20"/>
                <w:szCs w:val="20"/>
              </w:rPr>
              <w:t>audited</w:t>
            </w:r>
          </w:p>
        </w:tc>
        <w:tc>
          <w:tcPr>
            <w:tcW w:w="1050" w:type="dxa"/>
          </w:tcPr>
          <w:p w14:paraId="6D00FC51" w14:textId="77777777" w:rsidR="006C0CA9" w:rsidRDefault="00F46D26" w:rsidP="006C0CA9">
            <w:pPr>
              <w:jc w:val="right"/>
              <w:rPr>
                <w:rFonts w:asciiTheme="minorHAnsi" w:hAnsiTheme="minorHAnsi" w:cs="Arial"/>
                <w:sz w:val="20"/>
                <w:szCs w:val="20"/>
              </w:rPr>
            </w:pPr>
            <w:r w:rsidRPr="00B7427E">
              <w:rPr>
                <w:rFonts w:asciiTheme="minorHAnsi" w:hAnsiTheme="minorHAnsi" w:cs="Arial"/>
                <w:sz w:val="20"/>
                <w:szCs w:val="20"/>
              </w:rPr>
              <w:t>30 June</w:t>
            </w:r>
            <w:r w:rsidR="006C0CA9">
              <w:rPr>
                <w:rFonts w:asciiTheme="minorHAnsi" w:hAnsiTheme="minorHAnsi" w:cs="Arial"/>
                <w:sz w:val="20"/>
                <w:szCs w:val="20"/>
              </w:rPr>
              <w:t xml:space="preserve"> </w:t>
            </w:r>
            <w:r w:rsidR="006C0CA9" w:rsidRPr="00B97C61">
              <w:rPr>
                <w:rFonts w:asciiTheme="minorHAnsi" w:hAnsiTheme="minorHAnsi" w:cs="Arial"/>
                <w:sz w:val="20"/>
                <w:szCs w:val="20"/>
              </w:rPr>
              <w:t>202</w:t>
            </w:r>
            <w:r w:rsidR="006C0CA9">
              <w:rPr>
                <w:rFonts w:asciiTheme="minorHAnsi" w:hAnsiTheme="minorHAnsi" w:cs="Arial"/>
                <w:sz w:val="20"/>
                <w:szCs w:val="20"/>
              </w:rPr>
              <w:t>4</w:t>
            </w:r>
          </w:p>
          <w:p w14:paraId="2C4407A2" w14:textId="59DCA450" w:rsidR="00F46D26" w:rsidRPr="00B97C61" w:rsidRDefault="006C0CA9">
            <w:pPr>
              <w:jc w:val="right"/>
              <w:rPr>
                <w:rFonts w:asciiTheme="minorHAnsi" w:hAnsiTheme="minorHAnsi" w:cs="Arial"/>
                <w:sz w:val="20"/>
                <w:szCs w:val="20"/>
              </w:rPr>
            </w:pPr>
            <w:r>
              <w:rPr>
                <w:rFonts w:asciiTheme="minorHAnsi" w:hAnsiTheme="minorHAnsi" w:cs="Arial"/>
                <w:sz w:val="20"/>
                <w:szCs w:val="20"/>
              </w:rPr>
              <w:t>unaudited</w:t>
            </w:r>
          </w:p>
        </w:tc>
      </w:tr>
      <w:tr w:rsidR="00F46D26" w:rsidRPr="00B97C61" w14:paraId="1F170A25" w14:textId="77777777" w:rsidTr="003B7755">
        <w:trPr>
          <w:trHeight w:val="80"/>
        </w:trPr>
        <w:tc>
          <w:tcPr>
            <w:tcW w:w="6130" w:type="dxa"/>
          </w:tcPr>
          <w:p w14:paraId="4F79A2EB" w14:textId="77777777" w:rsidR="00F46D26" w:rsidRPr="00B97C61" w:rsidRDefault="00F46D26">
            <w:pPr>
              <w:pStyle w:val="Heading5"/>
              <w:overflowPunct/>
              <w:autoSpaceDE/>
              <w:adjustRightInd/>
              <w:rPr>
                <w:rFonts w:asciiTheme="minorHAnsi" w:hAnsiTheme="minorHAnsi" w:cs="Arial"/>
                <w:bCs/>
                <w:sz w:val="20"/>
              </w:rPr>
            </w:pPr>
          </w:p>
        </w:tc>
        <w:tc>
          <w:tcPr>
            <w:tcW w:w="1133" w:type="dxa"/>
            <w:tcBorders>
              <w:top w:val="nil"/>
              <w:left w:val="nil"/>
              <w:bottom w:val="single" w:sz="4" w:space="0" w:color="auto"/>
              <w:right w:val="nil"/>
            </w:tcBorders>
            <w:shd w:val="clear" w:color="auto" w:fill="F2F2F2" w:themeFill="background1" w:themeFillShade="F2"/>
          </w:tcPr>
          <w:p w14:paraId="086BED9D" w14:textId="77777777" w:rsidR="00F46D26" w:rsidRPr="000E0F97" w:rsidRDefault="00F46D26">
            <w:pPr>
              <w:jc w:val="right"/>
              <w:rPr>
                <w:rFonts w:asciiTheme="minorHAnsi" w:hAnsiTheme="minorHAnsi" w:cs="Arial"/>
                <w:b/>
                <w:sz w:val="20"/>
                <w:szCs w:val="20"/>
              </w:rPr>
            </w:pPr>
            <w:r w:rsidRPr="000E0F97">
              <w:rPr>
                <w:rFonts w:asciiTheme="minorHAnsi" w:hAnsiTheme="minorHAnsi" w:cs="Arial"/>
                <w:b/>
                <w:sz w:val="20"/>
                <w:szCs w:val="20"/>
              </w:rPr>
              <w:t>£m </w:t>
            </w:r>
          </w:p>
        </w:tc>
        <w:tc>
          <w:tcPr>
            <w:tcW w:w="1410" w:type="dxa"/>
            <w:tcBorders>
              <w:top w:val="nil"/>
              <w:left w:val="nil"/>
              <w:bottom w:val="single" w:sz="4" w:space="0" w:color="auto"/>
              <w:right w:val="nil"/>
            </w:tcBorders>
          </w:tcPr>
          <w:p w14:paraId="2F874427" w14:textId="77777777" w:rsidR="00F46D26" w:rsidRPr="00B97C61" w:rsidRDefault="00F46D26">
            <w:pPr>
              <w:jc w:val="right"/>
              <w:rPr>
                <w:rFonts w:asciiTheme="minorHAnsi" w:hAnsiTheme="minorHAnsi" w:cs="Arial"/>
                <w:sz w:val="20"/>
                <w:szCs w:val="20"/>
              </w:rPr>
            </w:pPr>
            <w:r w:rsidRPr="00B97C61">
              <w:rPr>
                <w:rFonts w:asciiTheme="minorHAnsi" w:hAnsiTheme="minorHAnsi" w:cs="Arial"/>
                <w:sz w:val="20"/>
                <w:szCs w:val="20"/>
              </w:rPr>
              <w:t>£m</w:t>
            </w:r>
          </w:p>
        </w:tc>
        <w:tc>
          <w:tcPr>
            <w:tcW w:w="1050" w:type="dxa"/>
            <w:tcBorders>
              <w:top w:val="nil"/>
              <w:left w:val="nil"/>
              <w:bottom w:val="single" w:sz="4" w:space="0" w:color="auto"/>
              <w:right w:val="nil"/>
            </w:tcBorders>
          </w:tcPr>
          <w:p w14:paraId="734E54C5" w14:textId="77777777" w:rsidR="00F46D26" w:rsidRPr="00B97C61" w:rsidRDefault="00F46D26">
            <w:pPr>
              <w:jc w:val="right"/>
              <w:rPr>
                <w:rFonts w:asciiTheme="minorHAnsi" w:hAnsiTheme="minorHAnsi" w:cs="Arial"/>
                <w:sz w:val="20"/>
                <w:szCs w:val="20"/>
              </w:rPr>
            </w:pPr>
            <w:r w:rsidRPr="00B97C61">
              <w:rPr>
                <w:rFonts w:asciiTheme="minorHAnsi" w:hAnsiTheme="minorHAnsi" w:cs="Arial"/>
                <w:sz w:val="20"/>
                <w:szCs w:val="20"/>
              </w:rPr>
              <w:t>£m </w:t>
            </w:r>
          </w:p>
        </w:tc>
      </w:tr>
      <w:tr w:rsidR="00F46D26" w:rsidRPr="00B97C61" w14:paraId="23C1FAEB" w14:textId="77777777" w:rsidTr="003B7755">
        <w:tc>
          <w:tcPr>
            <w:tcW w:w="6130" w:type="dxa"/>
            <w:vAlign w:val="bottom"/>
          </w:tcPr>
          <w:p w14:paraId="51ECFB97" w14:textId="77777777" w:rsidR="00F46D26" w:rsidRPr="00B97C61" w:rsidRDefault="00F46D26">
            <w:pPr>
              <w:tabs>
                <w:tab w:val="right" w:pos="4680"/>
              </w:tabs>
              <w:rPr>
                <w:rFonts w:asciiTheme="minorHAnsi" w:hAnsiTheme="minorHAnsi" w:cs="Arial"/>
                <w:sz w:val="20"/>
                <w:szCs w:val="20"/>
              </w:rPr>
            </w:pPr>
            <w:r w:rsidRPr="00B97C61">
              <w:rPr>
                <w:rFonts w:asciiTheme="minorHAnsi" w:hAnsiTheme="minorHAnsi" w:cs="Arial"/>
                <w:sz w:val="20"/>
                <w:szCs w:val="20"/>
              </w:rPr>
              <w:t>Actuarial movements on scheme assets</w:t>
            </w:r>
          </w:p>
        </w:tc>
        <w:tc>
          <w:tcPr>
            <w:tcW w:w="1133" w:type="dxa"/>
            <w:tcBorders>
              <w:top w:val="single" w:sz="4" w:space="0" w:color="auto"/>
              <w:left w:val="nil"/>
              <w:bottom w:val="nil"/>
              <w:right w:val="nil"/>
            </w:tcBorders>
            <w:shd w:val="clear" w:color="auto" w:fill="F2F2F2" w:themeFill="background1" w:themeFillShade="F2"/>
            <w:vAlign w:val="bottom"/>
          </w:tcPr>
          <w:p w14:paraId="0B7CBB02" w14:textId="55880FB5" w:rsidR="00F46D26" w:rsidRPr="006D4208" w:rsidRDefault="006306B1">
            <w:pPr>
              <w:jc w:val="right"/>
              <w:rPr>
                <w:rFonts w:asciiTheme="minorHAnsi" w:hAnsiTheme="minorHAnsi" w:cs="Arial"/>
                <w:b/>
                <w:sz w:val="20"/>
                <w:szCs w:val="20"/>
              </w:rPr>
            </w:pPr>
            <w:r>
              <w:rPr>
                <w:rFonts w:asciiTheme="minorHAnsi" w:hAnsiTheme="minorHAnsi" w:cs="Arial"/>
                <w:b/>
                <w:sz w:val="20"/>
                <w:szCs w:val="20"/>
              </w:rPr>
              <w:t>(6.8)</w:t>
            </w:r>
          </w:p>
        </w:tc>
        <w:tc>
          <w:tcPr>
            <w:tcW w:w="1410" w:type="dxa"/>
            <w:tcBorders>
              <w:top w:val="single" w:sz="4" w:space="0" w:color="auto"/>
              <w:left w:val="nil"/>
              <w:bottom w:val="nil"/>
              <w:right w:val="nil"/>
            </w:tcBorders>
            <w:vAlign w:val="bottom"/>
          </w:tcPr>
          <w:p w14:paraId="4B1EE576" w14:textId="5CE0DCE9" w:rsidR="00F46D26" w:rsidRPr="00B7427E" w:rsidRDefault="00F46D26">
            <w:pPr>
              <w:jc w:val="right"/>
              <w:rPr>
                <w:rFonts w:asciiTheme="minorHAnsi" w:hAnsiTheme="minorHAnsi" w:cs="Arial"/>
                <w:sz w:val="20"/>
                <w:szCs w:val="20"/>
              </w:rPr>
            </w:pPr>
            <w:r w:rsidRPr="00B7427E">
              <w:rPr>
                <w:rFonts w:asciiTheme="minorHAnsi" w:hAnsiTheme="minorHAnsi" w:cs="Arial"/>
                <w:sz w:val="20"/>
                <w:szCs w:val="20"/>
              </w:rPr>
              <w:t>(</w:t>
            </w:r>
            <w:r w:rsidR="00F41E77" w:rsidRPr="00F41E77">
              <w:rPr>
                <w:rFonts w:asciiTheme="minorHAnsi" w:hAnsiTheme="minorHAnsi" w:cs="Arial"/>
                <w:bCs/>
                <w:sz w:val="20"/>
                <w:szCs w:val="20"/>
              </w:rPr>
              <w:t>54.6</w:t>
            </w:r>
            <w:r w:rsidRPr="00B7427E">
              <w:rPr>
                <w:rFonts w:asciiTheme="minorHAnsi" w:hAnsiTheme="minorHAnsi" w:cs="Arial"/>
                <w:sz w:val="20"/>
                <w:szCs w:val="20"/>
              </w:rPr>
              <w:t>)</w:t>
            </w:r>
          </w:p>
        </w:tc>
        <w:tc>
          <w:tcPr>
            <w:tcW w:w="1050" w:type="dxa"/>
            <w:tcBorders>
              <w:top w:val="single" w:sz="4" w:space="0" w:color="auto"/>
              <w:left w:val="nil"/>
              <w:bottom w:val="nil"/>
              <w:right w:val="nil"/>
            </w:tcBorders>
            <w:vAlign w:val="bottom"/>
          </w:tcPr>
          <w:p w14:paraId="7B55C05F" w14:textId="2B9B44A0" w:rsidR="00F46D26" w:rsidRPr="006D4208" w:rsidRDefault="00F46D26">
            <w:pPr>
              <w:jc w:val="right"/>
              <w:rPr>
                <w:rFonts w:asciiTheme="minorHAnsi" w:hAnsiTheme="minorHAnsi" w:cs="Arial"/>
                <w:sz w:val="20"/>
                <w:szCs w:val="20"/>
              </w:rPr>
            </w:pPr>
            <w:r w:rsidRPr="006D4208">
              <w:rPr>
                <w:rFonts w:asciiTheme="minorHAnsi" w:hAnsiTheme="minorHAnsi" w:cs="Arial"/>
                <w:sz w:val="20"/>
                <w:szCs w:val="20"/>
              </w:rPr>
              <w:t>(</w:t>
            </w:r>
            <w:r w:rsidR="00F41E77" w:rsidRPr="00F41E77">
              <w:rPr>
                <w:rFonts w:asciiTheme="minorHAnsi" w:hAnsiTheme="minorHAnsi" w:cs="Arial"/>
                <w:bCs/>
                <w:sz w:val="20"/>
                <w:szCs w:val="20"/>
              </w:rPr>
              <w:t>31.4</w:t>
            </w:r>
            <w:r w:rsidRPr="006D4208">
              <w:rPr>
                <w:rFonts w:asciiTheme="minorHAnsi" w:hAnsiTheme="minorHAnsi" w:cs="Arial"/>
                <w:sz w:val="20"/>
                <w:szCs w:val="20"/>
              </w:rPr>
              <w:t>)</w:t>
            </w:r>
          </w:p>
        </w:tc>
      </w:tr>
      <w:tr w:rsidR="00F46D26" w:rsidRPr="00B97C61" w14:paraId="65F5E009" w14:textId="77777777" w:rsidTr="003B7755">
        <w:tc>
          <w:tcPr>
            <w:tcW w:w="6130" w:type="dxa"/>
            <w:vAlign w:val="bottom"/>
          </w:tcPr>
          <w:p w14:paraId="63C3CD54" w14:textId="77777777" w:rsidR="00F46D26" w:rsidRPr="00B97C61" w:rsidRDefault="00F46D26">
            <w:pPr>
              <w:tabs>
                <w:tab w:val="right" w:pos="4680"/>
              </w:tabs>
              <w:rPr>
                <w:rFonts w:asciiTheme="minorHAnsi" w:hAnsiTheme="minorHAnsi" w:cs="Arial"/>
                <w:sz w:val="20"/>
                <w:szCs w:val="20"/>
              </w:rPr>
            </w:pPr>
            <w:r w:rsidRPr="00B97C61">
              <w:rPr>
                <w:rFonts w:asciiTheme="minorHAnsi" w:hAnsiTheme="minorHAnsi" w:cs="Arial"/>
                <w:sz w:val="20"/>
                <w:szCs w:val="20"/>
              </w:rPr>
              <w:t>Actuarial movements on scheme liabilities</w:t>
            </w:r>
          </w:p>
        </w:tc>
        <w:tc>
          <w:tcPr>
            <w:tcW w:w="1133" w:type="dxa"/>
            <w:tcBorders>
              <w:top w:val="nil"/>
              <w:left w:val="nil"/>
              <w:bottom w:val="single" w:sz="4" w:space="0" w:color="auto"/>
              <w:right w:val="nil"/>
            </w:tcBorders>
            <w:shd w:val="clear" w:color="auto" w:fill="F2F2F2" w:themeFill="background1" w:themeFillShade="F2"/>
            <w:vAlign w:val="bottom"/>
          </w:tcPr>
          <w:p w14:paraId="69A9060D" w14:textId="6B74B720" w:rsidR="00F46D26" w:rsidRPr="006D4208" w:rsidRDefault="006306B1">
            <w:pPr>
              <w:jc w:val="right"/>
              <w:rPr>
                <w:rFonts w:asciiTheme="minorHAnsi" w:hAnsiTheme="minorHAnsi" w:cs="Arial"/>
                <w:b/>
                <w:sz w:val="20"/>
                <w:szCs w:val="20"/>
              </w:rPr>
            </w:pPr>
            <w:r>
              <w:rPr>
                <w:rFonts w:asciiTheme="minorHAnsi" w:hAnsiTheme="minorHAnsi" w:cs="Arial"/>
                <w:b/>
                <w:sz w:val="20"/>
                <w:szCs w:val="20"/>
              </w:rPr>
              <w:t>(8.6)</w:t>
            </w:r>
          </w:p>
        </w:tc>
        <w:tc>
          <w:tcPr>
            <w:tcW w:w="1410" w:type="dxa"/>
            <w:tcBorders>
              <w:top w:val="nil"/>
              <w:left w:val="nil"/>
              <w:bottom w:val="single" w:sz="4" w:space="0" w:color="auto"/>
              <w:right w:val="nil"/>
            </w:tcBorders>
            <w:vAlign w:val="bottom"/>
          </w:tcPr>
          <w:p w14:paraId="145A0834" w14:textId="27843FF6" w:rsidR="00F46D26" w:rsidRPr="00B7427E" w:rsidRDefault="00F41E77">
            <w:pPr>
              <w:jc w:val="right"/>
              <w:rPr>
                <w:rFonts w:asciiTheme="minorHAnsi" w:hAnsiTheme="minorHAnsi" w:cs="Arial"/>
                <w:sz w:val="20"/>
                <w:szCs w:val="20"/>
              </w:rPr>
            </w:pPr>
            <w:r w:rsidRPr="00F41E77">
              <w:rPr>
                <w:rFonts w:asciiTheme="minorHAnsi" w:hAnsiTheme="minorHAnsi" w:cs="Arial"/>
                <w:bCs/>
                <w:sz w:val="20"/>
                <w:szCs w:val="20"/>
              </w:rPr>
              <w:t>43.0</w:t>
            </w:r>
          </w:p>
        </w:tc>
        <w:tc>
          <w:tcPr>
            <w:tcW w:w="1050" w:type="dxa"/>
            <w:tcBorders>
              <w:top w:val="nil"/>
              <w:left w:val="nil"/>
              <w:bottom w:val="single" w:sz="4" w:space="0" w:color="auto"/>
              <w:right w:val="nil"/>
            </w:tcBorders>
            <w:vAlign w:val="bottom"/>
          </w:tcPr>
          <w:p w14:paraId="5CF96072" w14:textId="07601329" w:rsidR="00F46D26" w:rsidRPr="006D4208" w:rsidRDefault="00F41E77">
            <w:pPr>
              <w:jc w:val="right"/>
              <w:rPr>
                <w:rFonts w:asciiTheme="minorHAnsi" w:hAnsiTheme="minorHAnsi" w:cs="Arial"/>
                <w:sz w:val="20"/>
                <w:szCs w:val="20"/>
              </w:rPr>
            </w:pPr>
            <w:r w:rsidRPr="00F41E77">
              <w:rPr>
                <w:rFonts w:asciiTheme="minorHAnsi" w:hAnsiTheme="minorHAnsi" w:cs="Arial"/>
                <w:bCs/>
                <w:sz w:val="20"/>
                <w:szCs w:val="20"/>
              </w:rPr>
              <w:t>26.9</w:t>
            </w:r>
          </w:p>
        </w:tc>
      </w:tr>
      <w:tr w:rsidR="00F46D26" w:rsidRPr="00B97C61" w14:paraId="7EC91B38" w14:textId="77777777" w:rsidTr="003B7755">
        <w:tc>
          <w:tcPr>
            <w:tcW w:w="6130" w:type="dxa"/>
            <w:vAlign w:val="bottom"/>
          </w:tcPr>
          <w:p w14:paraId="24A0A551" w14:textId="77777777" w:rsidR="00F46D26" w:rsidRPr="00B97C61" w:rsidRDefault="00F46D26">
            <w:pPr>
              <w:tabs>
                <w:tab w:val="right" w:pos="4680"/>
              </w:tabs>
              <w:rPr>
                <w:rFonts w:asciiTheme="minorHAnsi" w:hAnsiTheme="minorHAnsi" w:cs="Arial"/>
                <w:b/>
                <w:sz w:val="20"/>
                <w:szCs w:val="20"/>
              </w:rPr>
            </w:pPr>
            <w:r w:rsidRPr="00B97C61">
              <w:rPr>
                <w:rFonts w:asciiTheme="minorHAnsi" w:hAnsiTheme="minorHAnsi" w:cs="Arial"/>
                <w:b/>
                <w:sz w:val="20"/>
                <w:szCs w:val="20"/>
              </w:rPr>
              <w:t>Total movement recognised in other comprehensive income in the year</w:t>
            </w:r>
          </w:p>
        </w:tc>
        <w:tc>
          <w:tcPr>
            <w:tcW w:w="1133" w:type="dxa"/>
            <w:tcBorders>
              <w:top w:val="single" w:sz="4" w:space="0" w:color="auto"/>
              <w:left w:val="nil"/>
              <w:bottom w:val="single" w:sz="4" w:space="0" w:color="auto"/>
              <w:right w:val="nil"/>
            </w:tcBorders>
            <w:shd w:val="clear" w:color="auto" w:fill="F2F2F2" w:themeFill="background1" w:themeFillShade="F2"/>
            <w:vAlign w:val="bottom"/>
          </w:tcPr>
          <w:p w14:paraId="41F2EB6B" w14:textId="6E2FB1C2" w:rsidR="00F46D26" w:rsidRPr="006D4208" w:rsidRDefault="00BC28E6">
            <w:pPr>
              <w:jc w:val="right"/>
              <w:rPr>
                <w:rFonts w:asciiTheme="minorHAnsi" w:hAnsiTheme="minorHAnsi" w:cs="Arial"/>
                <w:b/>
                <w:sz w:val="20"/>
                <w:szCs w:val="20"/>
              </w:rPr>
            </w:pPr>
            <w:r>
              <w:rPr>
                <w:rFonts w:asciiTheme="minorHAnsi" w:hAnsiTheme="minorHAnsi" w:cs="Arial"/>
                <w:b/>
                <w:sz w:val="20"/>
                <w:szCs w:val="20"/>
              </w:rPr>
              <w:t>(15.4)</w:t>
            </w:r>
          </w:p>
        </w:tc>
        <w:tc>
          <w:tcPr>
            <w:tcW w:w="1410" w:type="dxa"/>
            <w:tcBorders>
              <w:top w:val="single" w:sz="4" w:space="0" w:color="auto"/>
              <w:left w:val="nil"/>
              <w:bottom w:val="single" w:sz="4" w:space="0" w:color="auto"/>
              <w:right w:val="nil"/>
            </w:tcBorders>
            <w:vAlign w:val="bottom"/>
          </w:tcPr>
          <w:p w14:paraId="1F3E3D4B" w14:textId="025FB1B7" w:rsidR="00F46D26" w:rsidRPr="00B7427E" w:rsidRDefault="00F41E77">
            <w:pPr>
              <w:jc w:val="right"/>
              <w:rPr>
                <w:rFonts w:asciiTheme="minorHAnsi" w:hAnsiTheme="minorHAnsi" w:cs="Arial"/>
                <w:sz w:val="20"/>
                <w:szCs w:val="20"/>
              </w:rPr>
            </w:pPr>
            <w:r w:rsidRPr="00F41E77">
              <w:rPr>
                <w:rFonts w:asciiTheme="minorHAnsi" w:hAnsiTheme="minorHAnsi" w:cs="Arial"/>
                <w:bCs/>
                <w:sz w:val="20"/>
                <w:szCs w:val="20"/>
              </w:rPr>
              <w:t>(11.6)</w:t>
            </w:r>
          </w:p>
        </w:tc>
        <w:tc>
          <w:tcPr>
            <w:tcW w:w="1050" w:type="dxa"/>
            <w:tcBorders>
              <w:top w:val="single" w:sz="4" w:space="0" w:color="auto"/>
              <w:left w:val="nil"/>
              <w:bottom w:val="single" w:sz="4" w:space="0" w:color="auto"/>
              <w:right w:val="nil"/>
            </w:tcBorders>
            <w:vAlign w:val="bottom"/>
          </w:tcPr>
          <w:p w14:paraId="31C21C6C" w14:textId="1FFB4DE5" w:rsidR="00F46D26" w:rsidRPr="006D4208" w:rsidRDefault="00F41E77">
            <w:pPr>
              <w:jc w:val="right"/>
              <w:rPr>
                <w:rFonts w:asciiTheme="minorHAnsi" w:hAnsiTheme="minorHAnsi" w:cs="Arial"/>
                <w:sz w:val="20"/>
                <w:szCs w:val="20"/>
              </w:rPr>
            </w:pPr>
            <w:r w:rsidRPr="00F41E77">
              <w:rPr>
                <w:rFonts w:asciiTheme="minorHAnsi" w:hAnsiTheme="minorHAnsi" w:cs="Arial"/>
                <w:bCs/>
                <w:sz w:val="20"/>
                <w:szCs w:val="20"/>
              </w:rPr>
              <w:t>(4.5)</w:t>
            </w:r>
          </w:p>
        </w:tc>
      </w:tr>
      <w:tr w:rsidR="00F46D26" w:rsidRPr="00B97C61" w14:paraId="58023113" w14:textId="77777777" w:rsidTr="003B7755">
        <w:tc>
          <w:tcPr>
            <w:tcW w:w="6130" w:type="dxa"/>
            <w:vAlign w:val="bottom"/>
          </w:tcPr>
          <w:p w14:paraId="04263832" w14:textId="77777777" w:rsidR="00F46D26" w:rsidRPr="00B97C61" w:rsidRDefault="00F46D26">
            <w:pPr>
              <w:tabs>
                <w:tab w:val="right" w:pos="4680"/>
              </w:tabs>
              <w:rPr>
                <w:rFonts w:asciiTheme="minorHAnsi" w:hAnsiTheme="minorHAnsi" w:cs="Arial"/>
                <w:b/>
                <w:sz w:val="20"/>
                <w:szCs w:val="20"/>
              </w:rPr>
            </w:pPr>
            <w:r w:rsidRPr="00B97C61">
              <w:rPr>
                <w:rFonts w:asciiTheme="minorHAnsi" w:hAnsiTheme="minorHAnsi" w:cs="Poppins-Regular"/>
                <w:b/>
                <w:sz w:val="20"/>
                <w:szCs w:val="20"/>
              </w:rPr>
              <w:t>Cumulative movement recognised in other comprehensive income</w:t>
            </w:r>
          </w:p>
        </w:tc>
        <w:tc>
          <w:tcPr>
            <w:tcW w:w="1133" w:type="dxa"/>
            <w:tcBorders>
              <w:top w:val="single" w:sz="4" w:space="0" w:color="auto"/>
              <w:left w:val="nil"/>
              <w:bottom w:val="single" w:sz="18" w:space="0" w:color="auto"/>
              <w:right w:val="nil"/>
            </w:tcBorders>
            <w:shd w:val="clear" w:color="auto" w:fill="F2F2F2" w:themeFill="background1" w:themeFillShade="F2"/>
            <w:vAlign w:val="bottom"/>
          </w:tcPr>
          <w:p w14:paraId="49468B96" w14:textId="480661FD" w:rsidR="00F46D26" w:rsidRPr="006D4208" w:rsidRDefault="006306B1">
            <w:pPr>
              <w:jc w:val="right"/>
              <w:rPr>
                <w:rFonts w:asciiTheme="minorHAnsi" w:hAnsiTheme="minorHAnsi" w:cs="Arial"/>
                <w:b/>
                <w:sz w:val="20"/>
                <w:szCs w:val="20"/>
              </w:rPr>
            </w:pPr>
            <w:r>
              <w:rPr>
                <w:rFonts w:asciiTheme="minorHAnsi" w:hAnsiTheme="minorHAnsi" w:cs="Arial"/>
                <w:b/>
                <w:sz w:val="20"/>
                <w:szCs w:val="20"/>
              </w:rPr>
              <w:t>(175.3)</w:t>
            </w:r>
          </w:p>
        </w:tc>
        <w:tc>
          <w:tcPr>
            <w:tcW w:w="1410" w:type="dxa"/>
            <w:tcBorders>
              <w:top w:val="single" w:sz="4" w:space="0" w:color="auto"/>
              <w:left w:val="nil"/>
              <w:bottom w:val="single" w:sz="18" w:space="0" w:color="auto"/>
              <w:right w:val="nil"/>
            </w:tcBorders>
            <w:vAlign w:val="bottom"/>
          </w:tcPr>
          <w:p w14:paraId="3265E6E3" w14:textId="7C2B6756" w:rsidR="00F46D26" w:rsidRPr="00B7427E" w:rsidRDefault="00F46D26">
            <w:pPr>
              <w:jc w:val="right"/>
              <w:rPr>
                <w:rFonts w:asciiTheme="minorHAnsi" w:hAnsiTheme="minorHAnsi" w:cs="Arial"/>
                <w:sz w:val="20"/>
                <w:szCs w:val="20"/>
              </w:rPr>
            </w:pPr>
            <w:r>
              <w:rPr>
                <w:rFonts w:asciiTheme="minorHAnsi" w:hAnsiTheme="minorHAnsi" w:cs="Arial"/>
                <w:sz w:val="20"/>
                <w:szCs w:val="20"/>
              </w:rPr>
              <w:t>(</w:t>
            </w:r>
            <w:r w:rsidR="00F41E77" w:rsidRPr="00F41E77">
              <w:rPr>
                <w:rFonts w:asciiTheme="minorHAnsi" w:hAnsiTheme="minorHAnsi" w:cs="Arial"/>
                <w:bCs/>
                <w:sz w:val="20"/>
                <w:szCs w:val="20"/>
              </w:rPr>
              <w:t>159.9</w:t>
            </w:r>
            <w:r>
              <w:rPr>
                <w:rFonts w:asciiTheme="minorHAnsi" w:hAnsiTheme="minorHAnsi" w:cs="Arial"/>
                <w:sz w:val="20"/>
                <w:szCs w:val="20"/>
              </w:rPr>
              <w:t>)</w:t>
            </w:r>
          </w:p>
        </w:tc>
        <w:tc>
          <w:tcPr>
            <w:tcW w:w="1050" w:type="dxa"/>
            <w:tcBorders>
              <w:top w:val="single" w:sz="4" w:space="0" w:color="auto"/>
              <w:left w:val="nil"/>
              <w:bottom w:val="single" w:sz="18" w:space="0" w:color="auto"/>
              <w:right w:val="nil"/>
            </w:tcBorders>
            <w:vAlign w:val="bottom"/>
          </w:tcPr>
          <w:p w14:paraId="0A5773CD" w14:textId="11C9A372" w:rsidR="00F46D26" w:rsidRPr="006D4208" w:rsidRDefault="00F46D26">
            <w:pPr>
              <w:jc w:val="right"/>
              <w:rPr>
                <w:rFonts w:asciiTheme="minorHAnsi" w:hAnsiTheme="minorHAnsi" w:cs="Arial"/>
                <w:sz w:val="20"/>
                <w:szCs w:val="20"/>
              </w:rPr>
            </w:pPr>
            <w:r>
              <w:rPr>
                <w:rFonts w:asciiTheme="minorHAnsi" w:hAnsiTheme="minorHAnsi" w:cs="Arial"/>
                <w:sz w:val="20"/>
                <w:szCs w:val="20"/>
              </w:rPr>
              <w:t>(</w:t>
            </w:r>
            <w:r w:rsidR="00F41E77" w:rsidRPr="00F41E77">
              <w:rPr>
                <w:rFonts w:asciiTheme="minorHAnsi" w:hAnsiTheme="minorHAnsi" w:cs="Arial"/>
                <w:bCs/>
                <w:sz w:val="20"/>
                <w:szCs w:val="20"/>
              </w:rPr>
              <w:t>152.8</w:t>
            </w:r>
            <w:r>
              <w:rPr>
                <w:rFonts w:asciiTheme="minorHAnsi" w:hAnsiTheme="minorHAnsi" w:cs="Arial"/>
                <w:sz w:val="20"/>
                <w:szCs w:val="20"/>
              </w:rPr>
              <w:t>)</w:t>
            </w:r>
          </w:p>
        </w:tc>
      </w:tr>
    </w:tbl>
    <w:p w14:paraId="66F1AF1B" w14:textId="77777777" w:rsidR="00424D08" w:rsidRDefault="00424D08" w:rsidP="00424D08">
      <w:pPr>
        <w:ind w:left="360"/>
        <w:jc w:val="both"/>
        <w:rPr>
          <w:rFonts w:asciiTheme="minorHAnsi" w:hAnsiTheme="minorHAnsi" w:cs="Arial"/>
          <w:b/>
          <w:color w:val="4747FF"/>
          <w:sz w:val="22"/>
          <w:szCs w:val="22"/>
        </w:rPr>
      </w:pPr>
    </w:p>
    <w:p w14:paraId="38C46802" w14:textId="77777777" w:rsidR="00424D08" w:rsidRDefault="00424D08" w:rsidP="00424D08">
      <w:pPr>
        <w:ind w:left="360"/>
        <w:jc w:val="both"/>
        <w:rPr>
          <w:rFonts w:asciiTheme="minorHAnsi" w:hAnsiTheme="minorHAnsi" w:cs="Arial"/>
          <w:b/>
          <w:color w:val="4747FF"/>
          <w:sz w:val="22"/>
          <w:szCs w:val="22"/>
        </w:rPr>
      </w:pPr>
    </w:p>
    <w:p w14:paraId="1AD06C1A" w14:textId="47ECC78D" w:rsidR="00A1425C" w:rsidRPr="00A84AF0" w:rsidRDefault="00A84AF0" w:rsidP="00FB2D53">
      <w:pPr>
        <w:pStyle w:val="ListParagraph"/>
        <w:numPr>
          <w:ilvl w:val="0"/>
          <w:numId w:val="5"/>
        </w:numPr>
        <w:jc w:val="both"/>
        <w:rPr>
          <w:rFonts w:asciiTheme="minorHAnsi" w:hAnsiTheme="minorHAnsi" w:cs="Arial"/>
          <w:b/>
          <w:color w:val="4747FF"/>
          <w:sz w:val="22"/>
          <w:szCs w:val="22"/>
        </w:rPr>
      </w:pPr>
      <w:r w:rsidRPr="00A84AF0">
        <w:rPr>
          <w:rFonts w:asciiTheme="minorHAnsi" w:hAnsiTheme="minorHAnsi" w:cs="Arial"/>
          <w:b/>
          <w:color w:val="4747FF"/>
          <w:sz w:val="22"/>
          <w:szCs w:val="22"/>
        </w:rPr>
        <w:t>Fair value disclosures</w:t>
      </w:r>
    </w:p>
    <w:p w14:paraId="370C9333" w14:textId="77777777" w:rsidR="00A84AF0" w:rsidRPr="00A84AF0" w:rsidRDefault="00A84AF0" w:rsidP="00A84AF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Cs/>
          <w:sz w:val="20"/>
          <w:szCs w:val="20"/>
        </w:rPr>
      </w:pPr>
    </w:p>
    <w:p w14:paraId="593B8B31" w14:textId="77777777" w:rsidR="00FD0825" w:rsidRPr="00306AF1" w:rsidRDefault="00FD0825" w:rsidP="00FD0825">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306AF1">
        <w:rPr>
          <w:rFonts w:asciiTheme="minorHAnsi" w:hAnsiTheme="minorHAnsi" w:cs="Arial"/>
          <w:sz w:val="20"/>
          <w:szCs w:val="20"/>
        </w:rPr>
        <w:t xml:space="preserve">The Group holds the following financial instruments at fair value: </w:t>
      </w:r>
    </w:p>
    <w:p w14:paraId="5C57C76B" w14:textId="77777777" w:rsidR="00FD0825" w:rsidRPr="00306AF1" w:rsidRDefault="00FD0825" w:rsidP="00FD0825">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b/>
          <w:sz w:val="20"/>
          <w:szCs w:val="20"/>
        </w:rPr>
      </w:pPr>
    </w:p>
    <w:tbl>
      <w:tblPr>
        <w:tblW w:w="9889" w:type="dxa"/>
        <w:tblLook w:val="0000" w:firstRow="0" w:lastRow="0" w:firstColumn="0" w:lastColumn="0" w:noHBand="0" w:noVBand="0"/>
      </w:tblPr>
      <w:tblGrid>
        <w:gridCol w:w="6122"/>
        <w:gridCol w:w="1168"/>
        <w:gridCol w:w="1431"/>
        <w:gridCol w:w="1168"/>
      </w:tblGrid>
      <w:tr w:rsidR="00FD0825" w:rsidRPr="00306AF1" w14:paraId="6D2A6063" w14:textId="77777777" w:rsidTr="003B7755">
        <w:tc>
          <w:tcPr>
            <w:tcW w:w="6122" w:type="dxa"/>
          </w:tcPr>
          <w:p w14:paraId="2E8A2DF0" w14:textId="77777777" w:rsidR="00FD0825" w:rsidRPr="00306AF1" w:rsidRDefault="00FD0825">
            <w:pPr>
              <w:rPr>
                <w:rFonts w:asciiTheme="minorHAnsi" w:hAnsiTheme="minorHAnsi" w:cs="Arial"/>
                <w:sz w:val="20"/>
                <w:szCs w:val="20"/>
              </w:rPr>
            </w:pPr>
          </w:p>
        </w:tc>
        <w:tc>
          <w:tcPr>
            <w:tcW w:w="1168" w:type="dxa"/>
            <w:shd w:val="clear" w:color="auto" w:fill="F2F2F2" w:themeFill="background1" w:themeFillShade="F2"/>
          </w:tcPr>
          <w:p w14:paraId="390555A6" w14:textId="77777777" w:rsidR="00787F50" w:rsidRDefault="00FD0825" w:rsidP="00787F50">
            <w:pPr>
              <w:jc w:val="right"/>
              <w:rPr>
                <w:rFonts w:asciiTheme="minorHAnsi" w:hAnsiTheme="minorHAnsi" w:cs="Arial"/>
                <w:b/>
                <w:sz w:val="20"/>
                <w:szCs w:val="20"/>
              </w:rPr>
            </w:pPr>
            <w:r w:rsidRPr="00673F0D">
              <w:rPr>
                <w:rFonts w:asciiTheme="minorHAnsi" w:hAnsiTheme="minorHAnsi" w:cs="Arial"/>
                <w:b/>
                <w:sz w:val="20"/>
                <w:szCs w:val="20"/>
              </w:rPr>
              <w:t>30 June</w:t>
            </w:r>
          </w:p>
          <w:p w14:paraId="1CB387AA" w14:textId="77777777" w:rsidR="00787F50" w:rsidRDefault="00787F50" w:rsidP="00787F50">
            <w:pPr>
              <w:jc w:val="right"/>
              <w:rPr>
                <w:rFonts w:asciiTheme="minorHAnsi" w:hAnsiTheme="minorHAnsi" w:cs="Arial"/>
                <w:b/>
                <w:sz w:val="20"/>
                <w:szCs w:val="20"/>
              </w:rPr>
            </w:pPr>
            <w:r w:rsidRPr="000E0F97">
              <w:rPr>
                <w:rFonts w:asciiTheme="minorHAnsi" w:hAnsiTheme="minorHAnsi" w:cs="Arial"/>
                <w:b/>
                <w:sz w:val="20"/>
                <w:szCs w:val="20"/>
              </w:rPr>
              <w:t>202</w:t>
            </w:r>
            <w:r>
              <w:rPr>
                <w:rFonts w:asciiTheme="minorHAnsi" w:hAnsiTheme="minorHAnsi" w:cs="Arial"/>
                <w:b/>
                <w:sz w:val="20"/>
                <w:szCs w:val="20"/>
              </w:rPr>
              <w:t>5</w:t>
            </w:r>
          </w:p>
          <w:p w14:paraId="06111068" w14:textId="2E684DBD" w:rsidR="00FD0825" w:rsidRPr="00673F0D" w:rsidRDefault="00787F50">
            <w:pPr>
              <w:ind w:hanging="250"/>
              <w:jc w:val="right"/>
              <w:rPr>
                <w:rFonts w:asciiTheme="minorHAnsi" w:hAnsiTheme="minorHAnsi" w:cs="Arial"/>
                <w:b/>
                <w:sz w:val="20"/>
                <w:szCs w:val="20"/>
              </w:rPr>
            </w:pPr>
            <w:r>
              <w:rPr>
                <w:rFonts w:asciiTheme="minorHAnsi" w:hAnsiTheme="minorHAnsi" w:cs="Arial"/>
                <w:b/>
                <w:sz w:val="20"/>
                <w:szCs w:val="20"/>
              </w:rPr>
              <w:t>unaudited</w:t>
            </w:r>
          </w:p>
        </w:tc>
        <w:tc>
          <w:tcPr>
            <w:tcW w:w="1431" w:type="dxa"/>
          </w:tcPr>
          <w:p w14:paraId="78E1B69A" w14:textId="77777777" w:rsidR="00787F50" w:rsidRDefault="00FD0825" w:rsidP="00787F50">
            <w:pPr>
              <w:jc w:val="right"/>
              <w:rPr>
                <w:rFonts w:asciiTheme="minorHAnsi" w:hAnsiTheme="minorHAnsi" w:cs="Arial"/>
                <w:sz w:val="20"/>
                <w:szCs w:val="20"/>
              </w:rPr>
            </w:pPr>
            <w:r w:rsidRPr="004440B7">
              <w:rPr>
                <w:rFonts w:asciiTheme="minorHAnsi" w:hAnsiTheme="minorHAnsi" w:cs="Arial"/>
                <w:sz w:val="20"/>
                <w:szCs w:val="20"/>
              </w:rPr>
              <w:t>31 December</w:t>
            </w:r>
            <w:r w:rsidR="00787F50">
              <w:rPr>
                <w:rFonts w:asciiTheme="minorHAnsi" w:hAnsiTheme="minorHAnsi" w:cs="Arial"/>
                <w:sz w:val="20"/>
                <w:szCs w:val="20"/>
              </w:rPr>
              <w:t xml:space="preserve"> </w:t>
            </w:r>
            <w:r w:rsidR="00787F50" w:rsidRPr="00B97C61">
              <w:rPr>
                <w:rFonts w:asciiTheme="minorHAnsi" w:hAnsiTheme="minorHAnsi" w:cs="Arial"/>
                <w:sz w:val="20"/>
                <w:szCs w:val="20"/>
              </w:rPr>
              <w:t>202</w:t>
            </w:r>
            <w:r w:rsidR="00787F50">
              <w:rPr>
                <w:rFonts w:asciiTheme="minorHAnsi" w:hAnsiTheme="minorHAnsi" w:cs="Arial"/>
                <w:sz w:val="20"/>
                <w:szCs w:val="20"/>
              </w:rPr>
              <w:t>4</w:t>
            </w:r>
          </w:p>
          <w:p w14:paraId="57AF0C71" w14:textId="06271EF8" w:rsidR="00FD0825" w:rsidRPr="004440B7" w:rsidRDefault="00787F50">
            <w:pPr>
              <w:jc w:val="right"/>
              <w:rPr>
                <w:rFonts w:asciiTheme="minorHAnsi" w:hAnsiTheme="minorHAnsi" w:cs="Arial"/>
                <w:sz w:val="20"/>
                <w:szCs w:val="20"/>
              </w:rPr>
            </w:pPr>
            <w:r>
              <w:rPr>
                <w:rFonts w:asciiTheme="minorHAnsi" w:hAnsiTheme="minorHAnsi" w:cs="Arial"/>
                <w:sz w:val="20"/>
                <w:szCs w:val="20"/>
              </w:rPr>
              <w:t>audited</w:t>
            </w:r>
          </w:p>
        </w:tc>
        <w:tc>
          <w:tcPr>
            <w:tcW w:w="1168" w:type="dxa"/>
          </w:tcPr>
          <w:p w14:paraId="7C93F691" w14:textId="77777777" w:rsidR="00787F50" w:rsidRDefault="00FD0825" w:rsidP="00787F50">
            <w:pPr>
              <w:jc w:val="right"/>
              <w:rPr>
                <w:rFonts w:asciiTheme="minorHAnsi" w:hAnsiTheme="minorHAnsi" w:cs="Arial"/>
                <w:sz w:val="20"/>
                <w:szCs w:val="20"/>
              </w:rPr>
            </w:pPr>
            <w:r w:rsidRPr="004440B7">
              <w:rPr>
                <w:rFonts w:asciiTheme="minorHAnsi" w:hAnsiTheme="minorHAnsi" w:cs="Arial"/>
                <w:sz w:val="20"/>
                <w:szCs w:val="20"/>
              </w:rPr>
              <w:t>30 June</w:t>
            </w:r>
            <w:r w:rsidR="00787F50">
              <w:rPr>
                <w:rFonts w:asciiTheme="minorHAnsi" w:hAnsiTheme="minorHAnsi" w:cs="Arial"/>
                <w:sz w:val="20"/>
                <w:szCs w:val="20"/>
              </w:rPr>
              <w:t xml:space="preserve"> </w:t>
            </w:r>
            <w:r w:rsidR="00787F50" w:rsidRPr="00B97C61">
              <w:rPr>
                <w:rFonts w:asciiTheme="minorHAnsi" w:hAnsiTheme="minorHAnsi" w:cs="Arial"/>
                <w:sz w:val="20"/>
                <w:szCs w:val="20"/>
              </w:rPr>
              <w:t>202</w:t>
            </w:r>
            <w:r w:rsidR="00787F50">
              <w:rPr>
                <w:rFonts w:asciiTheme="minorHAnsi" w:hAnsiTheme="minorHAnsi" w:cs="Arial"/>
                <w:sz w:val="20"/>
                <w:szCs w:val="20"/>
              </w:rPr>
              <w:t>4</w:t>
            </w:r>
          </w:p>
          <w:p w14:paraId="717D40C3" w14:textId="53671C53" w:rsidR="00FD0825" w:rsidRPr="004440B7" w:rsidRDefault="00787F50">
            <w:pPr>
              <w:ind w:hanging="250"/>
              <w:jc w:val="right"/>
              <w:rPr>
                <w:rFonts w:asciiTheme="minorHAnsi" w:hAnsiTheme="minorHAnsi" w:cs="Arial"/>
                <w:sz w:val="20"/>
                <w:szCs w:val="20"/>
              </w:rPr>
            </w:pPr>
            <w:r>
              <w:rPr>
                <w:rFonts w:asciiTheme="minorHAnsi" w:hAnsiTheme="minorHAnsi" w:cs="Arial"/>
                <w:sz w:val="20"/>
                <w:szCs w:val="20"/>
              </w:rPr>
              <w:t>unaudited</w:t>
            </w:r>
          </w:p>
        </w:tc>
      </w:tr>
      <w:tr w:rsidR="00FD0825" w:rsidRPr="00306AF1" w14:paraId="2E965CF3" w14:textId="77777777" w:rsidTr="003B7755">
        <w:tc>
          <w:tcPr>
            <w:tcW w:w="6122" w:type="dxa"/>
          </w:tcPr>
          <w:p w14:paraId="67CB34AF" w14:textId="77777777" w:rsidR="00FD0825" w:rsidRPr="00306AF1" w:rsidRDefault="00FD0825">
            <w:pPr>
              <w:rPr>
                <w:rFonts w:asciiTheme="minorHAnsi" w:hAnsiTheme="minorHAnsi" w:cs="Arial"/>
                <w:sz w:val="20"/>
                <w:szCs w:val="20"/>
              </w:rPr>
            </w:pPr>
          </w:p>
        </w:tc>
        <w:tc>
          <w:tcPr>
            <w:tcW w:w="1168" w:type="dxa"/>
            <w:tcBorders>
              <w:top w:val="nil"/>
              <w:left w:val="nil"/>
              <w:bottom w:val="single" w:sz="4" w:space="0" w:color="auto"/>
              <w:right w:val="nil"/>
            </w:tcBorders>
            <w:shd w:val="clear" w:color="auto" w:fill="F2F2F2" w:themeFill="background1" w:themeFillShade="F2"/>
          </w:tcPr>
          <w:p w14:paraId="79B107D2" w14:textId="77777777" w:rsidR="00FD0825" w:rsidRPr="00673F0D" w:rsidRDefault="00FD0825">
            <w:pPr>
              <w:jc w:val="right"/>
              <w:rPr>
                <w:rFonts w:asciiTheme="minorHAnsi" w:hAnsiTheme="minorHAnsi" w:cs="Arial"/>
                <w:b/>
                <w:sz w:val="20"/>
                <w:szCs w:val="20"/>
              </w:rPr>
            </w:pPr>
            <w:r w:rsidRPr="00673F0D">
              <w:rPr>
                <w:rFonts w:asciiTheme="minorHAnsi" w:hAnsiTheme="minorHAnsi" w:cs="Arial"/>
                <w:b/>
                <w:sz w:val="20"/>
                <w:szCs w:val="20"/>
              </w:rPr>
              <w:t>£m </w:t>
            </w:r>
          </w:p>
        </w:tc>
        <w:tc>
          <w:tcPr>
            <w:tcW w:w="1431" w:type="dxa"/>
            <w:tcBorders>
              <w:top w:val="nil"/>
              <w:left w:val="nil"/>
              <w:bottom w:val="single" w:sz="4" w:space="0" w:color="auto"/>
              <w:right w:val="nil"/>
            </w:tcBorders>
          </w:tcPr>
          <w:p w14:paraId="1785F2DC" w14:textId="77777777" w:rsidR="00FD0825" w:rsidRPr="004440B7" w:rsidRDefault="00FD0825">
            <w:pPr>
              <w:jc w:val="right"/>
              <w:rPr>
                <w:rFonts w:asciiTheme="minorHAnsi" w:hAnsiTheme="minorHAnsi" w:cs="Arial"/>
                <w:sz w:val="20"/>
                <w:szCs w:val="20"/>
              </w:rPr>
            </w:pPr>
            <w:r w:rsidRPr="004440B7">
              <w:rPr>
                <w:rFonts w:asciiTheme="minorHAnsi" w:hAnsiTheme="minorHAnsi" w:cs="Arial"/>
                <w:sz w:val="20"/>
                <w:szCs w:val="20"/>
              </w:rPr>
              <w:t>£m </w:t>
            </w:r>
          </w:p>
        </w:tc>
        <w:tc>
          <w:tcPr>
            <w:tcW w:w="1168" w:type="dxa"/>
            <w:tcBorders>
              <w:top w:val="nil"/>
              <w:left w:val="nil"/>
              <w:bottom w:val="single" w:sz="4" w:space="0" w:color="auto"/>
              <w:right w:val="nil"/>
            </w:tcBorders>
          </w:tcPr>
          <w:p w14:paraId="08C2A73C" w14:textId="77777777" w:rsidR="00FD0825" w:rsidRPr="004440B7" w:rsidRDefault="00FD0825">
            <w:pPr>
              <w:jc w:val="right"/>
              <w:rPr>
                <w:rFonts w:asciiTheme="minorHAnsi" w:hAnsiTheme="minorHAnsi" w:cs="Arial"/>
                <w:sz w:val="20"/>
                <w:szCs w:val="20"/>
              </w:rPr>
            </w:pPr>
            <w:r w:rsidRPr="004440B7">
              <w:rPr>
                <w:rFonts w:asciiTheme="minorHAnsi" w:hAnsiTheme="minorHAnsi" w:cs="Arial"/>
                <w:sz w:val="20"/>
                <w:szCs w:val="20"/>
              </w:rPr>
              <w:t>£m </w:t>
            </w:r>
          </w:p>
        </w:tc>
      </w:tr>
      <w:tr w:rsidR="00FD0825" w:rsidRPr="005D35B7" w14:paraId="730624C4" w14:textId="77777777" w:rsidTr="003B7755">
        <w:tc>
          <w:tcPr>
            <w:tcW w:w="6122" w:type="dxa"/>
            <w:vAlign w:val="bottom"/>
          </w:tcPr>
          <w:p w14:paraId="597899F0" w14:textId="77777777" w:rsidR="00FD0825" w:rsidRPr="00306AF1" w:rsidRDefault="00FD0825" w:rsidP="00FD0825">
            <w:pPr>
              <w:rPr>
                <w:rFonts w:asciiTheme="minorHAnsi" w:hAnsiTheme="minorHAnsi" w:cs="Arial"/>
                <w:b/>
                <w:sz w:val="20"/>
                <w:szCs w:val="20"/>
              </w:rPr>
            </w:pPr>
            <w:r w:rsidRPr="00306AF1">
              <w:rPr>
                <w:rFonts w:asciiTheme="minorHAnsi" w:hAnsiTheme="minorHAnsi" w:cs="Arial"/>
                <w:b/>
                <w:sz w:val="20"/>
                <w:szCs w:val="20"/>
              </w:rPr>
              <w:t>Financial assets</w:t>
            </w:r>
          </w:p>
          <w:p w14:paraId="02B666DB" w14:textId="77777777" w:rsidR="00FD0825" w:rsidRPr="00306AF1" w:rsidRDefault="00FD0825" w:rsidP="00FD0825">
            <w:pPr>
              <w:rPr>
                <w:rFonts w:asciiTheme="minorHAnsi" w:hAnsiTheme="minorHAnsi" w:cs="Arial"/>
                <w:sz w:val="20"/>
                <w:szCs w:val="20"/>
              </w:rPr>
            </w:pPr>
            <w:r w:rsidRPr="00306AF1">
              <w:rPr>
                <w:rFonts w:asciiTheme="minorHAnsi" w:hAnsiTheme="minorHAnsi" w:cs="Arial"/>
                <w:sz w:val="20"/>
                <w:szCs w:val="20"/>
              </w:rPr>
              <w:t>Derivatives</w:t>
            </w:r>
          </w:p>
        </w:tc>
        <w:tc>
          <w:tcPr>
            <w:tcW w:w="1168" w:type="dxa"/>
            <w:shd w:val="clear" w:color="auto" w:fill="F2F2F2" w:themeFill="background1" w:themeFillShade="F2"/>
            <w:vAlign w:val="bottom"/>
          </w:tcPr>
          <w:p w14:paraId="2A948ACB" w14:textId="565581D8" w:rsidR="00FD0825" w:rsidRPr="00673F0D" w:rsidRDefault="00664D1C" w:rsidP="00FD0825">
            <w:pPr>
              <w:jc w:val="right"/>
              <w:rPr>
                <w:rFonts w:asciiTheme="minorHAnsi" w:hAnsiTheme="minorHAnsi" w:cs="Arial"/>
                <w:b/>
                <w:sz w:val="20"/>
                <w:szCs w:val="20"/>
              </w:rPr>
            </w:pPr>
            <w:r>
              <w:rPr>
                <w:rFonts w:asciiTheme="minorHAnsi" w:hAnsiTheme="minorHAnsi" w:cs="Arial"/>
                <w:b/>
                <w:sz w:val="20"/>
                <w:szCs w:val="20"/>
              </w:rPr>
              <w:t>2.0</w:t>
            </w:r>
          </w:p>
        </w:tc>
        <w:tc>
          <w:tcPr>
            <w:tcW w:w="1431" w:type="dxa"/>
            <w:vAlign w:val="bottom"/>
          </w:tcPr>
          <w:p w14:paraId="1F9D602C" w14:textId="0A4FB1FE" w:rsidR="00FD0825" w:rsidRPr="006D4208" w:rsidRDefault="001C1105" w:rsidP="00FD0825">
            <w:pPr>
              <w:jc w:val="right"/>
              <w:rPr>
                <w:rFonts w:asciiTheme="minorHAnsi" w:hAnsiTheme="minorHAnsi" w:cs="Arial"/>
                <w:sz w:val="20"/>
                <w:szCs w:val="20"/>
              </w:rPr>
            </w:pPr>
            <w:r>
              <w:rPr>
                <w:rFonts w:asciiTheme="minorHAnsi" w:hAnsiTheme="minorHAnsi" w:cs="Arial"/>
                <w:sz w:val="20"/>
                <w:szCs w:val="20"/>
              </w:rPr>
              <w:t>-</w:t>
            </w:r>
          </w:p>
        </w:tc>
        <w:tc>
          <w:tcPr>
            <w:tcW w:w="1168" w:type="dxa"/>
            <w:vAlign w:val="bottom"/>
          </w:tcPr>
          <w:p w14:paraId="737F3AF8" w14:textId="47E388D9" w:rsidR="00FD0825" w:rsidRPr="00FD0825" w:rsidRDefault="00FD0825" w:rsidP="00FD0825">
            <w:pPr>
              <w:jc w:val="right"/>
              <w:rPr>
                <w:rFonts w:asciiTheme="minorHAnsi" w:hAnsiTheme="minorHAnsi" w:cs="Arial"/>
                <w:bCs/>
                <w:sz w:val="20"/>
                <w:szCs w:val="20"/>
              </w:rPr>
            </w:pPr>
            <w:r w:rsidRPr="00FD0825">
              <w:rPr>
                <w:rFonts w:asciiTheme="minorHAnsi" w:hAnsiTheme="minorHAnsi" w:cs="Arial"/>
                <w:bCs/>
                <w:sz w:val="20"/>
                <w:szCs w:val="20"/>
              </w:rPr>
              <w:t>1.1</w:t>
            </w:r>
          </w:p>
        </w:tc>
      </w:tr>
      <w:tr w:rsidR="00FD0825" w:rsidRPr="005D35B7" w14:paraId="7290AE50" w14:textId="77777777" w:rsidTr="003B7755">
        <w:tc>
          <w:tcPr>
            <w:tcW w:w="6122" w:type="dxa"/>
          </w:tcPr>
          <w:p w14:paraId="4DBD69F7" w14:textId="77777777" w:rsidR="00FD0825" w:rsidRPr="00306AF1" w:rsidRDefault="00FD0825" w:rsidP="00FD0825">
            <w:pPr>
              <w:pStyle w:val="Heading5"/>
              <w:tabs>
                <w:tab w:val="clear" w:pos="720"/>
                <w:tab w:val="right" w:pos="4680"/>
              </w:tabs>
              <w:jc w:val="left"/>
              <w:rPr>
                <w:rFonts w:asciiTheme="minorHAnsi" w:hAnsiTheme="minorHAnsi" w:cs="Arial"/>
                <w:b w:val="0"/>
                <w:sz w:val="20"/>
              </w:rPr>
            </w:pPr>
            <w:r w:rsidRPr="00306AF1">
              <w:rPr>
                <w:rFonts w:asciiTheme="minorHAnsi" w:hAnsiTheme="minorHAnsi" w:cs="Arial"/>
                <w:b w:val="0"/>
                <w:sz w:val="20"/>
              </w:rPr>
              <w:t>Visa Inc. shares</w:t>
            </w:r>
          </w:p>
        </w:tc>
        <w:tc>
          <w:tcPr>
            <w:tcW w:w="1168" w:type="dxa"/>
            <w:tcBorders>
              <w:bottom w:val="single" w:sz="4" w:space="0" w:color="auto"/>
            </w:tcBorders>
            <w:shd w:val="clear" w:color="auto" w:fill="F2F2F2" w:themeFill="background1" w:themeFillShade="F2"/>
            <w:vAlign w:val="bottom"/>
          </w:tcPr>
          <w:p w14:paraId="7696FED2" w14:textId="7C665F31" w:rsidR="00FD0825" w:rsidRPr="00673F0D" w:rsidRDefault="00964373" w:rsidP="00FD0825">
            <w:pPr>
              <w:jc w:val="right"/>
              <w:rPr>
                <w:rFonts w:asciiTheme="minorHAnsi" w:hAnsiTheme="minorHAnsi" w:cs="Arial"/>
                <w:b/>
                <w:sz w:val="20"/>
                <w:szCs w:val="20"/>
              </w:rPr>
            </w:pPr>
            <w:r>
              <w:rPr>
                <w:rFonts w:asciiTheme="minorHAnsi" w:hAnsiTheme="minorHAnsi" w:cs="Arial"/>
                <w:b/>
                <w:sz w:val="20"/>
                <w:szCs w:val="20"/>
              </w:rPr>
              <w:t>2.3</w:t>
            </w:r>
          </w:p>
        </w:tc>
        <w:tc>
          <w:tcPr>
            <w:tcW w:w="1431" w:type="dxa"/>
            <w:tcBorders>
              <w:bottom w:val="single" w:sz="4" w:space="0" w:color="auto"/>
            </w:tcBorders>
            <w:vAlign w:val="bottom"/>
          </w:tcPr>
          <w:p w14:paraId="19BAB32E" w14:textId="51E67F0E" w:rsidR="00FD0825" w:rsidRPr="006D4208" w:rsidRDefault="00464EE1" w:rsidP="00FD0825">
            <w:pPr>
              <w:jc w:val="right"/>
              <w:rPr>
                <w:rFonts w:asciiTheme="minorHAnsi" w:hAnsiTheme="minorHAnsi" w:cs="Arial"/>
                <w:sz w:val="20"/>
                <w:szCs w:val="20"/>
              </w:rPr>
            </w:pPr>
            <w:r>
              <w:rPr>
                <w:rFonts w:asciiTheme="minorHAnsi" w:hAnsiTheme="minorHAnsi" w:cs="Arial"/>
                <w:sz w:val="20"/>
                <w:szCs w:val="20"/>
              </w:rPr>
              <w:t>2.3</w:t>
            </w:r>
          </w:p>
        </w:tc>
        <w:tc>
          <w:tcPr>
            <w:tcW w:w="1168" w:type="dxa"/>
            <w:tcBorders>
              <w:bottom w:val="single" w:sz="4" w:space="0" w:color="auto"/>
            </w:tcBorders>
            <w:vAlign w:val="bottom"/>
          </w:tcPr>
          <w:p w14:paraId="2A78ACFA" w14:textId="1AE5CEB2" w:rsidR="00FD0825" w:rsidRPr="00FD0825" w:rsidRDefault="00FD0825" w:rsidP="00FD0825">
            <w:pPr>
              <w:jc w:val="right"/>
              <w:rPr>
                <w:rFonts w:asciiTheme="minorHAnsi" w:hAnsiTheme="minorHAnsi" w:cs="Arial"/>
                <w:bCs/>
                <w:sz w:val="20"/>
                <w:szCs w:val="20"/>
              </w:rPr>
            </w:pPr>
            <w:r w:rsidRPr="00FD0825">
              <w:rPr>
                <w:rFonts w:asciiTheme="minorHAnsi" w:hAnsiTheme="minorHAnsi" w:cs="Arial"/>
                <w:bCs/>
                <w:sz w:val="20"/>
                <w:szCs w:val="20"/>
              </w:rPr>
              <w:t>5.1</w:t>
            </w:r>
          </w:p>
        </w:tc>
      </w:tr>
      <w:tr w:rsidR="00FD0825" w:rsidRPr="005D35B7" w14:paraId="4118008E" w14:textId="77777777" w:rsidTr="003B7755">
        <w:tc>
          <w:tcPr>
            <w:tcW w:w="6122" w:type="dxa"/>
            <w:vAlign w:val="bottom"/>
          </w:tcPr>
          <w:p w14:paraId="337C1572" w14:textId="77777777" w:rsidR="00FD0825" w:rsidRPr="00306AF1" w:rsidRDefault="00FD0825" w:rsidP="00FD0825">
            <w:pPr>
              <w:rPr>
                <w:rFonts w:asciiTheme="minorHAnsi" w:hAnsiTheme="minorHAnsi" w:cs="Arial"/>
                <w:sz w:val="20"/>
                <w:szCs w:val="20"/>
                <w:lang w:val="en-US"/>
              </w:rPr>
            </w:pPr>
          </w:p>
        </w:tc>
        <w:tc>
          <w:tcPr>
            <w:tcW w:w="1168" w:type="dxa"/>
            <w:tcBorders>
              <w:top w:val="single" w:sz="4" w:space="0" w:color="auto"/>
              <w:bottom w:val="single" w:sz="12" w:space="0" w:color="auto"/>
            </w:tcBorders>
            <w:shd w:val="clear" w:color="auto" w:fill="F2F2F2" w:themeFill="background1" w:themeFillShade="F2"/>
            <w:vAlign w:val="bottom"/>
          </w:tcPr>
          <w:p w14:paraId="3A4F7CEC" w14:textId="3B7B6509" w:rsidR="00FD0825" w:rsidRPr="00673F0D" w:rsidRDefault="00303D50" w:rsidP="00FD0825">
            <w:pPr>
              <w:jc w:val="right"/>
              <w:rPr>
                <w:rFonts w:asciiTheme="minorHAnsi" w:hAnsiTheme="minorHAnsi" w:cs="Arial"/>
                <w:b/>
                <w:sz w:val="20"/>
                <w:szCs w:val="20"/>
              </w:rPr>
            </w:pPr>
            <w:r>
              <w:rPr>
                <w:rFonts w:asciiTheme="minorHAnsi" w:hAnsiTheme="minorHAnsi" w:cs="Arial"/>
                <w:b/>
                <w:sz w:val="20"/>
                <w:szCs w:val="20"/>
              </w:rPr>
              <w:t>4.3</w:t>
            </w:r>
          </w:p>
        </w:tc>
        <w:tc>
          <w:tcPr>
            <w:tcW w:w="1431" w:type="dxa"/>
            <w:tcBorders>
              <w:top w:val="single" w:sz="4" w:space="0" w:color="auto"/>
              <w:bottom w:val="single" w:sz="12" w:space="0" w:color="auto"/>
            </w:tcBorders>
            <w:vAlign w:val="bottom"/>
          </w:tcPr>
          <w:p w14:paraId="167840A7" w14:textId="6AC51D6C" w:rsidR="00FD0825" w:rsidRPr="006D4208" w:rsidRDefault="00027D6D" w:rsidP="00FD0825">
            <w:pPr>
              <w:jc w:val="right"/>
              <w:rPr>
                <w:rFonts w:asciiTheme="minorHAnsi" w:hAnsiTheme="minorHAnsi" w:cs="Arial"/>
                <w:sz w:val="20"/>
                <w:szCs w:val="20"/>
              </w:rPr>
            </w:pPr>
            <w:r>
              <w:rPr>
                <w:rFonts w:asciiTheme="minorHAnsi" w:hAnsiTheme="minorHAnsi" w:cs="Arial"/>
                <w:sz w:val="20"/>
                <w:szCs w:val="20"/>
              </w:rPr>
              <w:t>2.3</w:t>
            </w:r>
          </w:p>
        </w:tc>
        <w:tc>
          <w:tcPr>
            <w:tcW w:w="1168" w:type="dxa"/>
            <w:tcBorders>
              <w:top w:val="single" w:sz="4" w:space="0" w:color="auto"/>
              <w:bottom w:val="single" w:sz="12" w:space="0" w:color="auto"/>
            </w:tcBorders>
            <w:vAlign w:val="bottom"/>
          </w:tcPr>
          <w:p w14:paraId="1E55151F" w14:textId="4A97CF94" w:rsidR="00FD0825" w:rsidRPr="00FD0825" w:rsidRDefault="00FD0825" w:rsidP="00FD0825">
            <w:pPr>
              <w:jc w:val="right"/>
              <w:rPr>
                <w:rFonts w:asciiTheme="minorHAnsi" w:hAnsiTheme="minorHAnsi" w:cs="Arial"/>
                <w:bCs/>
                <w:sz w:val="20"/>
                <w:szCs w:val="20"/>
              </w:rPr>
            </w:pPr>
            <w:r w:rsidRPr="00FD0825">
              <w:rPr>
                <w:rFonts w:asciiTheme="minorHAnsi" w:hAnsiTheme="minorHAnsi" w:cs="Arial"/>
                <w:bCs/>
                <w:sz w:val="20"/>
                <w:szCs w:val="20"/>
              </w:rPr>
              <w:t>6.2</w:t>
            </w:r>
          </w:p>
        </w:tc>
      </w:tr>
      <w:tr w:rsidR="00FD0825" w:rsidRPr="005D35B7" w14:paraId="33C4BD77" w14:textId="77777777" w:rsidTr="003B7755">
        <w:tc>
          <w:tcPr>
            <w:tcW w:w="6122" w:type="dxa"/>
            <w:vAlign w:val="bottom"/>
          </w:tcPr>
          <w:p w14:paraId="50DA2D90" w14:textId="77777777" w:rsidR="00FD0825" w:rsidRPr="00306AF1" w:rsidRDefault="00FD0825" w:rsidP="00FD0825">
            <w:pPr>
              <w:rPr>
                <w:rFonts w:asciiTheme="minorHAnsi" w:hAnsiTheme="minorHAnsi" w:cs="Arial"/>
                <w:b/>
                <w:sz w:val="20"/>
                <w:szCs w:val="20"/>
              </w:rPr>
            </w:pPr>
            <w:r w:rsidRPr="00306AF1">
              <w:rPr>
                <w:rFonts w:asciiTheme="minorHAnsi" w:hAnsiTheme="minorHAnsi" w:cs="Arial"/>
                <w:b/>
                <w:sz w:val="20"/>
                <w:szCs w:val="20"/>
              </w:rPr>
              <w:t>Financial liabilities</w:t>
            </w:r>
          </w:p>
        </w:tc>
        <w:tc>
          <w:tcPr>
            <w:tcW w:w="1168" w:type="dxa"/>
            <w:tcBorders>
              <w:top w:val="single" w:sz="12" w:space="0" w:color="auto"/>
            </w:tcBorders>
            <w:shd w:val="clear" w:color="auto" w:fill="F2F2F2" w:themeFill="background1" w:themeFillShade="F2"/>
            <w:vAlign w:val="bottom"/>
          </w:tcPr>
          <w:p w14:paraId="5D12CF51" w14:textId="77777777" w:rsidR="00FD0825" w:rsidRPr="00673F0D" w:rsidRDefault="00FD0825" w:rsidP="00FD0825">
            <w:pPr>
              <w:jc w:val="right"/>
              <w:rPr>
                <w:rFonts w:asciiTheme="minorHAnsi" w:hAnsiTheme="minorHAnsi" w:cs="Arial"/>
                <w:b/>
                <w:sz w:val="20"/>
                <w:szCs w:val="20"/>
                <w:highlight w:val="yellow"/>
              </w:rPr>
            </w:pPr>
          </w:p>
        </w:tc>
        <w:tc>
          <w:tcPr>
            <w:tcW w:w="1431" w:type="dxa"/>
            <w:tcBorders>
              <w:top w:val="single" w:sz="12" w:space="0" w:color="auto"/>
            </w:tcBorders>
            <w:vAlign w:val="bottom"/>
          </w:tcPr>
          <w:p w14:paraId="35A846BF" w14:textId="77777777" w:rsidR="00FD0825" w:rsidRPr="00797236" w:rsidRDefault="00FD0825" w:rsidP="00FD0825">
            <w:pPr>
              <w:jc w:val="right"/>
              <w:rPr>
                <w:rFonts w:asciiTheme="minorHAnsi" w:hAnsiTheme="minorHAnsi" w:cs="Arial"/>
                <w:sz w:val="20"/>
                <w:szCs w:val="20"/>
                <w:highlight w:val="green"/>
              </w:rPr>
            </w:pPr>
          </w:p>
        </w:tc>
        <w:tc>
          <w:tcPr>
            <w:tcW w:w="1168" w:type="dxa"/>
            <w:tcBorders>
              <w:top w:val="single" w:sz="12" w:space="0" w:color="auto"/>
            </w:tcBorders>
            <w:vAlign w:val="bottom"/>
          </w:tcPr>
          <w:p w14:paraId="13AECB95" w14:textId="77777777" w:rsidR="00FD0825" w:rsidRPr="00FD0825" w:rsidRDefault="00FD0825" w:rsidP="00FD0825">
            <w:pPr>
              <w:jc w:val="right"/>
              <w:rPr>
                <w:rFonts w:asciiTheme="minorHAnsi" w:hAnsiTheme="minorHAnsi" w:cs="Arial"/>
                <w:bCs/>
                <w:sz w:val="20"/>
                <w:szCs w:val="20"/>
                <w:highlight w:val="green"/>
              </w:rPr>
            </w:pPr>
          </w:p>
        </w:tc>
      </w:tr>
      <w:tr w:rsidR="00FD0825" w:rsidRPr="005D35B7" w14:paraId="23FFC3FE" w14:textId="77777777" w:rsidTr="003B7755">
        <w:trPr>
          <w:trHeight w:val="80"/>
        </w:trPr>
        <w:tc>
          <w:tcPr>
            <w:tcW w:w="6122" w:type="dxa"/>
          </w:tcPr>
          <w:p w14:paraId="1DA549C3" w14:textId="77777777" w:rsidR="00FD0825" w:rsidRPr="00306AF1" w:rsidRDefault="00FD0825" w:rsidP="00FD0825">
            <w:pPr>
              <w:rPr>
                <w:rFonts w:asciiTheme="minorHAnsi" w:hAnsiTheme="minorHAnsi" w:cs="Arial"/>
                <w:sz w:val="20"/>
                <w:szCs w:val="20"/>
              </w:rPr>
            </w:pPr>
            <w:r w:rsidRPr="00306AF1">
              <w:rPr>
                <w:rFonts w:asciiTheme="minorHAnsi" w:hAnsiTheme="minorHAnsi" w:cs="Arial"/>
                <w:sz w:val="20"/>
                <w:szCs w:val="20"/>
              </w:rPr>
              <w:t>Derivatives</w:t>
            </w:r>
          </w:p>
        </w:tc>
        <w:tc>
          <w:tcPr>
            <w:tcW w:w="1168" w:type="dxa"/>
            <w:tcBorders>
              <w:bottom w:val="single" w:sz="12" w:space="0" w:color="auto"/>
            </w:tcBorders>
            <w:shd w:val="clear" w:color="auto" w:fill="F2F2F2" w:themeFill="background1" w:themeFillShade="F2"/>
            <w:vAlign w:val="bottom"/>
          </w:tcPr>
          <w:p w14:paraId="690B74E9" w14:textId="41EC3771" w:rsidR="00FD0825" w:rsidRPr="00673F0D" w:rsidRDefault="00664D1C" w:rsidP="00FD0825">
            <w:pPr>
              <w:jc w:val="right"/>
              <w:rPr>
                <w:rFonts w:asciiTheme="minorHAnsi" w:hAnsiTheme="minorHAnsi" w:cs="Arial"/>
                <w:b/>
                <w:sz w:val="20"/>
                <w:szCs w:val="20"/>
              </w:rPr>
            </w:pPr>
            <w:r>
              <w:rPr>
                <w:rFonts w:asciiTheme="minorHAnsi" w:hAnsiTheme="minorHAnsi" w:cs="Arial"/>
                <w:b/>
                <w:sz w:val="20"/>
                <w:szCs w:val="20"/>
              </w:rPr>
              <w:t>(7.0)</w:t>
            </w:r>
          </w:p>
        </w:tc>
        <w:tc>
          <w:tcPr>
            <w:tcW w:w="1431" w:type="dxa"/>
            <w:tcBorders>
              <w:bottom w:val="single" w:sz="12" w:space="0" w:color="auto"/>
            </w:tcBorders>
            <w:vAlign w:val="bottom"/>
          </w:tcPr>
          <w:p w14:paraId="7790FBE3" w14:textId="6185848B" w:rsidR="00FD0825" w:rsidRPr="006D4208" w:rsidRDefault="00027D6D" w:rsidP="00FD0825">
            <w:pPr>
              <w:jc w:val="right"/>
              <w:rPr>
                <w:rFonts w:asciiTheme="minorHAnsi" w:hAnsiTheme="minorHAnsi" w:cs="Arial"/>
                <w:sz w:val="20"/>
                <w:szCs w:val="20"/>
              </w:rPr>
            </w:pPr>
            <w:r>
              <w:rPr>
                <w:rFonts w:asciiTheme="minorHAnsi" w:hAnsiTheme="minorHAnsi" w:cs="Arial"/>
                <w:sz w:val="20"/>
                <w:szCs w:val="20"/>
              </w:rPr>
              <w:t>(1.8)</w:t>
            </w:r>
          </w:p>
        </w:tc>
        <w:tc>
          <w:tcPr>
            <w:tcW w:w="1168" w:type="dxa"/>
            <w:tcBorders>
              <w:bottom w:val="single" w:sz="12" w:space="0" w:color="auto"/>
            </w:tcBorders>
            <w:vAlign w:val="bottom"/>
          </w:tcPr>
          <w:p w14:paraId="101C2D3A" w14:textId="3E2BB228" w:rsidR="00FD0825" w:rsidRPr="00FD0825" w:rsidRDefault="00FD0825" w:rsidP="00FD0825">
            <w:pPr>
              <w:jc w:val="right"/>
              <w:rPr>
                <w:rFonts w:asciiTheme="minorHAnsi" w:hAnsiTheme="minorHAnsi" w:cs="Arial"/>
                <w:bCs/>
                <w:sz w:val="20"/>
                <w:szCs w:val="20"/>
              </w:rPr>
            </w:pPr>
            <w:r w:rsidRPr="00FD0825">
              <w:rPr>
                <w:rFonts w:asciiTheme="minorHAnsi" w:hAnsiTheme="minorHAnsi" w:cs="Arial"/>
                <w:bCs/>
                <w:sz w:val="20"/>
                <w:szCs w:val="20"/>
              </w:rPr>
              <w:t>(9.6)</w:t>
            </w:r>
          </w:p>
        </w:tc>
      </w:tr>
    </w:tbl>
    <w:p w14:paraId="260EAA69" w14:textId="77777777" w:rsidR="00FD0825" w:rsidRPr="00306AF1"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1BAC4E65" w14:textId="5BFEB05B" w:rsidR="00FD0825" w:rsidRPr="00306AF1"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306AF1">
        <w:rPr>
          <w:rFonts w:asciiTheme="minorHAnsi" w:hAnsiTheme="minorHAnsi" w:cs="Arial"/>
          <w:sz w:val="20"/>
          <w:szCs w:val="20"/>
        </w:rPr>
        <w:t xml:space="preserve">The Group is counterparty to </w:t>
      </w:r>
      <w:r w:rsidR="00820AC7">
        <w:rPr>
          <w:rFonts w:asciiTheme="minorHAnsi" w:hAnsiTheme="minorHAnsi" w:cs="Arial"/>
          <w:sz w:val="20"/>
          <w:szCs w:val="20"/>
        </w:rPr>
        <w:t>ten</w:t>
      </w:r>
      <w:r w:rsidRPr="00306AF1">
        <w:rPr>
          <w:rFonts w:asciiTheme="minorHAnsi" w:hAnsiTheme="minorHAnsi" w:cs="Arial"/>
          <w:sz w:val="20"/>
          <w:szCs w:val="20"/>
        </w:rPr>
        <w:t xml:space="preserve"> </w:t>
      </w:r>
      <w:r w:rsidR="00FB3B61">
        <w:rPr>
          <w:rFonts w:asciiTheme="minorHAnsi" w:hAnsiTheme="minorHAnsi" w:cs="Arial"/>
          <w:sz w:val="20"/>
          <w:szCs w:val="20"/>
        </w:rPr>
        <w:t>(FY24</w:t>
      </w:r>
      <w:r w:rsidR="00144B3D">
        <w:rPr>
          <w:rFonts w:asciiTheme="minorHAnsi" w:hAnsiTheme="minorHAnsi" w:cs="Arial"/>
          <w:sz w:val="20"/>
          <w:szCs w:val="20"/>
        </w:rPr>
        <w:t>:</w:t>
      </w:r>
      <w:r w:rsidR="00FB3B61">
        <w:rPr>
          <w:rFonts w:asciiTheme="minorHAnsi" w:hAnsiTheme="minorHAnsi" w:cs="Arial"/>
          <w:sz w:val="20"/>
          <w:szCs w:val="20"/>
        </w:rPr>
        <w:t xml:space="preserve"> three</w:t>
      </w:r>
      <w:r w:rsidR="00144B3D">
        <w:rPr>
          <w:rFonts w:asciiTheme="minorHAnsi" w:hAnsiTheme="minorHAnsi" w:cs="Arial"/>
          <w:sz w:val="20"/>
          <w:szCs w:val="20"/>
        </w:rPr>
        <w:t>, 1H24</w:t>
      </w:r>
      <w:r w:rsidR="00E52FFC">
        <w:rPr>
          <w:rFonts w:asciiTheme="minorHAnsi" w:hAnsiTheme="minorHAnsi" w:cs="Arial"/>
          <w:sz w:val="20"/>
          <w:szCs w:val="20"/>
        </w:rPr>
        <w:t>:</w:t>
      </w:r>
      <w:r w:rsidR="00144B3D">
        <w:rPr>
          <w:rFonts w:asciiTheme="minorHAnsi" w:hAnsiTheme="minorHAnsi" w:cs="Arial"/>
          <w:sz w:val="20"/>
          <w:szCs w:val="20"/>
        </w:rPr>
        <w:t xml:space="preserve"> three) </w:t>
      </w:r>
      <w:r w:rsidRPr="00306AF1">
        <w:rPr>
          <w:rFonts w:asciiTheme="minorHAnsi" w:hAnsiTheme="minorHAnsi" w:cs="Arial"/>
          <w:sz w:val="20"/>
          <w:szCs w:val="20"/>
        </w:rPr>
        <w:t>derivative financial instruments.</w:t>
      </w:r>
    </w:p>
    <w:p w14:paraId="66599BF8" w14:textId="77777777" w:rsidR="003D7B03" w:rsidRDefault="003D7B03"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3AE9BBBB" w14:textId="54C076B6" w:rsidR="00FD0825" w:rsidRPr="00306AF1"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306AF1">
        <w:rPr>
          <w:rFonts w:asciiTheme="minorHAnsi" w:hAnsiTheme="minorHAnsi" w:cs="Arial"/>
          <w:sz w:val="20"/>
          <w:szCs w:val="20"/>
        </w:rPr>
        <w:lastRenderedPageBreak/>
        <w:t xml:space="preserve">The securitisation balance guarantee </w:t>
      </w:r>
      <w:r w:rsidR="00E52FFC">
        <w:rPr>
          <w:rFonts w:asciiTheme="minorHAnsi" w:hAnsiTheme="minorHAnsi" w:cs="Arial"/>
          <w:sz w:val="20"/>
          <w:szCs w:val="20"/>
        </w:rPr>
        <w:t>swap</w:t>
      </w:r>
      <w:r w:rsidRPr="00306AF1">
        <w:rPr>
          <w:rFonts w:asciiTheme="minorHAnsi" w:hAnsiTheme="minorHAnsi" w:cs="Arial"/>
          <w:sz w:val="20"/>
          <w:szCs w:val="20"/>
        </w:rPr>
        <w:t xml:space="preserve"> (front BGS) of </w:t>
      </w:r>
      <w:r w:rsidRPr="00B07EF9">
        <w:rPr>
          <w:rFonts w:asciiTheme="minorHAnsi" w:hAnsiTheme="minorHAnsi" w:cs="Arial"/>
          <w:sz w:val="20"/>
          <w:szCs w:val="20"/>
        </w:rPr>
        <w:t>£</w:t>
      </w:r>
      <w:r w:rsidR="00B07EF9" w:rsidRPr="00B07EF9">
        <w:rPr>
          <w:rFonts w:asciiTheme="minorHAnsi" w:hAnsiTheme="minorHAnsi" w:cs="Arial"/>
          <w:sz w:val="20"/>
          <w:szCs w:val="20"/>
        </w:rPr>
        <w:t>2.5</w:t>
      </w:r>
      <w:r w:rsidRPr="00B07EF9">
        <w:rPr>
          <w:rFonts w:asciiTheme="minorHAnsi" w:hAnsiTheme="minorHAnsi" w:cs="Arial"/>
          <w:sz w:val="20"/>
          <w:szCs w:val="20"/>
        </w:rPr>
        <w:t xml:space="preserve">m </w:t>
      </w:r>
      <w:r w:rsidR="00F216E9" w:rsidRPr="00B07EF9">
        <w:rPr>
          <w:rFonts w:asciiTheme="minorHAnsi" w:hAnsiTheme="minorHAnsi" w:cs="Arial"/>
          <w:sz w:val="20"/>
          <w:szCs w:val="20"/>
        </w:rPr>
        <w:t>liability</w:t>
      </w:r>
      <w:r w:rsidRPr="006D4208">
        <w:rPr>
          <w:rFonts w:asciiTheme="minorHAnsi" w:hAnsiTheme="minorHAnsi" w:cs="Arial"/>
          <w:sz w:val="20"/>
          <w:szCs w:val="20"/>
        </w:rPr>
        <w:t xml:space="preserve"> (</w:t>
      </w:r>
      <w:r w:rsidR="00FA45CC">
        <w:rPr>
          <w:rFonts w:asciiTheme="minorHAnsi" w:hAnsiTheme="minorHAnsi" w:cs="Arial"/>
          <w:sz w:val="20"/>
          <w:szCs w:val="20"/>
        </w:rPr>
        <w:t>FY24</w:t>
      </w:r>
      <w:r w:rsidRPr="006D4208">
        <w:rPr>
          <w:rFonts w:asciiTheme="minorHAnsi" w:hAnsiTheme="minorHAnsi" w:cs="Arial"/>
          <w:sz w:val="20"/>
          <w:szCs w:val="20"/>
        </w:rPr>
        <w:t xml:space="preserve">: </w:t>
      </w:r>
      <w:r w:rsidRPr="002C05CE">
        <w:rPr>
          <w:rFonts w:asciiTheme="minorHAnsi" w:hAnsiTheme="minorHAnsi" w:cs="Arial"/>
          <w:sz w:val="20"/>
          <w:szCs w:val="20"/>
        </w:rPr>
        <w:t>£</w:t>
      </w:r>
      <w:r w:rsidR="00D60BB6" w:rsidRPr="002C05CE">
        <w:rPr>
          <w:rFonts w:asciiTheme="minorHAnsi" w:hAnsiTheme="minorHAnsi" w:cs="Arial"/>
          <w:sz w:val="20"/>
          <w:szCs w:val="20"/>
        </w:rPr>
        <w:t>0.3</w:t>
      </w:r>
      <w:r w:rsidRPr="002C05CE">
        <w:rPr>
          <w:rFonts w:asciiTheme="minorHAnsi" w:hAnsiTheme="minorHAnsi" w:cs="Arial"/>
          <w:sz w:val="20"/>
          <w:szCs w:val="20"/>
        </w:rPr>
        <w:t>m</w:t>
      </w:r>
      <w:r w:rsidR="00D60BB6" w:rsidRPr="002C05CE">
        <w:rPr>
          <w:rFonts w:asciiTheme="minorHAnsi" w:hAnsiTheme="minorHAnsi" w:cs="Arial"/>
          <w:sz w:val="20"/>
          <w:szCs w:val="20"/>
        </w:rPr>
        <w:t xml:space="preserve"> liability</w:t>
      </w:r>
      <w:r w:rsidRPr="006D4208">
        <w:rPr>
          <w:rFonts w:asciiTheme="minorHAnsi" w:hAnsiTheme="minorHAnsi" w:cs="Arial"/>
          <w:sz w:val="20"/>
          <w:szCs w:val="20"/>
        </w:rPr>
        <w:t xml:space="preserve">, </w:t>
      </w:r>
      <w:r w:rsidR="00FA45CC">
        <w:rPr>
          <w:rFonts w:asciiTheme="minorHAnsi" w:hAnsiTheme="minorHAnsi" w:cs="Arial"/>
          <w:sz w:val="20"/>
          <w:szCs w:val="20"/>
        </w:rPr>
        <w:t>1H24</w:t>
      </w:r>
      <w:r w:rsidRPr="006D4208">
        <w:rPr>
          <w:rFonts w:asciiTheme="minorHAnsi" w:hAnsiTheme="minorHAnsi" w:cs="Arial"/>
          <w:sz w:val="20"/>
          <w:szCs w:val="20"/>
        </w:rPr>
        <w:t>: £</w:t>
      </w:r>
      <w:r w:rsidR="008D5EC6">
        <w:rPr>
          <w:rFonts w:asciiTheme="minorHAnsi" w:hAnsiTheme="minorHAnsi" w:cs="Arial"/>
          <w:sz w:val="20"/>
          <w:szCs w:val="20"/>
        </w:rPr>
        <w:t>1.1</w:t>
      </w:r>
      <w:r w:rsidRPr="006D4208">
        <w:rPr>
          <w:rFonts w:asciiTheme="minorHAnsi" w:hAnsiTheme="minorHAnsi" w:cs="Arial"/>
          <w:sz w:val="20"/>
          <w:szCs w:val="20"/>
        </w:rPr>
        <w:t>m</w:t>
      </w:r>
      <w:r w:rsidR="002C05CE">
        <w:rPr>
          <w:rFonts w:asciiTheme="minorHAnsi" w:hAnsiTheme="minorHAnsi" w:cs="Arial"/>
          <w:sz w:val="20"/>
          <w:szCs w:val="20"/>
        </w:rPr>
        <w:t xml:space="preserve"> asset</w:t>
      </w:r>
      <w:r w:rsidRPr="006D4208">
        <w:rPr>
          <w:rFonts w:asciiTheme="minorHAnsi" w:hAnsiTheme="minorHAnsi" w:cs="Arial"/>
          <w:sz w:val="20"/>
          <w:szCs w:val="20"/>
        </w:rPr>
        <w:t>)</w:t>
      </w:r>
      <w:r w:rsidRPr="00306AF1">
        <w:rPr>
          <w:rFonts w:asciiTheme="minorHAnsi" w:hAnsiTheme="minorHAnsi" w:cs="Arial"/>
          <w:sz w:val="20"/>
          <w:szCs w:val="20"/>
        </w:rPr>
        <w:t xml:space="preserve"> manages the market risk associated with movements in interest rates in the accounts of the securitisation. The front BGS is a bespoke over-the-counter interest rate swap that resizes in line with changes to the size and expected maturity profile of the loans in the securitisation. Only the interest rate risk on the portfolio is hedged; other risks such as credit risk are managed but not hedged.</w:t>
      </w:r>
    </w:p>
    <w:p w14:paraId="5C82D833" w14:textId="77777777" w:rsidR="00FD0825"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22AD0547" w14:textId="4D9FB96B" w:rsidR="00FD0825" w:rsidRPr="00306AF1"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306AF1">
        <w:rPr>
          <w:rFonts w:asciiTheme="minorHAnsi" w:hAnsiTheme="minorHAnsi" w:cs="Arial"/>
          <w:sz w:val="20"/>
          <w:szCs w:val="20"/>
        </w:rPr>
        <w:t xml:space="preserve">The Group balance guarantee swap (back BGS) </w:t>
      </w:r>
      <w:r w:rsidRPr="00B23EA5">
        <w:rPr>
          <w:rFonts w:asciiTheme="minorHAnsi" w:hAnsiTheme="minorHAnsi" w:cs="Arial"/>
          <w:sz w:val="20"/>
          <w:szCs w:val="20"/>
        </w:rPr>
        <w:t>of £</w:t>
      </w:r>
      <w:r w:rsidR="00DE74F4" w:rsidRPr="00B23EA5">
        <w:rPr>
          <w:rFonts w:asciiTheme="minorHAnsi" w:hAnsiTheme="minorHAnsi" w:cs="Arial"/>
          <w:sz w:val="20"/>
          <w:szCs w:val="20"/>
        </w:rPr>
        <w:t>2.0</w:t>
      </w:r>
      <w:r w:rsidRPr="00B23EA5">
        <w:rPr>
          <w:rFonts w:asciiTheme="minorHAnsi" w:hAnsiTheme="minorHAnsi" w:cs="Arial"/>
          <w:sz w:val="20"/>
          <w:szCs w:val="20"/>
        </w:rPr>
        <w:t xml:space="preserve">m </w:t>
      </w:r>
      <w:r w:rsidR="00DE74F4" w:rsidRPr="00B23EA5">
        <w:rPr>
          <w:rFonts w:asciiTheme="minorHAnsi" w:hAnsiTheme="minorHAnsi" w:cs="Arial"/>
          <w:sz w:val="20"/>
          <w:szCs w:val="20"/>
        </w:rPr>
        <w:t>asset</w:t>
      </w:r>
      <w:r w:rsidRPr="00306AF1">
        <w:rPr>
          <w:rFonts w:asciiTheme="minorHAnsi" w:hAnsiTheme="minorHAnsi" w:cs="Arial"/>
          <w:sz w:val="20"/>
          <w:szCs w:val="20"/>
        </w:rPr>
        <w:t xml:space="preserve"> (</w:t>
      </w:r>
      <w:r w:rsidR="00FA45CC">
        <w:rPr>
          <w:rFonts w:asciiTheme="minorHAnsi" w:hAnsiTheme="minorHAnsi" w:cs="Arial"/>
          <w:sz w:val="20"/>
          <w:szCs w:val="20"/>
        </w:rPr>
        <w:t>FY24</w:t>
      </w:r>
      <w:r w:rsidRPr="00AD0500">
        <w:rPr>
          <w:rFonts w:asciiTheme="minorHAnsi" w:hAnsiTheme="minorHAnsi" w:cs="Arial"/>
          <w:sz w:val="20"/>
          <w:szCs w:val="20"/>
        </w:rPr>
        <w:t>: £</w:t>
      </w:r>
      <w:r w:rsidR="00613269" w:rsidRPr="00AD0500">
        <w:rPr>
          <w:rFonts w:asciiTheme="minorHAnsi" w:hAnsiTheme="minorHAnsi" w:cs="Arial"/>
          <w:sz w:val="20"/>
          <w:szCs w:val="20"/>
        </w:rPr>
        <w:t>0.2</w:t>
      </w:r>
      <w:r w:rsidRPr="00AD0500">
        <w:rPr>
          <w:rFonts w:asciiTheme="minorHAnsi" w:hAnsiTheme="minorHAnsi" w:cs="Arial"/>
          <w:sz w:val="20"/>
          <w:szCs w:val="20"/>
        </w:rPr>
        <w:t>m</w:t>
      </w:r>
      <w:r w:rsidR="00613269" w:rsidRPr="00AD0500">
        <w:rPr>
          <w:rFonts w:asciiTheme="minorHAnsi" w:hAnsiTheme="minorHAnsi" w:cs="Arial"/>
          <w:sz w:val="20"/>
          <w:szCs w:val="20"/>
        </w:rPr>
        <w:t xml:space="preserve"> liability</w:t>
      </w:r>
      <w:r w:rsidRPr="00306AF1">
        <w:rPr>
          <w:rFonts w:asciiTheme="minorHAnsi" w:hAnsiTheme="minorHAnsi" w:cs="Arial"/>
          <w:sz w:val="20"/>
          <w:szCs w:val="20"/>
        </w:rPr>
        <w:t xml:space="preserve">, </w:t>
      </w:r>
      <w:r w:rsidR="00FA45CC">
        <w:rPr>
          <w:rFonts w:asciiTheme="minorHAnsi" w:hAnsiTheme="minorHAnsi" w:cs="Arial"/>
          <w:sz w:val="20"/>
          <w:szCs w:val="20"/>
        </w:rPr>
        <w:t>1H24</w:t>
      </w:r>
      <w:r w:rsidRPr="006D4208">
        <w:rPr>
          <w:rFonts w:asciiTheme="minorHAnsi" w:hAnsiTheme="minorHAnsi" w:cs="Arial"/>
          <w:sz w:val="20"/>
          <w:szCs w:val="20"/>
        </w:rPr>
        <w:t>: £</w:t>
      </w:r>
      <w:r w:rsidR="008D5EC6">
        <w:rPr>
          <w:rFonts w:asciiTheme="minorHAnsi" w:hAnsiTheme="minorHAnsi" w:cs="Arial"/>
          <w:sz w:val="20"/>
          <w:szCs w:val="20"/>
        </w:rPr>
        <w:t>1.6</w:t>
      </w:r>
      <w:r w:rsidRPr="006D4208">
        <w:rPr>
          <w:rFonts w:asciiTheme="minorHAnsi" w:hAnsiTheme="minorHAnsi" w:cs="Arial"/>
          <w:sz w:val="20"/>
          <w:szCs w:val="20"/>
        </w:rPr>
        <w:t>m</w:t>
      </w:r>
      <w:r w:rsidR="00613269">
        <w:rPr>
          <w:rFonts w:asciiTheme="minorHAnsi" w:hAnsiTheme="minorHAnsi" w:cs="Arial"/>
          <w:sz w:val="20"/>
          <w:szCs w:val="20"/>
        </w:rPr>
        <w:t xml:space="preserve"> liability</w:t>
      </w:r>
      <w:r w:rsidRPr="00306AF1">
        <w:rPr>
          <w:rFonts w:asciiTheme="minorHAnsi" w:hAnsiTheme="minorHAnsi" w:cs="Arial"/>
          <w:sz w:val="20"/>
          <w:szCs w:val="20"/>
        </w:rPr>
        <w:t xml:space="preserve">) eliminates the front BGS on consolidation in the Group accounts. The front BGS manages a risk that exists in the SPV accounts, but does not exist upon consolidation. The back BGS was transacted at historical rates and in compensation the Group received cash consideration for taking on a liability. </w:t>
      </w:r>
    </w:p>
    <w:p w14:paraId="62B04C15" w14:textId="77777777" w:rsidR="00FD0825" w:rsidRPr="00306AF1"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2063B2EC" w14:textId="77777777" w:rsidR="00FD0825" w:rsidRPr="00306AF1"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306AF1">
        <w:rPr>
          <w:rFonts w:asciiTheme="minorHAnsi" w:hAnsiTheme="minorHAnsi" w:cs="Arial"/>
          <w:sz w:val="20"/>
          <w:szCs w:val="20"/>
        </w:rPr>
        <w:t>The front and back BGS naturally hedge and no hedge accounting is applied. Hedge accounting was discontinued on the front BGS in September 2022 with the hedging adjustment amortising over the remaining life of the receivables. Until termination, the hedging arrangement was accounted for under IAS 39 under the portfolio hedging rules.</w:t>
      </w:r>
    </w:p>
    <w:p w14:paraId="3CEE004F" w14:textId="77777777" w:rsidR="00170439" w:rsidRDefault="00170439"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7870ADDE" w14:textId="794845D5" w:rsidR="00FD0825" w:rsidRPr="00306AF1"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306AF1">
        <w:rPr>
          <w:rFonts w:asciiTheme="minorHAnsi" w:hAnsiTheme="minorHAnsi" w:cs="Arial"/>
          <w:sz w:val="20"/>
          <w:szCs w:val="20"/>
        </w:rPr>
        <w:t xml:space="preserve">The Tier 2 swap of </w:t>
      </w:r>
      <w:r w:rsidRPr="00637544">
        <w:rPr>
          <w:rFonts w:asciiTheme="minorHAnsi" w:hAnsiTheme="minorHAnsi" w:cs="Arial"/>
          <w:sz w:val="20"/>
          <w:szCs w:val="20"/>
        </w:rPr>
        <w:t>£</w:t>
      </w:r>
      <w:r w:rsidR="0091284C" w:rsidRPr="00637544">
        <w:rPr>
          <w:rFonts w:asciiTheme="minorHAnsi" w:hAnsiTheme="minorHAnsi" w:cs="Arial"/>
          <w:sz w:val="20"/>
          <w:szCs w:val="20"/>
        </w:rPr>
        <w:t>3.7</w:t>
      </w:r>
      <w:r w:rsidRPr="00637544">
        <w:rPr>
          <w:rFonts w:asciiTheme="minorHAnsi" w:hAnsiTheme="minorHAnsi" w:cs="Arial"/>
          <w:sz w:val="20"/>
          <w:szCs w:val="20"/>
        </w:rPr>
        <w:t>m</w:t>
      </w:r>
      <w:r w:rsidRPr="006D4208">
        <w:rPr>
          <w:rFonts w:asciiTheme="minorHAnsi" w:hAnsiTheme="minorHAnsi" w:cs="Arial"/>
          <w:sz w:val="20"/>
          <w:szCs w:val="20"/>
        </w:rPr>
        <w:t xml:space="preserve"> liability</w:t>
      </w:r>
      <w:r w:rsidRPr="00306AF1">
        <w:rPr>
          <w:rFonts w:asciiTheme="minorHAnsi" w:hAnsiTheme="minorHAnsi" w:cs="Arial"/>
          <w:sz w:val="20"/>
          <w:szCs w:val="20"/>
        </w:rPr>
        <w:t xml:space="preserve"> (</w:t>
      </w:r>
      <w:r w:rsidR="00FA45CC">
        <w:rPr>
          <w:rFonts w:asciiTheme="minorHAnsi" w:hAnsiTheme="minorHAnsi" w:cs="Arial"/>
          <w:sz w:val="20"/>
          <w:szCs w:val="20"/>
        </w:rPr>
        <w:t>FY24</w:t>
      </w:r>
      <w:r w:rsidRPr="006D4208">
        <w:rPr>
          <w:rFonts w:asciiTheme="minorHAnsi" w:hAnsiTheme="minorHAnsi" w:cs="Arial"/>
          <w:sz w:val="20"/>
          <w:szCs w:val="20"/>
        </w:rPr>
        <w:t xml:space="preserve">: </w:t>
      </w:r>
      <w:r w:rsidR="005E7CB0">
        <w:rPr>
          <w:rFonts w:asciiTheme="minorHAnsi" w:hAnsiTheme="minorHAnsi" w:cs="Arial"/>
          <w:sz w:val="20"/>
          <w:szCs w:val="20"/>
        </w:rPr>
        <w:t>£</w:t>
      </w:r>
      <w:r w:rsidR="00024364" w:rsidRPr="00637544">
        <w:rPr>
          <w:rFonts w:asciiTheme="minorHAnsi" w:hAnsiTheme="minorHAnsi" w:cs="Arial"/>
          <w:sz w:val="20"/>
          <w:szCs w:val="20"/>
        </w:rPr>
        <w:t>1.3</w:t>
      </w:r>
      <w:r w:rsidR="00024364">
        <w:rPr>
          <w:rFonts w:asciiTheme="minorHAnsi" w:hAnsiTheme="minorHAnsi" w:cs="Arial"/>
          <w:sz w:val="20"/>
          <w:szCs w:val="20"/>
        </w:rPr>
        <w:t>m</w:t>
      </w:r>
      <w:r w:rsidRPr="00306AF1">
        <w:rPr>
          <w:rFonts w:asciiTheme="minorHAnsi" w:hAnsiTheme="minorHAnsi" w:cs="Arial"/>
          <w:sz w:val="20"/>
          <w:szCs w:val="20"/>
        </w:rPr>
        <w:t xml:space="preserve">, </w:t>
      </w:r>
      <w:r w:rsidR="00FA45CC">
        <w:rPr>
          <w:rFonts w:asciiTheme="minorHAnsi" w:hAnsiTheme="minorHAnsi" w:cs="Arial"/>
          <w:sz w:val="20"/>
          <w:szCs w:val="20"/>
        </w:rPr>
        <w:t>1H24</w:t>
      </w:r>
      <w:r w:rsidRPr="006D4208">
        <w:rPr>
          <w:rFonts w:asciiTheme="minorHAnsi" w:hAnsiTheme="minorHAnsi" w:cs="Arial"/>
          <w:sz w:val="20"/>
          <w:szCs w:val="20"/>
        </w:rPr>
        <w:t>: £</w:t>
      </w:r>
      <w:r w:rsidR="008D5EC6">
        <w:rPr>
          <w:rFonts w:asciiTheme="minorHAnsi" w:hAnsiTheme="minorHAnsi" w:cs="Arial"/>
          <w:sz w:val="20"/>
          <w:szCs w:val="20"/>
        </w:rPr>
        <w:t>8.0</w:t>
      </w:r>
      <w:r w:rsidRPr="006D4208">
        <w:rPr>
          <w:rFonts w:asciiTheme="minorHAnsi" w:hAnsiTheme="minorHAnsi" w:cs="Arial"/>
          <w:sz w:val="20"/>
          <w:szCs w:val="20"/>
        </w:rPr>
        <w:t>m</w:t>
      </w:r>
      <w:r w:rsidRPr="00306AF1">
        <w:rPr>
          <w:rFonts w:asciiTheme="minorHAnsi" w:hAnsiTheme="minorHAnsi" w:cs="Arial"/>
          <w:sz w:val="20"/>
          <w:szCs w:val="20"/>
        </w:rPr>
        <w:t xml:space="preserve">) is a vanilla </w:t>
      </w:r>
      <w:proofErr w:type="spellStart"/>
      <w:r w:rsidRPr="00306AF1">
        <w:rPr>
          <w:rFonts w:asciiTheme="minorHAnsi" w:hAnsiTheme="minorHAnsi" w:cs="Arial"/>
          <w:sz w:val="20"/>
          <w:szCs w:val="20"/>
        </w:rPr>
        <w:t>unamortising</w:t>
      </w:r>
      <w:proofErr w:type="spellEnd"/>
      <w:r w:rsidRPr="00306AF1">
        <w:rPr>
          <w:rFonts w:asciiTheme="minorHAnsi" w:hAnsiTheme="minorHAnsi" w:cs="Arial"/>
          <w:sz w:val="20"/>
          <w:szCs w:val="20"/>
        </w:rPr>
        <w:t xml:space="preserve"> swap that manages the Group’s sensitivity to changes in interest rates arising from long-dated fixed-rate Tier 2 capital and short-dated Bank of England reserves. The Tier 2 swap pays annually a floating rate of daily compounded SONIA and receives a fixed annual rate of 3.521% bi-annually. The swap matures in October 2026.</w:t>
      </w:r>
    </w:p>
    <w:p w14:paraId="15CB146A" w14:textId="77777777" w:rsidR="00FD0825"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0734B5F1" w14:textId="61BBA0FE" w:rsidR="00864DF4" w:rsidRDefault="00864DF4" w:rsidP="0086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Pr>
          <w:rFonts w:asciiTheme="minorHAnsi" w:hAnsiTheme="minorHAnsi" w:cs="Arial"/>
          <w:sz w:val="20"/>
          <w:szCs w:val="20"/>
        </w:rPr>
        <w:t>During 1H24</w:t>
      </w:r>
      <w:r w:rsidR="00CF1E6E">
        <w:rPr>
          <w:rFonts w:asciiTheme="minorHAnsi" w:hAnsiTheme="minorHAnsi" w:cs="Arial"/>
          <w:sz w:val="20"/>
          <w:szCs w:val="20"/>
        </w:rPr>
        <w:t xml:space="preserve"> the Group entered into </w:t>
      </w:r>
      <w:r w:rsidR="00E4714C">
        <w:rPr>
          <w:rFonts w:asciiTheme="minorHAnsi" w:hAnsiTheme="minorHAnsi" w:cs="Arial"/>
          <w:sz w:val="20"/>
          <w:szCs w:val="20"/>
        </w:rPr>
        <w:t>7</w:t>
      </w:r>
      <w:r w:rsidR="003F53BE">
        <w:rPr>
          <w:rFonts w:asciiTheme="minorHAnsi" w:hAnsiTheme="minorHAnsi" w:cs="Arial"/>
          <w:sz w:val="20"/>
          <w:szCs w:val="20"/>
        </w:rPr>
        <w:t xml:space="preserve"> additional swaps</w:t>
      </w:r>
      <w:r w:rsidR="0079401A">
        <w:rPr>
          <w:rFonts w:asciiTheme="minorHAnsi" w:hAnsiTheme="minorHAnsi" w:cs="Arial"/>
          <w:sz w:val="20"/>
          <w:szCs w:val="20"/>
        </w:rPr>
        <w:t xml:space="preserve"> </w:t>
      </w:r>
      <w:r w:rsidR="00E1551E">
        <w:rPr>
          <w:rFonts w:asciiTheme="minorHAnsi" w:hAnsiTheme="minorHAnsi" w:cs="Arial"/>
          <w:sz w:val="20"/>
          <w:szCs w:val="20"/>
        </w:rPr>
        <w:t xml:space="preserve">for hedging </w:t>
      </w:r>
      <w:r w:rsidR="00821BBF">
        <w:rPr>
          <w:rFonts w:asciiTheme="minorHAnsi" w:hAnsiTheme="minorHAnsi" w:cs="Arial"/>
          <w:sz w:val="20"/>
          <w:szCs w:val="20"/>
        </w:rPr>
        <w:t>interest rate</w:t>
      </w:r>
      <w:r w:rsidR="006A62AB">
        <w:rPr>
          <w:rFonts w:asciiTheme="minorHAnsi" w:hAnsiTheme="minorHAnsi" w:cs="Arial"/>
          <w:sz w:val="20"/>
          <w:szCs w:val="20"/>
        </w:rPr>
        <w:t xml:space="preserve"> risk</w:t>
      </w:r>
      <w:r w:rsidR="00821BBF">
        <w:rPr>
          <w:rFonts w:asciiTheme="minorHAnsi" w:hAnsiTheme="minorHAnsi" w:cs="Arial"/>
          <w:sz w:val="20"/>
          <w:szCs w:val="20"/>
        </w:rPr>
        <w:t xml:space="preserve"> in</w:t>
      </w:r>
      <w:r w:rsidR="006A62AB">
        <w:rPr>
          <w:rFonts w:asciiTheme="minorHAnsi" w:hAnsiTheme="minorHAnsi" w:cs="Arial"/>
          <w:sz w:val="20"/>
          <w:szCs w:val="20"/>
        </w:rPr>
        <w:t xml:space="preserve"> </w:t>
      </w:r>
      <w:r w:rsidR="00A1594F">
        <w:rPr>
          <w:rFonts w:asciiTheme="minorHAnsi" w:hAnsiTheme="minorHAnsi" w:cs="Arial"/>
          <w:sz w:val="20"/>
          <w:szCs w:val="20"/>
        </w:rPr>
        <w:t>the</w:t>
      </w:r>
      <w:r w:rsidR="006A62AB">
        <w:rPr>
          <w:rFonts w:asciiTheme="minorHAnsi" w:hAnsiTheme="minorHAnsi" w:cs="Arial"/>
          <w:sz w:val="20"/>
          <w:szCs w:val="20"/>
        </w:rPr>
        <w:t xml:space="preserve"> </w:t>
      </w:r>
      <w:r w:rsidR="00081DCA">
        <w:rPr>
          <w:rFonts w:asciiTheme="minorHAnsi" w:hAnsiTheme="minorHAnsi" w:cs="Arial"/>
          <w:sz w:val="20"/>
          <w:szCs w:val="20"/>
        </w:rPr>
        <w:t>S</w:t>
      </w:r>
      <w:r w:rsidR="006A62AB">
        <w:rPr>
          <w:rFonts w:asciiTheme="minorHAnsi" w:hAnsiTheme="minorHAnsi" w:cs="Arial"/>
          <w:sz w:val="20"/>
          <w:szCs w:val="20"/>
        </w:rPr>
        <w:t xml:space="preserve">econd </w:t>
      </w:r>
      <w:r w:rsidR="00081DCA">
        <w:rPr>
          <w:rFonts w:asciiTheme="minorHAnsi" w:hAnsiTheme="minorHAnsi" w:cs="Arial"/>
          <w:sz w:val="20"/>
          <w:szCs w:val="20"/>
        </w:rPr>
        <w:t>C</w:t>
      </w:r>
      <w:r w:rsidR="006A62AB">
        <w:rPr>
          <w:rFonts w:asciiTheme="minorHAnsi" w:hAnsiTheme="minorHAnsi" w:cs="Arial"/>
          <w:sz w:val="20"/>
          <w:szCs w:val="20"/>
        </w:rPr>
        <w:t xml:space="preserve">harge </w:t>
      </w:r>
      <w:r w:rsidR="00081DCA">
        <w:rPr>
          <w:rFonts w:asciiTheme="minorHAnsi" w:hAnsiTheme="minorHAnsi" w:cs="Arial"/>
          <w:sz w:val="20"/>
          <w:szCs w:val="20"/>
        </w:rPr>
        <w:t>M</w:t>
      </w:r>
      <w:r w:rsidR="006A62AB">
        <w:rPr>
          <w:rFonts w:asciiTheme="minorHAnsi" w:hAnsiTheme="minorHAnsi" w:cs="Arial"/>
          <w:sz w:val="20"/>
          <w:szCs w:val="20"/>
        </w:rPr>
        <w:t xml:space="preserve">ortgages portfolio and </w:t>
      </w:r>
      <w:r w:rsidR="006570EE">
        <w:rPr>
          <w:rFonts w:asciiTheme="minorHAnsi" w:hAnsiTheme="minorHAnsi" w:cs="Arial"/>
          <w:sz w:val="20"/>
          <w:szCs w:val="20"/>
        </w:rPr>
        <w:t>the Financial Investments (</w:t>
      </w:r>
      <w:r w:rsidR="005A66D1">
        <w:rPr>
          <w:rFonts w:asciiTheme="minorHAnsi" w:hAnsiTheme="minorHAnsi" w:cs="Arial"/>
          <w:sz w:val="20"/>
          <w:szCs w:val="20"/>
        </w:rPr>
        <w:t xml:space="preserve">UK </w:t>
      </w:r>
      <w:r w:rsidR="006570EE">
        <w:rPr>
          <w:rFonts w:asciiTheme="minorHAnsi" w:hAnsiTheme="minorHAnsi" w:cs="Arial"/>
          <w:sz w:val="20"/>
          <w:szCs w:val="20"/>
        </w:rPr>
        <w:t>G</w:t>
      </w:r>
      <w:r w:rsidR="00821BBF">
        <w:rPr>
          <w:rFonts w:asciiTheme="minorHAnsi" w:hAnsiTheme="minorHAnsi" w:cs="Arial"/>
          <w:sz w:val="20"/>
          <w:szCs w:val="20"/>
        </w:rPr>
        <w:t>ilts</w:t>
      </w:r>
      <w:r w:rsidR="006570EE">
        <w:rPr>
          <w:rFonts w:asciiTheme="minorHAnsi" w:hAnsiTheme="minorHAnsi" w:cs="Arial"/>
          <w:sz w:val="20"/>
          <w:szCs w:val="20"/>
        </w:rPr>
        <w:t>)</w:t>
      </w:r>
      <w:r w:rsidR="00821BBF">
        <w:rPr>
          <w:rFonts w:asciiTheme="minorHAnsi" w:hAnsiTheme="minorHAnsi" w:cs="Arial"/>
          <w:sz w:val="20"/>
          <w:szCs w:val="20"/>
        </w:rPr>
        <w:t xml:space="preserve"> purchased during the period</w:t>
      </w:r>
      <w:r w:rsidR="006A62AB">
        <w:rPr>
          <w:rFonts w:asciiTheme="minorHAnsi" w:hAnsiTheme="minorHAnsi" w:cs="Arial"/>
          <w:sz w:val="20"/>
          <w:szCs w:val="20"/>
        </w:rPr>
        <w:t>.</w:t>
      </w:r>
    </w:p>
    <w:p w14:paraId="1F2D5F1B" w14:textId="77777777" w:rsidR="00C51FD4" w:rsidRDefault="00C51FD4" w:rsidP="0086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4A37FA70" w14:textId="03DDA6A3" w:rsidR="00C51FD4" w:rsidRDefault="00C51FD4" w:rsidP="0086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Pr>
          <w:rFonts w:asciiTheme="minorHAnsi" w:hAnsiTheme="minorHAnsi" w:cs="Arial"/>
          <w:sz w:val="20"/>
          <w:szCs w:val="20"/>
        </w:rPr>
        <w:t xml:space="preserve">The </w:t>
      </w:r>
      <w:r w:rsidR="0078760B">
        <w:rPr>
          <w:rFonts w:asciiTheme="minorHAnsi" w:hAnsiTheme="minorHAnsi" w:cs="Arial"/>
          <w:sz w:val="20"/>
          <w:szCs w:val="20"/>
        </w:rPr>
        <w:t xml:space="preserve">3 interest rate swaps for hedging </w:t>
      </w:r>
      <w:r w:rsidR="006A1683">
        <w:rPr>
          <w:rFonts w:asciiTheme="minorHAnsi" w:hAnsiTheme="minorHAnsi" w:cs="Arial"/>
          <w:sz w:val="20"/>
          <w:szCs w:val="20"/>
        </w:rPr>
        <w:t>the</w:t>
      </w:r>
      <w:r w:rsidR="0078760B">
        <w:rPr>
          <w:rFonts w:asciiTheme="minorHAnsi" w:hAnsiTheme="minorHAnsi" w:cs="Arial"/>
          <w:sz w:val="20"/>
          <w:szCs w:val="20"/>
        </w:rPr>
        <w:t xml:space="preserve"> </w:t>
      </w:r>
      <w:r w:rsidR="005432C4">
        <w:rPr>
          <w:rFonts w:asciiTheme="minorHAnsi" w:hAnsiTheme="minorHAnsi" w:cs="Arial"/>
          <w:sz w:val="20"/>
          <w:szCs w:val="20"/>
        </w:rPr>
        <w:t>Second Charge Mortgages</w:t>
      </w:r>
      <w:r w:rsidR="00A15A50">
        <w:rPr>
          <w:rFonts w:asciiTheme="minorHAnsi" w:hAnsiTheme="minorHAnsi" w:cs="Arial"/>
          <w:sz w:val="20"/>
          <w:szCs w:val="20"/>
        </w:rPr>
        <w:t xml:space="preserve"> portfolio</w:t>
      </w:r>
      <w:r w:rsidR="0007709C">
        <w:rPr>
          <w:rFonts w:asciiTheme="minorHAnsi" w:hAnsiTheme="minorHAnsi" w:cs="Arial"/>
          <w:sz w:val="20"/>
          <w:szCs w:val="20"/>
        </w:rPr>
        <w:t xml:space="preserve"> </w:t>
      </w:r>
      <w:r w:rsidR="006C5EE8">
        <w:rPr>
          <w:rFonts w:asciiTheme="minorHAnsi" w:hAnsiTheme="minorHAnsi" w:cs="Arial"/>
          <w:sz w:val="20"/>
          <w:szCs w:val="20"/>
        </w:rPr>
        <w:t xml:space="preserve">are collectively valued at </w:t>
      </w:r>
      <w:r w:rsidR="006B4FCD">
        <w:rPr>
          <w:rFonts w:asciiTheme="minorHAnsi" w:hAnsiTheme="minorHAnsi" w:cs="Arial"/>
          <w:sz w:val="20"/>
          <w:szCs w:val="20"/>
        </w:rPr>
        <w:t>£0.1m</w:t>
      </w:r>
      <w:r w:rsidR="008648DC">
        <w:rPr>
          <w:rFonts w:asciiTheme="minorHAnsi" w:hAnsiTheme="minorHAnsi" w:cs="Arial"/>
          <w:sz w:val="20"/>
          <w:szCs w:val="20"/>
        </w:rPr>
        <w:t xml:space="preserve"> liability</w:t>
      </w:r>
      <w:r w:rsidR="00F242A8">
        <w:rPr>
          <w:rFonts w:asciiTheme="minorHAnsi" w:hAnsiTheme="minorHAnsi" w:cs="Arial"/>
          <w:sz w:val="20"/>
          <w:szCs w:val="20"/>
        </w:rPr>
        <w:t xml:space="preserve"> (FY24: none)</w:t>
      </w:r>
      <w:r w:rsidR="007563CE">
        <w:rPr>
          <w:rFonts w:asciiTheme="minorHAnsi" w:hAnsiTheme="minorHAnsi" w:cs="Arial"/>
          <w:sz w:val="20"/>
          <w:szCs w:val="20"/>
        </w:rPr>
        <w:t xml:space="preserve"> with maturities in </w:t>
      </w:r>
      <w:r w:rsidR="00337912">
        <w:rPr>
          <w:rFonts w:asciiTheme="minorHAnsi" w:hAnsiTheme="minorHAnsi" w:cs="Arial"/>
          <w:sz w:val="20"/>
          <w:szCs w:val="20"/>
        </w:rPr>
        <w:t>May 202</w:t>
      </w:r>
      <w:r w:rsidR="00B836AA">
        <w:rPr>
          <w:rFonts w:asciiTheme="minorHAnsi" w:hAnsiTheme="minorHAnsi" w:cs="Arial"/>
          <w:sz w:val="20"/>
          <w:szCs w:val="20"/>
        </w:rPr>
        <w:t>8</w:t>
      </w:r>
      <w:r w:rsidR="0042189E">
        <w:rPr>
          <w:rFonts w:asciiTheme="minorHAnsi" w:hAnsiTheme="minorHAnsi" w:cs="Arial"/>
          <w:sz w:val="20"/>
          <w:szCs w:val="20"/>
        </w:rPr>
        <w:t>, May 20</w:t>
      </w:r>
      <w:r w:rsidR="002D1FBC">
        <w:rPr>
          <w:rFonts w:asciiTheme="minorHAnsi" w:hAnsiTheme="minorHAnsi" w:cs="Arial"/>
          <w:sz w:val="20"/>
          <w:szCs w:val="20"/>
        </w:rPr>
        <w:t xml:space="preserve">29 and May </w:t>
      </w:r>
      <w:r w:rsidR="00945556">
        <w:rPr>
          <w:rFonts w:asciiTheme="minorHAnsi" w:hAnsiTheme="minorHAnsi" w:cs="Arial"/>
          <w:sz w:val="20"/>
          <w:szCs w:val="20"/>
        </w:rPr>
        <w:t>2030.</w:t>
      </w:r>
      <w:r w:rsidR="009E577D">
        <w:rPr>
          <w:rFonts w:asciiTheme="minorHAnsi" w:hAnsiTheme="minorHAnsi" w:cs="Arial"/>
          <w:sz w:val="20"/>
          <w:szCs w:val="20"/>
        </w:rPr>
        <w:t xml:space="preserve"> The swaps </w:t>
      </w:r>
      <w:r w:rsidR="0058742A">
        <w:rPr>
          <w:rFonts w:asciiTheme="minorHAnsi" w:hAnsiTheme="minorHAnsi" w:cs="Arial"/>
          <w:sz w:val="20"/>
          <w:szCs w:val="20"/>
        </w:rPr>
        <w:t xml:space="preserve">pay </w:t>
      </w:r>
      <w:r w:rsidR="006E157E">
        <w:rPr>
          <w:rFonts w:asciiTheme="minorHAnsi" w:hAnsiTheme="minorHAnsi" w:cs="Arial"/>
          <w:sz w:val="20"/>
          <w:szCs w:val="20"/>
        </w:rPr>
        <w:t>a fixed rate and receive</w:t>
      </w:r>
      <w:r w:rsidR="003F0B29">
        <w:rPr>
          <w:rFonts w:asciiTheme="minorHAnsi" w:hAnsiTheme="minorHAnsi" w:cs="Arial"/>
          <w:sz w:val="20"/>
          <w:szCs w:val="20"/>
        </w:rPr>
        <w:t xml:space="preserve"> a </w:t>
      </w:r>
      <w:r w:rsidR="00F0470C">
        <w:rPr>
          <w:rFonts w:asciiTheme="minorHAnsi" w:hAnsiTheme="minorHAnsi" w:cs="Arial"/>
          <w:sz w:val="20"/>
          <w:szCs w:val="20"/>
        </w:rPr>
        <w:t xml:space="preserve">floating daily compounded </w:t>
      </w:r>
      <w:r w:rsidR="0058742A">
        <w:rPr>
          <w:rFonts w:asciiTheme="minorHAnsi" w:hAnsiTheme="minorHAnsi" w:cs="Arial"/>
          <w:sz w:val="20"/>
          <w:szCs w:val="20"/>
        </w:rPr>
        <w:t>SONIA.</w:t>
      </w:r>
    </w:p>
    <w:p w14:paraId="6A6B34C5" w14:textId="77777777" w:rsidR="0058742A" w:rsidRDefault="0058742A" w:rsidP="0086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0B20F842" w14:textId="2FC2AF89" w:rsidR="006B7271" w:rsidRDefault="006B7271" w:rsidP="0086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Pr>
          <w:rFonts w:asciiTheme="minorHAnsi" w:hAnsiTheme="minorHAnsi" w:cs="Arial"/>
          <w:sz w:val="20"/>
          <w:szCs w:val="20"/>
        </w:rPr>
        <w:t xml:space="preserve">The 4 interest rate swaps for hedging </w:t>
      </w:r>
      <w:r w:rsidR="003008FC">
        <w:rPr>
          <w:rFonts w:asciiTheme="minorHAnsi" w:hAnsiTheme="minorHAnsi" w:cs="Arial"/>
          <w:sz w:val="20"/>
          <w:szCs w:val="20"/>
        </w:rPr>
        <w:t>the Financial Investments</w:t>
      </w:r>
      <w:r>
        <w:rPr>
          <w:rFonts w:asciiTheme="minorHAnsi" w:hAnsiTheme="minorHAnsi" w:cs="Arial"/>
          <w:sz w:val="20"/>
          <w:szCs w:val="20"/>
        </w:rPr>
        <w:t xml:space="preserve"> </w:t>
      </w:r>
      <w:r w:rsidR="003008FC">
        <w:rPr>
          <w:rFonts w:asciiTheme="minorHAnsi" w:hAnsiTheme="minorHAnsi" w:cs="Arial"/>
          <w:sz w:val="20"/>
          <w:szCs w:val="20"/>
        </w:rPr>
        <w:t>(</w:t>
      </w:r>
      <w:r w:rsidR="00D470EB">
        <w:rPr>
          <w:rFonts w:asciiTheme="minorHAnsi" w:hAnsiTheme="minorHAnsi" w:cs="Arial"/>
          <w:sz w:val="20"/>
          <w:szCs w:val="20"/>
        </w:rPr>
        <w:t xml:space="preserve">UK </w:t>
      </w:r>
      <w:r w:rsidR="003008FC">
        <w:rPr>
          <w:rFonts w:asciiTheme="minorHAnsi" w:hAnsiTheme="minorHAnsi" w:cs="Arial"/>
          <w:sz w:val="20"/>
          <w:szCs w:val="20"/>
        </w:rPr>
        <w:t>G</w:t>
      </w:r>
      <w:r w:rsidR="003064C3">
        <w:rPr>
          <w:rFonts w:asciiTheme="minorHAnsi" w:hAnsiTheme="minorHAnsi" w:cs="Arial"/>
          <w:sz w:val="20"/>
          <w:szCs w:val="20"/>
        </w:rPr>
        <w:t>ilts</w:t>
      </w:r>
      <w:r w:rsidR="003008FC">
        <w:rPr>
          <w:rFonts w:asciiTheme="minorHAnsi" w:hAnsiTheme="minorHAnsi" w:cs="Arial"/>
          <w:sz w:val="20"/>
          <w:szCs w:val="20"/>
        </w:rPr>
        <w:t>)</w:t>
      </w:r>
      <w:r w:rsidR="004E6AE8">
        <w:rPr>
          <w:rFonts w:asciiTheme="minorHAnsi" w:hAnsiTheme="minorHAnsi" w:cs="Arial"/>
          <w:sz w:val="20"/>
          <w:szCs w:val="20"/>
        </w:rPr>
        <w:t xml:space="preserve"> are collectively valued at </w:t>
      </w:r>
      <w:r w:rsidR="008F4C43">
        <w:rPr>
          <w:rFonts w:asciiTheme="minorHAnsi" w:hAnsiTheme="minorHAnsi" w:cs="Arial"/>
          <w:sz w:val="20"/>
          <w:szCs w:val="20"/>
        </w:rPr>
        <w:t>£0.7m</w:t>
      </w:r>
      <w:r w:rsidR="00D30435">
        <w:rPr>
          <w:rFonts w:asciiTheme="minorHAnsi" w:hAnsiTheme="minorHAnsi" w:cs="Arial"/>
          <w:sz w:val="20"/>
          <w:szCs w:val="20"/>
        </w:rPr>
        <w:t xml:space="preserve"> liability</w:t>
      </w:r>
      <w:r w:rsidR="00325B0A">
        <w:rPr>
          <w:rFonts w:asciiTheme="minorHAnsi" w:hAnsiTheme="minorHAnsi" w:cs="Arial"/>
          <w:sz w:val="20"/>
          <w:szCs w:val="20"/>
        </w:rPr>
        <w:t xml:space="preserve"> (FY24</w:t>
      </w:r>
      <w:r w:rsidR="00E223EF">
        <w:rPr>
          <w:rFonts w:asciiTheme="minorHAnsi" w:hAnsiTheme="minorHAnsi" w:cs="Arial"/>
          <w:sz w:val="20"/>
          <w:szCs w:val="20"/>
        </w:rPr>
        <w:t>:</w:t>
      </w:r>
      <w:r w:rsidR="00AD5BB4">
        <w:rPr>
          <w:rFonts w:asciiTheme="minorHAnsi" w:hAnsiTheme="minorHAnsi" w:cs="Arial"/>
          <w:sz w:val="20"/>
          <w:szCs w:val="20"/>
        </w:rPr>
        <w:t xml:space="preserve"> </w:t>
      </w:r>
      <w:r w:rsidR="00F242A8">
        <w:rPr>
          <w:rFonts w:asciiTheme="minorHAnsi" w:hAnsiTheme="minorHAnsi" w:cs="Arial"/>
          <w:sz w:val="20"/>
          <w:szCs w:val="20"/>
        </w:rPr>
        <w:t>none)</w:t>
      </w:r>
      <w:r w:rsidR="00C835CD">
        <w:rPr>
          <w:rFonts w:asciiTheme="minorHAnsi" w:hAnsiTheme="minorHAnsi" w:cs="Arial"/>
          <w:sz w:val="20"/>
          <w:szCs w:val="20"/>
        </w:rPr>
        <w:t xml:space="preserve"> with maturities </w:t>
      </w:r>
      <w:r w:rsidR="001E599A">
        <w:rPr>
          <w:rFonts w:asciiTheme="minorHAnsi" w:hAnsiTheme="minorHAnsi" w:cs="Arial"/>
          <w:sz w:val="20"/>
          <w:szCs w:val="20"/>
        </w:rPr>
        <w:t xml:space="preserve">in March 2027, March 2028, </w:t>
      </w:r>
      <w:r w:rsidR="00110D7B">
        <w:rPr>
          <w:rFonts w:asciiTheme="minorHAnsi" w:hAnsiTheme="minorHAnsi" w:cs="Arial"/>
          <w:sz w:val="20"/>
          <w:szCs w:val="20"/>
        </w:rPr>
        <w:t>June 2028, July 2029.</w:t>
      </w:r>
      <w:r w:rsidR="0058742A">
        <w:rPr>
          <w:rFonts w:asciiTheme="minorHAnsi" w:hAnsiTheme="minorHAnsi" w:cs="Arial"/>
          <w:sz w:val="20"/>
          <w:szCs w:val="20"/>
        </w:rPr>
        <w:t xml:space="preserve"> The swaps pay a fixed rate and receive a floating daily compounded SONIA.</w:t>
      </w:r>
    </w:p>
    <w:p w14:paraId="20BD420D" w14:textId="77777777" w:rsidR="00560320" w:rsidRDefault="00560320"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p>
    <w:p w14:paraId="2ADAD63D" w14:textId="75E3017E" w:rsidR="00FD0825" w:rsidRPr="00306AF1"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0"/>
          <w:szCs w:val="20"/>
        </w:rPr>
      </w:pPr>
      <w:r w:rsidRPr="00306AF1">
        <w:rPr>
          <w:rFonts w:asciiTheme="minorHAnsi" w:hAnsiTheme="minorHAnsi" w:cs="Arial"/>
          <w:sz w:val="20"/>
          <w:szCs w:val="20"/>
        </w:rPr>
        <w:t>Except as detailed in the following table, the directors consider that the carrying value of financial assets and financial liabilities recorded at amortised cost in the financial statements are approximately equal to their fair values:</w:t>
      </w:r>
    </w:p>
    <w:p w14:paraId="2859B0B0" w14:textId="77777777" w:rsidR="00FD0825" w:rsidRPr="00306AF1" w:rsidRDefault="00FD0825" w:rsidP="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0"/>
          <w:szCs w:val="20"/>
        </w:rPr>
      </w:pPr>
    </w:p>
    <w:tbl>
      <w:tblPr>
        <w:tblW w:w="9923" w:type="dxa"/>
        <w:tblLayout w:type="fixed"/>
        <w:tblLook w:val="0000" w:firstRow="0" w:lastRow="0" w:firstColumn="0" w:lastColumn="0" w:noHBand="0" w:noVBand="0"/>
      </w:tblPr>
      <w:tblGrid>
        <w:gridCol w:w="2552"/>
        <w:gridCol w:w="1276"/>
        <w:gridCol w:w="1417"/>
        <w:gridCol w:w="1134"/>
        <w:gridCol w:w="1134"/>
        <w:gridCol w:w="1276"/>
        <w:gridCol w:w="1134"/>
      </w:tblGrid>
      <w:tr w:rsidR="00FD0825" w:rsidRPr="00306AF1" w14:paraId="435BC20E" w14:textId="77777777" w:rsidTr="00A74834">
        <w:tc>
          <w:tcPr>
            <w:tcW w:w="2552" w:type="dxa"/>
          </w:tcPr>
          <w:p w14:paraId="13DC1134" w14:textId="77777777" w:rsidR="00FD0825" w:rsidRPr="00306AF1" w:rsidRDefault="00FD0825">
            <w:pPr>
              <w:rPr>
                <w:rFonts w:asciiTheme="minorHAnsi" w:hAnsiTheme="minorHAnsi" w:cs="Arial"/>
                <w:bCs/>
                <w:sz w:val="20"/>
                <w:szCs w:val="20"/>
              </w:rPr>
            </w:pPr>
          </w:p>
        </w:tc>
        <w:tc>
          <w:tcPr>
            <w:tcW w:w="3827" w:type="dxa"/>
            <w:gridSpan w:val="3"/>
            <w:tcBorders>
              <w:bottom w:val="single" w:sz="4" w:space="0" w:color="auto"/>
            </w:tcBorders>
          </w:tcPr>
          <w:p w14:paraId="7C8CB361" w14:textId="77777777" w:rsidR="00FD0825" w:rsidRPr="003A5200" w:rsidRDefault="00FD0825">
            <w:pPr>
              <w:jc w:val="center"/>
              <w:rPr>
                <w:rFonts w:asciiTheme="minorHAnsi" w:hAnsiTheme="minorHAnsi" w:cs="Arial"/>
                <w:sz w:val="20"/>
                <w:szCs w:val="20"/>
              </w:rPr>
            </w:pPr>
            <w:r w:rsidRPr="003A5200">
              <w:rPr>
                <w:rFonts w:asciiTheme="minorHAnsi" w:hAnsiTheme="minorHAnsi" w:cs="Arial"/>
                <w:sz w:val="20"/>
                <w:szCs w:val="20"/>
              </w:rPr>
              <w:t>Carrying value</w:t>
            </w:r>
          </w:p>
        </w:tc>
        <w:tc>
          <w:tcPr>
            <w:tcW w:w="3544" w:type="dxa"/>
            <w:gridSpan w:val="3"/>
            <w:tcBorders>
              <w:top w:val="nil"/>
              <w:left w:val="nil"/>
              <w:bottom w:val="single" w:sz="4" w:space="0" w:color="auto"/>
              <w:right w:val="nil"/>
            </w:tcBorders>
          </w:tcPr>
          <w:p w14:paraId="3CCA98FC" w14:textId="77777777" w:rsidR="00FD0825" w:rsidRPr="003A5200" w:rsidRDefault="00FD0825">
            <w:pPr>
              <w:jc w:val="center"/>
              <w:rPr>
                <w:rFonts w:asciiTheme="minorHAnsi" w:hAnsiTheme="minorHAnsi" w:cs="Arial"/>
                <w:sz w:val="20"/>
                <w:szCs w:val="20"/>
              </w:rPr>
            </w:pPr>
            <w:r w:rsidRPr="003A5200">
              <w:rPr>
                <w:rFonts w:asciiTheme="minorHAnsi" w:hAnsiTheme="minorHAnsi" w:cs="Arial"/>
                <w:sz w:val="20"/>
                <w:szCs w:val="20"/>
              </w:rPr>
              <w:t>Fair value</w:t>
            </w:r>
          </w:p>
        </w:tc>
      </w:tr>
      <w:tr w:rsidR="00FD0825" w:rsidRPr="00306AF1" w14:paraId="65A2E7D8" w14:textId="77777777" w:rsidTr="00A74834">
        <w:tc>
          <w:tcPr>
            <w:tcW w:w="2552" w:type="dxa"/>
          </w:tcPr>
          <w:p w14:paraId="32306A01" w14:textId="77777777" w:rsidR="00FD0825" w:rsidRPr="00306AF1" w:rsidRDefault="00FD0825">
            <w:pPr>
              <w:rPr>
                <w:rFonts w:asciiTheme="minorHAnsi" w:eastAsiaTheme="minorEastAsia" w:hAnsiTheme="minorHAnsi" w:cstheme="minorBidi"/>
                <w:sz w:val="20"/>
                <w:szCs w:val="20"/>
              </w:rPr>
            </w:pPr>
          </w:p>
        </w:tc>
        <w:tc>
          <w:tcPr>
            <w:tcW w:w="1276" w:type="dxa"/>
            <w:shd w:val="clear" w:color="auto" w:fill="F2F2F2" w:themeFill="background1" w:themeFillShade="F2"/>
          </w:tcPr>
          <w:p w14:paraId="065F76D1" w14:textId="77777777" w:rsidR="00FD0825" w:rsidRPr="00673F0D" w:rsidRDefault="00FD0825" w:rsidP="00982FED">
            <w:pPr>
              <w:jc w:val="right"/>
              <w:rPr>
                <w:rFonts w:asciiTheme="minorHAnsi" w:eastAsiaTheme="minorEastAsia" w:hAnsiTheme="minorHAnsi" w:cstheme="minorBidi"/>
                <w:b/>
                <w:sz w:val="20"/>
                <w:szCs w:val="20"/>
              </w:rPr>
            </w:pPr>
            <w:r w:rsidRPr="662DDD2F">
              <w:rPr>
                <w:rFonts w:asciiTheme="minorHAnsi" w:eastAsiaTheme="minorEastAsia" w:hAnsiTheme="minorHAnsi" w:cstheme="minorBidi"/>
                <w:b/>
                <w:sz w:val="20"/>
                <w:szCs w:val="20"/>
              </w:rPr>
              <w:t>30 June </w:t>
            </w:r>
          </w:p>
        </w:tc>
        <w:tc>
          <w:tcPr>
            <w:tcW w:w="1417" w:type="dxa"/>
            <w:tcBorders>
              <w:left w:val="nil"/>
              <w:right w:val="nil"/>
            </w:tcBorders>
          </w:tcPr>
          <w:p w14:paraId="175DEA39" w14:textId="77777777" w:rsidR="00FD0825" w:rsidRPr="003A5200" w:rsidRDefault="00FD0825" w:rsidP="00982FED">
            <w:pPr>
              <w:ind w:left="-108"/>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31 December </w:t>
            </w:r>
          </w:p>
        </w:tc>
        <w:tc>
          <w:tcPr>
            <w:tcW w:w="1134" w:type="dxa"/>
            <w:tcBorders>
              <w:left w:val="nil"/>
              <w:right w:val="nil"/>
            </w:tcBorders>
          </w:tcPr>
          <w:p w14:paraId="08EF4C53" w14:textId="77777777" w:rsidR="00FD0825" w:rsidRPr="003A5200" w:rsidRDefault="00FD0825" w:rsidP="00982FED">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30 June</w:t>
            </w:r>
          </w:p>
        </w:tc>
        <w:tc>
          <w:tcPr>
            <w:tcW w:w="1134" w:type="dxa"/>
            <w:tcBorders>
              <w:left w:val="nil"/>
              <w:right w:val="nil"/>
            </w:tcBorders>
            <w:shd w:val="clear" w:color="auto" w:fill="F2F2F2" w:themeFill="background1" w:themeFillShade="F2"/>
          </w:tcPr>
          <w:p w14:paraId="5F4FC7CB" w14:textId="6CE68601" w:rsidR="00FD0825" w:rsidRPr="00673F0D" w:rsidRDefault="00FD0825" w:rsidP="00982FED">
            <w:pPr>
              <w:jc w:val="right"/>
              <w:rPr>
                <w:rFonts w:asciiTheme="minorHAnsi" w:eastAsiaTheme="minorEastAsia" w:hAnsiTheme="minorHAnsi" w:cstheme="minorBidi"/>
                <w:b/>
                <w:sz w:val="20"/>
                <w:szCs w:val="20"/>
              </w:rPr>
            </w:pPr>
            <w:r w:rsidRPr="662DDD2F">
              <w:rPr>
                <w:rFonts w:asciiTheme="minorHAnsi" w:eastAsiaTheme="minorEastAsia" w:hAnsiTheme="minorHAnsi" w:cstheme="minorBidi"/>
                <w:b/>
                <w:sz w:val="20"/>
                <w:szCs w:val="20"/>
              </w:rPr>
              <w:t>30 June </w:t>
            </w:r>
          </w:p>
        </w:tc>
        <w:tc>
          <w:tcPr>
            <w:tcW w:w="1276" w:type="dxa"/>
            <w:tcBorders>
              <w:left w:val="nil"/>
              <w:right w:val="nil"/>
            </w:tcBorders>
          </w:tcPr>
          <w:p w14:paraId="12B0A711" w14:textId="62AFD4A4" w:rsidR="00FD0825" w:rsidRPr="003A5200" w:rsidRDefault="00FD0825" w:rsidP="00982FED">
            <w:pPr>
              <w:ind w:left="-108"/>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31 December</w:t>
            </w:r>
            <w:r w:rsidR="00C24943" w:rsidRPr="662DDD2F">
              <w:rPr>
                <w:rFonts w:asciiTheme="minorHAnsi" w:eastAsiaTheme="minorEastAsia" w:hAnsiTheme="minorHAnsi" w:cstheme="minorBidi"/>
                <w:sz w:val="20"/>
                <w:szCs w:val="20"/>
              </w:rPr>
              <w:t> </w:t>
            </w:r>
          </w:p>
        </w:tc>
        <w:tc>
          <w:tcPr>
            <w:tcW w:w="1134" w:type="dxa"/>
            <w:tcBorders>
              <w:left w:val="nil"/>
              <w:right w:val="nil"/>
            </w:tcBorders>
          </w:tcPr>
          <w:p w14:paraId="1E05F55E" w14:textId="0E7D7039" w:rsidR="00FD0825" w:rsidRPr="003A5200" w:rsidRDefault="00FD0825" w:rsidP="00982FED">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30 June</w:t>
            </w:r>
          </w:p>
        </w:tc>
      </w:tr>
      <w:tr w:rsidR="00FD0825" w:rsidRPr="00306AF1" w14:paraId="257CCD4C" w14:textId="77777777" w:rsidTr="00A74834">
        <w:tc>
          <w:tcPr>
            <w:tcW w:w="2552" w:type="dxa"/>
          </w:tcPr>
          <w:p w14:paraId="35A53B5C" w14:textId="77777777" w:rsidR="00FD0825" w:rsidRPr="00306AF1" w:rsidRDefault="00FD0825">
            <w:pPr>
              <w:rPr>
                <w:rFonts w:asciiTheme="minorHAnsi" w:eastAsiaTheme="minorEastAsia" w:hAnsiTheme="minorHAnsi" w:cstheme="minorBidi"/>
                <w:sz w:val="20"/>
                <w:szCs w:val="20"/>
              </w:rPr>
            </w:pPr>
          </w:p>
        </w:tc>
        <w:tc>
          <w:tcPr>
            <w:tcW w:w="1276" w:type="dxa"/>
            <w:tcBorders>
              <w:bottom w:val="single" w:sz="4" w:space="0" w:color="auto"/>
            </w:tcBorders>
            <w:shd w:val="clear" w:color="auto" w:fill="F2F2F2" w:themeFill="background1" w:themeFillShade="F2"/>
          </w:tcPr>
          <w:p w14:paraId="5485AFE0" w14:textId="77777777" w:rsidR="00C24943" w:rsidRDefault="008D5EC6" w:rsidP="00C24943">
            <w:pPr>
              <w:jc w:val="right"/>
              <w:rPr>
                <w:rFonts w:asciiTheme="minorHAnsi" w:eastAsiaTheme="minorEastAsia" w:hAnsiTheme="minorHAnsi" w:cstheme="minorBidi"/>
                <w:b/>
                <w:sz w:val="20"/>
                <w:szCs w:val="20"/>
              </w:rPr>
            </w:pPr>
            <w:r w:rsidRPr="662DDD2F">
              <w:rPr>
                <w:rFonts w:asciiTheme="minorHAnsi" w:eastAsiaTheme="minorEastAsia" w:hAnsiTheme="minorHAnsi" w:cstheme="minorBidi"/>
                <w:b/>
                <w:sz w:val="20"/>
                <w:szCs w:val="20"/>
              </w:rPr>
              <w:t>202</w:t>
            </w:r>
            <w:r>
              <w:rPr>
                <w:rFonts w:asciiTheme="minorHAnsi" w:eastAsiaTheme="minorEastAsia" w:hAnsiTheme="minorHAnsi" w:cstheme="minorBidi"/>
                <w:b/>
                <w:sz w:val="20"/>
                <w:szCs w:val="20"/>
              </w:rPr>
              <w:t>5</w:t>
            </w:r>
          </w:p>
          <w:p w14:paraId="67740111" w14:textId="2C69981C" w:rsidR="008D5EC6" w:rsidRDefault="00C24943" w:rsidP="00982FED">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unaudited</w:t>
            </w:r>
            <w:r w:rsidR="008D5EC6" w:rsidRPr="662DDD2F">
              <w:rPr>
                <w:rFonts w:asciiTheme="minorHAnsi" w:eastAsiaTheme="minorEastAsia" w:hAnsiTheme="minorHAnsi" w:cstheme="minorBidi"/>
                <w:b/>
                <w:sz w:val="20"/>
                <w:szCs w:val="20"/>
              </w:rPr>
              <w:t> </w:t>
            </w:r>
          </w:p>
          <w:p w14:paraId="56CA353B" w14:textId="77777777" w:rsidR="00FD0825" w:rsidRPr="00673F0D" w:rsidRDefault="00FD0825" w:rsidP="00982FED">
            <w:pPr>
              <w:jc w:val="right"/>
              <w:rPr>
                <w:rFonts w:asciiTheme="minorHAnsi" w:eastAsiaTheme="minorEastAsia" w:hAnsiTheme="minorHAnsi" w:cstheme="minorBidi"/>
                <w:b/>
                <w:sz w:val="20"/>
                <w:szCs w:val="20"/>
              </w:rPr>
            </w:pPr>
            <w:r w:rsidRPr="662DDD2F">
              <w:rPr>
                <w:rFonts w:asciiTheme="minorHAnsi" w:eastAsiaTheme="minorEastAsia" w:hAnsiTheme="minorHAnsi" w:cstheme="minorBidi"/>
                <w:b/>
                <w:sz w:val="20"/>
                <w:szCs w:val="20"/>
              </w:rPr>
              <w:t>£m </w:t>
            </w:r>
          </w:p>
        </w:tc>
        <w:tc>
          <w:tcPr>
            <w:tcW w:w="1417" w:type="dxa"/>
            <w:tcBorders>
              <w:left w:val="nil"/>
              <w:bottom w:val="single" w:sz="4" w:space="0" w:color="auto"/>
              <w:right w:val="nil"/>
            </w:tcBorders>
          </w:tcPr>
          <w:p w14:paraId="577C6B80" w14:textId="77777777" w:rsidR="008D5EC6" w:rsidRDefault="008D5EC6" w:rsidP="00982FED">
            <w:pPr>
              <w:ind w:left="-108"/>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202</w:t>
            </w:r>
            <w:r>
              <w:rPr>
                <w:rFonts w:asciiTheme="minorHAnsi" w:eastAsiaTheme="minorEastAsia" w:hAnsiTheme="minorHAnsi" w:cstheme="minorBidi"/>
                <w:sz w:val="20"/>
                <w:szCs w:val="20"/>
              </w:rPr>
              <w:t>4</w:t>
            </w:r>
          </w:p>
          <w:p w14:paraId="78869EDE" w14:textId="3A23F278" w:rsidR="00C24943" w:rsidRDefault="00C24943" w:rsidP="00C24943">
            <w:pPr>
              <w:ind w:left="-108"/>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audited</w:t>
            </w:r>
          </w:p>
          <w:p w14:paraId="36B39C8B" w14:textId="77777777" w:rsidR="00FD0825" w:rsidRPr="003A5200" w:rsidRDefault="00FD0825" w:rsidP="00982FED">
            <w:pPr>
              <w:ind w:left="-108"/>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£m </w:t>
            </w:r>
          </w:p>
        </w:tc>
        <w:tc>
          <w:tcPr>
            <w:tcW w:w="1134" w:type="dxa"/>
            <w:tcBorders>
              <w:left w:val="nil"/>
              <w:bottom w:val="single" w:sz="4" w:space="0" w:color="auto"/>
              <w:right w:val="nil"/>
            </w:tcBorders>
          </w:tcPr>
          <w:p w14:paraId="23894834" w14:textId="65339EC6" w:rsidR="00FD0825" w:rsidRPr="003A5200" w:rsidRDefault="008D5EC6" w:rsidP="00982FED">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202</w:t>
            </w:r>
            <w:r>
              <w:rPr>
                <w:rFonts w:asciiTheme="minorHAnsi" w:eastAsiaTheme="minorEastAsia" w:hAnsiTheme="minorHAnsi" w:cstheme="minorBidi"/>
                <w:sz w:val="20"/>
                <w:szCs w:val="20"/>
              </w:rPr>
              <w:t>4</w:t>
            </w:r>
          </w:p>
          <w:p w14:paraId="1DC47AE7" w14:textId="76030EF3" w:rsidR="00C24943" w:rsidRPr="003A5200" w:rsidRDefault="00C24943" w:rsidP="00C24943">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unaudited</w:t>
            </w:r>
          </w:p>
          <w:p w14:paraId="64A3C635" w14:textId="77777777" w:rsidR="00FD0825" w:rsidRPr="003A5200" w:rsidRDefault="00FD0825" w:rsidP="00982FED">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 xml:space="preserve"> £m </w:t>
            </w:r>
          </w:p>
        </w:tc>
        <w:tc>
          <w:tcPr>
            <w:tcW w:w="1134" w:type="dxa"/>
            <w:tcBorders>
              <w:left w:val="nil"/>
              <w:bottom w:val="single" w:sz="4" w:space="0" w:color="auto"/>
              <w:right w:val="nil"/>
            </w:tcBorders>
            <w:shd w:val="clear" w:color="auto" w:fill="F2F2F2" w:themeFill="background1" w:themeFillShade="F2"/>
          </w:tcPr>
          <w:p w14:paraId="3E3DB73B" w14:textId="77777777" w:rsidR="00C24943" w:rsidRDefault="00C24943" w:rsidP="00C24943">
            <w:pPr>
              <w:jc w:val="right"/>
              <w:rPr>
                <w:rFonts w:asciiTheme="minorHAnsi" w:eastAsiaTheme="minorEastAsia" w:hAnsiTheme="minorHAnsi" w:cstheme="minorBidi"/>
                <w:b/>
                <w:sz w:val="20"/>
                <w:szCs w:val="20"/>
              </w:rPr>
            </w:pPr>
            <w:r w:rsidRPr="662DDD2F">
              <w:rPr>
                <w:rFonts w:asciiTheme="minorHAnsi" w:eastAsiaTheme="minorEastAsia" w:hAnsiTheme="minorHAnsi" w:cstheme="minorBidi"/>
                <w:b/>
                <w:sz w:val="20"/>
                <w:szCs w:val="20"/>
              </w:rPr>
              <w:t>202</w:t>
            </w:r>
            <w:r>
              <w:rPr>
                <w:rFonts w:asciiTheme="minorHAnsi" w:eastAsiaTheme="minorEastAsia" w:hAnsiTheme="minorHAnsi" w:cstheme="minorBidi"/>
                <w:b/>
                <w:sz w:val="20"/>
                <w:szCs w:val="20"/>
              </w:rPr>
              <w:t>5</w:t>
            </w:r>
          </w:p>
          <w:p w14:paraId="60AB1844" w14:textId="759F8532" w:rsidR="00C24943" w:rsidRDefault="00C24943" w:rsidP="00C24943">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unaudited</w:t>
            </w:r>
          </w:p>
          <w:p w14:paraId="288411C3" w14:textId="6E6368A7" w:rsidR="00FD0825" w:rsidRPr="00673F0D" w:rsidRDefault="00FD0825" w:rsidP="00982FED">
            <w:pPr>
              <w:jc w:val="right"/>
              <w:rPr>
                <w:rFonts w:asciiTheme="minorHAnsi" w:eastAsiaTheme="minorEastAsia" w:hAnsiTheme="minorHAnsi" w:cstheme="minorBidi"/>
                <w:b/>
                <w:sz w:val="20"/>
                <w:szCs w:val="20"/>
              </w:rPr>
            </w:pPr>
            <w:r w:rsidRPr="662DDD2F">
              <w:rPr>
                <w:rFonts w:asciiTheme="minorHAnsi" w:eastAsiaTheme="minorEastAsia" w:hAnsiTheme="minorHAnsi" w:cstheme="minorBidi"/>
                <w:b/>
                <w:sz w:val="20"/>
                <w:szCs w:val="20"/>
              </w:rPr>
              <w:t>£m </w:t>
            </w:r>
          </w:p>
        </w:tc>
        <w:tc>
          <w:tcPr>
            <w:tcW w:w="1276" w:type="dxa"/>
            <w:tcBorders>
              <w:left w:val="nil"/>
              <w:bottom w:val="single" w:sz="4" w:space="0" w:color="auto"/>
              <w:right w:val="nil"/>
            </w:tcBorders>
          </w:tcPr>
          <w:p w14:paraId="08833BBC" w14:textId="77777777" w:rsidR="008D5EC6" w:rsidRDefault="008D5EC6" w:rsidP="00982FED">
            <w:pPr>
              <w:ind w:left="-108"/>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202</w:t>
            </w:r>
            <w:r>
              <w:rPr>
                <w:rFonts w:asciiTheme="minorHAnsi" w:eastAsiaTheme="minorEastAsia" w:hAnsiTheme="minorHAnsi" w:cstheme="minorBidi"/>
                <w:sz w:val="20"/>
                <w:szCs w:val="20"/>
              </w:rPr>
              <w:t>4</w:t>
            </w:r>
          </w:p>
          <w:p w14:paraId="2D975EF5" w14:textId="77777777" w:rsidR="00C24943" w:rsidRDefault="00C24943" w:rsidP="00C24943">
            <w:pPr>
              <w:ind w:left="-108"/>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audited</w:t>
            </w:r>
          </w:p>
          <w:p w14:paraId="29DC498D" w14:textId="24BB54A3" w:rsidR="00FD0825" w:rsidRPr="003A5200" w:rsidRDefault="00FD0825" w:rsidP="00982FED">
            <w:pPr>
              <w:ind w:left="-108"/>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£m </w:t>
            </w:r>
          </w:p>
        </w:tc>
        <w:tc>
          <w:tcPr>
            <w:tcW w:w="1134" w:type="dxa"/>
            <w:tcBorders>
              <w:left w:val="nil"/>
              <w:bottom w:val="single" w:sz="4" w:space="0" w:color="auto"/>
              <w:right w:val="nil"/>
            </w:tcBorders>
          </w:tcPr>
          <w:p w14:paraId="25290EEE" w14:textId="77777777" w:rsidR="008D5EC6" w:rsidRPr="003A5200" w:rsidRDefault="008D5EC6" w:rsidP="00982FED">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202</w:t>
            </w:r>
            <w:r>
              <w:rPr>
                <w:rFonts w:asciiTheme="minorHAnsi" w:eastAsiaTheme="minorEastAsia" w:hAnsiTheme="minorHAnsi" w:cstheme="minorBidi"/>
                <w:sz w:val="20"/>
                <w:szCs w:val="20"/>
              </w:rPr>
              <w:t>4</w:t>
            </w:r>
          </w:p>
          <w:p w14:paraId="332E937C" w14:textId="77777777" w:rsidR="00C24943" w:rsidRPr="003A5200" w:rsidRDefault="00C24943" w:rsidP="00C24943">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unaudited</w:t>
            </w:r>
          </w:p>
          <w:p w14:paraId="58B4A723" w14:textId="3BADB6BE" w:rsidR="00FD0825" w:rsidRPr="003A5200" w:rsidRDefault="008D5EC6" w:rsidP="00982FED">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 xml:space="preserve"> </w:t>
            </w:r>
            <w:r w:rsidR="00FD0825" w:rsidRPr="662DDD2F">
              <w:rPr>
                <w:rFonts w:asciiTheme="minorHAnsi" w:eastAsiaTheme="minorEastAsia" w:hAnsiTheme="minorHAnsi" w:cstheme="minorBidi"/>
                <w:sz w:val="20"/>
                <w:szCs w:val="20"/>
              </w:rPr>
              <w:t>£m </w:t>
            </w:r>
          </w:p>
        </w:tc>
      </w:tr>
      <w:tr w:rsidR="00FD0825" w:rsidRPr="00306AF1" w14:paraId="540F2264" w14:textId="77777777" w:rsidTr="00A74834">
        <w:tc>
          <w:tcPr>
            <w:tcW w:w="2552" w:type="dxa"/>
            <w:vAlign w:val="bottom"/>
          </w:tcPr>
          <w:p w14:paraId="3FDC9F72" w14:textId="77777777" w:rsidR="00FD0825" w:rsidRPr="00306AF1" w:rsidRDefault="00FD0825">
            <w:pPr>
              <w:rPr>
                <w:rFonts w:asciiTheme="minorHAnsi" w:eastAsiaTheme="minorEastAsia" w:hAnsiTheme="minorHAnsi" w:cstheme="minorBidi"/>
                <w:b/>
                <w:sz w:val="20"/>
                <w:szCs w:val="20"/>
              </w:rPr>
            </w:pPr>
            <w:r w:rsidRPr="662DDD2F">
              <w:rPr>
                <w:rFonts w:asciiTheme="minorHAnsi" w:eastAsiaTheme="minorEastAsia" w:hAnsiTheme="minorHAnsi" w:cstheme="minorBidi"/>
                <w:b/>
                <w:sz w:val="20"/>
                <w:szCs w:val="20"/>
              </w:rPr>
              <w:t>Financial assets</w:t>
            </w:r>
          </w:p>
        </w:tc>
        <w:tc>
          <w:tcPr>
            <w:tcW w:w="1276" w:type="dxa"/>
            <w:tcBorders>
              <w:top w:val="single" w:sz="4" w:space="0" w:color="auto"/>
            </w:tcBorders>
            <w:shd w:val="clear" w:color="auto" w:fill="F2F2F2" w:themeFill="background1" w:themeFillShade="F2"/>
          </w:tcPr>
          <w:p w14:paraId="0DDDB328" w14:textId="77777777" w:rsidR="00FD0825" w:rsidRPr="00673F0D" w:rsidRDefault="00FD0825">
            <w:pPr>
              <w:jc w:val="right"/>
              <w:rPr>
                <w:rFonts w:asciiTheme="minorHAnsi" w:eastAsiaTheme="minorEastAsia" w:hAnsiTheme="minorHAnsi" w:cstheme="minorBidi"/>
                <w:b/>
                <w:sz w:val="20"/>
                <w:szCs w:val="20"/>
                <w:highlight w:val="yellow"/>
              </w:rPr>
            </w:pPr>
          </w:p>
        </w:tc>
        <w:tc>
          <w:tcPr>
            <w:tcW w:w="1417" w:type="dxa"/>
            <w:tcBorders>
              <w:top w:val="single" w:sz="4" w:space="0" w:color="auto"/>
            </w:tcBorders>
          </w:tcPr>
          <w:p w14:paraId="0D2EB7BD" w14:textId="77777777" w:rsidR="00FD0825" w:rsidRPr="009145B0" w:rsidRDefault="00FD0825">
            <w:pPr>
              <w:jc w:val="right"/>
              <w:rPr>
                <w:rFonts w:asciiTheme="minorHAnsi" w:eastAsiaTheme="minorEastAsia" w:hAnsiTheme="minorHAnsi" w:cstheme="minorBidi"/>
                <w:sz w:val="20"/>
                <w:szCs w:val="20"/>
                <w:highlight w:val="yellow"/>
              </w:rPr>
            </w:pPr>
          </w:p>
        </w:tc>
        <w:tc>
          <w:tcPr>
            <w:tcW w:w="1134" w:type="dxa"/>
            <w:tcBorders>
              <w:top w:val="single" w:sz="4" w:space="0" w:color="auto"/>
            </w:tcBorders>
          </w:tcPr>
          <w:p w14:paraId="544B7599" w14:textId="77777777" w:rsidR="00FD0825" w:rsidRPr="009145B0" w:rsidRDefault="00FD0825">
            <w:pPr>
              <w:jc w:val="right"/>
              <w:rPr>
                <w:rFonts w:asciiTheme="minorHAnsi" w:eastAsiaTheme="minorEastAsia" w:hAnsiTheme="minorHAnsi" w:cstheme="minorBidi"/>
                <w:sz w:val="20"/>
                <w:szCs w:val="20"/>
                <w:highlight w:val="yellow"/>
              </w:rPr>
            </w:pPr>
          </w:p>
        </w:tc>
        <w:tc>
          <w:tcPr>
            <w:tcW w:w="1134" w:type="dxa"/>
            <w:tcBorders>
              <w:top w:val="single" w:sz="4" w:space="0" w:color="auto"/>
            </w:tcBorders>
            <w:shd w:val="clear" w:color="auto" w:fill="F2F2F2" w:themeFill="background1" w:themeFillShade="F2"/>
          </w:tcPr>
          <w:p w14:paraId="6DEB414D" w14:textId="77777777" w:rsidR="00FD0825" w:rsidRPr="00673F0D" w:rsidRDefault="00FD0825">
            <w:pPr>
              <w:jc w:val="right"/>
              <w:rPr>
                <w:rFonts w:asciiTheme="minorHAnsi" w:eastAsiaTheme="minorEastAsia" w:hAnsiTheme="minorHAnsi" w:cstheme="minorBidi"/>
                <w:b/>
                <w:sz w:val="20"/>
                <w:szCs w:val="20"/>
                <w:highlight w:val="yellow"/>
              </w:rPr>
            </w:pPr>
          </w:p>
        </w:tc>
        <w:tc>
          <w:tcPr>
            <w:tcW w:w="1276" w:type="dxa"/>
            <w:tcBorders>
              <w:top w:val="single" w:sz="4" w:space="0" w:color="auto"/>
            </w:tcBorders>
          </w:tcPr>
          <w:p w14:paraId="75351530" w14:textId="77777777" w:rsidR="00FD0825" w:rsidRPr="009145B0" w:rsidRDefault="00FD0825">
            <w:pPr>
              <w:jc w:val="right"/>
              <w:rPr>
                <w:rFonts w:asciiTheme="minorHAnsi" w:eastAsiaTheme="minorEastAsia" w:hAnsiTheme="minorHAnsi" w:cstheme="minorBidi"/>
                <w:sz w:val="20"/>
                <w:szCs w:val="20"/>
                <w:highlight w:val="yellow"/>
              </w:rPr>
            </w:pPr>
          </w:p>
        </w:tc>
        <w:tc>
          <w:tcPr>
            <w:tcW w:w="1134" w:type="dxa"/>
            <w:tcBorders>
              <w:top w:val="single" w:sz="4" w:space="0" w:color="auto"/>
            </w:tcBorders>
          </w:tcPr>
          <w:p w14:paraId="107ADA23" w14:textId="77777777" w:rsidR="00FD0825" w:rsidRPr="009145B0" w:rsidRDefault="00FD0825">
            <w:pPr>
              <w:jc w:val="right"/>
              <w:rPr>
                <w:rFonts w:asciiTheme="minorHAnsi" w:eastAsiaTheme="minorEastAsia" w:hAnsiTheme="minorHAnsi" w:cstheme="minorBidi"/>
                <w:sz w:val="20"/>
                <w:szCs w:val="20"/>
                <w:highlight w:val="yellow"/>
              </w:rPr>
            </w:pPr>
          </w:p>
        </w:tc>
      </w:tr>
      <w:tr w:rsidR="00FD0825" w:rsidRPr="004D21F7" w14:paraId="29FA2807" w14:textId="77777777" w:rsidTr="00A74834">
        <w:trPr>
          <w:trHeight w:val="122"/>
        </w:trPr>
        <w:tc>
          <w:tcPr>
            <w:tcW w:w="2552" w:type="dxa"/>
            <w:vAlign w:val="bottom"/>
          </w:tcPr>
          <w:p w14:paraId="63A74093" w14:textId="77777777" w:rsidR="00FD0825" w:rsidRPr="004D21F7" w:rsidRDefault="00FD0825">
            <w:pPr>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Amounts receivable from customers</w:t>
            </w:r>
          </w:p>
        </w:tc>
        <w:tc>
          <w:tcPr>
            <w:tcW w:w="1276" w:type="dxa"/>
            <w:tcBorders>
              <w:bottom w:val="single" w:sz="12" w:space="0" w:color="auto"/>
            </w:tcBorders>
            <w:shd w:val="clear" w:color="auto" w:fill="F2F2F2" w:themeFill="background1" w:themeFillShade="F2"/>
            <w:vAlign w:val="bottom"/>
          </w:tcPr>
          <w:p w14:paraId="226536F9" w14:textId="5ED2D2A1" w:rsidR="00FD0825" w:rsidRPr="00673F0D" w:rsidRDefault="00764DE2">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2,325.1</w:t>
            </w:r>
          </w:p>
        </w:tc>
        <w:tc>
          <w:tcPr>
            <w:tcW w:w="1417" w:type="dxa"/>
            <w:tcBorders>
              <w:bottom w:val="single" w:sz="12" w:space="0" w:color="auto"/>
            </w:tcBorders>
            <w:vAlign w:val="bottom"/>
          </w:tcPr>
          <w:p w14:paraId="1FFAB3B1" w14:textId="0E5B6810" w:rsidR="00FD0825" w:rsidRPr="006D4208" w:rsidRDefault="00E012FA">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2,153.7</w:t>
            </w:r>
          </w:p>
        </w:tc>
        <w:tc>
          <w:tcPr>
            <w:tcW w:w="1134" w:type="dxa"/>
            <w:tcBorders>
              <w:bottom w:val="single" w:sz="12" w:space="0" w:color="auto"/>
            </w:tcBorders>
            <w:vAlign w:val="bottom"/>
          </w:tcPr>
          <w:p w14:paraId="6FCC60D8" w14:textId="4617A54E" w:rsidR="00FD0825" w:rsidRPr="00C10206" w:rsidRDefault="00FD0825">
            <w:pPr>
              <w:jc w:val="right"/>
              <w:rPr>
                <w:rFonts w:asciiTheme="minorHAnsi" w:eastAsiaTheme="minorEastAsia" w:hAnsiTheme="minorHAnsi" w:cstheme="minorBidi"/>
                <w:color w:val="000000" w:themeColor="text1"/>
                <w:sz w:val="20"/>
                <w:szCs w:val="20"/>
              </w:rPr>
            </w:pPr>
            <w:r w:rsidRPr="00C10206">
              <w:rPr>
                <w:rFonts w:asciiTheme="minorHAnsi" w:eastAsiaTheme="minorEastAsia" w:hAnsiTheme="minorHAnsi" w:cstheme="minorBidi"/>
                <w:color w:val="000000" w:themeColor="text1"/>
                <w:sz w:val="20"/>
                <w:szCs w:val="20"/>
              </w:rPr>
              <w:t>2,</w:t>
            </w:r>
            <w:r w:rsidR="008D5EC6" w:rsidRPr="00C10206">
              <w:rPr>
                <w:rFonts w:asciiTheme="minorHAnsi" w:eastAsiaTheme="minorEastAsia" w:hAnsiTheme="minorHAnsi" w:cstheme="minorBidi"/>
                <w:color w:val="000000" w:themeColor="text1"/>
                <w:sz w:val="20"/>
                <w:szCs w:val="20"/>
              </w:rPr>
              <w:t>008.5</w:t>
            </w:r>
          </w:p>
        </w:tc>
        <w:tc>
          <w:tcPr>
            <w:tcW w:w="1134" w:type="dxa"/>
            <w:tcBorders>
              <w:bottom w:val="single" w:sz="12" w:space="0" w:color="auto"/>
            </w:tcBorders>
            <w:shd w:val="clear" w:color="auto" w:fill="F2F2F2" w:themeFill="background1" w:themeFillShade="F2"/>
            <w:vAlign w:val="bottom"/>
          </w:tcPr>
          <w:p w14:paraId="0EAC2C9E" w14:textId="743C119E" w:rsidR="00FD0825" w:rsidRPr="00C10206" w:rsidRDefault="004214E5">
            <w:pPr>
              <w:jc w:val="right"/>
              <w:rPr>
                <w:rFonts w:asciiTheme="minorHAnsi" w:eastAsiaTheme="minorEastAsia" w:hAnsiTheme="minorHAnsi" w:cstheme="minorBidi"/>
                <w:b/>
                <w:color w:val="000000" w:themeColor="text1"/>
                <w:sz w:val="20"/>
                <w:szCs w:val="20"/>
                <w:highlight w:val="yellow"/>
              </w:rPr>
            </w:pPr>
            <w:r w:rsidRPr="004214E5">
              <w:rPr>
                <w:rFonts w:asciiTheme="minorHAnsi" w:eastAsiaTheme="minorEastAsia" w:hAnsiTheme="minorHAnsi" w:cstheme="minorBidi"/>
                <w:b/>
                <w:color w:val="000000" w:themeColor="text1"/>
                <w:sz w:val="20"/>
                <w:szCs w:val="20"/>
              </w:rPr>
              <w:t>2,738.4</w:t>
            </w:r>
          </w:p>
        </w:tc>
        <w:tc>
          <w:tcPr>
            <w:tcW w:w="1276" w:type="dxa"/>
            <w:tcBorders>
              <w:bottom w:val="single" w:sz="12" w:space="0" w:color="auto"/>
            </w:tcBorders>
            <w:vAlign w:val="bottom"/>
          </w:tcPr>
          <w:p w14:paraId="7E385D78" w14:textId="54B24B29" w:rsidR="00FD0825" w:rsidRPr="00C10206" w:rsidRDefault="008A345A">
            <w:pPr>
              <w:jc w:val="right"/>
              <w:rPr>
                <w:rFonts w:asciiTheme="minorHAnsi" w:eastAsiaTheme="minorEastAsia" w:hAnsiTheme="minorHAnsi" w:cstheme="minorBidi"/>
                <w:color w:val="000000" w:themeColor="text1"/>
                <w:sz w:val="20"/>
                <w:szCs w:val="20"/>
              </w:rPr>
            </w:pPr>
            <w:r w:rsidRPr="00C10206">
              <w:rPr>
                <w:rFonts w:asciiTheme="minorHAnsi" w:eastAsiaTheme="minorEastAsia" w:hAnsiTheme="minorHAnsi" w:cstheme="minorBidi"/>
                <w:color w:val="000000" w:themeColor="text1"/>
                <w:sz w:val="20"/>
                <w:szCs w:val="20"/>
              </w:rPr>
              <w:t>2,488.5</w:t>
            </w:r>
          </w:p>
        </w:tc>
        <w:tc>
          <w:tcPr>
            <w:tcW w:w="1134" w:type="dxa"/>
            <w:tcBorders>
              <w:bottom w:val="single" w:sz="12" w:space="0" w:color="auto"/>
            </w:tcBorders>
            <w:vAlign w:val="bottom"/>
          </w:tcPr>
          <w:p w14:paraId="5366CE03" w14:textId="74B6E090" w:rsidR="00FD0825" w:rsidRPr="00C10206" w:rsidRDefault="008D5EC6">
            <w:pPr>
              <w:jc w:val="right"/>
              <w:rPr>
                <w:rFonts w:asciiTheme="minorHAnsi" w:eastAsiaTheme="minorEastAsia" w:hAnsiTheme="minorHAnsi" w:cstheme="minorBidi"/>
                <w:color w:val="000000" w:themeColor="text1"/>
                <w:sz w:val="20"/>
                <w:szCs w:val="20"/>
              </w:rPr>
            </w:pPr>
            <w:r w:rsidRPr="00C10206">
              <w:rPr>
                <w:rFonts w:asciiTheme="minorHAnsi" w:eastAsiaTheme="minorEastAsia" w:hAnsiTheme="minorHAnsi" w:cstheme="minorBidi"/>
                <w:color w:val="000000" w:themeColor="text1"/>
                <w:sz w:val="20"/>
                <w:szCs w:val="20"/>
              </w:rPr>
              <w:t>2,332.5</w:t>
            </w:r>
          </w:p>
        </w:tc>
      </w:tr>
      <w:tr w:rsidR="00FD0825" w:rsidRPr="004D21F7" w14:paraId="2045B0C9" w14:textId="77777777" w:rsidTr="00A74834">
        <w:tc>
          <w:tcPr>
            <w:tcW w:w="2552" w:type="dxa"/>
            <w:vAlign w:val="bottom"/>
          </w:tcPr>
          <w:p w14:paraId="7CDE4D56" w14:textId="77777777" w:rsidR="00FD0825" w:rsidRPr="004D21F7" w:rsidRDefault="00FD0825">
            <w:pPr>
              <w:rPr>
                <w:rFonts w:asciiTheme="minorHAnsi" w:eastAsiaTheme="minorEastAsia" w:hAnsiTheme="minorHAnsi" w:cstheme="minorBidi"/>
                <w:b/>
                <w:sz w:val="20"/>
                <w:szCs w:val="20"/>
              </w:rPr>
            </w:pPr>
            <w:r w:rsidRPr="662DDD2F">
              <w:rPr>
                <w:rFonts w:asciiTheme="minorHAnsi" w:eastAsiaTheme="minorEastAsia" w:hAnsiTheme="minorHAnsi" w:cstheme="minorBidi"/>
                <w:b/>
                <w:sz w:val="20"/>
                <w:szCs w:val="20"/>
              </w:rPr>
              <w:t>Financial liabilities</w:t>
            </w:r>
          </w:p>
        </w:tc>
        <w:tc>
          <w:tcPr>
            <w:tcW w:w="1276" w:type="dxa"/>
            <w:tcBorders>
              <w:top w:val="single" w:sz="12" w:space="0" w:color="auto"/>
            </w:tcBorders>
            <w:shd w:val="clear" w:color="auto" w:fill="F2F2F2" w:themeFill="background1" w:themeFillShade="F2"/>
            <w:vAlign w:val="bottom"/>
          </w:tcPr>
          <w:p w14:paraId="7749D04E" w14:textId="77777777" w:rsidR="00FD0825" w:rsidRPr="00673F0D" w:rsidRDefault="00FD0825">
            <w:pPr>
              <w:jc w:val="right"/>
              <w:rPr>
                <w:rFonts w:asciiTheme="minorHAnsi" w:eastAsiaTheme="minorEastAsia" w:hAnsiTheme="minorHAnsi" w:cstheme="minorBidi"/>
                <w:b/>
                <w:sz w:val="20"/>
                <w:szCs w:val="20"/>
              </w:rPr>
            </w:pPr>
          </w:p>
        </w:tc>
        <w:tc>
          <w:tcPr>
            <w:tcW w:w="1417" w:type="dxa"/>
            <w:tcBorders>
              <w:top w:val="single" w:sz="12" w:space="0" w:color="auto"/>
            </w:tcBorders>
            <w:vAlign w:val="bottom"/>
          </w:tcPr>
          <w:p w14:paraId="65C9281C" w14:textId="77777777" w:rsidR="00FD0825" w:rsidRPr="006D4208" w:rsidRDefault="00FD0825">
            <w:pPr>
              <w:jc w:val="right"/>
              <w:rPr>
                <w:rFonts w:asciiTheme="minorHAnsi" w:eastAsiaTheme="minorEastAsia" w:hAnsiTheme="minorHAnsi" w:cstheme="minorBidi"/>
                <w:sz w:val="20"/>
                <w:szCs w:val="20"/>
              </w:rPr>
            </w:pPr>
          </w:p>
        </w:tc>
        <w:tc>
          <w:tcPr>
            <w:tcW w:w="1134" w:type="dxa"/>
            <w:tcBorders>
              <w:top w:val="single" w:sz="12" w:space="0" w:color="auto"/>
            </w:tcBorders>
            <w:vAlign w:val="bottom"/>
          </w:tcPr>
          <w:p w14:paraId="7114AA0A" w14:textId="77777777" w:rsidR="00FD0825" w:rsidRPr="00C10206" w:rsidRDefault="00FD0825">
            <w:pPr>
              <w:jc w:val="right"/>
              <w:rPr>
                <w:rFonts w:asciiTheme="minorHAnsi" w:eastAsiaTheme="minorEastAsia" w:hAnsiTheme="minorHAnsi" w:cstheme="minorBidi"/>
                <w:color w:val="000000" w:themeColor="text1"/>
                <w:sz w:val="20"/>
                <w:szCs w:val="20"/>
              </w:rPr>
            </w:pPr>
          </w:p>
        </w:tc>
        <w:tc>
          <w:tcPr>
            <w:tcW w:w="1134" w:type="dxa"/>
            <w:tcBorders>
              <w:top w:val="single" w:sz="12" w:space="0" w:color="auto"/>
            </w:tcBorders>
            <w:shd w:val="clear" w:color="auto" w:fill="F2F2F2" w:themeFill="background1" w:themeFillShade="F2"/>
            <w:vAlign w:val="bottom"/>
          </w:tcPr>
          <w:p w14:paraId="40CC22BD" w14:textId="77777777" w:rsidR="00FD0825" w:rsidRPr="00C10206" w:rsidRDefault="00FD0825">
            <w:pPr>
              <w:jc w:val="right"/>
              <w:rPr>
                <w:rFonts w:asciiTheme="minorHAnsi" w:eastAsiaTheme="minorEastAsia" w:hAnsiTheme="minorHAnsi" w:cstheme="minorBidi"/>
                <w:b/>
                <w:color w:val="000000" w:themeColor="text1"/>
                <w:sz w:val="20"/>
                <w:szCs w:val="20"/>
                <w:highlight w:val="yellow"/>
              </w:rPr>
            </w:pPr>
          </w:p>
        </w:tc>
        <w:tc>
          <w:tcPr>
            <w:tcW w:w="1276" w:type="dxa"/>
            <w:tcBorders>
              <w:top w:val="single" w:sz="12" w:space="0" w:color="auto"/>
            </w:tcBorders>
            <w:vAlign w:val="bottom"/>
          </w:tcPr>
          <w:p w14:paraId="725D9615" w14:textId="77777777" w:rsidR="00FD0825" w:rsidRPr="00C10206" w:rsidRDefault="00FD0825">
            <w:pPr>
              <w:jc w:val="right"/>
              <w:rPr>
                <w:rFonts w:asciiTheme="minorHAnsi" w:eastAsiaTheme="minorEastAsia" w:hAnsiTheme="minorHAnsi" w:cstheme="minorBidi"/>
                <w:color w:val="000000" w:themeColor="text1"/>
                <w:sz w:val="20"/>
                <w:szCs w:val="20"/>
              </w:rPr>
            </w:pPr>
          </w:p>
        </w:tc>
        <w:tc>
          <w:tcPr>
            <w:tcW w:w="1134" w:type="dxa"/>
            <w:tcBorders>
              <w:top w:val="single" w:sz="12" w:space="0" w:color="auto"/>
            </w:tcBorders>
            <w:vAlign w:val="bottom"/>
          </w:tcPr>
          <w:p w14:paraId="0B539347" w14:textId="77777777" w:rsidR="00FD0825" w:rsidRPr="00C10206" w:rsidRDefault="00FD0825">
            <w:pPr>
              <w:jc w:val="right"/>
              <w:rPr>
                <w:rFonts w:asciiTheme="minorHAnsi" w:eastAsiaTheme="minorEastAsia" w:hAnsiTheme="minorHAnsi" w:cstheme="minorBidi"/>
                <w:color w:val="000000" w:themeColor="text1"/>
                <w:sz w:val="20"/>
                <w:szCs w:val="20"/>
              </w:rPr>
            </w:pPr>
          </w:p>
        </w:tc>
      </w:tr>
      <w:tr w:rsidR="003823F1" w:rsidRPr="004D21F7" w14:paraId="721D1235" w14:textId="77777777" w:rsidTr="00A74834">
        <w:tc>
          <w:tcPr>
            <w:tcW w:w="2552" w:type="dxa"/>
            <w:vAlign w:val="bottom"/>
          </w:tcPr>
          <w:p w14:paraId="2C9BC605" w14:textId="77777777" w:rsidR="003823F1" w:rsidRPr="004D21F7" w:rsidRDefault="003823F1" w:rsidP="003823F1">
            <w:pPr>
              <w:rPr>
                <w:rFonts w:asciiTheme="minorHAnsi" w:eastAsiaTheme="minorEastAsia" w:hAnsiTheme="minorHAnsi" w:cstheme="minorBidi"/>
                <w:b/>
                <w:sz w:val="20"/>
                <w:szCs w:val="20"/>
              </w:rPr>
            </w:pPr>
            <w:r w:rsidRPr="662DDD2F">
              <w:rPr>
                <w:rFonts w:asciiTheme="minorHAnsi" w:eastAsiaTheme="minorEastAsia" w:hAnsiTheme="minorHAnsi" w:cstheme="minorBidi"/>
                <w:sz w:val="20"/>
                <w:szCs w:val="20"/>
              </w:rPr>
              <w:t>Retail deposits</w:t>
            </w:r>
          </w:p>
        </w:tc>
        <w:tc>
          <w:tcPr>
            <w:tcW w:w="1276" w:type="dxa"/>
            <w:shd w:val="clear" w:color="auto" w:fill="F2F2F2" w:themeFill="background1" w:themeFillShade="F2"/>
            <w:vAlign w:val="bottom"/>
          </w:tcPr>
          <w:p w14:paraId="6F086DBA" w14:textId="1F7CB49B" w:rsidR="003823F1" w:rsidRPr="00673F0D" w:rsidRDefault="00764DE2" w:rsidP="003823F1">
            <w:pPr>
              <w:spacing w:line="259" w:lineRule="auto"/>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w:t>
            </w:r>
            <w:r w:rsidR="00225164">
              <w:rPr>
                <w:rFonts w:asciiTheme="minorHAnsi" w:eastAsiaTheme="minorEastAsia" w:hAnsiTheme="minorHAnsi" w:cstheme="minorBidi"/>
                <w:b/>
                <w:sz w:val="20"/>
                <w:szCs w:val="20"/>
              </w:rPr>
              <w:t>2,</w:t>
            </w:r>
            <w:r w:rsidR="0030353F">
              <w:rPr>
                <w:rFonts w:asciiTheme="minorHAnsi" w:eastAsiaTheme="minorEastAsia" w:hAnsiTheme="minorHAnsi" w:cstheme="minorBidi"/>
                <w:b/>
                <w:sz w:val="20"/>
                <w:szCs w:val="20"/>
              </w:rPr>
              <w:t>463.8)</w:t>
            </w:r>
          </w:p>
        </w:tc>
        <w:tc>
          <w:tcPr>
            <w:tcW w:w="1417" w:type="dxa"/>
            <w:vAlign w:val="bottom"/>
          </w:tcPr>
          <w:p w14:paraId="31667673" w14:textId="46CB8113" w:rsidR="003823F1" w:rsidRPr="006D4208" w:rsidRDefault="003823F1" w:rsidP="003823F1">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(2,428.2)</w:t>
            </w:r>
          </w:p>
        </w:tc>
        <w:tc>
          <w:tcPr>
            <w:tcW w:w="1134" w:type="dxa"/>
            <w:vAlign w:val="bottom"/>
          </w:tcPr>
          <w:p w14:paraId="42DAF99C" w14:textId="2FA1C19B" w:rsidR="003823F1" w:rsidRPr="006D4208" w:rsidRDefault="003823F1" w:rsidP="003823F1">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(1,</w:t>
            </w:r>
            <w:r w:rsidRPr="008D5EC6">
              <w:rPr>
                <w:rFonts w:asciiTheme="minorHAnsi" w:eastAsiaTheme="minorEastAsia" w:hAnsiTheme="minorHAnsi" w:cstheme="minorBidi"/>
                <w:bCs/>
                <w:sz w:val="20"/>
                <w:szCs w:val="20"/>
              </w:rPr>
              <w:t>937.5</w:t>
            </w:r>
            <w:r w:rsidRPr="662DDD2F">
              <w:rPr>
                <w:rFonts w:asciiTheme="minorHAnsi" w:eastAsiaTheme="minorEastAsia" w:hAnsiTheme="minorHAnsi" w:cstheme="minorBidi"/>
                <w:sz w:val="20"/>
                <w:szCs w:val="20"/>
              </w:rPr>
              <w:t>)</w:t>
            </w:r>
          </w:p>
        </w:tc>
        <w:tc>
          <w:tcPr>
            <w:tcW w:w="1134" w:type="dxa"/>
            <w:shd w:val="clear" w:color="auto" w:fill="F2F2F2" w:themeFill="background1" w:themeFillShade="F2"/>
          </w:tcPr>
          <w:p w14:paraId="65A6BBB9" w14:textId="6B1BF212" w:rsidR="003823F1" w:rsidRPr="009759DE" w:rsidRDefault="005A48F0" w:rsidP="003823F1">
            <w:pPr>
              <w:spacing w:line="259" w:lineRule="auto"/>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2,424</w:t>
            </w:r>
            <w:r w:rsidR="00F61FFF">
              <w:rPr>
                <w:rFonts w:asciiTheme="minorHAnsi" w:eastAsiaTheme="minorEastAsia" w:hAnsiTheme="minorHAnsi" w:cstheme="minorBidi"/>
                <w:b/>
                <w:sz w:val="20"/>
                <w:szCs w:val="20"/>
              </w:rPr>
              <w:t>.</w:t>
            </w:r>
            <w:r>
              <w:rPr>
                <w:rFonts w:asciiTheme="minorHAnsi" w:eastAsiaTheme="minorEastAsia" w:hAnsiTheme="minorHAnsi" w:cstheme="minorBidi"/>
                <w:b/>
                <w:sz w:val="20"/>
                <w:szCs w:val="20"/>
              </w:rPr>
              <w:t>6</w:t>
            </w:r>
          </w:p>
        </w:tc>
        <w:tc>
          <w:tcPr>
            <w:tcW w:w="1276" w:type="dxa"/>
          </w:tcPr>
          <w:p w14:paraId="487C912E" w14:textId="13181C64" w:rsidR="003823F1" w:rsidRPr="00EB7C06" w:rsidRDefault="003823F1" w:rsidP="003823F1">
            <w:pPr>
              <w:jc w:val="right"/>
              <w:rPr>
                <w:rFonts w:asciiTheme="minorHAnsi" w:eastAsiaTheme="minorEastAsia" w:hAnsiTheme="minorHAnsi" w:cstheme="minorBidi"/>
                <w:bCs/>
                <w:sz w:val="20"/>
                <w:szCs w:val="20"/>
              </w:rPr>
            </w:pPr>
            <w:r w:rsidRPr="00EB7C06">
              <w:rPr>
                <w:rFonts w:asciiTheme="minorHAnsi" w:eastAsiaTheme="minorEastAsia" w:hAnsiTheme="minorHAnsi" w:cstheme="minorBidi"/>
                <w:bCs/>
                <w:sz w:val="20"/>
                <w:szCs w:val="20"/>
              </w:rPr>
              <w:t>(2</w:t>
            </w:r>
            <w:r w:rsidR="00EB7C06" w:rsidRPr="00EB7C06">
              <w:rPr>
                <w:rFonts w:asciiTheme="minorHAnsi" w:eastAsiaTheme="minorEastAsia" w:hAnsiTheme="minorHAnsi" w:cstheme="minorBidi"/>
                <w:bCs/>
                <w:sz w:val="20"/>
                <w:szCs w:val="20"/>
              </w:rPr>
              <w:t>,</w:t>
            </w:r>
            <w:r w:rsidRPr="00EB7C06">
              <w:rPr>
                <w:rFonts w:asciiTheme="minorHAnsi" w:eastAsiaTheme="minorEastAsia" w:hAnsiTheme="minorHAnsi" w:cstheme="minorBidi"/>
                <w:bCs/>
                <w:sz w:val="20"/>
                <w:szCs w:val="20"/>
              </w:rPr>
              <w:t>400.4)</w:t>
            </w:r>
          </w:p>
        </w:tc>
        <w:tc>
          <w:tcPr>
            <w:tcW w:w="1134" w:type="dxa"/>
          </w:tcPr>
          <w:p w14:paraId="6DDA7DE8" w14:textId="552581CF" w:rsidR="003823F1" w:rsidRPr="006D4208" w:rsidRDefault="003823F1" w:rsidP="003823F1">
            <w:pPr>
              <w:jc w:val="right"/>
              <w:rPr>
                <w:rFonts w:asciiTheme="minorHAnsi" w:eastAsiaTheme="minorEastAsia" w:hAnsiTheme="minorHAnsi" w:cstheme="minorBidi"/>
                <w:sz w:val="20"/>
                <w:szCs w:val="20"/>
              </w:rPr>
            </w:pPr>
            <w:r w:rsidRPr="008D5EC6">
              <w:rPr>
                <w:rFonts w:asciiTheme="minorHAnsi" w:eastAsiaTheme="minorEastAsia" w:hAnsiTheme="minorHAnsi" w:cstheme="minorBidi"/>
                <w:bCs/>
                <w:sz w:val="20"/>
                <w:szCs w:val="20"/>
              </w:rPr>
              <w:t>(1,908.7)</w:t>
            </w:r>
          </w:p>
        </w:tc>
      </w:tr>
      <w:tr w:rsidR="003823F1" w:rsidRPr="004D21F7" w14:paraId="46F18DF2" w14:textId="77777777" w:rsidTr="00A74834">
        <w:tc>
          <w:tcPr>
            <w:tcW w:w="2552" w:type="dxa"/>
            <w:vAlign w:val="bottom"/>
          </w:tcPr>
          <w:p w14:paraId="60506EDE" w14:textId="77777777" w:rsidR="003823F1" w:rsidRPr="004D21F7" w:rsidRDefault="003823F1" w:rsidP="003823F1">
            <w:pPr>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Bank and other borrowings</w:t>
            </w:r>
          </w:p>
        </w:tc>
        <w:tc>
          <w:tcPr>
            <w:tcW w:w="1276" w:type="dxa"/>
            <w:tcBorders>
              <w:bottom w:val="single" w:sz="4" w:space="0" w:color="auto"/>
            </w:tcBorders>
            <w:shd w:val="clear" w:color="auto" w:fill="F2F2F2" w:themeFill="background1" w:themeFillShade="F2"/>
            <w:vAlign w:val="bottom"/>
          </w:tcPr>
          <w:p w14:paraId="08BA1EFB" w14:textId="1A6CC1A2" w:rsidR="003823F1" w:rsidRPr="00673F0D" w:rsidRDefault="0030353F" w:rsidP="003823F1">
            <w:pPr>
              <w:spacing w:line="259" w:lineRule="auto"/>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(447.7)</w:t>
            </w:r>
          </w:p>
        </w:tc>
        <w:tc>
          <w:tcPr>
            <w:tcW w:w="1417" w:type="dxa"/>
            <w:tcBorders>
              <w:bottom w:val="single" w:sz="4" w:space="0" w:color="auto"/>
            </w:tcBorders>
            <w:vAlign w:val="bottom"/>
          </w:tcPr>
          <w:p w14:paraId="67433EF9" w14:textId="583FB2D5" w:rsidR="003823F1" w:rsidRPr="006D4208" w:rsidRDefault="003823F1" w:rsidP="003823F1">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(410.0)</w:t>
            </w:r>
          </w:p>
        </w:tc>
        <w:tc>
          <w:tcPr>
            <w:tcW w:w="1134" w:type="dxa"/>
            <w:tcBorders>
              <w:bottom w:val="single" w:sz="4" w:space="0" w:color="auto"/>
            </w:tcBorders>
            <w:vAlign w:val="bottom"/>
          </w:tcPr>
          <w:p w14:paraId="19D3D4B7" w14:textId="236C876D" w:rsidR="003823F1" w:rsidRPr="006D4208" w:rsidRDefault="003823F1" w:rsidP="003823F1">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w:t>
            </w:r>
            <w:r w:rsidRPr="008D5EC6">
              <w:rPr>
                <w:rFonts w:asciiTheme="minorHAnsi" w:eastAsiaTheme="minorEastAsia" w:hAnsiTheme="minorHAnsi" w:cstheme="minorBidi"/>
                <w:bCs/>
                <w:sz w:val="20"/>
                <w:szCs w:val="20"/>
              </w:rPr>
              <w:t>504.1</w:t>
            </w:r>
            <w:r w:rsidRPr="662DDD2F">
              <w:rPr>
                <w:rFonts w:asciiTheme="minorHAnsi" w:eastAsiaTheme="minorEastAsia" w:hAnsiTheme="minorHAnsi" w:cstheme="minorBidi"/>
                <w:sz w:val="20"/>
                <w:szCs w:val="20"/>
              </w:rPr>
              <w:t>)</w:t>
            </w:r>
          </w:p>
        </w:tc>
        <w:tc>
          <w:tcPr>
            <w:tcW w:w="1134" w:type="dxa"/>
            <w:tcBorders>
              <w:bottom w:val="single" w:sz="4" w:space="0" w:color="auto"/>
            </w:tcBorders>
            <w:shd w:val="clear" w:color="auto" w:fill="F2F2F2" w:themeFill="background1" w:themeFillShade="F2"/>
          </w:tcPr>
          <w:p w14:paraId="6E94266D" w14:textId="32041018" w:rsidR="003823F1" w:rsidRPr="009759DE" w:rsidRDefault="00895710" w:rsidP="003823F1">
            <w:pPr>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431</w:t>
            </w:r>
            <w:r w:rsidR="00907472">
              <w:rPr>
                <w:rFonts w:asciiTheme="minorHAnsi" w:eastAsiaTheme="minorEastAsia" w:hAnsiTheme="minorHAnsi" w:cstheme="minorBidi"/>
                <w:b/>
                <w:sz w:val="20"/>
                <w:szCs w:val="20"/>
              </w:rPr>
              <w:t>.1</w:t>
            </w:r>
          </w:p>
        </w:tc>
        <w:tc>
          <w:tcPr>
            <w:tcW w:w="1276" w:type="dxa"/>
            <w:tcBorders>
              <w:bottom w:val="single" w:sz="4" w:space="0" w:color="auto"/>
            </w:tcBorders>
          </w:tcPr>
          <w:p w14:paraId="44931B68" w14:textId="2FEF3C3E" w:rsidR="003823F1" w:rsidRPr="00EB7C06" w:rsidRDefault="003823F1" w:rsidP="003823F1">
            <w:pPr>
              <w:jc w:val="right"/>
              <w:rPr>
                <w:rFonts w:asciiTheme="minorHAnsi" w:eastAsiaTheme="minorEastAsia" w:hAnsiTheme="minorHAnsi" w:cstheme="minorBidi"/>
                <w:bCs/>
                <w:sz w:val="20"/>
                <w:szCs w:val="20"/>
              </w:rPr>
            </w:pPr>
            <w:r w:rsidRPr="00EB7C06">
              <w:rPr>
                <w:rFonts w:asciiTheme="minorHAnsi" w:eastAsiaTheme="minorEastAsia" w:hAnsiTheme="minorHAnsi" w:cstheme="minorBidi"/>
                <w:bCs/>
                <w:sz w:val="20"/>
                <w:szCs w:val="20"/>
              </w:rPr>
              <w:t>(373.2)</w:t>
            </w:r>
          </w:p>
        </w:tc>
        <w:tc>
          <w:tcPr>
            <w:tcW w:w="1134" w:type="dxa"/>
            <w:tcBorders>
              <w:bottom w:val="single" w:sz="4" w:space="0" w:color="auto"/>
            </w:tcBorders>
          </w:tcPr>
          <w:p w14:paraId="5A8F4FB4" w14:textId="46E17C24" w:rsidR="003823F1" w:rsidRPr="006D4208" w:rsidRDefault="003823F1" w:rsidP="003823F1">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w:t>
            </w:r>
            <w:r w:rsidRPr="008D5EC6">
              <w:rPr>
                <w:rFonts w:asciiTheme="minorHAnsi" w:eastAsiaTheme="minorEastAsia" w:hAnsiTheme="minorHAnsi" w:cstheme="minorBidi"/>
                <w:bCs/>
                <w:sz w:val="20"/>
                <w:szCs w:val="20"/>
              </w:rPr>
              <w:t>483.0</w:t>
            </w:r>
            <w:r w:rsidRPr="662DDD2F">
              <w:rPr>
                <w:rFonts w:asciiTheme="minorHAnsi" w:eastAsiaTheme="minorEastAsia" w:hAnsiTheme="minorHAnsi" w:cstheme="minorBidi"/>
                <w:sz w:val="20"/>
                <w:szCs w:val="20"/>
              </w:rPr>
              <w:t>)</w:t>
            </w:r>
          </w:p>
        </w:tc>
      </w:tr>
      <w:tr w:rsidR="00FD0825" w:rsidRPr="00306AF1" w14:paraId="72156CB4" w14:textId="77777777" w:rsidTr="00A74834">
        <w:tc>
          <w:tcPr>
            <w:tcW w:w="2552" w:type="dxa"/>
            <w:vAlign w:val="bottom"/>
          </w:tcPr>
          <w:p w14:paraId="3BDF69C9" w14:textId="77777777" w:rsidR="00FD0825" w:rsidRPr="004D21F7" w:rsidRDefault="00FD0825">
            <w:pPr>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Total</w:t>
            </w:r>
          </w:p>
        </w:tc>
        <w:tc>
          <w:tcPr>
            <w:tcW w:w="1276" w:type="dxa"/>
            <w:tcBorders>
              <w:top w:val="single" w:sz="4" w:space="0" w:color="auto"/>
              <w:bottom w:val="single" w:sz="12" w:space="0" w:color="auto"/>
            </w:tcBorders>
            <w:shd w:val="clear" w:color="auto" w:fill="F2F2F2" w:themeFill="background1" w:themeFillShade="F2"/>
            <w:vAlign w:val="bottom"/>
          </w:tcPr>
          <w:p w14:paraId="04EA1AF1" w14:textId="4818A32D" w:rsidR="00FD0825" w:rsidRPr="00673F0D" w:rsidRDefault="002812CF">
            <w:pPr>
              <w:spacing w:line="259" w:lineRule="auto"/>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(2,911.5)</w:t>
            </w:r>
          </w:p>
        </w:tc>
        <w:tc>
          <w:tcPr>
            <w:tcW w:w="1417" w:type="dxa"/>
            <w:tcBorders>
              <w:top w:val="single" w:sz="4" w:space="0" w:color="auto"/>
              <w:bottom w:val="single" w:sz="12" w:space="0" w:color="auto"/>
            </w:tcBorders>
            <w:vAlign w:val="bottom"/>
          </w:tcPr>
          <w:p w14:paraId="241837A4" w14:textId="1573110C" w:rsidR="00FD0825" w:rsidRPr="006D4208" w:rsidRDefault="002812CF">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w:t>
            </w:r>
            <w:r w:rsidR="005F29D2">
              <w:rPr>
                <w:rFonts w:asciiTheme="minorHAnsi" w:eastAsiaTheme="minorEastAsia" w:hAnsiTheme="minorHAnsi" w:cstheme="minorBidi"/>
                <w:sz w:val="20"/>
                <w:szCs w:val="20"/>
              </w:rPr>
              <w:t>2,838.2</w:t>
            </w:r>
            <w:r>
              <w:rPr>
                <w:rFonts w:asciiTheme="minorHAnsi" w:eastAsiaTheme="minorEastAsia" w:hAnsiTheme="minorHAnsi" w:cstheme="minorBidi"/>
                <w:sz w:val="20"/>
                <w:szCs w:val="20"/>
              </w:rPr>
              <w:t>)</w:t>
            </w:r>
          </w:p>
        </w:tc>
        <w:tc>
          <w:tcPr>
            <w:tcW w:w="1134" w:type="dxa"/>
            <w:tcBorders>
              <w:top w:val="single" w:sz="4" w:space="0" w:color="auto"/>
              <w:bottom w:val="single" w:sz="12" w:space="0" w:color="auto"/>
            </w:tcBorders>
            <w:vAlign w:val="bottom"/>
          </w:tcPr>
          <w:p w14:paraId="501B48DF" w14:textId="6F84CF89" w:rsidR="00FD0825" w:rsidRPr="006D4208" w:rsidRDefault="00FD0825">
            <w:pPr>
              <w:jc w:val="right"/>
              <w:rPr>
                <w:rFonts w:asciiTheme="minorHAnsi" w:eastAsiaTheme="minorEastAsia" w:hAnsiTheme="minorHAnsi" w:cstheme="minorBidi"/>
                <w:sz w:val="20"/>
                <w:szCs w:val="20"/>
              </w:rPr>
            </w:pPr>
            <w:r w:rsidRPr="662DDD2F">
              <w:rPr>
                <w:rFonts w:asciiTheme="minorHAnsi" w:eastAsiaTheme="minorEastAsia" w:hAnsiTheme="minorHAnsi" w:cstheme="minorBidi"/>
                <w:sz w:val="20"/>
                <w:szCs w:val="20"/>
              </w:rPr>
              <w:t>(2,</w:t>
            </w:r>
            <w:r w:rsidR="008D5EC6" w:rsidRPr="008D5EC6">
              <w:rPr>
                <w:rFonts w:asciiTheme="minorHAnsi" w:eastAsiaTheme="minorEastAsia" w:hAnsiTheme="minorHAnsi" w:cstheme="minorBidi"/>
                <w:bCs/>
                <w:sz w:val="20"/>
                <w:szCs w:val="20"/>
              </w:rPr>
              <w:t>441.6</w:t>
            </w:r>
            <w:r w:rsidRPr="662DDD2F">
              <w:rPr>
                <w:rFonts w:asciiTheme="minorHAnsi" w:eastAsiaTheme="minorEastAsia" w:hAnsiTheme="minorHAnsi" w:cstheme="minorBidi"/>
                <w:sz w:val="20"/>
                <w:szCs w:val="20"/>
              </w:rPr>
              <w:t>)</w:t>
            </w:r>
          </w:p>
        </w:tc>
        <w:tc>
          <w:tcPr>
            <w:tcW w:w="1134" w:type="dxa"/>
            <w:tcBorders>
              <w:top w:val="single" w:sz="4" w:space="0" w:color="auto"/>
              <w:bottom w:val="single" w:sz="12" w:space="0" w:color="auto"/>
            </w:tcBorders>
            <w:shd w:val="clear" w:color="auto" w:fill="F2F2F2" w:themeFill="background1" w:themeFillShade="F2"/>
          </w:tcPr>
          <w:p w14:paraId="41C778FD" w14:textId="050AD93F" w:rsidR="00FD0825" w:rsidRPr="009759DE" w:rsidRDefault="00BB1166">
            <w:pPr>
              <w:spacing w:line="259" w:lineRule="auto"/>
              <w:jc w:val="right"/>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2,855.7</w:t>
            </w:r>
          </w:p>
        </w:tc>
        <w:tc>
          <w:tcPr>
            <w:tcW w:w="1276" w:type="dxa"/>
            <w:tcBorders>
              <w:top w:val="single" w:sz="4" w:space="0" w:color="auto"/>
              <w:bottom w:val="single" w:sz="12" w:space="0" w:color="auto"/>
            </w:tcBorders>
            <w:vAlign w:val="bottom"/>
          </w:tcPr>
          <w:p w14:paraId="1C7963EB" w14:textId="61F5F71A" w:rsidR="00FD0825" w:rsidRPr="006D4208" w:rsidRDefault="00E961E1">
            <w:pPr>
              <w:jc w:val="right"/>
              <w:rPr>
                <w:rFonts w:asciiTheme="minorHAnsi" w:eastAsiaTheme="minorEastAsia" w:hAnsiTheme="minorHAnsi" w:cstheme="minorBidi"/>
                <w:sz w:val="20"/>
                <w:szCs w:val="20"/>
              </w:rPr>
            </w:pPr>
            <w:r>
              <w:rPr>
                <w:rFonts w:asciiTheme="minorHAnsi" w:eastAsiaTheme="minorEastAsia" w:hAnsiTheme="minorHAnsi" w:cstheme="minorBidi"/>
                <w:sz w:val="20"/>
                <w:szCs w:val="20"/>
              </w:rPr>
              <w:t>(2,773.6)</w:t>
            </w:r>
          </w:p>
        </w:tc>
        <w:tc>
          <w:tcPr>
            <w:tcW w:w="1134" w:type="dxa"/>
            <w:tcBorders>
              <w:top w:val="single" w:sz="4" w:space="0" w:color="auto"/>
              <w:bottom w:val="single" w:sz="12" w:space="0" w:color="auto"/>
            </w:tcBorders>
          </w:tcPr>
          <w:p w14:paraId="77FAF852" w14:textId="49BA899F" w:rsidR="00FD0825" w:rsidRPr="006D4208" w:rsidRDefault="008D5EC6">
            <w:pPr>
              <w:jc w:val="right"/>
              <w:rPr>
                <w:rFonts w:asciiTheme="minorHAnsi" w:eastAsiaTheme="minorEastAsia" w:hAnsiTheme="minorHAnsi" w:cstheme="minorBidi"/>
                <w:sz w:val="20"/>
                <w:szCs w:val="20"/>
              </w:rPr>
            </w:pPr>
            <w:r w:rsidRPr="008D5EC6">
              <w:rPr>
                <w:rFonts w:asciiTheme="minorHAnsi" w:eastAsiaTheme="minorEastAsia" w:hAnsiTheme="minorHAnsi" w:cstheme="minorBidi"/>
                <w:bCs/>
                <w:sz w:val="20"/>
                <w:szCs w:val="20"/>
              </w:rPr>
              <w:t>(2,391.7)</w:t>
            </w:r>
          </w:p>
        </w:tc>
      </w:tr>
    </w:tbl>
    <w:p w14:paraId="3AF82C9A" w14:textId="77777777" w:rsidR="00FD0825" w:rsidRPr="00306AF1" w:rsidRDefault="00FD0825" w:rsidP="00FD0825">
      <w:pPr>
        <w:ind w:left="567" w:hanging="567"/>
        <w:jc w:val="both"/>
        <w:rPr>
          <w:rFonts w:asciiTheme="minorHAnsi" w:hAnsiTheme="minorHAnsi" w:cs="Arial"/>
          <w:b/>
          <w:color w:val="4747FF"/>
          <w:sz w:val="22"/>
          <w:szCs w:val="22"/>
        </w:rPr>
      </w:pPr>
    </w:p>
    <w:p w14:paraId="1447A955" w14:textId="77777777" w:rsidR="00F351AD" w:rsidRPr="00B97C61" w:rsidRDefault="00F351AD" w:rsidP="001A2865">
      <w:pPr>
        <w:jc w:val="both"/>
        <w:rPr>
          <w:rFonts w:asciiTheme="minorHAnsi" w:hAnsiTheme="minorHAnsi" w:cs="Arial"/>
          <w:b/>
          <w:color w:val="4747FF"/>
          <w:sz w:val="22"/>
          <w:szCs w:val="22"/>
        </w:rPr>
      </w:pPr>
    </w:p>
    <w:p w14:paraId="51E3A918" w14:textId="631F0450" w:rsidR="00A1425C" w:rsidRDefault="003F4410" w:rsidP="00A1425C">
      <w:pPr>
        <w:ind w:left="567" w:hanging="567"/>
        <w:jc w:val="both"/>
        <w:rPr>
          <w:rFonts w:asciiTheme="minorHAnsi" w:hAnsiTheme="minorHAnsi" w:cs="Arial"/>
          <w:b/>
          <w:color w:val="4747FF"/>
          <w:sz w:val="22"/>
          <w:szCs w:val="22"/>
        </w:rPr>
      </w:pPr>
      <w:r>
        <w:rPr>
          <w:rFonts w:asciiTheme="minorHAnsi" w:hAnsiTheme="minorHAnsi" w:cs="Arial"/>
          <w:b/>
          <w:color w:val="4747FF"/>
          <w:sz w:val="22"/>
          <w:szCs w:val="22"/>
        </w:rPr>
        <w:t>1</w:t>
      </w:r>
      <w:r w:rsidR="00A919DB">
        <w:rPr>
          <w:rFonts w:asciiTheme="minorHAnsi" w:hAnsiTheme="minorHAnsi" w:cs="Arial"/>
          <w:b/>
          <w:color w:val="4747FF"/>
          <w:sz w:val="22"/>
          <w:szCs w:val="22"/>
        </w:rPr>
        <w:t>4</w:t>
      </w:r>
      <w:r w:rsidR="00A1425C" w:rsidRPr="00B97C61">
        <w:rPr>
          <w:rFonts w:asciiTheme="minorHAnsi" w:hAnsiTheme="minorHAnsi" w:cs="Arial"/>
          <w:b/>
          <w:color w:val="4747FF"/>
          <w:sz w:val="22"/>
          <w:szCs w:val="22"/>
        </w:rPr>
        <w:t xml:space="preserve">.    </w:t>
      </w:r>
      <w:r w:rsidR="00A56859">
        <w:rPr>
          <w:rFonts w:asciiTheme="minorHAnsi" w:hAnsiTheme="minorHAnsi" w:cs="Arial"/>
          <w:b/>
          <w:color w:val="4747FF"/>
          <w:sz w:val="22"/>
          <w:szCs w:val="22"/>
        </w:rPr>
        <w:t xml:space="preserve"> </w:t>
      </w:r>
      <w:r w:rsidR="00A1425C" w:rsidRPr="00B97C61">
        <w:rPr>
          <w:rFonts w:asciiTheme="minorHAnsi" w:hAnsiTheme="minorHAnsi" w:cs="Arial"/>
          <w:b/>
          <w:color w:val="4747FF"/>
          <w:sz w:val="22"/>
          <w:szCs w:val="22"/>
        </w:rPr>
        <w:t xml:space="preserve"> </w:t>
      </w:r>
      <w:r w:rsidR="00A1425C" w:rsidRPr="00B97C61">
        <w:rPr>
          <w:rFonts w:asciiTheme="minorHAnsi" w:hAnsiTheme="minorHAnsi" w:cs="Arial"/>
          <w:b/>
          <w:color w:val="4747FF"/>
          <w:sz w:val="22"/>
          <w:szCs w:val="22"/>
        </w:rPr>
        <w:tab/>
        <w:t>Provisions</w:t>
      </w:r>
    </w:p>
    <w:p w14:paraId="1EFAEEF7" w14:textId="77777777" w:rsidR="00576EF2" w:rsidRDefault="00576EF2" w:rsidP="004D4AA4">
      <w:pPr>
        <w:jc w:val="both"/>
        <w:rPr>
          <w:rFonts w:asciiTheme="minorHAnsi" w:hAnsiTheme="minorHAnsi" w:cs="Arial"/>
          <w:b/>
          <w:color w:val="4747FF"/>
          <w:sz w:val="22"/>
          <w:szCs w:val="22"/>
        </w:rPr>
      </w:pPr>
    </w:p>
    <w:tbl>
      <w:tblPr>
        <w:tblStyle w:val="TableGrid"/>
        <w:tblW w:w="5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47"/>
        <w:gridCol w:w="1258"/>
        <w:gridCol w:w="1399"/>
        <w:gridCol w:w="1258"/>
        <w:gridCol w:w="1139"/>
        <w:gridCol w:w="920"/>
        <w:gridCol w:w="851"/>
        <w:gridCol w:w="865"/>
      </w:tblGrid>
      <w:tr w:rsidR="00570250" w:rsidRPr="00B97C61" w14:paraId="1C134E84" w14:textId="77777777" w:rsidTr="00925514">
        <w:trPr>
          <w:trHeight w:val="230"/>
        </w:trPr>
        <w:tc>
          <w:tcPr>
            <w:tcW w:w="1131" w:type="pct"/>
          </w:tcPr>
          <w:p w14:paraId="0C5808FE" w14:textId="77777777" w:rsidR="00570250" w:rsidRPr="00B97C61" w:rsidRDefault="00570250">
            <w:pPr>
              <w:rPr>
                <w:rFonts w:asciiTheme="minorHAnsi" w:hAnsiTheme="minorHAnsi" w:cs="Arial"/>
                <w:sz w:val="20"/>
                <w:szCs w:val="20"/>
              </w:rPr>
            </w:pPr>
          </w:p>
        </w:tc>
        <w:tc>
          <w:tcPr>
            <w:tcW w:w="633" w:type="pct"/>
            <w:tcBorders>
              <w:bottom w:val="single" w:sz="4" w:space="0" w:color="auto"/>
            </w:tcBorders>
          </w:tcPr>
          <w:p w14:paraId="74B1EED5" w14:textId="76E1F374" w:rsidR="00570250" w:rsidRPr="00102721" w:rsidRDefault="00570250">
            <w:pPr>
              <w:jc w:val="right"/>
              <w:rPr>
                <w:rFonts w:asciiTheme="minorHAnsi" w:hAnsiTheme="minorHAnsi" w:cs="Arial"/>
                <w:sz w:val="20"/>
                <w:szCs w:val="20"/>
              </w:rPr>
            </w:pPr>
            <w:r w:rsidRPr="00102721">
              <w:rPr>
                <w:rFonts w:asciiTheme="minorHAnsi" w:hAnsiTheme="minorHAnsi" w:cs="Arial"/>
                <w:sz w:val="20"/>
                <w:szCs w:val="20"/>
              </w:rPr>
              <w:t>Customer compliance</w:t>
            </w:r>
          </w:p>
          <w:p w14:paraId="692452BC" w14:textId="77777777" w:rsidR="00570250" w:rsidRPr="00102721" w:rsidRDefault="00570250">
            <w:pPr>
              <w:jc w:val="right"/>
              <w:rPr>
                <w:rFonts w:asciiTheme="minorHAnsi" w:hAnsiTheme="minorHAnsi" w:cs="Arial"/>
                <w:sz w:val="20"/>
                <w:szCs w:val="20"/>
              </w:rPr>
            </w:pPr>
            <w:r w:rsidRPr="00102721">
              <w:rPr>
                <w:rFonts w:asciiTheme="minorHAnsi" w:hAnsiTheme="minorHAnsi" w:cs="Arial"/>
                <w:sz w:val="20"/>
                <w:szCs w:val="20"/>
              </w:rPr>
              <w:t>£m</w:t>
            </w:r>
          </w:p>
        </w:tc>
        <w:tc>
          <w:tcPr>
            <w:tcW w:w="704" w:type="pct"/>
            <w:tcBorders>
              <w:bottom w:val="single" w:sz="4" w:space="0" w:color="auto"/>
            </w:tcBorders>
          </w:tcPr>
          <w:p w14:paraId="3186E079" w14:textId="77777777" w:rsidR="00570250" w:rsidRPr="00102721" w:rsidRDefault="00570250">
            <w:pPr>
              <w:jc w:val="right"/>
              <w:rPr>
                <w:rFonts w:asciiTheme="minorHAnsi" w:hAnsiTheme="minorHAnsi" w:cs="Arial"/>
                <w:sz w:val="20"/>
                <w:szCs w:val="20"/>
              </w:rPr>
            </w:pPr>
          </w:p>
          <w:p w14:paraId="1E5E4432" w14:textId="77777777" w:rsidR="00570250" w:rsidRPr="00102721" w:rsidRDefault="00570250">
            <w:pPr>
              <w:jc w:val="right"/>
              <w:rPr>
                <w:rFonts w:asciiTheme="minorHAnsi" w:hAnsiTheme="minorHAnsi" w:cs="Arial"/>
                <w:sz w:val="20"/>
                <w:szCs w:val="20"/>
              </w:rPr>
            </w:pPr>
            <w:r w:rsidRPr="00102721">
              <w:rPr>
                <w:rFonts w:asciiTheme="minorHAnsi" w:hAnsiTheme="minorHAnsi" w:cs="Arial"/>
                <w:sz w:val="20"/>
                <w:szCs w:val="20"/>
              </w:rPr>
              <w:t>Dilapidations</w:t>
            </w:r>
          </w:p>
          <w:p w14:paraId="216AFB85" w14:textId="77777777" w:rsidR="00570250" w:rsidRPr="00102721" w:rsidRDefault="00570250">
            <w:pPr>
              <w:jc w:val="right"/>
              <w:rPr>
                <w:rFonts w:asciiTheme="minorHAnsi" w:hAnsiTheme="minorHAnsi" w:cs="Arial"/>
                <w:sz w:val="20"/>
                <w:szCs w:val="20"/>
              </w:rPr>
            </w:pPr>
            <w:r w:rsidRPr="00102721">
              <w:rPr>
                <w:rFonts w:asciiTheme="minorHAnsi" w:hAnsiTheme="minorHAnsi" w:cs="Arial"/>
                <w:sz w:val="20"/>
                <w:szCs w:val="20"/>
              </w:rPr>
              <w:t>£m</w:t>
            </w:r>
          </w:p>
        </w:tc>
        <w:tc>
          <w:tcPr>
            <w:tcW w:w="633" w:type="pct"/>
            <w:tcBorders>
              <w:bottom w:val="single" w:sz="4" w:space="0" w:color="auto"/>
            </w:tcBorders>
          </w:tcPr>
          <w:p w14:paraId="2D53CBD9" w14:textId="77777777" w:rsidR="00F83744" w:rsidRPr="00102721" w:rsidRDefault="00F83744" w:rsidP="001A4788">
            <w:pPr>
              <w:jc w:val="right"/>
              <w:rPr>
                <w:rFonts w:asciiTheme="minorHAnsi" w:hAnsiTheme="minorHAnsi" w:cs="Arial"/>
                <w:sz w:val="20"/>
                <w:szCs w:val="20"/>
              </w:rPr>
            </w:pPr>
          </w:p>
          <w:p w14:paraId="20EF13F1" w14:textId="1397458C" w:rsidR="00F83744" w:rsidRPr="00102721" w:rsidRDefault="00F83744" w:rsidP="001A4788">
            <w:pPr>
              <w:jc w:val="right"/>
              <w:rPr>
                <w:rFonts w:asciiTheme="minorHAnsi" w:hAnsiTheme="minorHAnsi" w:cs="Arial"/>
                <w:sz w:val="20"/>
                <w:szCs w:val="20"/>
              </w:rPr>
            </w:pPr>
            <w:r w:rsidRPr="00102721">
              <w:rPr>
                <w:rFonts w:asciiTheme="minorHAnsi" w:hAnsiTheme="minorHAnsi" w:cs="Arial"/>
                <w:sz w:val="20"/>
                <w:szCs w:val="20"/>
              </w:rPr>
              <w:t>Redundancy</w:t>
            </w:r>
          </w:p>
          <w:p w14:paraId="60597690" w14:textId="49DF38EA" w:rsidR="00F83744" w:rsidRPr="00102721" w:rsidRDefault="00F83744" w:rsidP="001A4788">
            <w:pPr>
              <w:jc w:val="right"/>
              <w:rPr>
                <w:rFonts w:asciiTheme="minorHAnsi" w:hAnsiTheme="minorHAnsi" w:cs="Arial"/>
                <w:sz w:val="20"/>
                <w:szCs w:val="20"/>
              </w:rPr>
            </w:pPr>
            <w:r w:rsidRPr="00102721">
              <w:rPr>
                <w:rFonts w:asciiTheme="minorHAnsi" w:hAnsiTheme="minorHAnsi" w:cs="Arial"/>
                <w:sz w:val="20"/>
                <w:szCs w:val="20"/>
              </w:rPr>
              <w:t>£m</w:t>
            </w:r>
          </w:p>
        </w:tc>
        <w:tc>
          <w:tcPr>
            <w:tcW w:w="573" w:type="pct"/>
            <w:tcBorders>
              <w:bottom w:val="single" w:sz="4" w:space="0" w:color="auto"/>
            </w:tcBorders>
          </w:tcPr>
          <w:p w14:paraId="5D43A584" w14:textId="77777777" w:rsidR="00F83744" w:rsidRPr="00102721" w:rsidRDefault="00F83744" w:rsidP="001A4788">
            <w:pPr>
              <w:jc w:val="right"/>
              <w:rPr>
                <w:rFonts w:asciiTheme="minorHAnsi" w:hAnsiTheme="minorHAnsi" w:cs="Arial"/>
                <w:sz w:val="20"/>
                <w:szCs w:val="20"/>
              </w:rPr>
            </w:pPr>
          </w:p>
          <w:p w14:paraId="1F774B9E" w14:textId="2F43F611" w:rsidR="00F83744" w:rsidRPr="00102721" w:rsidRDefault="00F83744" w:rsidP="001A4788">
            <w:pPr>
              <w:jc w:val="right"/>
              <w:rPr>
                <w:rFonts w:asciiTheme="minorHAnsi" w:hAnsiTheme="minorHAnsi" w:cs="Arial"/>
                <w:sz w:val="20"/>
                <w:szCs w:val="20"/>
              </w:rPr>
            </w:pPr>
            <w:r w:rsidRPr="00102721">
              <w:rPr>
                <w:rFonts w:asciiTheme="minorHAnsi" w:hAnsiTheme="minorHAnsi" w:cs="Arial"/>
                <w:sz w:val="20"/>
                <w:szCs w:val="20"/>
              </w:rPr>
              <w:t>Settlement</w:t>
            </w:r>
          </w:p>
          <w:p w14:paraId="36B307B9" w14:textId="1A439F53" w:rsidR="00F83744" w:rsidRPr="00102721" w:rsidRDefault="00F83744" w:rsidP="001A4788">
            <w:pPr>
              <w:jc w:val="right"/>
              <w:rPr>
                <w:rFonts w:asciiTheme="minorHAnsi" w:hAnsiTheme="minorHAnsi" w:cs="Arial"/>
                <w:sz w:val="20"/>
                <w:szCs w:val="20"/>
              </w:rPr>
            </w:pPr>
            <w:r w:rsidRPr="00102721">
              <w:rPr>
                <w:rFonts w:asciiTheme="minorHAnsi" w:hAnsiTheme="minorHAnsi" w:cs="Arial"/>
                <w:sz w:val="20"/>
                <w:szCs w:val="20"/>
              </w:rPr>
              <w:t>£m</w:t>
            </w:r>
          </w:p>
        </w:tc>
        <w:tc>
          <w:tcPr>
            <w:tcW w:w="463" w:type="pct"/>
            <w:tcBorders>
              <w:bottom w:val="single" w:sz="4" w:space="0" w:color="auto"/>
            </w:tcBorders>
          </w:tcPr>
          <w:p w14:paraId="38232DB7" w14:textId="77777777" w:rsidR="00925514" w:rsidRPr="00102721" w:rsidRDefault="00925514" w:rsidP="00E20AFD">
            <w:pPr>
              <w:jc w:val="right"/>
              <w:rPr>
                <w:rFonts w:asciiTheme="minorHAnsi" w:hAnsiTheme="minorHAnsi" w:cs="Arial"/>
                <w:sz w:val="20"/>
                <w:szCs w:val="20"/>
              </w:rPr>
            </w:pPr>
          </w:p>
          <w:p w14:paraId="389D91C2" w14:textId="77777777" w:rsidR="00925514" w:rsidRPr="00102721" w:rsidRDefault="00925514" w:rsidP="00E20AFD">
            <w:pPr>
              <w:jc w:val="right"/>
              <w:rPr>
                <w:rFonts w:asciiTheme="minorHAnsi" w:hAnsiTheme="minorHAnsi" w:cs="Arial"/>
                <w:sz w:val="20"/>
                <w:szCs w:val="20"/>
              </w:rPr>
            </w:pPr>
            <w:r w:rsidRPr="00102721">
              <w:rPr>
                <w:rFonts w:asciiTheme="minorHAnsi" w:hAnsiTheme="minorHAnsi" w:cs="Arial"/>
                <w:sz w:val="20"/>
                <w:szCs w:val="20"/>
              </w:rPr>
              <w:t>Scheme</w:t>
            </w:r>
          </w:p>
          <w:p w14:paraId="24F8801D" w14:textId="0FED95DF" w:rsidR="00925514" w:rsidRPr="00102721" w:rsidRDefault="00925514" w:rsidP="00E20AFD">
            <w:pPr>
              <w:jc w:val="right"/>
              <w:rPr>
                <w:rFonts w:asciiTheme="minorHAnsi" w:hAnsiTheme="minorHAnsi" w:cs="Arial"/>
                <w:sz w:val="20"/>
                <w:szCs w:val="20"/>
              </w:rPr>
            </w:pPr>
            <w:r w:rsidRPr="00102721">
              <w:rPr>
                <w:rFonts w:asciiTheme="minorHAnsi" w:hAnsiTheme="minorHAnsi" w:cs="Arial"/>
                <w:sz w:val="20"/>
                <w:szCs w:val="20"/>
              </w:rPr>
              <w:t>£m</w:t>
            </w:r>
          </w:p>
        </w:tc>
        <w:tc>
          <w:tcPr>
            <w:tcW w:w="428" w:type="pct"/>
            <w:tcBorders>
              <w:bottom w:val="single" w:sz="4" w:space="0" w:color="auto"/>
            </w:tcBorders>
          </w:tcPr>
          <w:p w14:paraId="6B3C708D" w14:textId="069229EE" w:rsidR="001A4788" w:rsidRPr="00102721" w:rsidRDefault="001A4788" w:rsidP="001A4788">
            <w:pPr>
              <w:jc w:val="right"/>
              <w:rPr>
                <w:rFonts w:asciiTheme="minorHAnsi" w:hAnsiTheme="minorHAnsi" w:cs="Arial"/>
                <w:sz w:val="20"/>
                <w:szCs w:val="20"/>
              </w:rPr>
            </w:pPr>
          </w:p>
          <w:p w14:paraId="203FF07D" w14:textId="77777777" w:rsidR="00570250" w:rsidRPr="00102721" w:rsidRDefault="00570250">
            <w:pPr>
              <w:jc w:val="right"/>
              <w:rPr>
                <w:rFonts w:asciiTheme="minorHAnsi" w:hAnsiTheme="minorHAnsi" w:cs="Arial"/>
                <w:sz w:val="20"/>
                <w:szCs w:val="20"/>
              </w:rPr>
            </w:pPr>
            <w:r w:rsidRPr="00102721">
              <w:rPr>
                <w:rFonts w:asciiTheme="minorHAnsi" w:hAnsiTheme="minorHAnsi" w:cs="Arial"/>
                <w:sz w:val="20"/>
                <w:szCs w:val="20"/>
              </w:rPr>
              <w:t>Others</w:t>
            </w:r>
          </w:p>
          <w:p w14:paraId="4FF9B6B6" w14:textId="77777777" w:rsidR="00570250" w:rsidRPr="00102721" w:rsidRDefault="00570250">
            <w:pPr>
              <w:jc w:val="right"/>
              <w:rPr>
                <w:rFonts w:asciiTheme="minorHAnsi" w:hAnsiTheme="minorHAnsi" w:cs="Arial"/>
                <w:sz w:val="20"/>
                <w:szCs w:val="20"/>
              </w:rPr>
            </w:pPr>
            <w:r w:rsidRPr="00102721">
              <w:rPr>
                <w:rFonts w:asciiTheme="minorHAnsi" w:hAnsiTheme="minorHAnsi" w:cs="Arial"/>
                <w:sz w:val="20"/>
                <w:szCs w:val="20"/>
              </w:rPr>
              <w:t>£m</w:t>
            </w:r>
          </w:p>
        </w:tc>
        <w:tc>
          <w:tcPr>
            <w:tcW w:w="435" w:type="pct"/>
            <w:tcBorders>
              <w:bottom w:val="single" w:sz="4" w:space="0" w:color="auto"/>
            </w:tcBorders>
          </w:tcPr>
          <w:p w14:paraId="65375AD4" w14:textId="77777777" w:rsidR="001A4788" w:rsidRPr="00102721" w:rsidRDefault="001A4788" w:rsidP="001A4788">
            <w:pPr>
              <w:jc w:val="right"/>
              <w:rPr>
                <w:rFonts w:asciiTheme="minorHAnsi" w:hAnsiTheme="minorHAnsi" w:cs="Arial"/>
                <w:sz w:val="20"/>
                <w:szCs w:val="20"/>
              </w:rPr>
            </w:pPr>
          </w:p>
          <w:p w14:paraId="39E35303" w14:textId="77777777" w:rsidR="00570250" w:rsidRPr="00102721" w:rsidRDefault="00570250">
            <w:pPr>
              <w:jc w:val="right"/>
              <w:rPr>
                <w:rFonts w:asciiTheme="minorHAnsi" w:hAnsiTheme="minorHAnsi" w:cs="Arial"/>
                <w:sz w:val="20"/>
                <w:szCs w:val="20"/>
              </w:rPr>
            </w:pPr>
            <w:r w:rsidRPr="00102721">
              <w:rPr>
                <w:rFonts w:asciiTheme="minorHAnsi" w:hAnsiTheme="minorHAnsi" w:cs="Arial"/>
                <w:sz w:val="20"/>
                <w:szCs w:val="20"/>
              </w:rPr>
              <w:t>Total</w:t>
            </w:r>
          </w:p>
          <w:p w14:paraId="60F46D55" w14:textId="77777777" w:rsidR="00570250" w:rsidRPr="00102721" w:rsidRDefault="00570250">
            <w:pPr>
              <w:jc w:val="right"/>
              <w:rPr>
                <w:rFonts w:asciiTheme="minorHAnsi" w:hAnsiTheme="minorHAnsi" w:cs="Arial"/>
                <w:sz w:val="20"/>
                <w:szCs w:val="20"/>
              </w:rPr>
            </w:pPr>
            <w:r w:rsidRPr="00102721">
              <w:rPr>
                <w:rFonts w:asciiTheme="minorHAnsi" w:hAnsiTheme="minorHAnsi" w:cs="Arial"/>
                <w:sz w:val="20"/>
                <w:szCs w:val="20"/>
              </w:rPr>
              <w:t>£m</w:t>
            </w:r>
          </w:p>
        </w:tc>
      </w:tr>
      <w:tr w:rsidR="009C5E40" w:rsidRPr="00DA4E3B" w14:paraId="30C25FF1" w14:textId="77777777" w:rsidTr="00925514">
        <w:trPr>
          <w:trHeight w:val="230"/>
        </w:trPr>
        <w:tc>
          <w:tcPr>
            <w:tcW w:w="1131" w:type="pct"/>
          </w:tcPr>
          <w:p w14:paraId="2BB7E25D" w14:textId="4FB9C662" w:rsidR="009C5E40" w:rsidRPr="00B97C61" w:rsidRDefault="009C5E40" w:rsidP="009C5E40">
            <w:pPr>
              <w:rPr>
                <w:rFonts w:asciiTheme="minorHAnsi" w:hAnsiTheme="minorHAnsi" w:cs="Arial"/>
                <w:sz w:val="20"/>
                <w:szCs w:val="20"/>
              </w:rPr>
            </w:pPr>
            <w:r w:rsidRPr="00B97C61">
              <w:rPr>
                <w:rFonts w:asciiTheme="minorHAnsi" w:hAnsiTheme="minorHAnsi" w:cs="Arial"/>
                <w:sz w:val="20"/>
                <w:szCs w:val="20"/>
              </w:rPr>
              <w:t>At 1 January</w:t>
            </w:r>
            <w:r>
              <w:rPr>
                <w:rFonts w:asciiTheme="minorHAnsi" w:hAnsiTheme="minorHAnsi" w:cs="Arial"/>
                <w:sz w:val="20"/>
                <w:szCs w:val="20"/>
              </w:rPr>
              <w:t xml:space="preserve"> 2024</w:t>
            </w:r>
          </w:p>
        </w:tc>
        <w:tc>
          <w:tcPr>
            <w:tcW w:w="633" w:type="pct"/>
            <w:tcBorders>
              <w:top w:val="single" w:sz="4" w:space="0" w:color="auto"/>
            </w:tcBorders>
            <w:vAlign w:val="center"/>
          </w:tcPr>
          <w:p w14:paraId="7B6B1092" w14:textId="76971448" w:rsidR="009C5E40" w:rsidRPr="00EF01FF" w:rsidRDefault="00CB3526" w:rsidP="009C5E40">
            <w:pPr>
              <w:jc w:val="right"/>
              <w:rPr>
                <w:rFonts w:asciiTheme="minorHAnsi" w:hAnsiTheme="minorHAnsi" w:cs="Arial"/>
                <w:sz w:val="20"/>
                <w:szCs w:val="20"/>
              </w:rPr>
            </w:pPr>
            <w:r>
              <w:rPr>
                <w:rFonts w:ascii="Calibri" w:hAnsi="Calibri" w:cs="Calibri"/>
                <w:color w:val="000000"/>
                <w:sz w:val="20"/>
                <w:szCs w:val="20"/>
              </w:rPr>
              <w:t>3.5</w:t>
            </w:r>
          </w:p>
        </w:tc>
        <w:tc>
          <w:tcPr>
            <w:tcW w:w="704" w:type="pct"/>
            <w:tcBorders>
              <w:top w:val="single" w:sz="4" w:space="0" w:color="auto"/>
            </w:tcBorders>
            <w:vAlign w:val="center"/>
          </w:tcPr>
          <w:p w14:paraId="5567ACE5" w14:textId="1CF20B24" w:rsidR="009C5E40" w:rsidRPr="00EF01FF" w:rsidRDefault="00CB3526" w:rsidP="009C5E40">
            <w:pPr>
              <w:jc w:val="right"/>
              <w:rPr>
                <w:rFonts w:asciiTheme="minorHAnsi" w:hAnsiTheme="minorHAnsi" w:cs="Arial"/>
                <w:sz w:val="20"/>
                <w:szCs w:val="20"/>
              </w:rPr>
            </w:pPr>
            <w:r>
              <w:rPr>
                <w:rFonts w:ascii="Calibri" w:hAnsi="Calibri" w:cs="Calibri"/>
                <w:color w:val="000000"/>
                <w:sz w:val="20"/>
                <w:szCs w:val="20"/>
              </w:rPr>
              <w:t>0.3</w:t>
            </w:r>
          </w:p>
        </w:tc>
        <w:tc>
          <w:tcPr>
            <w:tcW w:w="633" w:type="pct"/>
            <w:tcBorders>
              <w:top w:val="single" w:sz="4" w:space="0" w:color="auto"/>
            </w:tcBorders>
            <w:vAlign w:val="center"/>
          </w:tcPr>
          <w:p w14:paraId="0356F2E0" w14:textId="0CA216A8" w:rsidR="009C5E40" w:rsidRPr="00625840" w:rsidRDefault="00716391" w:rsidP="009C5E40">
            <w:pPr>
              <w:jc w:val="right"/>
              <w:rPr>
                <w:rFonts w:asciiTheme="minorHAnsi" w:hAnsiTheme="minorHAnsi" w:cs="Arial"/>
                <w:bCs/>
                <w:sz w:val="20"/>
                <w:szCs w:val="20"/>
              </w:rPr>
            </w:pPr>
            <w:r>
              <w:rPr>
                <w:rFonts w:ascii="Calibri" w:hAnsi="Calibri" w:cs="Calibri"/>
                <w:color w:val="000000"/>
                <w:sz w:val="20"/>
                <w:szCs w:val="20"/>
              </w:rPr>
              <w:t>-</w:t>
            </w:r>
          </w:p>
        </w:tc>
        <w:tc>
          <w:tcPr>
            <w:tcW w:w="573" w:type="pct"/>
            <w:tcBorders>
              <w:top w:val="single" w:sz="4" w:space="0" w:color="auto"/>
            </w:tcBorders>
            <w:vAlign w:val="center"/>
          </w:tcPr>
          <w:p w14:paraId="7113AB4E" w14:textId="07A624CC" w:rsidR="009C5E40" w:rsidRPr="00625840" w:rsidRDefault="009C5E40" w:rsidP="009C5E40">
            <w:pPr>
              <w:jc w:val="right"/>
              <w:rPr>
                <w:rFonts w:asciiTheme="minorHAnsi" w:hAnsiTheme="minorHAnsi" w:cs="Arial"/>
                <w:bCs/>
                <w:sz w:val="20"/>
                <w:szCs w:val="20"/>
              </w:rPr>
            </w:pPr>
            <w:r>
              <w:rPr>
                <w:rFonts w:ascii="Calibri" w:hAnsi="Calibri" w:cs="Calibri"/>
                <w:color w:val="000000"/>
                <w:sz w:val="20"/>
                <w:szCs w:val="20"/>
              </w:rPr>
              <w:t>-</w:t>
            </w:r>
          </w:p>
        </w:tc>
        <w:tc>
          <w:tcPr>
            <w:tcW w:w="463" w:type="pct"/>
            <w:tcBorders>
              <w:top w:val="single" w:sz="4" w:space="0" w:color="auto"/>
            </w:tcBorders>
            <w:vAlign w:val="center"/>
          </w:tcPr>
          <w:p w14:paraId="54D0B4DB" w14:textId="289B500C" w:rsidR="00925514" w:rsidRDefault="00925514" w:rsidP="00E20AFD">
            <w:pPr>
              <w:jc w:val="right"/>
              <w:rPr>
                <w:rFonts w:ascii="Calibri" w:hAnsi="Calibri" w:cs="Calibri"/>
                <w:color w:val="000000"/>
                <w:sz w:val="20"/>
                <w:szCs w:val="20"/>
              </w:rPr>
            </w:pPr>
            <w:r>
              <w:rPr>
                <w:rFonts w:ascii="Calibri" w:hAnsi="Calibri" w:cs="Calibri"/>
                <w:color w:val="000000"/>
                <w:sz w:val="20"/>
                <w:szCs w:val="20"/>
              </w:rPr>
              <w:t>1.0</w:t>
            </w:r>
          </w:p>
        </w:tc>
        <w:tc>
          <w:tcPr>
            <w:tcW w:w="428" w:type="pct"/>
            <w:tcBorders>
              <w:top w:val="single" w:sz="4" w:space="0" w:color="auto"/>
            </w:tcBorders>
            <w:vAlign w:val="center"/>
          </w:tcPr>
          <w:p w14:paraId="0560B0C6" w14:textId="414BF5CF" w:rsidR="009C5E40" w:rsidRPr="00EF01FF" w:rsidRDefault="00DF0CBF" w:rsidP="009C5E40">
            <w:pPr>
              <w:jc w:val="right"/>
              <w:rPr>
                <w:rFonts w:asciiTheme="minorHAnsi" w:hAnsiTheme="minorHAnsi" w:cs="Arial"/>
                <w:sz w:val="20"/>
                <w:szCs w:val="20"/>
              </w:rPr>
            </w:pPr>
            <w:r>
              <w:rPr>
                <w:rFonts w:ascii="Calibri" w:hAnsi="Calibri" w:cs="Calibri"/>
                <w:color w:val="000000"/>
                <w:sz w:val="20"/>
                <w:szCs w:val="20"/>
              </w:rPr>
              <w:t>1.0</w:t>
            </w:r>
          </w:p>
        </w:tc>
        <w:tc>
          <w:tcPr>
            <w:tcW w:w="435" w:type="pct"/>
            <w:tcBorders>
              <w:top w:val="single" w:sz="4" w:space="0" w:color="auto"/>
            </w:tcBorders>
            <w:vAlign w:val="center"/>
          </w:tcPr>
          <w:p w14:paraId="696A5EC3" w14:textId="1A21EAAE" w:rsidR="009C5E40" w:rsidRPr="00EF01FF" w:rsidRDefault="00DF6FF9" w:rsidP="009C5E40">
            <w:pPr>
              <w:jc w:val="right"/>
              <w:rPr>
                <w:rFonts w:asciiTheme="minorHAnsi" w:hAnsiTheme="minorHAnsi" w:cs="Arial"/>
                <w:sz w:val="20"/>
                <w:szCs w:val="20"/>
              </w:rPr>
            </w:pPr>
            <w:r>
              <w:rPr>
                <w:rFonts w:ascii="Calibri" w:hAnsi="Calibri" w:cs="Calibri"/>
                <w:color w:val="000000"/>
                <w:sz w:val="20"/>
                <w:szCs w:val="20"/>
              </w:rPr>
              <w:t>5.8</w:t>
            </w:r>
          </w:p>
        </w:tc>
      </w:tr>
      <w:tr w:rsidR="009C5E40" w:rsidRPr="00B835E3" w14:paraId="1CA797EB" w14:textId="77777777" w:rsidTr="00925514">
        <w:trPr>
          <w:trHeight w:val="230"/>
        </w:trPr>
        <w:tc>
          <w:tcPr>
            <w:tcW w:w="1131" w:type="pct"/>
          </w:tcPr>
          <w:p w14:paraId="2BE7791E" w14:textId="77777777" w:rsidR="009C5E40" w:rsidRPr="00B97C61" w:rsidRDefault="009C5E40" w:rsidP="009C5E40">
            <w:pPr>
              <w:tabs>
                <w:tab w:val="right" w:pos="4680"/>
              </w:tabs>
              <w:rPr>
                <w:rFonts w:asciiTheme="minorHAnsi" w:hAnsiTheme="minorHAnsi" w:cs="Arial"/>
                <w:sz w:val="20"/>
                <w:szCs w:val="20"/>
              </w:rPr>
            </w:pPr>
            <w:r w:rsidRPr="00B97C61">
              <w:rPr>
                <w:rFonts w:asciiTheme="minorHAnsi" w:hAnsiTheme="minorHAnsi" w:cs="Arial"/>
                <w:sz w:val="20"/>
                <w:szCs w:val="20"/>
              </w:rPr>
              <w:t xml:space="preserve">Created in the </w:t>
            </w:r>
            <w:r>
              <w:rPr>
                <w:rFonts w:asciiTheme="minorHAnsi" w:hAnsiTheme="minorHAnsi" w:cs="Arial"/>
                <w:sz w:val="20"/>
                <w:szCs w:val="20"/>
              </w:rPr>
              <w:t>period</w:t>
            </w:r>
          </w:p>
        </w:tc>
        <w:tc>
          <w:tcPr>
            <w:tcW w:w="633" w:type="pct"/>
            <w:vAlign w:val="center"/>
          </w:tcPr>
          <w:p w14:paraId="61AB6C1B" w14:textId="2234DEF1" w:rsidR="009C5E40" w:rsidRPr="00EF01FF" w:rsidRDefault="00CB3526" w:rsidP="009C5E40">
            <w:pPr>
              <w:jc w:val="right"/>
              <w:rPr>
                <w:rFonts w:asciiTheme="minorHAnsi" w:hAnsiTheme="minorHAnsi" w:cs="Arial"/>
                <w:sz w:val="20"/>
                <w:szCs w:val="20"/>
              </w:rPr>
            </w:pPr>
            <w:r>
              <w:rPr>
                <w:rFonts w:ascii="Calibri" w:hAnsi="Calibri" w:cs="Calibri"/>
                <w:color w:val="000000"/>
                <w:sz w:val="20"/>
                <w:szCs w:val="20"/>
              </w:rPr>
              <w:t>9.6</w:t>
            </w:r>
          </w:p>
        </w:tc>
        <w:tc>
          <w:tcPr>
            <w:tcW w:w="704" w:type="pct"/>
            <w:vAlign w:val="center"/>
          </w:tcPr>
          <w:p w14:paraId="085F2912" w14:textId="61599333" w:rsidR="009C5E40" w:rsidRPr="00EF01FF" w:rsidRDefault="00CB3526" w:rsidP="009C5E40">
            <w:pPr>
              <w:jc w:val="right"/>
              <w:rPr>
                <w:rFonts w:asciiTheme="minorHAnsi" w:hAnsiTheme="minorHAnsi" w:cs="Arial"/>
                <w:sz w:val="20"/>
                <w:szCs w:val="20"/>
              </w:rPr>
            </w:pPr>
            <w:r>
              <w:rPr>
                <w:rFonts w:ascii="Calibri" w:hAnsi="Calibri" w:cs="Calibri"/>
                <w:color w:val="000000"/>
                <w:sz w:val="20"/>
                <w:szCs w:val="20"/>
              </w:rPr>
              <w:t>4.9</w:t>
            </w:r>
          </w:p>
        </w:tc>
        <w:tc>
          <w:tcPr>
            <w:tcW w:w="633" w:type="pct"/>
            <w:vAlign w:val="center"/>
          </w:tcPr>
          <w:p w14:paraId="4C2A0462" w14:textId="4470E897" w:rsidR="009C5E40" w:rsidRPr="001D4925" w:rsidRDefault="00716391" w:rsidP="009C5E40">
            <w:pPr>
              <w:jc w:val="right"/>
              <w:rPr>
                <w:rFonts w:asciiTheme="minorHAnsi" w:hAnsiTheme="minorHAnsi" w:cs="Arial"/>
                <w:sz w:val="20"/>
                <w:szCs w:val="20"/>
                <w:highlight w:val="yellow"/>
              </w:rPr>
            </w:pPr>
            <w:r>
              <w:rPr>
                <w:rFonts w:ascii="Calibri" w:hAnsi="Calibri" w:cs="Calibri"/>
                <w:color w:val="000000"/>
                <w:sz w:val="20"/>
                <w:szCs w:val="20"/>
              </w:rPr>
              <w:t>2.5</w:t>
            </w:r>
          </w:p>
        </w:tc>
        <w:tc>
          <w:tcPr>
            <w:tcW w:w="573" w:type="pct"/>
            <w:vAlign w:val="center"/>
          </w:tcPr>
          <w:p w14:paraId="2E610B4D" w14:textId="7F6E8212" w:rsidR="009C5E40" w:rsidRPr="00625840" w:rsidRDefault="009C5E40" w:rsidP="009C5E40">
            <w:pPr>
              <w:jc w:val="right"/>
              <w:rPr>
                <w:rFonts w:asciiTheme="minorHAnsi" w:hAnsiTheme="minorHAnsi" w:cs="Arial"/>
                <w:bCs/>
                <w:sz w:val="20"/>
                <w:szCs w:val="20"/>
              </w:rPr>
            </w:pPr>
            <w:r>
              <w:rPr>
                <w:rFonts w:ascii="Calibri" w:hAnsi="Calibri" w:cs="Calibri"/>
                <w:color w:val="000000"/>
                <w:sz w:val="20"/>
                <w:szCs w:val="20"/>
              </w:rPr>
              <w:t>-</w:t>
            </w:r>
          </w:p>
        </w:tc>
        <w:tc>
          <w:tcPr>
            <w:tcW w:w="463" w:type="pct"/>
            <w:vAlign w:val="center"/>
          </w:tcPr>
          <w:p w14:paraId="732B0196" w14:textId="695AB380" w:rsidR="00925514" w:rsidRDefault="00925514" w:rsidP="00E20AFD">
            <w:pPr>
              <w:jc w:val="right"/>
              <w:rPr>
                <w:rFonts w:ascii="Calibri" w:hAnsi="Calibri" w:cs="Calibri"/>
                <w:color w:val="000000"/>
                <w:sz w:val="20"/>
                <w:szCs w:val="20"/>
              </w:rPr>
            </w:pPr>
            <w:r>
              <w:rPr>
                <w:rFonts w:ascii="Calibri" w:hAnsi="Calibri" w:cs="Calibri"/>
                <w:color w:val="000000"/>
                <w:sz w:val="20"/>
                <w:szCs w:val="20"/>
              </w:rPr>
              <w:t>-</w:t>
            </w:r>
          </w:p>
        </w:tc>
        <w:tc>
          <w:tcPr>
            <w:tcW w:w="428" w:type="pct"/>
            <w:vAlign w:val="center"/>
          </w:tcPr>
          <w:p w14:paraId="45B7422C" w14:textId="3A97B343" w:rsidR="009C5E40" w:rsidRPr="00EF01FF" w:rsidRDefault="00DF0CBF" w:rsidP="009C5E40">
            <w:pPr>
              <w:jc w:val="right"/>
              <w:rPr>
                <w:rFonts w:asciiTheme="minorHAnsi" w:hAnsiTheme="minorHAnsi" w:cs="Arial"/>
                <w:sz w:val="20"/>
                <w:szCs w:val="20"/>
              </w:rPr>
            </w:pPr>
            <w:r>
              <w:rPr>
                <w:rFonts w:ascii="Calibri" w:hAnsi="Calibri" w:cs="Calibri"/>
                <w:color w:val="000000"/>
                <w:sz w:val="20"/>
                <w:szCs w:val="20"/>
              </w:rPr>
              <w:t>0.1</w:t>
            </w:r>
          </w:p>
        </w:tc>
        <w:tc>
          <w:tcPr>
            <w:tcW w:w="435" w:type="pct"/>
            <w:vAlign w:val="center"/>
          </w:tcPr>
          <w:p w14:paraId="22727963" w14:textId="68C4D2FA" w:rsidR="009C5E40" w:rsidRPr="00EF01FF" w:rsidRDefault="00DF6FF9" w:rsidP="009C5E40">
            <w:pPr>
              <w:jc w:val="right"/>
              <w:rPr>
                <w:rFonts w:asciiTheme="minorHAnsi" w:hAnsiTheme="minorHAnsi" w:cs="Arial"/>
                <w:sz w:val="20"/>
                <w:szCs w:val="20"/>
              </w:rPr>
            </w:pPr>
            <w:r>
              <w:rPr>
                <w:rFonts w:ascii="Calibri" w:hAnsi="Calibri" w:cs="Calibri"/>
                <w:color w:val="000000"/>
                <w:sz w:val="20"/>
                <w:szCs w:val="20"/>
              </w:rPr>
              <w:t>17.1</w:t>
            </w:r>
          </w:p>
        </w:tc>
      </w:tr>
      <w:tr w:rsidR="009C5E40" w:rsidRPr="00B835E3" w14:paraId="2101AC44" w14:textId="77777777" w:rsidTr="00925514">
        <w:trPr>
          <w:trHeight w:val="230"/>
        </w:trPr>
        <w:tc>
          <w:tcPr>
            <w:tcW w:w="1131" w:type="pct"/>
          </w:tcPr>
          <w:p w14:paraId="2B80BB7E" w14:textId="77777777" w:rsidR="009C5E40" w:rsidRPr="00B97C61" w:rsidRDefault="009C5E40" w:rsidP="009C5E40">
            <w:pPr>
              <w:tabs>
                <w:tab w:val="right" w:pos="4680"/>
              </w:tabs>
              <w:rPr>
                <w:rFonts w:asciiTheme="minorHAnsi" w:hAnsiTheme="minorHAnsi" w:cs="Arial"/>
                <w:sz w:val="20"/>
                <w:szCs w:val="20"/>
              </w:rPr>
            </w:pPr>
            <w:r w:rsidRPr="00B97C61">
              <w:rPr>
                <w:rFonts w:asciiTheme="minorHAnsi" w:hAnsiTheme="minorHAnsi" w:cs="Arial"/>
                <w:sz w:val="20"/>
                <w:szCs w:val="20"/>
              </w:rPr>
              <w:t xml:space="preserve">Utilised in the </w:t>
            </w:r>
            <w:r>
              <w:rPr>
                <w:rFonts w:asciiTheme="minorHAnsi" w:hAnsiTheme="minorHAnsi" w:cs="Arial"/>
                <w:sz w:val="20"/>
                <w:szCs w:val="20"/>
              </w:rPr>
              <w:t>period</w:t>
            </w:r>
          </w:p>
        </w:tc>
        <w:tc>
          <w:tcPr>
            <w:tcW w:w="633" w:type="pct"/>
            <w:vAlign w:val="center"/>
          </w:tcPr>
          <w:p w14:paraId="350B563C" w14:textId="61DE9F27" w:rsidR="009C5E40" w:rsidRPr="00EF01FF" w:rsidRDefault="00CB3526" w:rsidP="009C5E40">
            <w:pPr>
              <w:jc w:val="right"/>
              <w:rPr>
                <w:rFonts w:asciiTheme="minorHAnsi" w:hAnsiTheme="minorHAnsi" w:cs="Arial"/>
                <w:sz w:val="20"/>
                <w:szCs w:val="20"/>
              </w:rPr>
            </w:pPr>
            <w:r>
              <w:rPr>
                <w:rFonts w:ascii="Calibri" w:hAnsi="Calibri" w:cs="Calibri"/>
                <w:color w:val="000000"/>
                <w:sz w:val="20"/>
                <w:szCs w:val="20"/>
              </w:rPr>
              <w:t>(4.9)</w:t>
            </w:r>
          </w:p>
        </w:tc>
        <w:tc>
          <w:tcPr>
            <w:tcW w:w="704" w:type="pct"/>
            <w:vAlign w:val="center"/>
          </w:tcPr>
          <w:p w14:paraId="0EF7FCB0" w14:textId="348C8F4F" w:rsidR="009C5E40" w:rsidRPr="00EF01FF" w:rsidRDefault="00CB3526" w:rsidP="009C5E40">
            <w:pPr>
              <w:jc w:val="right"/>
              <w:rPr>
                <w:rFonts w:asciiTheme="minorHAnsi" w:hAnsiTheme="minorHAnsi" w:cs="Arial"/>
                <w:sz w:val="20"/>
                <w:szCs w:val="20"/>
              </w:rPr>
            </w:pPr>
            <w:r>
              <w:rPr>
                <w:rFonts w:ascii="Calibri" w:hAnsi="Calibri" w:cs="Calibri"/>
                <w:color w:val="000000"/>
                <w:sz w:val="20"/>
                <w:szCs w:val="20"/>
              </w:rPr>
              <w:t>-</w:t>
            </w:r>
          </w:p>
        </w:tc>
        <w:tc>
          <w:tcPr>
            <w:tcW w:w="633" w:type="pct"/>
            <w:vAlign w:val="center"/>
          </w:tcPr>
          <w:p w14:paraId="3FE8910E" w14:textId="0F629202" w:rsidR="009C5E40" w:rsidRPr="001D4925" w:rsidRDefault="00716391" w:rsidP="009C5E40">
            <w:pPr>
              <w:jc w:val="right"/>
              <w:rPr>
                <w:rFonts w:asciiTheme="minorHAnsi" w:hAnsiTheme="minorHAnsi" w:cs="Arial"/>
                <w:b/>
                <w:sz w:val="20"/>
                <w:szCs w:val="20"/>
                <w:highlight w:val="yellow"/>
              </w:rPr>
            </w:pPr>
            <w:r>
              <w:rPr>
                <w:rFonts w:ascii="Calibri" w:hAnsi="Calibri" w:cs="Calibri"/>
                <w:color w:val="000000"/>
                <w:sz w:val="20"/>
                <w:szCs w:val="20"/>
              </w:rPr>
              <w:t>-</w:t>
            </w:r>
          </w:p>
        </w:tc>
        <w:tc>
          <w:tcPr>
            <w:tcW w:w="573" w:type="pct"/>
            <w:vAlign w:val="center"/>
          </w:tcPr>
          <w:p w14:paraId="6B2805F0" w14:textId="3EBAB67C" w:rsidR="009C5E40" w:rsidRDefault="009C5E40" w:rsidP="009C5E40">
            <w:pPr>
              <w:jc w:val="right"/>
              <w:rPr>
                <w:rFonts w:asciiTheme="minorHAnsi" w:hAnsiTheme="minorHAnsi" w:cs="Arial"/>
                <w:b/>
                <w:sz w:val="20"/>
                <w:szCs w:val="20"/>
              </w:rPr>
            </w:pPr>
            <w:r>
              <w:rPr>
                <w:rFonts w:ascii="Calibri" w:hAnsi="Calibri" w:cs="Calibri"/>
                <w:color w:val="000000"/>
                <w:sz w:val="20"/>
                <w:szCs w:val="20"/>
              </w:rPr>
              <w:t>-</w:t>
            </w:r>
          </w:p>
        </w:tc>
        <w:tc>
          <w:tcPr>
            <w:tcW w:w="463" w:type="pct"/>
            <w:vAlign w:val="center"/>
          </w:tcPr>
          <w:p w14:paraId="350680FB" w14:textId="57A518DB" w:rsidR="00925514" w:rsidRDefault="00925514" w:rsidP="00E20AFD">
            <w:pPr>
              <w:jc w:val="right"/>
              <w:rPr>
                <w:rFonts w:ascii="Calibri" w:hAnsi="Calibri" w:cs="Calibri"/>
                <w:color w:val="000000"/>
                <w:sz w:val="20"/>
                <w:szCs w:val="20"/>
              </w:rPr>
            </w:pPr>
            <w:r>
              <w:rPr>
                <w:rFonts w:ascii="Calibri" w:hAnsi="Calibri" w:cs="Calibri"/>
                <w:color w:val="000000"/>
                <w:sz w:val="20"/>
                <w:szCs w:val="20"/>
              </w:rPr>
              <w:t>-</w:t>
            </w:r>
          </w:p>
        </w:tc>
        <w:tc>
          <w:tcPr>
            <w:tcW w:w="428" w:type="pct"/>
            <w:vAlign w:val="center"/>
          </w:tcPr>
          <w:p w14:paraId="5AA5AAF3" w14:textId="53881511" w:rsidR="009C5E40" w:rsidRPr="00EF01FF" w:rsidRDefault="00DF0CBF" w:rsidP="009C5E40">
            <w:pPr>
              <w:jc w:val="right"/>
              <w:rPr>
                <w:rFonts w:asciiTheme="minorHAnsi" w:hAnsiTheme="minorHAnsi" w:cs="Arial"/>
                <w:sz w:val="20"/>
                <w:szCs w:val="20"/>
              </w:rPr>
            </w:pPr>
            <w:r>
              <w:rPr>
                <w:rFonts w:ascii="Calibri" w:hAnsi="Calibri" w:cs="Calibri"/>
                <w:color w:val="000000"/>
                <w:sz w:val="20"/>
                <w:szCs w:val="20"/>
              </w:rPr>
              <w:t>(0.5)</w:t>
            </w:r>
          </w:p>
        </w:tc>
        <w:tc>
          <w:tcPr>
            <w:tcW w:w="435" w:type="pct"/>
            <w:vAlign w:val="center"/>
          </w:tcPr>
          <w:p w14:paraId="209C2344" w14:textId="269D0BD0" w:rsidR="009C5E40" w:rsidRPr="00EF01FF" w:rsidRDefault="00DF6FF9" w:rsidP="009C5E40">
            <w:pPr>
              <w:jc w:val="right"/>
              <w:rPr>
                <w:rFonts w:asciiTheme="minorHAnsi" w:hAnsiTheme="minorHAnsi" w:cs="Arial"/>
                <w:sz w:val="20"/>
                <w:szCs w:val="20"/>
              </w:rPr>
            </w:pPr>
            <w:r>
              <w:rPr>
                <w:rFonts w:ascii="Calibri" w:hAnsi="Calibri" w:cs="Calibri"/>
                <w:color w:val="000000"/>
                <w:sz w:val="20"/>
                <w:szCs w:val="20"/>
              </w:rPr>
              <w:t>(5.4)</w:t>
            </w:r>
          </w:p>
        </w:tc>
      </w:tr>
      <w:tr w:rsidR="009C5E40" w:rsidRPr="00B835E3" w14:paraId="1F43AA0B" w14:textId="77777777" w:rsidTr="00925514">
        <w:trPr>
          <w:trHeight w:val="250"/>
        </w:trPr>
        <w:tc>
          <w:tcPr>
            <w:tcW w:w="1131" w:type="pct"/>
          </w:tcPr>
          <w:p w14:paraId="583A67E5" w14:textId="77777777" w:rsidR="009C5E40" w:rsidRPr="00B97C61" w:rsidRDefault="009C5E40" w:rsidP="009C5E40">
            <w:pPr>
              <w:tabs>
                <w:tab w:val="right" w:pos="4680"/>
              </w:tabs>
              <w:rPr>
                <w:rFonts w:asciiTheme="minorHAnsi" w:hAnsiTheme="minorHAnsi" w:cs="Arial"/>
                <w:sz w:val="20"/>
                <w:szCs w:val="20"/>
              </w:rPr>
            </w:pPr>
            <w:r w:rsidRPr="00B97C61">
              <w:rPr>
                <w:rFonts w:asciiTheme="minorHAnsi" w:hAnsiTheme="minorHAnsi" w:cs="Arial"/>
                <w:sz w:val="20"/>
                <w:szCs w:val="20"/>
              </w:rPr>
              <w:t xml:space="preserve">Released in the </w:t>
            </w:r>
            <w:r>
              <w:rPr>
                <w:rFonts w:asciiTheme="minorHAnsi" w:hAnsiTheme="minorHAnsi" w:cs="Arial"/>
                <w:sz w:val="20"/>
                <w:szCs w:val="20"/>
              </w:rPr>
              <w:t>period</w:t>
            </w:r>
          </w:p>
        </w:tc>
        <w:tc>
          <w:tcPr>
            <w:tcW w:w="633" w:type="pct"/>
            <w:tcBorders>
              <w:bottom w:val="single" w:sz="4" w:space="0" w:color="auto"/>
            </w:tcBorders>
            <w:vAlign w:val="center"/>
          </w:tcPr>
          <w:p w14:paraId="6C135162" w14:textId="71DAEDD8" w:rsidR="009C5E40" w:rsidRPr="00EF01FF" w:rsidRDefault="00CB3526" w:rsidP="009C5E40">
            <w:pPr>
              <w:jc w:val="right"/>
              <w:rPr>
                <w:rFonts w:asciiTheme="minorHAnsi" w:hAnsiTheme="minorHAnsi" w:cs="Arial"/>
                <w:sz w:val="20"/>
                <w:szCs w:val="20"/>
              </w:rPr>
            </w:pPr>
            <w:r>
              <w:rPr>
                <w:rFonts w:ascii="Calibri" w:hAnsi="Calibri" w:cs="Calibri"/>
                <w:color w:val="000000"/>
                <w:sz w:val="20"/>
                <w:szCs w:val="20"/>
              </w:rPr>
              <w:t>-</w:t>
            </w:r>
          </w:p>
        </w:tc>
        <w:tc>
          <w:tcPr>
            <w:tcW w:w="704" w:type="pct"/>
            <w:tcBorders>
              <w:bottom w:val="single" w:sz="4" w:space="0" w:color="auto"/>
            </w:tcBorders>
            <w:vAlign w:val="center"/>
          </w:tcPr>
          <w:p w14:paraId="3C25FD42" w14:textId="76E37C04" w:rsidR="009C5E40" w:rsidRPr="00EF01FF" w:rsidRDefault="00CB3526" w:rsidP="009C5E40">
            <w:pPr>
              <w:jc w:val="right"/>
              <w:rPr>
                <w:rFonts w:asciiTheme="minorHAnsi" w:hAnsiTheme="minorHAnsi" w:cs="Arial"/>
                <w:sz w:val="20"/>
                <w:szCs w:val="20"/>
              </w:rPr>
            </w:pPr>
            <w:r>
              <w:rPr>
                <w:rFonts w:ascii="Calibri" w:hAnsi="Calibri" w:cs="Calibri"/>
                <w:color w:val="000000"/>
                <w:sz w:val="20"/>
                <w:szCs w:val="20"/>
              </w:rPr>
              <w:t>-</w:t>
            </w:r>
          </w:p>
        </w:tc>
        <w:tc>
          <w:tcPr>
            <w:tcW w:w="633" w:type="pct"/>
            <w:tcBorders>
              <w:bottom w:val="single" w:sz="4" w:space="0" w:color="auto"/>
            </w:tcBorders>
            <w:vAlign w:val="center"/>
          </w:tcPr>
          <w:p w14:paraId="45C5EBBA" w14:textId="10198BBC" w:rsidR="009C5E40" w:rsidRPr="001D4925" w:rsidRDefault="00716391" w:rsidP="009C5E40">
            <w:pPr>
              <w:jc w:val="right"/>
              <w:rPr>
                <w:rFonts w:asciiTheme="minorHAnsi" w:hAnsiTheme="minorHAnsi" w:cs="Arial"/>
                <w:sz w:val="20"/>
                <w:szCs w:val="20"/>
                <w:highlight w:val="yellow"/>
              </w:rPr>
            </w:pPr>
            <w:r>
              <w:rPr>
                <w:rFonts w:ascii="Calibri" w:hAnsi="Calibri" w:cs="Calibri"/>
                <w:color w:val="000000"/>
                <w:sz w:val="20"/>
                <w:szCs w:val="20"/>
              </w:rPr>
              <w:t>-</w:t>
            </w:r>
          </w:p>
        </w:tc>
        <w:tc>
          <w:tcPr>
            <w:tcW w:w="573" w:type="pct"/>
            <w:tcBorders>
              <w:bottom w:val="single" w:sz="4" w:space="0" w:color="auto"/>
            </w:tcBorders>
            <w:vAlign w:val="center"/>
          </w:tcPr>
          <w:p w14:paraId="30E325EA" w14:textId="4519ADB5" w:rsidR="009C5E40" w:rsidRPr="00EF01FF" w:rsidRDefault="009C5E40" w:rsidP="009C5E40">
            <w:pPr>
              <w:jc w:val="right"/>
              <w:rPr>
                <w:rFonts w:asciiTheme="minorHAnsi" w:hAnsiTheme="minorHAnsi" w:cs="Arial"/>
                <w:bCs/>
                <w:sz w:val="20"/>
                <w:szCs w:val="20"/>
              </w:rPr>
            </w:pPr>
            <w:r>
              <w:rPr>
                <w:rFonts w:ascii="Calibri" w:hAnsi="Calibri" w:cs="Calibri"/>
                <w:color w:val="000000"/>
                <w:sz w:val="20"/>
                <w:szCs w:val="20"/>
              </w:rPr>
              <w:t>-</w:t>
            </w:r>
          </w:p>
        </w:tc>
        <w:tc>
          <w:tcPr>
            <w:tcW w:w="463" w:type="pct"/>
            <w:tcBorders>
              <w:bottom w:val="single" w:sz="4" w:space="0" w:color="auto"/>
            </w:tcBorders>
            <w:vAlign w:val="center"/>
          </w:tcPr>
          <w:p w14:paraId="43B35977" w14:textId="73B75DDA" w:rsidR="00925514" w:rsidRDefault="00925514" w:rsidP="00E20AFD">
            <w:pPr>
              <w:jc w:val="right"/>
              <w:rPr>
                <w:rFonts w:ascii="Calibri" w:hAnsi="Calibri" w:cs="Calibri"/>
                <w:color w:val="000000"/>
                <w:sz w:val="20"/>
                <w:szCs w:val="20"/>
              </w:rPr>
            </w:pPr>
            <w:r>
              <w:rPr>
                <w:rFonts w:ascii="Calibri" w:hAnsi="Calibri" w:cs="Calibri"/>
                <w:color w:val="000000"/>
                <w:sz w:val="20"/>
                <w:szCs w:val="20"/>
              </w:rPr>
              <w:t>(1.0)</w:t>
            </w:r>
          </w:p>
        </w:tc>
        <w:tc>
          <w:tcPr>
            <w:tcW w:w="428" w:type="pct"/>
            <w:tcBorders>
              <w:bottom w:val="single" w:sz="4" w:space="0" w:color="auto"/>
            </w:tcBorders>
            <w:vAlign w:val="center"/>
          </w:tcPr>
          <w:p w14:paraId="1871B31B" w14:textId="3F125C86" w:rsidR="009C5E40" w:rsidRPr="00EF01FF" w:rsidRDefault="00DF0CBF" w:rsidP="009C5E40">
            <w:pPr>
              <w:jc w:val="right"/>
              <w:rPr>
                <w:rFonts w:asciiTheme="minorHAnsi" w:hAnsiTheme="minorHAnsi" w:cs="Arial"/>
                <w:sz w:val="20"/>
                <w:szCs w:val="20"/>
              </w:rPr>
            </w:pPr>
            <w:r>
              <w:rPr>
                <w:rFonts w:ascii="Calibri" w:hAnsi="Calibri" w:cs="Calibri"/>
                <w:color w:val="000000"/>
                <w:sz w:val="20"/>
                <w:szCs w:val="20"/>
              </w:rPr>
              <w:t>(0.2)</w:t>
            </w:r>
          </w:p>
        </w:tc>
        <w:tc>
          <w:tcPr>
            <w:tcW w:w="435" w:type="pct"/>
            <w:tcBorders>
              <w:bottom w:val="single" w:sz="4" w:space="0" w:color="auto"/>
            </w:tcBorders>
            <w:vAlign w:val="center"/>
          </w:tcPr>
          <w:p w14:paraId="5CF0DC63" w14:textId="3E74677B" w:rsidR="009C5E40" w:rsidRPr="00EF01FF" w:rsidRDefault="00DF6FF9" w:rsidP="009C5E40">
            <w:pPr>
              <w:jc w:val="right"/>
              <w:rPr>
                <w:rFonts w:asciiTheme="minorHAnsi" w:hAnsiTheme="minorHAnsi" w:cs="Arial"/>
                <w:sz w:val="20"/>
                <w:szCs w:val="20"/>
              </w:rPr>
            </w:pPr>
            <w:r>
              <w:rPr>
                <w:rFonts w:ascii="Calibri" w:hAnsi="Calibri" w:cs="Calibri"/>
                <w:color w:val="000000"/>
                <w:sz w:val="20"/>
                <w:szCs w:val="20"/>
              </w:rPr>
              <w:t>(1.2)</w:t>
            </w:r>
          </w:p>
        </w:tc>
      </w:tr>
      <w:tr w:rsidR="009C5E40" w:rsidRPr="00B835E3" w14:paraId="35BECEBD" w14:textId="77777777" w:rsidTr="00925514">
        <w:trPr>
          <w:trHeight w:val="230"/>
        </w:trPr>
        <w:tc>
          <w:tcPr>
            <w:tcW w:w="1131" w:type="pct"/>
          </w:tcPr>
          <w:p w14:paraId="01DF26F1" w14:textId="11BF2DD4" w:rsidR="009C5E40" w:rsidRPr="001A4788" w:rsidRDefault="009C5E40" w:rsidP="009C5E40">
            <w:pPr>
              <w:rPr>
                <w:rFonts w:asciiTheme="minorHAnsi" w:hAnsiTheme="minorHAnsi" w:cs="Arial"/>
                <w:b/>
                <w:sz w:val="20"/>
                <w:szCs w:val="20"/>
                <w:lang w:val="en-US"/>
              </w:rPr>
            </w:pPr>
            <w:r w:rsidRPr="001A4788">
              <w:rPr>
                <w:rFonts w:asciiTheme="minorHAnsi" w:hAnsiTheme="minorHAnsi" w:cs="Arial"/>
                <w:b/>
                <w:bCs/>
                <w:sz w:val="20"/>
                <w:szCs w:val="20"/>
                <w:lang w:val="en-US"/>
              </w:rPr>
              <w:lastRenderedPageBreak/>
              <w:t>At 30 June 2024</w:t>
            </w:r>
            <w:r w:rsidR="00925514">
              <w:rPr>
                <w:rFonts w:asciiTheme="minorHAnsi" w:hAnsiTheme="minorHAnsi" w:cs="Arial"/>
                <w:b/>
                <w:bCs/>
                <w:sz w:val="20"/>
                <w:szCs w:val="20"/>
                <w:lang w:val="en-US"/>
              </w:rPr>
              <w:t xml:space="preserve"> </w:t>
            </w:r>
            <w:r w:rsidR="00881EFC">
              <w:rPr>
                <w:rFonts w:asciiTheme="minorHAnsi" w:hAnsiTheme="minorHAnsi" w:cs="Arial"/>
                <w:b/>
                <w:bCs/>
                <w:sz w:val="20"/>
                <w:szCs w:val="20"/>
                <w:lang w:val="en-US"/>
              </w:rPr>
              <w:t>(</w:t>
            </w:r>
            <w:r w:rsidR="00925514">
              <w:rPr>
                <w:rFonts w:asciiTheme="minorHAnsi" w:hAnsiTheme="minorHAnsi" w:cs="Arial"/>
                <w:b/>
                <w:bCs/>
                <w:sz w:val="20"/>
                <w:szCs w:val="20"/>
                <w:lang w:val="en-US"/>
              </w:rPr>
              <w:t>unaudited</w:t>
            </w:r>
            <w:r w:rsidR="00881EFC">
              <w:rPr>
                <w:rFonts w:asciiTheme="minorHAnsi" w:hAnsiTheme="minorHAnsi" w:cs="Arial"/>
                <w:b/>
                <w:bCs/>
                <w:sz w:val="20"/>
                <w:szCs w:val="20"/>
                <w:lang w:val="en-US"/>
              </w:rPr>
              <w:t>)</w:t>
            </w:r>
          </w:p>
        </w:tc>
        <w:tc>
          <w:tcPr>
            <w:tcW w:w="633" w:type="pct"/>
            <w:tcBorders>
              <w:top w:val="single" w:sz="4" w:space="0" w:color="auto"/>
              <w:bottom w:val="single" w:sz="4" w:space="0" w:color="auto"/>
            </w:tcBorders>
            <w:vAlign w:val="center"/>
          </w:tcPr>
          <w:p w14:paraId="765652FD" w14:textId="12B2BB9E" w:rsidR="009C5E40" w:rsidRPr="00D0154D" w:rsidRDefault="00CB3526" w:rsidP="009C5E40">
            <w:pPr>
              <w:jc w:val="right"/>
              <w:rPr>
                <w:rFonts w:asciiTheme="minorHAnsi" w:hAnsiTheme="minorHAnsi" w:cs="Arial"/>
                <w:b/>
                <w:bCs/>
                <w:sz w:val="20"/>
                <w:szCs w:val="20"/>
              </w:rPr>
            </w:pPr>
            <w:r>
              <w:rPr>
                <w:rFonts w:ascii="Calibri" w:hAnsi="Calibri" w:cs="Calibri"/>
                <w:color w:val="000000"/>
                <w:sz w:val="20"/>
                <w:szCs w:val="20"/>
              </w:rPr>
              <w:t>8.2</w:t>
            </w:r>
          </w:p>
        </w:tc>
        <w:tc>
          <w:tcPr>
            <w:tcW w:w="704" w:type="pct"/>
            <w:tcBorders>
              <w:top w:val="single" w:sz="4" w:space="0" w:color="auto"/>
              <w:bottom w:val="single" w:sz="4" w:space="0" w:color="auto"/>
            </w:tcBorders>
            <w:vAlign w:val="center"/>
          </w:tcPr>
          <w:p w14:paraId="68BA9B3C" w14:textId="6DD45F62" w:rsidR="009C5E40" w:rsidRPr="00D0154D" w:rsidRDefault="00CB3526" w:rsidP="009C5E40">
            <w:pPr>
              <w:jc w:val="right"/>
              <w:rPr>
                <w:rFonts w:asciiTheme="minorHAnsi" w:hAnsiTheme="minorHAnsi" w:cs="Arial"/>
                <w:b/>
                <w:bCs/>
                <w:sz w:val="20"/>
                <w:szCs w:val="20"/>
              </w:rPr>
            </w:pPr>
            <w:r>
              <w:rPr>
                <w:rFonts w:ascii="Calibri" w:hAnsi="Calibri" w:cs="Calibri"/>
                <w:color w:val="000000"/>
                <w:sz w:val="20"/>
                <w:szCs w:val="20"/>
              </w:rPr>
              <w:t>5.2</w:t>
            </w:r>
          </w:p>
        </w:tc>
        <w:tc>
          <w:tcPr>
            <w:tcW w:w="633" w:type="pct"/>
            <w:tcBorders>
              <w:top w:val="single" w:sz="4" w:space="0" w:color="auto"/>
              <w:bottom w:val="single" w:sz="4" w:space="0" w:color="auto"/>
            </w:tcBorders>
            <w:vAlign w:val="center"/>
          </w:tcPr>
          <w:p w14:paraId="7E0DB9F6" w14:textId="075C1B48" w:rsidR="009C5E40" w:rsidRPr="001D4925" w:rsidRDefault="00716391" w:rsidP="009C5E40">
            <w:pPr>
              <w:jc w:val="right"/>
              <w:rPr>
                <w:rFonts w:asciiTheme="minorHAnsi" w:hAnsiTheme="minorHAnsi" w:cs="Arial"/>
                <w:b/>
                <w:sz w:val="20"/>
                <w:szCs w:val="20"/>
                <w:highlight w:val="yellow"/>
              </w:rPr>
            </w:pPr>
            <w:r>
              <w:rPr>
                <w:rFonts w:ascii="Calibri" w:hAnsi="Calibri" w:cs="Calibri"/>
                <w:color w:val="000000"/>
                <w:sz w:val="20"/>
                <w:szCs w:val="20"/>
              </w:rPr>
              <w:t>2.5</w:t>
            </w:r>
          </w:p>
        </w:tc>
        <w:tc>
          <w:tcPr>
            <w:tcW w:w="573" w:type="pct"/>
            <w:tcBorders>
              <w:top w:val="single" w:sz="4" w:space="0" w:color="auto"/>
              <w:bottom w:val="single" w:sz="4" w:space="0" w:color="auto"/>
            </w:tcBorders>
            <w:vAlign w:val="center"/>
          </w:tcPr>
          <w:p w14:paraId="6BFFF681" w14:textId="03621A99" w:rsidR="009C5E40" w:rsidRPr="00D0154D" w:rsidRDefault="009C5E40" w:rsidP="009C5E40">
            <w:pPr>
              <w:jc w:val="right"/>
              <w:rPr>
                <w:rFonts w:asciiTheme="minorHAnsi" w:hAnsiTheme="minorHAnsi" w:cs="Arial"/>
                <w:b/>
                <w:bCs/>
                <w:sz w:val="20"/>
                <w:szCs w:val="20"/>
              </w:rPr>
            </w:pPr>
            <w:r w:rsidRPr="00D0154D">
              <w:rPr>
                <w:rFonts w:ascii="Calibri" w:hAnsi="Calibri" w:cs="Calibri"/>
                <w:b/>
                <w:bCs/>
                <w:color w:val="000000"/>
                <w:sz w:val="20"/>
                <w:szCs w:val="20"/>
              </w:rPr>
              <w:t>-</w:t>
            </w:r>
          </w:p>
        </w:tc>
        <w:tc>
          <w:tcPr>
            <w:tcW w:w="463" w:type="pct"/>
            <w:tcBorders>
              <w:top w:val="single" w:sz="4" w:space="0" w:color="auto"/>
              <w:bottom w:val="single" w:sz="4" w:space="0" w:color="auto"/>
            </w:tcBorders>
            <w:vAlign w:val="center"/>
          </w:tcPr>
          <w:p w14:paraId="002417FA" w14:textId="5C985B4C" w:rsidR="00925514" w:rsidRPr="00D0154D" w:rsidRDefault="00925514" w:rsidP="00E20AFD">
            <w:pPr>
              <w:jc w:val="right"/>
              <w:rPr>
                <w:rFonts w:ascii="Calibri" w:hAnsi="Calibri" w:cs="Calibri"/>
                <w:b/>
                <w:bCs/>
                <w:color w:val="000000"/>
                <w:sz w:val="20"/>
                <w:szCs w:val="20"/>
              </w:rPr>
            </w:pPr>
            <w:r w:rsidRPr="00D0154D">
              <w:rPr>
                <w:rFonts w:ascii="Calibri" w:hAnsi="Calibri" w:cs="Calibri"/>
                <w:b/>
                <w:bCs/>
                <w:color w:val="000000"/>
                <w:sz w:val="20"/>
                <w:szCs w:val="20"/>
              </w:rPr>
              <w:t>-</w:t>
            </w:r>
          </w:p>
        </w:tc>
        <w:tc>
          <w:tcPr>
            <w:tcW w:w="428" w:type="pct"/>
            <w:tcBorders>
              <w:top w:val="single" w:sz="4" w:space="0" w:color="auto"/>
              <w:bottom w:val="single" w:sz="4" w:space="0" w:color="auto"/>
            </w:tcBorders>
            <w:vAlign w:val="center"/>
          </w:tcPr>
          <w:p w14:paraId="59E23938" w14:textId="738F4330" w:rsidR="009C5E40" w:rsidRPr="00D0154D" w:rsidRDefault="00DF0CBF" w:rsidP="009C5E40">
            <w:pPr>
              <w:jc w:val="right"/>
              <w:rPr>
                <w:rFonts w:asciiTheme="minorHAnsi" w:hAnsiTheme="minorHAnsi" w:cs="Arial"/>
                <w:b/>
                <w:bCs/>
                <w:sz w:val="20"/>
                <w:szCs w:val="20"/>
              </w:rPr>
            </w:pPr>
            <w:r>
              <w:rPr>
                <w:rFonts w:ascii="Calibri" w:hAnsi="Calibri" w:cs="Calibri"/>
                <w:color w:val="000000"/>
                <w:sz w:val="20"/>
                <w:szCs w:val="20"/>
              </w:rPr>
              <w:t>0.4</w:t>
            </w:r>
          </w:p>
        </w:tc>
        <w:tc>
          <w:tcPr>
            <w:tcW w:w="435" w:type="pct"/>
            <w:tcBorders>
              <w:top w:val="single" w:sz="4" w:space="0" w:color="auto"/>
              <w:bottom w:val="single" w:sz="4" w:space="0" w:color="auto"/>
            </w:tcBorders>
            <w:vAlign w:val="center"/>
          </w:tcPr>
          <w:p w14:paraId="56B9ECD0" w14:textId="5A1184D1" w:rsidR="009C5E40" w:rsidRPr="00D0154D" w:rsidRDefault="00DF6FF9" w:rsidP="009C5E40">
            <w:pPr>
              <w:jc w:val="right"/>
              <w:rPr>
                <w:rFonts w:asciiTheme="minorHAnsi" w:hAnsiTheme="minorHAnsi" w:cs="Arial"/>
                <w:b/>
                <w:bCs/>
                <w:sz w:val="20"/>
                <w:szCs w:val="20"/>
              </w:rPr>
            </w:pPr>
            <w:r>
              <w:rPr>
                <w:rFonts w:ascii="Calibri" w:hAnsi="Calibri" w:cs="Calibri"/>
                <w:color w:val="000000"/>
                <w:sz w:val="20"/>
                <w:szCs w:val="20"/>
              </w:rPr>
              <w:t>16.3</w:t>
            </w:r>
          </w:p>
        </w:tc>
      </w:tr>
      <w:tr w:rsidR="009C5E40" w:rsidRPr="00B835E3" w14:paraId="12082608" w14:textId="77777777" w:rsidTr="00925514">
        <w:trPr>
          <w:trHeight w:val="230"/>
        </w:trPr>
        <w:tc>
          <w:tcPr>
            <w:tcW w:w="1131" w:type="pct"/>
          </w:tcPr>
          <w:p w14:paraId="2D32762D" w14:textId="36DBA49B" w:rsidR="009C5E40" w:rsidRDefault="009C5E40" w:rsidP="009C5E40">
            <w:pPr>
              <w:rPr>
                <w:rFonts w:asciiTheme="minorHAnsi" w:hAnsiTheme="minorHAnsi" w:cs="Arial"/>
                <w:sz w:val="20"/>
                <w:szCs w:val="20"/>
                <w:lang w:val="en-US"/>
              </w:rPr>
            </w:pPr>
            <w:r w:rsidRPr="00B97C61">
              <w:rPr>
                <w:rFonts w:asciiTheme="minorHAnsi" w:hAnsiTheme="minorHAnsi" w:cs="Arial"/>
                <w:sz w:val="20"/>
                <w:szCs w:val="20"/>
              </w:rPr>
              <w:t xml:space="preserve">At 1 </w:t>
            </w:r>
            <w:r>
              <w:rPr>
                <w:rFonts w:asciiTheme="minorHAnsi" w:hAnsiTheme="minorHAnsi" w:cs="Arial"/>
                <w:sz w:val="20"/>
                <w:szCs w:val="20"/>
              </w:rPr>
              <w:t>July 2024</w:t>
            </w:r>
          </w:p>
        </w:tc>
        <w:tc>
          <w:tcPr>
            <w:tcW w:w="633" w:type="pct"/>
            <w:tcBorders>
              <w:top w:val="single" w:sz="4" w:space="0" w:color="auto"/>
            </w:tcBorders>
            <w:vAlign w:val="center"/>
          </w:tcPr>
          <w:p w14:paraId="1E8DC2FF" w14:textId="6D2133D8" w:rsidR="009C5E40" w:rsidRPr="00EF01FF" w:rsidRDefault="00CB3526" w:rsidP="009C5E40">
            <w:pPr>
              <w:jc w:val="right"/>
              <w:rPr>
                <w:rFonts w:asciiTheme="minorHAnsi" w:hAnsiTheme="minorHAnsi" w:cs="Arial"/>
                <w:bCs/>
                <w:sz w:val="20"/>
                <w:szCs w:val="20"/>
              </w:rPr>
            </w:pPr>
            <w:r>
              <w:rPr>
                <w:rFonts w:ascii="Calibri" w:hAnsi="Calibri" w:cs="Calibri"/>
                <w:color w:val="000000"/>
                <w:sz w:val="20"/>
                <w:szCs w:val="20"/>
              </w:rPr>
              <w:t>8.2</w:t>
            </w:r>
          </w:p>
        </w:tc>
        <w:tc>
          <w:tcPr>
            <w:tcW w:w="704" w:type="pct"/>
            <w:tcBorders>
              <w:top w:val="single" w:sz="4" w:space="0" w:color="auto"/>
            </w:tcBorders>
            <w:vAlign w:val="center"/>
          </w:tcPr>
          <w:p w14:paraId="3F7E6935" w14:textId="723D0C9C" w:rsidR="009C5E40" w:rsidRPr="00EF01FF" w:rsidRDefault="009C5E40" w:rsidP="009C5E40">
            <w:pPr>
              <w:jc w:val="right"/>
              <w:rPr>
                <w:rFonts w:asciiTheme="minorHAnsi" w:hAnsiTheme="minorHAnsi" w:cs="Arial"/>
                <w:bCs/>
                <w:sz w:val="20"/>
                <w:szCs w:val="20"/>
              </w:rPr>
            </w:pPr>
            <w:r>
              <w:rPr>
                <w:rFonts w:ascii="Calibri" w:hAnsi="Calibri" w:cs="Calibri"/>
                <w:color w:val="000000"/>
                <w:sz w:val="20"/>
                <w:szCs w:val="20"/>
              </w:rPr>
              <w:t>5.</w:t>
            </w:r>
            <w:r w:rsidR="00CB3526">
              <w:rPr>
                <w:rFonts w:ascii="Calibri" w:hAnsi="Calibri" w:cs="Calibri"/>
                <w:color w:val="000000"/>
                <w:sz w:val="20"/>
                <w:szCs w:val="20"/>
              </w:rPr>
              <w:t>2</w:t>
            </w:r>
          </w:p>
        </w:tc>
        <w:tc>
          <w:tcPr>
            <w:tcW w:w="633" w:type="pct"/>
            <w:tcBorders>
              <w:top w:val="single" w:sz="4" w:space="0" w:color="auto"/>
            </w:tcBorders>
            <w:vAlign w:val="center"/>
          </w:tcPr>
          <w:p w14:paraId="215AD843" w14:textId="2B19B083" w:rsidR="009C5E40" w:rsidRPr="00EF01FF" w:rsidRDefault="00716391" w:rsidP="009C5E40">
            <w:pPr>
              <w:jc w:val="right"/>
              <w:rPr>
                <w:rFonts w:asciiTheme="minorHAnsi" w:hAnsiTheme="minorHAnsi" w:cs="Arial"/>
                <w:bCs/>
                <w:sz w:val="20"/>
                <w:szCs w:val="20"/>
              </w:rPr>
            </w:pPr>
            <w:r>
              <w:rPr>
                <w:rFonts w:ascii="Calibri" w:hAnsi="Calibri" w:cs="Calibri"/>
                <w:color w:val="000000"/>
                <w:sz w:val="20"/>
                <w:szCs w:val="20"/>
              </w:rPr>
              <w:t>2.5</w:t>
            </w:r>
          </w:p>
        </w:tc>
        <w:tc>
          <w:tcPr>
            <w:tcW w:w="573" w:type="pct"/>
            <w:tcBorders>
              <w:top w:val="single" w:sz="4" w:space="0" w:color="auto"/>
            </w:tcBorders>
            <w:vAlign w:val="center"/>
          </w:tcPr>
          <w:p w14:paraId="7583B9CE" w14:textId="3681F437" w:rsidR="009C5E40" w:rsidRPr="00EF01FF" w:rsidRDefault="009C5E40" w:rsidP="009C5E40">
            <w:pPr>
              <w:jc w:val="right"/>
              <w:rPr>
                <w:rFonts w:asciiTheme="minorHAnsi" w:hAnsiTheme="minorHAnsi" w:cs="Arial"/>
                <w:bCs/>
                <w:sz w:val="20"/>
                <w:szCs w:val="20"/>
              </w:rPr>
            </w:pPr>
            <w:r>
              <w:rPr>
                <w:rFonts w:ascii="Calibri" w:hAnsi="Calibri" w:cs="Calibri"/>
                <w:color w:val="000000"/>
                <w:sz w:val="20"/>
                <w:szCs w:val="20"/>
              </w:rPr>
              <w:t>-</w:t>
            </w:r>
          </w:p>
        </w:tc>
        <w:tc>
          <w:tcPr>
            <w:tcW w:w="463" w:type="pct"/>
            <w:tcBorders>
              <w:top w:val="single" w:sz="4" w:space="0" w:color="auto"/>
            </w:tcBorders>
            <w:vAlign w:val="center"/>
          </w:tcPr>
          <w:p w14:paraId="797DBAFF" w14:textId="5BF34A0D" w:rsidR="00925514" w:rsidRDefault="00925514" w:rsidP="00E20AFD">
            <w:pPr>
              <w:jc w:val="right"/>
              <w:rPr>
                <w:rFonts w:ascii="Calibri" w:hAnsi="Calibri" w:cs="Calibri"/>
                <w:color w:val="000000"/>
                <w:sz w:val="20"/>
                <w:szCs w:val="20"/>
              </w:rPr>
            </w:pPr>
            <w:r>
              <w:rPr>
                <w:rFonts w:ascii="Calibri" w:hAnsi="Calibri" w:cs="Calibri"/>
                <w:color w:val="000000"/>
                <w:sz w:val="20"/>
                <w:szCs w:val="20"/>
              </w:rPr>
              <w:t>-</w:t>
            </w:r>
          </w:p>
        </w:tc>
        <w:tc>
          <w:tcPr>
            <w:tcW w:w="428" w:type="pct"/>
            <w:tcBorders>
              <w:top w:val="single" w:sz="4" w:space="0" w:color="auto"/>
            </w:tcBorders>
            <w:vAlign w:val="center"/>
          </w:tcPr>
          <w:p w14:paraId="6F96F569" w14:textId="1395648A" w:rsidR="009C5E40" w:rsidRPr="00EF01FF" w:rsidRDefault="00DF0CBF" w:rsidP="009C5E40">
            <w:pPr>
              <w:jc w:val="right"/>
              <w:rPr>
                <w:rFonts w:asciiTheme="minorHAnsi" w:hAnsiTheme="minorHAnsi" w:cs="Arial"/>
                <w:bCs/>
                <w:sz w:val="20"/>
                <w:szCs w:val="20"/>
              </w:rPr>
            </w:pPr>
            <w:r>
              <w:rPr>
                <w:rFonts w:ascii="Calibri" w:hAnsi="Calibri" w:cs="Calibri"/>
                <w:color w:val="000000"/>
                <w:sz w:val="20"/>
                <w:szCs w:val="20"/>
              </w:rPr>
              <w:t>0.4</w:t>
            </w:r>
          </w:p>
        </w:tc>
        <w:tc>
          <w:tcPr>
            <w:tcW w:w="435" w:type="pct"/>
            <w:tcBorders>
              <w:top w:val="single" w:sz="4" w:space="0" w:color="auto"/>
            </w:tcBorders>
            <w:vAlign w:val="center"/>
          </w:tcPr>
          <w:p w14:paraId="0D51B136" w14:textId="653EB887" w:rsidR="009C5E40" w:rsidRPr="00EF01FF" w:rsidRDefault="00DF6FF9" w:rsidP="009C5E40">
            <w:pPr>
              <w:jc w:val="right"/>
              <w:rPr>
                <w:rFonts w:asciiTheme="minorHAnsi" w:hAnsiTheme="minorHAnsi" w:cs="Arial"/>
                <w:bCs/>
                <w:sz w:val="20"/>
                <w:szCs w:val="20"/>
              </w:rPr>
            </w:pPr>
            <w:r>
              <w:rPr>
                <w:rFonts w:ascii="Calibri" w:hAnsi="Calibri" w:cs="Calibri"/>
                <w:color w:val="000000"/>
                <w:sz w:val="20"/>
                <w:szCs w:val="20"/>
              </w:rPr>
              <w:t>16.3</w:t>
            </w:r>
          </w:p>
        </w:tc>
      </w:tr>
      <w:tr w:rsidR="009C5E40" w:rsidRPr="00B835E3" w14:paraId="5A5ED5BB" w14:textId="77777777" w:rsidTr="00925514">
        <w:trPr>
          <w:trHeight w:val="230"/>
        </w:trPr>
        <w:tc>
          <w:tcPr>
            <w:tcW w:w="1131" w:type="pct"/>
          </w:tcPr>
          <w:p w14:paraId="416D3312" w14:textId="09E6B533" w:rsidR="009C5E40" w:rsidRDefault="009C5E40" w:rsidP="009C5E40">
            <w:pPr>
              <w:rPr>
                <w:rFonts w:asciiTheme="minorHAnsi" w:hAnsiTheme="minorHAnsi" w:cs="Arial"/>
                <w:sz w:val="20"/>
                <w:szCs w:val="20"/>
                <w:lang w:val="en-US"/>
              </w:rPr>
            </w:pPr>
            <w:r w:rsidRPr="00B97C61">
              <w:rPr>
                <w:rFonts w:asciiTheme="minorHAnsi" w:hAnsiTheme="minorHAnsi" w:cs="Arial"/>
                <w:sz w:val="20"/>
                <w:szCs w:val="20"/>
              </w:rPr>
              <w:t xml:space="preserve">Created in the </w:t>
            </w:r>
            <w:r>
              <w:rPr>
                <w:rFonts w:asciiTheme="minorHAnsi" w:hAnsiTheme="minorHAnsi" w:cs="Arial"/>
                <w:sz w:val="20"/>
                <w:szCs w:val="20"/>
              </w:rPr>
              <w:t>period</w:t>
            </w:r>
          </w:p>
        </w:tc>
        <w:tc>
          <w:tcPr>
            <w:tcW w:w="633" w:type="pct"/>
            <w:vAlign w:val="center"/>
          </w:tcPr>
          <w:p w14:paraId="4B1AE8D2" w14:textId="323A0E4D" w:rsidR="009C5E40" w:rsidRDefault="00CB3526" w:rsidP="009C5E40">
            <w:pPr>
              <w:jc w:val="right"/>
              <w:rPr>
                <w:rFonts w:asciiTheme="minorHAnsi" w:hAnsiTheme="minorHAnsi" w:cs="Arial"/>
                <w:b/>
                <w:sz w:val="20"/>
                <w:szCs w:val="20"/>
              </w:rPr>
            </w:pPr>
            <w:r>
              <w:rPr>
                <w:rFonts w:ascii="Calibri" w:hAnsi="Calibri" w:cs="Calibri"/>
                <w:color w:val="000000"/>
                <w:sz w:val="20"/>
                <w:szCs w:val="20"/>
              </w:rPr>
              <w:t>6.4</w:t>
            </w:r>
          </w:p>
        </w:tc>
        <w:tc>
          <w:tcPr>
            <w:tcW w:w="704" w:type="pct"/>
            <w:vAlign w:val="center"/>
          </w:tcPr>
          <w:p w14:paraId="62629FD2" w14:textId="78437217" w:rsidR="009C5E40" w:rsidRDefault="00CB3526" w:rsidP="009C5E40">
            <w:pPr>
              <w:jc w:val="right"/>
              <w:rPr>
                <w:rFonts w:asciiTheme="minorHAnsi" w:hAnsiTheme="minorHAnsi" w:cs="Arial"/>
                <w:b/>
                <w:bCs/>
                <w:sz w:val="20"/>
                <w:szCs w:val="20"/>
              </w:rPr>
            </w:pPr>
            <w:r>
              <w:rPr>
                <w:rFonts w:ascii="Calibri" w:hAnsi="Calibri" w:cs="Calibri"/>
                <w:color w:val="000000"/>
                <w:sz w:val="20"/>
                <w:szCs w:val="20"/>
              </w:rPr>
              <w:t>1.2</w:t>
            </w:r>
          </w:p>
        </w:tc>
        <w:tc>
          <w:tcPr>
            <w:tcW w:w="633" w:type="pct"/>
            <w:vAlign w:val="center"/>
          </w:tcPr>
          <w:p w14:paraId="7F497C88" w14:textId="4E7CDF8E" w:rsidR="009C5E40" w:rsidRPr="004947AC" w:rsidRDefault="00716391" w:rsidP="009C5E40">
            <w:pPr>
              <w:jc w:val="right"/>
              <w:rPr>
                <w:rFonts w:asciiTheme="minorHAnsi" w:hAnsiTheme="minorHAnsi" w:cs="Arial"/>
                <w:bCs/>
                <w:sz w:val="18"/>
                <w:szCs w:val="18"/>
              </w:rPr>
            </w:pPr>
            <w:r>
              <w:rPr>
                <w:rFonts w:ascii="Calibri" w:hAnsi="Calibri" w:cs="Calibri"/>
                <w:color w:val="000000"/>
                <w:sz w:val="18"/>
                <w:szCs w:val="18"/>
              </w:rPr>
              <w:t>3.7</w:t>
            </w:r>
          </w:p>
        </w:tc>
        <w:tc>
          <w:tcPr>
            <w:tcW w:w="573" w:type="pct"/>
            <w:vAlign w:val="center"/>
          </w:tcPr>
          <w:p w14:paraId="45B1379F" w14:textId="5E9465B4" w:rsidR="009C5E40" w:rsidRPr="004947AC" w:rsidRDefault="009C5E40" w:rsidP="009C5E40">
            <w:pPr>
              <w:jc w:val="right"/>
              <w:rPr>
                <w:rFonts w:asciiTheme="minorHAnsi" w:hAnsiTheme="minorHAnsi" w:cs="Arial"/>
                <w:bCs/>
                <w:sz w:val="20"/>
                <w:szCs w:val="20"/>
              </w:rPr>
            </w:pPr>
            <w:r>
              <w:rPr>
                <w:rFonts w:ascii="Calibri" w:hAnsi="Calibri" w:cs="Calibri"/>
                <w:color w:val="000000"/>
                <w:sz w:val="18"/>
                <w:szCs w:val="18"/>
              </w:rPr>
              <w:t>1.5</w:t>
            </w:r>
          </w:p>
        </w:tc>
        <w:tc>
          <w:tcPr>
            <w:tcW w:w="463" w:type="pct"/>
            <w:vAlign w:val="center"/>
          </w:tcPr>
          <w:p w14:paraId="75FEA865" w14:textId="1F6CAD97" w:rsidR="00925514" w:rsidRDefault="00925514" w:rsidP="00E20AFD">
            <w:pPr>
              <w:jc w:val="right"/>
              <w:rPr>
                <w:rFonts w:ascii="Calibri" w:hAnsi="Calibri" w:cs="Calibri"/>
                <w:color w:val="000000"/>
                <w:sz w:val="20"/>
                <w:szCs w:val="20"/>
              </w:rPr>
            </w:pPr>
            <w:r>
              <w:rPr>
                <w:rFonts w:ascii="Calibri" w:hAnsi="Calibri" w:cs="Calibri"/>
                <w:color w:val="000000"/>
                <w:sz w:val="20"/>
                <w:szCs w:val="20"/>
              </w:rPr>
              <w:t>-</w:t>
            </w:r>
          </w:p>
        </w:tc>
        <w:tc>
          <w:tcPr>
            <w:tcW w:w="428" w:type="pct"/>
            <w:vAlign w:val="center"/>
          </w:tcPr>
          <w:p w14:paraId="7C9A2BD4" w14:textId="27992686" w:rsidR="009C5E40" w:rsidRDefault="00DF0CBF" w:rsidP="009C5E40">
            <w:pPr>
              <w:jc w:val="right"/>
              <w:rPr>
                <w:rFonts w:asciiTheme="minorHAnsi" w:hAnsiTheme="minorHAnsi" w:cs="Arial"/>
                <w:b/>
                <w:sz w:val="20"/>
                <w:szCs w:val="20"/>
              </w:rPr>
            </w:pPr>
            <w:r>
              <w:rPr>
                <w:rFonts w:ascii="Calibri" w:hAnsi="Calibri" w:cs="Calibri"/>
                <w:color w:val="000000"/>
                <w:sz w:val="20"/>
                <w:szCs w:val="20"/>
              </w:rPr>
              <w:t>-</w:t>
            </w:r>
          </w:p>
        </w:tc>
        <w:tc>
          <w:tcPr>
            <w:tcW w:w="435" w:type="pct"/>
            <w:vAlign w:val="center"/>
          </w:tcPr>
          <w:p w14:paraId="41905D7A" w14:textId="3967B7A6" w:rsidR="009C5E40" w:rsidRPr="006D4208" w:rsidRDefault="00DF6FF9" w:rsidP="009C5E40">
            <w:pPr>
              <w:jc w:val="right"/>
              <w:rPr>
                <w:rFonts w:asciiTheme="minorHAnsi" w:hAnsiTheme="minorHAnsi" w:cs="Arial"/>
                <w:b/>
                <w:sz w:val="20"/>
                <w:szCs w:val="20"/>
              </w:rPr>
            </w:pPr>
            <w:r>
              <w:rPr>
                <w:rFonts w:ascii="Calibri" w:hAnsi="Calibri" w:cs="Calibri"/>
                <w:color w:val="000000"/>
                <w:sz w:val="20"/>
                <w:szCs w:val="20"/>
              </w:rPr>
              <w:t>12.8</w:t>
            </w:r>
          </w:p>
        </w:tc>
      </w:tr>
      <w:tr w:rsidR="009C5E40" w:rsidRPr="00B835E3" w14:paraId="053BF7FF" w14:textId="77777777" w:rsidTr="00925514">
        <w:trPr>
          <w:trHeight w:val="230"/>
        </w:trPr>
        <w:tc>
          <w:tcPr>
            <w:tcW w:w="1131" w:type="pct"/>
          </w:tcPr>
          <w:p w14:paraId="50188437" w14:textId="72C2286F" w:rsidR="009C5E40" w:rsidRDefault="009C5E40" w:rsidP="009C5E40">
            <w:pPr>
              <w:rPr>
                <w:rFonts w:asciiTheme="minorHAnsi" w:hAnsiTheme="minorHAnsi" w:cs="Arial"/>
                <w:sz w:val="20"/>
                <w:szCs w:val="20"/>
                <w:lang w:val="en-US"/>
              </w:rPr>
            </w:pPr>
            <w:r w:rsidRPr="00B97C61">
              <w:rPr>
                <w:rFonts w:asciiTheme="minorHAnsi" w:hAnsiTheme="minorHAnsi" w:cs="Arial"/>
                <w:sz w:val="20"/>
                <w:szCs w:val="20"/>
              </w:rPr>
              <w:t xml:space="preserve">Reclassified in the </w:t>
            </w:r>
            <w:r>
              <w:rPr>
                <w:rFonts w:asciiTheme="minorHAnsi" w:hAnsiTheme="minorHAnsi" w:cs="Arial"/>
                <w:sz w:val="20"/>
                <w:szCs w:val="20"/>
              </w:rPr>
              <w:t>period</w:t>
            </w:r>
          </w:p>
        </w:tc>
        <w:tc>
          <w:tcPr>
            <w:tcW w:w="633" w:type="pct"/>
            <w:vAlign w:val="center"/>
          </w:tcPr>
          <w:p w14:paraId="0E858B59" w14:textId="5AFD3465" w:rsidR="009C5E40" w:rsidRDefault="00CB3526" w:rsidP="009C5E40">
            <w:pPr>
              <w:jc w:val="right"/>
              <w:rPr>
                <w:rFonts w:asciiTheme="minorHAnsi" w:hAnsiTheme="minorHAnsi" w:cs="Arial"/>
                <w:b/>
                <w:sz w:val="20"/>
                <w:szCs w:val="20"/>
              </w:rPr>
            </w:pPr>
            <w:r>
              <w:rPr>
                <w:rFonts w:ascii="Calibri" w:hAnsi="Calibri" w:cs="Calibri"/>
                <w:color w:val="000000"/>
                <w:sz w:val="20"/>
                <w:szCs w:val="20"/>
              </w:rPr>
              <w:t>-</w:t>
            </w:r>
          </w:p>
        </w:tc>
        <w:tc>
          <w:tcPr>
            <w:tcW w:w="704" w:type="pct"/>
            <w:vAlign w:val="center"/>
          </w:tcPr>
          <w:p w14:paraId="343F97B8" w14:textId="3ECFDF68" w:rsidR="009C5E40" w:rsidRDefault="00CB3526" w:rsidP="009C5E40">
            <w:pPr>
              <w:jc w:val="right"/>
              <w:rPr>
                <w:rFonts w:asciiTheme="minorHAnsi" w:hAnsiTheme="minorHAnsi" w:cs="Arial"/>
                <w:b/>
                <w:bCs/>
                <w:sz w:val="20"/>
                <w:szCs w:val="20"/>
              </w:rPr>
            </w:pPr>
            <w:r>
              <w:rPr>
                <w:rFonts w:ascii="Calibri" w:hAnsi="Calibri" w:cs="Calibri"/>
                <w:color w:val="000000"/>
                <w:sz w:val="20"/>
                <w:szCs w:val="20"/>
              </w:rPr>
              <w:t>-</w:t>
            </w:r>
          </w:p>
        </w:tc>
        <w:tc>
          <w:tcPr>
            <w:tcW w:w="633" w:type="pct"/>
            <w:vAlign w:val="center"/>
          </w:tcPr>
          <w:p w14:paraId="040014B8" w14:textId="47BA7505" w:rsidR="009C5E40" w:rsidRPr="004947AC" w:rsidRDefault="00716391" w:rsidP="009C5E40">
            <w:pPr>
              <w:jc w:val="right"/>
              <w:rPr>
                <w:rFonts w:asciiTheme="minorHAnsi" w:hAnsiTheme="minorHAnsi" w:cs="Arial"/>
                <w:bCs/>
                <w:sz w:val="18"/>
                <w:szCs w:val="18"/>
              </w:rPr>
            </w:pPr>
            <w:r>
              <w:rPr>
                <w:rFonts w:ascii="Calibri" w:hAnsi="Calibri" w:cs="Calibri"/>
                <w:color w:val="000000"/>
                <w:sz w:val="18"/>
                <w:szCs w:val="18"/>
              </w:rPr>
              <w:t>-</w:t>
            </w:r>
          </w:p>
        </w:tc>
        <w:tc>
          <w:tcPr>
            <w:tcW w:w="573" w:type="pct"/>
            <w:vAlign w:val="center"/>
          </w:tcPr>
          <w:p w14:paraId="56647D81" w14:textId="42417ED2" w:rsidR="009C5E40" w:rsidRPr="004947AC" w:rsidRDefault="009C5E40" w:rsidP="009C5E40">
            <w:pPr>
              <w:jc w:val="right"/>
              <w:rPr>
                <w:rFonts w:asciiTheme="minorHAnsi" w:hAnsiTheme="minorHAnsi" w:cs="Arial"/>
                <w:bCs/>
                <w:sz w:val="20"/>
                <w:szCs w:val="20"/>
              </w:rPr>
            </w:pPr>
            <w:r>
              <w:rPr>
                <w:rFonts w:ascii="Calibri" w:hAnsi="Calibri" w:cs="Calibri"/>
                <w:color w:val="000000"/>
                <w:sz w:val="18"/>
                <w:szCs w:val="18"/>
              </w:rPr>
              <w:t>(1.4)</w:t>
            </w:r>
          </w:p>
        </w:tc>
        <w:tc>
          <w:tcPr>
            <w:tcW w:w="463" w:type="pct"/>
            <w:vAlign w:val="center"/>
          </w:tcPr>
          <w:p w14:paraId="527C12BD" w14:textId="274C3DAB" w:rsidR="00925514" w:rsidRDefault="00925514" w:rsidP="00E20AFD">
            <w:pPr>
              <w:jc w:val="right"/>
              <w:rPr>
                <w:rFonts w:ascii="Calibri" w:hAnsi="Calibri" w:cs="Calibri"/>
                <w:color w:val="000000"/>
                <w:sz w:val="20"/>
                <w:szCs w:val="20"/>
              </w:rPr>
            </w:pPr>
            <w:r>
              <w:rPr>
                <w:rFonts w:ascii="Calibri" w:hAnsi="Calibri" w:cs="Calibri"/>
                <w:color w:val="000000"/>
                <w:sz w:val="20"/>
                <w:szCs w:val="20"/>
              </w:rPr>
              <w:t>-</w:t>
            </w:r>
          </w:p>
        </w:tc>
        <w:tc>
          <w:tcPr>
            <w:tcW w:w="428" w:type="pct"/>
            <w:vAlign w:val="center"/>
          </w:tcPr>
          <w:p w14:paraId="06AC4524" w14:textId="57280B4B" w:rsidR="009C5E40" w:rsidRDefault="00DF0CBF" w:rsidP="009C5E40">
            <w:pPr>
              <w:jc w:val="right"/>
              <w:rPr>
                <w:rFonts w:asciiTheme="minorHAnsi" w:hAnsiTheme="minorHAnsi" w:cs="Arial"/>
                <w:b/>
                <w:sz w:val="20"/>
                <w:szCs w:val="20"/>
              </w:rPr>
            </w:pPr>
            <w:r>
              <w:rPr>
                <w:rFonts w:ascii="Calibri" w:hAnsi="Calibri" w:cs="Calibri"/>
                <w:color w:val="000000"/>
                <w:sz w:val="20"/>
                <w:szCs w:val="20"/>
              </w:rPr>
              <w:t>-</w:t>
            </w:r>
          </w:p>
        </w:tc>
        <w:tc>
          <w:tcPr>
            <w:tcW w:w="435" w:type="pct"/>
            <w:vAlign w:val="center"/>
          </w:tcPr>
          <w:p w14:paraId="19E51AA5" w14:textId="36462B37" w:rsidR="009C5E40" w:rsidRPr="006D4208" w:rsidRDefault="00DF6FF9" w:rsidP="009C5E40">
            <w:pPr>
              <w:jc w:val="right"/>
              <w:rPr>
                <w:rFonts w:asciiTheme="minorHAnsi" w:hAnsiTheme="minorHAnsi" w:cs="Arial"/>
                <w:b/>
                <w:sz w:val="20"/>
                <w:szCs w:val="20"/>
              </w:rPr>
            </w:pPr>
            <w:r>
              <w:rPr>
                <w:rFonts w:ascii="Calibri" w:hAnsi="Calibri" w:cs="Calibri"/>
                <w:color w:val="000000"/>
                <w:sz w:val="20"/>
                <w:szCs w:val="20"/>
              </w:rPr>
              <w:t>(1.4)</w:t>
            </w:r>
          </w:p>
        </w:tc>
      </w:tr>
      <w:tr w:rsidR="009C5E40" w:rsidRPr="00B835E3" w14:paraId="2D275FBB" w14:textId="77777777" w:rsidTr="00925514">
        <w:trPr>
          <w:trHeight w:val="230"/>
        </w:trPr>
        <w:tc>
          <w:tcPr>
            <w:tcW w:w="1131" w:type="pct"/>
          </w:tcPr>
          <w:p w14:paraId="46611509" w14:textId="1D963265" w:rsidR="009C5E40" w:rsidRDefault="009C5E40" w:rsidP="009C5E40">
            <w:pPr>
              <w:rPr>
                <w:rFonts w:asciiTheme="minorHAnsi" w:hAnsiTheme="minorHAnsi" w:cs="Arial"/>
                <w:sz w:val="20"/>
                <w:szCs w:val="20"/>
                <w:lang w:val="en-US"/>
              </w:rPr>
            </w:pPr>
            <w:r w:rsidRPr="00B97C61">
              <w:rPr>
                <w:rFonts w:asciiTheme="minorHAnsi" w:hAnsiTheme="minorHAnsi" w:cs="Arial"/>
                <w:sz w:val="20"/>
                <w:szCs w:val="20"/>
              </w:rPr>
              <w:t xml:space="preserve">Utilised in the </w:t>
            </w:r>
            <w:r>
              <w:rPr>
                <w:rFonts w:asciiTheme="minorHAnsi" w:hAnsiTheme="minorHAnsi" w:cs="Arial"/>
                <w:sz w:val="20"/>
                <w:szCs w:val="20"/>
              </w:rPr>
              <w:t>period</w:t>
            </w:r>
          </w:p>
        </w:tc>
        <w:tc>
          <w:tcPr>
            <w:tcW w:w="633" w:type="pct"/>
            <w:vAlign w:val="center"/>
          </w:tcPr>
          <w:p w14:paraId="25BF59C0" w14:textId="3CF4B732" w:rsidR="009C5E40" w:rsidRDefault="00CB3526" w:rsidP="009C5E40">
            <w:pPr>
              <w:jc w:val="right"/>
              <w:rPr>
                <w:rFonts w:asciiTheme="minorHAnsi" w:hAnsiTheme="minorHAnsi" w:cs="Arial"/>
                <w:b/>
                <w:sz w:val="20"/>
                <w:szCs w:val="20"/>
              </w:rPr>
            </w:pPr>
            <w:r>
              <w:rPr>
                <w:rFonts w:ascii="Calibri" w:hAnsi="Calibri" w:cs="Calibri"/>
                <w:color w:val="000000"/>
                <w:sz w:val="20"/>
                <w:szCs w:val="20"/>
              </w:rPr>
              <w:t>(7.2)</w:t>
            </w:r>
          </w:p>
        </w:tc>
        <w:tc>
          <w:tcPr>
            <w:tcW w:w="704" w:type="pct"/>
            <w:vAlign w:val="center"/>
          </w:tcPr>
          <w:p w14:paraId="38E2D8F1" w14:textId="1324C751" w:rsidR="009C5E40" w:rsidRDefault="00CB3526" w:rsidP="009C5E40">
            <w:pPr>
              <w:jc w:val="right"/>
              <w:rPr>
                <w:rFonts w:asciiTheme="minorHAnsi" w:hAnsiTheme="minorHAnsi" w:cs="Arial"/>
                <w:b/>
                <w:bCs/>
                <w:sz w:val="20"/>
                <w:szCs w:val="20"/>
              </w:rPr>
            </w:pPr>
            <w:r>
              <w:rPr>
                <w:rFonts w:ascii="Calibri" w:hAnsi="Calibri" w:cs="Calibri"/>
                <w:color w:val="000000"/>
                <w:sz w:val="20"/>
                <w:szCs w:val="20"/>
              </w:rPr>
              <w:t>-</w:t>
            </w:r>
          </w:p>
        </w:tc>
        <w:tc>
          <w:tcPr>
            <w:tcW w:w="633" w:type="pct"/>
            <w:vAlign w:val="center"/>
          </w:tcPr>
          <w:p w14:paraId="292B3248" w14:textId="04FF3337" w:rsidR="009C5E40" w:rsidRPr="004947AC" w:rsidRDefault="00716391" w:rsidP="009C5E40">
            <w:pPr>
              <w:jc w:val="right"/>
              <w:rPr>
                <w:rFonts w:asciiTheme="minorHAnsi" w:hAnsiTheme="minorHAnsi" w:cs="Arial"/>
                <w:bCs/>
                <w:sz w:val="18"/>
                <w:szCs w:val="18"/>
              </w:rPr>
            </w:pPr>
            <w:r>
              <w:rPr>
                <w:rFonts w:ascii="Calibri" w:hAnsi="Calibri" w:cs="Calibri"/>
                <w:color w:val="000000"/>
                <w:sz w:val="18"/>
                <w:szCs w:val="18"/>
              </w:rPr>
              <w:t>(4.9)</w:t>
            </w:r>
          </w:p>
        </w:tc>
        <w:tc>
          <w:tcPr>
            <w:tcW w:w="573" w:type="pct"/>
            <w:vAlign w:val="center"/>
          </w:tcPr>
          <w:p w14:paraId="4DEDB49F" w14:textId="3E215EE1" w:rsidR="009C5E40" w:rsidRPr="004947AC" w:rsidRDefault="009C5E40" w:rsidP="009C5E40">
            <w:pPr>
              <w:jc w:val="right"/>
              <w:rPr>
                <w:rFonts w:asciiTheme="minorHAnsi" w:hAnsiTheme="minorHAnsi" w:cs="Arial"/>
                <w:bCs/>
                <w:sz w:val="20"/>
                <w:szCs w:val="20"/>
              </w:rPr>
            </w:pPr>
            <w:r>
              <w:rPr>
                <w:rFonts w:ascii="Calibri" w:hAnsi="Calibri" w:cs="Calibri"/>
                <w:color w:val="000000"/>
                <w:sz w:val="20"/>
                <w:szCs w:val="20"/>
              </w:rPr>
              <w:t>-</w:t>
            </w:r>
          </w:p>
        </w:tc>
        <w:tc>
          <w:tcPr>
            <w:tcW w:w="463" w:type="pct"/>
            <w:vAlign w:val="center"/>
          </w:tcPr>
          <w:p w14:paraId="092FC0C9" w14:textId="32E68B5C" w:rsidR="00925514" w:rsidRDefault="00925514" w:rsidP="00E20AFD">
            <w:pPr>
              <w:jc w:val="right"/>
              <w:rPr>
                <w:rFonts w:ascii="Calibri" w:hAnsi="Calibri" w:cs="Calibri"/>
                <w:color w:val="000000"/>
                <w:sz w:val="20"/>
                <w:szCs w:val="20"/>
              </w:rPr>
            </w:pPr>
            <w:r>
              <w:rPr>
                <w:rFonts w:ascii="Calibri" w:hAnsi="Calibri" w:cs="Calibri"/>
                <w:color w:val="000000"/>
                <w:sz w:val="20"/>
                <w:szCs w:val="20"/>
              </w:rPr>
              <w:t>-</w:t>
            </w:r>
          </w:p>
        </w:tc>
        <w:tc>
          <w:tcPr>
            <w:tcW w:w="428" w:type="pct"/>
            <w:vAlign w:val="center"/>
          </w:tcPr>
          <w:p w14:paraId="71A9663F" w14:textId="39F9F51D" w:rsidR="009C5E40" w:rsidRDefault="00FF27B1" w:rsidP="009C5E40">
            <w:pPr>
              <w:jc w:val="right"/>
              <w:rPr>
                <w:rFonts w:asciiTheme="minorHAnsi" w:hAnsiTheme="minorHAnsi" w:cs="Arial"/>
                <w:b/>
                <w:sz w:val="20"/>
                <w:szCs w:val="20"/>
              </w:rPr>
            </w:pPr>
            <w:r>
              <w:rPr>
                <w:rFonts w:ascii="Calibri" w:hAnsi="Calibri" w:cs="Calibri"/>
                <w:color w:val="000000"/>
                <w:sz w:val="20"/>
                <w:szCs w:val="20"/>
              </w:rPr>
              <w:t>-</w:t>
            </w:r>
          </w:p>
        </w:tc>
        <w:tc>
          <w:tcPr>
            <w:tcW w:w="435" w:type="pct"/>
            <w:vAlign w:val="center"/>
          </w:tcPr>
          <w:p w14:paraId="0AC470C8" w14:textId="6D2F238B" w:rsidR="009C5E40" w:rsidRPr="006D4208" w:rsidRDefault="00DF6FF9" w:rsidP="009C5E40">
            <w:pPr>
              <w:jc w:val="right"/>
              <w:rPr>
                <w:rFonts w:asciiTheme="minorHAnsi" w:hAnsiTheme="minorHAnsi" w:cs="Arial"/>
                <w:b/>
                <w:sz w:val="20"/>
                <w:szCs w:val="20"/>
              </w:rPr>
            </w:pPr>
            <w:r>
              <w:rPr>
                <w:rFonts w:ascii="Calibri" w:hAnsi="Calibri" w:cs="Calibri"/>
                <w:color w:val="000000"/>
                <w:sz w:val="20"/>
                <w:szCs w:val="20"/>
              </w:rPr>
              <w:t>(12.</w:t>
            </w:r>
            <w:r w:rsidR="00FF27B1">
              <w:rPr>
                <w:rFonts w:ascii="Calibri" w:hAnsi="Calibri" w:cs="Calibri"/>
                <w:color w:val="000000"/>
                <w:sz w:val="20"/>
                <w:szCs w:val="20"/>
              </w:rPr>
              <w:t>1</w:t>
            </w:r>
            <w:r>
              <w:rPr>
                <w:rFonts w:ascii="Calibri" w:hAnsi="Calibri" w:cs="Calibri"/>
                <w:color w:val="000000"/>
                <w:sz w:val="20"/>
                <w:szCs w:val="20"/>
              </w:rPr>
              <w:t>)</w:t>
            </w:r>
          </w:p>
        </w:tc>
      </w:tr>
      <w:tr w:rsidR="009C5E40" w:rsidRPr="00B835E3" w14:paraId="7D30EA48" w14:textId="77777777" w:rsidTr="00925514">
        <w:trPr>
          <w:trHeight w:val="230"/>
        </w:trPr>
        <w:tc>
          <w:tcPr>
            <w:tcW w:w="1131" w:type="pct"/>
          </w:tcPr>
          <w:p w14:paraId="4989A681" w14:textId="26182123" w:rsidR="009C5E40" w:rsidRDefault="009C5E40" w:rsidP="009C5E40">
            <w:pPr>
              <w:rPr>
                <w:rFonts w:asciiTheme="minorHAnsi" w:hAnsiTheme="minorHAnsi" w:cs="Arial"/>
                <w:sz w:val="20"/>
                <w:szCs w:val="20"/>
                <w:lang w:val="en-US"/>
              </w:rPr>
            </w:pPr>
            <w:r w:rsidRPr="00B97C61">
              <w:rPr>
                <w:rFonts w:asciiTheme="minorHAnsi" w:hAnsiTheme="minorHAnsi" w:cs="Arial"/>
                <w:sz w:val="20"/>
                <w:szCs w:val="20"/>
              </w:rPr>
              <w:t xml:space="preserve">Released in the </w:t>
            </w:r>
            <w:r>
              <w:rPr>
                <w:rFonts w:asciiTheme="minorHAnsi" w:hAnsiTheme="minorHAnsi" w:cs="Arial"/>
                <w:sz w:val="20"/>
                <w:szCs w:val="20"/>
              </w:rPr>
              <w:t>period</w:t>
            </w:r>
          </w:p>
        </w:tc>
        <w:tc>
          <w:tcPr>
            <w:tcW w:w="633" w:type="pct"/>
            <w:tcBorders>
              <w:bottom w:val="single" w:sz="4" w:space="0" w:color="auto"/>
            </w:tcBorders>
            <w:vAlign w:val="center"/>
          </w:tcPr>
          <w:p w14:paraId="7336D818" w14:textId="00E6BBF5" w:rsidR="009C5E40" w:rsidRDefault="00CB3526" w:rsidP="009C5E40">
            <w:pPr>
              <w:jc w:val="right"/>
              <w:rPr>
                <w:rFonts w:asciiTheme="minorHAnsi" w:hAnsiTheme="minorHAnsi" w:cs="Arial"/>
                <w:b/>
                <w:sz w:val="20"/>
                <w:szCs w:val="20"/>
              </w:rPr>
            </w:pPr>
            <w:r>
              <w:rPr>
                <w:rFonts w:ascii="Calibri" w:hAnsi="Calibri" w:cs="Calibri"/>
                <w:color w:val="000000"/>
                <w:sz w:val="20"/>
                <w:szCs w:val="20"/>
              </w:rPr>
              <w:t>-</w:t>
            </w:r>
          </w:p>
        </w:tc>
        <w:tc>
          <w:tcPr>
            <w:tcW w:w="704" w:type="pct"/>
            <w:tcBorders>
              <w:bottom w:val="single" w:sz="4" w:space="0" w:color="auto"/>
            </w:tcBorders>
            <w:vAlign w:val="center"/>
          </w:tcPr>
          <w:p w14:paraId="1A0D0B14" w14:textId="2EC5439A" w:rsidR="009C5E40" w:rsidRDefault="00CB3526" w:rsidP="009C5E40">
            <w:pPr>
              <w:jc w:val="right"/>
              <w:rPr>
                <w:rFonts w:asciiTheme="minorHAnsi" w:hAnsiTheme="minorHAnsi" w:cs="Arial"/>
                <w:b/>
                <w:bCs/>
                <w:sz w:val="20"/>
                <w:szCs w:val="20"/>
              </w:rPr>
            </w:pPr>
            <w:r>
              <w:rPr>
                <w:rFonts w:ascii="Calibri" w:hAnsi="Calibri" w:cs="Calibri"/>
                <w:color w:val="000000"/>
                <w:sz w:val="20"/>
                <w:szCs w:val="20"/>
              </w:rPr>
              <w:t>-</w:t>
            </w:r>
          </w:p>
        </w:tc>
        <w:tc>
          <w:tcPr>
            <w:tcW w:w="633" w:type="pct"/>
            <w:tcBorders>
              <w:bottom w:val="single" w:sz="4" w:space="0" w:color="auto"/>
            </w:tcBorders>
            <w:vAlign w:val="center"/>
          </w:tcPr>
          <w:p w14:paraId="0F788FC7" w14:textId="60BF3B1E" w:rsidR="009C5E40" w:rsidRPr="004947AC" w:rsidRDefault="00716391" w:rsidP="009C5E40">
            <w:pPr>
              <w:jc w:val="right"/>
              <w:rPr>
                <w:rFonts w:asciiTheme="minorHAnsi" w:hAnsiTheme="minorHAnsi" w:cs="Arial"/>
                <w:bCs/>
                <w:sz w:val="18"/>
                <w:szCs w:val="18"/>
              </w:rPr>
            </w:pPr>
            <w:r>
              <w:rPr>
                <w:rFonts w:ascii="Calibri" w:hAnsi="Calibri" w:cs="Calibri"/>
                <w:color w:val="000000"/>
                <w:sz w:val="20"/>
                <w:szCs w:val="20"/>
              </w:rPr>
              <w:t>-</w:t>
            </w:r>
          </w:p>
        </w:tc>
        <w:tc>
          <w:tcPr>
            <w:tcW w:w="573" w:type="pct"/>
            <w:tcBorders>
              <w:bottom w:val="single" w:sz="4" w:space="0" w:color="auto"/>
            </w:tcBorders>
            <w:vAlign w:val="center"/>
          </w:tcPr>
          <w:p w14:paraId="6129E05D" w14:textId="2CA5A5A2" w:rsidR="009C5E40" w:rsidRPr="004947AC" w:rsidRDefault="009C5E40" w:rsidP="009C5E40">
            <w:pPr>
              <w:jc w:val="right"/>
              <w:rPr>
                <w:rFonts w:asciiTheme="minorHAnsi" w:hAnsiTheme="minorHAnsi" w:cs="Arial"/>
                <w:bCs/>
                <w:sz w:val="20"/>
                <w:szCs w:val="20"/>
              </w:rPr>
            </w:pPr>
            <w:r>
              <w:rPr>
                <w:rFonts w:ascii="Calibri" w:hAnsi="Calibri" w:cs="Calibri"/>
                <w:color w:val="000000"/>
                <w:sz w:val="20"/>
                <w:szCs w:val="20"/>
              </w:rPr>
              <w:t>(0.1)</w:t>
            </w:r>
          </w:p>
        </w:tc>
        <w:tc>
          <w:tcPr>
            <w:tcW w:w="463" w:type="pct"/>
            <w:tcBorders>
              <w:bottom w:val="single" w:sz="4" w:space="0" w:color="auto"/>
            </w:tcBorders>
            <w:vAlign w:val="center"/>
          </w:tcPr>
          <w:p w14:paraId="42828C10" w14:textId="517D11C7" w:rsidR="00925514" w:rsidRDefault="00925514" w:rsidP="00E20AFD">
            <w:pPr>
              <w:jc w:val="right"/>
              <w:rPr>
                <w:rFonts w:ascii="Calibri" w:hAnsi="Calibri" w:cs="Calibri"/>
                <w:color w:val="000000"/>
                <w:sz w:val="20"/>
                <w:szCs w:val="20"/>
              </w:rPr>
            </w:pPr>
            <w:r>
              <w:rPr>
                <w:rFonts w:ascii="Calibri" w:hAnsi="Calibri" w:cs="Calibri"/>
                <w:color w:val="000000"/>
                <w:sz w:val="20"/>
                <w:szCs w:val="20"/>
              </w:rPr>
              <w:t>-</w:t>
            </w:r>
          </w:p>
        </w:tc>
        <w:tc>
          <w:tcPr>
            <w:tcW w:w="428" w:type="pct"/>
            <w:tcBorders>
              <w:bottom w:val="single" w:sz="4" w:space="0" w:color="auto"/>
            </w:tcBorders>
            <w:vAlign w:val="center"/>
          </w:tcPr>
          <w:p w14:paraId="016EC993" w14:textId="5764817F" w:rsidR="009C5E40" w:rsidRDefault="00FF27B1" w:rsidP="009C5E40">
            <w:pPr>
              <w:jc w:val="right"/>
              <w:rPr>
                <w:rFonts w:asciiTheme="minorHAnsi" w:hAnsiTheme="minorHAnsi" w:cs="Arial"/>
                <w:b/>
                <w:sz w:val="20"/>
                <w:szCs w:val="20"/>
              </w:rPr>
            </w:pPr>
            <w:r>
              <w:rPr>
                <w:rFonts w:ascii="Calibri" w:hAnsi="Calibri" w:cs="Calibri"/>
                <w:color w:val="000000"/>
                <w:sz w:val="20"/>
                <w:szCs w:val="20"/>
              </w:rPr>
              <w:t>-</w:t>
            </w:r>
          </w:p>
        </w:tc>
        <w:tc>
          <w:tcPr>
            <w:tcW w:w="435" w:type="pct"/>
            <w:tcBorders>
              <w:bottom w:val="single" w:sz="4" w:space="0" w:color="auto"/>
            </w:tcBorders>
            <w:vAlign w:val="center"/>
          </w:tcPr>
          <w:p w14:paraId="1237AE93" w14:textId="79CE3DC7" w:rsidR="009C5E40" w:rsidRPr="00FF27B1" w:rsidRDefault="00FF27B1" w:rsidP="009C5E40">
            <w:pPr>
              <w:jc w:val="right"/>
              <w:rPr>
                <w:rFonts w:asciiTheme="minorHAnsi" w:hAnsiTheme="minorHAnsi" w:cs="Arial"/>
                <w:sz w:val="20"/>
                <w:szCs w:val="20"/>
              </w:rPr>
            </w:pPr>
            <w:r w:rsidRPr="00FF27B1">
              <w:rPr>
                <w:rFonts w:asciiTheme="minorHAnsi" w:hAnsiTheme="minorHAnsi" w:cs="Arial"/>
                <w:bCs/>
                <w:sz w:val="20"/>
                <w:szCs w:val="20"/>
              </w:rPr>
              <w:t>(0.1)</w:t>
            </w:r>
          </w:p>
        </w:tc>
      </w:tr>
      <w:tr w:rsidR="009C5E40" w:rsidRPr="00B835E3" w14:paraId="4CB624FA" w14:textId="77777777" w:rsidTr="00925514">
        <w:trPr>
          <w:trHeight w:val="230"/>
        </w:trPr>
        <w:tc>
          <w:tcPr>
            <w:tcW w:w="1131" w:type="pct"/>
          </w:tcPr>
          <w:p w14:paraId="568A46CB" w14:textId="78CD0378" w:rsidR="009C5E40" w:rsidRDefault="009C5E40" w:rsidP="009C5E40">
            <w:pPr>
              <w:rPr>
                <w:rFonts w:asciiTheme="minorHAnsi" w:hAnsiTheme="minorHAnsi" w:cs="Arial"/>
                <w:sz w:val="20"/>
                <w:szCs w:val="20"/>
                <w:lang w:val="en-US"/>
              </w:rPr>
            </w:pPr>
            <w:r>
              <w:rPr>
                <w:rFonts w:asciiTheme="minorHAnsi" w:hAnsiTheme="minorHAnsi" w:cs="Arial"/>
                <w:sz w:val="20"/>
                <w:szCs w:val="20"/>
                <w:lang w:val="en-US"/>
              </w:rPr>
              <w:t>At 31 December 2024</w:t>
            </w:r>
            <w:r w:rsidR="00925514">
              <w:rPr>
                <w:rFonts w:asciiTheme="minorHAnsi" w:hAnsiTheme="minorHAnsi" w:cs="Arial"/>
                <w:sz w:val="20"/>
                <w:szCs w:val="20"/>
                <w:lang w:val="en-US"/>
              </w:rPr>
              <w:t xml:space="preserve"> </w:t>
            </w:r>
            <w:r w:rsidR="00881EFC">
              <w:rPr>
                <w:rFonts w:asciiTheme="minorHAnsi" w:hAnsiTheme="minorHAnsi" w:cs="Arial"/>
                <w:sz w:val="20"/>
                <w:szCs w:val="20"/>
                <w:lang w:val="en-US"/>
              </w:rPr>
              <w:t>(</w:t>
            </w:r>
            <w:r w:rsidR="00925514">
              <w:rPr>
                <w:rFonts w:asciiTheme="minorHAnsi" w:hAnsiTheme="minorHAnsi" w:cs="Arial"/>
                <w:sz w:val="20"/>
                <w:szCs w:val="20"/>
                <w:lang w:val="en-US"/>
              </w:rPr>
              <w:t>audited</w:t>
            </w:r>
            <w:r w:rsidR="00881EFC">
              <w:rPr>
                <w:rFonts w:asciiTheme="minorHAnsi" w:hAnsiTheme="minorHAnsi" w:cs="Arial"/>
                <w:sz w:val="20"/>
                <w:szCs w:val="20"/>
                <w:lang w:val="en-US"/>
              </w:rPr>
              <w:t>)</w:t>
            </w:r>
          </w:p>
        </w:tc>
        <w:tc>
          <w:tcPr>
            <w:tcW w:w="633" w:type="pct"/>
            <w:tcBorders>
              <w:top w:val="single" w:sz="4" w:space="0" w:color="auto"/>
              <w:bottom w:val="single" w:sz="4" w:space="0" w:color="auto"/>
            </w:tcBorders>
            <w:vAlign w:val="center"/>
          </w:tcPr>
          <w:p w14:paraId="2721E122" w14:textId="3B171F86" w:rsidR="009C5E40" w:rsidRPr="00D0154D" w:rsidRDefault="00CB3526" w:rsidP="009C5E40">
            <w:pPr>
              <w:jc w:val="right"/>
              <w:rPr>
                <w:rFonts w:asciiTheme="minorHAnsi" w:hAnsiTheme="minorHAnsi" w:cs="Arial"/>
                <w:b/>
                <w:bCs/>
                <w:sz w:val="20"/>
                <w:szCs w:val="20"/>
              </w:rPr>
            </w:pPr>
            <w:r>
              <w:rPr>
                <w:rFonts w:ascii="Calibri" w:hAnsi="Calibri" w:cs="Calibri"/>
                <w:color w:val="000000"/>
                <w:sz w:val="20"/>
                <w:szCs w:val="20"/>
              </w:rPr>
              <w:t>7.4</w:t>
            </w:r>
          </w:p>
        </w:tc>
        <w:tc>
          <w:tcPr>
            <w:tcW w:w="704" w:type="pct"/>
            <w:tcBorders>
              <w:top w:val="single" w:sz="4" w:space="0" w:color="auto"/>
              <w:bottom w:val="single" w:sz="4" w:space="0" w:color="auto"/>
            </w:tcBorders>
            <w:vAlign w:val="center"/>
          </w:tcPr>
          <w:p w14:paraId="59C69F74" w14:textId="01211B45" w:rsidR="009C5E40" w:rsidRPr="00D0154D" w:rsidRDefault="00CB3526" w:rsidP="009C5E40">
            <w:pPr>
              <w:jc w:val="right"/>
              <w:rPr>
                <w:rFonts w:asciiTheme="minorHAnsi" w:hAnsiTheme="minorHAnsi" w:cs="Arial"/>
                <w:b/>
                <w:bCs/>
                <w:sz w:val="20"/>
                <w:szCs w:val="20"/>
              </w:rPr>
            </w:pPr>
            <w:r>
              <w:rPr>
                <w:rFonts w:ascii="Calibri" w:hAnsi="Calibri" w:cs="Calibri"/>
                <w:color w:val="000000"/>
                <w:sz w:val="20"/>
                <w:szCs w:val="20"/>
              </w:rPr>
              <w:t>6.4</w:t>
            </w:r>
          </w:p>
        </w:tc>
        <w:tc>
          <w:tcPr>
            <w:tcW w:w="633" w:type="pct"/>
            <w:tcBorders>
              <w:top w:val="single" w:sz="4" w:space="0" w:color="auto"/>
              <w:bottom w:val="single" w:sz="4" w:space="0" w:color="auto"/>
            </w:tcBorders>
            <w:vAlign w:val="center"/>
          </w:tcPr>
          <w:p w14:paraId="02E36592" w14:textId="6E1FD365" w:rsidR="009C5E40" w:rsidRPr="00D0154D" w:rsidRDefault="00716391" w:rsidP="009C5E40">
            <w:pPr>
              <w:jc w:val="right"/>
              <w:rPr>
                <w:rFonts w:asciiTheme="minorHAnsi" w:hAnsiTheme="minorHAnsi" w:cs="Arial"/>
                <w:b/>
                <w:bCs/>
                <w:sz w:val="18"/>
                <w:szCs w:val="18"/>
              </w:rPr>
            </w:pPr>
            <w:r>
              <w:rPr>
                <w:rFonts w:ascii="Calibri" w:hAnsi="Calibri" w:cs="Calibri"/>
                <w:color w:val="000000"/>
                <w:sz w:val="20"/>
                <w:szCs w:val="20"/>
              </w:rPr>
              <w:t>1.3</w:t>
            </w:r>
          </w:p>
        </w:tc>
        <w:tc>
          <w:tcPr>
            <w:tcW w:w="573" w:type="pct"/>
            <w:tcBorders>
              <w:top w:val="single" w:sz="4" w:space="0" w:color="auto"/>
              <w:bottom w:val="single" w:sz="4" w:space="0" w:color="auto"/>
            </w:tcBorders>
            <w:vAlign w:val="center"/>
          </w:tcPr>
          <w:p w14:paraId="51E85645" w14:textId="0B3B605D" w:rsidR="009C5E40" w:rsidRPr="00EE5DF3" w:rsidRDefault="009C5E40" w:rsidP="009C5E40">
            <w:pPr>
              <w:jc w:val="right"/>
              <w:rPr>
                <w:rFonts w:asciiTheme="minorHAnsi" w:hAnsiTheme="minorHAnsi" w:cs="Arial"/>
                <w:sz w:val="20"/>
                <w:szCs w:val="20"/>
              </w:rPr>
            </w:pPr>
            <w:r w:rsidRPr="00EE5DF3">
              <w:rPr>
                <w:rFonts w:ascii="Calibri" w:hAnsi="Calibri" w:cs="Calibri"/>
                <w:color w:val="000000"/>
                <w:sz w:val="20"/>
                <w:szCs w:val="20"/>
              </w:rPr>
              <w:t>-</w:t>
            </w:r>
          </w:p>
        </w:tc>
        <w:tc>
          <w:tcPr>
            <w:tcW w:w="463" w:type="pct"/>
            <w:tcBorders>
              <w:top w:val="single" w:sz="4" w:space="0" w:color="auto"/>
              <w:bottom w:val="single" w:sz="4" w:space="0" w:color="auto"/>
            </w:tcBorders>
            <w:vAlign w:val="center"/>
          </w:tcPr>
          <w:p w14:paraId="2FFC3A9E" w14:textId="461FD277" w:rsidR="00925514" w:rsidRPr="00EE5DF3" w:rsidRDefault="00925514" w:rsidP="00E20AFD">
            <w:pPr>
              <w:jc w:val="right"/>
              <w:rPr>
                <w:rFonts w:ascii="Calibri" w:hAnsi="Calibri" w:cs="Calibri"/>
                <w:color w:val="000000"/>
                <w:sz w:val="20"/>
                <w:szCs w:val="20"/>
              </w:rPr>
            </w:pPr>
            <w:r w:rsidRPr="00EE5DF3">
              <w:rPr>
                <w:rFonts w:ascii="Calibri" w:hAnsi="Calibri" w:cs="Calibri"/>
                <w:color w:val="000000"/>
                <w:sz w:val="20"/>
                <w:szCs w:val="20"/>
              </w:rPr>
              <w:t>-</w:t>
            </w:r>
          </w:p>
        </w:tc>
        <w:tc>
          <w:tcPr>
            <w:tcW w:w="428" w:type="pct"/>
            <w:tcBorders>
              <w:top w:val="single" w:sz="4" w:space="0" w:color="auto"/>
              <w:bottom w:val="single" w:sz="4" w:space="0" w:color="auto"/>
            </w:tcBorders>
            <w:vAlign w:val="center"/>
          </w:tcPr>
          <w:p w14:paraId="33E017A2" w14:textId="55FDC5C6" w:rsidR="009C5E40" w:rsidRPr="00D0154D" w:rsidRDefault="00DF0CBF" w:rsidP="009C5E40">
            <w:pPr>
              <w:jc w:val="right"/>
              <w:rPr>
                <w:rFonts w:asciiTheme="minorHAnsi" w:hAnsiTheme="minorHAnsi" w:cs="Arial"/>
                <w:b/>
                <w:bCs/>
                <w:sz w:val="20"/>
                <w:szCs w:val="20"/>
              </w:rPr>
            </w:pPr>
            <w:r>
              <w:rPr>
                <w:rFonts w:ascii="Calibri" w:hAnsi="Calibri" w:cs="Calibri"/>
                <w:color w:val="000000"/>
                <w:sz w:val="20"/>
                <w:szCs w:val="20"/>
              </w:rPr>
              <w:t>0.4</w:t>
            </w:r>
          </w:p>
        </w:tc>
        <w:tc>
          <w:tcPr>
            <w:tcW w:w="435" w:type="pct"/>
            <w:tcBorders>
              <w:top w:val="single" w:sz="4" w:space="0" w:color="auto"/>
              <w:bottom w:val="single" w:sz="4" w:space="0" w:color="auto"/>
            </w:tcBorders>
            <w:vAlign w:val="center"/>
          </w:tcPr>
          <w:p w14:paraId="36F76A4F" w14:textId="03991A85" w:rsidR="009C5E40" w:rsidRPr="00D0154D" w:rsidRDefault="00DF6FF9" w:rsidP="009C5E40">
            <w:pPr>
              <w:jc w:val="right"/>
              <w:rPr>
                <w:rFonts w:asciiTheme="minorHAnsi" w:hAnsiTheme="minorHAnsi" w:cs="Arial"/>
                <w:b/>
                <w:bCs/>
                <w:sz w:val="20"/>
                <w:szCs w:val="20"/>
              </w:rPr>
            </w:pPr>
            <w:r>
              <w:rPr>
                <w:rFonts w:ascii="Calibri" w:hAnsi="Calibri" w:cs="Calibri"/>
                <w:color w:val="000000"/>
                <w:sz w:val="20"/>
                <w:szCs w:val="20"/>
              </w:rPr>
              <w:t>15.5</w:t>
            </w:r>
          </w:p>
        </w:tc>
      </w:tr>
      <w:tr w:rsidR="00342C46" w:rsidRPr="00B835E3" w14:paraId="6BBD2864" w14:textId="77777777">
        <w:trPr>
          <w:trHeight w:val="230"/>
        </w:trPr>
        <w:tc>
          <w:tcPr>
            <w:tcW w:w="1131" w:type="pct"/>
            <w:shd w:val="clear" w:color="auto" w:fill="F2F2F2" w:themeFill="background1" w:themeFillShade="F2"/>
          </w:tcPr>
          <w:p w14:paraId="146C4C0E" w14:textId="34F94668" w:rsidR="001A4788" w:rsidRDefault="001A4788" w:rsidP="001A4788">
            <w:pPr>
              <w:rPr>
                <w:rFonts w:asciiTheme="minorHAnsi" w:hAnsiTheme="minorHAnsi" w:cs="Arial"/>
                <w:sz w:val="20"/>
                <w:szCs w:val="20"/>
                <w:lang w:val="en-US"/>
              </w:rPr>
            </w:pPr>
            <w:r w:rsidRPr="00B97C61">
              <w:rPr>
                <w:rFonts w:asciiTheme="minorHAnsi" w:hAnsiTheme="minorHAnsi" w:cs="Arial"/>
                <w:sz w:val="20"/>
                <w:szCs w:val="20"/>
              </w:rPr>
              <w:t>At 1 January</w:t>
            </w:r>
            <w:r>
              <w:rPr>
                <w:rFonts w:asciiTheme="minorHAnsi" w:hAnsiTheme="minorHAnsi" w:cs="Arial"/>
                <w:sz w:val="20"/>
                <w:szCs w:val="20"/>
              </w:rPr>
              <w:t xml:space="preserve"> 2025</w:t>
            </w:r>
          </w:p>
        </w:tc>
        <w:tc>
          <w:tcPr>
            <w:tcW w:w="633" w:type="pct"/>
            <w:tcBorders>
              <w:top w:val="single" w:sz="4" w:space="0" w:color="auto"/>
            </w:tcBorders>
            <w:shd w:val="clear" w:color="auto" w:fill="F2F2F2" w:themeFill="background1" w:themeFillShade="F2"/>
            <w:vAlign w:val="center"/>
          </w:tcPr>
          <w:p w14:paraId="51D75A87" w14:textId="239B0EC6" w:rsidR="001A4788" w:rsidRDefault="00CB3526" w:rsidP="001A4788">
            <w:pPr>
              <w:jc w:val="right"/>
              <w:rPr>
                <w:rFonts w:asciiTheme="minorHAnsi" w:hAnsiTheme="minorHAnsi" w:cs="Arial"/>
                <w:b/>
                <w:sz w:val="20"/>
                <w:szCs w:val="20"/>
              </w:rPr>
            </w:pPr>
            <w:r>
              <w:rPr>
                <w:rFonts w:ascii="Calibri" w:hAnsi="Calibri" w:cs="Calibri"/>
                <w:b/>
                <w:bCs/>
                <w:color w:val="000000"/>
                <w:sz w:val="20"/>
                <w:szCs w:val="20"/>
              </w:rPr>
              <w:t>7.4</w:t>
            </w:r>
          </w:p>
        </w:tc>
        <w:tc>
          <w:tcPr>
            <w:tcW w:w="704" w:type="pct"/>
            <w:tcBorders>
              <w:top w:val="single" w:sz="4" w:space="0" w:color="auto"/>
            </w:tcBorders>
            <w:shd w:val="clear" w:color="auto" w:fill="F2F2F2" w:themeFill="background1" w:themeFillShade="F2"/>
            <w:vAlign w:val="center"/>
          </w:tcPr>
          <w:p w14:paraId="4DB8D68B" w14:textId="0E928D16" w:rsidR="001A4788" w:rsidRDefault="00CB3526" w:rsidP="001A4788">
            <w:pPr>
              <w:jc w:val="right"/>
              <w:rPr>
                <w:rFonts w:asciiTheme="minorHAnsi" w:hAnsiTheme="minorHAnsi" w:cs="Arial"/>
                <w:b/>
                <w:bCs/>
                <w:sz w:val="20"/>
                <w:szCs w:val="20"/>
              </w:rPr>
            </w:pPr>
            <w:r>
              <w:rPr>
                <w:rFonts w:ascii="Calibri" w:hAnsi="Calibri" w:cs="Calibri"/>
                <w:b/>
                <w:bCs/>
                <w:color w:val="000000"/>
                <w:sz w:val="20"/>
                <w:szCs w:val="20"/>
              </w:rPr>
              <w:t>6.4</w:t>
            </w:r>
          </w:p>
        </w:tc>
        <w:tc>
          <w:tcPr>
            <w:tcW w:w="633" w:type="pct"/>
            <w:tcBorders>
              <w:top w:val="single" w:sz="4" w:space="0" w:color="auto"/>
            </w:tcBorders>
            <w:shd w:val="clear" w:color="auto" w:fill="F2F2F2" w:themeFill="background1" w:themeFillShade="F2"/>
            <w:vAlign w:val="center"/>
          </w:tcPr>
          <w:p w14:paraId="70A45667" w14:textId="273B3F97" w:rsidR="001A4788" w:rsidRDefault="00716391" w:rsidP="001A4788">
            <w:pPr>
              <w:jc w:val="right"/>
              <w:rPr>
                <w:rFonts w:asciiTheme="minorHAnsi" w:hAnsiTheme="minorHAnsi" w:cs="Arial"/>
                <w:b/>
                <w:sz w:val="20"/>
                <w:szCs w:val="20"/>
              </w:rPr>
            </w:pPr>
            <w:r>
              <w:rPr>
                <w:rFonts w:ascii="Calibri" w:hAnsi="Calibri" w:cs="Calibri"/>
                <w:b/>
                <w:bCs/>
                <w:color w:val="000000"/>
                <w:sz w:val="20"/>
                <w:szCs w:val="20"/>
              </w:rPr>
              <w:t>1.3</w:t>
            </w:r>
          </w:p>
        </w:tc>
        <w:tc>
          <w:tcPr>
            <w:tcW w:w="573" w:type="pct"/>
            <w:tcBorders>
              <w:top w:val="single" w:sz="4" w:space="0" w:color="auto"/>
            </w:tcBorders>
            <w:shd w:val="clear" w:color="auto" w:fill="F2F2F2" w:themeFill="background1" w:themeFillShade="F2"/>
          </w:tcPr>
          <w:p w14:paraId="56E01788" w14:textId="1525BBBE" w:rsidR="001A4788" w:rsidRDefault="001A4788" w:rsidP="001A4788">
            <w:pPr>
              <w:jc w:val="right"/>
              <w:rPr>
                <w:rFonts w:asciiTheme="minorHAnsi" w:hAnsiTheme="minorHAnsi" w:cs="Arial"/>
                <w:b/>
                <w:sz w:val="20"/>
                <w:szCs w:val="20"/>
              </w:rPr>
            </w:pPr>
            <w:r w:rsidRPr="002043BC">
              <w:rPr>
                <w:rFonts w:asciiTheme="minorHAnsi" w:hAnsiTheme="minorHAnsi" w:cs="Arial"/>
                <w:b/>
                <w:sz w:val="18"/>
                <w:szCs w:val="18"/>
              </w:rPr>
              <w:t>-</w:t>
            </w:r>
          </w:p>
        </w:tc>
        <w:tc>
          <w:tcPr>
            <w:tcW w:w="463" w:type="pct"/>
            <w:tcBorders>
              <w:top w:val="single" w:sz="4" w:space="0" w:color="auto"/>
            </w:tcBorders>
            <w:shd w:val="clear" w:color="auto" w:fill="F2F2F2" w:themeFill="background1" w:themeFillShade="F2"/>
          </w:tcPr>
          <w:p w14:paraId="4E99EC14" w14:textId="4DD9EA88" w:rsidR="00925514" w:rsidRPr="00B35AB9" w:rsidRDefault="00925514" w:rsidP="00E20AFD">
            <w:pPr>
              <w:jc w:val="right"/>
              <w:rPr>
                <w:rFonts w:asciiTheme="minorHAnsi" w:hAnsiTheme="minorHAnsi" w:cs="Arial"/>
                <w:b/>
                <w:sz w:val="20"/>
                <w:szCs w:val="20"/>
              </w:rPr>
            </w:pPr>
            <w:r w:rsidRPr="00B35AB9">
              <w:rPr>
                <w:rFonts w:asciiTheme="minorHAnsi" w:hAnsiTheme="minorHAnsi" w:cs="Arial"/>
                <w:b/>
                <w:sz w:val="20"/>
                <w:szCs w:val="20"/>
              </w:rPr>
              <w:t>-</w:t>
            </w:r>
          </w:p>
        </w:tc>
        <w:tc>
          <w:tcPr>
            <w:tcW w:w="428" w:type="pct"/>
            <w:tcBorders>
              <w:top w:val="single" w:sz="4" w:space="0" w:color="auto"/>
            </w:tcBorders>
            <w:shd w:val="clear" w:color="auto" w:fill="F2F2F2" w:themeFill="background1" w:themeFillShade="F2"/>
            <w:vAlign w:val="center"/>
          </w:tcPr>
          <w:p w14:paraId="470B62BF" w14:textId="270338FB" w:rsidR="001A4788" w:rsidRDefault="00DF0CBF" w:rsidP="001A4788">
            <w:pPr>
              <w:jc w:val="right"/>
              <w:rPr>
                <w:rFonts w:asciiTheme="minorHAnsi" w:hAnsiTheme="minorHAnsi" w:cs="Arial"/>
                <w:b/>
                <w:sz w:val="20"/>
                <w:szCs w:val="20"/>
              </w:rPr>
            </w:pPr>
            <w:r>
              <w:rPr>
                <w:rFonts w:ascii="Calibri" w:hAnsi="Calibri" w:cs="Calibri"/>
                <w:b/>
                <w:bCs/>
                <w:color w:val="000000"/>
                <w:sz w:val="20"/>
                <w:szCs w:val="20"/>
              </w:rPr>
              <w:t>0.4</w:t>
            </w:r>
          </w:p>
        </w:tc>
        <w:tc>
          <w:tcPr>
            <w:tcW w:w="435" w:type="pct"/>
            <w:tcBorders>
              <w:top w:val="single" w:sz="4" w:space="0" w:color="auto"/>
            </w:tcBorders>
            <w:shd w:val="clear" w:color="auto" w:fill="F2F2F2" w:themeFill="background1" w:themeFillShade="F2"/>
            <w:vAlign w:val="center"/>
          </w:tcPr>
          <w:p w14:paraId="1AD80178" w14:textId="41ADC6B5" w:rsidR="001A4788" w:rsidRPr="006D4208" w:rsidRDefault="00DF6FF9" w:rsidP="001A4788">
            <w:pPr>
              <w:jc w:val="right"/>
              <w:rPr>
                <w:rFonts w:asciiTheme="minorHAnsi" w:hAnsiTheme="minorHAnsi" w:cs="Arial"/>
                <w:b/>
                <w:sz w:val="20"/>
                <w:szCs w:val="20"/>
              </w:rPr>
            </w:pPr>
            <w:r>
              <w:rPr>
                <w:rFonts w:ascii="Calibri" w:hAnsi="Calibri" w:cs="Calibri"/>
                <w:b/>
                <w:bCs/>
                <w:color w:val="000000"/>
                <w:sz w:val="20"/>
                <w:szCs w:val="20"/>
              </w:rPr>
              <w:t>15.5</w:t>
            </w:r>
          </w:p>
        </w:tc>
      </w:tr>
      <w:tr w:rsidR="00342C46" w:rsidRPr="00B835E3" w14:paraId="68C1C052" w14:textId="77777777">
        <w:trPr>
          <w:trHeight w:val="230"/>
        </w:trPr>
        <w:tc>
          <w:tcPr>
            <w:tcW w:w="1131" w:type="pct"/>
            <w:shd w:val="clear" w:color="auto" w:fill="F2F2F2" w:themeFill="background1" w:themeFillShade="F2"/>
          </w:tcPr>
          <w:p w14:paraId="47510DD1" w14:textId="332BF003" w:rsidR="00476363" w:rsidRDefault="00476363" w:rsidP="00476363">
            <w:pPr>
              <w:rPr>
                <w:rFonts w:asciiTheme="minorHAnsi" w:hAnsiTheme="minorHAnsi" w:cs="Arial"/>
                <w:sz w:val="20"/>
                <w:szCs w:val="20"/>
                <w:lang w:val="en-US"/>
              </w:rPr>
            </w:pPr>
            <w:r w:rsidRPr="00B97C61">
              <w:rPr>
                <w:rFonts w:asciiTheme="minorHAnsi" w:hAnsiTheme="minorHAnsi" w:cs="Arial"/>
                <w:sz w:val="20"/>
                <w:szCs w:val="20"/>
              </w:rPr>
              <w:t xml:space="preserve">Created in the </w:t>
            </w:r>
            <w:r>
              <w:rPr>
                <w:rFonts w:asciiTheme="minorHAnsi" w:hAnsiTheme="minorHAnsi" w:cs="Arial"/>
                <w:sz w:val="20"/>
                <w:szCs w:val="20"/>
              </w:rPr>
              <w:t>period</w:t>
            </w:r>
          </w:p>
        </w:tc>
        <w:tc>
          <w:tcPr>
            <w:tcW w:w="633" w:type="pct"/>
            <w:shd w:val="clear" w:color="auto" w:fill="F2F2F2" w:themeFill="background1" w:themeFillShade="F2"/>
            <w:vAlign w:val="center"/>
          </w:tcPr>
          <w:p w14:paraId="0F69D52C" w14:textId="42ACD935" w:rsidR="00476363" w:rsidRDefault="00CB3526" w:rsidP="00476363">
            <w:pPr>
              <w:jc w:val="right"/>
              <w:rPr>
                <w:rFonts w:asciiTheme="minorHAnsi" w:hAnsiTheme="minorHAnsi" w:cs="Arial"/>
                <w:b/>
                <w:sz w:val="20"/>
                <w:szCs w:val="20"/>
              </w:rPr>
            </w:pPr>
            <w:r>
              <w:rPr>
                <w:rFonts w:ascii="Calibri" w:hAnsi="Calibri" w:cs="Calibri"/>
                <w:b/>
                <w:bCs/>
                <w:color w:val="000000"/>
                <w:sz w:val="20"/>
                <w:szCs w:val="20"/>
              </w:rPr>
              <w:t>4.7</w:t>
            </w:r>
          </w:p>
        </w:tc>
        <w:tc>
          <w:tcPr>
            <w:tcW w:w="704" w:type="pct"/>
            <w:shd w:val="clear" w:color="auto" w:fill="F2F2F2" w:themeFill="background1" w:themeFillShade="F2"/>
            <w:vAlign w:val="center"/>
          </w:tcPr>
          <w:p w14:paraId="6A23C08A" w14:textId="7C159CB8" w:rsidR="00476363" w:rsidRDefault="00CB3526" w:rsidP="00476363">
            <w:pPr>
              <w:jc w:val="right"/>
              <w:rPr>
                <w:rFonts w:asciiTheme="minorHAnsi" w:hAnsiTheme="minorHAnsi" w:cs="Arial"/>
                <w:b/>
                <w:bCs/>
                <w:sz w:val="20"/>
                <w:szCs w:val="20"/>
              </w:rPr>
            </w:pPr>
            <w:r>
              <w:rPr>
                <w:rFonts w:ascii="Calibri" w:hAnsi="Calibri" w:cs="Calibri"/>
                <w:b/>
                <w:bCs/>
                <w:color w:val="000000"/>
                <w:sz w:val="20"/>
                <w:szCs w:val="20"/>
              </w:rPr>
              <w:t>-</w:t>
            </w:r>
          </w:p>
        </w:tc>
        <w:tc>
          <w:tcPr>
            <w:tcW w:w="633" w:type="pct"/>
            <w:shd w:val="clear" w:color="auto" w:fill="F2F2F2" w:themeFill="background1" w:themeFillShade="F2"/>
            <w:vAlign w:val="center"/>
          </w:tcPr>
          <w:p w14:paraId="6BC93E66" w14:textId="642A3035" w:rsidR="00476363" w:rsidRDefault="00716391" w:rsidP="00476363">
            <w:pPr>
              <w:jc w:val="right"/>
              <w:rPr>
                <w:rFonts w:asciiTheme="minorHAnsi" w:hAnsiTheme="minorHAnsi" w:cs="Arial"/>
                <w:b/>
                <w:sz w:val="20"/>
                <w:szCs w:val="20"/>
              </w:rPr>
            </w:pPr>
            <w:r>
              <w:rPr>
                <w:rFonts w:ascii="Calibri" w:hAnsi="Calibri" w:cs="Calibri"/>
                <w:b/>
                <w:bCs/>
                <w:color w:val="000000"/>
                <w:sz w:val="20"/>
                <w:szCs w:val="20"/>
              </w:rPr>
              <w:t>- </w:t>
            </w:r>
          </w:p>
        </w:tc>
        <w:tc>
          <w:tcPr>
            <w:tcW w:w="573" w:type="pct"/>
            <w:shd w:val="clear" w:color="auto" w:fill="F2F2F2" w:themeFill="background1" w:themeFillShade="F2"/>
          </w:tcPr>
          <w:p w14:paraId="2C39FBB7" w14:textId="6380BA37" w:rsidR="00476363" w:rsidRDefault="00476363" w:rsidP="00476363">
            <w:pPr>
              <w:jc w:val="right"/>
              <w:rPr>
                <w:rFonts w:asciiTheme="minorHAnsi" w:hAnsiTheme="minorHAnsi" w:cs="Arial"/>
                <w:b/>
                <w:sz w:val="20"/>
                <w:szCs w:val="20"/>
              </w:rPr>
            </w:pPr>
            <w:r w:rsidRPr="002043BC">
              <w:rPr>
                <w:rFonts w:asciiTheme="minorHAnsi" w:hAnsiTheme="minorHAnsi" w:cs="Arial"/>
                <w:b/>
                <w:sz w:val="18"/>
                <w:szCs w:val="18"/>
              </w:rPr>
              <w:t>-</w:t>
            </w:r>
          </w:p>
        </w:tc>
        <w:tc>
          <w:tcPr>
            <w:tcW w:w="463" w:type="pct"/>
            <w:shd w:val="clear" w:color="auto" w:fill="F2F2F2" w:themeFill="background1" w:themeFillShade="F2"/>
          </w:tcPr>
          <w:p w14:paraId="35B74F3A" w14:textId="3C07524D" w:rsidR="00925514" w:rsidRPr="00B35AB9" w:rsidRDefault="00925514" w:rsidP="00E20AFD">
            <w:pPr>
              <w:jc w:val="right"/>
              <w:rPr>
                <w:rFonts w:asciiTheme="minorHAnsi" w:hAnsiTheme="minorHAnsi" w:cs="Arial"/>
                <w:b/>
                <w:sz w:val="20"/>
                <w:szCs w:val="20"/>
              </w:rPr>
            </w:pPr>
            <w:r w:rsidRPr="00B35AB9">
              <w:rPr>
                <w:rFonts w:asciiTheme="minorHAnsi" w:hAnsiTheme="minorHAnsi" w:cs="Arial"/>
                <w:b/>
                <w:sz w:val="20"/>
                <w:szCs w:val="20"/>
              </w:rPr>
              <w:t>-</w:t>
            </w:r>
          </w:p>
        </w:tc>
        <w:tc>
          <w:tcPr>
            <w:tcW w:w="428" w:type="pct"/>
            <w:shd w:val="clear" w:color="auto" w:fill="F2F2F2" w:themeFill="background1" w:themeFillShade="F2"/>
            <w:vAlign w:val="center"/>
          </w:tcPr>
          <w:p w14:paraId="789E59E0" w14:textId="41885AB7" w:rsidR="00476363" w:rsidRDefault="00DF0CBF" w:rsidP="00476363">
            <w:pPr>
              <w:jc w:val="right"/>
              <w:rPr>
                <w:rFonts w:asciiTheme="minorHAnsi" w:hAnsiTheme="minorHAnsi" w:cs="Arial"/>
                <w:b/>
                <w:sz w:val="20"/>
                <w:szCs w:val="20"/>
              </w:rPr>
            </w:pPr>
            <w:r>
              <w:rPr>
                <w:rFonts w:ascii="Calibri" w:hAnsi="Calibri" w:cs="Calibri"/>
                <w:b/>
                <w:bCs/>
                <w:color w:val="000000"/>
                <w:sz w:val="20"/>
                <w:szCs w:val="20"/>
              </w:rPr>
              <w:t> </w:t>
            </w:r>
          </w:p>
        </w:tc>
        <w:tc>
          <w:tcPr>
            <w:tcW w:w="435" w:type="pct"/>
            <w:shd w:val="clear" w:color="auto" w:fill="F2F2F2" w:themeFill="background1" w:themeFillShade="F2"/>
            <w:vAlign w:val="center"/>
          </w:tcPr>
          <w:p w14:paraId="6DEAEE38" w14:textId="270CE2D1" w:rsidR="00476363" w:rsidRPr="006D4208" w:rsidRDefault="00DF6FF9" w:rsidP="00476363">
            <w:pPr>
              <w:jc w:val="right"/>
              <w:rPr>
                <w:rFonts w:asciiTheme="minorHAnsi" w:hAnsiTheme="minorHAnsi" w:cs="Arial"/>
                <w:b/>
                <w:sz w:val="20"/>
                <w:szCs w:val="20"/>
              </w:rPr>
            </w:pPr>
            <w:r>
              <w:rPr>
                <w:rFonts w:ascii="Calibri" w:hAnsi="Calibri" w:cs="Calibri"/>
                <w:b/>
                <w:bCs/>
                <w:color w:val="000000"/>
                <w:sz w:val="20"/>
                <w:szCs w:val="20"/>
              </w:rPr>
              <w:t>4.7</w:t>
            </w:r>
          </w:p>
        </w:tc>
      </w:tr>
      <w:tr w:rsidR="00342C46" w:rsidRPr="00B835E3" w14:paraId="04314EB4" w14:textId="77777777">
        <w:trPr>
          <w:trHeight w:val="230"/>
        </w:trPr>
        <w:tc>
          <w:tcPr>
            <w:tcW w:w="1131" w:type="pct"/>
            <w:shd w:val="clear" w:color="auto" w:fill="F2F2F2" w:themeFill="background1" w:themeFillShade="F2"/>
          </w:tcPr>
          <w:p w14:paraId="2E7B77BE" w14:textId="4901C71C" w:rsidR="00476363" w:rsidRDefault="00476363" w:rsidP="00476363">
            <w:pPr>
              <w:rPr>
                <w:rFonts w:asciiTheme="minorHAnsi" w:hAnsiTheme="minorHAnsi" w:cs="Arial"/>
                <w:sz w:val="20"/>
                <w:szCs w:val="20"/>
                <w:lang w:val="en-US"/>
              </w:rPr>
            </w:pPr>
            <w:r w:rsidRPr="00B97C61">
              <w:rPr>
                <w:rFonts w:asciiTheme="minorHAnsi" w:hAnsiTheme="minorHAnsi" w:cs="Arial"/>
                <w:sz w:val="20"/>
                <w:szCs w:val="20"/>
              </w:rPr>
              <w:t xml:space="preserve">Reclassified in the </w:t>
            </w:r>
            <w:r w:rsidR="00D11427">
              <w:rPr>
                <w:rFonts w:asciiTheme="minorHAnsi" w:hAnsiTheme="minorHAnsi" w:cs="Arial"/>
                <w:sz w:val="20"/>
                <w:szCs w:val="20"/>
              </w:rPr>
              <w:t>p</w:t>
            </w:r>
            <w:r>
              <w:rPr>
                <w:rFonts w:asciiTheme="minorHAnsi" w:hAnsiTheme="minorHAnsi" w:cs="Arial"/>
                <w:sz w:val="20"/>
                <w:szCs w:val="20"/>
              </w:rPr>
              <w:t>eriod</w:t>
            </w:r>
          </w:p>
        </w:tc>
        <w:tc>
          <w:tcPr>
            <w:tcW w:w="633" w:type="pct"/>
            <w:shd w:val="clear" w:color="auto" w:fill="F2F2F2" w:themeFill="background1" w:themeFillShade="F2"/>
            <w:vAlign w:val="center"/>
          </w:tcPr>
          <w:p w14:paraId="06AA312E" w14:textId="34663894" w:rsidR="00476363" w:rsidRDefault="00CB3526" w:rsidP="00476363">
            <w:pPr>
              <w:jc w:val="right"/>
              <w:rPr>
                <w:rFonts w:asciiTheme="minorHAnsi" w:hAnsiTheme="minorHAnsi" w:cs="Arial"/>
                <w:b/>
                <w:sz w:val="20"/>
                <w:szCs w:val="20"/>
              </w:rPr>
            </w:pPr>
            <w:r>
              <w:rPr>
                <w:rFonts w:ascii="Calibri" w:hAnsi="Calibri" w:cs="Calibri"/>
                <w:b/>
                <w:bCs/>
                <w:color w:val="000000"/>
                <w:sz w:val="20"/>
                <w:szCs w:val="20"/>
              </w:rPr>
              <w:t> </w:t>
            </w:r>
          </w:p>
        </w:tc>
        <w:tc>
          <w:tcPr>
            <w:tcW w:w="704" w:type="pct"/>
            <w:shd w:val="clear" w:color="auto" w:fill="F2F2F2" w:themeFill="background1" w:themeFillShade="F2"/>
            <w:vAlign w:val="center"/>
          </w:tcPr>
          <w:p w14:paraId="4A2D7466" w14:textId="509558A3" w:rsidR="00476363" w:rsidRDefault="00CB3526" w:rsidP="00476363">
            <w:pPr>
              <w:jc w:val="right"/>
              <w:rPr>
                <w:rFonts w:asciiTheme="minorHAnsi" w:hAnsiTheme="minorHAnsi" w:cs="Arial"/>
                <w:b/>
                <w:bCs/>
                <w:sz w:val="20"/>
                <w:szCs w:val="20"/>
              </w:rPr>
            </w:pPr>
            <w:r>
              <w:rPr>
                <w:rFonts w:ascii="Calibri" w:hAnsi="Calibri" w:cs="Calibri"/>
                <w:b/>
                <w:bCs/>
                <w:color w:val="000000"/>
                <w:sz w:val="20"/>
                <w:szCs w:val="20"/>
              </w:rPr>
              <w:t>- </w:t>
            </w:r>
          </w:p>
        </w:tc>
        <w:tc>
          <w:tcPr>
            <w:tcW w:w="633" w:type="pct"/>
            <w:shd w:val="clear" w:color="auto" w:fill="F2F2F2" w:themeFill="background1" w:themeFillShade="F2"/>
            <w:vAlign w:val="center"/>
          </w:tcPr>
          <w:p w14:paraId="1F7B6BCF" w14:textId="0C763B03" w:rsidR="00476363" w:rsidRDefault="00716391" w:rsidP="00476363">
            <w:pPr>
              <w:jc w:val="right"/>
              <w:rPr>
                <w:rFonts w:asciiTheme="minorHAnsi" w:hAnsiTheme="minorHAnsi" w:cs="Arial"/>
                <w:b/>
                <w:sz w:val="20"/>
                <w:szCs w:val="20"/>
              </w:rPr>
            </w:pPr>
            <w:r>
              <w:rPr>
                <w:rFonts w:ascii="Calibri" w:hAnsi="Calibri" w:cs="Calibri"/>
                <w:b/>
                <w:bCs/>
                <w:color w:val="000000"/>
                <w:sz w:val="20"/>
                <w:szCs w:val="20"/>
              </w:rPr>
              <w:t>(0.3)</w:t>
            </w:r>
          </w:p>
        </w:tc>
        <w:tc>
          <w:tcPr>
            <w:tcW w:w="573" w:type="pct"/>
            <w:shd w:val="clear" w:color="auto" w:fill="F2F2F2" w:themeFill="background1" w:themeFillShade="F2"/>
          </w:tcPr>
          <w:p w14:paraId="2D2D39DA" w14:textId="5C74B369" w:rsidR="00476363" w:rsidRDefault="00476363" w:rsidP="00476363">
            <w:pPr>
              <w:jc w:val="right"/>
              <w:rPr>
                <w:rFonts w:asciiTheme="minorHAnsi" w:hAnsiTheme="minorHAnsi" w:cs="Arial"/>
                <w:b/>
                <w:sz w:val="20"/>
                <w:szCs w:val="20"/>
              </w:rPr>
            </w:pPr>
            <w:r w:rsidRPr="002043BC">
              <w:rPr>
                <w:rFonts w:asciiTheme="minorHAnsi" w:hAnsiTheme="minorHAnsi" w:cs="Arial"/>
                <w:b/>
                <w:sz w:val="18"/>
                <w:szCs w:val="18"/>
              </w:rPr>
              <w:t>-</w:t>
            </w:r>
          </w:p>
        </w:tc>
        <w:tc>
          <w:tcPr>
            <w:tcW w:w="463" w:type="pct"/>
            <w:shd w:val="clear" w:color="auto" w:fill="F2F2F2" w:themeFill="background1" w:themeFillShade="F2"/>
          </w:tcPr>
          <w:p w14:paraId="466713E6" w14:textId="7FED2737" w:rsidR="00925514" w:rsidRPr="00B35AB9" w:rsidRDefault="00925514" w:rsidP="00E20AFD">
            <w:pPr>
              <w:jc w:val="right"/>
              <w:rPr>
                <w:rFonts w:asciiTheme="minorHAnsi" w:hAnsiTheme="minorHAnsi" w:cs="Arial"/>
                <w:b/>
                <w:sz w:val="20"/>
                <w:szCs w:val="20"/>
              </w:rPr>
            </w:pPr>
            <w:r w:rsidRPr="00B35AB9">
              <w:rPr>
                <w:rFonts w:asciiTheme="minorHAnsi" w:hAnsiTheme="minorHAnsi" w:cs="Arial"/>
                <w:b/>
                <w:sz w:val="20"/>
                <w:szCs w:val="20"/>
              </w:rPr>
              <w:t>-</w:t>
            </w:r>
          </w:p>
        </w:tc>
        <w:tc>
          <w:tcPr>
            <w:tcW w:w="428" w:type="pct"/>
            <w:shd w:val="clear" w:color="auto" w:fill="F2F2F2" w:themeFill="background1" w:themeFillShade="F2"/>
            <w:vAlign w:val="center"/>
          </w:tcPr>
          <w:p w14:paraId="4CD739DB" w14:textId="2EC294BE" w:rsidR="00476363" w:rsidRDefault="00DF0CBF" w:rsidP="00476363">
            <w:pPr>
              <w:jc w:val="right"/>
              <w:rPr>
                <w:rFonts w:asciiTheme="minorHAnsi" w:hAnsiTheme="minorHAnsi" w:cs="Arial"/>
                <w:b/>
                <w:sz w:val="20"/>
                <w:szCs w:val="20"/>
              </w:rPr>
            </w:pPr>
            <w:r>
              <w:rPr>
                <w:rFonts w:ascii="Calibri" w:hAnsi="Calibri" w:cs="Calibri"/>
                <w:b/>
                <w:bCs/>
                <w:color w:val="000000"/>
                <w:sz w:val="20"/>
                <w:szCs w:val="20"/>
              </w:rPr>
              <w:t>(0.2)</w:t>
            </w:r>
          </w:p>
        </w:tc>
        <w:tc>
          <w:tcPr>
            <w:tcW w:w="435" w:type="pct"/>
            <w:shd w:val="clear" w:color="auto" w:fill="F2F2F2" w:themeFill="background1" w:themeFillShade="F2"/>
            <w:vAlign w:val="center"/>
          </w:tcPr>
          <w:p w14:paraId="77D3675D" w14:textId="79D10EC4" w:rsidR="00476363" w:rsidRPr="006D4208" w:rsidRDefault="00DF6FF9" w:rsidP="00476363">
            <w:pPr>
              <w:jc w:val="right"/>
              <w:rPr>
                <w:rFonts w:asciiTheme="minorHAnsi" w:hAnsiTheme="minorHAnsi" w:cs="Arial"/>
                <w:b/>
                <w:sz w:val="20"/>
                <w:szCs w:val="20"/>
              </w:rPr>
            </w:pPr>
            <w:r>
              <w:rPr>
                <w:rFonts w:ascii="Calibri" w:hAnsi="Calibri" w:cs="Calibri"/>
                <w:b/>
                <w:bCs/>
                <w:color w:val="000000"/>
                <w:sz w:val="20"/>
                <w:szCs w:val="20"/>
              </w:rPr>
              <w:t>(0.5)</w:t>
            </w:r>
          </w:p>
        </w:tc>
      </w:tr>
      <w:tr w:rsidR="00342C46" w:rsidRPr="00B835E3" w14:paraId="069746B9" w14:textId="77777777">
        <w:trPr>
          <w:trHeight w:val="230"/>
        </w:trPr>
        <w:tc>
          <w:tcPr>
            <w:tcW w:w="1131" w:type="pct"/>
            <w:shd w:val="clear" w:color="auto" w:fill="F2F2F2" w:themeFill="background1" w:themeFillShade="F2"/>
          </w:tcPr>
          <w:p w14:paraId="62DC5EA9" w14:textId="147599B9" w:rsidR="00476363" w:rsidRDefault="00476363" w:rsidP="00476363">
            <w:pPr>
              <w:rPr>
                <w:rFonts w:asciiTheme="minorHAnsi" w:hAnsiTheme="minorHAnsi" w:cs="Arial"/>
                <w:sz w:val="20"/>
                <w:szCs w:val="20"/>
                <w:lang w:val="en-US"/>
              </w:rPr>
            </w:pPr>
            <w:r w:rsidRPr="00B97C61">
              <w:rPr>
                <w:rFonts w:asciiTheme="minorHAnsi" w:hAnsiTheme="minorHAnsi" w:cs="Arial"/>
                <w:sz w:val="20"/>
                <w:szCs w:val="20"/>
              </w:rPr>
              <w:t xml:space="preserve">Utilised in the </w:t>
            </w:r>
            <w:r>
              <w:rPr>
                <w:rFonts w:asciiTheme="minorHAnsi" w:hAnsiTheme="minorHAnsi" w:cs="Arial"/>
                <w:sz w:val="20"/>
                <w:szCs w:val="20"/>
              </w:rPr>
              <w:t>period</w:t>
            </w:r>
          </w:p>
        </w:tc>
        <w:tc>
          <w:tcPr>
            <w:tcW w:w="633" w:type="pct"/>
            <w:shd w:val="clear" w:color="auto" w:fill="F2F2F2" w:themeFill="background1" w:themeFillShade="F2"/>
            <w:vAlign w:val="center"/>
          </w:tcPr>
          <w:p w14:paraId="1994625A" w14:textId="64307BEC" w:rsidR="00476363" w:rsidRDefault="00CB3526" w:rsidP="00476363">
            <w:pPr>
              <w:jc w:val="right"/>
              <w:rPr>
                <w:rFonts w:asciiTheme="minorHAnsi" w:hAnsiTheme="minorHAnsi" w:cs="Arial"/>
                <w:b/>
                <w:sz w:val="20"/>
                <w:szCs w:val="20"/>
              </w:rPr>
            </w:pPr>
            <w:r>
              <w:rPr>
                <w:rFonts w:ascii="Calibri" w:hAnsi="Calibri" w:cs="Calibri"/>
                <w:b/>
                <w:bCs/>
                <w:color w:val="000000"/>
                <w:sz w:val="20"/>
                <w:szCs w:val="20"/>
              </w:rPr>
              <w:t>(6.7)</w:t>
            </w:r>
          </w:p>
        </w:tc>
        <w:tc>
          <w:tcPr>
            <w:tcW w:w="704" w:type="pct"/>
            <w:shd w:val="clear" w:color="auto" w:fill="F2F2F2" w:themeFill="background1" w:themeFillShade="F2"/>
            <w:vAlign w:val="center"/>
          </w:tcPr>
          <w:p w14:paraId="6C8DE4EB" w14:textId="330EFD5A" w:rsidR="00476363" w:rsidRDefault="00CB3526" w:rsidP="00476363">
            <w:pPr>
              <w:jc w:val="right"/>
              <w:rPr>
                <w:rFonts w:asciiTheme="minorHAnsi" w:hAnsiTheme="minorHAnsi" w:cs="Arial"/>
                <w:b/>
                <w:bCs/>
                <w:sz w:val="20"/>
                <w:szCs w:val="20"/>
              </w:rPr>
            </w:pPr>
            <w:r>
              <w:rPr>
                <w:rFonts w:ascii="Calibri" w:hAnsi="Calibri" w:cs="Calibri"/>
                <w:b/>
                <w:bCs/>
                <w:color w:val="000000"/>
                <w:sz w:val="20"/>
                <w:szCs w:val="20"/>
              </w:rPr>
              <w:t>- </w:t>
            </w:r>
          </w:p>
        </w:tc>
        <w:tc>
          <w:tcPr>
            <w:tcW w:w="633" w:type="pct"/>
            <w:shd w:val="clear" w:color="auto" w:fill="F2F2F2" w:themeFill="background1" w:themeFillShade="F2"/>
            <w:vAlign w:val="center"/>
          </w:tcPr>
          <w:p w14:paraId="4DDBE494" w14:textId="611A3FC2" w:rsidR="00476363" w:rsidRDefault="00716391" w:rsidP="00476363">
            <w:pPr>
              <w:jc w:val="right"/>
              <w:rPr>
                <w:rFonts w:asciiTheme="minorHAnsi" w:hAnsiTheme="minorHAnsi" w:cs="Arial"/>
                <w:b/>
                <w:sz w:val="20"/>
                <w:szCs w:val="20"/>
              </w:rPr>
            </w:pPr>
            <w:r>
              <w:rPr>
                <w:rFonts w:ascii="Calibri" w:hAnsi="Calibri" w:cs="Calibri"/>
                <w:b/>
                <w:bCs/>
                <w:color w:val="000000"/>
                <w:sz w:val="20"/>
                <w:szCs w:val="20"/>
              </w:rPr>
              <w:t>(0.9)</w:t>
            </w:r>
          </w:p>
        </w:tc>
        <w:tc>
          <w:tcPr>
            <w:tcW w:w="573" w:type="pct"/>
            <w:shd w:val="clear" w:color="auto" w:fill="F2F2F2" w:themeFill="background1" w:themeFillShade="F2"/>
          </w:tcPr>
          <w:p w14:paraId="134A43C0" w14:textId="04139E69" w:rsidR="00476363" w:rsidRDefault="00476363" w:rsidP="00476363">
            <w:pPr>
              <w:jc w:val="right"/>
              <w:rPr>
                <w:rFonts w:asciiTheme="minorHAnsi" w:hAnsiTheme="minorHAnsi" w:cs="Arial"/>
                <w:b/>
                <w:sz w:val="20"/>
                <w:szCs w:val="20"/>
              </w:rPr>
            </w:pPr>
            <w:r w:rsidRPr="002043BC">
              <w:rPr>
                <w:rFonts w:asciiTheme="minorHAnsi" w:hAnsiTheme="minorHAnsi" w:cs="Arial"/>
                <w:b/>
                <w:sz w:val="18"/>
                <w:szCs w:val="18"/>
              </w:rPr>
              <w:t>-</w:t>
            </w:r>
          </w:p>
        </w:tc>
        <w:tc>
          <w:tcPr>
            <w:tcW w:w="463" w:type="pct"/>
            <w:shd w:val="clear" w:color="auto" w:fill="F2F2F2" w:themeFill="background1" w:themeFillShade="F2"/>
          </w:tcPr>
          <w:p w14:paraId="7244D550" w14:textId="4806619D" w:rsidR="00925514" w:rsidRPr="00B35AB9" w:rsidRDefault="00925514" w:rsidP="00E20AFD">
            <w:pPr>
              <w:jc w:val="right"/>
              <w:rPr>
                <w:rFonts w:asciiTheme="minorHAnsi" w:hAnsiTheme="minorHAnsi" w:cs="Arial"/>
                <w:b/>
                <w:sz w:val="20"/>
                <w:szCs w:val="20"/>
              </w:rPr>
            </w:pPr>
            <w:r w:rsidRPr="00B35AB9">
              <w:rPr>
                <w:rFonts w:asciiTheme="minorHAnsi" w:hAnsiTheme="minorHAnsi" w:cs="Arial"/>
                <w:b/>
                <w:sz w:val="20"/>
                <w:szCs w:val="20"/>
              </w:rPr>
              <w:t>-</w:t>
            </w:r>
          </w:p>
        </w:tc>
        <w:tc>
          <w:tcPr>
            <w:tcW w:w="428" w:type="pct"/>
            <w:shd w:val="clear" w:color="auto" w:fill="F2F2F2" w:themeFill="background1" w:themeFillShade="F2"/>
            <w:vAlign w:val="center"/>
          </w:tcPr>
          <w:p w14:paraId="1A93FD7D" w14:textId="470CDC0E" w:rsidR="00476363" w:rsidRDefault="00DF0CBF" w:rsidP="00476363">
            <w:pPr>
              <w:jc w:val="right"/>
              <w:rPr>
                <w:rFonts w:asciiTheme="minorHAnsi" w:hAnsiTheme="minorHAnsi" w:cs="Arial"/>
                <w:b/>
                <w:sz w:val="20"/>
                <w:szCs w:val="20"/>
              </w:rPr>
            </w:pPr>
            <w:r>
              <w:rPr>
                <w:rFonts w:ascii="Calibri" w:hAnsi="Calibri" w:cs="Calibri"/>
                <w:b/>
                <w:bCs/>
                <w:color w:val="000000"/>
                <w:sz w:val="20"/>
                <w:szCs w:val="20"/>
              </w:rPr>
              <w:t>- </w:t>
            </w:r>
          </w:p>
        </w:tc>
        <w:tc>
          <w:tcPr>
            <w:tcW w:w="435" w:type="pct"/>
            <w:shd w:val="clear" w:color="auto" w:fill="F2F2F2" w:themeFill="background1" w:themeFillShade="F2"/>
            <w:vAlign w:val="center"/>
          </w:tcPr>
          <w:p w14:paraId="3A707077" w14:textId="5362D21D" w:rsidR="00476363" w:rsidRPr="006D4208" w:rsidRDefault="00DF6FF9" w:rsidP="00476363">
            <w:pPr>
              <w:jc w:val="right"/>
              <w:rPr>
                <w:rFonts w:asciiTheme="minorHAnsi" w:hAnsiTheme="minorHAnsi" w:cs="Arial"/>
                <w:b/>
                <w:sz w:val="20"/>
                <w:szCs w:val="20"/>
              </w:rPr>
            </w:pPr>
            <w:r>
              <w:rPr>
                <w:rFonts w:ascii="Calibri" w:hAnsi="Calibri" w:cs="Calibri"/>
                <w:b/>
                <w:bCs/>
                <w:color w:val="000000"/>
                <w:sz w:val="20"/>
                <w:szCs w:val="20"/>
              </w:rPr>
              <w:t>(7.6)</w:t>
            </w:r>
          </w:p>
        </w:tc>
      </w:tr>
      <w:tr w:rsidR="00342C46" w:rsidRPr="00B835E3" w14:paraId="35BF799D" w14:textId="77777777">
        <w:trPr>
          <w:trHeight w:val="230"/>
        </w:trPr>
        <w:tc>
          <w:tcPr>
            <w:tcW w:w="1131" w:type="pct"/>
            <w:shd w:val="clear" w:color="auto" w:fill="F2F2F2" w:themeFill="background1" w:themeFillShade="F2"/>
          </w:tcPr>
          <w:p w14:paraId="3ACAFFE0" w14:textId="7E97189B" w:rsidR="00476363" w:rsidRDefault="00476363" w:rsidP="00476363">
            <w:pPr>
              <w:rPr>
                <w:rFonts w:asciiTheme="minorHAnsi" w:hAnsiTheme="minorHAnsi" w:cs="Arial"/>
                <w:sz w:val="20"/>
                <w:szCs w:val="20"/>
                <w:lang w:val="en-US"/>
              </w:rPr>
            </w:pPr>
            <w:r w:rsidRPr="00B97C61">
              <w:rPr>
                <w:rFonts w:asciiTheme="minorHAnsi" w:hAnsiTheme="minorHAnsi" w:cs="Arial"/>
                <w:sz w:val="20"/>
                <w:szCs w:val="20"/>
              </w:rPr>
              <w:t xml:space="preserve">Released in the </w:t>
            </w:r>
            <w:r>
              <w:rPr>
                <w:rFonts w:asciiTheme="minorHAnsi" w:hAnsiTheme="minorHAnsi" w:cs="Arial"/>
                <w:sz w:val="20"/>
                <w:szCs w:val="20"/>
              </w:rPr>
              <w:t>period</w:t>
            </w:r>
          </w:p>
        </w:tc>
        <w:tc>
          <w:tcPr>
            <w:tcW w:w="633" w:type="pct"/>
            <w:tcBorders>
              <w:bottom w:val="single" w:sz="4" w:space="0" w:color="auto"/>
            </w:tcBorders>
            <w:shd w:val="clear" w:color="auto" w:fill="F2F2F2" w:themeFill="background1" w:themeFillShade="F2"/>
            <w:vAlign w:val="center"/>
          </w:tcPr>
          <w:p w14:paraId="25B5D9F5" w14:textId="112371E3" w:rsidR="00476363" w:rsidRDefault="00CB3526" w:rsidP="00476363">
            <w:pPr>
              <w:jc w:val="right"/>
              <w:rPr>
                <w:rFonts w:asciiTheme="minorHAnsi" w:hAnsiTheme="minorHAnsi" w:cs="Arial"/>
                <w:b/>
                <w:sz w:val="20"/>
                <w:szCs w:val="20"/>
              </w:rPr>
            </w:pPr>
            <w:r>
              <w:rPr>
                <w:rFonts w:ascii="Calibri" w:hAnsi="Calibri" w:cs="Calibri"/>
                <w:b/>
                <w:bCs/>
                <w:color w:val="000000"/>
                <w:sz w:val="20"/>
                <w:szCs w:val="20"/>
              </w:rPr>
              <w:t>(2.9)</w:t>
            </w:r>
          </w:p>
        </w:tc>
        <w:tc>
          <w:tcPr>
            <w:tcW w:w="704" w:type="pct"/>
            <w:tcBorders>
              <w:bottom w:val="single" w:sz="4" w:space="0" w:color="auto"/>
            </w:tcBorders>
            <w:shd w:val="clear" w:color="auto" w:fill="F2F2F2" w:themeFill="background1" w:themeFillShade="F2"/>
            <w:vAlign w:val="center"/>
          </w:tcPr>
          <w:p w14:paraId="4C776039" w14:textId="17D4D2A8" w:rsidR="00476363" w:rsidRDefault="00CB3526" w:rsidP="00476363">
            <w:pPr>
              <w:jc w:val="right"/>
              <w:rPr>
                <w:rFonts w:asciiTheme="minorHAnsi" w:hAnsiTheme="minorHAnsi" w:cs="Arial"/>
                <w:b/>
                <w:bCs/>
                <w:sz w:val="20"/>
                <w:szCs w:val="20"/>
              </w:rPr>
            </w:pPr>
            <w:r>
              <w:rPr>
                <w:rFonts w:ascii="Calibri" w:hAnsi="Calibri" w:cs="Calibri"/>
                <w:b/>
                <w:bCs/>
                <w:color w:val="000000"/>
                <w:sz w:val="20"/>
                <w:szCs w:val="20"/>
              </w:rPr>
              <w:t xml:space="preserve">  </w:t>
            </w:r>
          </w:p>
        </w:tc>
        <w:tc>
          <w:tcPr>
            <w:tcW w:w="633" w:type="pct"/>
            <w:tcBorders>
              <w:bottom w:val="single" w:sz="4" w:space="0" w:color="auto"/>
            </w:tcBorders>
            <w:shd w:val="clear" w:color="auto" w:fill="F2F2F2" w:themeFill="background1" w:themeFillShade="F2"/>
            <w:vAlign w:val="center"/>
          </w:tcPr>
          <w:p w14:paraId="7C9C385F" w14:textId="5AA22B8E" w:rsidR="00476363" w:rsidRDefault="00716391" w:rsidP="00476363">
            <w:pPr>
              <w:jc w:val="right"/>
              <w:rPr>
                <w:rFonts w:asciiTheme="minorHAnsi" w:hAnsiTheme="minorHAnsi" w:cs="Arial"/>
                <w:b/>
                <w:sz w:val="20"/>
                <w:szCs w:val="20"/>
              </w:rPr>
            </w:pPr>
            <w:r>
              <w:rPr>
                <w:rFonts w:ascii="Calibri" w:hAnsi="Calibri" w:cs="Calibri"/>
                <w:b/>
                <w:bCs/>
                <w:color w:val="000000"/>
                <w:sz w:val="20"/>
                <w:szCs w:val="20"/>
              </w:rPr>
              <w:t> </w:t>
            </w:r>
          </w:p>
        </w:tc>
        <w:tc>
          <w:tcPr>
            <w:tcW w:w="573" w:type="pct"/>
            <w:tcBorders>
              <w:bottom w:val="single" w:sz="4" w:space="0" w:color="auto"/>
            </w:tcBorders>
            <w:shd w:val="clear" w:color="auto" w:fill="F2F2F2" w:themeFill="background1" w:themeFillShade="F2"/>
          </w:tcPr>
          <w:p w14:paraId="0A25F5EB" w14:textId="7FB0DEC2" w:rsidR="00476363" w:rsidRDefault="00476363" w:rsidP="00476363">
            <w:pPr>
              <w:jc w:val="right"/>
              <w:rPr>
                <w:rFonts w:asciiTheme="minorHAnsi" w:hAnsiTheme="minorHAnsi" w:cs="Arial"/>
                <w:b/>
                <w:sz w:val="20"/>
                <w:szCs w:val="20"/>
              </w:rPr>
            </w:pPr>
            <w:r w:rsidRPr="002043BC">
              <w:rPr>
                <w:rFonts w:asciiTheme="minorHAnsi" w:hAnsiTheme="minorHAnsi" w:cs="Arial"/>
                <w:b/>
                <w:sz w:val="18"/>
                <w:szCs w:val="18"/>
              </w:rPr>
              <w:t>-</w:t>
            </w:r>
          </w:p>
        </w:tc>
        <w:tc>
          <w:tcPr>
            <w:tcW w:w="463" w:type="pct"/>
            <w:tcBorders>
              <w:bottom w:val="single" w:sz="4" w:space="0" w:color="auto"/>
            </w:tcBorders>
            <w:shd w:val="clear" w:color="auto" w:fill="F2F2F2" w:themeFill="background1" w:themeFillShade="F2"/>
          </w:tcPr>
          <w:p w14:paraId="3AAE43A4" w14:textId="37DBAEF5" w:rsidR="00925514" w:rsidRPr="00B35AB9" w:rsidRDefault="00925514" w:rsidP="00E20AFD">
            <w:pPr>
              <w:jc w:val="right"/>
              <w:rPr>
                <w:rFonts w:asciiTheme="minorHAnsi" w:hAnsiTheme="minorHAnsi" w:cs="Arial"/>
                <w:b/>
                <w:sz w:val="20"/>
                <w:szCs w:val="20"/>
              </w:rPr>
            </w:pPr>
            <w:r w:rsidRPr="00B35AB9">
              <w:rPr>
                <w:rFonts w:asciiTheme="minorHAnsi" w:hAnsiTheme="minorHAnsi" w:cs="Arial"/>
                <w:b/>
                <w:sz w:val="20"/>
                <w:szCs w:val="20"/>
              </w:rPr>
              <w:t>-</w:t>
            </w:r>
          </w:p>
        </w:tc>
        <w:tc>
          <w:tcPr>
            <w:tcW w:w="428" w:type="pct"/>
            <w:tcBorders>
              <w:bottom w:val="single" w:sz="4" w:space="0" w:color="auto"/>
            </w:tcBorders>
            <w:shd w:val="clear" w:color="auto" w:fill="F2F2F2" w:themeFill="background1" w:themeFillShade="F2"/>
            <w:vAlign w:val="center"/>
          </w:tcPr>
          <w:p w14:paraId="1AB34AD8" w14:textId="1A6DCD17" w:rsidR="00476363" w:rsidRDefault="00DF0CBF" w:rsidP="00476363">
            <w:pPr>
              <w:jc w:val="right"/>
              <w:rPr>
                <w:rFonts w:asciiTheme="minorHAnsi" w:hAnsiTheme="minorHAnsi" w:cs="Arial"/>
                <w:b/>
                <w:sz w:val="20"/>
                <w:szCs w:val="20"/>
              </w:rPr>
            </w:pPr>
            <w:r>
              <w:rPr>
                <w:rFonts w:ascii="Calibri" w:hAnsi="Calibri" w:cs="Calibri"/>
                <w:b/>
                <w:bCs/>
                <w:color w:val="000000"/>
                <w:sz w:val="20"/>
                <w:szCs w:val="20"/>
              </w:rPr>
              <w:t>- </w:t>
            </w:r>
          </w:p>
        </w:tc>
        <w:tc>
          <w:tcPr>
            <w:tcW w:w="435" w:type="pct"/>
            <w:tcBorders>
              <w:bottom w:val="single" w:sz="4" w:space="0" w:color="auto"/>
            </w:tcBorders>
            <w:shd w:val="clear" w:color="auto" w:fill="F2F2F2" w:themeFill="background1" w:themeFillShade="F2"/>
            <w:vAlign w:val="center"/>
          </w:tcPr>
          <w:p w14:paraId="6B4AF5AA" w14:textId="0161B16B" w:rsidR="00476363" w:rsidRPr="006D4208" w:rsidRDefault="00DF6FF9" w:rsidP="00476363">
            <w:pPr>
              <w:jc w:val="right"/>
              <w:rPr>
                <w:rFonts w:asciiTheme="minorHAnsi" w:hAnsiTheme="minorHAnsi" w:cs="Arial"/>
                <w:b/>
                <w:sz w:val="20"/>
                <w:szCs w:val="20"/>
              </w:rPr>
            </w:pPr>
            <w:r>
              <w:rPr>
                <w:rFonts w:ascii="Calibri" w:hAnsi="Calibri" w:cs="Calibri"/>
                <w:b/>
                <w:bCs/>
                <w:color w:val="000000"/>
                <w:sz w:val="20"/>
                <w:szCs w:val="20"/>
              </w:rPr>
              <w:t>(2.9)</w:t>
            </w:r>
          </w:p>
        </w:tc>
      </w:tr>
      <w:tr w:rsidR="00327A1E" w:rsidRPr="00B835E3" w14:paraId="3276C81C" w14:textId="77777777" w:rsidTr="007F7783">
        <w:trPr>
          <w:trHeight w:val="230"/>
        </w:trPr>
        <w:tc>
          <w:tcPr>
            <w:tcW w:w="1131" w:type="pct"/>
            <w:shd w:val="clear" w:color="auto" w:fill="F2F2F2" w:themeFill="background1" w:themeFillShade="F2"/>
          </w:tcPr>
          <w:p w14:paraId="6E91DC20" w14:textId="77283F28" w:rsidR="00476363" w:rsidRPr="00EF01FF" w:rsidRDefault="00476363" w:rsidP="00476363">
            <w:pPr>
              <w:rPr>
                <w:rFonts w:asciiTheme="minorHAnsi" w:hAnsiTheme="minorHAnsi" w:cs="Arial"/>
                <w:b/>
                <w:bCs/>
                <w:sz w:val="20"/>
                <w:szCs w:val="20"/>
                <w:lang w:val="en-US"/>
              </w:rPr>
            </w:pPr>
            <w:r w:rsidRPr="00EF01FF">
              <w:rPr>
                <w:rFonts w:asciiTheme="minorHAnsi" w:hAnsiTheme="minorHAnsi" w:cs="Arial"/>
                <w:b/>
                <w:bCs/>
                <w:sz w:val="20"/>
                <w:szCs w:val="20"/>
                <w:lang w:val="en-US"/>
              </w:rPr>
              <w:t>At 30 June 2025</w:t>
            </w:r>
            <w:r w:rsidR="00925514">
              <w:rPr>
                <w:rFonts w:asciiTheme="minorHAnsi" w:hAnsiTheme="minorHAnsi" w:cs="Arial"/>
                <w:b/>
                <w:bCs/>
                <w:sz w:val="20"/>
                <w:szCs w:val="20"/>
                <w:lang w:val="en-US"/>
              </w:rPr>
              <w:t xml:space="preserve"> </w:t>
            </w:r>
            <w:r w:rsidR="00881EFC">
              <w:rPr>
                <w:rFonts w:asciiTheme="minorHAnsi" w:hAnsiTheme="minorHAnsi" w:cs="Arial"/>
                <w:b/>
                <w:bCs/>
                <w:sz w:val="20"/>
                <w:szCs w:val="20"/>
                <w:lang w:val="en-US"/>
              </w:rPr>
              <w:t>(</w:t>
            </w:r>
            <w:r w:rsidR="00925514">
              <w:rPr>
                <w:rFonts w:asciiTheme="minorHAnsi" w:hAnsiTheme="minorHAnsi" w:cs="Arial"/>
                <w:b/>
                <w:bCs/>
                <w:sz w:val="20"/>
                <w:szCs w:val="20"/>
                <w:lang w:val="en-US"/>
              </w:rPr>
              <w:t>unaudited</w:t>
            </w:r>
            <w:r w:rsidR="00881EFC">
              <w:rPr>
                <w:rFonts w:asciiTheme="minorHAnsi" w:hAnsiTheme="minorHAnsi" w:cs="Arial"/>
                <w:b/>
                <w:bCs/>
                <w:sz w:val="20"/>
                <w:szCs w:val="20"/>
                <w:lang w:val="en-US"/>
              </w:rPr>
              <w:t>)</w:t>
            </w:r>
          </w:p>
        </w:tc>
        <w:tc>
          <w:tcPr>
            <w:tcW w:w="633" w:type="pct"/>
            <w:tcBorders>
              <w:top w:val="single" w:sz="4" w:space="0" w:color="auto"/>
              <w:bottom w:val="single" w:sz="4" w:space="0" w:color="auto"/>
            </w:tcBorders>
            <w:shd w:val="clear" w:color="auto" w:fill="F2F2F2" w:themeFill="background1" w:themeFillShade="F2"/>
            <w:vAlign w:val="center"/>
          </w:tcPr>
          <w:p w14:paraId="360AF08B" w14:textId="1BE002FB" w:rsidR="00476363" w:rsidRDefault="00CB3526" w:rsidP="00476363">
            <w:pPr>
              <w:jc w:val="right"/>
              <w:rPr>
                <w:rFonts w:asciiTheme="minorHAnsi" w:hAnsiTheme="minorHAnsi" w:cs="Arial"/>
                <w:b/>
                <w:sz w:val="20"/>
                <w:szCs w:val="20"/>
              </w:rPr>
            </w:pPr>
            <w:r w:rsidRPr="001D4925">
              <w:rPr>
                <w:rFonts w:ascii="Calibri" w:hAnsi="Calibri" w:cs="Calibri"/>
                <w:b/>
                <w:bCs/>
                <w:color w:val="000000"/>
                <w:sz w:val="20"/>
                <w:szCs w:val="20"/>
              </w:rPr>
              <w:t>2.5</w:t>
            </w:r>
          </w:p>
        </w:tc>
        <w:tc>
          <w:tcPr>
            <w:tcW w:w="704" w:type="pct"/>
            <w:tcBorders>
              <w:top w:val="single" w:sz="4" w:space="0" w:color="auto"/>
              <w:bottom w:val="single" w:sz="4" w:space="0" w:color="auto"/>
            </w:tcBorders>
            <w:shd w:val="clear" w:color="auto" w:fill="F2F2F2" w:themeFill="background1" w:themeFillShade="F2"/>
            <w:vAlign w:val="center"/>
          </w:tcPr>
          <w:p w14:paraId="5CBAD44B" w14:textId="7BDF17FF" w:rsidR="00476363" w:rsidRDefault="00CB3526" w:rsidP="00476363">
            <w:pPr>
              <w:jc w:val="right"/>
              <w:rPr>
                <w:rFonts w:asciiTheme="minorHAnsi" w:hAnsiTheme="minorHAnsi" w:cs="Arial"/>
                <w:b/>
                <w:bCs/>
                <w:sz w:val="20"/>
                <w:szCs w:val="20"/>
              </w:rPr>
            </w:pPr>
            <w:r w:rsidRPr="001D4925">
              <w:rPr>
                <w:rFonts w:ascii="Calibri" w:hAnsi="Calibri" w:cs="Calibri"/>
                <w:b/>
                <w:bCs/>
                <w:color w:val="000000"/>
                <w:sz w:val="20"/>
                <w:szCs w:val="20"/>
              </w:rPr>
              <w:t>6.4</w:t>
            </w:r>
          </w:p>
        </w:tc>
        <w:tc>
          <w:tcPr>
            <w:tcW w:w="633" w:type="pct"/>
            <w:tcBorders>
              <w:top w:val="single" w:sz="4" w:space="0" w:color="auto"/>
              <w:bottom w:val="single" w:sz="4" w:space="0" w:color="auto"/>
            </w:tcBorders>
            <w:shd w:val="clear" w:color="auto" w:fill="F2F2F2" w:themeFill="background1" w:themeFillShade="F2"/>
            <w:vAlign w:val="center"/>
          </w:tcPr>
          <w:p w14:paraId="5191D332" w14:textId="38A87B8C" w:rsidR="00476363" w:rsidRDefault="00716391" w:rsidP="00476363">
            <w:pPr>
              <w:jc w:val="right"/>
              <w:rPr>
                <w:rFonts w:asciiTheme="minorHAnsi" w:hAnsiTheme="minorHAnsi" w:cs="Arial"/>
                <w:b/>
                <w:sz w:val="20"/>
                <w:szCs w:val="20"/>
              </w:rPr>
            </w:pPr>
            <w:r w:rsidRPr="001D4925">
              <w:rPr>
                <w:rFonts w:ascii="Calibri" w:hAnsi="Calibri" w:cs="Calibri"/>
                <w:b/>
                <w:color w:val="000000"/>
                <w:sz w:val="20"/>
                <w:szCs w:val="20"/>
              </w:rPr>
              <w:t>0.1</w:t>
            </w:r>
          </w:p>
        </w:tc>
        <w:tc>
          <w:tcPr>
            <w:tcW w:w="573" w:type="pct"/>
            <w:tcBorders>
              <w:top w:val="single" w:sz="4" w:space="0" w:color="auto"/>
              <w:bottom w:val="single" w:sz="4" w:space="0" w:color="auto"/>
            </w:tcBorders>
            <w:shd w:val="clear" w:color="auto" w:fill="F2F2F2" w:themeFill="background1" w:themeFillShade="F2"/>
            <w:vAlign w:val="center"/>
          </w:tcPr>
          <w:p w14:paraId="12DF04A1" w14:textId="3F5EB6A8" w:rsidR="00476363" w:rsidRPr="00B35AB9" w:rsidRDefault="00476363" w:rsidP="00476363">
            <w:pPr>
              <w:jc w:val="right"/>
              <w:rPr>
                <w:rFonts w:asciiTheme="minorHAnsi" w:hAnsiTheme="minorHAnsi" w:cs="Arial"/>
                <w:b/>
                <w:sz w:val="20"/>
                <w:szCs w:val="20"/>
              </w:rPr>
            </w:pPr>
            <w:r w:rsidRPr="00B35AB9">
              <w:rPr>
                <w:rFonts w:asciiTheme="minorHAnsi" w:hAnsiTheme="minorHAnsi" w:cs="Arial"/>
                <w:b/>
                <w:sz w:val="18"/>
                <w:szCs w:val="18"/>
              </w:rPr>
              <w:t>-</w:t>
            </w:r>
          </w:p>
        </w:tc>
        <w:tc>
          <w:tcPr>
            <w:tcW w:w="463" w:type="pct"/>
            <w:tcBorders>
              <w:top w:val="single" w:sz="4" w:space="0" w:color="auto"/>
              <w:bottom w:val="single" w:sz="4" w:space="0" w:color="auto"/>
            </w:tcBorders>
            <w:shd w:val="clear" w:color="auto" w:fill="F2F2F2" w:themeFill="background1" w:themeFillShade="F2"/>
            <w:vAlign w:val="center"/>
          </w:tcPr>
          <w:p w14:paraId="1C437907" w14:textId="01D3CE91" w:rsidR="00925514" w:rsidRPr="00B35AB9" w:rsidRDefault="00925514" w:rsidP="00E20AFD">
            <w:pPr>
              <w:jc w:val="right"/>
              <w:rPr>
                <w:rFonts w:asciiTheme="minorHAnsi" w:hAnsiTheme="minorHAnsi" w:cs="Arial"/>
                <w:b/>
                <w:sz w:val="20"/>
                <w:szCs w:val="20"/>
              </w:rPr>
            </w:pPr>
            <w:r w:rsidRPr="00B35AB9">
              <w:rPr>
                <w:rFonts w:asciiTheme="minorHAnsi" w:hAnsiTheme="minorHAnsi" w:cs="Arial"/>
                <w:b/>
                <w:sz w:val="20"/>
                <w:szCs w:val="20"/>
              </w:rPr>
              <w:t>-</w:t>
            </w:r>
          </w:p>
        </w:tc>
        <w:tc>
          <w:tcPr>
            <w:tcW w:w="428" w:type="pct"/>
            <w:tcBorders>
              <w:top w:val="single" w:sz="4" w:space="0" w:color="auto"/>
              <w:bottom w:val="single" w:sz="4" w:space="0" w:color="auto"/>
            </w:tcBorders>
            <w:shd w:val="clear" w:color="auto" w:fill="F2F2F2" w:themeFill="background1" w:themeFillShade="F2"/>
            <w:vAlign w:val="center"/>
          </w:tcPr>
          <w:p w14:paraId="066F2C3F" w14:textId="32988D4A" w:rsidR="00476363" w:rsidRPr="0019067E" w:rsidRDefault="00DF0CBF" w:rsidP="00476363">
            <w:pPr>
              <w:jc w:val="right"/>
              <w:rPr>
                <w:rFonts w:asciiTheme="minorHAnsi" w:hAnsiTheme="minorHAnsi" w:cs="Arial"/>
                <w:b/>
                <w:sz w:val="20"/>
                <w:szCs w:val="20"/>
              </w:rPr>
            </w:pPr>
            <w:r w:rsidRPr="001D4925">
              <w:rPr>
                <w:rFonts w:ascii="Calibri" w:hAnsi="Calibri" w:cs="Calibri"/>
                <w:b/>
                <w:color w:val="000000"/>
                <w:sz w:val="20"/>
                <w:szCs w:val="20"/>
              </w:rPr>
              <w:t>0.2</w:t>
            </w:r>
          </w:p>
        </w:tc>
        <w:tc>
          <w:tcPr>
            <w:tcW w:w="435" w:type="pct"/>
            <w:tcBorders>
              <w:top w:val="single" w:sz="4" w:space="0" w:color="auto"/>
              <w:bottom w:val="single" w:sz="4" w:space="0" w:color="auto"/>
            </w:tcBorders>
            <w:shd w:val="clear" w:color="auto" w:fill="F2F2F2" w:themeFill="background1" w:themeFillShade="F2"/>
            <w:vAlign w:val="center"/>
          </w:tcPr>
          <w:p w14:paraId="72012F0C" w14:textId="21712B26" w:rsidR="00476363" w:rsidRPr="0019067E" w:rsidRDefault="00DF6FF9" w:rsidP="00476363">
            <w:pPr>
              <w:jc w:val="right"/>
              <w:rPr>
                <w:rFonts w:asciiTheme="minorHAnsi" w:hAnsiTheme="minorHAnsi" w:cs="Arial"/>
                <w:b/>
                <w:sz w:val="20"/>
                <w:szCs w:val="20"/>
              </w:rPr>
            </w:pPr>
            <w:r w:rsidRPr="001D4925">
              <w:rPr>
                <w:rFonts w:ascii="Calibri" w:hAnsi="Calibri" w:cs="Calibri"/>
                <w:b/>
                <w:color w:val="000000"/>
                <w:sz w:val="20"/>
                <w:szCs w:val="20"/>
              </w:rPr>
              <w:t>9.2</w:t>
            </w:r>
          </w:p>
        </w:tc>
      </w:tr>
    </w:tbl>
    <w:p w14:paraId="46DBB62F" w14:textId="77777777" w:rsidR="004C6F16" w:rsidRDefault="004C6F16" w:rsidP="00A1425C">
      <w:pPr>
        <w:autoSpaceDE w:val="0"/>
        <w:autoSpaceDN w:val="0"/>
        <w:adjustRightInd w:val="0"/>
        <w:jc w:val="both"/>
        <w:rPr>
          <w:rFonts w:asciiTheme="minorHAnsi" w:hAnsiTheme="minorHAnsi" w:cs="Poppins-Light"/>
          <w:b/>
          <w:bCs/>
          <w:sz w:val="20"/>
          <w:szCs w:val="20"/>
        </w:rPr>
      </w:pPr>
    </w:p>
    <w:p w14:paraId="250EED4F" w14:textId="77777777" w:rsidR="00992F77" w:rsidRDefault="00992F77" w:rsidP="008772F6">
      <w:pPr>
        <w:autoSpaceDE w:val="0"/>
        <w:autoSpaceDN w:val="0"/>
        <w:adjustRightInd w:val="0"/>
        <w:jc w:val="both"/>
        <w:rPr>
          <w:rFonts w:asciiTheme="minorHAnsi" w:hAnsiTheme="minorHAnsi" w:cs="Poppins-Light"/>
          <w:b/>
          <w:sz w:val="20"/>
          <w:szCs w:val="20"/>
        </w:rPr>
      </w:pPr>
    </w:p>
    <w:p w14:paraId="10618613" w14:textId="13C28620" w:rsidR="008772F6" w:rsidRPr="008772F6" w:rsidRDefault="008772F6" w:rsidP="008772F6">
      <w:pPr>
        <w:autoSpaceDE w:val="0"/>
        <w:autoSpaceDN w:val="0"/>
        <w:adjustRightInd w:val="0"/>
        <w:jc w:val="both"/>
        <w:rPr>
          <w:rFonts w:asciiTheme="minorHAnsi" w:hAnsiTheme="minorHAnsi" w:cs="Poppins-Light"/>
          <w:b/>
          <w:sz w:val="20"/>
          <w:szCs w:val="20"/>
        </w:rPr>
      </w:pPr>
      <w:r w:rsidRPr="008772F6">
        <w:rPr>
          <w:rFonts w:asciiTheme="minorHAnsi" w:hAnsiTheme="minorHAnsi" w:cs="Poppins-Light"/>
          <w:b/>
          <w:sz w:val="20"/>
          <w:szCs w:val="20"/>
        </w:rPr>
        <w:t>Customer compliance: £</w:t>
      </w:r>
      <w:r w:rsidR="007F7783" w:rsidRPr="007F7783">
        <w:rPr>
          <w:rFonts w:asciiTheme="minorHAnsi" w:hAnsiTheme="minorHAnsi" w:cs="Poppins-Light"/>
          <w:b/>
          <w:sz w:val="20"/>
          <w:szCs w:val="20"/>
        </w:rPr>
        <w:t>2.5</w:t>
      </w:r>
      <w:r w:rsidRPr="007F7783">
        <w:rPr>
          <w:rFonts w:asciiTheme="minorHAnsi" w:hAnsiTheme="minorHAnsi" w:cs="Poppins-Light"/>
          <w:b/>
          <w:sz w:val="20"/>
          <w:szCs w:val="20"/>
        </w:rPr>
        <w:t>m</w:t>
      </w:r>
      <w:r w:rsidRPr="00961EC3">
        <w:rPr>
          <w:rFonts w:asciiTheme="minorHAnsi" w:hAnsiTheme="minorHAnsi" w:cs="Poppins-Light"/>
          <w:b/>
          <w:sz w:val="20"/>
          <w:szCs w:val="20"/>
        </w:rPr>
        <w:t xml:space="preserve"> (</w:t>
      </w:r>
      <w:r w:rsidR="00E1648A" w:rsidRPr="00961EC3">
        <w:rPr>
          <w:rFonts w:asciiTheme="minorHAnsi" w:hAnsiTheme="minorHAnsi" w:cs="Poppins-Light"/>
          <w:b/>
          <w:sz w:val="20"/>
          <w:szCs w:val="20"/>
        </w:rPr>
        <w:t>FY24: £</w:t>
      </w:r>
      <w:r w:rsidRPr="00961EC3">
        <w:rPr>
          <w:rFonts w:asciiTheme="minorHAnsi" w:hAnsiTheme="minorHAnsi" w:cs="Poppins-Light"/>
          <w:b/>
          <w:sz w:val="20"/>
          <w:szCs w:val="20"/>
        </w:rPr>
        <w:t>7.4</w:t>
      </w:r>
      <w:r>
        <w:rPr>
          <w:rFonts w:asciiTheme="minorHAnsi" w:hAnsiTheme="minorHAnsi" w:cs="Poppins-Light"/>
          <w:b/>
          <w:sz w:val="20"/>
          <w:szCs w:val="20"/>
        </w:rPr>
        <w:t>m</w:t>
      </w:r>
      <w:r w:rsidR="004C7FE2">
        <w:rPr>
          <w:rFonts w:asciiTheme="minorHAnsi" w:hAnsiTheme="minorHAnsi" w:cs="Poppins-Light"/>
          <w:b/>
          <w:sz w:val="20"/>
          <w:szCs w:val="20"/>
        </w:rPr>
        <w:t>:</w:t>
      </w:r>
      <w:r w:rsidR="00E1648A" w:rsidRPr="00961EC3">
        <w:rPr>
          <w:rFonts w:asciiTheme="minorHAnsi" w:hAnsiTheme="minorHAnsi" w:cs="Poppins-Light"/>
          <w:b/>
          <w:sz w:val="20"/>
          <w:szCs w:val="20"/>
        </w:rPr>
        <w:t xml:space="preserve"> 1H24</w:t>
      </w:r>
      <w:r w:rsidR="00205BED" w:rsidRPr="00961EC3">
        <w:rPr>
          <w:rFonts w:asciiTheme="minorHAnsi" w:hAnsiTheme="minorHAnsi" w:cs="Poppins-Light"/>
          <w:b/>
          <w:sz w:val="20"/>
          <w:szCs w:val="20"/>
        </w:rPr>
        <w:t>; £</w:t>
      </w:r>
      <w:r w:rsidR="00961EC3" w:rsidRPr="00961EC3">
        <w:rPr>
          <w:rFonts w:asciiTheme="minorHAnsi" w:hAnsiTheme="minorHAnsi" w:cs="Poppins-Light"/>
          <w:b/>
          <w:sz w:val="20"/>
          <w:szCs w:val="20"/>
        </w:rPr>
        <w:t>8.2</w:t>
      </w:r>
      <w:r w:rsidR="00205BED" w:rsidRPr="00961EC3">
        <w:rPr>
          <w:rFonts w:asciiTheme="minorHAnsi" w:hAnsiTheme="minorHAnsi" w:cs="Poppins-Light"/>
          <w:b/>
          <w:sz w:val="20"/>
          <w:szCs w:val="20"/>
        </w:rPr>
        <w:t>m</w:t>
      </w:r>
      <w:r w:rsidRPr="00961EC3">
        <w:rPr>
          <w:rFonts w:asciiTheme="minorHAnsi" w:hAnsiTheme="minorHAnsi" w:cs="Poppins-Light"/>
          <w:b/>
          <w:sz w:val="20"/>
          <w:szCs w:val="20"/>
        </w:rPr>
        <w:t>)</w:t>
      </w:r>
      <w:r w:rsidRPr="008772F6">
        <w:rPr>
          <w:rFonts w:asciiTheme="minorHAnsi" w:hAnsiTheme="minorHAnsi" w:cs="Poppins-Light"/>
          <w:b/>
          <w:sz w:val="20"/>
          <w:szCs w:val="20"/>
        </w:rPr>
        <w:t xml:space="preserve"> </w:t>
      </w:r>
    </w:p>
    <w:p w14:paraId="6A5D962B" w14:textId="77777777" w:rsidR="00992F77" w:rsidRDefault="00992F77" w:rsidP="008772F6">
      <w:pPr>
        <w:autoSpaceDE w:val="0"/>
        <w:autoSpaceDN w:val="0"/>
        <w:adjustRightInd w:val="0"/>
        <w:jc w:val="both"/>
        <w:rPr>
          <w:rFonts w:asciiTheme="minorHAnsi" w:hAnsiTheme="minorHAnsi" w:cs="Poppins-Light"/>
          <w:sz w:val="20"/>
          <w:szCs w:val="20"/>
        </w:rPr>
      </w:pPr>
    </w:p>
    <w:p w14:paraId="08614865" w14:textId="2FF32AD1" w:rsidR="008772F6" w:rsidRPr="008772F6" w:rsidRDefault="008772F6" w:rsidP="008772F6">
      <w:pPr>
        <w:autoSpaceDE w:val="0"/>
        <w:autoSpaceDN w:val="0"/>
        <w:adjustRightInd w:val="0"/>
        <w:jc w:val="both"/>
        <w:rPr>
          <w:rFonts w:asciiTheme="minorHAnsi" w:hAnsiTheme="minorHAnsi" w:cs="Poppins-Light"/>
          <w:sz w:val="20"/>
          <w:szCs w:val="20"/>
        </w:rPr>
      </w:pPr>
      <w:r w:rsidRPr="008772F6">
        <w:rPr>
          <w:rFonts w:asciiTheme="minorHAnsi" w:hAnsiTheme="minorHAnsi" w:cs="Poppins-Light"/>
          <w:sz w:val="20"/>
          <w:szCs w:val="20"/>
        </w:rPr>
        <w:t xml:space="preserve">The customer </w:t>
      </w:r>
      <w:r w:rsidR="00BA0A21" w:rsidRPr="008772F6">
        <w:rPr>
          <w:rFonts w:asciiTheme="minorHAnsi" w:hAnsiTheme="minorHAnsi" w:cs="Poppins-Light"/>
          <w:sz w:val="20"/>
          <w:szCs w:val="20"/>
        </w:rPr>
        <w:t>remediation</w:t>
      </w:r>
      <w:r w:rsidRPr="008772F6">
        <w:rPr>
          <w:rFonts w:asciiTheme="minorHAnsi" w:hAnsiTheme="minorHAnsi" w:cs="Poppins-Light"/>
          <w:sz w:val="20"/>
          <w:szCs w:val="20"/>
        </w:rPr>
        <w:t xml:space="preserve"> provision relates to general customer compliance matters. This </w:t>
      </w:r>
      <w:r w:rsidRPr="007F7783">
        <w:rPr>
          <w:rFonts w:asciiTheme="minorHAnsi" w:hAnsiTheme="minorHAnsi" w:cs="Poppins-Light"/>
          <w:sz w:val="20"/>
          <w:szCs w:val="20"/>
        </w:rPr>
        <w:t>include</w:t>
      </w:r>
      <w:r w:rsidR="00163B60">
        <w:rPr>
          <w:rFonts w:asciiTheme="minorHAnsi" w:hAnsiTheme="minorHAnsi" w:cs="Poppins-Light"/>
          <w:sz w:val="20"/>
          <w:szCs w:val="20"/>
        </w:rPr>
        <w:t>d</w:t>
      </w:r>
      <w:r w:rsidRPr="008772F6">
        <w:rPr>
          <w:rFonts w:asciiTheme="minorHAnsi" w:hAnsiTheme="minorHAnsi" w:cs="Poppins-Light"/>
          <w:sz w:val="20"/>
          <w:szCs w:val="20"/>
        </w:rPr>
        <w:t xml:space="preserve"> the costs of processing a temporary uplift in unmerited customer claims from CMCs </w:t>
      </w:r>
      <w:r w:rsidR="001C39C1">
        <w:rPr>
          <w:rFonts w:asciiTheme="minorHAnsi" w:hAnsiTheme="minorHAnsi" w:cs="Poppins-Light"/>
          <w:sz w:val="20"/>
          <w:szCs w:val="20"/>
        </w:rPr>
        <w:t xml:space="preserve">up until the </w:t>
      </w:r>
      <w:r w:rsidR="00066291">
        <w:rPr>
          <w:rFonts w:asciiTheme="minorHAnsi" w:hAnsiTheme="minorHAnsi" w:cs="Poppins-Light"/>
          <w:sz w:val="20"/>
          <w:szCs w:val="20"/>
        </w:rPr>
        <w:t xml:space="preserve">revised FOS fee structure was implemented </w:t>
      </w:r>
      <w:r w:rsidR="00C620FA">
        <w:rPr>
          <w:rFonts w:asciiTheme="minorHAnsi" w:hAnsiTheme="minorHAnsi" w:cs="Poppins-Light"/>
          <w:sz w:val="20"/>
          <w:szCs w:val="20"/>
        </w:rPr>
        <w:t>in2Q25.</w:t>
      </w:r>
      <w:r w:rsidR="004641C5">
        <w:rPr>
          <w:rFonts w:asciiTheme="minorHAnsi" w:hAnsiTheme="minorHAnsi" w:cs="Poppins-Light"/>
          <w:sz w:val="20"/>
          <w:szCs w:val="20"/>
        </w:rPr>
        <w:t xml:space="preserve"> </w:t>
      </w:r>
      <w:r w:rsidRPr="008772F6">
        <w:rPr>
          <w:rFonts w:asciiTheme="minorHAnsi" w:hAnsiTheme="minorHAnsi" w:cs="Poppins-Light"/>
          <w:sz w:val="20"/>
          <w:szCs w:val="20"/>
        </w:rPr>
        <w:t xml:space="preserve">An amount for expected FOS fees is also included in the provision. </w:t>
      </w:r>
    </w:p>
    <w:p w14:paraId="2C8EF2DA" w14:textId="77777777" w:rsidR="00BA0A21" w:rsidRPr="008772F6" w:rsidRDefault="00BA0A21" w:rsidP="008772F6">
      <w:pPr>
        <w:autoSpaceDE w:val="0"/>
        <w:autoSpaceDN w:val="0"/>
        <w:adjustRightInd w:val="0"/>
        <w:jc w:val="both"/>
        <w:rPr>
          <w:rFonts w:asciiTheme="minorHAnsi" w:hAnsiTheme="minorHAnsi" w:cs="Poppins-Light"/>
          <w:sz w:val="20"/>
          <w:szCs w:val="20"/>
        </w:rPr>
      </w:pPr>
    </w:p>
    <w:p w14:paraId="1722F4BB" w14:textId="28A027EF" w:rsidR="008772F6" w:rsidRPr="008772F6" w:rsidRDefault="008772F6" w:rsidP="008772F6">
      <w:pPr>
        <w:autoSpaceDE w:val="0"/>
        <w:autoSpaceDN w:val="0"/>
        <w:adjustRightInd w:val="0"/>
        <w:jc w:val="both"/>
        <w:rPr>
          <w:rFonts w:asciiTheme="minorHAnsi" w:hAnsiTheme="minorHAnsi" w:cs="Poppins-Light"/>
          <w:b/>
          <w:sz w:val="20"/>
          <w:szCs w:val="20"/>
        </w:rPr>
      </w:pPr>
      <w:r w:rsidRPr="008772F6">
        <w:rPr>
          <w:rFonts w:asciiTheme="minorHAnsi" w:hAnsiTheme="minorHAnsi" w:cs="Poppins-Light"/>
          <w:b/>
          <w:sz w:val="20"/>
          <w:szCs w:val="20"/>
        </w:rPr>
        <w:t>Dilapidations</w:t>
      </w:r>
      <w:r w:rsidRPr="007F7783">
        <w:rPr>
          <w:rFonts w:asciiTheme="minorHAnsi" w:hAnsiTheme="minorHAnsi" w:cs="Poppins-Light"/>
          <w:b/>
          <w:sz w:val="20"/>
          <w:szCs w:val="20"/>
        </w:rPr>
        <w:t xml:space="preserve">: </w:t>
      </w:r>
      <w:r w:rsidRPr="0019067E">
        <w:rPr>
          <w:rFonts w:asciiTheme="minorHAnsi" w:hAnsiTheme="minorHAnsi" w:cs="Poppins-Light"/>
          <w:b/>
          <w:sz w:val="20"/>
          <w:szCs w:val="20"/>
        </w:rPr>
        <w:t>£</w:t>
      </w:r>
      <w:r w:rsidR="007F7783" w:rsidRPr="0019067E">
        <w:rPr>
          <w:rFonts w:asciiTheme="minorHAnsi" w:hAnsiTheme="minorHAnsi" w:cs="Poppins-Light"/>
          <w:b/>
          <w:sz w:val="20"/>
          <w:szCs w:val="20"/>
        </w:rPr>
        <w:t>6.4</w:t>
      </w:r>
      <w:r w:rsidR="00205BED" w:rsidRPr="0019067E">
        <w:rPr>
          <w:rFonts w:asciiTheme="minorHAnsi" w:hAnsiTheme="minorHAnsi" w:cs="Poppins-Light"/>
          <w:b/>
          <w:sz w:val="20"/>
          <w:szCs w:val="20"/>
        </w:rPr>
        <w:t>m</w:t>
      </w:r>
      <w:r w:rsidR="00205BED" w:rsidRPr="007F7783">
        <w:rPr>
          <w:rFonts w:asciiTheme="minorHAnsi" w:hAnsiTheme="minorHAnsi" w:cs="Poppins-Light"/>
          <w:b/>
          <w:sz w:val="20"/>
          <w:szCs w:val="20"/>
        </w:rPr>
        <w:t xml:space="preserve"> </w:t>
      </w:r>
      <w:r w:rsidR="00205BED" w:rsidRPr="00961EC3">
        <w:rPr>
          <w:rFonts w:asciiTheme="minorHAnsi" w:hAnsiTheme="minorHAnsi" w:cs="Poppins-Light"/>
          <w:b/>
          <w:sz w:val="20"/>
          <w:szCs w:val="20"/>
        </w:rPr>
        <w:t>(FY24: £</w:t>
      </w:r>
      <w:r w:rsidRPr="00961EC3">
        <w:rPr>
          <w:rFonts w:asciiTheme="minorHAnsi" w:hAnsiTheme="minorHAnsi" w:cs="Poppins-Light"/>
          <w:b/>
          <w:sz w:val="20"/>
          <w:szCs w:val="20"/>
        </w:rPr>
        <w:t>6.4</w:t>
      </w:r>
      <w:r>
        <w:rPr>
          <w:rFonts w:asciiTheme="minorHAnsi" w:hAnsiTheme="minorHAnsi" w:cs="Poppins-Light"/>
          <w:b/>
          <w:sz w:val="20"/>
          <w:szCs w:val="20"/>
        </w:rPr>
        <w:t>m</w:t>
      </w:r>
      <w:r w:rsidR="00205BED" w:rsidRPr="00961EC3">
        <w:rPr>
          <w:rFonts w:asciiTheme="minorHAnsi" w:hAnsiTheme="minorHAnsi" w:cs="Poppins-Light"/>
          <w:b/>
          <w:sz w:val="20"/>
          <w:szCs w:val="20"/>
        </w:rPr>
        <w:t>; 1H24</w:t>
      </w:r>
      <w:r w:rsidR="004C7FE2">
        <w:rPr>
          <w:rFonts w:asciiTheme="minorHAnsi" w:hAnsiTheme="minorHAnsi" w:cs="Poppins-Light"/>
          <w:b/>
          <w:sz w:val="20"/>
          <w:szCs w:val="20"/>
        </w:rPr>
        <w:t>:</w:t>
      </w:r>
      <w:r w:rsidR="00205BED" w:rsidRPr="00961EC3">
        <w:rPr>
          <w:rFonts w:asciiTheme="minorHAnsi" w:hAnsiTheme="minorHAnsi" w:cs="Poppins-Light"/>
          <w:b/>
          <w:sz w:val="20"/>
          <w:szCs w:val="20"/>
        </w:rPr>
        <w:t xml:space="preserve"> £</w:t>
      </w:r>
      <w:r w:rsidR="00961EC3" w:rsidRPr="00961EC3">
        <w:rPr>
          <w:rFonts w:asciiTheme="minorHAnsi" w:hAnsiTheme="minorHAnsi" w:cs="Poppins-Light"/>
          <w:b/>
          <w:sz w:val="20"/>
          <w:szCs w:val="20"/>
        </w:rPr>
        <w:t>5</w:t>
      </w:r>
      <w:r w:rsidRPr="00961EC3">
        <w:rPr>
          <w:rFonts w:asciiTheme="minorHAnsi" w:hAnsiTheme="minorHAnsi" w:cs="Poppins-Light"/>
          <w:b/>
          <w:sz w:val="20"/>
          <w:szCs w:val="20"/>
        </w:rPr>
        <w:t>.2m)</w:t>
      </w:r>
    </w:p>
    <w:p w14:paraId="33135997" w14:textId="77777777" w:rsidR="008772F6" w:rsidRPr="008772F6" w:rsidRDefault="008772F6" w:rsidP="008772F6">
      <w:pPr>
        <w:autoSpaceDE w:val="0"/>
        <w:autoSpaceDN w:val="0"/>
        <w:adjustRightInd w:val="0"/>
        <w:jc w:val="both"/>
        <w:rPr>
          <w:rFonts w:asciiTheme="minorHAnsi" w:hAnsiTheme="minorHAnsi" w:cs="Poppins-Light"/>
          <w:sz w:val="20"/>
          <w:szCs w:val="20"/>
        </w:rPr>
      </w:pPr>
      <w:r w:rsidRPr="008772F6">
        <w:rPr>
          <w:rFonts w:asciiTheme="minorHAnsi" w:hAnsiTheme="minorHAnsi" w:cs="Poppins-Light"/>
          <w:sz w:val="20"/>
          <w:szCs w:val="20"/>
        </w:rPr>
        <w:t>Additional dilapidations costs recognised in 2024 and provisions now being held for all properties.</w:t>
      </w:r>
    </w:p>
    <w:p w14:paraId="0E9AA744" w14:textId="77777777" w:rsidR="00424D08" w:rsidRDefault="00424D08" w:rsidP="008772F6">
      <w:pPr>
        <w:autoSpaceDE w:val="0"/>
        <w:autoSpaceDN w:val="0"/>
        <w:adjustRightInd w:val="0"/>
        <w:jc w:val="both"/>
        <w:rPr>
          <w:rFonts w:asciiTheme="minorHAnsi" w:hAnsiTheme="minorHAnsi" w:cs="Poppins-Light"/>
          <w:b/>
          <w:sz w:val="20"/>
          <w:szCs w:val="20"/>
        </w:rPr>
      </w:pPr>
    </w:p>
    <w:p w14:paraId="18E14DFD" w14:textId="58E3A566" w:rsidR="008772F6" w:rsidRPr="008772F6" w:rsidRDefault="008772F6" w:rsidP="008772F6">
      <w:pPr>
        <w:autoSpaceDE w:val="0"/>
        <w:autoSpaceDN w:val="0"/>
        <w:adjustRightInd w:val="0"/>
        <w:jc w:val="both"/>
        <w:rPr>
          <w:rFonts w:asciiTheme="minorHAnsi" w:hAnsiTheme="minorHAnsi" w:cs="Poppins-Light"/>
          <w:b/>
          <w:sz w:val="20"/>
          <w:szCs w:val="20"/>
        </w:rPr>
      </w:pPr>
      <w:r w:rsidRPr="00961EC3">
        <w:rPr>
          <w:rFonts w:asciiTheme="minorHAnsi" w:hAnsiTheme="minorHAnsi" w:cs="Poppins-Light"/>
          <w:b/>
          <w:sz w:val="20"/>
          <w:szCs w:val="20"/>
        </w:rPr>
        <w:t xml:space="preserve">Redundancy </w:t>
      </w:r>
      <w:r w:rsidRPr="008772F6">
        <w:rPr>
          <w:rFonts w:asciiTheme="minorHAnsi" w:hAnsiTheme="minorHAnsi" w:cs="Poppins-Light"/>
          <w:b/>
          <w:sz w:val="20"/>
          <w:szCs w:val="20"/>
        </w:rPr>
        <w:t>£</w:t>
      </w:r>
      <w:r w:rsidR="007F7783" w:rsidRPr="007F7783">
        <w:rPr>
          <w:rFonts w:asciiTheme="minorHAnsi" w:hAnsiTheme="minorHAnsi" w:cs="Poppins-Light"/>
          <w:b/>
          <w:sz w:val="20"/>
          <w:szCs w:val="20"/>
        </w:rPr>
        <w:t>0.1</w:t>
      </w:r>
      <w:r w:rsidR="00205BED" w:rsidRPr="007F7783">
        <w:rPr>
          <w:rFonts w:asciiTheme="minorHAnsi" w:hAnsiTheme="minorHAnsi" w:cs="Poppins-Light"/>
          <w:b/>
          <w:sz w:val="20"/>
          <w:szCs w:val="20"/>
        </w:rPr>
        <w:t xml:space="preserve">m </w:t>
      </w:r>
      <w:r w:rsidR="00205BED" w:rsidRPr="00961EC3">
        <w:rPr>
          <w:rFonts w:asciiTheme="minorHAnsi" w:hAnsiTheme="minorHAnsi" w:cs="Poppins-Light"/>
          <w:b/>
          <w:sz w:val="20"/>
          <w:szCs w:val="20"/>
        </w:rPr>
        <w:t>(FY24: £</w:t>
      </w:r>
      <w:r w:rsidRPr="00961EC3">
        <w:rPr>
          <w:rFonts w:asciiTheme="minorHAnsi" w:hAnsiTheme="minorHAnsi" w:cs="Poppins-Light"/>
          <w:b/>
          <w:sz w:val="20"/>
          <w:szCs w:val="20"/>
        </w:rPr>
        <w:t>1.3m</w:t>
      </w:r>
      <w:r w:rsidR="00205BED" w:rsidRPr="00961EC3">
        <w:rPr>
          <w:rFonts w:asciiTheme="minorHAnsi" w:hAnsiTheme="minorHAnsi" w:cs="Poppins-Light"/>
          <w:b/>
          <w:sz w:val="20"/>
          <w:szCs w:val="20"/>
        </w:rPr>
        <w:t>; 1H24</w:t>
      </w:r>
      <w:r w:rsidR="004C7FE2">
        <w:rPr>
          <w:rFonts w:asciiTheme="minorHAnsi" w:hAnsiTheme="minorHAnsi" w:cs="Poppins-Light"/>
          <w:b/>
          <w:sz w:val="20"/>
          <w:szCs w:val="20"/>
        </w:rPr>
        <w:t>:</w:t>
      </w:r>
      <w:r w:rsidRPr="00961EC3">
        <w:rPr>
          <w:rFonts w:asciiTheme="minorHAnsi" w:hAnsiTheme="minorHAnsi" w:cs="Poppins-Light"/>
          <w:b/>
          <w:sz w:val="20"/>
          <w:szCs w:val="20"/>
        </w:rPr>
        <w:t xml:space="preserve"> £</w:t>
      </w:r>
      <w:r w:rsidR="0019067E">
        <w:rPr>
          <w:rFonts w:asciiTheme="minorHAnsi" w:hAnsiTheme="minorHAnsi" w:cs="Poppins-Light"/>
          <w:b/>
          <w:sz w:val="20"/>
          <w:szCs w:val="20"/>
        </w:rPr>
        <w:t>2.5</w:t>
      </w:r>
      <w:r w:rsidRPr="00961EC3">
        <w:rPr>
          <w:rFonts w:asciiTheme="minorHAnsi" w:hAnsiTheme="minorHAnsi" w:cs="Poppins-Light"/>
          <w:b/>
          <w:sz w:val="20"/>
          <w:szCs w:val="20"/>
        </w:rPr>
        <w:t>)</w:t>
      </w:r>
    </w:p>
    <w:p w14:paraId="1679A7EC" w14:textId="2BBA5D6C" w:rsidR="008772F6" w:rsidRPr="008772F6" w:rsidRDefault="008772F6" w:rsidP="008772F6">
      <w:pPr>
        <w:autoSpaceDE w:val="0"/>
        <w:autoSpaceDN w:val="0"/>
        <w:adjustRightInd w:val="0"/>
        <w:jc w:val="both"/>
        <w:rPr>
          <w:rFonts w:asciiTheme="minorHAnsi" w:hAnsiTheme="minorHAnsi" w:cs="Poppins-Light"/>
          <w:sz w:val="20"/>
          <w:szCs w:val="20"/>
        </w:rPr>
      </w:pPr>
      <w:r w:rsidRPr="008772F6">
        <w:rPr>
          <w:rFonts w:asciiTheme="minorHAnsi" w:hAnsiTheme="minorHAnsi" w:cs="Poppins-Light"/>
          <w:sz w:val="20"/>
          <w:szCs w:val="20"/>
        </w:rPr>
        <w:t xml:space="preserve">Costs expected to be paid out as part of redundancy programmes during the year. </w:t>
      </w:r>
    </w:p>
    <w:p w14:paraId="0D37E513" w14:textId="77777777" w:rsidR="00600791" w:rsidRDefault="00600791" w:rsidP="008772F6">
      <w:pPr>
        <w:autoSpaceDE w:val="0"/>
        <w:autoSpaceDN w:val="0"/>
        <w:adjustRightInd w:val="0"/>
        <w:jc w:val="both"/>
        <w:rPr>
          <w:rFonts w:asciiTheme="minorHAnsi" w:hAnsiTheme="minorHAnsi" w:cs="Poppins-Light"/>
          <w:b/>
          <w:sz w:val="20"/>
          <w:szCs w:val="20"/>
        </w:rPr>
      </w:pPr>
    </w:p>
    <w:p w14:paraId="7FF60A07" w14:textId="1C119B0D" w:rsidR="00D73FA6" w:rsidRDefault="003C6E5C" w:rsidP="008772F6">
      <w:pPr>
        <w:autoSpaceDE w:val="0"/>
        <w:autoSpaceDN w:val="0"/>
        <w:adjustRightInd w:val="0"/>
        <w:jc w:val="both"/>
        <w:rPr>
          <w:rFonts w:asciiTheme="minorHAnsi" w:hAnsiTheme="minorHAnsi" w:cs="Poppins-Light"/>
          <w:b/>
          <w:sz w:val="20"/>
          <w:szCs w:val="20"/>
        </w:rPr>
      </w:pPr>
      <w:r>
        <w:rPr>
          <w:rFonts w:asciiTheme="minorHAnsi" w:hAnsiTheme="minorHAnsi" w:cs="Poppins-Light"/>
          <w:b/>
          <w:sz w:val="20"/>
          <w:szCs w:val="20"/>
        </w:rPr>
        <w:t xml:space="preserve">Legal </w:t>
      </w:r>
      <w:r w:rsidR="00D73FA6">
        <w:rPr>
          <w:rFonts w:asciiTheme="minorHAnsi" w:hAnsiTheme="minorHAnsi" w:cs="Poppins-Light"/>
          <w:b/>
          <w:sz w:val="20"/>
          <w:szCs w:val="20"/>
        </w:rPr>
        <w:t xml:space="preserve">Settlement </w:t>
      </w:r>
      <w:r w:rsidR="00AE2B25" w:rsidRPr="00644B2C">
        <w:rPr>
          <w:rFonts w:asciiTheme="minorHAnsi" w:hAnsiTheme="minorHAnsi" w:cs="Poppins-Light"/>
          <w:b/>
          <w:color w:val="000000" w:themeColor="text1"/>
          <w:sz w:val="20"/>
          <w:szCs w:val="20"/>
        </w:rPr>
        <w:t>£nil (FY24: £nil</w:t>
      </w:r>
      <w:r w:rsidR="004C7FE2">
        <w:rPr>
          <w:rFonts w:asciiTheme="minorHAnsi" w:hAnsiTheme="minorHAnsi" w:cs="Poppins-Light"/>
          <w:b/>
          <w:color w:val="000000" w:themeColor="text1"/>
          <w:sz w:val="20"/>
          <w:szCs w:val="20"/>
        </w:rPr>
        <w:t>:</w:t>
      </w:r>
      <w:r w:rsidR="00AE2B25" w:rsidRPr="00644B2C">
        <w:rPr>
          <w:rFonts w:asciiTheme="minorHAnsi" w:hAnsiTheme="minorHAnsi" w:cs="Poppins-Light"/>
          <w:b/>
          <w:color w:val="000000" w:themeColor="text1"/>
          <w:sz w:val="20"/>
          <w:szCs w:val="20"/>
        </w:rPr>
        <w:t xml:space="preserve"> 1H24</w:t>
      </w:r>
      <w:r w:rsidR="004C7FE2">
        <w:rPr>
          <w:rFonts w:asciiTheme="minorHAnsi" w:hAnsiTheme="minorHAnsi" w:cs="Poppins-Light"/>
          <w:b/>
          <w:color w:val="000000" w:themeColor="text1"/>
          <w:sz w:val="20"/>
          <w:szCs w:val="20"/>
        </w:rPr>
        <w:t>:</w:t>
      </w:r>
      <w:r w:rsidR="00AE2B25" w:rsidRPr="00644B2C">
        <w:rPr>
          <w:rFonts w:asciiTheme="minorHAnsi" w:hAnsiTheme="minorHAnsi" w:cs="Poppins-Light"/>
          <w:b/>
          <w:color w:val="000000" w:themeColor="text1"/>
          <w:sz w:val="20"/>
          <w:szCs w:val="20"/>
        </w:rPr>
        <w:t xml:space="preserve"> £nil)</w:t>
      </w:r>
    </w:p>
    <w:p w14:paraId="180FA691" w14:textId="77777777" w:rsidR="003C6E5C" w:rsidRPr="008772F6" w:rsidRDefault="003C6E5C" w:rsidP="003C6E5C">
      <w:pPr>
        <w:autoSpaceDE w:val="0"/>
        <w:autoSpaceDN w:val="0"/>
        <w:adjustRightInd w:val="0"/>
        <w:jc w:val="both"/>
        <w:rPr>
          <w:rFonts w:asciiTheme="minorHAnsi" w:hAnsiTheme="minorHAnsi" w:cs="Poppins-Light"/>
          <w:sz w:val="20"/>
          <w:szCs w:val="20"/>
        </w:rPr>
      </w:pPr>
      <w:r w:rsidRPr="008772F6">
        <w:rPr>
          <w:rFonts w:asciiTheme="minorHAnsi" w:hAnsiTheme="minorHAnsi" w:cs="Poppins-Light"/>
          <w:sz w:val="20"/>
          <w:szCs w:val="20"/>
        </w:rPr>
        <w:t xml:space="preserve">Amounts were recognised in the year for an expected settlement with a third party. The amount was agreed and the provision transferred to accruals in advance of being settled in early 2025. </w:t>
      </w:r>
    </w:p>
    <w:p w14:paraId="13476B87" w14:textId="77777777" w:rsidR="00600791" w:rsidRDefault="00600791" w:rsidP="008772F6">
      <w:pPr>
        <w:autoSpaceDE w:val="0"/>
        <w:autoSpaceDN w:val="0"/>
        <w:adjustRightInd w:val="0"/>
        <w:jc w:val="both"/>
        <w:rPr>
          <w:rFonts w:asciiTheme="minorHAnsi" w:hAnsiTheme="minorHAnsi" w:cs="Poppins-Light"/>
          <w:b/>
          <w:sz w:val="20"/>
          <w:szCs w:val="20"/>
        </w:rPr>
      </w:pPr>
    </w:p>
    <w:p w14:paraId="510906CD" w14:textId="4AE1F079" w:rsidR="00562949" w:rsidRPr="007F7783" w:rsidRDefault="00562949" w:rsidP="00562949">
      <w:pPr>
        <w:autoSpaceDE w:val="0"/>
        <w:autoSpaceDN w:val="0"/>
        <w:adjustRightInd w:val="0"/>
        <w:jc w:val="both"/>
        <w:rPr>
          <w:rFonts w:asciiTheme="minorHAnsi" w:hAnsiTheme="minorHAnsi" w:cs="Arial"/>
          <w:b/>
          <w:color w:val="000000" w:themeColor="text1"/>
          <w:sz w:val="20"/>
          <w:szCs w:val="20"/>
        </w:rPr>
      </w:pPr>
      <w:r w:rsidRPr="007F7783">
        <w:rPr>
          <w:rFonts w:asciiTheme="minorHAnsi" w:hAnsiTheme="minorHAnsi" w:cs="Arial"/>
          <w:b/>
          <w:color w:val="000000" w:themeColor="text1"/>
          <w:sz w:val="20"/>
          <w:szCs w:val="20"/>
        </w:rPr>
        <w:t xml:space="preserve">The Scheme of Arrangement (the Scheme): </w:t>
      </w:r>
      <w:r w:rsidRPr="007F7783">
        <w:rPr>
          <w:rFonts w:asciiTheme="minorHAnsi" w:hAnsiTheme="minorHAnsi" w:cs="Poppins-Light"/>
          <w:b/>
          <w:color w:val="000000" w:themeColor="text1"/>
          <w:sz w:val="20"/>
          <w:szCs w:val="20"/>
        </w:rPr>
        <w:t>£nil (FY24: £nil</w:t>
      </w:r>
      <w:r w:rsidR="004C7FE2">
        <w:rPr>
          <w:rFonts w:asciiTheme="minorHAnsi" w:hAnsiTheme="minorHAnsi" w:cs="Poppins-Light"/>
          <w:b/>
          <w:color w:val="000000" w:themeColor="text1"/>
          <w:sz w:val="20"/>
          <w:szCs w:val="20"/>
        </w:rPr>
        <w:t>:</w:t>
      </w:r>
      <w:r w:rsidRPr="007F7783">
        <w:rPr>
          <w:rFonts w:asciiTheme="minorHAnsi" w:hAnsiTheme="minorHAnsi" w:cs="Poppins-Light"/>
          <w:b/>
          <w:color w:val="000000" w:themeColor="text1"/>
          <w:sz w:val="20"/>
          <w:szCs w:val="20"/>
        </w:rPr>
        <w:t xml:space="preserve"> 1H24</w:t>
      </w:r>
      <w:r w:rsidR="004C7FE2">
        <w:rPr>
          <w:rFonts w:asciiTheme="minorHAnsi" w:hAnsiTheme="minorHAnsi" w:cs="Poppins-Light"/>
          <w:b/>
          <w:color w:val="000000" w:themeColor="text1"/>
          <w:sz w:val="20"/>
          <w:szCs w:val="20"/>
        </w:rPr>
        <w:t>:</w:t>
      </w:r>
      <w:r w:rsidRPr="007F7783">
        <w:rPr>
          <w:rFonts w:asciiTheme="minorHAnsi" w:hAnsiTheme="minorHAnsi" w:cs="Poppins-Light"/>
          <w:b/>
          <w:color w:val="000000" w:themeColor="text1"/>
          <w:sz w:val="20"/>
          <w:szCs w:val="20"/>
        </w:rPr>
        <w:t xml:space="preserve"> £nil)</w:t>
      </w:r>
    </w:p>
    <w:p w14:paraId="6256C914" w14:textId="77777777" w:rsidR="00562949" w:rsidRPr="007F7783" w:rsidRDefault="00562949" w:rsidP="00562949">
      <w:pPr>
        <w:autoSpaceDE w:val="0"/>
        <w:autoSpaceDN w:val="0"/>
        <w:adjustRightInd w:val="0"/>
        <w:jc w:val="both"/>
        <w:rPr>
          <w:rFonts w:asciiTheme="minorHAnsi" w:hAnsiTheme="minorHAnsi" w:cs="Poppins-Light"/>
          <w:color w:val="000000" w:themeColor="text1"/>
          <w:sz w:val="20"/>
          <w:szCs w:val="20"/>
        </w:rPr>
      </w:pPr>
      <w:r w:rsidRPr="007F7783">
        <w:rPr>
          <w:rFonts w:asciiTheme="minorHAnsi" w:hAnsiTheme="minorHAnsi" w:cs="Poppins-Light"/>
          <w:color w:val="000000" w:themeColor="text1"/>
          <w:sz w:val="20"/>
          <w:szCs w:val="20"/>
        </w:rPr>
        <w:t xml:space="preserve">The Scheme of Arrangement was sanctioned on 30 July 2021 with the objective to ensure all CCD customers with redress claims were treated fairly and outstanding claims are treated consistently for all customers who submit a claim under the Scheme. The remaining Scheme provision was fully released in 1H24.  </w:t>
      </w:r>
    </w:p>
    <w:p w14:paraId="09648CDE" w14:textId="77777777" w:rsidR="00562949" w:rsidRPr="007F7783" w:rsidRDefault="00562949" w:rsidP="008772F6">
      <w:pPr>
        <w:autoSpaceDE w:val="0"/>
        <w:autoSpaceDN w:val="0"/>
        <w:adjustRightInd w:val="0"/>
        <w:jc w:val="both"/>
        <w:rPr>
          <w:rFonts w:asciiTheme="minorHAnsi" w:hAnsiTheme="minorHAnsi" w:cs="Poppins-Light"/>
          <w:b/>
          <w:sz w:val="20"/>
          <w:szCs w:val="20"/>
        </w:rPr>
      </w:pPr>
    </w:p>
    <w:p w14:paraId="5F64D2FB" w14:textId="3A942824" w:rsidR="008772F6" w:rsidRPr="008772F6" w:rsidRDefault="008772F6" w:rsidP="008772F6">
      <w:pPr>
        <w:autoSpaceDE w:val="0"/>
        <w:autoSpaceDN w:val="0"/>
        <w:adjustRightInd w:val="0"/>
        <w:jc w:val="both"/>
        <w:rPr>
          <w:rFonts w:asciiTheme="minorHAnsi" w:hAnsiTheme="minorHAnsi" w:cs="Poppins-Light"/>
          <w:b/>
          <w:sz w:val="20"/>
          <w:szCs w:val="20"/>
        </w:rPr>
      </w:pPr>
      <w:r w:rsidRPr="008772F6">
        <w:rPr>
          <w:rFonts w:asciiTheme="minorHAnsi" w:hAnsiTheme="minorHAnsi" w:cs="Poppins-Light"/>
          <w:b/>
          <w:sz w:val="20"/>
          <w:szCs w:val="20"/>
        </w:rPr>
        <w:t xml:space="preserve">Other: </w:t>
      </w:r>
      <w:r w:rsidR="00205BED" w:rsidRPr="008772F6">
        <w:rPr>
          <w:rFonts w:asciiTheme="minorHAnsi" w:hAnsiTheme="minorHAnsi" w:cs="Poppins-Light"/>
          <w:b/>
          <w:sz w:val="20"/>
          <w:szCs w:val="20"/>
        </w:rPr>
        <w:t>£</w:t>
      </w:r>
      <w:r w:rsidR="007F7783" w:rsidRPr="007F7783">
        <w:rPr>
          <w:rFonts w:asciiTheme="minorHAnsi" w:hAnsiTheme="minorHAnsi" w:cs="Poppins-Light"/>
          <w:b/>
          <w:sz w:val="20"/>
          <w:szCs w:val="20"/>
        </w:rPr>
        <w:t>0.2</w:t>
      </w:r>
      <w:r w:rsidR="00205BED" w:rsidRPr="007F7783">
        <w:rPr>
          <w:rFonts w:asciiTheme="minorHAnsi" w:hAnsiTheme="minorHAnsi" w:cs="Poppins-Light"/>
          <w:b/>
          <w:sz w:val="20"/>
          <w:szCs w:val="20"/>
        </w:rPr>
        <w:t>m (</w:t>
      </w:r>
      <w:r w:rsidR="00205BED" w:rsidRPr="00961EC3">
        <w:rPr>
          <w:rFonts w:asciiTheme="minorHAnsi" w:hAnsiTheme="minorHAnsi" w:cs="Poppins-Light"/>
          <w:b/>
          <w:sz w:val="20"/>
          <w:szCs w:val="20"/>
        </w:rPr>
        <w:t>FY24: £</w:t>
      </w:r>
      <w:r w:rsidR="00961EC3" w:rsidRPr="00961EC3">
        <w:rPr>
          <w:rFonts w:asciiTheme="minorHAnsi" w:hAnsiTheme="minorHAnsi" w:cs="Poppins-Light"/>
          <w:b/>
          <w:sz w:val="20"/>
          <w:szCs w:val="20"/>
        </w:rPr>
        <w:t>0.4m</w:t>
      </w:r>
      <w:r w:rsidR="00205BED" w:rsidRPr="00961EC3">
        <w:rPr>
          <w:rFonts w:asciiTheme="minorHAnsi" w:hAnsiTheme="minorHAnsi" w:cs="Poppins-Light"/>
          <w:b/>
          <w:sz w:val="20"/>
          <w:szCs w:val="20"/>
        </w:rPr>
        <w:t>; 1H24</w:t>
      </w:r>
      <w:r w:rsidR="004C7FE2">
        <w:rPr>
          <w:rFonts w:asciiTheme="minorHAnsi" w:hAnsiTheme="minorHAnsi" w:cs="Poppins-Light"/>
          <w:b/>
          <w:sz w:val="20"/>
          <w:szCs w:val="20"/>
        </w:rPr>
        <w:t>:</w:t>
      </w:r>
      <w:r w:rsidR="00205BED" w:rsidRPr="00961EC3">
        <w:rPr>
          <w:rFonts w:asciiTheme="minorHAnsi" w:hAnsiTheme="minorHAnsi" w:cs="Poppins-Light"/>
          <w:b/>
          <w:sz w:val="20"/>
          <w:szCs w:val="20"/>
        </w:rPr>
        <w:t xml:space="preserve"> £</w:t>
      </w:r>
      <w:r w:rsidR="0019067E">
        <w:rPr>
          <w:rFonts w:asciiTheme="minorHAnsi" w:hAnsiTheme="minorHAnsi" w:cs="Poppins-Light"/>
          <w:b/>
          <w:sz w:val="20"/>
          <w:szCs w:val="20"/>
        </w:rPr>
        <w:t>0.4</w:t>
      </w:r>
      <w:r w:rsidR="00205BED" w:rsidRPr="00961EC3">
        <w:rPr>
          <w:rFonts w:asciiTheme="minorHAnsi" w:hAnsiTheme="minorHAnsi" w:cs="Poppins-Light"/>
          <w:b/>
          <w:sz w:val="20"/>
          <w:szCs w:val="20"/>
        </w:rPr>
        <w:t>m)</w:t>
      </w:r>
    </w:p>
    <w:p w14:paraId="0AA8996A" w14:textId="0CBB000A" w:rsidR="00A317A6" w:rsidRDefault="008772F6" w:rsidP="00B5640B">
      <w:pPr>
        <w:autoSpaceDE w:val="0"/>
        <w:autoSpaceDN w:val="0"/>
        <w:adjustRightInd w:val="0"/>
        <w:jc w:val="both"/>
        <w:rPr>
          <w:rFonts w:asciiTheme="minorHAnsi" w:hAnsiTheme="minorHAnsi" w:cs="Poppins-Light"/>
          <w:sz w:val="20"/>
          <w:szCs w:val="20"/>
        </w:rPr>
      </w:pPr>
      <w:r w:rsidRPr="008772F6">
        <w:rPr>
          <w:rFonts w:asciiTheme="minorHAnsi" w:hAnsiTheme="minorHAnsi" w:cs="Poppins-Light"/>
          <w:sz w:val="20"/>
          <w:szCs w:val="20"/>
        </w:rPr>
        <w:t xml:space="preserve">This predominantly relates to smaller provisions held. </w:t>
      </w:r>
    </w:p>
    <w:p w14:paraId="74CFFB7E" w14:textId="77777777" w:rsidR="00F174BE" w:rsidRDefault="00F174BE" w:rsidP="00B5640B">
      <w:pPr>
        <w:autoSpaceDE w:val="0"/>
        <w:autoSpaceDN w:val="0"/>
        <w:adjustRightInd w:val="0"/>
        <w:jc w:val="both"/>
        <w:rPr>
          <w:rFonts w:asciiTheme="minorHAnsi" w:hAnsiTheme="minorHAnsi" w:cs="Arial"/>
          <w:b/>
          <w:bCs/>
          <w:color w:val="4747FF"/>
          <w:sz w:val="22"/>
          <w:szCs w:val="22"/>
        </w:rPr>
      </w:pPr>
    </w:p>
    <w:p w14:paraId="420612AC" w14:textId="0041DB8B" w:rsidR="00A1425C" w:rsidRPr="008B3E50" w:rsidRDefault="003D7B03" w:rsidP="003D7B03">
      <w:pPr>
        <w:rPr>
          <w:rFonts w:asciiTheme="minorHAnsi" w:hAnsiTheme="minorHAnsi" w:cs="Arial"/>
          <w:b/>
          <w:color w:val="4747FF"/>
          <w:sz w:val="22"/>
          <w:szCs w:val="22"/>
        </w:rPr>
      </w:pPr>
      <w:r>
        <w:rPr>
          <w:rFonts w:asciiTheme="minorHAnsi" w:hAnsiTheme="minorHAnsi" w:cs="Arial"/>
          <w:b/>
          <w:bCs/>
          <w:color w:val="4747FF"/>
          <w:sz w:val="22"/>
          <w:szCs w:val="22"/>
        </w:rPr>
        <w:t xml:space="preserve">15. </w:t>
      </w:r>
      <w:r w:rsidR="00A1425C" w:rsidRPr="008B3E50">
        <w:rPr>
          <w:rFonts w:asciiTheme="minorHAnsi" w:hAnsiTheme="minorHAnsi" w:cs="Arial"/>
          <w:b/>
          <w:color w:val="4747FF"/>
          <w:sz w:val="22"/>
          <w:szCs w:val="22"/>
        </w:rPr>
        <w:t xml:space="preserve">Reconciliation </w:t>
      </w:r>
      <w:r w:rsidR="00A1425C" w:rsidRPr="00EC787C">
        <w:rPr>
          <w:rFonts w:asciiTheme="minorHAnsi" w:hAnsiTheme="minorHAnsi" w:cs="Arial"/>
          <w:b/>
          <w:color w:val="4747FF"/>
          <w:sz w:val="22"/>
          <w:szCs w:val="22"/>
        </w:rPr>
        <w:t xml:space="preserve">of </w:t>
      </w:r>
      <w:r w:rsidR="00925487" w:rsidRPr="00EC787C">
        <w:rPr>
          <w:rFonts w:asciiTheme="minorHAnsi" w:hAnsiTheme="minorHAnsi" w:cs="Arial"/>
          <w:b/>
          <w:color w:val="4747FF"/>
          <w:sz w:val="22"/>
          <w:szCs w:val="22"/>
        </w:rPr>
        <w:t>profit/</w:t>
      </w:r>
      <w:r w:rsidR="00A1425C" w:rsidRPr="00EC787C">
        <w:rPr>
          <w:rFonts w:asciiTheme="minorHAnsi" w:hAnsiTheme="minorHAnsi" w:cs="Arial"/>
          <w:b/>
          <w:color w:val="4747FF"/>
          <w:sz w:val="22"/>
          <w:szCs w:val="22"/>
        </w:rPr>
        <w:t>loss after</w:t>
      </w:r>
      <w:r w:rsidR="00A1425C" w:rsidRPr="008B3E50">
        <w:rPr>
          <w:rFonts w:asciiTheme="minorHAnsi" w:hAnsiTheme="minorHAnsi" w:cs="Arial"/>
          <w:b/>
          <w:color w:val="4747FF"/>
          <w:sz w:val="22"/>
          <w:szCs w:val="22"/>
        </w:rPr>
        <w:t xml:space="preserve"> tax to cash </w:t>
      </w:r>
      <w:r w:rsidR="00A1425C" w:rsidRPr="007B6309">
        <w:rPr>
          <w:rFonts w:asciiTheme="minorHAnsi" w:hAnsiTheme="minorHAnsi" w:cs="Arial"/>
          <w:b/>
          <w:color w:val="4747FF"/>
          <w:sz w:val="22"/>
          <w:szCs w:val="22"/>
        </w:rPr>
        <w:t>(used in)/generated</w:t>
      </w:r>
      <w:r w:rsidR="00A1425C" w:rsidRPr="008B3E50">
        <w:rPr>
          <w:rFonts w:asciiTheme="minorHAnsi" w:hAnsiTheme="minorHAnsi" w:cs="Arial"/>
          <w:b/>
          <w:color w:val="4747FF"/>
          <w:sz w:val="22"/>
          <w:szCs w:val="22"/>
        </w:rPr>
        <w:t xml:space="preserve"> from operations</w:t>
      </w:r>
    </w:p>
    <w:p w14:paraId="1C481681" w14:textId="77777777" w:rsidR="008B3E50" w:rsidRPr="008B3E50" w:rsidRDefault="008B3E50" w:rsidP="008B3E50">
      <w:pPr>
        <w:pStyle w:val="ListParagraph"/>
        <w:autoSpaceDE w:val="0"/>
        <w:autoSpaceDN w:val="0"/>
        <w:adjustRightInd w:val="0"/>
        <w:jc w:val="both"/>
        <w:rPr>
          <w:rFonts w:asciiTheme="minorHAnsi" w:hAnsiTheme="minorHAnsi" w:cs="Arial"/>
          <w:b/>
          <w:color w:val="4747FF"/>
          <w:sz w:val="22"/>
          <w:szCs w:val="22"/>
        </w:rPr>
      </w:pPr>
    </w:p>
    <w:tbl>
      <w:tblPr>
        <w:tblW w:w="10073" w:type="dxa"/>
        <w:tblLayout w:type="fixed"/>
        <w:tblLook w:val="0000" w:firstRow="0" w:lastRow="0" w:firstColumn="0" w:lastColumn="0" w:noHBand="0" w:noVBand="0"/>
      </w:tblPr>
      <w:tblGrid>
        <w:gridCol w:w="6752"/>
        <w:gridCol w:w="903"/>
        <w:gridCol w:w="1286"/>
        <w:gridCol w:w="1132"/>
      </w:tblGrid>
      <w:tr w:rsidR="00CA48CD" w:rsidRPr="00B97C61" w14:paraId="2FB3E8E2" w14:textId="77777777" w:rsidTr="00293F7B">
        <w:trPr>
          <w:trHeight w:val="239"/>
        </w:trPr>
        <w:tc>
          <w:tcPr>
            <w:tcW w:w="6752" w:type="dxa"/>
          </w:tcPr>
          <w:p w14:paraId="49431F8C" w14:textId="77777777" w:rsidR="00CA48CD" w:rsidRPr="00B97C61" w:rsidRDefault="00CA48CD">
            <w:pPr>
              <w:rPr>
                <w:rFonts w:asciiTheme="minorHAnsi" w:hAnsiTheme="minorHAnsi" w:cstheme="minorHAnsi"/>
                <w:sz w:val="20"/>
                <w:szCs w:val="20"/>
              </w:rPr>
            </w:pPr>
          </w:p>
        </w:tc>
        <w:tc>
          <w:tcPr>
            <w:tcW w:w="903" w:type="dxa"/>
          </w:tcPr>
          <w:p w14:paraId="554B5E93" w14:textId="77777777" w:rsidR="00CA48CD" w:rsidRDefault="00CA48CD">
            <w:pPr>
              <w:jc w:val="center"/>
              <w:rPr>
                <w:rFonts w:asciiTheme="minorHAnsi" w:hAnsiTheme="minorHAnsi" w:cstheme="minorHAnsi"/>
                <w:sz w:val="20"/>
                <w:szCs w:val="20"/>
              </w:rPr>
            </w:pPr>
          </w:p>
        </w:tc>
        <w:tc>
          <w:tcPr>
            <w:tcW w:w="2418" w:type="dxa"/>
            <w:gridSpan w:val="2"/>
          </w:tcPr>
          <w:p w14:paraId="2F1E1261" w14:textId="2ACB5367" w:rsidR="00CA48CD" w:rsidRPr="00B97C61" w:rsidRDefault="00CA48CD">
            <w:pPr>
              <w:jc w:val="center"/>
              <w:rPr>
                <w:rFonts w:asciiTheme="minorHAnsi" w:hAnsiTheme="minorHAnsi" w:cstheme="minorHAnsi"/>
                <w:sz w:val="20"/>
                <w:szCs w:val="20"/>
              </w:rPr>
            </w:pPr>
            <w:r>
              <w:rPr>
                <w:rFonts w:asciiTheme="minorHAnsi" w:hAnsiTheme="minorHAnsi" w:cstheme="minorHAnsi"/>
                <w:sz w:val="20"/>
                <w:szCs w:val="20"/>
              </w:rPr>
              <w:t>Six months ended 30 June</w:t>
            </w:r>
          </w:p>
        </w:tc>
      </w:tr>
      <w:tr w:rsidR="00CA48CD" w:rsidRPr="00B97C61" w14:paraId="0A427DD7" w14:textId="77777777" w:rsidTr="00293F7B">
        <w:trPr>
          <w:trHeight w:val="254"/>
        </w:trPr>
        <w:tc>
          <w:tcPr>
            <w:tcW w:w="6752" w:type="dxa"/>
          </w:tcPr>
          <w:p w14:paraId="23F9F12F" w14:textId="77777777" w:rsidR="00CA48CD" w:rsidRPr="00B97C61" w:rsidRDefault="00CA48CD">
            <w:pPr>
              <w:rPr>
                <w:rFonts w:asciiTheme="minorHAnsi" w:hAnsiTheme="minorHAnsi" w:cstheme="minorHAnsi"/>
                <w:sz w:val="20"/>
                <w:szCs w:val="20"/>
              </w:rPr>
            </w:pPr>
          </w:p>
        </w:tc>
        <w:tc>
          <w:tcPr>
            <w:tcW w:w="903" w:type="dxa"/>
          </w:tcPr>
          <w:p w14:paraId="2CBC814A" w14:textId="77777777" w:rsidR="00CA48CD" w:rsidRPr="004C2CDE" w:rsidRDefault="00CA48CD">
            <w:pPr>
              <w:jc w:val="right"/>
              <w:rPr>
                <w:rFonts w:asciiTheme="minorHAnsi" w:hAnsiTheme="minorHAnsi" w:cstheme="minorHAnsi"/>
                <w:b/>
                <w:sz w:val="20"/>
                <w:szCs w:val="20"/>
              </w:rPr>
            </w:pPr>
          </w:p>
        </w:tc>
        <w:tc>
          <w:tcPr>
            <w:tcW w:w="1286" w:type="dxa"/>
            <w:shd w:val="clear" w:color="auto" w:fill="F2F2F2" w:themeFill="background1" w:themeFillShade="F2"/>
          </w:tcPr>
          <w:p w14:paraId="34B2CFDC" w14:textId="77777777" w:rsidR="007318F1" w:rsidRDefault="00CA48CD">
            <w:pPr>
              <w:jc w:val="right"/>
              <w:rPr>
                <w:rFonts w:asciiTheme="minorHAnsi" w:hAnsiTheme="minorHAnsi" w:cstheme="minorHAnsi"/>
                <w:b/>
                <w:sz w:val="20"/>
                <w:szCs w:val="20"/>
              </w:rPr>
            </w:pPr>
            <w:r w:rsidRPr="004C2CDE">
              <w:rPr>
                <w:rFonts w:asciiTheme="minorHAnsi" w:hAnsiTheme="minorHAnsi" w:cstheme="minorHAnsi"/>
                <w:b/>
                <w:sz w:val="20"/>
                <w:szCs w:val="20"/>
              </w:rPr>
              <w:t>202</w:t>
            </w:r>
            <w:r>
              <w:rPr>
                <w:rFonts w:asciiTheme="minorHAnsi" w:hAnsiTheme="minorHAnsi" w:cstheme="minorHAnsi"/>
                <w:b/>
                <w:sz w:val="20"/>
                <w:szCs w:val="20"/>
              </w:rPr>
              <w:t>5</w:t>
            </w:r>
          </w:p>
          <w:p w14:paraId="46A64BB3" w14:textId="02C153E3" w:rsidR="00CA48CD" w:rsidRPr="004C2CDE" w:rsidRDefault="007318F1">
            <w:pPr>
              <w:jc w:val="right"/>
              <w:rPr>
                <w:rFonts w:asciiTheme="minorHAnsi" w:hAnsiTheme="minorHAnsi" w:cstheme="minorHAnsi"/>
                <w:b/>
                <w:sz w:val="20"/>
                <w:szCs w:val="20"/>
              </w:rPr>
            </w:pPr>
            <w:r>
              <w:rPr>
                <w:rFonts w:asciiTheme="minorHAnsi" w:hAnsiTheme="minorHAnsi" w:cstheme="minorHAnsi"/>
                <w:b/>
                <w:sz w:val="20"/>
                <w:szCs w:val="20"/>
              </w:rPr>
              <w:t>unaudited</w:t>
            </w:r>
            <w:r w:rsidR="00CA48CD" w:rsidRPr="004C2CDE">
              <w:rPr>
                <w:rFonts w:asciiTheme="minorHAnsi" w:hAnsiTheme="minorHAnsi" w:cstheme="minorHAnsi"/>
                <w:b/>
                <w:sz w:val="20"/>
                <w:szCs w:val="20"/>
              </w:rPr>
              <w:t> </w:t>
            </w:r>
          </w:p>
        </w:tc>
        <w:tc>
          <w:tcPr>
            <w:tcW w:w="1132" w:type="dxa"/>
          </w:tcPr>
          <w:p w14:paraId="5CDA53DE" w14:textId="77777777" w:rsidR="00CA48CD" w:rsidRDefault="00CA48CD" w:rsidP="00F84265">
            <w:pPr>
              <w:jc w:val="right"/>
              <w:rPr>
                <w:rFonts w:asciiTheme="minorHAnsi" w:hAnsiTheme="minorHAnsi" w:cstheme="minorHAnsi"/>
                <w:sz w:val="20"/>
                <w:szCs w:val="20"/>
                <w:vertAlign w:val="superscript"/>
              </w:rPr>
            </w:pPr>
            <w:r w:rsidRPr="00B97C61">
              <w:rPr>
                <w:rFonts w:asciiTheme="minorHAnsi" w:hAnsiTheme="minorHAnsi" w:cstheme="minorHAnsi"/>
                <w:sz w:val="20"/>
                <w:szCs w:val="20"/>
              </w:rPr>
              <w:t>202</w:t>
            </w:r>
            <w:r>
              <w:rPr>
                <w:rFonts w:asciiTheme="minorHAnsi" w:hAnsiTheme="minorHAnsi" w:cstheme="minorHAnsi"/>
                <w:sz w:val="20"/>
                <w:szCs w:val="20"/>
              </w:rPr>
              <w:t>4</w:t>
            </w:r>
            <w:r w:rsidR="00D679D5" w:rsidRPr="00D679D5">
              <w:rPr>
                <w:rFonts w:asciiTheme="minorHAnsi" w:hAnsiTheme="minorHAnsi" w:cstheme="minorHAnsi"/>
                <w:sz w:val="20"/>
                <w:szCs w:val="20"/>
                <w:vertAlign w:val="superscript"/>
              </w:rPr>
              <w:t>1</w:t>
            </w:r>
          </w:p>
          <w:p w14:paraId="0FECCB5E" w14:textId="2C94D452" w:rsidR="00CA48CD" w:rsidRPr="00B97C61" w:rsidRDefault="007318F1" w:rsidP="00F84265">
            <w:pPr>
              <w:jc w:val="right"/>
              <w:rPr>
                <w:rFonts w:asciiTheme="minorHAnsi" w:hAnsiTheme="minorHAnsi" w:cstheme="minorHAnsi"/>
                <w:sz w:val="20"/>
                <w:szCs w:val="20"/>
              </w:rPr>
            </w:pPr>
            <w:r w:rsidRPr="007F7783">
              <w:rPr>
                <w:rFonts w:asciiTheme="minorHAnsi" w:hAnsiTheme="minorHAnsi" w:cstheme="minorHAnsi"/>
                <w:sz w:val="20"/>
                <w:szCs w:val="20"/>
              </w:rPr>
              <w:t>unaudited</w:t>
            </w:r>
          </w:p>
        </w:tc>
      </w:tr>
      <w:tr w:rsidR="00CA48CD" w:rsidRPr="00B97C61" w14:paraId="6F25142F" w14:textId="77777777" w:rsidTr="00293F7B">
        <w:trPr>
          <w:trHeight w:val="239"/>
        </w:trPr>
        <w:tc>
          <w:tcPr>
            <w:tcW w:w="6752" w:type="dxa"/>
          </w:tcPr>
          <w:p w14:paraId="33E2466C" w14:textId="77777777" w:rsidR="00CA48CD" w:rsidRPr="00B97C61" w:rsidRDefault="00CA48CD">
            <w:pPr>
              <w:rPr>
                <w:rFonts w:asciiTheme="minorHAnsi" w:hAnsiTheme="minorHAnsi" w:cstheme="minorHAnsi"/>
                <w:sz w:val="20"/>
                <w:szCs w:val="20"/>
              </w:rPr>
            </w:pPr>
          </w:p>
        </w:tc>
        <w:tc>
          <w:tcPr>
            <w:tcW w:w="903" w:type="dxa"/>
          </w:tcPr>
          <w:p w14:paraId="79E82625" w14:textId="3CAA82CF" w:rsidR="00CA48CD" w:rsidRPr="00CA48CD" w:rsidRDefault="00CA48CD">
            <w:pPr>
              <w:jc w:val="right"/>
              <w:rPr>
                <w:rFonts w:asciiTheme="minorHAnsi" w:hAnsiTheme="minorHAnsi" w:cstheme="minorHAnsi"/>
                <w:bCs/>
                <w:sz w:val="20"/>
                <w:szCs w:val="20"/>
              </w:rPr>
            </w:pPr>
            <w:r w:rsidRPr="00CA48CD">
              <w:rPr>
                <w:rFonts w:asciiTheme="minorHAnsi" w:hAnsiTheme="minorHAnsi" w:cstheme="minorHAnsi"/>
                <w:bCs/>
                <w:sz w:val="20"/>
                <w:szCs w:val="20"/>
              </w:rPr>
              <w:t>Note</w:t>
            </w:r>
          </w:p>
        </w:tc>
        <w:tc>
          <w:tcPr>
            <w:tcW w:w="1286" w:type="dxa"/>
            <w:tcBorders>
              <w:top w:val="nil"/>
              <w:left w:val="nil"/>
              <w:bottom w:val="single" w:sz="4" w:space="0" w:color="auto"/>
              <w:right w:val="nil"/>
            </w:tcBorders>
            <w:shd w:val="clear" w:color="auto" w:fill="F2F2F2" w:themeFill="background1" w:themeFillShade="F2"/>
          </w:tcPr>
          <w:p w14:paraId="0AB4623F" w14:textId="18A12A80" w:rsidR="00CA48CD" w:rsidRPr="004C2CDE" w:rsidRDefault="00CA48CD">
            <w:pPr>
              <w:jc w:val="right"/>
              <w:rPr>
                <w:rFonts w:asciiTheme="minorHAnsi" w:hAnsiTheme="minorHAnsi" w:cstheme="minorHAnsi"/>
                <w:b/>
                <w:sz w:val="20"/>
                <w:szCs w:val="20"/>
              </w:rPr>
            </w:pPr>
            <w:r w:rsidRPr="004C2CDE">
              <w:rPr>
                <w:rFonts w:asciiTheme="minorHAnsi" w:hAnsiTheme="minorHAnsi" w:cstheme="minorHAnsi"/>
                <w:b/>
                <w:sz w:val="20"/>
                <w:szCs w:val="20"/>
              </w:rPr>
              <w:t>£m </w:t>
            </w:r>
          </w:p>
        </w:tc>
        <w:tc>
          <w:tcPr>
            <w:tcW w:w="1132" w:type="dxa"/>
            <w:tcBorders>
              <w:top w:val="nil"/>
              <w:left w:val="nil"/>
              <w:bottom w:val="single" w:sz="4" w:space="0" w:color="auto"/>
              <w:right w:val="nil"/>
            </w:tcBorders>
          </w:tcPr>
          <w:p w14:paraId="4529C987" w14:textId="77777777" w:rsidR="00CA48CD" w:rsidRPr="00B97C61" w:rsidRDefault="00CA48CD">
            <w:pPr>
              <w:jc w:val="right"/>
              <w:rPr>
                <w:rFonts w:asciiTheme="minorHAnsi" w:hAnsiTheme="minorHAnsi" w:cstheme="minorHAnsi"/>
                <w:sz w:val="20"/>
                <w:szCs w:val="20"/>
              </w:rPr>
            </w:pPr>
            <w:r w:rsidRPr="00B97C61">
              <w:rPr>
                <w:rFonts w:asciiTheme="minorHAnsi" w:hAnsiTheme="minorHAnsi" w:cstheme="minorHAnsi"/>
                <w:sz w:val="20"/>
                <w:szCs w:val="20"/>
              </w:rPr>
              <w:t>£m </w:t>
            </w:r>
          </w:p>
        </w:tc>
      </w:tr>
      <w:tr w:rsidR="00CA48CD" w:rsidRPr="00B97C61" w14:paraId="0D1821E4" w14:textId="77777777" w:rsidTr="00293F7B">
        <w:trPr>
          <w:trHeight w:val="239"/>
        </w:trPr>
        <w:tc>
          <w:tcPr>
            <w:tcW w:w="6752" w:type="dxa"/>
            <w:vAlign w:val="bottom"/>
          </w:tcPr>
          <w:p w14:paraId="7C844E99" w14:textId="2D5ED3E3" w:rsidR="00CA48CD" w:rsidRPr="00B97C61" w:rsidRDefault="00DA49F0" w:rsidP="00F84265">
            <w:pPr>
              <w:rPr>
                <w:rFonts w:asciiTheme="minorHAnsi" w:hAnsiTheme="minorHAnsi" w:cstheme="minorHAnsi"/>
                <w:b/>
                <w:sz w:val="20"/>
                <w:szCs w:val="20"/>
              </w:rPr>
            </w:pPr>
            <w:r w:rsidRPr="00DA49F0">
              <w:rPr>
                <w:rFonts w:asciiTheme="minorHAnsi" w:hAnsiTheme="minorHAnsi" w:cstheme="minorHAnsi"/>
                <w:b/>
                <w:sz w:val="20"/>
                <w:szCs w:val="20"/>
              </w:rPr>
              <w:t>Profit/(l</w:t>
            </w:r>
            <w:r w:rsidR="00CA48CD" w:rsidRPr="00DA49F0">
              <w:rPr>
                <w:rFonts w:asciiTheme="minorHAnsi" w:hAnsiTheme="minorHAnsi" w:cstheme="minorHAnsi"/>
                <w:b/>
                <w:sz w:val="20"/>
                <w:szCs w:val="20"/>
              </w:rPr>
              <w:t>oss</w:t>
            </w:r>
            <w:r w:rsidRPr="00DA49F0">
              <w:rPr>
                <w:rFonts w:asciiTheme="minorHAnsi" w:hAnsiTheme="minorHAnsi" w:cstheme="minorHAnsi"/>
                <w:b/>
                <w:sz w:val="20"/>
                <w:szCs w:val="20"/>
              </w:rPr>
              <w:t>)</w:t>
            </w:r>
            <w:r w:rsidR="00CA48CD" w:rsidRPr="00B97C61">
              <w:rPr>
                <w:rFonts w:asciiTheme="minorHAnsi" w:hAnsiTheme="minorHAnsi" w:cstheme="minorHAnsi"/>
                <w:b/>
                <w:sz w:val="20"/>
                <w:szCs w:val="20"/>
              </w:rPr>
              <w:t xml:space="preserve"> after taxation </w:t>
            </w:r>
          </w:p>
        </w:tc>
        <w:tc>
          <w:tcPr>
            <w:tcW w:w="903" w:type="dxa"/>
          </w:tcPr>
          <w:p w14:paraId="28121365" w14:textId="77777777" w:rsidR="00CA48CD" w:rsidRPr="004166ED" w:rsidRDefault="00CA48CD" w:rsidP="00F84265">
            <w:pPr>
              <w:jc w:val="right"/>
              <w:rPr>
                <w:rFonts w:asciiTheme="minorHAnsi" w:hAnsiTheme="minorHAnsi" w:cstheme="minorHAnsi"/>
                <w:b/>
                <w:sz w:val="20"/>
                <w:szCs w:val="20"/>
              </w:rPr>
            </w:pPr>
          </w:p>
        </w:tc>
        <w:tc>
          <w:tcPr>
            <w:tcW w:w="1286" w:type="dxa"/>
            <w:shd w:val="clear" w:color="auto" w:fill="F2F2F2" w:themeFill="background1" w:themeFillShade="F2"/>
            <w:vAlign w:val="bottom"/>
          </w:tcPr>
          <w:p w14:paraId="7AC849C6" w14:textId="2EC53FAC" w:rsidR="00CA48CD" w:rsidRPr="004166ED" w:rsidRDefault="005417E4" w:rsidP="00F84265">
            <w:pPr>
              <w:jc w:val="right"/>
              <w:rPr>
                <w:rFonts w:asciiTheme="minorHAnsi" w:hAnsiTheme="minorHAnsi" w:cstheme="minorHAnsi"/>
                <w:b/>
                <w:sz w:val="20"/>
                <w:szCs w:val="20"/>
              </w:rPr>
            </w:pPr>
            <w:r w:rsidRPr="00F42A6D">
              <w:rPr>
                <w:rFonts w:asciiTheme="minorHAnsi" w:hAnsiTheme="minorHAnsi" w:cstheme="minorHAnsi"/>
                <w:b/>
                <w:sz w:val="20"/>
                <w:szCs w:val="20"/>
              </w:rPr>
              <w:t>5.6</w:t>
            </w:r>
          </w:p>
        </w:tc>
        <w:tc>
          <w:tcPr>
            <w:tcW w:w="1132" w:type="dxa"/>
            <w:vAlign w:val="bottom"/>
          </w:tcPr>
          <w:p w14:paraId="70C33D6B" w14:textId="69454429"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(35.8)</w:t>
            </w:r>
          </w:p>
        </w:tc>
      </w:tr>
      <w:tr w:rsidR="00CA48CD" w:rsidRPr="00B97C61" w14:paraId="0CB72D74" w14:textId="77777777" w:rsidTr="00293F7B">
        <w:trPr>
          <w:trHeight w:val="239"/>
        </w:trPr>
        <w:tc>
          <w:tcPr>
            <w:tcW w:w="6752" w:type="dxa"/>
            <w:vAlign w:val="bottom"/>
          </w:tcPr>
          <w:p w14:paraId="71D8F095"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Adjusted for:</w:t>
            </w:r>
          </w:p>
        </w:tc>
        <w:tc>
          <w:tcPr>
            <w:tcW w:w="903" w:type="dxa"/>
          </w:tcPr>
          <w:p w14:paraId="7CE91CF0" w14:textId="77777777" w:rsidR="00CA48CD" w:rsidRPr="004166ED" w:rsidRDefault="00CA48CD" w:rsidP="00F84265">
            <w:pPr>
              <w:jc w:val="right"/>
              <w:rPr>
                <w:rFonts w:asciiTheme="minorHAnsi" w:hAnsiTheme="minorHAnsi" w:cstheme="minorHAnsi"/>
                <w:b/>
                <w:sz w:val="20"/>
                <w:szCs w:val="20"/>
              </w:rPr>
            </w:pPr>
          </w:p>
        </w:tc>
        <w:tc>
          <w:tcPr>
            <w:tcW w:w="1286" w:type="dxa"/>
            <w:shd w:val="clear" w:color="auto" w:fill="F2F2F2" w:themeFill="background1" w:themeFillShade="F2"/>
            <w:vAlign w:val="bottom"/>
          </w:tcPr>
          <w:p w14:paraId="2A926C48" w14:textId="4D422097" w:rsidR="00CA48CD" w:rsidRPr="004166ED" w:rsidRDefault="00CA48CD" w:rsidP="00F84265">
            <w:pPr>
              <w:jc w:val="right"/>
              <w:rPr>
                <w:rFonts w:asciiTheme="minorHAnsi" w:hAnsiTheme="minorHAnsi" w:cstheme="minorHAnsi"/>
                <w:b/>
                <w:sz w:val="20"/>
                <w:szCs w:val="20"/>
              </w:rPr>
            </w:pPr>
          </w:p>
        </w:tc>
        <w:tc>
          <w:tcPr>
            <w:tcW w:w="1132" w:type="dxa"/>
            <w:vAlign w:val="bottom"/>
          </w:tcPr>
          <w:p w14:paraId="4E50CC37" w14:textId="77777777" w:rsidR="00CA48CD" w:rsidRPr="00B376F9" w:rsidRDefault="00CA48CD" w:rsidP="00F84265">
            <w:pPr>
              <w:jc w:val="right"/>
              <w:rPr>
                <w:rFonts w:asciiTheme="minorHAnsi" w:hAnsiTheme="minorHAnsi" w:cstheme="minorHAnsi"/>
                <w:bCs/>
                <w:sz w:val="20"/>
                <w:szCs w:val="20"/>
              </w:rPr>
            </w:pPr>
          </w:p>
        </w:tc>
      </w:tr>
      <w:tr w:rsidR="00CA48CD" w:rsidRPr="00B97C61" w14:paraId="179798C8" w14:textId="77777777" w:rsidTr="00293F7B">
        <w:trPr>
          <w:trHeight w:val="239"/>
        </w:trPr>
        <w:tc>
          <w:tcPr>
            <w:tcW w:w="6752" w:type="dxa"/>
            <w:vAlign w:val="bottom"/>
          </w:tcPr>
          <w:p w14:paraId="6A577BF4" w14:textId="1C7FC80E"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xml:space="preserve">– tax </w:t>
            </w:r>
            <w:r w:rsidR="005417E4">
              <w:rPr>
                <w:rFonts w:asciiTheme="minorHAnsi" w:hAnsiTheme="minorHAnsi" w:cstheme="minorHAnsi"/>
                <w:sz w:val="20"/>
                <w:szCs w:val="20"/>
              </w:rPr>
              <w:t>charge/(</w:t>
            </w:r>
            <w:r w:rsidRPr="00B97C61">
              <w:rPr>
                <w:rFonts w:asciiTheme="minorHAnsi" w:hAnsiTheme="minorHAnsi" w:cstheme="minorHAnsi"/>
                <w:sz w:val="20"/>
                <w:szCs w:val="20"/>
              </w:rPr>
              <w:t>credit</w:t>
            </w:r>
            <w:r w:rsidR="005417E4">
              <w:rPr>
                <w:rFonts w:asciiTheme="minorHAnsi" w:hAnsiTheme="minorHAnsi" w:cstheme="minorHAnsi"/>
                <w:sz w:val="20"/>
                <w:szCs w:val="20"/>
              </w:rPr>
              <w:t>)</w:t>
            </w:r>
          </w:p>
        </w:tc>
        <w:tc>
          <w:tcPr>
            <w:tcW w:w="903" w:type="dxa"/>
          </w:tcPr>
          <w:p w14:paraId="0A79F517" w14:textId="5DED414B" w:rsidR="00CA48CD" w:rsidRPr="00936AF3" w:rsidRDefault="00CA48CD" w:rsidP="00F84265">
            <w:pPr>
              <w:jc w:val="right"/>
              <w:rPr>
                <w:rFonts w:asciiTheme="minorHAnsi" w:hAnsiTheme="minorHAnsi" w:cstheme="minorHAnsi"/>
                <w:bCs/>
                <w:sz w:val="20"/>
                <w:szCs w:val="20"/>
              </w:rPr>
            </w:pPr>
            <w:r w:rsidRPr="00936AF3">
              <w:rPr>
                <w:rFonts w:asciiTheme="minorHAnsi" w:hAnsiTheme="minorHAnsi" w:cstheme="minorHAnsi"/>
                <w:bCs/>
                <w:sz w:val="20"/>
                <w:szCs w:val="20"/>
              </w:rPr>
              <w:t>6</w:t>
            </w:r>
          </w:p>
        </w:tc>
        <w:tc>
          <w:tcPr>
            <w:tcW w:w="1286" w:type="dxa"/>
            <w:shd w:val="clear" w:color="auto" w:fill="F2F2F2" w:themeFill="background1" w:themeFillShade="F2"/>
            <w:vAlign w:val="bottom"/>
          </w:tcPr>
          <w:p w14:paraId="393B1E0D" w14:textId="7AF01C20" w:rsidR="00CA48CD" w:rsidRPr="004166ED" w:rsidRDefault="005417E4" w:rsidP="00F84265">
            <w:pPr>
              <w:jc w:val="right"/>
              <w:rPr>
                <w:rFonts w:asciiTheme="minorHAnsi" w:hAnsiTheme="minorHAnsi" w:cstheme="minorHAnsi"/>
                <w:b/>
                <w:sz w:val="20"/>
                <w:szCs w:val="20"/>
              </w:rPr>
            </w:pPr>
            <w:r w:rsidRPr="00F42A6D">
              <w:rPr>
                <w:rFonts w:asciiTheme="minorHAnsi" w:hAnsiTheme="minorHAnsi" w:cstheme="minorHAnsi"/>
                <w:b/>
                <w:sz w:val="20"/>
                <w:szCs w:val="20"/>
              </w:rPr>
              <w:t>1.5</w:t>
            </w:r>
          </w:p>
        </w:tc>
        <w:tc>
          <w:tcPr>
            <w:tcW w:w="1132" w:type="dxa"/>
            <w:vAlign w:val="bottom"/>
          </w:tcPr>
          <w:p w14:paraId="2BFCAD78" w14:textId="4EEE47B1"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(10.7)</w:t>
            </w:r>
          </w:p>
        </w:tc>
      </w:tr>
      <w:tr w:rsidR="00CA48CD" w:rsidRPr="00B97C61" w14:paraId="5A0386BC" w14:textId="77777777" w:rsidTr="00293F7B">
        <w:trPr>
          <w:trHeight w:val="494"/>
        </w:trPr>
        <w:tc>
          <w:tcPr>
            <w:tcW w:w="6752" w:type="dxa"/>
            <w:vAlign w:val="bottom"/>
          </w:tcPr>
          <w:p w14:paraId="2DCCEF5F" w14:textId="77777777" w:rsidR="00CA48CD"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xml:space="preserve">– finance costs </w:t>
            </w:r>
          </w:p>
          <w:p w14:paraId="2A07EAA0"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xml:space="preserve">– finance </w:t>
            </w:r>
            <w:r>
              <w:rPr>
                <w:rFonts w:asciiTheme="minorHAnsi" w:hAnsiTheme="minorHAnsi" w:cstheme="minorHAnsi"/>
                <w:sz w:val="20"/>
                <w:szCs w:val="20"/>
              </w:rPr>
              <w:t>income</w:t>
            </w:r>
          </w:p>
        </w:tc>
        <w:tc>
          <w:tcPr>
            <w:tcW w:w="903" w:type="dxa"/>
          </w:tcPr>
          <w:p w14:paraId="5BEFAC4E" w14:textId="77777777" w:rsidR="00CA48CD" w:rsidRPr="00936AF3" w:rsidRDefault="00CA48CD" w:rsidP="00F84265">
            <w:pPr>
              <w:jc w:val="right"/>
              <w:rPr>
                <w:rFonts w:asciiTheme="minorHAnsi" w:hAnsiTheme="minorHAnsi" w:cstheme="minorHAnsi"/>
                <w:bCs/>
                <w:sz w:val="20"/>
                <w:szCs w:val="20"/>
              </w:rPr>
            </w:pPr>
          </w:p>
        </w:tc>
        <w:tc>
          <w:tcPr>
            <w:tcW w:w="1286" w:type="dxa"/>
            <w:shd w:val="clear" w:color="auto" w:fill="F2F2F2" w:themeFill="background1" w:themeFillShade="F2"/>
            <w:vAlign w:val="bottom"/>
          </w:tcPr>
          <w:p w14:paraId="06477C89" w14:textId="4E4F22EC" w:rsidR="00CA48CD" w:rsidRDefault="005D44F8" w:rsidP="00F84265">
            <w:pPr>
              <w:jc w:val="right"/>
              <w:rPr>
                <w:rFonts w:asciiTheme="minorHAnsi" w:hAnsiTheme="minorHAnsi" w:cstheme="minorHAnsi"/>
                <w:b/>
                <w:sz w:val="20"/>
                <w:szCs w:val="20"/>
              </w:rPr>
            </w:pPr>
            <w:r>
              <w:rPr>
                <w:rFonts w:asciiTheme="minorHAnsi" w:hAnsiTheme="minorHAnsi" w:cstheme="minorHAnsi"/>
                <w:b/>
                <w:sz w:val="20"/>
                <w:szCs w:val="20"/>
              </w:rPr>
              <w:t>73.0</w:t>
            </w:r>
          </w:p>
          <w:p w14:paraId="5C253EAE" w14:textId="57711D15" w:rsidR="00CA48CD" w:rsidRPr="004166ED" w:rsidRDefault="008B1C34" w:rsidP="00F84265">
            <w:pPr>
              <w:jc w:val="right"/>
              <w:rPr>
                <w:rFonts w:asciiTheme="minorHAnsi" w:hAnsiTheme="minorHAnsi" w:cstheme="minorHAnsi"/>
                <w:b/>
                <w:sz w:val="20"/>
                <w:szCs w:val="20"/>
              </w:rPr>
            </w:pPr>
            <w:r>
              <w:rPr>
                <w:rFonts w:asciiTheme="minorHAnsi" w:hAnsiTheme="minorHAnsi" w:cstheme="minorHAnsi"/>
                <w:b/>
                <w:sz w:val="20"/>
                <w:szCs w:val="20"/>
              </w:rPr>
              <w:t>(21.7)</w:t>
            </w:r>
          </w:p>
        </w:tc>
        <w:tc>
          <w:tcPr>
            <w:tcW w:w="1132" w:type="dxa"/>
            <w:vAlign w:val="bottom"/>
          </w:tcPr>
          <w:p w14:paraId="30934E0C" w14:textId="77777777"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70.7</w:t>
            </w:r>
          </w:p>
          <w:p w14:paraId="589B5472" w14:textId="1E25FC93"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(21.7)</w:t>
            </w:r>
          </w:p>
        </w:tc>
      </w:tr>
      <w:tr w:rsidR="00CA48CD" w:rsidRPr="00B97C61" w14:paraId="5C7F49B4" w14:textId="77777777" w:rsidTr="00293F7B">
        <w:trPr>
          <w:trHeight w:val="80"/>
        </w:trPr>
        <w:tc>
          <w:tcPr>
            <w:tcW w:w="6752" w:type="dxa"/>
            <w:vAlign w:val="bottom"/>
          </w:tcPr>
          <w:p w14:paraId="5454B4A9"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share-based payment charge</w:t>
            </w:r>
          </w:p>
        </w:tc>
        <w:tc>
          <w:tcPr>
            <w:tcW w:w="903" w:type="dxa"/>
          </w:tcPr>
          <w:p w14:paraId="1F53CC32" w14:textId="77777777" w:rsidR="00CA48CD" w:rsidRPr="00936AF3" w:rsidRDefault="00CA48CD" w:rsidP="00F84265">
            <w:pPr>
              <w:jc w:val="right"/>
              <w:rPr>
                <w:rFonts w:asciiTheme="minorHAnsi" w:hAnsiTheme="minorHAnsi" w:cstheme="minorHAnsi"/>
                <w:bCs/>
                <w:sz w:val="20"/>
                <w:szCs w:val="20"/>
              </w:rPr>
            </w:pPr>
          </w:p>
        </w:tc>
        <w:tc>
          <w:tcPr>
            <w:tcW w:w="1286" w:type="dxa"/>
            <w:shd w:val="clear" w:color="auto" w:fill="F2F2F2" w:themeFill="background1" w:themeFillShade="F2"/>
            <w:vAlign w:val="bottom"/>
          </w:tcPr>
          <w:p w14:paraId="50A3937B" w14:textId="6A30E4B6" w:rsidR="00CA48CD" w:rsidRPr="009B3161" w:rsidRDefault="00576315" w:rsidP="00F84265">
            <w:pPr>
              <w:jc w:val="right"/>
              <w:rPr>
                <w:rFonts w:asciiTheme="minorHAnsi" w:hAnsiTheme="minorHAnsi" w:cstheme="minorHAnsi"/>
                <w:b/>
                <w:sz w:val="20"/>
                <w:szCs w:val="20"/>
              </w:rPr>
            </w:pPr>
            <w:r w:rsidRPr="00F42A6D">
              <w:rPr>
                <w:rFonts w:asciiTheme="minorHAnsi" w:hAnsiTheme="minorHAnsi" w:cstheme="minorHAnsi"/>
                <w:b/>
                <w:sz w:val="20"/>
                <w:szCs w:val="20"/>
              </w:rPr>
              <w:t>0.7</w:t>
            </w:r>
          </w:p>
        </w:tc>
        <w:tc>
          <w:tcPr>
            <w:tcW w:w="1132" w:type="dxa"/>
            <w:vAlign w:val="bottom"/>
          </w:tcPr>
          <w:p w14:paraId="2E5DB897" w14:textId="5D46495E"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2.4</w:t>
            </w:r>
          </w:p>
        </w:tc>
      </w:tr>
      <w:tr w:rsidR="00CA48CD" w:rsidRPr="00B97C61" w14:paraId="22677BBE" w14:textId="77777777" w:rsidTr="00293F7B">
        <w:trPr>
          <w:trHeight w:val="239"/>
        </w:trPr>
        <w:tc>
          <w:tcPr>
            <w:tcW w:w="6752" w:type="dxa"/>
            <w:vAlign w:val="bottom"/>
          </w:tcPr>
          <w:p w14:paraId="1A3B57DC" w14:textId="56F4B97F"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xml:space="preserve">– retirement benefit </w:t>
            </w:r>
            <w:r w:rsidR="004C7FE2">
              <w:rPr>
                <w:rFonts w:asciiTheme="minorHAnsi" w:hAnsiTheme="minorHAnsi" w:cstheme="minorHAnsi"/>
                <w:sz w:val="20"/>
                <w:szCs w:val="20"/>
              </w:rPr>
              <w:t>charge/(</w:t>
            </w:r>
            <w:r w:rsidRPr="00B97C61">
              <w:rPr>
                <w:rFonts w:asciiTheme="minorHAnsi" w:hAnsiTheme="minorHAnsi" w:cstheme="minorHAnsi"/>
                <w:sz w:val="20"/>
                <w:szCs w:val="20"/>
              </w:rPr>
              <w:t>credit</w:t>
            </w:r>
            <w:r w:rsidR="004C7FE2">
              <w:rPr>
                <w:rFonts w:asciiTheme="minorHAnsi" w:hAnsiTheme="minorHAnsi" w:cstheme="minorHAnsi"/>
                <w:sz w:val="20"/>
                <w:szCs w:val="20"/>
              </w:rPr>
              <w:t>)</w:t>
            </w:r>
            <w:r w:rsidRPr="00B97C61">
              <w:rPr>
                <w:rFonts w:asciiTheme="minorHAnsi" w:hAnsiTheme="minorHAnsi" w:cstheme="minorHAnsi"/>
                <w:sz w:val="20"/>
                <w:szCs w:val="20"/>
              </w:rPr>
              <w:t xml:space="preserve"> </w:t>
            </w:r>
          </w:p>
        </w:tc>
        <w:tc>
          <w:tcPr>
            <w:tcW w:w="903" w:type="dxa"/>
          </w:tcPr>
          <w:p w14:paraId="310F815A" w14:textId="23B1CD2D" w:rsidR="00CA48CD" w:rsidRPr="00936AF3" w:rsidRDefault="00936AF3" w:rsidP="00F84265">
            <w:pPr>
              <w:jc w:val="right"/>
              <w:rPr>
                <w:rFonts w:asciiTheme="minorHAnsi" w:hAnsiTheme="minorHAnsi" w:cstheme="minorHAnsi"/>
                <w:bCs/>
                <w:sz w:val="20"/>
                <w:szCs w:val="20"/>
              </w:rPr>
            </w:pPr>
            <w:r w:rsidRPr="00936AF3">
              <w:rPr>
                <w:rFonts w:asciiTheme="minorHAnsi" w:hAnsiTheme="minorHAnsi" w:cstheme="minorHAnsi"/>
                <w:bCs/>
                <w:sz w:val="20"/>
                <w:szCs w:val="20"/>
              </w:rPr>
              <w:t>12</w:t>
            </w:r>
          </w:p>
        </w:tc>
        <w:tc>
          <w:tcPr>
            <w:tcW w:w="1286" w:type="dxa"/>
            <w:shd w:val="clear" w:color="auto" w:fill="F2F2F2" w:themeFill="background1" w:themeFillShade="F2"/>
            <w:vAlign w:val="bottom"/>
          </w:tcPr>
          <w:p w14:paraId="71A641C0" w14:textId="4C06F136" w:rsidR="00CA48CD" w:rsidRPr="009B3161" w:rsidRDefault="00F94F75" w:rsidP="00F84265">
            <w:pPr>
              <w:jc w:val="right"/>
              <w:rPr>
                <w:rFonts w:asciiTheme="minorHAnsi" w:hAnsiTheme="minorHAnsi" w:cstheme="minorHAnsi"/>
                <w:b/>
                <w:sz w:val="20"/>
                <w:szCs w:val="20"/>
              </w:rPr>
            </w:pPr>
            <w:r w:rsidRPr="00F42A6D">
              <w:rPr>
                <w:rFonts w:asciiTheme="minorHAnsi" w:hAnsiTheme="minorHAnsi" w:cstheme="minorHAnsi"/>
                <w:b/>
                <w:sz w:val="20"/>
                <w:szCs w:val="20"/>
              </w:rPr>
              <w:t>0.1</w:t>
            </w:r>
          </w:p>
        </w:tc>
        <w:tc>
          <w:tcPr>
            <w:tcW w:w="1132" w:type="dxa"/>
            <w:vAlign w:val="bottom"/>
          </w:tcPr>
          <w:p w14:paraId="123550BF" w14:textId="0ED3EE2F"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(0.3)</w:t>
            </w:r>
          </w:p>
        </w:tc>
      </w:tr>
      <w:tr w:rsidR="00CA48CD" w:rsidRPr="00B97C61" w14:paraId="6A3D1E80" w14:textId="77777777" w:rsidTr="00293F7B">
        <w:trPr>
          <w:trHeight w:val="254"/>
        </w:trPr>
        <w:tc>
          <w:tcPr>
            <w:tcW w:w="6752" w:type="dxa"/>
            <w:vAlign w:val="bottom"/>
          </w:tcPr>
          <w:p w14:paraId="7702DF05" w14:textId="38383679"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impairment of ROU asset</w:t>
            </w:r>
          </w:p>
        </w:tc>
        <w:tc>
          <w:tcPr>
            <w:tcW w:w="903" w:type="dxa"/>
          </w:tcPr>
          <w:p w14:paraId="3C333107" w14:textId="77777777" w:rsidR="00CA48CD" w:rsidRPr="00936AF3" w:rsidRDefault="00CA48CD" w:rsidP="00F84265">
            <w:pPr>
              <w:jc w:val="right"/>
              <w:rPr>
                <w:rFonts w:asciiTheme="minorHAnsi" w:hAnsiTheme="minorHAnsi" w:cstheme="minorBidi"/>
                <w:bCs/>
                <w:sz w:val="20"/>
                <w:szCs w:val="20"/>
                <w:highlight w:val="yellow"/>
              </w:rPr>
            </w:pPr>
          </w:p>
        </w:tc>
        <w:tc>
          <w:tcPr>
            <w:tcW w:w="1286" w:type="dxa"/>
            <w:shd w:val="clear" w:color="auto" w:fill="F2F2F2" w:themeFill="background1" w:themeFillShade="F2"/>
            <w:vAlign w:val="bottom"/>
          </w:tcPr>
          <w:p w14:paraId="4432A918" w14:textId="7FEA403D" w:rsidR="00CA48CD" w:rsidRPr="00F42A6D" w:rsidRDefault="00C56EB9" w:rsidP="00F84265">
            <w:pPr>
              <w:jc w:val="right"/>
              <w:rPr>
                <w:rFonts w:asciiTheme="minorHAnsi" w:hAnsiTheme="minorHAnsi" w:cstheme="minorBidi"/>
                <w:b/>
                <w:sz w:val="20"/>
                <w:szCs w:val="20"/>
              </w:rPr>
            </w:pPr>
            <w:r w:rsidRPr="00F42A6D">
              <w:rPr>
                <w:rFonts w:asciiTheme="minorHAnsi" w:hAnsiTheme="minorHAnsi" w:cstheme="minorBidi"/>
                <w:b/>
                <w:sz w:val="20"/>
                <w:szCs w:val="20"/>
              </w:rPr>
              <w:t>-</w:t>
            </w:r>
          </w:p>
        </w:tc>
        <w:tc>
          <w:tcPr>
            <w:tcW w:w="1132" w:type="dxa"/>
            <w:vAlign w:val="bottom"/>
          </w:tcPr>
          <w:p w14:paraId="668DD54F" w14:textId="0C58DA00"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Bidi"/>
                <w:bCs/>
                <w:sz w:val="20"/>
                <w:szCs w:val="20"/>
              </w:rPr>
              <w:t>2.4</w:t>
            </w:r>
          </w:p>
        </w:tc>
      </w:tr>
      <w:tr w:rsidR="00CA48CD" w14:paraId="4F2FB133" w14:textId="77777777" w:rsidTr="00293F7B">
        <w:trPr>
          <w:trHeight w:val="299"/>
        </w:trPr>
        <w:tc>
          <w:tcPr>
            <w:tcW w:w="6752" w:type="dxa"/>
            <w:vAlign w:val="bottom"/>
          </w:tcPr>
          <w:p w14:paraId="45C7F66E" w14:textId="77777777" w:rsidR="00CA48CD" w:rsidRDefault="00CA48CD" w:rsidP="00F84265">
            <w:pPr>
              <w:pStyle w:val="ListParagraph"/>
              <w:spacing w:line="259" w:lineRule="auto"/>
              <w:ind w:left="0"/>
              <w:rPr>
                <w:rFonts w:asciiTheme="minorHAnsi" w:hAnsiTheme="minorHAnsi" w:cstheme="minorBidi"/>
                <w:sz w:val="20"/>
                <w:szCs w:val="20"/>
              </w:rPr>
            </w:pPr>
            <w:r w:rsidRPr="3C57516D">
              <w:rPr>
                <w:rFonts w:asciiTheme="minorHAnsi" w:hAnsiTheme="minorHAnsi" w:cstheme="minorBidi"/>
                <w:sz w:val="20"/>
                <w:szCs w:val="20"/>
              </w:rPr>
              <w:lastRenderedPageBreak/>
              <w:t>– additions of ROU assets</w:t>
            </w:r>
          </w:p>
        </w:tc>
        <w:tc>
          <w:tcPr>
            <w:tcW w:w="903" w:type="dxa"/>
          </w:tcPr>
          <w:p w14:paraId="79C0735E" w14:textId="77777777" w:rsidR="00CA48CD" w:rsidRPr="00936AF3" w:rsidRDefault="00CA48CD" w:rsidP="00F84265">
            <w:pPr>
              <w:jc w:val="right"/>
              <w:rPr>
                <w:rFonts w:asciiTheme="minorHAnsi" w:hAnsiTheme="minorHAnsi" w:cstheme="minorBidi"/>
                <w:bCs/>
                <w:sz w:val="20"/>
                <w:szCs w:val="20"/>
              </w:rPr>
            </w:pPr>
          </w:p>
        </w:tc>
        <w:tc>
          <w:tcPr>
            <w:tcW w:w="1286" w:type="dxa"/>
            <w:shd w:val="clear" w:color="auto" w:fill="F2F2F2" w:themeFill="background1" w:themeFillShade="F2"/>
            <w:vAlign w:val="bottom"/>
          </w:tcPr>
          <w:p w14:paraId="2345C350" w14:textId="58AF5F91" w:rsidR="00CA48CD" w:rsidRDefault="00C56EB9" w:rsidP="00F84265">
            <w:pPr>
              <w:jc w:val="right"/>
              <w:rPr>
                <w:rFonts w:asciiTheme="minorHAnsi" w:hAnsiTheme="minorHAnsi" w:cstheme="minorBidi"/>
                <w:b/>
                <w:bCs/>
                <w:sz w:val="20"/>
                <w:szCs w:val="20"/>
              </w:rPr>
            </w:pPr>
            <w:r w:rsidRPr="00F42A6D">
              <w:rPr>
                <w:rFonts w:asciiTheme="minorHAnsi" w:hAnsiTheme="minorHAnsi" w:cstheme="minorBidi"/>
                <w:b/>
                <w:sz w:val="20"/>
                <w:szCs w:val="20"/>
              </w:rPr>
              <w:t>-</w:t>
            </w:r>
          </w:p>
        </w:tc>
        <w:tc>
          <w:tcPr>
            <w:tcW w:w="1132" w:type="dxa"/>
            <w:vAlign w:val="bottom"/>
          </w:tcPr>
          <w:p w14:paraId="46629660" w14:textId="454AA53B" w:rsidR="00CA48CD" w:rsidRPr="00B376F9" w:rsidRDefault="00CA48CD" w:rsidP="00F84265">
            <w:pPr>
              <w:jc w:val="right"/>
              <w:rPr>
                <w:rFonts w:asciiTheme="minorHAnsi" w:hAnsiTheme="minorHAnsi" w:cstheme="minorBidi"/>
                <w:bCs/>
                <w:sz w:val="20"/>
                <w:szCs w:val="20"/>
              </w:rPr>
            </w:pPr>
            <w:r w:rsidRPr="00B376F9">
              <w:rPr>
                <w:rFonts w:asciiTheme="minorHAnsi" w:hAnsiTheme="minorHAnsi" w:cstheme="minorBidi"/>
                <w:bCs/>
                <w:sz w:val="20"/>
                <w:szCs w:val="20"/>
              </w:rPr>
              <w:t>1.2</w:t>
            </w:r>
          </w:p>
        </w:tc>
      </w:tr>
      <w:tr w:rsidR="00CA48CD" w:rsidRPr="00B97C61" w14:paraId="0B06470F" w14:textId="77777777" w:rsidTr="00293F7B">
        <w:trPr>
          <w:trHeight w:val="239"/>
        </w:trPr>
        <w:tc>
          <w:tcPr>
            <w:tcW w:w="6752" w:type="dxa"/>
            <w:vAlign w:val="bottom"/>
          </w:tcPr>
          <w:p w14:paraId="73ADC093"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provisions created in the year</w:t>
            </w:r>
          </w:p>
        </w:tc>
        <w:tc>
          <w:tcPr>
            <w:tcW w:w="903" w:type="dxa"/>
          </w:tcPr>
          <w:p w14:paraId="6864CA05" w14:textId="425803F8" w:rsidR="00CA48CD" w:rsidRPr="00DA49F0" w:rsidRDefault="0018144E" w:rsidP="00F84265">
            <w:pPr>
              <w:jc w:val="right"/>
              <w:rPr>
                <w:rFonts w:asciiTheme="minorHAnsi" w:hAnsiTheme="minorHAnsi" w:cstheme="minorHAnsi"/>
                <w:bCs/>
                <w:sz w:val="20"/>
                <w:szCs w:val="20"/>
              </w:rPr>
            </w:pPr>
            <w:r w:rsidRPr="00DA49F0">
              <w:rPr>
                <w:rFonts w:asciiTheme="minorHAnsi" w:hAnsiTheme="minorHAnsi" w:cstheme="minorHAnsi"/>
                <w:bCs/>
                <w:sz w:val="20"/>
                <w:szCs w:val="20"/>
              </w:rPr>
              <w:t>14</w:t>
            </w:r>
          </w:p>
        </w:tc>
        <w:tc>
          <w:tcPr>
            <w:tcW w:w="1286" w:type="dxa"/>
            <w:shd w:val="clear" w:color="auto" w:fill="F2F2F2" w:themeFill="background1" w:themeFillShade="F2"/>
            <w:vAlign w:val="bottom"/>
          </w:tcPr>
          <w:p w14:paraId="6BC1B971" w14:textId="1EEE7D62" w:rsidR="00CA48CD" w:rsidRPr="00F42A6D" w:rsidRDefault="00310120" w:rsidP="00F84265">
            <w:pPr>
              <w:jc w:val="right"/>
              <w:rPr>
                <w:rFonts w:asciiTheme="minorHAnsi" w:hAnsiTheme="minorHAnsi" w:cstheme="minorHAnsi"/>
                <w:b/>
                <w:sz w:val="20"/>
                <w:szCs w:val="20"/>
              </w:rPr>
            </w:pPr>
            <w:r>
              <w:rPr>
                <w:rFonts w:asciiTheme="minorHAnsi" w:hAnsiTheme="minorHAnsi" w:cstheme="minorHAnsi"/>
                <w:b/>
                <w:sz w:val="20"/>
                <w:szCs w:val="20"/>
              </w:rPr>
              <w:t>4.7</w:t>
            </w:r>
          </w:p>
        </w:tc>
        <w:tc>
          <w:tcPr>
            <w:tcW w:w="1132" w:type="dxa"/>
            <w:vAlign w:val="bottom"/>
          </w:tcPr>
          <w:p w14:paraId="01F40F94" w14:textId="467D8231"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17.1</w:t>
            </w:r>
          </w:p>
        </w:tc>
      </w:tr>
      <w:tr w:rsidR="00CA48CD" w:rsidRPr="00B97C61" w14:paraId="45382594" w14:textId="77777777" w:rsidTr="00293F7B">
        <w:trPr>
          <w:trHeight w:val="254"/>
        </w:trPr>
        <w:tc>
          <w:tcPr>
            <w:tcW w:w="6752" w:type="dxa"/>
            <w:vAlign w:val="bottom"/>
          </w:tcPr>
          <w:p w14:paraId="0AE0B6F6"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provisions released in the year</w:t>
            </w:r>
          </w:p>
        </w:tc>
        <w:tc>
          <w:tcPr>
            <w:tcW w:w="903" w:type="dxa"/>
          </w:tcPr>
          <w:p w14:paraId="1363EE81" w14:textId="39133DFE" w:rsidR="00CA48CD" w:rsidRPr="00DA49F0" w:rsidRDefault="0018144E" w:rsidP="00F84265">
            <w:pPr>
              <w:jc w:val="right"/>
              <w:rPr>
                <w:rFonts w:asciiTheme="minorHAnsi" w:hAnsiTheme="minorHAnsi" w:cstheme="minorHAnsi"/>
                <w:bCs/>
                <w:sz w:val="20"/>
                <w:szCs w:val="20"/>
              </w:rPr>
            </w:pPr>
            <w:r w:rsidRPr="00DA49F0">
              <w:rPr>
                <w:rFonts w:asciiTheme="minorHAnsi" w:hAnsiTheme="minorHAnsi" w:cstheme="minorHAnsi"/>
                <w:bCs/>
                <w:sz w:val="20"/>
                <w:szCs w:val="20"/>
              </w:rPr>
              <w:t>14</w:t>
            </w:r>
          </w:p>
        </w:tc>
        <w:tc>
          <w:tcPr>
            <w:tcW w:w="1286" w:type="dxa"/>
            <w:shd w:val="clear" w:color="auto" w:fill="F2F2F2" w:themeFill="background1" w:themeFillShade="F2"/>
            <w:vAlign w:val="bottom"/>
          </w:tcPr>
          <w:p w14:paraId="69D7C1CA" w14:textId="3AE3D5E0" w:rsidR="00CA48CD" w:rsidRPr="00F42A6D" w:rsidRDefault="00195F12" w:rsidP="00F84265">
            <w:pPr>
              <w:jc w:val="right"/>
              <w:rPr>
                <w:rFonts w:asciiTheme="minorHAnsi" w:hAnsiTheme="minorHAnsi" w:cstheme="minorHAnsi"/>
                <w:b/>
                <w:sz w:val="20"/>
                <w:szCs w:val="20"/>
              </w:rPr>
            </w:pPr>
            <w:r>
              <w:rPr>
                <w:rFonts w:asciiTheme="minorHAnsi" w:hAnsiTheme="minorHAnsi" w:cstheme="minorHAnsi"/>
                <w:b/>
                <w:sz w:val="20"/>
                <w:szCs w:val="20"/>
              </w:rPr>
              <w:t>(2.9)</w:t>
            </w:r>
          </w:p>
        </w:tc>
        <w:tc>
          <w:tcPr>
            <w:tcW w:w="1132" w:type="dxa"/>
            <w:vAlign w:val="bottom"/>
          </w:tcPr>
          <w:p w14:paraId="15324971" w14:textId="2EBCEB20"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w:t>
            </w:r>
            <w:r w:rsidR="004D11E1">
              <w:rPr>
                <w:rFonts w:asciiTheme="minorHAnsi" w:hAnsiTheme="minorHAnsi" w:cstheme="minorHAnsi"/>
                <w:bCs/>
                <w:sz w:val="20"/>
                <w:szCs w:val="20"/>
              </w:rPr>
              <w:t>1</w:t>
            </w:r>
            <w:r w:rsidRPr="00B376F9">
              <w:rPr>
                <w:rFonts w:asciiTheme="minorHAnsi" w:hAnsiTheme="minorHAnsi" w:cstheme="minorHAnsi"/>
                <w:bCs/>
                <w:sz w:val="20"/>
                <w:szCs w:val="20"/>
              </w:rPr>
              <w:t>.2)</w:t>
            </w:r>
          </w:p>
        </w:tc>
      </w:tr>
      <w:tr w:rsidR="00CA48CD" w:rsidRPr="00B97C61" w14:paraId="75381173" w14:textId="77777777" w:rsidTr="00293F7B">
        <w:trPr>
          <w:trHeight w:val="239"/>
        </w:trPr>
        <w:tc>
          <w:tcPr>
            <w:tcW w:w="6752" w:type="dxa"/>
            <w:vAlign w:val="bottom"/>
          </w:tcPr>
          <w:p w14:paraId="79BEE56A"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provisions utilised in the year</w:t>
            </w:r>
          </w:p>
        </w:tc>
        <w:tc>
          <w:tcPr>
            <w:tcW w:w="903" w:type="dxa"/>
          </w:tcPr>
          <w:p w14:paraId="7741CE9D" w14:textId="6288E1FC" w:rsidR="00CA48CD" w:rsidRPr="00DA49F0" w:rsidRDefault="0018144E" w:rsidP="00F84265">
            <w:pPr>
              <w:jc w:val="right"/>
              <w:rPr>
                <w:rFonts w:asciiTheme="minorHAnsi" w:hAnsiTheme="minorHAnsi" w:cstheme="minorHAnsi"/>
                <w:bCs/>
                <w:sz w:val="20"/>
                <w:szCs w:val="20"/>
              </w:rPr>
            </w:pPr>
            <w:r w:rsidRPr="00DA49F0">
              <w:rPr>
                <w:rFonts w:asciiTheme="minorHAnsi" w:hAnsiTheme="minorHAnsi" w:cstheme="minorHAnsi"/>
                <w:bCs/>
                <w:sz w:val="20"/>
                <w:szCs w:val="20"/>
              </w:rPr>
              <w:t>14</w:t>
            </w:r>
          </w:p>
        </w:tc>
        <w:tc>
          <w:tcPr>
            <w:tcW w:w="1286" w:type="dxa"/>
            <w:shd w:val="clear" w:color="auto" w:fill="F2F2F2" w:themeFill="background1" w:themeFillShade="F2"/>
            <w:vAlign w:val="bottom"/>
          </w:tcPr>
          <w:p w14:paraId="2B74106A" w14:textId="62698C78" w:rsidR="00CA48CD" w:rsidRPr="00F42A6D" w:rsidRDefault="00051F0D" w:rsidP="00F84265">
            <w:pPr>
              <w:jc w:val="right"/>
              <w:rPr>
                <w:rFonts w:asciiTheme="minorHAnsi" w:hAnsiTheme="minorHAnsi" w:cstheme="minorHAnsi"/>
                <w:b/>
                <w:sz w:val="20"/>
                <w:szCs w:val="20"/>
              </w:rPr>
            </w:pPr>
            <w:r>
              <w:rPr>
                <w:rFonts w:asciiTheme="minorHAnsi" w:hAnsiTheme="minorHAnsi" w:cstheme="minorHAnsi"/>
                <w:b/>
                <w:sz w:val="20"/>
                <w:szCs w:val="20"/>
              </w:rPr>
              <w:t>(7.6)</w:t>
            </w:r>
          </w:p>
        </w:tc>
        <w:tc>
          <w:tcPr>
            <w:tcW w:w="1132" w:type="dxa"/>
            <w:vAlign w:val="bottom"/>
          </w:tcPr>
          <w:p w14:paraId="1EA6848F" w14:textId="15FB75F6"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(5.4)</w:t>
            </w:r>
          </w:p>
        </w:tc>
      </w:tr>
      <w:tr w:rsidR="00CA48CD" w:rsidRPr="00B97C61" w14:paraId="0ED69207" w14:textId="77777777" w:rsidTr="00293F7B">
        <w:trPr>
          <w:trHeight w:val="239"/>
        </w:trPr>
        <w:tc>
          <w:tcPr>
            <w:tcW w:w="6752" w:type="dxa"/>
            <w:vAlign w:val="bottom"/>
          </w:tcPr>
          <w:p w14:paraId="03026F21"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depreciation of property, plant and equipment and right of use assets</w:t>
            </w:r>
          </w:p>
        </w:tc>
        <w:tc>
          <w:tcPr>
            <w:tcW w:w="903" w:type="dxa"/>
          </w:tcPr>
          <w:p w14:paraId="26920DE1" w14:textId="77777777" w:rsidR="00CA48CD" w:rsidRPr="00DA49F0" w:rsidRDefault="00CA48CD" w:rsidP="00F84265">
            <w:pPr>
              <w:jc w:val="right"/>
              <w:rPr>
                <w:rFonts w:asciiTheme="minorHAnsi" w:hAnsiTheme="minorHAnsi" w:cstheme="minorBidi"/>
                <w:bCs/>
                <w:sz w:val="20"/>
                <w:szCs w:val="20"/>
              </w:rPr>
            </w:pPr>
          </w:p>
        </w:tc>
        <w:tc>
          <w:tcPr>
            <w:tcW w:w="1286" w:type="dxa"/>
            <w:shd w:val="clear" w:color="auto" w:fill="F2F2F2" w:themeFill="background1" w:themeFillShade="F2"/>
            <w:vAlign w:val="bottom"/>
          </w:tcPr>
          <w:p w14:paraId="0F6DEC54" w14:textId="380F7526" w:rsidR="00CA48CD" w:rsidRPr="00F42A6D" w:rsidRDefault="00F662C3" w:rsidP="00F84265">
            <w:pPr>
              <w:jc w:val="right"/>
              <w:rPr>
                <w:rFonts w:asciiTheme="minorHAnsi" w:hAnsiTheme="minorHAnsi" w:cstheme="minorBidi"/>
                <w:b/>
                <w:sz w:val="20"/>
                <w:szCs w:val="20"/>
              </w:rPr>
            </w:pPr>
            <w:r>
              <w:rPr>
                <w:rFonts w:asciiTheme="minorHAnsi" w:hAnsiTheme="minorHAnsi" w:cstheme="minorBidi"/>
                <w:b/>
                <w:sz w:val="20"/>
                <w:szCs w:val="20"/>
              </w:rPr>
              <w:t>3.3</w:t>
            </w:r>
          </w:p>
        </w:tc>
        <w:tc>
          <w:tcPr>
            <w:tcW w:w="1132" w:type="dxa"/>
            <w:vAlign w:val="bottom"/>
          </w:tcPr>
          <w:p w14:paraId="071013DC" w14:textId="09C60400"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Bidi"/>
                <w:bCs/>
                <w:sz w:val="20"/>
                <w:szCs w:val="20"/>
              </w:rPr>
              <w:t>8.2</w:t>
            </w:r>
          </w:p>
        </w:tc>
      </w:tr>
      <w:tr w:rsidR="00CA48CD" w:rsidRPr="00B97C61" w14:paraId="0104A935" w14:textId="77777777" w:rsidTr="00293F7B">
        <w:trPr>
          <w:trHeight w:val="254"/>
        </w:trPr>
        <w:tc>
          <w:tcPr>
            <w:tcW w:w="6752" w:type="dxa"/>
            <w:vAlign w:val="bottom"/>
          </w:tcPr>
          <w:p w14:paraId="58ACC55F"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loss on disposal of property, plant and equipment</w:t>
            </w:r>
          </w:p>
        </w:tc>
        <w:tc>
          <w:tcPr>
            <w:tcW w:w="903" w:type="dxa"/>
          </w:tcPr>
          <w:p w14:paraId="62BBAF2E" w14:textId="77777777" w:rsidR="00CA48CD" w:rsidRPr="00DA49F0" w:rsidRDefault="00CA48CD" w:rsidP="00F84265">
            <w:pPr>
              <w:jc w:val="right"/>
              <w:rPr>
                <w:rFonts w:asciiTheme="minorHAnsi" w:hAnsiTheme="minorHAnsi" w:cstheme="minorHAnsi"/>
                <w:bCs/>
                <w:sz w:val="20"/>
                <w:szCs w:val="20"/>
              </w:rPr>
            </w:pPr>
          </w:p>
        </w:tc>
        <w:tc>
          <w:tcPr>
            <w:tcW w:w="1286" w:type="dxa"/>
            <w:shd w:val="clear" w:color="auto" w:fill="F2F2F2" w:themeFill="background1" w:themeFillShade="F2"/>
            <w:vAlign w:val="bottom"/>
          </w:tcPr>
          <w:p w14:paraId="771CBB81" w14:textId="253144EB" w:rsidR="00CA48CD" w:rsidRPr="00F42A6D" w:rsidRDefault="00B65A15" w:rsidP="00F84265">
            <w:pPr>
              <w:jc w:val="right"/>
              <w:rPr>
                <w:rFonts w:asciiTheme="minorHAnsi" w:hAnsiTheme="minorHAnsi" w:cstheme="minorHAnsi"/>
                <w:b/>
                <w:sz w:val="20"/>
                <w:szCs w:val="20"/>
              </w:rPr>
            </w:pPr>
            <w:r>
              <w:rPr>
                <w:rFonts w:asciiTheme="minorHAnsi" w:hAnsiTheme="minorHAnsi" w:cstheme="minorHAnsi"/>
                <w:b/>
                <w:sz w:val="20"/>
                <w:szCs w:val="20"/>
              </w:rPr>
              <w:t>0.2</w:t>
            </w:r>
          </w:p>
        </w:tc>
        <w:tc>
          <w:tcPr>
            <w:tcW w:w="1132" w:type="dxa"/>
            <w:vAlign w:val="bottom"/>
          </w:tcPr>
          <w:p w14:paraId="24523695" w14:textId="28E999F2"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0.1</w:t>
            </w:r>
          </w:p>
        </w:tc>
      </w:tr>
      <w:tr w:rsidR="00CA48CD" w:rsidRPr="00B97C61" w14:paraId="1C827D11" w14:textId="77777777" w:rsidTr="00293F7B">
        <w:trPr>
          <w:trHeight w:val="239"/>
        </w:trPr>
        <w:tc>
          <w:tcPr>
            <w:tcW w:w="6752" w:type="dxa"/>
            <w:vAlign w:val="bottom"/>
          </w:tcPr>
          <w:p w14:paraId="2ADBF6C6" w14:textId="77777777" w:rsidR="00CA48CD" w:rsidRPr="00B97C61" w:rsidRDefault="00CA48CD" w:rsidP="00F84265">
            <w:pPr>
              <w:rPr>
                <w:rFonts w:asciiTheme="minorHAnsi" w:hAnsiTheme="minorHAnsi" w:cstheme="minorHAnsi"/>
                <w:sz w:val="20"/>
                <w:szCs w:val="20"/>
              </w:rPr>
            </w:pPr>
            <w:r w:rsidRPr="00BA6D66">
              <w:rPr>
                <w:rFonts w:asciiTheme="minorHAnsi" w:hAnsiTheme="minorHAnsi" w:cstheme="minorHAnsi"/>
                <w:sz w:val="20"/>
                <w:szCs w:val="20"/>
              </w:rPr>
              <w:t>– amortisation of intangible assets</w:t>
            </w:r>
            <w:r w:rsidRPr="00BA6D66">
              <w:rPr>
                <w:rFonts w:asciiTheme="minorHAnsi" w:hAnsiTheme="minorHAnsi" w:cstheme="minorHAnsi"/>
                <w:sz w:val="20"/>
                <w:szCs w:val="20"/>
              </w:rPr>
              <w:tab/>
            </w:r>
          </w:p>
        </w:tc>
        <w:tc>
          <w:tcPr>
            <w:tcW w:w="903" w:type="dxa"/>
          </w:tcPr>
          <w:p w14:paraId="5FF31961" w14:textId="24DAFAA8" w:rsidR="00CA48CD" w:rsidRPr="00DA49F0" w:rsidRDefault="00334E60" w:rsidP="00F84265">
            <w:pPr>
              <w:jc w:val="right"/>
              <w:rPr>
                <w:rFonts w:asciiTheme="minorHAnsi" w:hAnsiTheme="minorHAnsi" w:cstheme="minorBidi"/>
                <w:bCs/>
                <w:sz w:val="20"/>
                <w:szCs w:val="20"/>
              </w:rPr>
            </w:pPr>
            <w:r w:rsidRPr="00DA49F0">
              <w:rPr>
                <w:rFonts w:asciiTheme="minorHAnsi" w:hAnsiTheme="minorHAnsi" w:cstheme="minorBidi"/>
                <w:bCs/>
                <w:sz w:val="20"/>
                <w:szCs w:val="20"/>
              </w:rPr>
              <w:t>11</w:t>
            </w:r>
          </w:p>
        </w:tc>
        <w:tc>
          <w:tcPr>
            <w:tcW w:w="1286" w:type="dxa"/>
            <w:shd w:val="clear" w:color="auto" w:fill="F2F2F2" w:themeFill="background1" w:themeFillShade="F2"/>
            <w:vAlign w:val="bottom"/>
          </w:tcPr>
          <w:p w14:paraId="5396DD53" w14:textId="1A8D9ADD" w:rsidR="00CA48CD" w:rsidRPr="6523FF9E" w:rsidRDefault="00B65A15" w:rsidP="00F84265">
            <w:pPr>
              <w:jc w:val="right"/>
              <w:rPr>
                <w:rFonts w:asciiTheme="minorHAnsi" w:hAnsiTheme="minorHAnsi" w:cstheme="minorBidi"/>
                <w:b/>
                <w:sz w:val="20"/>
                <w:szCs w:val="20"/>
              </w:rPr>
            </w:pPr>
            <w:r>
              <w:rPr>
                <w:rFonts w:asciiTheme="minorHAnsi" w:hAnsiTheme="minorHAnsi" w:cstheme="minorBidi"/>
                <w:b/>
                <w:sz w:val="20"/>
                <w:szCs w:val="20"/>
              </w:rPr>
              <w:t>5.1</w:t>
            </w:r>
          </w:p>
        </w:tc>
        <w:tc>
          <w:tcPr>
            <w:tcW w:w="1132" w:type="dxa"/>
            <w:vAlign w:val="bottom"/>
          </w:tcPr>
          <w:p w14:paraId="5DB5A4DC" w14:textId="7F2C9022"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Bidi"/>
                <w:bCs/>
                <w:sz w:val="20"/>
                <w:szCs w:val="20"/>
              </w:rPr>
              <w:t>10.2</w:t>
            </w:r>
          </w:p>
        </w:tc>
      </w:tr>
      <w:tr w:rsidR="00CA48CD" w:rsidRPr="00B97C61" w14:paraId="4D007BA7" w14:textId="77777777" w:rsidTr="00293F7B">
        <w:trPr>
          <w:trHeight w:val="239"/>
        </w:trPr>
        <w:tc>
          <w:tcPr>
            <w:tcW w:w="6752" w:type="dxa"/>
            <w:vAlign w:val="bottom"/>
          </w:tcPr>
          <w:p w14:paraId="5504B34A" w14:textId="5D11005A"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w:t>
            </w:r>
            <w:r w:rsidR="00A227A2">
              <w:rPr>
                <w:rFonts w:asciiTheme="minorHAnsi" w:hAnsiTheme="minorHAnsi" w:cstheme="minorHAnsi"/>
                <w:sz w:val="20"/>
                <w:szCs w:val="20"/>
              </w:rPr>
              <w:t>loss on disposal</w:t>
            </w:r>
            <w:r w:rsidRPr="00B97C61">
              <w:rPr>
                <w:rFonts w:asciiTheme="minorHAnsi" w:hAnsiTheme="minorHAnsi" w:cstheme="minorHAnsi"/>
                <w:sz w:val="20"/>
                <w:szCs w:val="20"/>
              </w:rPr>
              <w:t xml:space="preserve"> of intangible assets</w:t>
            </w:r>
          </w:p>
        </w:tc>
        <w:tc>
          <w:tcPr>
            <w:tcW w:w="903" w:type="dxa"/>
          </w:tcPr>
          <w:p w14:paraId="5F73B684" w14:textId="554DD052" w:rsidR="00CA48CD" w:rsidRPr="00DA49F0" w:rsidRDefault="00D06065" w:rsidP="00F84265">
            <w:pPr>
              <w:jc w:val="right"/>
              <w:rPr>
                <w:rFonts w:asciiTheme="minorHAnsi" w:hAnsiTheme="minorHAnsi" w:cstheme="minorBidi"/>
                <w:bCs/>
                <w:sz w:val="20"/>
                <w:szCs w:val="20"/>
              </w:rPr>
            </w:pPr>
            <w:r w:rsidRPr="00DA49F0">
              <w:rPr>
                <w:rFonts w:asciiTheme="minorHAnsi" w:hAnsiTheme="minorHAnsi" w:cstheme="minorBidi"/>
                <w:bCs/>
                <w:sz w:val="20"/>
                <w:szCs w:val="20"/>
              </w:rPr>
              <w:t>11</w:t>
            </w:r>
          </w:p>
        </w:tc>
        <w:tc>
          <w:tcPr>
            <w:tcW w:w="1286" w:type="dxa"/>
            <w:shd w:val="clear" w:color="auto" w:fill="F2F2F2" w:themeFill="background1" w:themeFillShade="F2"/>
            <w:vAlign w:val="bottom"/>
          </w:tcPr>
          <w:p w14:paraId="305F0DFA" w14:textId="1759A42A" w:rsidR="00CA48CD" w:rsidRPr="00F42A6D" w:rsidRDefault="009B219F" w:rsidP="00F84265">
            <w:pPr>
              <w:jc w:val="right"/>
              <w:rPr>
                <w:rFonts w:asciiTheme="minorHAnsi" w:hAnsiTheme="minorHAnsi" w:cstheme="minorBidi"/>
                <w:b/>
                <w:sz w:val="20"/>
                <w:szCs w:val="20"/>
              </w:rPr>
            </w:pPr>
            <w:r>
              <w:rPr>
                <w:rFonts w:asciiTheme="minorHAnsi" w:hAnsiTheme="minorHAnsi" w:cstheme="minorBidi"/>
                <w:b/>
                <w:sz w:val="20"/>
                <w:szCs w:val="20"/>
              </w:rPr>
              <w:t>1.2</w:t>
            </w:r>
          </w:p>
        </w:tc>
        <w:tc>
          <w:tcPr>
            <w:tcW w:w="1132" w:type="dxa"/>
            <w:vAlign w:val="bottom"/>
          </w:tcPr>
          <w:p w14:paraId="49A7FF78" w14:textId="4DB7C22E"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Bidi"/>
                <w:bCs/>
                <w:sz w:val="20"/>
                <w:szCs w:val="20"/>
              </w:rPr>
              <w:t>8.5</w:t>
            </w:r>
          </w:p>
        </w:tc>
      </w:tr>
      <w:tr w:rsidR="00CA48CD" w:rsidRPr="00B97C61" w14:paraId="788F772F" w14:textId="77777777" w:rsidTr="00293F7B">
        <w:trPr>
          <w:trHeight w:val="239"/>
        </w:trPr>
        <w:tc>
          <w:tcPr>
            <w:tcW w:w="6752" w:type="dxa"/>
            <w:vAlign w:val="bottom"/>
          </w:tcPr>
          <w:p w14:paraId="2694A670" w14:textId="60DD120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xml:space="preserve">– </w:t>
            </w:r>
            <w:r w:rsidR="00060390">
              <w:rPr>
                <w:rFonts w:asciiTheme="minorHAnsi" w:hAnsiTheme="minorHAnsi" w:cstheme="minorHAnsi"/>
                <w:sz w:val="20"/>
                <w:szCs w:val="20"/>
              </w:rPr>
              <w:t>net fair value movement on</w:t>
            </w:r>
            <w:r w:rsidRPr="00B97C61">
              <w:rPr>
                <w:rFonts w:asciiTheme="minorHAnsi" w:hAnsiTheme="minorHAnsi" w:cstheme="minorHAnsi"/>
                <w:sz w:val="20"/>
                <w:szCs w:val="20"/>
              </w:rPr>
              <w:t xml:space="preserve"> </w:t>
            </w:r>
            <w:r>
              <w:rPr>
                <w:rFonts w:asciiTheme="minorHAnsi" w:hAnsiTheme="minorHAnsi" w:cstheme="minorHAnsi"/>
                <w:sz w:val="20"/>
                <w:szCs w:val="20"/>
              </w:rPr>
              <w:t>derivative financial instruments</w:t>
            </w:r>
          </w:p>
        </w:tc>
        <w:tc>
          <w:tcPr>
            <w:tcW w:w="903" w:type="dxa"/>
          </w:tcPr>
          <w:p w14:paraId="40ABFEB2" w14:textId="77777777" w:rsidR="00CA48CD" w:rsidRPr="00DA49F0" w:rsidRDefault="00CA48CD" w:rsidP="00F84265">
            <w:pPr>
              <w:jc w:val="right"/>
              <w:rPr>
                <w:rFonts w:asciiTheme="minorHAnsi" w:hAnsiTheme="minorHAnsi" w:cstheme="minorHAnsi"/>
                <w:bCs/>
                <w:sz w:val="20"/>
                <w:szCs w:val="20"/>
              </w:rPr>
            </w:pPr>
          </w:p>
        </w:tc>
        <w:tc>
          <w:tcPr>
            <w:tcW w:w="1286" w:type="dxa"/>
            <w:shd w:val="clear" w:color="auto" w:fill="F2F2F2" w:themeFill="background1" w:themeFillShade="F2"/>
            <w:vAlign w:val="bottom"/>
          </w:tcPr>
          <w:p w14:paraId="2FC1D853" w14:textId="016F188C" w:rsidR="00CA48CD" w:rsidRPr="00F42A6D" w:rsidRDefault="003E7F7D" w:rsidP="00F84265">
            <w:pPr>
              <w:jc w:val="right"/>
              <w:rPr>
                <w:rFonts w:asciiTheme="minorHAnsi" w:hAnsiTheme="minorHAnsi" w:cstheme="minorHAnsi"/>
                <w:b/>
                <w:sz w:val="20"/>
                <w:szCs w:val="20"/>
              </w:rPr>
            </w:pPr>
            <w:r>
              <w:rPr>
                <w:rFonts w:asciiTheme="minorHAnsi" w:hAnsiTheme="minorHAnsi" w:cstheme="minorHAnsi"/>
                <w:b/>
                <w:sz w:val="20"/>
                <w:szCs w:val="20"/>
              </w:rPr>
              <w:t>2.2</w:t>
            </w:r>
          </w:p>
        </w:tc>
        <w:tc>
          <w:tcPr>
            <w:tcW w:w="1132" w:type="dxa"/>
            <w:vAlign w:val="bottom"/>
          </w:tcPr>
          <w:p w14:paraId="3A94C67D" w14:textId="4FA3ECA2"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8.8</w:t>
            </w:r>
          </w:p>
        </w:tc>
      </w:tr>
      <w:tr w:rsidR="00CA48CD" w:rsidRPr="00B97C61" w14:paraId="60F28A60" w14:textId="77777777" w:rsidTr="00293F7B">
        <w:trPr>
          <w:trHeight w:val="239"/>
        </w:trPr>
        <w:tc>
          <w:tcPr>
            <w:tcW w:w="6752" w:type="dxa"/>
            <w:vAlign w:val="bottom"/>
          </w:tcPr>
          <w:p w14:paraId="4F17B385"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fair value movements on Visa shares</w:t>
            </w:r>
          </w:p>
        </w:tc>
        <w:tc>
          <w:tcPr>
            <w:tcW w:w="903" w:type="dxa"/>
          </w:tcPr>
          <w:p w14:paraId="5E0665EF" w14:textId="77777777" w:rsidR="00CA48CD" w:rsidRPr="00DA49F0" w:rsidRDefault="00CA48CD" w:rsidP="00F84265">
            <w:pPr>
              <w:jc w:val="right"/>
              <w:rPr>
                <w:rFonts w:asciiTheme="minorHAnsi" w:hAnsiTheme="minorHAnsi" w:cstheme="minorHAnsi"/>
                <w:bCs/>
                <w:sz w:val="20"/>
                <w:szCs w:val="20"/>
              </w:rPr>
            </w:pPr>
          </w:p>
        </w:tc>
        <w:tc>
          <w:tcPr>
            <w:tcW w:w="1286" w:type="dxa"/>
            <w:shd w:val="clear" w:color="auto" w:fill="F2F2F2" w:themeFill="background1" w:themeFillShade="F2"/>
            <w:vAlign w:val="bottom"/>
          </w:tcPr>
          <w:p w14:paraId="5B4ED7FF" w14:textId="1E0D631E" w:rsidR="00CA48CD" w:rsidRPr="00F42A6D" w:rsidRDefault="003E7F7D" w:rsidP="00F84265">
            <w:pPr>
              <w:jc w:val="right"/>
              <w:rPr>
                <w:rFonts w:asciiTheme="minorHAnsi" w:hAnsiTheme="minorHAnsi" w:cstheme="minorHAnsi"/>
                <w:b/>
                <w:sz w:val="20"/>
                <w:szCs w:val="20"/>
              </w:rPr>
            </w:pPr>
            <w:r>
              <w:rPr>
                <w:rFonts w:asciiTheme="minorHAnsi" w:hAnsiTheme="minorHAnsi" w:cstheme="minorHAnsi"/>
                <w:b/>
                <w:sz w:val="20"/>
                <w:szCs w:val="20"/>
              </w:rPr>
              <w:t>-</w:t>
            </w:r>
          </w:p>
        </w:tc>
        <w:tc>
          <w:tcPr>
            <w:tcW w:w="1132" w:type="dxa"/>
            <w:vAlign w:val="bottom"/>
          </w:tcPr>
          <w:p w14:paraId="7AC133F0" w14:textId="1B7403A6"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0.3</w:t>
            </w:r>
          </w:p>
        </w:tc>
      </w:tr>
      <w:tr w:rsidR="00CA48CD" w:rsidRPr="00B97C61" w14:paraId="5D7AA594" w14:textId="77777777" w:rsidTr="00293F7B">
        <w:trPr>
          <w:trHeight w:val="239"/>
        </w:trPr>
        <w:tc>
          <w:tcPr>
            <w:tcW w:w="6752" w:type="dxa"/>
            <w:vAlign w:val="bottom"/>
          </w:tcPr>
          <w:p w14:paraId="53B37F62"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contributions into the retirement benefit scheme</w:t>
            </w:r>
          </w:p>
        </w:tc>
        <w:tc>
          <w:tcPr>
            <w:tcW w:w="903" w:type="dxa"/>
          </w:tcPr>
          <w:p w14:paraId="2896D0C5" w14:textId="61E158D9" w:rsidR="00CA48CD" w:rsidRPr="00DA49F0" w:rsidRDefault="00B45538" w:rsidP="00F84265">
            <w:pPr>
              <w:jc w:val="right"/>
              <w:rPr>
                <w:rFonts w:asciiTheme="minorHAnsi" w:hAnsiTheme="minorHAnsi" w:cstheme="minorHAnsi"/>
                <w:bCs/>
                <w:sz w:val="20"/>
                <w:szCs w:val="20"/>
              </w:rPr>
            </w:pPr>
            <w:r w:rsidRPr="00DA49F0">
              <w:rPr>
                <w:rFonts w:asciiTheme="minorHAnsi" w:hAnsiTheme="minorHAnsi" w:cstheme="minorHAnsi"/>
                <w:bCs/>
                <w:sz w:val="20"/>
                <w:szCs w:val="20"/>
              </w:rPr>
              <w:t>12</w:t>
            </w:r>
          </w:p>
        </w:tc>
        <w:tc>
          <w:tcPr>
            <w:tcW w:w="1286" w:type="dxa"/>
            <w:shd w:val="clear" w:color="auto" w:fill="F2F2F2" w:themeFill="background1" w:themeFillShade="F2"/>
            <w:vAlign w:val="bottom"/>
          </w:tcPr>
          <w:p w14:paraId="282AABC5" w14:textId="7FE4BD21" w:rsidR="00CA48CD" w:rsidRPr="00F42A6D" w:rsidRDefault="003E7F7D" w:rsidP="00F84265">
            <w:pPr>
              <w:jc w:val="right"/>
              <w:rPr>
                <w:rFonts w:asciiTheme="minorHAnsi" w:hAnsiTheme="minorHAnsi" w:cstheme="minorHAnsi"/>
                <w:b/>
                <w:sz w:val="20"/>
                <w:szCs w:val="20"/>
              </w:rPr>
            </w:pPr>
            <w:r>
              <w:rPr>
                <w:rFonts w:asciiTheme="minorHAnsi" w:hAnsiTheme="minorHAnsi" w:cstheme="minorHAnsi"/>
                <w:b/>
                <w:sz w:val="20"/>
                <w:szCs w:val="20"/>
              </w:rPr>
              <w:t>(0.4)</w:t>
            </w:r>
          </w:p>
        </w:tc>
        <w:tc>
          <w:tcPr>
            <w:tcW w:w="1132" w:type="dxa"/>
            <w:vAlign w:val="bottom"/>
          </w:tcPr>
          <w:p w14:paraId="080C5DE4" w14:textId="007163FC"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(0.4)</w:t>
            </w:r>
          </w:p>
        </w:tc>
      </w:tr>
      <w:tr w:rsidR="00CA48CD" w:rsidRPr="00B97C61" w14:paraId="1313EDE5" w14:textId="77777777" w:rsidTr="00293F7B">
        <w:trPr>
          <w:trHeight w:val="254"/>
        </w:trPr>
        <w:tc>
          <w:tcPr>
            <w:tcW w:w="6752" w:type="dxa"/>
            <w:vAlign w:val="bottom"/>
          </w:tcPr>
          <w:p w14:paraId="452F0FFB" w14:textId="7AFB8B1E"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Changes in operating assets and liabilities</w:t>
            </w:r>
            <w:r w:rsidR="00F25B9C">
              <w:rPr>
                <w:rFonts w:asciiTheme="minorHAnsi" w:hAnsiTheme="minorHAnsi" w:cstheme="minorHAnsi"/>
                <w:sz w:val="20"/>
                <w:szCs w:val="20"/>
              </w:rPr>
              <w:t>:</w:t>
            </w:r>
          </w:p>
        </w:tc>
        <w:tc>
          <w:tcPr>
            <w:tcW w:w="903" w:type="dxa"/>
          </w:tcPr>
          <w:p w14:paraId="65343A70" w14:textId="77777777" w:rsidR="00CA48CD" w:rsidRPr="00DA49F0" w:rsidRDefault="00CA48CD" w:rsidP="00F84265">
            <w:pPr>
              <w:jc w:val="right"/>
              <w:rPr>
                <w:rFonts w:asciiTheme="minorHAnsi" w:hAnsiTheme="minorHAnsi" w:cstheme="minorHAnsi"/>
                <w:bCs/>
                <w:sz w:val="20"/>
                <w:szCs w:val="20"/>
              </w:rPr>
            </w:pPr>
          </w:p>
        </w:tc>
        <w:tc>
          <w:tcPr>
            <w:tcW w:w="1286" w:type="dxa"/>
            <w:shd w:val="clear" w:color="auto" w:fill="F2F2F2" w:themeFill="background1" w:themeFillShade="F2"/>
            <w:vAlign w:val="bottom"/>
          </w:tcPr>
          <w:p w14:paraId="3984FBA2" w14:textId="0F525930" w:rsidR="00CA48CD" w:rsidRPr="00F42A6D" w:rsidRDefault="00CA48CD" w:rsidP="00F84265">
            <w:pPr>
              <w:jc w:val="right"/>
              <w:rPr>
                <w:rFonts w:asciiTheme="minorHAnsi" w:hAnsiTheme="minorHAnsi" w:cstheme="minorHAnsi"/>
                <w:b/>
                <w:sz w:val="20"/>
                <w:szCs w:val="20"/>
              </w:rPr>
            </w:pPr>
          </w:p>
        </w:tc>
        <w:tc>
          <w:tcPr>
            <w:tcW w:w="1132" w:type="dxa"/>
            <w:vAlign w:val="bottom"/>
          </w:tcPr>
          <w:p w14:paraId="3DB63B76" w14:textId="77777777" w:rsidR="00CA48CD" w:rsidRPr="00B376F9" w:rsidRDefault="00CA48CD" w:rsidP="00F84265">
            <w:pPr>
              <w:jc w:val="right"/>
              <w:rPr>
                <w:rFonts w:asciiTheme="minorHAnsi" w:hAnsiTheme="minorHAnsi" w:cstheme="minorHAnsi"/>
                <w:bCs/>
                <w:sz w:val="20"/>
                <w:szCs w:val="20"/>
              </w:rPr>
            </w:pPr>
          </w:p>
        </w:tc>
      </w:tr>
      <w:tr w:rsidR="00CA48CD" w:rsidRPr="00B97C61" w14:paraId="2122E6F3" w14:textId="77777777" w:rsidTr="00293F7B">
        <w:trPr>
          <w:trHeight w:val="239"/>
        </w:trPr>
        <w:tc>
          <w:tcPr>
            <w:tcW w:w="6752" w:type="dxa"/>
            <w:vAlign w:val="bottom"/>
          </w:tcPr>
          <w:p w14:paraId="7E9A1D5D"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amounts receivable from customers</w:t>
            </w:r>
          </w:p>
        </w:tc>
        <w:tc>
          <w:tcPr>
            <w:tcW w:w="903" w:type="dxa"/>
          </w:tcPr>
          <w:p w14:paraId="13EAA053" w14:textId="436ABC2D" w:rsidR="00CA48CD" w:rsidRPr="00DA49F0" w:rsidRDefault="00DA49F0" w:rsidP="00F84265">
            <w:pPr>
              <w:jc w:val="right"/>
              <w:rPr>
                <w:rFonts w:asciiTheme="minorHAnsi" w:hAnsiTheme="minorHAnsi" w:cstheme="minorHAnsi"/>
                <w:bCs/>
                <w:sz w:val="20"/>
                <w:szCs w:val="20"/>
              </w:rPr>
            </w:pPr>
            <w:r w:rsidRPr="00DA49F0">
              <w:rPr>
                <w:rFonts w:asciiTheme="minorHAnsi" w:hAnsiTheme="minorHAnsi" w:cstheme="minorHAnsi"/>
                <w:bCs/>
                <w:sz w:val="20"/>
                <w:szCs w:val="20"/>
              </w:rPr>
              <w:t>9</w:t>
            </w:r>
          </w:p>
        </w:tc>
        <w:tc>
          <w:tcPr>
            <w:tcW w:w="1286" w:type="dxa"/>
            <w:shd w:val="clear" w:color="auto" w:fill="F2F2F2" w:themeFill="background1" w:themeFillShade="F2"/>
            <w:vAlign w:val="bottom"/>
          </w:tcPr>
          <w:p w14:paraId="79657B4F" w14:textId="28C9A3B6" w:rsidR="00CA48CD" w:rsidRPr="00986526" w:rsidRDefault="003E7F7D" w:rsidP="00F84265">
            <w:pPr>
              <w:jc w:val="right"/>
              <w:rPr>
                <w:rFonts w:asciiTheme="minorHAnsi" w:hAnsiTheme="minorHAnsi" w:cstheme="minorHAnsi"/>
                <w:b/>
                <w:sz w:val="20"/>
                <w:szCs w:val="20"/>
              </w:rPr>
            </w:pPr>
            <w:r>
              <w:rPr>
                <w:rFonts w:asciiTheme="minorHAnsi" w:hAnsiTheme="minorHAnsi" w:cstheme="minorHAnsi"/>
                <w:b/>
                <w:sz w:val="20"/>
                <w:szCs w:val="20"/>
              </w:rPr>
              <w:t>(171.1)</w:t>
            </w:r>
          </w:p>
        </w:tc>
        <w:tc>
          <w:tcPr>
            <w:tcW w:w="1132" w:type="dxa"/>
            <w:vAlign w:val="bottom"/>
          </w:tcPr>
          <w:p w14:paraId="45386FB9" w14:textId="632290C5"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148.6</w:t>
            </w:r>
          </w:p>
        </w:tc>
      </w:tr>
      <w:tr w:rsidR="00CA48CD" w:rsidRPr="00B97C61" w14:paraId="6F6B0AEC" w14:textId="77777777" w:rsidTr="00293F7B">
        <w:trPr>
          <w:trHeight w:val="239"/>
        </w:trPr>
        <w:tc>
          <w:tcPr>
            <w:tcW w:w="6752" w:type="dxa"/>
            <w:vAlign w:val="bottom"/>
          </w:tcPr>
          <w:p w14:paraId="5302AA7A"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trade and other receivables</w:t>
            </w:r>
          </w:p>
        </w:tc>
        <w:tc>
          <w:tcPr>
            <w:tcW w:w="903" w:type="dxa"/>
          </w:tcPr>
          <w:p w14:paraId="47A4E92C" w14:textId="77777777" w:rsidR="00CA48CD" w:rsidRPr="00936AF3" w:rsidRDefault="00CA48CD" w:rsidP="00F84265">
            <w:pPr>
              <w:jc w:val="right"/>
              <w:rPr>
                <w:rFonts w:asciiTheme="minorHAnsi" w:hAnsiTheme="minorHAnsi" w:cstheme="minorHAnsi"/>
                <w:bCs/>
                <w:sz w:val="20"/>
                <w:szCs w:val="20"/>
              </w:rPr>
            </w:pPr>
          </w:p>
        </w:tc>
        <w:tc>
          <w:tcPr>
            <w:tcW w:w="1286" w:type="dxa"/>
            <w:shd w:val="clear" w:color="auto" w:fill="F2F2F2" w:themeFill="background1" w:themeFillShade="F2"/>
            <w:vAlign w:val="bottom"/>
          </w:tcPr>
          <w:p w14:paraId="2852FEFC" w14:textId="75EC7BF9" w:rsidR="00CA48CD" w:rsidRPr="00986526" w:rsidRDefault="00E376CD" w:rsidP="00F84265">
            <w:pPr>
              <w:jc w:val="right"/>
              <w:rPr>
                <w:rFonts w:asciiTheme="minorHAnsi" w:hAnsiTheme="minorHAnsi" w:cstheme="minorHAnsi"/>
                <w:b/>
                <w:sz w:val="20"/>
                <w:szCs w:val="20"/>
              </w:rPr>
            </w:pPr>
            <w:r>
              <w:rPr>
                <w:rFonts w:asciiTheme="minorHAnsi" w:hAnsiTheme="minorHAnsi" w:cstheme="minorHAnsi"/>
                <w:b/>
                <w:sz w:val="20"/>
                <w:szCs w:val="20"/>
              </w:rPr>
              <w:t>5</w:t>
            </w:r>
            <w:r w:rsidR="00E539CD">
              <w:rPr>
                <w:rFonts w:asciiTheme="minorHAnsi" w:hAnsiTheme="minorHAnsi" w:cstheme="minorHAnsi"/>
                <w:b/>
                <w:sz w:val="20"/>
                <w:szCs w:val="20"/>
              </w:rPr>
              <w:t>.5</w:t>
            </w:r>
          </w:p>
        </w:tc>
        <w:tc>
          <w:tcPr>
            <w:tcW w:w="1132" w:type="dxa"/>
            <w:vAlign w:val="bottom"/>
          </w:tcPr>
          <w:p w14:paraId="130CDC45" w14:textId="0FBBB729"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(27.5)</w:t>
            </w:r>
          </w:p>
        </w:tc>
      </w:tr>
      <w:tr w:rsidR="00CA48CD" w:rsidRPr="00B97C61" w14:paraId="262E0B33" w14:textId="77777777" w:rsidTr="00293F7B">
        <w:trPr>
          <w:trHeight w:val="239"/>
        </w:trPr>
        <w:tc>
          <w:tcPr>
            <w:tcW w:w="6752" w:type="dxa"/>
            <w:vAlign w:val="bottom"/>
          </w:tcPr>
          <w:p w14:paraId="788EE0FD" w14:textId="77777777" w:rsidR="00CA48CD" w:rsidRPr="00B97C61" w:rsidRDefault="00CA48CD" w:rsidP="00F84265">
            <w:pPr>
              <w:rPr>
                <w:rFonts w:asciiTheme="minorHAnsi" w:hAnsiTheme="minorHAnsi" w:cstheme="minorHAnsi"/>
                <w:sz w:val="20"/>
                <w:szCs w:val="20"/>
              </w:rPr>
            </w:pPr>
            <w:r w:rsidRPr="00B97C61">
              <w:rPr>
                <w:rFonts w:asciiTheme="minorHAnsi" w:hAnsiTheme="minorHAnsi" w:cstheme="minorHAnsi"/>
                <w:sz w:val="20"/>
                <w:szCs w:val="20"/>
              </w:rPr>
              <w:t>– trade and other payables</w:t>
            </w:r>
          </w:p>
        </w:tc>
        <w:tc>
          <w:tcPr>
            <w:tcW w:w="903" w:type="dxa"/>
          </w:tcPr>
          <w:p w14:paraId="5E418761" w14:textId="77777777" w:rsidR="00CA48CD" w:rsidRPr="00936AF3" w:rsidRDefault="00CA48CD" w:rsidP="00F84265">
            <w:pPr>
              <w:jc w:val="right"/>
              <w:rPr>
                <w:rFonts w:asciiTheme="minorHAnsi" w:hAnsiTheme="minorHAnsi" w:cstheme="minorHAnsi"/>
                <w:bCs/>
                <w:sz w:val="20"/>
                <w:szCs w:val="20"/>
              </w:rPr>
            </w:pPr>
          </w:p>
        </w:tc>
        <w:tc>
          <w:tcPr>
            <w:tcW w:w="1286" w:type="dxa"/>
            <w:shd w:val="clear" w:color="auto" w:fill="F2F2F2" w:themeFill="background1" w:themeFillShade="F2"/>
            <w:vAlign w:val="bottom"/>
          </w:tcPr>
          <w:p w14:paraId="1C5A416C" w14:textId="62A2E77A" w:rsidR="00CA48CD" w:rsidRPr="00986526" w:rsidRDefault="00E539CD" w:rsidP="00F84265">
            <w:pPr>
              <w:jc w:val="right"/>
              <w:rPr>
                <w:rFonts w:asciiTheme="minorHAnsi" w:hAnsiTheme="minorHAnsi" w:cstheme="minorHAnsi"/>
                <w:b/>
                <w:sz w:val="20"/>
                <w:szCs w:val="20"/>
              </w:rPr>
            </w:pPr>
            <w:r>
              <w:rPr>
                <w:rFonts w:asciiTheme="minorHAnsi" w:hAnsiTheme="minorHAnsi" w:cstheme="minorHAnsi"/>
                <w:b/>
                <w:sz w:val="20"/>
                <w:szCs w:val="20"/>
              </w:rPr>
              <w:t>9.4</w:t>
            </w:r>
          </w:p>
        </w:tc>
        <w:tc>
          <w:tcPr>
            <w:tcW w:w="1132" w:type="dxa"/>
            <w:vAlign w:val="bottom"/>
          </w:tcPr>
          <w:p w14:paraId="4D8C9B49" w14:textId="369DF3E4"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5.5</w:t>
            </w:r>
          </w:p>
        </w:tc>
      </w:tr>
      <w:tr w:rsidR="00A533A4" w:rsidRPr="00B97C61" w14:paraId="647C27E7" w14:textId="77777777" w:rsidTr="00293F7B">
        <w:trPr>
          <w:trHeight w:val="239"/>
        </w:trPr>
        <w:tc>
          <w:tcPr>
            <w:tcW w:w="6752" w:type="dxa"/>
            <w:vAlign w:val="bottom"/>
          </w:tcPr>
          <w:p w14:paraId="4C8D8C86" w14:textId="5C89FEAD" w:rsidR="00A533A4" w:rsidRPr="00A533A4" w:rsidRDefault="00A533A4" w:rsidP="00A533A4">
            <w:pPr>
              <w:rPr>
                <w:rFonts w:asciiTheme="minorHAnsi" w:hAnsiTheme="minorHAnsi" w:cstheme="minorHAnsi"/>
                <w:sz w:val="20"/>
                <w:szCs w:val="20"/>
              </w:rPr>
            </w:pPr>
            <w:r w:rsidRPr="00B97C61">
              <w:rPr>
                <w:rFonts w:asciiTheme="minorHAnsi" w:hAnsiTheme="minorHAnsi" w:cstheme="minorHAnsi"/>
                <w:sz w:val="20"/>
                <w:szCs w:val="20"/>
              </w:rPr>
              <w:t xml:space="preserve">– </w:t>
            </w:r>
            <w:r w:rsidR="003C7C4D">
              <w:rPr>
                <w:rFonts w:asciiTheme="minorHAnsi" w:hAnsiTheme="minorHAnsi" w:cstheme="minorHAnsi"/>
                <w:sz w:val="20"/>
                <w:szCs w:val="20"/>
              </w:rPr>
              <w:t>retail deposits</w:t>
            </w:r>
            <w:r w:rsidR="003C7C4D" w:rsidRPr="003C7C4D">
              <w:rPr>
                <w:rFonts w:asciiTheme="minorHAnsi" w:hAnsiTheme="minorHAnsi" w:cstheme="minorHAnsi"/>
                <w:sz w:val="20"/>
                <w:szCs w:val="20"/>
                <w:vertAlign w:val="superscript"/>
              </w:rPr>
              <w:t>1</w:t>
            </w:r>
          </w:p>
        </w:tc>
        <w:tc>
          <w:tcPr>
            <w:tcW w:w="903" w:type="dxa"/>
          </w:tcPr>
          <w:p w14:paraId="6D54D648" w14:textId="77777777" w:rsidR="00A533A4" w:rsidRPr="00936AF3" w:rsidRDefault="00A533A4" w:rsidP="00F84265">
            <w:pPr>
              <w:jc w:val="right"/>
              <w:rPr>
                <w:rFonts w:asciiTheme="minorHAnsi" w:hAnsiTheme="minorHAnsi" w:cstheme="minorHAnsi"/>
                <w:bCs/>
                <w:sz w:val="20"/>
                <w:szCs w:val="20"/>
              </w:rPr>
            </w:pPr>
          </w:p>
        </w:tc>
        <w:tc>
          <w:tcPr>
            <w:tcW w:w="1286" w:type="dxa"/>
            <w:tcBorders>
              <w:bottom w:val="single" w:sz="4" w:space="0" w:color="auto"/>
            </w:tcBorders>
            <w:shd w:val="clear" w:color="auto" w:fill="F2F2F2" w:themeFill="background1" w:themeFillShade="F2"/>
            <w:vAlign w:val="bottom"/>
          </w:tcPr>
          <w:p w14:paraId="6AAD6DAF" w14:textId="3AC0456C" w:rsidR="00A533A4" w:rsidRPr="00986526" w:rsidRDefault="00E539CD" w:rsidP="00F84265">
            <w:pPr>
              <w:jc w:val="right"/>
              <w:rPr>
                <w:rFonts w:asciiTheme="minorHAnsi" w:hAnsiTheme="minorHAnsi" w:cstheme="minorHAnsi"/>
                <w:b/>
                <w:sz w:val="20"/>
                <w:szCs w:val="20"/>
              </w:rPr>
            </w:pPr>
            <w:r>
              <w:rPr>
                <w:rFonts w:asciiTheme="minorHAnsi" w:hAnsiTheme="minorHAnsi" w:cstheme="minorHAnsi"/>
                <w:b/>
                <w:sz w:val="20"/>
                <w:szCs w:val="20"/>
              </w:rPr>
              <w:t>10.2</w:t>
            </w:r>
          </w:p>
        </w:tc>
        <w:tc>
          <w:tcPr>
            <w:tcW w:w="1132" w:type="dxa"/>
            <w:tcBorders>
              <w:bottom w:val="single" w:sz="4" w:space="0" w:color="auto"/>
            </w:tcBorders>
            <w:vAlign w:val="bottom"/>
          </w:tcPr>
          <w:p w14:paraId="1A55B136" w14:textId="04984E32" w:rsidR="00A533A4" w:rsidRPr="00B376F9" w:rsidRDefault="00B376F9" w:rsidP="00F84265">
            <w:pPr>
              <w:jc w:val="right"/>
              <w:rPr>
                <w:rFonts w:asciiTheme="minorHAnsi" w:hAnsiTheme="minorHAnsi" w:cstheme="minorHAnsi"/>
                <w:bCs/>
                <w:sz w:val="20"/>
                <w:szCs w:val="20"/>
              </w:rPr>
            </w:pPr>
            <w:r w:rsidRPr="00B376F9">
              <w:rPr>
                <w:rFonts w:asciiTheme="minorHAnsi" w:hAnsiTheme="minorHAnsi" w:cstheme="minorHAnsi"/>
                <w:bCs/>
                <w:sz w:val="20"/>
                <w:szCs w:val="20"/>
              </w:rPr>
              <w:t>(38.6)</w:t>
            </w:r>
          </w:p>
        </w:tc>
      </w:tr>
      <w:tr w:rsidR="00CA48CD" w:rsidRPr="00B97C61" w14:paraId="6CEC0611" w14:textId="77777777" w:rsidTr="00293F7B">
        <w:trPr>
          <w:trHeight w:val="239"/>
        </w:trPr>
        <w:tc>
          <w:tcPr>
            <w:tcW w:w="6752" w:type="dxa"/>
            <w:vAlign w:val="bottom"/>
          </w:tcPr>
          <w:p w14:paraId="4F706889" w14:textId="6FC621E6" w:rsidR="00CA48CD" w:rsidRPr="00B97C61" w:rsidRDefault="00CA48CD" w:rsidP="00F84265">
            <w:pPr>
              <w:rPr>
                <w:rFonts w:asciiTheme="minorHAnsi" w:hAnsiTheme="minorHAnsi" w:cstheme="minorHAnsi"/>
                <w:b/>
                <w:sz w:val="20"/>
                <w:szCs w:val="20"/>
              </w:rPr>
            </w:pPr>
            <w:r w:rsidRPr="00B97C61">
              <w:rPr>
                <w:rFonts w:asciiTheme="minorHAnsi" w:hAnsiTheme="minorHAnsi" w:cstheme="minorHAnsi"/>
                <w:b/>
                <w:sz w:val="20"/>
                <w:szCs w:val="20"/>
              </w:rPr>
              <w:t xml:space="preserve">Cash </w:t>
            </w:r>
            <w:r w:rsidRPr="007B6309">
              <w:rPr>
                <w:rFonts w:asciiTheme="minorHAnsi" w:hAnsiTheme="minorHAnsi" w:cstheme="minorHAnsi"/>
                <w:b/>
                <w:sz w:val="20"/>
                <w:szCs w:val="20"/>
              </w:rPr>
              <w:t>(used</w:t>
            </w:r>
            <w:r w:rsidR="004D11E1">
              <w:rPr>
                <w:rFonts w:asciiTheme="minorHAnsi" w:hAnsiTheme="minorHAnsi" w:cstheme="minorHAnsi"/>
                <w:b/>
                <w:sz w:val="20"/>
                <w:szCs w:val="20"/>
              </w:rPr>
              <w:t xml:space="preserve"> in</w:t>
            </w:r>
            <w:r w:rsidRPr="007B6309">
              <w:rPr>
                <w:rFonts w:asciiTheme="minorHAnsi" w:hAnsiTheme="minorHAnsi" w:cstheme="minorHAnsi"/>
                <w:b/>
                <w:sz w:val="20"/>
                <w:szCs w:val="20"/>
              </w:rPr>
              <w:t>)</w:t>
            </w:r>
            <w:r w:rsidR="00E539CD">
              <w:rPr>
                <w:rFonts w:asciiTheme="minorHAnsi" w:hAnsiTheme="minorHAnsi" w:cstheme="minorHAnsi"/>
                <w:b/>
                <w:sz w:val="20"/>
                <w:szCs w:val="20"/>
              </w:rPr>
              <w:t>/</w:t>
            </w:r>
            <w:r>
              <w:rPr>
                <w:rFonts w:asciiTheme="minorHAnsi" w:hAnsiTheme="minorHAnsi" w:cstheme="minorHAnsi"/>
                <w:b/>
                <w:sz w:val="20"/>
                <w:szCs w:val="20"/>
              </w:rPr>
              <w:t xml:space="preserve">generated </w:t>
            </w:r>
            <w:r w:rsidRPr="007B6309">
              <w:rPr>
                <w:rFonts w:asciiTheme="minorHAnsi" w:hAnsiTheme="minorHAnsi" w:cstheme="minorHAnsi"/>
                <w:b/>
                <w:sz w:val="20"/>
                <w:szCs w:val="20"/>
              </w:rPr>
              <w:t>from</w:t>
            </w:r>
            <w:r w:rsidRPr="00B97C61">
              <w:rPr>
                <w:rFonts w:asciiTheme="minorHAnsi" w:hAnsiTheme="minorHAnsi" w:cstheme="minorHAnsi"/>
                <w:b/>
                <w:sz w:val="20"/>
                <w:szCs w:val="20"/>
              </w:rPr>
              <w:t xml:space="preserve"> operations</w:t>
            </w:r>
          </w:p>
        </w:tc>
        <w:tc>
          <w:tcPr>
            <w:tcW w:w="903" w:type="dxa"/>
          </w:tcPr>
          <w:p w14:paraId="27A14AF4" w14:textId="77777777" w:rsidR="00CA48CD" w:rsidRPr="00936AF3" w:rsidRDefault="00CA48CD" w:rsidP="00F84265">
            <w:pPr>
              <w:jc w:val="right"/>
              <w:rPr>
                <w:rFonts w:asciiTheme="minorHAnsi" w:hAnsiTheme="minorHAnsi" w:cstheme="minorBidi"/>
                <w:bCs/>
                <w:sz w:val="20"/>
                <w:szCs w:val="20"/>
              </w:rPr>
            </w:pPr>
          </w:p>
        </w:tc>
        <w:tc>
          <w:tcPr>
            <w:tcW w:w="1286" w:type="dxa"/>
            <w:tcBorders>
              <w:top w:val="single" w:sz="4" w:space="0" w:color="auto"/>
              <w:left w:val="nil"/>
              <w:bottom w:val="single" w:sz="18" w:space="0" w:color="auto"/>
              <w:right w:val="nil"/>
            </w:tcBorders>
            <w:shd w:val="clear" w:color="auto" w:fill="F2F2F2" w:themeFill="background1" w:themeFillShade="F2"/>
            <w:vAlign w:val="bottom"/>
          </w:tcPr>
          <w:p w14:paraId="266734C6" w14:textId="510E008B" w:rsidR="00CA48CD" w:rsidRPr="00986526" w:rsidRDefault="00E539CD" w:rsidP="00F84265">
            <w:pPr>
              <w:jc w:val="right"/>
              <w:rPr>
                <w:rFonts w:asciiTheme="minorHAnsi" w:hAnsiTheme="minorHAnsi" w:cstheme="minorBidi"/>
                <w:b/>
                <w:sz w:val="20"/>
                <w:szCs w:val="20"/>
              </w:rPr>
            </w:pPr>
            <w:r>
              <w:rPr>
                <w:rFonts w:asciiTheme="minorHAnsi" w:hAnsiTheme="minorHAnsi" w:cstheme="minorBidi"/>
                <w:b/>
                <w:sz w:val="20"/>
                <w:szCs w:val="20"/>
              </w:rPr>
              <w:t>(</w:t>
            </w:r>
            <w:r w:rsidR="00E376CD">
              <w:rPr>
                <w:rFonts w:asciiTheme="minorHAnsi" w:hAnsiTheme="minorHAnsi" w:cstheme="minorBidi"/>
                <w:b/>
                <w:sz w:val="20"/>
                <w:szCs w:val="20"/>
              </w:rPr>
              <w:t>81</w:t>
            </w:r>
            <w:r>
              <w:rPr>
                <w:rFonts w:asciiTheme="minorHAnsi" w:hAnsiTheme="minorHAnsi" w:cstheme="minorBidi"/>
                <w:b/>
                <w:sz w:val="20"/>
                <w:szCs w:val="20"/>
              </w:rPr>
              <w:t>.0)</w:t>
            </w:r>
          </w:p>
        </w:tc>
        <w:tc>
          <w:tcPr>
            <w:tcW w:w="1132" w:type="dxa"/>
            <w:tcBorders>
              <w:top w:val="single" w:sz="4" w:space="0" w:color="auto"/>
              <w:left w:val="nil"/>
              <w:bottom w:val="single" w:sz="18" w:space="0" w:color="auto"/>
              <w:right w:val="nil"/>
            </w:tcBorders>
            <w:vAlign w:val="bottom"/>
          </w:tcPr>
          <w:p w14:paraId="60606413" w14:textId="4A68433B" w:rsidR="00CA48CD" w:rsidRPr="00B376F9" w:rsidRDefault="00CA48CD" w:rsidP="00F84265">
            <w:pPr>
              <w:jc w:val="right"/>
              <w:rPr>
                <w:rFonts w:asciiTheme="minorHAnsi" w:hAnsiTheme="minorHAnsi" w:cstheme="minorHAnsi"/>
                <w:bCs/>
                <w:sz w:val="20"/>
                <w:szCs w:val="20"/>
              </w:rPr>
            </w:pPr>
            <w:r w:rsidRPr="00B376F9">
              <w:rPr>
                <w:rFonts w:asciiTheme="minorHAnsi" w:hAnsiTheme="minorHAnsi" w:cstheme="minorBidi"/>
                <w:bCs/>
                <w:sz w:val="20"/>
                <w:szCs w:val="20"/>
              </w:rPr>
              <w:t>1</w:t>
            </w:r>
            <w:r w:rsidR="00B376F9" w:rsidRPr="00B376F9">
              <w:rPr>
                <w:rFonts w:asciiTheme="minorHAnsi" w:hAnsiTheme="minorHAnsi" w:cstheme="minorBidi"/>
                <w:bCs/>
                <w:sz w:val="20"/>
                <w:szCs w:val="20"/>
              </w:rPr>
              <w:t>42.4</w:t>
            </w:r>
          </w:p>
        </w:tc>
      </w:tr>
    </w:tbl>
    <w:p w14:paraId="3B9FBCBE" w14:textId="77777777" w:rsidR="00F84265" w:rsidRPr="00F84265" w:rsidRDefault="00F84265" w:rsidP="00F84265">
      <w:pPr>
        <w:autoSpaceDE w:val="0"/>
        <w:autoSpaceDN w:val="0"/>
        <w:adjustRightInd w:val="0"/>
        <w:jc w:val="both"/>
        <w:rPr>
          <w:rFonts w:asciiTheme="minorHAnsi" w:hAnsiTheme="minorHAnsi" w:cs="Arial"/>
          <w:b/>
          <w:color w:val="4747FF"/>
          <w:sz w:val="22"/>
          <w:szCs w:val="22"/>
        </w:rPr>
      </w:pPr>
    </w:p>
    <w:p w14:paraId="726ADBBD" w14:textId="7D88DA7E" w:rsidR="00BA5104" w:rsidRPr="002843EA" w:rsidRDefault="003C7C4D" w:rsidP="00A1425C">
      <w:pPr>
        <w:autoSpaceDE w:val="0"/>
        <w:autoSpaceDN w:val="0"/>
        <w:adjustRightInd w:val="0"/>
        <w:jc w:val="both"/>
        <w:rPr>
          <w:rFonts w:asciiTheme="minorHAnsi" w:hAnsiTheme="minorHAnsi" w:cstheme="minorHAnsi"/>
          <w:sz w:val="20"/>
          <w:szCs w:val="20"/>
        </w:rPr>
      </w:pPr>
      <w:r w:rsidRPr="003C7C4D">
        <w:rPr>
          <w:rFonts w:asciiTheme="minorHAnsi" w:hAnsiTheme="minorHAnsi" w:cstheme="minorHAnsi"/>
          <w:sz w:val="20"/>
          <w:szCs w:val="20"/>
          <w:vertAlign w:val="superscript"/>
        </w:rPr>
        <w:t>1</w:t>
      </w:r>
      <w:r>
        <w:rPr>
          <w:rFonts w:asciiTheme="minorHAnsi" w:hAnsiTheme="minorHAnsi" w:cstheme="minorHAnsi"/>
          <w:sz w:val="20"/>
          <w:szCs w:val="20"/>
        </w:rPr>
        <w:t xml:space="preserve"> </w:t>
      </w:r>
      <w:r w:rsidR="002843EA">
        <w:rPr>
          <w:rFonts w:asciiTheme="minorHAnsi" w:hAnsiTheme="minorHAnsi" w:cstheme="minorHAnsi"/>
          <w:sz w:val="20"/>
          <w:szCs w:val="20"/>
        </w:rPr>
        <w:t>In line with FY24 reporting, t</w:t>
      </w:r>
      <w:r w:rsidR="002843EA" w:rsidRPr="002843EA">
        <w:rPr>
          <w:rFonts w:asciiTheme="minorHAnsi" w:hAnsiTheme="minorHAnsi" w:cstheme="minorHAnsi"/>
          <w:sz w:val="20"/>
          <w:szCs w:val="20"/>
        </w:rPr>
        <w:t xml:space="preserve">he classification of certain cash flows has been represented in </w:t>
      </w:r>
      <w:r w:rsidR="002843EA">
        <w:rPr>
          <w:rFonts w:asciiTheme="minorHAnsi" w:hAnsiTheme="minorHAnsi" w:cstheme="minorHAnsi"/>
          <w:sz w:val="20"/>
          <w:szCs w:val="20"/>
        </w:rPr>
        <w:t>1H24</w:t>
      </w:r>
      <w:r w:rsidR="002843EA" w:rsidRPr="002843EA">
        <w:rPr>
          <w:rFonts w:asciiTheme="minorHAnsi" w:hAnsiTheme="minorHAnsi" w:cstheme="minorHAnsi"/>
          <w:sz w:val="20"/>
          <w:szCs w:val="20"/>
        </w:rPr>
        <w:t>, impacting £</w:t>
      </w:r>
      <w:r w:rsidR="00433315">
        <w:rPr>
          <w:rFonts w:asciiTheme="minorHAnsi" w:hAnsiTheme="minorHAnsi" w:cstheme="minorHAnsi"/>
          <w:sz w:val="20"/>
          <w:szCs w:val="20"/>
        </w:rPr>
        <w:t>264.8</w:t>
      </w:r>
      <w:r w:rsidR="002843EA" w:rsidRPr="002843EA">
        <w:rPr>
          <w:rFonts w:asciiTheme="minorHAnsi" w:hAnsiTheme="minorHAnsi" w:cstheme="minorHAnsi"/>
          <w:sz w:val="20"/>
          <w:szCs w:val="20"/>
        </w:rPr>
        <w:t>m in proceeds and £</w:t>
      </w:r>
      <w:r w:rsidR="00433315">
        <w:rPr>
          <w:rFonts w:asciiTheme="minorHAnsi" w:hAnsiTheme="minorHAnsi" w:cstheme="minorHAnsi"/>
          <w:sz w:val="20"/>
          <w:szCs w:val="20"/>
        </w:rPr>
        <w:t>303.4</w:t>
      </w:r>
      <w:r w:rsidR="002843EA" w:rsidRPr="002843EA">
        <w:rPr>
          <w:rFonts w:asciiTheme="minorHAnsi" w:hAnsiTheme="minorHAnsi" w:cstheme="minorHAnsi"/>
          <w:sz w:val="20"/>
          <w:szCs w:val="20"/>
        </w:rPr>
        <w:t>m in repayments related to bank and other borrowings. These amounts, which are no longer considered to be financing cashflows, are now reported within cash generated from operations as a £</w:t>
      </w:r>
      <w:r w:rsidR="004D6C36">
        <w:rPr>
          <w:rFonts w:asciiTheme="minorHAnsi" w:hAnsiTheme="minorHAnsi" w:cstheme="minorHAnsi"/>
          <w:sz w:val="20"/>
          <w:szCs w:val="20"/>
        </w:rPr>
        <w:t>38.6</w:t>
      </w:r>
      <w:r w:rsidR="002843EA" w:rsidRPr="002843EA">
        <w:rPr>
          <w:rFonts w:asciiTheme="minorHAnsi" w:hAnsiTheme="minorHAnsi" w:cstheme="minorHAnsi"/>
          <w:sz w:val="20"/>
          <w:szCs w:val="20"/>
        </w:rPr>
        <w:t>m movement in retail deposits.</w:t>
      </w:r>
    </w:p>
    <w:p w14:paraId="7DB78AAC" w14:textId="77777777" w:rsidR="00A1425C" w:rsidRPr="002843EA" w:rsidRDefault="00A1425C" w:rsidP="00A1425C">
      <w:pPr>
        <w:autoSpaceDE w:val="0"/>
        <w:autoSpaceDN w:val="0"/>
        <w:adjustRightInd w:val="0"/>
        <w:jc w:val="both"/>
        <w:rPr>
          <w:rFonts w:asciiTheme="minorHAnsi" w:hAnsiTheme="minorHAnsi" w:cstheme="minorHAnsi"/>
          <w:sz w:val="20"/>
          <w:szCs w:val="20"/>
        </w:rPr>
      </w:pPr>
    </w:p>
    <w:p w14:paraId="38F4F07E" w14:textId="614718E1" w:rsidR="00A1425C" w:rsidRPr="00B97C61" w:rsidRDefault="003F4410" w:rsidP="00A1425C">
      <w:pPr>
        <w:ind w:left="567" w:hanging="567"/>
        <w:jc w:val="both"/>
        <w:rPr>
          <w:rFonts w:asciiTheme="minorHAnsi" w:hAnsiTheme="minorHAnsi" w:cs="Arial"/>
          <w:b/>
          <w:color w:val="4747FF"/>
          <w:sz w:val="22"/>
          <w:szCs w:val="22"/>
        </w:rPr>
      </w:pPr>
      <w:r>
        <w:rPr>
          <w:rFonts w:asciiTheme="minorHAnsi" w:hAnsiTheme="minorHAnsi" w:cs="Arial"/>
          <w:b/>
          <w:color w:val="4747FF"/>
          <w:sz w:val="22"/>
          <w:szCs w:val="22"/>
        </w:rPr>
        <w:t>1</w:t>
      </w:r>
      <w:r w:rsidR="00120AAF">
        <w:rPr>
          <w:rFonts w:asciiTheme="minorHAnsi" w:hAnsiTheme="minorHAnsi" w:cs="Arial"/>
          <w:b/>
          <w:color w:val="4747FF"/>
          <w:sz w:val="22"/>
          <w:szCs w:val="22"/>
        </w:rPr>
        <w:t>6</w:t>
      </w:r>
      <w:r w:rsidR="00A1425C" w:rsidRPr="00B97C61">
        <w:rPr>
          <w:rFonts w:asciiTheme="minorHAnsi" w:hAnsiTheme="minorHAnsi" w:cs="Arial"/>
          <w:b/>
          <w:color w:val="4747FF"/>
          <w:sz w:val="22"/>
          <w:szCs w:val="22"/>
        </w:rPr>
        <w:t xml:space="preserve">.    </w:t>
      </w:r>
      <w:r w:rsidR="00A1425C" w:rsidRPr="00B97C61">
        <w:rPr>
          <w:rFonts w:asciiTheme="minorHAnsi" w:hAnsiTheme="minorHAnsi" w:cs="Arial"/>
          <w:b/>
          <w:color w:val="4747FF"/>
          <w:sz w:val="22"/>
          <w:szCs w:val="22"/>
        </w:rPr>
        <w:tab/>
        <w:t>Contingent liabilities</w:t>
      </w:r>
    </w:p>
    <w:p w14:paraId="27BAD942" w14:textId="77777777" w:rsidR="00A1425C" w:rsidRPr="00B97C61" w:rsidRDefault="00A1425C" w:rsidP="00A1425C">
      <w:pPr>
        <w:tabs>
          <w:tab w:val="left" w:pos="500"/>
        </w:tabs>
        <w:jc w:val="both"/>
        <w:rPr>
          <w:rFonts w:asciiTheme="minorHAnsi" w:hAnsiTheme="minorHAnsi" w:cs="Arial"/>
          <w:sz w:val="20"/>
          <w:szCs w:val="20"/>
        </w:rPr>
      </w:pPr>
    </w:p>
    <w:p w14:paraId="462D7764" w14:textId="5A8F5C96" w:rsidR="00A1425C" w:rsidRPr="003E6D5E" w:rsidRDefault="00A1425C" w:rsidP="00A1425C">
      <w:pPr>
        <w:jc w:val="both"/>
        <w:rPr>
          <w:rFonts w:asciiTheme="minorHAnsi" w:hAnsiTheme="minorHAnsi" w:cstheme="minorHAnsi"/>
          <w:sz w:val="20"/>
          <w:szCs w:val="20"/>
        </w:rPr>
      </w:pPr>
      <w:r w:rsidRPr="003E6D5E">
        <w:rPr>
          <w:rFonts w:asciiTheme="minorHAnsi" w:hAnsiTheme="minorHAnsi" w:cstheme="minorHAnsi"/>
          <w:sz w:val="20"/>
          <w:szCs w:val="20"/>
        </w:rPr>
        <w:t xml:space="preserve">During the ordinary course of business the Group is subject to other complaints and threatened or actual legal proceedings (including class or group action claims) brought by or on behalf of current or former employees, customers, investors or third parties. This extends to legal and regulatory reviews, challenges, investigations and enforcement actions combined with tax authorities taking a view that is different to the view the Group has taken on the tax treatment in its tax returns. It also extends to tax authorities taking the view that VAT exempt supplies received by the Group from UK-based suppliers should be subject to VAT. </w:t>
      </w:r>
    </w:p>
    <w:p w14:paraId="10294219" w14:textId="5E9D3128" w:rsidR="007F48BC" w:rsidRDefault="007F48BC">
      <w:pPr>
        <w:rPr>
          <w:rFonts w:asciiTheme="minorHAnsi" w:hAnsiTheme="minorHAnsi" w:cs="Arial"/>
          <w:b/>
          <w:color w:val="4747FF"/>
          <w:sz w:val="22"/>
          <w:szCs w:val="22"/>
        </w:rPr>
      </w:pPr>
    </w:p>
    <w:p w14:paraId="761ECC76" w14:textId="36E9C729" w:rsidR="00387E5C" w:rsidRPr="00D64F42" w:rsidRDefault="00D64F42" w:rsidP="00387E5C">
      <w:pPr>
        <w:jc w:val="both"/>
        <w:rPr>
          <w:rFonts w:asciiTheme="minorHAnsi" w:hAnsiTheme="minorHAnsi" w:cstheme="minorHAnsi"/>
          <w:b/>
          <w:bCs/>
          <w:sz w:val="20"/>
          <w:szCs w:val="20"/>
        </w:rPr>
      </w:pPr>
      <w:r w:rsidRPr="00D64F42">
        <w:rPr>
          <w:rFonts w:asciiTheme="minorHAnsi" w:hAnsiTheme="minorHAnsi" w:cstheme="minorHAnsi"/>
          <w:b/>
          <w:bCs/>
          <w:sz w:val="20"/>
          <w:szCs w:val="20"/>
        </w:rPr>
        <w:t>Vehicle Finance Commissions</w:t>
      </w:r>
    </w:p>
    <w:p w14:paraId="15C9A4CB" w14:textId="77777777" w:rsidR="00D64F42" w:rsidRPr="00387E5C" w:rsidRDefault="00D64F42" w:rsidP="00387E5C">
      <w:pPr>
        <w:jc w:val="both"/>
        <w:rPr>
          <w:rFonts w:asciiTheme="minorHAnsi" w:hAnsiTheme="minorHAnsi" w:cstheme="minorHAnsi"/>
          <w:sz w:val="20"/>
          <w:szCs w:val="20"/>
        </w:rPr>
      </w:pPr>
    </w:p>
    <w:p w14:paraId="76054A6E" w14:textId="572F0DF4" w:rsidR="003F7709" w:rsidRPr="00F174BE" w:rsidRDefault="00B20A36" w:rsidP="00F174BE">
      <w:pPr>
        <w:jc w:val="both"/>
        <w:rPr>
          <w:rFonts w:asciiTheme="minorHAnsi" w:hAnsiTheme="minorHAnsi" w:cstheme="minorHAnsi"/>
          <w:color w:val="000000" w:themeColor="text1"/>
          <w:sz w:val="20"/>
          <w:szCs w:val="20"/>
        </w:rPr>
      </w:pPr>
      <w:r w:rsidRPr="00327A1E">
        <w:rPr>
          <w:rFonts w:asciiTheme="minorHAnsi" w:hAnsiTheme="minorHAnsi" w:cstheme="minorHAnsi"/>
          <w:color w:val="000000" w:themeColor="text1"/>
          <w:sz w:val="20"/>
          <w:szCs w:val="20"/>
        </w:rPr>
        <w:t xml:space="preserve">On 25 October 2024, the Court of Appeal ruled against two other lenders in three cases involving commission </w:t>
      </w:r>
      <w:r w:rsidR="003F7709" w:rsidRPr="003F7709">
        <w:rPr>
          <w:rFonts w:asciiTheme="minorHAnsi" w:hAnsiTheme="minorHAnsi" w:cstheme="minorHAnsi"/>
          <w:color w:val="000000" w:themeColor="text1"/>
          <w:sz w:val="20"/>
          <w:szCs w:val="20"/>
        </w:rPr>
        <w:t xml:space="preserve">disclosures related to </w:t>
      </w:r>
      <w:r w:rsidRPr="00327A1E">
        <w:rPr>
          <w:rFonts w:asciiTheme="minorHAnsi" w:hAnsiTheme="minorHAnsi" w:cstheme="minorHAnsi"/>
          <w:color w:val="000000" w:themeColor="text1"/>
          <w:sz w:val="20"/>
          <w:szCs w:val="20"/>
        </w:rPr>
        <w:t xml:space="preserve">payments to motor finance dealers. The judgment redefined the legal duties of dealers acting as credit brokers, requiring clear disclosure of, and consent to, the existence, nature and amount of any commission paid. The lenders successfully applied for permission to appeal to the Supreme Court, which </w:t>
      </w:r>
      <w:r w:rsidR="003F7709" w:rsidRPr="003F7709">
        <w:rPr>
          <w:rFonts w:asciiTheme="minorHAnsi" w:hAnsiTheme="minorHAnsi" w:cstheme="minorHAnsi"/>
          <w:color w:val="000000" w:themeColor="text1"/>
          <w:sz w:val="20"/>
          <w:szCs w:val="20"/>
        </w:rPr>
        <w:t xml:space="preserve">was </w:t>
      </w:r>
      <w:r w:rsidRPr="00327A1E">
        <w:rPr>
          <w:rFonts w:asciiTheme="minorHAnsi" w:hAnsiTheme="minorHAnsi" w:cstheme="minorHAnsi"/>
          <w:color w:val="000000" w:themeColor="text1"/>
          <w:sz w:val="20"/>
          <w:szCs w:val="20"/>
        </w:rPr>
        <w:t>heard in early April 2025</w:t>
      </w:r>
      <w:r w:rsidR="003F7709" w:rsidRPr="003F7709">
        <w:rPr>
          <w:rFonts w:asciiTheme="minorHAnsi" w:hAnsiTheme="minorHAnsi" w:cstheme="minorHAnsi"/>
          <w:color w:val="000000" w:themeColor="text1"/>
          <w:sz w:val="20"/>
          <w:szCs w:val="20"/>
        </w:rPr>
        <w:t>, with the outcome on 1 August 2025.</w:t>
      </w:r>
    </w:p>
    <w:p w14:paraId="511245A5" w14:textId="77777777" w:rsidR="003F7709" w:rsidRDefault="003F7709" w:rsidP="003F7709">
      <w:pPr>
        <w:jc w:val="both"/>
        <w:rPr>
          <w:rFonts w:asciiTheme="minorHAnsi" w:hAnsiTheme="minorHAnsi" w:cstheme="minorHAnsi"/>
          <w:color w:val="000000" w:themeColor="text1"/>
          <w:sz w:val="20"/>
          <w:szCs w:val="20"/>
        </w:rPr>
      </w:pPr>
    </w:p>
    <w:p w14:paraId="071BF8AA" w14:textId="5A217855" w:rsidR="003F7709" w:rsidRDefault="003F7709" w:rsidP="003F7709">
      <w:pPr>
        <w:jc w:val="both"/>
        <w:rPr>
          <w:rFonts w:asciiTheme="minorHAnsi" w:hAnsiTheme="minorHAnsi" w:cstheme="minorHAnsi"/>
          <w:color w:val="000000" w:themeColor="text1"/>
          <w:sz w:val="20"/>
          <w:szCs w:val="20"/>
        </w:rPr>
      </w:pPr>
      <w:r w:rsidRPr="003F7709">
        <w:rPr>
          <w:rFonts w:asciiTheme="minorHAnsi" w:hAnsiTheme="minorHAnsi" w:cstheme="minorHAnsi"/>
          <w:color w:val="000000" w:themeColor="text1"/>
          <w:sz w:val="20"/>
          <w:szCs w:val="20"/>
        </w:rPr>
        <w:t xml:space="preserve">The Supreme Court rejected the Court of Appeal’s finding that car dealers were fiduciaries. Dealers arranging finance as part of a car sale were acting in their own commercial interest, not in single minded loyalty to the customer. Without a fiduciary duty, commission payments could not amount to secret bribes, and claims based on both fiduciary duty and bribery were rejected. </w:t>
      </w:r>
    </w:p>
    <w:p w14:paraId="50DC7EFE" w14:textId="77777777" w:rsidR="003F7709" w:rsidRPr="003F7709" w:rsidRDefault="003F7709" w:rsidP="003F7709">
      <w:pPr>
        <w:jc w:val="both"/>
        <w:rPr>
          <w:rFonts w:asciiTheme="minorHAnsi" w:hAnsiTheme="minorHAnsi" w:cstheme="minorHAnsi"/>
          <w:color w:val="000000" w:themeColor="text1"/>
          <w:sz w:val="20"/>
          <w:szCs w:val="20"/>
        </w:rPr>
      </w:pPr>
    </w:p>
    <w:p w14:paraId="571F593D" w14:textId="77777777" w:rsidR="003F7709" w:rsidRDefault="003F7709" w:rsidP="003F7709">
      <w:pPr>
        <w:jc w:val="both"/>
        <w:rPr>
          <w:rFonts w:asciiTheme="minorHAnsi" w:hAnsiTheme="minorHAnsi" w:cstheme="minorHAnsi"/>
          <w:color w:val="000000" w:themeColor="text1"/>
          <w:sz w:val="20"/>
          <w:szCs w:val="20"/>
        </w:rPr>
      </w:pPr>
      <w:r w:rsidRPr="003F7709">
        <w:rPr>
          <w:rFonts w:asciiTheme="minorHAnsi" w:hAnsiTheme="minorHAnsi" w:cstheme="minorHAnsi"/>
          <w:color w:val="000000" w:themeColor="text1"/>
          <w:sz w:val="20"/>
          <w:szCs w:val="20"/>
        </w:rPr>
        <w:t xml:space="preserve">In one case (Johnson), the relationship was deemed unfair due to a range of factors, including a disproportionately large commission (55% of finance charge) which was not brought to his attention and a "first refusal" arrangement despite messaging to the customer that a panel was being used to find the best deal for them. </w:t>
      </w:r>
    </w:p>
    <w:p w14:paraId="5C6835DC" w14:textId="77777777" w:rsidR="003F7709" w:rsidRPr="003F7709" w:rsidRDefault="003F7709" w:rsidP="003F7709">
      <w:pPr>
        <w:jc w:val="both"/>
        <w:rPr>
          <w:rFonts w:asciiTheme="minorHAnsi" w:hAnsiTheme="minorHAnsi" w:cstheme="minorHAnsi"/>
          <w:color w:val="000000" w:themeColor="text1"/>
          <w:sz w:val="20"/>
          <w:szCs w:val="20"/>
        </w:rPr>
      </w:pPr>
    </w:p>
    <w:p w14:paraId="68AF5DF0" w14:textId="77777777" w:rsidR="003F7709" w:rsidRPr="003F7709" w:rsidRDefault="003F7709" w:rsidP="003F7709">
      <w:pPr>
        <w:jc w:val="both"/>
        <w:rPr>
          <w:rFonts w:asciiTheme="minorHAnsi" w:hAnsiTheme="minorHAnsi" w:cstheme="minorHAnsi"/>
          <w:color w:val="000000" w:themeColor="text1"/>
          <w:sz w:val="20"/>
          <w:szCs w:val="20"/>
        </w:rPr>
      </w:pPr>
      <w:r w:rsidRPr="003F7709">
        <w:rPr>
          <w:rFonts w:asciiTheme="minorHAnsi" w:hAnsiTheme="minorHAnsi" w:cstheme="minorHAnsi"/>
          <w:color w:val="000000" w:themeColor="text1"/>
          <w:sz w:val="20"/>
          <w:szCs w:val="20"/>
        </w:rPr>
        <w:t>On 3 August 2025 the Financial Conduct Authority (FCA) announced its intention to consult on a compensation scheme. The FCA will publish its full consultation by early October 2025, and the consultation will be open for six weeks. The scope is proposed to cover unfair relationships based on the Supreme Court judgment. Any scheme will cover discretionary commission arrangements (DCAs) and may extend to non-DCAs. The FCA will consider what size of commission may point to unfairness if not disclosed. The methodology for calculating redress will be informed by the degree of harm suffered by the customer. The scheme is proposed to cover agreements going back to 2007.</w:t>
      </w:r>
    </w:p>
    <w:p w14:paraId="3A7EA8DF" w14:textId="77777777" w:rsidR="00E632D5" w:rsidRDefault="00E632D5" w:rsidP="003F7709">
      <w:pPr>
        <w:jc w:val="both"/>
        <w:rPr>
          <w:rFonts w:asciiTheme="minorHAnsi" w:hAnsiTheme="minorHAnsi" w:cstheme="minorHAnsi"/>
          <w:color w:val="000000" w:themeColor="text1"/>
          <w:sz w:val="20"/>
          <w:szCs w:val="20"/>
        </w:rPr>
      </w:pPr>
    </w:p>
    <w:p w14:paraId="2AB3A5CB" w14:textId="49BEDF05" w:rsidR="003F7709" w:rsidRDefault="003F7709" w:rsidP="003F7709">
      <w:pPr>
        <w:jc w:val="both"/>
        <w:rPr>
          <w:rFonts w:asciiTheme="minorHAnsi" w:hAnsiTheme="minorHAnsi" w:cstheme="minorHAnsi"/>
          <w:color w:val="000000" w:themeColor="text1"/>
          <w:sz w:val="20"/>
          <w:szCs w:val="20"/>
        </w:rPr>
      </w:pPr>
      <w:r w:rsidRPr="003F7709">
        <w:rPr>
          <w:rFonts w:asciiTheme="minorHAnsi" w:hAnsiTheme="minorHAnsi" w:cstheme="minorHAnsi"/>
          <w:color w:val="000000" w:themeColor="text1"/>
          <w:sz w:val="20"/>
          <w:szCs w:val="20"/>
        </w:rPr>
        <w:lastRenderedPageBreak/>
        <w:t>As previously stated, the Group has never entered into any discretionary commission arrangements on our Vehicle Finance products.</w:t>
      </w:r>
    </w:p>
    <w:p w14:paraId="5EF708E5" w14:textId="77777777" w:rsidR="003F7709" w:rsidRPr="003F7709" w:rsidRDefault="003F7709" w:rsidP="003F7709">
      <w:pPr>
        <w:jc w:val="both"/>
        <w:rPr>
          <w:rFonts w:asciiTheme="minorHAnsi" w:hAnsiTheme="minorHAnsi" w:cstheme="minorHAnsi"/>
          <w:color w:val="000000" w:themeColor="text1"/>
          <w:sz w:val="20"/>
          <w:szCs w:val="20"/>
        </w:rPr>
      </w:pPr>
    </w:p>
    <w:p w14:paraId="48EC1BE9" w14:textId="77777777" w:rsidR="003F7709" w:rsidRPr="003F7709" w:rsidRDefault="003F7709" w:rsidP="003F7709">
      <w:pPr>
        <w:jc w:val="both"/>
        <w:rPr>
          <w:rFonts w:asciiTheme="minorHAnsi" w:hAnsiTheme="minorHAnsi" w:cstheme="minorHAnsi"/>
          <w:color w:val="000000" w:themeColor="text1"/>
          <w:sz w:val="20"/>
          <w:szCs w:val="20"/>
        </w:rPr>
      </w:pPr>
      <w:r w:rsidRPr="003F7709">
        <w:rPr>
          <w:rFonts w:asciiTheme="minorHAnsi" w:hAnsiTheme="minorHAnsi" w:cstheme="minorHAnsi"/>
          <w:color w:val="000000" w:themeColor="text1"/>
          <w:sz w:val="20"/>
          <w:szCs w:val="20"/>
        </w:rPr>
        <w:t>The Group’s position is differentiated from the Johnson case on a number of grounds, including, but not limited to:</w:t>
      </w:r>
    </w:p>
    <w:p w14:paraId="3772E1FF" w14:textId="75044D0D" w:rsidR="003F7709" w:rsidRPr="00293F7B" w:rsidRDefault="003F7709" w:rsidP="00293F7B">
      <w:pPr>
        <w:pStyle w:val="ListParagraph"/>
        <w:numPr>
          <w:ilvl w:val="0"/>
          <w:numId w:val="56"/>
        </w:numPr>
        <w:jc w:val="both"/>
        <w:rPr>
          <w:rFonts w:asciiTheme="minorHAnsi" w:hAnsiTheme="minorHAnsi" w:cstheme="minorHAnsi"/>
          <w:color w:val="000000" w:themeColor="text1"/>
          <w:sz w:val="20"/>
          <w:szCs w:val="20"/>
        </w:rPr>
      </w:pPr>
      <w:r w:rsidRPr="00293F7B">
        <w:rPr>
          <w:rFonts w:asciiTheme="minorHAnsi" w:hAnsiTheme="minorHAnsi" w:cstheme="minorHAnsi"/>
          <w:color w:val="000000" w:themeColor="text1"/>
          <w:sz w:val="20"/>
          <w:szCs w:val="20"/>
        </w:rPr>
        <w:t xml:space="preserve">The average commission </w:t>
      </w:r>
      <w:r w:rsidR="003F08B6">
        <w:rPr>
          <w:rFonts w:asciiTheme="minorHAnsi" w:hAnsiTheme="minorHAnsi" w:cstheme="minorHAnsi"/>
          <w:color w:val="000000" w:themeColor="text1"/>
          <w:sz w:val="20"/>
          <w:szCs w:val="20"/>
        </w:rPr>
        <w:t xml:space="preserve">of </w:t>
      </w:r>
      <w:r w:rsidRPr="00293F7B">
        <w:rPr>
          <w:rFonts w:asciiTheme="minorHAnsi" w:hAnsiTheme="minorHAnsi" w:cstheme="minorHAnsi"/>
          <w:color w:val="000000" w:themeColor="text1"/>
          <w:sz w:val="20"/>
          <w:szCs w:val="20"/>
        </w:rPr>
        <w:t>£6</w:t>
      </w:r>
      <w:r w:rsidR="00CE15C8">
        <w:rPr>
          <w:rFonts w:asciiTheme="minorHAnsi" w:hAnsiTheme="minorHAnsi" w:cstheme="minorHAnsi"/>
          <w:color w:val="000000" w:themeColor="text1"/>
          <w:sz w:val="20"/>
          <w:szCs w:val="20"/>
        </w:rPr>
        <w:t>95</w:t>
      </w:r>
      <w:r w:rsidRPr="00293F7B">
        <w:rPr>
          <w:rFonts w:asciiTheme="minorHAnsi" w:hAnsiTheme="minorHAnsi" w:cstheme="minorHAnsi"/>
          <w:color w:val="000000" w:themeColor="text1"/>
          <w:sz w:val="20"/>
          <w:szCs w:val="20"/>
        </w:rPr>
        <w:t xml:space="preserve"> paid as a percentage of the credit charge, at c.1</w:t>
      </w:r>
      <w:r w:rsidR="00CC63BA">
        <w:rPr>
          <w:rFonts w:asciiTheme="minorHAnsi" w:hAnsiTheme="minorHAnsi" w:cstheme="minorHAnsi"/>
          <w:color w:val="000000" w:themeColor="text1"/>
          <w:sz w:val="20"/>
          <w:szCs w:val="20"/>
        </w:rPr>
        <w:t>3</w:t>
      </w:r>
      <w:r w:rsidRPr="00293F7B">
        <w:rPr>
          <w:rFonts w:asciiTheme="minorHAnsi" w:hAnsiTheme="minorHAnsi" w:cstheme="minorHAnsi"/>
          <w:color w:val="000000" w:themeColor="text1"/>
          <w:sz w:val="20"/>
          <w:szCs w:val="20"/>
        </w:rPr>
        <w:t xml:space="preserve">% for the period </w:t>
      </w:r>
      <w:r w:rsidR="001B54AE">
        <w:rPr>
          <w:rFonts w:asciiTheme="minorHAnsi" w:hAnsiTheme="minorHAnsi" w:cstheme="minorHAnsi"/>
          <w:color w:val="000000" w:themeColor="text1"/>
          <w:sz w:val="20"/>
          <w:szCs w:val="20"/>
        </w:rPr>
        <w:t>26</w:t>
      </w:r>
      <w:r w:rsidRPr="00293F7B">
        <w:rPr>
          <w:rFonts w:asciiTheme="minorHAnsi" w:hAnsiTheme="minorHAnsi" w:cstheme="minorHAnsi"/>
          <w:color w:val="000000" w:themeColor="text1"/>
          <w:sz w:val="20"/>
          <w:szCs w:val="20"/>
        </w:rPr>
        <w:t xml:space="preserve"> </w:t>
      </w:r>
      <w:r w:rsidR="001B54AE">
        <w:rPr>
          <w:rFonts w:asciiTheme="minorHAnsi" w:hAnsiTheme="minorHAnsi" w:cstheme="minorHAnsi"/>
          <w:color w:val="000000" w:themeColor="text1"/>
          <w:sz w:val="20"/>
          <w:szCs w:val="20"/>
        </w:rPr>
        <w:t>October</w:t>
      </w:r>
      <w:r w:rsidRPr="00293F7B">
        <w:rPr>
          <w:rFonts w:asciiTheme="minorHAnsi" w:hAnsiTheme="minorHAnsi" w:cstheme="minorHAnsi"/>
          <w:color w:val="000000" w:themeColor="text1"/>
          <w:sz w:val="20"/>
          <w:szCs w:val="20"/>
        </w:rPr>
        <w:t xml:space="preserve"> 201</w:t>
      </w:r>
      <w:r w:rsidR="001B54AE">
        <w:rPr>
          <w:rFonts w:asciiTheme="minorHAnsi" w:hAnsiTheme="minorHAnsi" w:cstheme="minorHAnsi"/>
          <w:color w:val="000000" w:themeColor="text1"/>
          <w:sz w:val="20"/>
          <w:szCs w:val="20"/>
        </w:rPr>
        <w:t>3</w:t>
      </w:r>
      <w:r w:rsidRPr="00293F7B">
        <w:rPr>
          <w:rFonts w:asciiTheme="minorHAnsi" w:hAnsiTheme="minorHAnsi" w:cstheme="minorHAnsi"/>
          <w:color w:val="000000" w:themeColor="text1"/>
          <w:sz w:val="20"/>
          <w:szCs w:val="20"/>
        </w:rPr>
        <w:t xml:space="preserve"> to 25 October 2024 was much lower than the 55% in the Johnson case.  </w:t>
      </w:r>
    </w:p>
    <w:p w14:paraId="4996E592" w14:textId="7A3C530F" w:rsidR="003F7709" w:rsidRPr="00293F7B" w:rsidRDefault="003F7709" w:rsidP="00293F7B">
      <w:pPr>
        <w:pStyle w:val="ListParagraph"/>
        <w:numPr>
          <w:ilvl w:val="0"/>
          <w:numId w:val="56"/>
        </w:numPr>
        <w:jc w:val="both"/>
        <w:rPr>
          <w:rFonts w:asciiTheme="minorHAnsi" w:hAnsiTheme="minorHAnsi" w:cstheme="minorHAnsi"/>
          <w:color w:val="000000" w:themeColor="text1"/>
          <w:sz w:val="20"/>
          <w:szCs w:val="20"/>
        </w:rPr>
      </w:pPr>
      <w:r w:rsidRPr="00293F7B">
        <w:rPr>
          <w:rFonts w:asciiTheme="minorHAnsi" w:hAnsiTheme="minorHAnsi" w:cstheme="minorHAnsi"/>
          <w:color w:val="000000" w:themeColor="text1"/>
          <w:sz w:val="20"/>
          <w:szCs w:val="20"/>
        </w:rPr>
        <w:t>All historical commissions were aligned with regulatory requirements with the</w:t>
      </w:r>
      <w:r w:rsidR="00F94EC5">
        <w:rPr>
          <w:rFonts w:asciiTheme="minorHAnsi" w:hAnsiTheme="minorHAnsi" w:cstheme="minorHAnsi"/>
          <w:color w:val="000000" w:themeColor="text1"/>
          <w:sz w:val="20"/>
          <w:szCs w:val="20"/>
        </w:rPr>
        <w:t>m</w:t>
      </w:r>
      <w:r w:rsidRPr="00293F7B">
        <w:rPr>
          <w:rFonts w:asciiTheme="minorHAnsi" w:hAnsiTheme="minorHAnsi" w:cstheme="minorHAnsi"/>
          <w:color w:val="000000" w:themeColor="text1"/>
          <w:sz w:val="20"/>
          <w:szCs w:val="20"/>
        </w:rPr>
        <w:t xml:space="preserve"> being a flat</w:t>
      </w:r>
      <w:r w:rsidR="003F10D0">
        <w:rPr>
          <w:rFonts w:asciiTheme="minorHAnsi" w:hAnsiTheme="minorHAnsi" w:cstheme="minorHAnsi"/>
          <w:color w:val="000000" w:themeColor="text1"/>
          <w:sz w:val="20"/>
          <w:szCs w:val="20"/>
        </w:rPr>
        <w:t xml:space="preserve"> fee or fixed </w:t>
      </w:r>
      <w:r w:rsidRPr="00293F7B">
        <w:rPr>
          <w:rFonts w:asciiTheme="minorHAnsi" w:hAnsiTheme="minorHAnsi" w:cstheme="minorHAnsi"/>
          <w:color w:val="000000" w:themeColor="text1"/>
          <w:sz w:val="20"/>
          <w:szCs w:val="20"/>
        </w:rPr>
        <w:t>percentage of the loan.</w:t>
      </w:r>
    </w:p>
    <w:p w14:paraId="3CF1F458" w14:textId="266908A5" w:rsidR="003F7709" w:rsidRPr="00293F7B" w:rsidRDefault="003F7709" w:rsidP="00293F7B">
      <w:pPr>
        <w:pStyle w:val="ListParagraph"/>
        <w:numPr>
          <w:ilvl w:val="0"/>
          <w:numId w:val="56"/>
        </w:numPr>
        <w:jc w:val="both"/>
        <w:rPr>
          <w:rFonts w:asciiTheme="minorHAnsi" w:hAnsiTheme="minorHAnsi" w:cstheme="minorHAnsi"/>
          <w:color w:val="000000" w:themeColor="text1"/>
          <w:sz w:val="20"/>
          <w:szCs w:val="20"/>
        </w:rPr>
      </w:pPr>
      <w:r w:rsidRPr="00293F7B">
        <w:rPr>
          <w:rFonts w:asciiTheme="minorHAnsi" w:hAnsiTheme="minorHAnsi" w:cstheme="minorHAnsi"/>
          <w:color w:val="000000" w:themeColor="text1"/>
          <w:sz w:val="20"/>
          <w:szCs w:val="20"/>
        </w:rPr>
        <w:t xml:space="preserve">Vanquis </w:t>
      </w:r>
      <w:r w:rsidR="003373F2">
        <w:rPr>
          <w:rFonts w:asciiTheme="minorHAnsi" w:hAnsiTheme="minorHAnsi" w:cstheme="minorHAnsi"/>
          <w:color w:val="000000" w:themeColor="text1"/>
          <w:sz w:val="20"/>
          <w:szCs w:val="20"/>
        </w:rPr>
        <w:t>did not</w:t>
      </w:r>
      <w:r w:rsidRPr="00293F7B">
        <w:rPr>
          <w:rFonts w:asciiTheme="minorHAnsi" w:hAnsiTheme="minorHAnsi" w:cstheme="minorHAnsi"/>
          <w:color w:val="000000" w:themeColor="text1"/>
          <w:sz w:val="20"/>
          <w:szCs w:val="20"/>
        </w:rPr>
        <w:t xml:space="preserve"> operate </w:t>
      </w:r>
      <w:r w:rsidR="003373F2">
        <w:rPr>
          <w:rFonts w:asciiTheme="minorHAnsi" w:hAnsiTheme="minorHAnsi" w:cstheme="minorHAnsi"/>
          <w:color w:val="000000" w:themeColor="text1"/>
          <w:sz w:val="20"/>
          <w:szCs w:val="20"/>
        </w:rPr>
        <w:t>“</w:t>
      </w:r>
      <w:r w:rsidRPr="00293F7B">
        <w:rPr>
          <w:rFonts w:asciiTheme="minorHAnsi" w:hAnsiTheme="minorHAnsi" w:cstheme="minorHAnsi"/>
          <w:color w:val="000000" w:themeColor="text1"/>
          <w:sz w:val="20"/>
          <w:szCs w:val="20"/>
        </w:rPr>
        <w:t>right of first refusal</w:t>
      </w:r>
      <w:r w:rsidR="003373F2">
        <w:rPr>
          <w:rFonts w:asciiTheme="minorHAnsi" w:hAnsiTheme="minorHAnsi" w:cstheme="minorHAnsi"/>
          <w:color w:val="000000" w:themeColor="text1"/>
          <w:sz w:val="20"/>
          <w:szCs w:val="20"/>
        </w:rPr>
        <w:t>”</w:t>
      </w:r>
      <w:r w:rsidRPr="00293F7B">
        <w:rPr>
          <w:rFonts w:asciiTheme="minorHAnsi" w:hAnsiTheme="minorHAnsi" w:cstheme="minorHAnsi"/>
          <w:color w:val="000000" w:themeColor="text1"/>
          <w:sz w:val="20"/>
          <w:szCs w:val="20"/>
        </w:rPr>
        <w:t xml:space="preserve"> arrangements</w:t>
      </w:r>
      <w:r w:rsidR="003373F2">
        <w:rPr>
          <w:rFonts w:asciiTheme="minorHAnsi" w:hAnsiTheme="minorHAnsi" w:cstheme="minorHAnsi"/>
          <w:color w:val="000000" w:themeColor="text1"/>
          <w:sz w:val="20"/>
          <w:szCs w:val="20"/>
        </w:rPr>
        <w:t xml:space="preserve"> based on a review of introducer agreements</w:t>
      </w:r>
      <w:r w:rsidRPr="00293F7B">
        <w:rPr>
          <w:rFonts w:asciiTheme="minorHAnsi" w:hAnsiTheme="minorHAnsi" w:cstheme="minorHAnsi"/>
          <w:color w:val="000000" w:themeColor="text1"/>
          <w:sz w:val="20"/>
          <w:szCs w:val="20"/>
        </w:rPr>
        <w:t>.</w:t>
      </w:r>
    </w:p>
    <w:p w14:paraId="2937B9CC" w14:textId="5965746D" w:rsidR="003F7709" w:rsidRPr="00293F7B" w:rsidRDefault="003F7709" w:rsidP="00293F7B">
      <w:pPr>
        <w:pStyle w:val="ListParagraph"/>
        <w:numPr>
          <w:ilvl w:val="0"/>
          <w:numId w:val="56"/>
        </w:numPr>
        <w:jc w:val="both"/>
        <w:rPr>
          <w:rFonts w:asciiTheme="minorHAnsi" w:hAnsiTheme="minorHAnsi" w:cstheme="minorHAnsi"/>
          <w:color w:val="000000" w:themeColor="text1"/>
          <w:sz w:val="20"/>
          <w:szCs w:val="20"/>
        </w:rPr>
      </w:pPr>
      <w:r w:rsidRPr="00293F7B">
        <w:rPr>
          <w:rFonts w:asciiTheme="minorHAnsi" w:hAnsiTheme="minorHAnsi" w:cstheme="minorHAnsi"/>
          <w:color w:val="000000" w:themeColor="text1"/>
          <w:sz w:val="20"/>
          <w:szCs w:val="20"/>
        </w:rPr>
        <w:t>Customers were provided with signed pre-contractual documents, written in clear language, confirming a commission would be paid.</w:t>
      </w:r>
    </w:p>
    <w:p w14:paraId="59DF9B2D" w14:textId="2F508126" w:rsidR="003F7709" w:rsidRPr="00293F7B" w:rsidRDefault="003F7709" w:rsidP="00293F7B">
      <w:pPr>
        <w:pStyle w:val="ListParagraph"/>
        <w:numPr>
          <w:ilvl w:val="0"/>
          <w:numId w:val="56"/>
        </w:numPr>
        <w:jc w:val="both"/>
        <w:rPr>
          <w:rFonts w:asciiTheme="minorHAnsi" w:hAnsiTheme="minorHAnsi" w:cstheme="minorHAnsi"/>
          <w:color w:val="000000" w:themeColor="text1"/>
          <w:sz w:val="20"/>
          <w:szCs w:val="20"/>
        </w:rPr>
      </w:pPr>
      <w:r w:rsidRPr="00293F7B">
        <w:rPr>
          <w:rFonts w:asciiTheme="minorHAnsi" w:hAnsiTheme="minorHAnsi" w:cstheme="minorHAnsi"/>
          <w:color w:val="000000" w:themeColor="text1"/>
          <w:sz w:val="20"/>
          <w:szCs w:val="20"/>
        </w:rPr>
        <w:t>Disclosures were better than regulatory requirements, including customers providing express consent to most credit agreements.</w:t>
      </w:r>
    </w:p>
    <w:p w14:paraId="1073936E" w14:textId="77777777" w:rsidR="003F7709" w:rsidRPr="003F7709" w:rsidRDefault="003F7709" w:rsidP="003F7709">
      <w:pPr>
        <w:jc w:val="both"/>
        <w:rPr>
          <w:rFonts w:asciiTheme="minorHAnsi" w:hAnsiTheme="minorHAnsi" w:cstheme="minorHAnsi"/>
          <w:color w:val="000000" w:themeColor="text1"/>
          <w:sz w:val="20"/>
          <w:szCs w:val="20"/>
        </w:rPr>
      </w:pPr>
    </w:p>
    <w:p w14:paraId="5B9E18BB" w14:textId="69B2EAD4" w:rsidR="003F7709" w:rsidRDefault="003F7709" w:rsidP="003F7709">
      <w:pPr>
        <w:jc w:val="both"/>
        <w:rPr>
          <w:rFonts w:asciiTheme="minorHAnsi" w:hAnsiTheme="minorHAnsi" w:cstheme="minorHAnsi"/>
          <w:color w:val="000000" w:themeColor="text1"/>
          <w:sz w:val="20"/>
          <w:szCs w:val="20"/>
        </w:rPr>
      </w:pPr>
      <w:r w:rsidRPr="003F7709">
        <w:rPr>
          <w:rFonts w:asciiTheme="minorHAnsi" w:hAnsiTheme="minorHAnsi" w:cstheme="minorHAnsi"/>
          <w:color w:val="000000" w:themeColor="text1"/>
          <w:sz w:val="20"/>
          <w:szCs w:val="20"/>
        </w:rPr>
        <w:t xml:space="preserve">For the period </w:t>
      </w:r>
      <w:r w:rsidR="001B54AE">
        <w:rPr>
          <w:rFonts w:asciiTheme="minorHAnsi" w:hAnsiTheme="minorHAnsi" w:cstheme="minorHAnsi"/>
          <w:color w:val="000000" w:themeColor="text1"/>
          <w:sz w:val="20"/>
          <w:szCs w:val="20"/>
        </w:rPr>
        <w:t>26 October</w:t>
      </w:r>
      <w:r w:rsidRPr="003F7709">
        <w:rPr>
          <w:rFonts w:asciiTheme="minorHAnsi" w:hAnsiTheme="minorHAnsi" w:cstheme="minorHAnsi"/>
          <w:color w:val="000000" w:themeColor="text1"/>
          <w:sz w:val="20"/>
          <w:szCs w:val="20"/>
        </w:rPr>
        <w:t xml:space="preserve"> 201</w:t>
      </w:r>
      <w:r w:rsidR="001B54AE">
        <w:rPr>
          <w:rFonts w:asciiTheme="minorHAnsi" w:hAnsiTheme="minorHAnsi" w:cstheme="minorHAnsi"/>
          <w:color w:val="000000" w:themeColor="text1"/>
          <w:sz w:val="20"/>
          <w:szCs w:val="20"/>
        </w:rPr>
        <w:t>3</w:t>
      </w:r>
      <w:r w:rsidRPr="003F7709">
        <w:rPr>
          <w:rFonts w:asciiTheme="minorHAnsi" w:hAnsiTheme="minorHAnsi" w:cstheme="minorHAnsi"/>
          <w:color w:val="000000" w:themeColor="text1"/>
          <w:sz w:val="20"/>
          <w:szCs w:val="20"/>
        </w:rPr>
        <w:t xml:space="preserve"> to 25 October 2024, the Group had an immaterial number of cases where the commission paid as a percentage of the total credit exceeded 50%. Taking all factors into consideration, any payout on these contracts is still not considered probable. </w:t>
      </w:r>
    </w:p>
    <w:p w14:paraId="3228B012" w14:textId="77777777" w:rsidR="003F7709" w:rsidRPr="003F7709" w:rsidRDefault="003F7709" w:rsidP="003F7709">
      <w:pPr>
        <w:jc w:val="both"/>
        <w:rPr>
          <w:rFonts w:asciiTheme="minorHAnsi" w:hAnsiTheme="minorHAnsi" w:cstheme="minorHAnsi"/>
          <w:color w:val="000000" w:themeColor="text1"/>
          <w:sz w:val="20"/>
          <w:szCs w:val="20"/>
        </w:rPr>
      </w:pPr>
    </w:p>
    <w:p w14:paraId="438743F3" w14:textId="77777777" w:rsidR="003F7709" w:rsidRDefault="003F7709" w:rsidP="003F7709">
      <w:pPr>
        <w:jc w:val="both"/>
        <w:rPr>
          <w:rFonts w:asciiTheme="minorHAnsi" w:hAnsiTheme="minorHAnsi" w:cstheme="minorHAnsi"/>
          <w:color w:val="000000" w:themeColor="text1"/>
          <w:sz w:val="20"/>
          <w:szCs w:val="20"/>
        </w:rPr>
      </w:pPr>
      <w:r w:rsidRPr="003F7709">
        <w:rPr>
          <w:rFonts w:asciiTheme="minorHAnsi" w:hAnsiTheme="minorHAnsi" w:cstheme="minorHAnsi"/>
          <w:color w:val="000000" w:themeColor="text1"/>
          <w:sz w:val="20"/>
          <w:szCs w:val="20"/>
        </w:rPr>
        <w:t>The Group has assessed the requirement for a provision and as at 30 June 2025 no amounts have been recognised. This is due primarily to the conclusion of the review undertaken at 31 December 2024 for which the Supreme Court rulings on fiduciary duty and bribery have clarified the legal position on these matters. It also reflects the parameters referenced by the FCA in their consultation on a compensation scheme relating to unfair relationships. Vanquis consider its circumstances to be materially different and that any outflow is not considered probable.</w:t>
      </w:r>
    </w:p>
    <w:p w14:paraId="3EC2B97D" w14:textId="77777777" w:rsidR="003F7709" w:rsidRDefault="003F7709" w:rsidP="003F7709">
      <w:pPr>
        <w:jc w:val="both"/>
        <w:rPr>
          <w:rFonts w:asciiTheme="minorHAnsi" w:hAnsiTheme="minorHAnsi" w:cstheme="minorHAnsi"/>
          <w:color w:val="000000" w:themeColor="text1"/>
          <w:sz w:val="20"/>
          <w:szCs w:val="20"/>
        </w:rPr>
      </w:pPr>
    </w:p>
    <w:p w14:paraId="6D73FD7D" w14:textId="5C441107" w:rsidR="008237A5" w:rsidRDefault="00B20A36" w:rsidP="00F174BE">
      <w:pPr>
        <w:jc w:val="both"/>
        <w:rPr>
          <w:rFonts w:asciiTheme="minorHAnsi" w:hAnsiTheme="minorHAnsi" w:cs="Arial"/>
          <w:b/>
          <w:color w:val="4747FF"/>
          <w:sz w:val="22"/>
          <w:szCs w:val="22"/>
        </w:rPr>
      </w:pPr>
      <w:r w:rsidRPr="00327A1E">
        <w:rPr>
          <w:rFonts w:asciiTheme="minorHAnsi" w:hAnsiTheme="minorHAnsi" w:cstheme="minorHAnsi"/>
          <w:color w:val="000000" w:themeColor="text1"/>
          <w:sz w:val="20"/>
          <w:szCs w:val="20"/>
        </w:rPr>
        <w:t> </w:t>
      </w:r>
      <w:r w:rsidR="008237A5" w:rsidRPr="00D64F42">
        <w:rPr>
          <w:rFonts w:asciiTheme="minorHAnsi" w:hAnsiTheme="minorHAnsi" w:cstheme="minorHAnsi"/>
          <w:sz w:val="20"/>
          <w:szCs w:val="20"/>
        </w:rPr>
        <w:t> </w:t>
      </w:r>
      <w:r w:rsidR="008237A5">
        <w:rPr>
          <w:rFonts w:asciiTheme="minorHAnsi" w:hAnsiTheme="minorHAnsi" w:cs="Arial"/>
          <w:b/>
          <w:color w:val="4747FF"/>
          <w:sz w:val="22"/>
          <w:szCs w:val="22"/>
        </w:rPr>
        <w:t>1</w:t>
      </w:r>
      <w:r w:rsidR="00120AAF">
        <w:rPr>
          <w:rFonts w:asciiTheme="minorHAnsi" w:hAnsiTheme="minorHAnsi" w:cs="Arial"/>
          <w:b/>
          <w:color w:val="4747FF"/>
          <w:sz w:val="22"/>
          <w:szCs w:val="22"/>
        </w:rPr>
        <w:t>7</w:t>
      </w:r>
      <w:r w:rsidR="008237A5" w:rsidRPr="00B97C61">
        <w:rPr>
          <w:rFonts w:asciiTheme="minorHAnsi" w:hAnsiTheme="minorHAnsi" w:cs="Arial"/>
          <w:b/>
          <w:color w:val="4747FF"/>
          <w:sz w:val="22"/>
          <w:szCs w:val="22"/>
        </w:rPr>
        <w:t xml:space="preserve">.    </w:t>
      </w:r>
      <w:r w:rsidR="008237A5" w:rsidRPr="00B97C61">
        <w:rPr>
          <w:rFonts w:asciiTheme="minorHAnsi" w:hAnsiTheme="minorHAnsi" w:cs="Arial"/>
          <w:b/>
          <w:color w:val="4747FF"/>
          <w:sz w:val="22"/>
          <w:szCs w:val="22"/>
        </w:rPr>
        <w:tab/>
      </w:r>
      <w:r w:rsidR="008237A5">
        <w:rPr>
          <w:rFonts w:asciiTheme="minorHAnsi" w:hAnsiTheme="minorHAnsi" w:cs="Arial"/>
          <w:b/>
          <w:color w:val="4747FF"/>
          <w:sz w:val="22"/>
          <w:szCs w:val="22"/>
        </w:rPr>
        <w:t>Post Balance Sheet events</w:t>
      </w:r>
    </w:p>
    <w:p w14:paraId="76799ACA" w14:textId="77777777" w:rsidR="007F5736" w:rsidRDefault="007F5736" w:rsidP="008237A5">
      <w:pPr>
        <w:ind w:left="567" w:hanging="567"/>
        <w:jc w:val="both"/>
        <w:rPr>
          <w:rFonts w:asciiTheme="minorHAnsi" w:hAnsiTheme="minorHAnsi" w:cs="Arial"/>
          <w:b/>
          <w:color w:val="4747FF"/>
          <w:sz w:val="22"/>
          <w:szCs w:val="22"/>
        </w:rPr>
      </w:pPr>
    </w:p>
    <w:p w14:paraId="59620893" w14:textId="44391CE3" w:rsidR="0000045C" w:rsidRDefault="003F7709" w:rsidP="00F174BE">
      <w:pPr>
        <w:jc w:val="both"/>
        <w:rPr>
          <w:rFonts w:asciiTheme="minorHAnsi" w:hAnsiTheme="minorHAnsi" w:cstheme="minorHAnsi"/>
          <w:sz w:val="20"/>
          <w:szCs w:val="20"/>
        </w:rPr>
      </w:pPr>
      <w:r>
        <w:rPr>
          <w:rFonts w:asciiTheme="minorHAnsi" w:hAnsiTheme="minorHAnsi" w:cstheme="minorHAnsi"/>
          <w:sz w:val="20"/>
          <w:szCs w:val="20"/>
        </w:rPr>
        <w:t xml:space="preserve">The </w:t>
      </w:r>
      <w:r w:rsidR="009D2EE4">
        <w:rPr>
          <w:rFonts w:asciiTheme="minorHAnsi" w:hAnsiTheme="minorHAnsi" w:cstheme="minorHAnsi"/>
          <w:sz w:val="20"/>
          <w:szCs w:val="20"/>
        </w:rPr>
        <w:t>outcome from the Supreme Court judgment regarding motor finance commission disclosure practices on 1</w:t>
      </w:r>
      <w:r w:rsidR="00D67A33">
        <w:rPr>
          <w:rFonts w:asciiTheme="minorHAnsi" w:hAnsiTheme="minorHAnsi" w:cstheme="minorHAnsi"/>
          <w:sz w:val="20"/>
          <w:szCs w:val="20"/>
        </w:rPr>
        <w:t xml:space="preserve"> </w:t>
      </w:r>
      <w:r w:rsidR="009D2EE4">
        <w:rPr>
          <w:rFonts w:asciiTheme="minorHAnsi" w:hAnsiTheme="minorHAnsi" w:cstheme="minorHAnsi"/>
          <w:sz w:val="20"/>
          <w:szCs w:val="20"/>
        </w:rPr>
        <w:t xml:space="preserve">August 2025 and the </w:t>
      </w:r>
      <w:r w:rsidR="00D67A33">
        <w:rPr>
          <w:rFonts w:asciiTheme="minorHAnsi" w:hAnsiTheme="minorHAnsi" w:cstheme="minorHAnsi"/>
          <w:sz w:val="20"/>
          <w:szCs w:val="20"/>
        </w:rPr>
        <w:t>FCA’s intention to consult on a motor finance compensation scheme announced on the 3 August 2025 have been considered in note 16.</w:t>
      </w:r>
      <w:bookmarkStart w:id="12" w:name="_Hlk2782897"/>
    </w:p>
    <w:p w14:paraId="0F7939CB" w14:textId="77777777" w:rsidR="00F174BE" w:rsidRDefault="00F174BE" w:rsidP="00F174BE">
      <w:pPr>
        <w:jc w:val="both"/>
        <w:rPr>
          <w:rFonts w:asciiTheme="minorHAnsi" w:hAnsiTheme="minorHAnsi" w:cs="Arial"/>
          <w:b/>
          <w:color w:val="4747FF"/>
          <w:sz w:val="22"/>
          <w:szCs w:val="22"/>
        </w:rPr>
      </w:pPr>
    </w:p>
    <w:p w14:paraId="4B2AEE87" w14:textId="718012E6" w:rsidR="00A1425C" w:rsidRPr="001B0F41" w:rsidRDefault="00A1425C" w:rsidP="00A1425C">
      <w:pPr>
        <w:ind w:left="567" w:hanging="567"/>
        <w:jc w:val="both"/>
        <w:rPr>
          <w:rFonts w:asciiTheme="minorHAnsi" w:hAnsiTheme="minorHAnsi" w:cs="Arial"/>
          <w:b/>
          <w:color w:val="4747FF"/>
          <w:sz w:val="22"/>
          <w:szCs w:val="22"/>
          <w:u w:val="single"/>
        </w:rPr>
      </w:pPr>
      <w:r w:rsidRPr="001B0F41">
        <w:rPr>
          <w:rFonts w:asciiTheme="minorHAnsi" w:hAnsiTheme="minorHAnsi" w:cs="Arial"/>
          <w:b/>
          <w:color w:val="4747FF"/>
          <w:sz w:val="22"/>
          <w:szCs w:val="22"/>
          <w:u w:val="single"/>
        </w:rPr>
        <w:t xml:space="preserve">Directors’ responsibility statement </w:t>
      </w:r>
    </w:p>
    <w:p w14:paraId="490D82B7" w14:textId="77777777" w:rsidR="00A1425C" w:rsidRPr="00701439" w:rsidRDefault="00A1425C" w:rsidP="006677D7">
      <w:pPr>
        <w:autoSpaceDE w:val="0"/>
        <w:autoSpaceDN w:val="0"/>
        <w:adjustRightInd w:val="0"/>
        <w:jc w:val="both"/>
        <w:rPr>
          <w:rFonts w:ascii="Calibri" w:hAnsi="Calibri" w:cs="Calibri"/>
          <w:sz w:val="22"/>
          <w:szCs w:val="22"/>
        </w:rPr>
      </w:pPr>
      <w:bookmarkStart w:id="13" w:name="_Hlk99471762"/>
    </w:p>
    <w:bookmarkEnd w:id="12"/>
    <w:p w14:paraId="01E1F8AF" w14:textId="77777777" w:rsidR="003D018E" w:rsidRPr="00052DCD" w:rsidRDefault="003D018E" w:rsidP="003D018E">
      <w:pPr>
        <w:jc w:val="both"/>
        <w:rPr>
          <w:rFonts w:asciiTheme="minorHAnsi" w:hAnsiTheme="minorHAnsi" w:cs="Arial"/>
          <w:sz w:val="20"/>
          <w:szCs w:val="20"/>
        </w:rPr>
      </w:pPr>
      <w:r w:rsidRPr="00052DCD">
        <w:rPr>
          <w:rFonts w:asciiTheme="minorHAnsi" w:hAnsiTheme="minorHAnsi" w:cs="Arial"/>
          <w:sz w:val="20"/>
          <w:szCs w:val="20"/>
        </w:rPr>
        <w:t>The directors confirm that, to the best of their knowledge, the unaudited condensed interim financial statements have been prepared in accordance with IAS 34 as contained in UK adopted IFRS, and that the interim report includes a fair review of the information required by DTR 4.2.4R, DTR 4.2.7R and DTR 4.2.8R, namely:</w:t>
      </w:r>
    </w:p>
    <w:p w14:paraId="550E1289" w14:textId="77777777" w:rsidR="003D018E" w:rsidRPr="00052DCD" w:rsidRDefault="003D018E" w:rsidP="003D018E">
      <w:pPr>
        <w:ind w:left="360" w:hanging="360"/>
        <w:jc w:val="both"/>
        <w:rPr>
          <w:rFonts w:asciiTheme="minorHAnsi" w:hAnsiTheme="minorHAnsi" w:cstheme="minorHAnsi"/>
          <w:sz w:val="20"/>
          <w:szCs w:val="20"/>
        </w:rPr>
      </w:pPr>
    </w:p>
    <w:p w14:paraId="17E9FE1F" w14:textId="77777777" w:rsidR="003D018E" w:rsidRPr="00052DCD" w:rsidRDefault="003D018E" w:rsidP="003D018E">
      <w:pPr>
        <w:pStyle w:val="ListParagraph"/>
        <w:numPr>
          <w:ilvl w:val="0"/>
          <w:numId w:val="43"/>
        </w:numPr>
        <w:jc w:val="both"/>
        <w:rPr>
          <w:rFonts w:asciiTheme="minorHAnsi" w:hAnsiTheme="minorHAnsi" w:cstheme="minorBidi"/>
          <w:sz w:val="20"/>
          <w:szCs w:val="20"/>
        </w:rPr>
      </w:pPr>
      <w:r w:rsidRPr="00052DCD">
        <w:rPr>
          <w:rFonts w:asciiTheme="minorHAnsi" w:hAnsiTheme="minorHAnsi" w:cs="Arial"/>
          <w:sz w:val="20"/>
          <w:szCs w:val="20"/>
        </w:rPr>
        <w:t>An indication of important events that have occurred during the first six months of the financial year and their impact on the unaudited condensed interim financial statements, and a description of the principal risks and uncertainties for the remaining six months of the financial year; and</w:t>
      </w:r>
    </w:p>
    <w:p w14:paraId="06C6A868" w14:textId="77777777" w:rsidR="003D018E" w:rsidRPr="00052DCD" w:rsidRDefault="003D018E" w:rsidP="003D018E">
      <w:pPr>
        <w:pStyle w:val="ListParagraph"/>
        <w:numPr>
          <w:ilvl w:val="0"/>
          <w:numId w:val="42"/>
        </w:numPr>
        <w:jc w:val="both"/>
        <w:rPr>
          <w:rFonts w:asciiTheme="minorHAnsi" w:hAnsiTheme="minorHAnsi" w:cstheme="minorBidi"/>
          <w:sz w:val="20"/>
          <w:szCs w:val="20"/>
        </w:rPr>
      </w:pPr>
      <w:r w:rsidRPr="00052DCD">
        <w:rPr>
          <w:rFonts w:asciiTheme="minorHAnsi" w:hAnsiTheme="minorHAnsi" w:cs="Arial"/>
          <w:sz w:val="20"/>
          <w:szCs w:val="20"/>
        </w:rPr>
        <w:t>Material related party transactions that have occurred in the first six months of the financial year and any material changes in the related party transactions described in the last annual report and financial statements.</w:t>
      </w:r>
    </w:p>
    <w:p w14:paraId="0E3759A7" w14:textId="77777777" w:rsidR="003D018E" w:rsidRPr="00052DCD" w:rsidRDefault="003D018E" w:rsidP="003D018E">
      <w:pPr>
        <w:ind w:left="360" w:hanging="360"/>
        <w:jc w:val="both"/>
        <w:rPr>
          <w:rFonts w:asciiTheme="minorHAnsi" w:hAnsiTheme="minorHAnsi" w:cstheme="minorHAnsi"/>
          <w:sz w:val="20"/>
          <w:szCs w:val="20"/>
        </w:rPr>
      </w:pPr>
    </w:p>
    <w:p w14:paraId="3E213664" w14:textId="5225AC9A" w:rsidR="003D018E" w:rsidRPr="00B216F3" w:rsidRDefault="003D018E" w:rsidP="00B216F3">
      <w:pPr>
        <w:jc w:val="both"/>
        <w:rPr>
          <w:rFonts w:asciiTheme="minorHAnsi" w:hAnsiTheme="minorHAnsi" w:cs="Arial"/>
          <w:color w:val="FF0000"/>
          <w:sz w:val="20"/>
          <w:szCs w:val="20"/>
        </w:rPr>
      </w:pPr>
      <w:r w:rsidRPr="00052DCD">
        <w:rPr>
          <w:rFonts w:asciiTheme="minorHAnsi" w:hAnsiTheme="minorHAnsi" w:cs="Arial"/>
          <w:sz w:val="20"/>
          <w:szCs w:val="20"/>
        </w:rPr>
        <w:t xml:space="preserve">A list of current directors is maintained on the </w:t>
      </w:r>
      <w:r w:rsidRPr="00052DCD">
        <w:rPr>
          <w:rFonts w:asciiTheme="minorHAnsi" w:hAnsiTheme="minorHAnsi" w:cstheme="minorBidi"/>
          <w:sz w:val="20"/>
          <w:szCs w:val="20"/>
        </w:rPr>
        <w:t>Vanquis Banking Group</w:t>
      </w:r>
      <w:r w:rsidRPr="00052DCD">
        <w:rPr>
          <w:rFonts w:asciiTheme="minorHAnsi" w:hAnsiTheme="minorHAnsi" w:cs="Arial"/>
          <w:sz w:val="20"/>
          <w:szCs w:val="20"/>
        </w:rPr>
        <w:t xml:space="preserve"> plc website: </w:t>
      </w:r>
      <w:hyperlink r:id="rId20" w:history="1">
        <w:r w:rsidR="00E06FF1" w:rsidRPr="00293F7B">
          <w:rPr>
            <w:rStyle w:val="Hyperlink"/>
            <w:rFonts w:asciiTheme="minorHAnsi" w:hAnsiTheme="minorHAnsi" w:cstheme="minorBidi"/>
            <w:color w:val="auto"/>
            <w:sz w:val="20"/>
            <w:szCs w:val="20"/>
          </w:rPr>
          <w:t>www.vanquis.com</w:t>
        </w:r>
      </w:hyperlink>
      <w:r w:rsidRPr="00293F7B">
        <w:rPr>
          <w:rFonts w:asciiTheme="minorHAnsi" w:hAnsiTheme="minorHAnsi" w:cstheme="minorBidi"/>
          <w:sz w:val="20"/>
          <w:szCs w:val="20"/>
        </w:rPr>
        <w:t xml:space="preserve">. </w:t>
      </w:r>
      <w:r w:rsidRPr="00052DCD">
        <w:rPr>
          <w:rFonts w:asciiTheme="minorHAnsi" w:hAnsiTheme="minorHAnsi" w:cs="Arial"/>
          <w:sz w:val="20"/>
          <w:szCs w:val="20"/>
        </w:rPr>
        <w:t xml:space="preserve">All directors were present throughout the six months ended 30 June </w:t>
      </w:r>
      <w:r w:rsidRPr="00052DCD">
        <w:rPr>
          <w:rFonts w:asciiTheme="minorHAnsi" w:hAnsiTheme="minorHAnsi" w:cstheme="minorBidi"/>
          <w:sz w:val="20"/>
          <w:szCs w:val="20"/>
        </w:rPr>
        <w:t>202</w:t>
      </w:r>
      <w:r w:rsidR="00052DCD" w:rsidRPr="00052DCD">
        <w:rPr>
          <w:rFonts w:asciiTheme="minorHAnsi" w:hAnsiTheme="minorHAnsi" w:cstheme="minorBidi"/>
          <w:sz w:val="20"/>
          <w:szCs w:val="20"/>
        </w:rPr>
        <w:t>5</w:t>
      </w:r>
      <w:r w:rsidR="00B216F3">
        <w:rPr>
          <w:rFonts w:asciiTheme="minorHAnsi" w:hAnsiTheme="minorHAnsi" w:cs="Arial"/>
          <w:sz w:val="20"/>
          <w:szCs w:val="20"/>
        </w:rPr>
        <w:t>.</w:t>
      </w:r>
    </w:p>
    <w:p w14:paraId="1B306316" w14:textId="77777777" w:rsidR="003D018E" w:rsidRPr="00C42034" w:rsidRDefault="003D018E" w:rsidP="003D018E">
      <w:pPr>
        <w:ind w:left="360" w:hanging="360"/>
        <w:jc w:val="both"/>
        <w:rPr>
          <w:rFonts w:asciiTheme="minorHAnsi" w:hAnsiTheme="minorHAnsi" w:cstheme="minorHAnsi"/>
          <w:color w:val="FF0000"/>
          <w:sz w:val="20"/>
          <w:szCs w:val="20"/>
        </w:rPr>
      </w:pPr>
    </w:p>
    <w:p w14:paraId="2A5604C8" w14:textId="77777777" w:rsidR="003D018E" w:rsidRPr="00052DCD" w:rsidRDefault="003D018E" w:rsidP="003D018E">
      <w:pPr>
        <w:jc w:val="both"/>
        <w:rPr>
          <w:rFonts w:asciiTheme="minorHAnsi" w:hAnsiTheme="minorHAnsi" w:cs="Arial"/>
          <w:sz w:val="20"/>
          <w:szCs w:val="20"/>
        </w:rPr>
      </w:pPr>
      <w:r w:rsidRPr="00052DCD">
        <w:rPr>
          <w:rFonts w:asciiTheme="minorHAnsi" w:hAnsiTheme="minorHAnsi" w:cs="Arial"/>
          <w:sz w:val="20"/>
          <w:szCs w:val="20"/>
        </w:rPr>
        <w:t>The maintenance and integrity of the Vanquis Banking Group website is the responsibility of the directors. The work carried out by the auditor does not involve consideration of these matters and, accordingly, the auditor accept no responsibility for any changes that may have occurred to the unaudited condensed interim financial statements since they were initially presented on the website.</w:t>
      </w:r>
    </w:p>
    <w:p w14:paraId="41023291" w14:textId="77777777" w:rsidR="003D018E" w:rsidRPr="00052DCD" w:rsidRDefault="003D018E" w:rsidP="003D018E">
      <w:pPr>
        <w:jc w:val="both"/>
        <w:rPr>
          <w:rFonts w:asciiTheme="minorHAnsi" w:hAnsiTheme="minorHAnsi" w:cs="Arial"/>
          <w:sz w:val="20"/>
          <w:szCs w:val="20"/>
        </w:rPr>
      </w:pPr>
    </w:p>
    <w:p w14:paraId="0C5AAA36" w14:textId="77777777" w:rsidR="003D018E" w:rsidRPr="00052DCD" w:rsidRDefault="003D018E" w:rsidP="003D018E">
      <w:pPr>
        <w:jc w:val="both"/>
        <w:rPr>
          <w:rFonts w:asciiTheme="minorHAnsi" w:hAnsiTheme="minorHAnsi" w:cs="Arial"/>
          <w:sz w:val="20"/>
          <w:szCs w:val="20"/>
        </w:rPr>
      </w:pPr>
      <w:r w:rsidRPr="00052DCD">
        <w:rPr>
          <w:rFonts w:asciiTheme="minorHAnsi" w:hAnsiTheme="minorHAnsi" w:cs="Arial"/>
          <w:sz w:val="20"/>
          <w:szCs w:val="20"/>
        </w:rPr>
        <w:t>Legislation in the United Kingdom governing the preparation and dissemination of unaudited condensed interim financial statements may differ from legislation in other jurisdictions.</w:t>
      </w:r>
    </w:p>
    <w:p w14:paraId="0D40A2AD" w14:textId="77777777" w:rsidR="003D018E" w:rsidRDefault="003D018E" w:rsidP="003D018E">
      <w:pPr>
        <w:ind w:left="360" w:hanging="360"/>
        <w:jc w:val="both"/>
        <w:rPr>
          <w:rFonts w:asciiTheme="minorHAnsi" w:hAnsiTheme="minorHAnsi" w:cs="Arial"/>
          <w:sz w:val="20"/>
          <w:szCs w:val="20"/>
        </w:rPr>
      </w:pPr>
    </w:p>
    <w:p w14:paraId="03AD7E26" w14:textId="77777777" w:rsidR="003D018E" w:rsidRPr="001321BE" w:rsidRDefault="003D018E" w:rsidP="003D018E">
      <w:pPr>
        <w:ind w:left="360" w:hanging="360"/>
        <w:jc w:val="both"/>
        <w:rPr>
          <w:rFonts w:asciiTheme="minorHAnsi" w:hAnsiTheme="minorHAnsi" w:cs="Arial"/>
          <w:sz w:val="20"/>
          <w:szCs w:val="20"/>
        </w:rPr>
      </w:pPr>
      <w:r w:rsidRPr="001321BE">
        <w:rPr>
          <w:rFonts w:asciiTheme="minorHAnsi" w:hAnsiTheme="minorHAnsi" w:cs="Arial"/>
          <w:sz w:val="20"/>
          <w:szCs w:val="20"/>
        </w:rPr>
        <w:t>By order of the board</w:t>
      </w:r>
    </w:p>
    <w:p w14:paraId="31CD2D3B" w14:textId="77777777" w:rsidR="003D018E" w:rsidRDefault="003D018E" w:rsidP="003D018E">
      <w:pPr>
        <w:ind w:left="360" w:hanging="360"/>
        <w:jc w:val="both"/>
        <w:rPr>
          <w:rFonts w:asciiTheme="minorHAnsi" w:hAnsiTheme="minorHAnsi" w:cs="Arial"/>
          <w:sz w:val="20"/>
          <w:szCs w:val="20"/>
        </w:rPr>
      </w:pPr>
    </w:p>
    <w:p w14:paraId="274CF778" w14:textId="77777777" w:rsidR="003D018E" w:rsidRDefault="003D018E" w:rsidP="003D018E">
      <w:pPr>
        <w:ind w:left="360" w:hanging="360"/>
        <w:jc w:val="both"/>
        <w:rPr>
          <w:rFonts w:asciiTheme="minorHAnsi" w:hAnsiTheme="minorHAnsi" w:cs="Arial"/>
          <w:sz w:val="20"/>
          <w:szCs w:val="20"/>
        </w:rPr>
      </w:pPr>
    </w:p>
    <w:p w14:paraId="4EBE7190" w14:textId="77777777" w:rsidR="003D018E" w:rsidRPr="001321BE" w:rsidRDefault="003D018E" w:rsidP="003D018E">
      <w:pPr>
        <w:ind w:left="360" w:hanging="360"/>
        <w:jc w:val="both"/>
        <w:rPr>
          <w:rFonts w:asciiTheme="minorHAnsi" w:hAnsiTheme="minorHAnsi" w:cs="Arial"/>
          <w:sz w:val="20"/>
          <w:szCs w:val="20"/>
        </w:rPr>
      </w:pPr>
      <w:r>
        <w:rPr>
          <w:rFonts w:asciiTheme="minorHAnsi" w:hAnsiTheme="minorHAnsi" w:cs="Arial"/>
          <w:sz w:val="20"/>
          <w:szCs w:val="20"/>
        </w:rPr>
        <w:t>Ian McLaughlin</w:t>
      </w:r>
      <w:r w:rsidRPr="001321BE">
        <w:rPr>
          <w:rFonts w:asciiTheme="minorHAnsi" w:hAnsiTheme="minorHAnsi" w:cs="Arial"/>
          <w:sz w:val="20"/>
          <w:szCs w:val="20"/>
        </w:rPr>
        <w:t xml:space="preserve"> – Chief Executive Officer </w:t>
      </w:r>
      <w:r>
        <w:rPr>
          <w:rFonts w:asciiTheme="minorHAnsi" w:hAnsiTheme="minorHAnsi" w:cs="Arial"/>
          <w:sz w:val="20"/>
          <w:szCs w:val="20"/>
        </w:rPr>
        <w:tab/>
        <w:t>Dave Watts</w:t>
      </w:r>
      <w:r w:rsidRPr="001321BE">
        <w:rPr>
          <w:rFonts w:asciiTheme="minorHAnsi" w:hAnsiTheme="minorHAnsi" w:cs="Arial"/>
          <w:sz w:val="20"/>
          <w:szCs w:val="20"/>
        </w:rPr>
        <w:t xml:space="preserve"> – Chief Financial Officer</w:t>
      </w:r>
    </w:p>
    <w:bookmarkEnd w:id="13"/>
    <w:p w14:paraId="5E46D90B" w14:textId="416512B0" w:rsidR="00A1425C" w:rsidRPr="009E5866" w:rsidRDefault="00C42034" w:rsidP="00F174BE">
      <w:pPr>
        <w:ind w:left="360" w:hanging="360"/>
        <w:jc w:val="both"/>
        <w:rPr>
          <w:rFonts w:ascii="Calibri" w:eastAsia="Calibri" w:hAnsi="Calibri" w:cs="Calibri"/>
        </w:rPr>
      </w:pPr>
      <w:r w:rsidRPr="00327A1E">
        <w:rPr>
          <w:rFonts w:asciiTheme="minorHAnsi" w:hAnsiTheme="minorHAnsi" w:cs="Arial"/>
          <w:sz w:val="20"/>
          <w:szCs w:val="20"/>
        </w:rPr>
        <w:t>6 August</w:t>
      </w:r>
      <w:r w:rsidR="003D018E" w:rsidRPr="00327A1E">
        <w:rPr>
          <w:rFonts w:asciiTheme="minorHAnsi" w:hAnsiTheme="minorHAnsi" w:cs="Arial"/>
          <w:sz w:val="20"/>
          <w:szCs w:val="20"/>
        </w:rPr>
        <w:t xml:space="preserve"> 202</w:t>
      </w:r>
      <w:r w:rsidRPr="00327A1E">
        <w:rPr>
          <w:rFonts w:asciiTheme="minorHAnsi" w:hAnsiTheme="minorHAnsi" w:cs="Arial"/>
          <w:sz w:val="20"/>
          <w:szCs w:val="20"/>
        </w:rPr>
        <w:t>5</w:t>
      </w:r>
      <w:r w:rsidR="003D018E">
        <w:tab/>
      </w:r>
    </w:p>
    <w:sectPr w:rsidR="00A1425C" w:rsidRPr="009E5866" w:rsidSect="00322BA4">
      <w:headerReference w:type="even" r:id="rId21"/>
      <w:headerReference w:type="default" r:id="rId22"/>
      <w:footerReference w:type="even" r:id="rId23"/>
      <w:footerReference w:type="default" r:id="rId24"/>
      <w:headerReference w:type="first" r:id="rId25"/>
      <w:pgSz w:w="11906" w:h="16838"/>
      <w:pgMar w:top="1134" w:right="1106" w:bottom="1134" w:left="107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728AF" w14:textId="77777777" w:rsidR="004F2862" w:rsidRDefault="004F2862">
      <w:r>
        <w:separator/>
      </w:r>
    </w:p>
  </w:endnote>
  <w:endnote w:type="continuationSeparator" w:id="0">
    <w:p w14:paraId="53972263" w14:textId="77777777" w:rsidR="004F2862" w:rsidRDefault="004F2862">
      <w:r>
        <w:continuationSeparator/>
      </w:r>
    </w:p>
  </w:endnote>
  <w:endnote w:type="continuationNotice" w:id="1">
    <w:p w14:paraId="24F20A42" w14:textId="77777777" w:rsidR="004F2862" w:rsidRDefault="004F2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rmes-Thin">
    <w:altName w:val="Times New Roman"/>
    <w:charset w:val="00"/>
    <w:family w:val="auto"/>
    <w:pitch w:val="variable"/>
    <w:sig w:usb0="00000083" w:usb1="00000000" w:usb2="00000000" w:usb3="00000000" w:csb0="00000009" w:csb1="00000000"/>
  </w:font>
  <w:font w:name="Clarendon">
    <w:altName w:val="Cambria"/>
    <w:charset w:val="00"/>
    <w:family w:val="roman"/>
    <w:pitch w:val="default"/>
  </w:font>
  <w:font w:name="Hermes-Regular">
    <w:altName w:val="Times New Roman"/>
    <w:charset w:val="00"/>
    <w:family w:val="auto"/>
    <w:pitch w:val="variable"/>
    <w:sig w:usb0="00000083" w:usb1="00000000" w:usb2="00000000" w:usb3="00000000" w:csb0="00000009" w:csb1="00000000"/>
  </w:font>
  <w:font w:name="Clarendon Light">
    <w:charset w:val="00"/>
    <w:family w:val="roman"/>
    <w:pitch w:val="variable"/>
    <w:sig w:usb0="00000003" w:usb1="00000000" w:usb2="00000000" w:usb3="00000000" w:csb0="00000001" w:csb1="00000000"/>
  </w:font>
  <w:font w:name="Pluto Sans Light">
    <w:altName w:val="Arial"/>
    <w:charset w:val="00"/>
    <w:family w:val="modern"/>
    <w:pitch w:val="variable"/>
    <w:sig w:usb0="00000001" w:usb1="5000207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Pluto Sans Medium">
    <w:altName w:val="Calibri"/>
    <w:charset w:val="00"/>
    <w:family w:val="swiss"/>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ffra Medium">
    <w:altName w:val="Effra Medium"/>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Light">
    <w:charset w:val="00"/>
    <w:family w:val="swiss"/>
    <w:pitch w:val="variable"/>
    <w:sig w:usb0="E00002EF" w:usb1="4000205B" w:usb2="00000028" w:usb3="00000000" w:csb0="0000019F" w:csb1="00000000"/>
  </w:font>
  <w:font w:name="Graphik Light">
    <w:altName w:val="Calibri"/>
    <w:charset w:val="00"/>
    <w:family w:val="swiss"/>
    <w:pitch w:val="variable"/>
    <w:sig w:usb0="A000002F" w:usb1="4000045A" w:usb2="00000000" w:usb3="00000000" w:csb0="00000093" w:csb1="00000000"/>
  </w:font>
  <w:font w:name="Graphik Medium">
    <w:charset w:val="00"/>
    <w:family w:val="swiss"/>
    <w:pitch w:val="variable"/>
    <w:sig w:usb0="A000002F" w:usb1="4000045A"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Inter Medium">
    <w:charset w:val="00"/>
    <w:family w:val="roman"/>
    <w:pitch w:val="default"/>
  </w:font>
  <w:font w:name="Inter Light BETA">
    <w:charset w:val="00"/>
    <w:family w:val="roman"/>
    <w:pitch w:val="default"/>
  </w:font>
  <w:font w:name="Poppins-Light">
    <w:altName w:val="Calibri"/>
    <w:panose1 w:val="00000000000000000000"/>
    <w:charset w:val="00"/>
    <w:family w:val="swiss"/>
    <w:notTrueType/>
    <w:pitch w:val="default"/>
    <w:sig w:usb0="00000003" w:usb1="00000000" w:usb2="00000000" w:usb3="00000000" w:csb0="00000001" w:csb1="00000000"/>
  </w:font>
  <w:font w:name="Avenir-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oppins-Regular">
    <w:altName w:val="Poppi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6138B" w14:textId="77777777" w:rsidR="00B7371A" w:rsidRDefault="00B737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289A0E" w14:textId="77777777" w:rsidR="00B7371A" w:rsidRDefault="00B73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182199"/>
      <w:docPartObj>
        <w:docPartGallery w:val="Page Numbers (Bottom of Page)"/>
        <w:docPartUnique/>
      </w:docPartObj>
    </w:sdtPr>
    <w:sdtEndPr>
      <w:rPr>
        <w:rFonts w:asciiTheme="minorHAnsi" w:hAnsiTheme="minorHAnsi"/>
        <w:noProof/>
        <w:sz w:val="20"/>
      </w:rPr>
    </w:sdtEndPr>
    <w:sdtContent>
      <w:p w14:paraId="7C151006" w14:textId="6815E5D0" w:rsidR="00B7371A" w:rsidRPr="004F75DB" w:rsidRDefault="00B7371A">
        <w:pPr>
          <w:pStyle w:val="Footer"/>
          <w:jc w:val="center"/>
          <w:rPr>
            <w:rFonts w:asciiTheme="minorHAnsi" w:hAnsiTheme="minorHAnsi"/>
            <w:sz w:val="20"/>
          </w:rPr>
        </w:pPr>
        <w:r w:rsidRPr="004F75DB">
          <w:rPr>
            <w:rFonts w:asciiTheme="minorHAnsi" w:hAnsiTheme="minorHAnsi"/>
            <w:sz w:val="20"/>
          </w:rPr>
          <w:fldChar w:fldCharType="begin"/>
        </w:r>
        <w:r w:rsidRPr="004F75DB">
          <w:rPr>
            <w:rFonts w:asciiTheme="minorHAnsi" w:hAnsiTheme="minorHAnsi"/>
            <w:sz w:val="20"/>
          </w:rPr>
          <w:instrText xml:space="preserve"> PAGE   \* MERGEFORMAT </w:instrText>
        </w:r>
        <w:r w:rsidRPr="004F75DB">
          <w:rPr>
            <w:rFonts w:asciiTheme="minorHAnsi" w:hAnsiTheme="minorHAnsi"/>
            <w:sz w:val="20"/>
          </w:rPr>
          <w:fldChar w:fldCharType="separate"/>
        </w:r>
        <w:r>
          <w:rPr>
            <w:rFonts w:asciiTheme="minorHAnsi" w:hAnsiTheme="minorHAnsi"/>
            <w:noProof/>
            <w:sz w:val="20"/>
          </w:rPr>
          <w:t>21</w:t>
        </w:r>
        <w:r w:rsidRPr="004F75DB">
          <w:rPr>
            <w:rFonts w:asciiTheme="minorHAnsi" w:hAnsiTheme="minorHAnsi"/>
            <w:noProof/>
            <w:sz w:val="20"/>
          </w:rPr>
          <w:fldChar w:fldCharType="end"/>
        </w:r>
      </w:p>
    </w:sdtContent>
  </w:sdt>
  <w:p w14:paraId="0E4D130F" w14:textId="77777777" w:rsidR="00B7371A" w:rsidRPr="00702F82" w:rsidRDefault="00B7371A" w:rsidP="00B32ABF">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A2E2" w14:textId="77777777" w:rsidR="004F2862" w:rsidRDefault="004F2862">
      <w:r>
        <w:separator/>
      </w:r>
    </w:p>
  </w:footnote>
  <w:footnote w:type="continuationSeparator" w:id="0">
    <w:p w14:paraId="7A600526" w14:textId="77777777" w:rsidR="004F2862" w:rsidRDefault="004F2862">
      <w:r>
        <w:continuationSeparator/>
      </w:r>
    </w:p>
  </w:footnote>
  <w:footnote w:type="continuationNotice" w:id="1">
    <w:p w14:paraId="685EF7D1" w14:textId="77777777" w:rsidR="004F2862" w:rsidRDefault="004F2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FBE3" w14:textId="38C27834" w:rsidR="00B7371A" w:rsidRDefault="00B737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D90163" w14:textId="77777777" w:rsidR="00B7371A" w:rsidRDefault="00B73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9BA4" w14:textId="65EDD9AF" w:rsidR="00F50FD6" w:rsidRDefault="00B9582C" w:rsidP="00D34464">
    <w:pPr>
      <w:pStyle w:val="Header"/>
      <w:tabs>
        <w:tab w:val="clear" w:pos="8306"/>
      </w:tabs>
    </w:pPr>
    <w:r>
      <w:rPr>
        <w:rFonts w:asciiTheme="minorHAnsi" w:hAnsiTheme="minorHAnsi" w:cstheme="minorHAnsi"/>
        <w:b/>
        <w:color w:val="FF0000"/>
        <w:sz w:val="20"/>
      </w:rPr>
      <w:tab/>
    </w:r>
    <w:r w:rsidR="00D34464">
      <w:rPr>
        <w:rFonts w:asciiTheme="minorHAnsi" w:hAnsiTheme="minorHAnsi" w:cstheme="minorHAnsi"/>
        <w:b/>
        <w:color w:val="FF0000"/>
        <w:sz w:val="20"/>
      </w:rPr>
      <w:tab/>
    </w:r>
    <w:r w:rsidR="00D34464">
      <w:rPr>
        <w:rFonts w:asciiTheme="minorHAnsi" w:hAnsiTheme="minorHAnsi" w:cstheme="minorHAnsi"/>
        <w:b/>
        <w:color w:val="FF0000"/>
        <w:sz w:val="20"/>
      </w:rPr>
      <w:tab/>
    </w:r>
    <w:r w:rsidR="00D34464">
      <w:rPr>
        <w:rFonts w:asciiTheme="minorHAnsi" w:hAnsiTheme="minorHAnsi" w:cstheme="minorHAnsi"/>
        <w:b/>
        <w:color w:val="FF0000"/>
        <w:sz w:val="20"/>
      </w:rPr>
      <w:tab/>
    </w:r>
    <w:r w:rsidR="00D34464">
      <w:rPr>
        <w:rFonts w:asciiTheme="minorHAnsi" w:hAnsiTheme="minorHAnsi" w:cstheme="minorHAnsi"/>
        <w:b/>
        <w:color w:val="FF0000"/>
        <w:sz w:val="20"/>
      </w:rPr>
      <w:tab/>
    </w:r>
  </w:p>
  <w:p w14:paraId="7E88D092" w14:textId="7860BA7A" w:rsidR="00B7371A" w:rsidRPr="00F50FD6" w:rsidRDefault="00B7371A" w:rsidP="00B95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D4BA" w14:textId="2B8F6FD8" w:rsidR="00B7371A" w:rsidRDefault="00B7371A">
    <w:pPr>
      <w:pStyle w:val="Header"/>
      <w:tabs>
        <w:tab w:val="clear" w:pos="8306"/>
        <w:tab w:val="right" w:pos="9360"/>
      </w:tabs>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18F7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B87A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3E8C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BD24F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B814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DE2B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E61A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702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0E7E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9C02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E637F"/>
    <w:multiLevelType w:val="multilevel"/>
    <w:tmpl w:val="AE4E9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2F33C2"/>
    <w:multiLevelType w:val="hybridMultilevel"/>
    <w:tmpl w:val="2E24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704D32"/>
    <w:multiLevelType w:val="hybridMultilevel"/>
    <w:tmpl w:val="676C2C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8F5CAB"/>
    <w:multiLevelType w:val="hybridMultilevel"/>
    <w:tmpl w:val="97FA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0E7953"/>
    <w:multiLevelType w:val="hybridMultilevel"/>
    <w:tmpl w:val="1A4E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A261FD"/>
    <w:multiLevelType w:val="multilevel"/>
    <w:tmpl w:val="E75E8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63825"/>
    <w:multiLevelType w:val="hybridMultilevel"/>
    <w:tmpl w:val="66FEBFEC"/>
    <w:lvl w:ilvl="0" w:tplc="5BF4F9FA">
      <w:start w:val="20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6D2371"/>
    <w:multiLevelType w:val="hybridMultilevel"/>
    <w:tmpl w:val="DF32004A"/>
    <w:lvl w:ilvl="0" w:tplc="5294496A">
      <w:start w:val="1"/>
      <w:numFmt w:val="decimal"/>
      <w:lvlText w:val="%1."/>
      <w:lvlJc w:val="left"/>
      <w:pPr>
        <w:tabs>
          <w:tab w:val="num" w:pos="720"/>
        </w:tabs>
        <w:ind w:left="720" w:hanging="360"/>
      </w:pPr>
    </w:lvl>
    <w:lvl w:ilvl="1" w:tplc="BEA2CB30" w:tentative="1">
      <w:start w:val="1"/>
      <w:numFmt w:val="decimal"/>
      <w:lvlText w:val="%2."/>
      <w:lvlJc w:val="left"/>
      <w:pPr>
        <w:tabs>
          <w:tab w:val="num" w:pos="1440"/>
        </w:tabs>
        <w:ind w:left="1440" w:hanging="360"/>
      </w:pPr>
    </w:lvl>
    <w:lvl w:ilvl="2" w:tplc="83082E62" w:tentative="1">
      <w:start w:val="1"/>
      <w:numFmt w:val="decimal"/>
      <w:lvlText w:val="%3."/>
      <w:lvlJc w:val="left"/>
      <w:pPr>
        <w:tabs>
          <w:tab w:val="num" w:pos="2160"/>
        </w:tabs>
        <w:ind w:left="2160" w:hanging="360"/>
      </w:pPr>
    </w:lvl>
    <w:lvl w:ilvl="3" w:tplc="AFBAF79E" w:tentative="1">
      <w:start w:val="1"/>
      <w:numFmt w:val="decimal"/>
      <w:lvlText w:val="%4."/>
      <w:lvlJc w:val="left"/>
      <w:pPr>
        <w:tabs>
          <w:tab w:val="num" w:pos="2880"/>
        </w:tabs>
        <w:ind w:left="2880" w:hanging="360"/>
      </w:pPr>
    </w:lvl>
    <w:lvl w:ilvl="4" w:tplc="1A14E2D4" w:tentative="1">
      <w:start w:val="1"/>
      <w:numFmt w:val="decimal"/>
      <w:lvlText w:val="%5."/>
      <w:lvlJc w:val="left"/>
      <w:pPr>
        <w:tabs>
          <w:tab w:val="num" w:pos="3600"/>
        </w:tabs>
        <w:ind w:left="3600" w:hanging="360"/>
      </w:pPr>
    </w:lvl>
    <w:lvl w:ilvl="5" w:tplc="99F49AF8" w:tentative="1">
      <w:start w:val="1"/>
      <w:numFmt w:val="decimal"/>
      <w:lvlText w:val="%6."/>
      <w:lvlJc w:val="left"/>
      <w:pPr>
        <w:tabs>
          <w:tab w:val="num" w:pos="4320"/>
        </w:tabs>
        <w:ind w:left="4320" w:hanging="360"/>
      </w:pPr>
    </w:lvl>
    <w:lvl w:ilvl="6" w:tplc="C2BE7D94" w:tentative="1">
      <w:start w:val="1"/>
      <w:numFmt w:val="decimal"/>
      <w:lvlText w:val="%7."/>
      <w:lvlJc w:val="left"/>
      <w:pPr>
        <w:tabs>
          <w:tab w:val="num" w:pos="5040"/>
        </w:tabs>
        <w:ind w:left="5040" w:hanging="360"/>
      </w:pPr>
    </w:lvl>
    <w:lvl w:ilvl="7" w:tplc="250CB62E" w:tentative="1">
      <w:start w:val="1"/>
      <w:numFmt w:val="decimal"/>
      <w:lvlText w:val="%8."/>
      <w:lvlJc w:val="left"/>
      <w:pPr>
        <w:tabs>
          <w:tab w:val="num" w:pos="5760"/>
        </w:tabs>
        <w:ind w:left="5760" w:hanging="360"/>
      </w:pPr>
    </w:lvl>
    <w:lvl w:ilvl="8" w:tplc="B984B6D0" w:tentative="1">
      <w:start w:val="1"/>
      <w:numFmt w:val="decimal"/>
      <w:lvlText w:val="%9."/>
      <w:lvlJc w:val="left"/>
      <w:pPr>
        <w:tabs>
          <w:tab w:val="num" w:pos="6480"/>
        </w:tabs>
        <w:ind w:left="6480" w:hanging="360"/>
      </w:pPr>
    </w:lvl>
  </w:abstractNum>
  <w:abstractNum w:abstractNumId="18" w15:restartNumberingAfterBreak="0">
    <w:nsid w:val="1A740800"/>
    <w:multiLevelType w:val="hybridMultilevel"/>
    <w:tmpl w:val="306C2140"/>
    <w:lvl w:ilvl="0" w:tplc="5BF4F9FA">
      <w:start w:val="20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427BA5"/>
    <w:multiLevelType w:val="hybridMultilevel"/>
    <w:tmpl w:val="74B6D944"/>
    <w:lvl w:ilvl="0" w:tplc="8AA441B8">
      <w:start w:val="3"/>
      <w:numFmt w:val="decimal"/>
      <w:lvlText w:val="%1."/>
      <w:lvlJc w:val="left"/>
      <w:pPr>
        <w:tabs>
          <w:tab w:val="num" w:pos="720"/>
        </w:tabs>
        <w:ind w:left="720" w:hanging="360"/>
      </w:pPr>
    </w:lvl>
    <w:lvl w:ilvl="1" w:tplc="A21A3888" w:tentative="1">
      <w:start w:val="1"/>
      <w:numFmt w:val="decimal"/>
      <w:lvlText w:val="%2."/>
      <w:lvlJc w:val="left"/>
      <w:pPr>
        <w:tabs>
          <w:tab w:val="num" w:pos="1440"/>
        </w:tabs>
        <w:ind w:left="1440" w:hanging="360"/>
      </w:pPr>
    </w:lvl>
    <w:lvl w:ilvl="2" w:tplc="1B02878E" w:tentative="1">
      <w:start w:val="1"/>
      <w:numFmt w:val="decimal"/>
      <w:lvlText w:val="%3."/>
      <w:lvlJc w:val="left"/>
      <w:pPr>
        <w:tabs>
          <w:tab w:val="num" w:pos="2160"/>
        </w:tabs>
        <w:ind w:left="2160" w:hanging="360"/>
      </w:pPr>
    </w:lvl>
    <w:lvl w:ilvl="3" w:tplc="F6F021DE" w:tentative="1">
      <w:start w:val="1"/>
      <w:numFmt w:val="decimal"/>
      <w:lvlText w:val="%4."/>
      <w:lvlJc w:val="left"/>
      <w:pPr>
        <w:tabs>
          <w:tab w:val="num" w:pos="2880"/>
        </w:tabs>
        <w:ind w:left="2880" w:hanging="360"/>
      </w:pPr>
    </w:lvl>
    <w:lvl w:ilvl="4" w:tplc="CC7C3D52" w:tentative="1">
      <w:start w:val="1"/>
      <w:numFmt w:val="decimal"/>
      <w:lvlText w:val="%5."/>
      <w:lvlJc w:val="left"/>
      <w:pPr>
        <w:tabs>
          <w:tab w:val="num" w:pos="3600"/>
        </w:tabs>
        <w:ind w:left="3600" w:hanging="360"/>
      </w:pPr>
    </w:lvl>
    <w:lvl w:ilvl="5" w:tplc="BE4E281A" w:tentative="1">
      <w:start w:val="1"/>
      <w:numFmt w:val="decimal"/>
      <w:lvlText w:val="%6."/>
      <w:lvlJc w:val="left"/>
      <w:pPr>
        <w:tabs>
          <w:tab w:val="num" w:pos="4320"/>
        </w:tabs>
        <w:ind w:left="4320" w:hanging="360"/>
      </w:pPr>
    </w:lvl>
    <w:lvl w:ilvl="6" w:tplc="E2427930" w:tentative="1">
      <w:start w:val="1"/>
      <w:numFmt w:val="decimal"/>
      <w:lvlText w:val="%7."/>
      <w:lvlJc w:val="left"/>
      <w:pPr>
        <w:tabs>
          <w:tab w:val="num" w:pos="5040"/>
        </w:tabs>
        <w:ind w:left="5040" w:hanging="360"/>
      </w:pPr>
    </w:lvl>
    <w:lvl w:ilvl="7" w:tplc="95986EDA" w:tentative="1">
      <w:start w:val="1"/>
      <w:numFmt w:val="decimal"/>
      <w:lvlText w:val="%8."/>
      <w:lvlJc w:val="left"/>
      <w:pPr>
        <w:tabs>
          <w:tab w:val="num" w:pos="5760"/>
        </w:tabs>
        <w:ind w:left="5760" w:hanging="360"/>
      </w:pPr>
    </w:lvl>
    <w:lvl w:ilvl="8" w:tplc="19145994" w:tentative="1">
      <w:start w:val="1"/>
      <w:numFmt w:val="decimal"/>
      <w:lvlText w:val="%9."/>
      <w:lvlJc w:val="left"/>
      <w:pPr>
        <w:tabs>
          <w:tab w:val="num" w:pos="6480"/>
        </w:tabs>
        <w:ind w:left="6480" w:hanging="360"/>
      </w:pPr>
    </w:lvl>
  </w:abstractNum>
  <w:abstractNum w:abstractNumId="20" w15:restartNumberingAfterBreak="0">
    <w:nsid w:val="1CF216D2"/>
    <w:multiLevelType w:val="hybridMultilevel"/>
    <w:tmpl w:val="7690F1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125E66"/>
    <w:multiLevelType w:val="hybridMultilevel"/>
    <w:tmpl w:val="AE2AFDAE"/>
    <w:lvl w:ilvl="0" w:tplc="5BF4F9FA">
      <w:start w:val="20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E27B40"/>
    <w:multiLevelType w:val="hybridMultilevel"/>
    <w:tmpl w:val="468E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76443C"/>
    <w:multiLevelType w:val="multilevel"/>
    <w:tmpl w:val="416E8D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8"/>
      <w:numFmt w:val="bullet"/>
      <w:lvlText w:val="-"/>
      <w:lvlJc w:val="left"/>
      <w:pPr>
        <w:ind w:left="2520" w:hanging="360"/>
      </w:pPr>
      <w:rPr>
        <w:rFonts w:ascii="Calibri" w:eastAsia="Times New Roman" w:hAnsi="Calibri" w:cs="Calibri" w:hint="default"/>
      </w:rPr>
    </w:lvl>
    <w:lvl w:ilvl="4">
      <w:start w:val="1"/>
      <w:numFmt w:val="lowerLetter"/>
      <w:lvlText w:val="(%5)"/>
      <w:lvlJc w:val="left"/>
      <w:pPr>
        <w:ind w:left="3240" w:hanging="360"/>
      </w:pPr>
      <w:rPr>
        <w:rFonts w:asciiTheme="minorHAnsi" w:eastAsia="Times New Roman" w:hAnsiTheme="minorHAnsi" w:cs="Arial"/>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28852408"/>
    <w:multiLevelType w:val="hybridMultilevel"/>
    <w:tmpl w:val="FF54E06E"/>
    <w:lvl w:ilvl="0" w:tplc="8590863C">
      <w:start w:val="1"/>
      <w:numFmt w:val="bullet"/>
      <w:lvlText w:val="•"/>
      <w:lvlJc w:val="left"/>
      <w:pPr>
        <w:tabs>
          <w:tab w:val="num" w:pos="720"/>
        </w:tabs>
        <w:ind w:left="720" w:hanging="360"/>
      </w:pPr>
      <w:rPr>
        <w:rFonts w:ascii="Arial" w:hAnsi="Arial" w:hint="default"/>
      </w:rPr>
    </w:lvl>
    <w:lvl w:ilvl="1" w:tplc="491C142C" w:tentative="1">
      <w:start w:val="1"/>
      <w:numFmt w:val="bullet"/>
      <w:lvlText w:val="•"/>
      <w:lvlJc w:val="left"/>
      <w:pPr>
        <w:tabs>
          <w:tab w:val="num" w:pos="1440"/>
        </w:tabs>
        <w:ind w:left="1440" w:hanging="360"/>
      </w:pPr>
      <w:rPr>
        <w:rFonts w:ascii="Arial" w:hAnsi="Arial" w:hint="default"/>
      </w:rPr>
    </w:lvl>
    <w:lvl w:ilvl="2" w:tplc="5DEEDD6A">
      <w:numFmt w:val="bullet"/>
      <w:lvlText w:val="•"/>
      <w:lvlJc w:val="left"/>
      <w:pPr>
        <w:tabs>
          <w:tab w:val="num" w:pos="2160"/>
        </w:tabs>
        <w:ind w:left="2160" w:hanging="360"/>
      </w:pPr>
      <w:rPr>
        <w:rFonts w:ascii="Arial" w:hAnsi="Arial" w:hint="default"/>
      </w:rPr>
    </w:lvl>
    <w:lvl w:ilvl="3" w:tplc="DD06E44A">
      <w:numFmt w:val="bullet"/>
      <w:lvlText w:val="•"/>
      <w:lvlJc w:val="left"/>
      <w:pPr>
        <w:tabs>
          <w:tab w:val="num" w:pos="2880"/>
        </w:tabs>
        <w:ind w:left="2880" w:hanging="360"/>
      </w:pPr>
      <w:rPr>
        <w:rFonts w:ascii="Arial" w:hAnsi="Arial" w:hint="default"/>
      </w:rPr>
    </w:lvl>
    <w:lvl w:ilvl="4" w:tplc="740A38C6" w:tentative="1">
      <w:start w:val="1"/>
      <w:numFmt w:val="bullet"/>
      <w:lvlText w:val="•"/>
      <w:lvlJc w:val="left"/>
      <w:pPr>
        <w:tabs>
          <w:tab w:val="num" w:pos="3600"/>
        </w:tabs>
        <w:ind w:left="3600" w:hanging="360"/>
      </w:pPr>
      <w:rPr>
        <w:rFonts w:ascii="Arial" w:hAnsi="Arial" w:hint="default"/>
      </w:rPr>
    </w:lvl>
    <w:lvl w:ilvl="5" w:tplc="80862E0E" w:tentative="1">
      <w:start w:val="1"/>
      <w:numFmt w:val="bullet"/>
      <w:lvlText w:val="•"/>
      <w:lvlJc w:val="left"/>
      <w:pPr>
        <w:tabs>
          <w:tab w:val="num" w:pos="4320"/>
        </w:tabs>
        <w:ind w:left="4320" w:hanging="360"/>
      </w:pPr>
      <w:rPr>
        <w:rFonts w:ascii="Arial" w:hAnsi="Arial" w:hint="default"/>
      </w:rPr>
    </w:lvl>
    <w:lvl w:ilvl="6" w:tplc="1FF43308" w:tentative="1">
      <w:start w:val="1"/>
      <w:numFmt w:val="bullet"/>
      <w:lvlText w:val="•"/>
      <w:lvlJc w:val="left"/>
      <w:pPr>
        <w:tabs>
          <w:tab w:val="num" w:pos="5040"/>
        </w:tabs>
        <w:ind w:left="5040" w:hanging="360"/>
      </w:pPr>
      <w:rPr>
        <w:rFonts w:ascii="Arial" w:hAnsi="Arial" w:hint="default"/>
      </w:rPr>
    </w:lvl>
    <w:lvl w:ilvl="7" w:tplc="2D4E808A" w:tentative="1">
      <w:start w:val="1"/>
      <w:numFmt w:val="bullet"/>
      <w:lvlText w:val="•"/>
      <w:lvlJc w:val="left"/>
      <w:pPr>
        <w:tabs>
          <w:tab w:val="num" w:pos="5760"/>
        </w:tabs>
        <w:ind w:left="5760" w:hanging="360"/>
      </w:pPr>
      <w:rPr>
        <w:rFonts w:ascii="Arial" w:hAnsi="Arial" w:hint="default"/>
      </w:rPr>
    </w:lvl>
    <w:lvl w:ilvl="8" w:tplc="B9B275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C859E0"/>
    <w:multiLevelType w:val="hybridMultilevel"/>
    <w:tmpl w:val="43D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E35B35"/>
    <w:multiLevelType w:val="multilevel"/>
    <w:tmpl w:val="8C18E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3B60B1"/>
    <w:multiLevelType w:val="hybridMultilevel"/>
    <w:tmpl w:val="615A1936"/>
    <w:lvl w:ilvl="0" w:tplc="E68882C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6144F61"/>
    <w:multiLevelType w:val="multilevel"/>
    <w:tmpl w:val="E44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F62094"/>
    <w:multiLevelType w:val="hybridMultilevel"/>
    <w:tmpl w:val="F7DC7D30"/>
    <w:lvl w:ilvl="0" w:tplc="38DA4DA8">
      <w:start w:val="3"/>
      <w:numFmt w:val="decimal"/>
      <w:lvlText w:val="%1."/>
      <w:lvlJc w:val="left"/>
      <w:pPr>
        <w:tabs>
          <w:tab w:val="num" w:pos="720"/>
        </w:tabs>
        <w:ind w:left="720" w:hanging="360"/>
      </w:pPr>
    </w:lvl>
    <w:lvl w:ilvl="1" w:tplc="8F2C18FE" w:tentative="1">
      <w:start w:val="1"/>
      <w:numFmt w:val="decimal"/>
      <w:lvlText w:val="%2."/>
      <w:lvlJc w:val="left"/>
      <w:pPr>
        <w:tabs>
          <w:tab w:val="num" w:pos="1440"/>
        </w:tabs>
        <w:ind w:left="1440" w:hanging="360"/>
      </w:pPr>
    </w:lvl>
    <w:lvl w:ilvl="2" w:tplc="2182C534" w:tentative="1">
      <w:start w:val="1"/>
      <w:numFmt w:val="decimal"/>
      <w:lvlText w:val="%3."/>
      <w:lvlJc w:val="left"/>
      <w:pPr>
        <w:tabs>
          <w:tab w:val="num" w:pos="2160"/>
        </w:tabs>
        <w:ind w:left="2160" w:hanging="360"/>
      </w:pPr>
    </w:lvl>
    <w:lvl w:ilvl="3" w:tplc="CF269950" w:tentative="1">
      <w:start w:val="1"/>
      <w:numFmt w:val="decimal"/>
      <w:lvlText w:val="%4."/>
      <w:lvlJc w:val="left"/>
      <w:pPr>
        <w:tabs>
          <w:tab w:val="num" w:pos="2880"/>
        </w:tabs>
        <w:ind w:left="2880" w:hanging="360"/>
      </w:pPr>
    </w:lvl>
    <w:lvl w:ilvl="4" w:tplc="0F5A3B72" w:tentative="1">
      <w:start w:val="1"/>
      <w:numFmt w:val="decimal"/>
      <w:lvlText w:val="%5."/>
      <w:lvlJc w:val="left"/>
      <w:pPr>
        <w:tabs>
          <w:tab w:val="num" w:pos="3600"/>
        </w:tabs>
        <w:ind w:left="3600" w:hanging="360"/>
      </w:pPr>
    </w:lvl>
    <w:lvl w:ilvl="5" w:tplc="FC387536" w:tentative="1">
      <w:start w:val="1"/>
      <w:numFmt w:val="decimal"/>
      <w:lvlText w:val="%6."/>
      <w:lvlJc w:val="left"/>
      <w:pPr>
        <w:tabs>
          <w:tab w:val="num" w:pos="4320"/>
        </w:tabs>
        <w:ind w:left="4320" w:hanging="360"/>
      </w:pPr>
    </w:lvl>
    <w:lvl w:ilvl="6" w:tplc="19288930" w:tentative="1">
      <w:start w:val="1"/>
      <w:numFmt w:val="decimal"/>
      <w:lvlText w:val="%7."/>
      <w:lvlJc w:val="left"/>
      <w:pPr>
        <w:tabs>
          <w:tab w:val="num" w:pos="5040"/>
        </w:tabs>
        <w:ind w:left="5040" w:hanging="360"/>
      </w:pPr>
    </w:lvl>
    <w:lvl w:ilvl="7" w:tplc="97EA89B4" w:tentative="1">
      <w:start w:val="1"/>
      <w:numFmt w:val="decimal"/>
      <w:lvlText w:val="%8."/>
      <w:lvlJc w:val="left"/>
      <w:pPr>
        <w:tabs>
          <w:tab w:val="num" w:pos="5760"/>
        </w:tabs>
        <w:ind w:left="5760" w:hanging="360"/>
      </w:pPr>
    </w:lvl>
    <w:lvl w:ilvl="8" w:tplc="63F086B4" w:tentative="1">
      <w:start w:val="1"/>
      <w:numFmt w:val="decimal"/>
      <w:lvlText w:val="%9."/>
      <w:lvlJc w:val="left"/>
      <w:pPr>
        <w:tabs>
          <w:tab w:val="num" w:pos="6480"/>
        </w:tabs>
        <w:ind w:left="6480" w:hanging="360"/>
      </w:pPr>
    </w:lvl>
  </w:abstractNum>
  <w:abstractNum w:abstractNumId="30" w15:restartNumberingAfterBreak="0">
    <w:nsid w:val="3B557879"/>
    <w:multiLevelType w:val="hybridMultilevel"/>
    <w:tmpl w:val="218C6C4E"/>
    <w:lvl w:ilvl="0" w:tplc="510CC582">
      <w:start w:val="1"/>
      <w:numFmt w:val="decimal"/>
      <w:lvlText w:val="%1."/>
      <w:lvlJc w:val="left"/>
      <w:pPr>
        <w:tabs>
          <w:tab w:val="num" w:pos="720"/>
        </w:tabs>
        <w:ind w:left="720" w:hanging="360"/>
      </w:pPr>
    </w:lvl>
    <w:lvl w:ilvl="1" w:tplc="901E781C" w:tentative="1">
      <w:start w:val="1"/>
      <w:numFmt w:val="decimal"/>
      <w:lvlText w:val="%2."/>
      <w:lvlJc w:val="left"/>
      <w:pPr>
        <w:tabs>
          <w:tab w:val="num" w:pos="1440"/>
        </w:tabs>
        <w:ind w:left="1440" w:hanging="360"/>
      </w:pPr>
    </w:lvl>
    <w:lvl w:ilvl="2" w:tplc="33222DF6" w:tentative="1">
      <w:start w:val="1"/>
      <w:numFmt w:val="decimal"/>
      <w:lvlText w:val="%3."/>
      <w:lvlJc w:val="left"/>
      <w:pPr>
        <w:tabs>
          <w:tab w:val="num" w:pos="2160"/>
        </w:tabs>
        <w:ind w:left="2160" w:hanging="360"/>
      </w:pPr>
    </w:lvl>
    <w:lvl w:ilvl="3" w:tplc="9426059C" w:tentative="1">
      <w:start w:val="1"/>
      <w:numFmt w:val="decimal"/>
      <w:lvlText w:val="%4."/>
      <w:lvlJc w:val="left"/>
      <w:pPr>
        <w:tabs>
          <w:tab w:val="num" w:pos="2880"/>
        </w:tabs>
        <w:ind w:left="2880" w:hanging="360"/>
      </w:pPr>
    </w:lvl>
    <w:lvl w:ilvl="4" w:tplc="727EA7BA" w:tentative="1">
      <w:start w:val="1"/>
      <w:numFmt w:val="decimal"/>
      <w:lvlText w:val="%5."/>
      <w:lvlJc w:val="left"/>
      <w:pPr>
        <w:tabs>
          <w:tab w:val="num" w:pos="3600"/>
        </w:tabs>
        <w:ind w:left="3600" w:hanging="360"/>
      </w:pPr>
    </w:lvl>
    <w:lvl w:ilvl="5" w:tplc="25FEEF12" w:tentative="1">
      <w:start w:val="1"/>
      <w:numFmt w:val="decimal"/>
      <w:lvlText w:val="%6."/>
      <w:lvlJc w:val="left"/>
      <w:pPr>
        <w:tabs>
          <w:tab w:val="num" w:pos="4320"/>
        </w:tabs>
        <w:ind w:left="4320" w:hanging="360"/>
      </w:pPr>
    </w:lvl>
    <w:lvl w:ilvl="6" w:tplc="4F7014F0" w:tentative="1">
      <w:start w:val="1"/>
      <w:numFmt w:val="decimal"/>
      <w:lvlText w:val="%7."/>
      <w:lvlJc w:val="left"/>
      <w:pPr>
        <w:tabs>
          <w:tab w:val="num" w:pos="5040"/>
        </w:tabs>
        <w:ind w:left="5040" w:hanging="360"/>
      </w:pPr>
    </w:lvl>
    <w:lvl w:ilvl="7" w:tplc="AB149DBA" w:tentative="1">
      <w:start w:val="1"/>
      <w:numFmt w:val="decimal"/>
      <w:lvlText w:val="%8."/>
      <w:lvlJc w:val="left"/>
      <w:pPr>
        <w:tabs>
          <w:tab w:val="num" w:pos="5760"/>
        </w:tabs>
        <w:ind w:left="5760" w:hanging="360"/>
      </w:pPr>
    </w:lvl>
    <w:lvl w:ilvl="8" w:tplc="508EABF6" w:tentative="1">
      <w:start w:val="1"/>
      <w:numFmt w:val="decimal"/>
      <w:lvlText w:val="%9."/>
      <w:lvlJc w:val="left"/>
      <w:pPr>
        <w:tabs>
          <w:tab w:val="num" w:pos="6480"/>
        </w:tabs>
        <w:ind w:left="6480" w:hanging="360"/>
      </w:pPr>
    </w:lvl>
  </w:abstractNum>
  <w:abstractNum w:abstractNumId="31" w15:restartNumberingAfterBreak="0">
    <w:nsid w:val="3D965B53"/>
    <w:multiLevelType w:val="hybridMultilevel"/>
    <w:tmpl w:val="9092A30E"/>
    <w:lvl w:ilvl="0" w:tplc="E21CCFE6">
      <w:start w:val="1"/>
      <w:numFmt w:val="bullet"/>
      <w:lvlText w:val="•"/>
      <w:lvlJc w:val="left"/>
      <w:pPr>
        <w:tabs>
          <w:tab w:val="num" w:pos="720"/>
        </w:tabs>
        <w:ind w:left="720" w:hanging="360"/>
      </w:pPr>
      <w:rPr>
        <w:rFonts w:ascii="Arial" w:hAnsi="Arial" w:hint="default"/>
      </w:rPr>
    </w:lvl>
    <w:lvl w:ilvl="1" w:tplc="31A4F0EE" w:tentative="1">
      <w:start w:val="1"/>
      <w:numFmt w:val="bullet"/>
      <w:lvlText w:val="•"/>
      <w:lvlJc w:val="left"/>
      <w:pPr>
        <w:tabs>
          <w:tab w:val="num" w:pos="1440"/>
        </w:tabs>
        <w:ind w:left="1440" w:hanging="360"/>
      </w:pPr>
      <w:rPr>
        <w:rFonts w:ascii="Arial" w:hAnsi="Arial" w:hint="default"/>
      </w:rPr>
    </w:lvl>
    <w:lvl w:ilvl="2" w:tplc="A37A142A" w:tentative="1">
      <w:start w:val="1"/>
      <w:numFmt w:val="bullet"/>
      <w:lvlText w:val="•"/>
      <w:lvlJc w:val="left"/>
      <w:pPr>
        <w:tabs>
          <w:tab w:val="num" w:pos="2160"/>
        </w:tabs>
        <w:ind w:left="2160" w:hanging="360"/>
      </w:pPr>
      <w:rPr>
        <w:rFonts w:ascii="Arial" w:hAnsi="Arial" w:hint="default"/>
      </w:rPr>
    </w:lvl>
    <w:lvl w:ilvl="3" w:tplc="09A2CFE4" w:tentative="1">
      <w:start w:val="1"/>
      <w:numFmt w:val="bullet"/>
      <w:lvlText w:val="•"/>
      <w:lvlJc w:val="left"/>
      <w:pPr>
        <w:tabs>
          <w:tab w:val="num" w:pos="2880"/>
        </w:tabs>
        <w:ind w:left="2880" w:hanging="360"/>
      </w:pPr>
      <w:rPr>
        <w:rFonts w:ascii="Arial" w:hAnsi="Arial" w:hint="default"/>
      </w:rPr>
    </w:lvl>
    <w:lvl w:ilvl="4" w:tplc="16702340" w:tentative="1">
      <w:start w:val="1"/>
      <w:numFmt w:val="bullet"/>
      <w:lvlText w:val="•"/>
      <w:lvlJc w:val="left"/>
      <w:pPr>
        <w:tabs>
          <w:tab w:val="num" w:pos="3600"/>
        </w:tabs>
        <w:ind w:left="3600" w:hanging="360"/>
      </w:pPr>
      <w:rPr>
        <w:rFonts w:ascii="Arial" w:hAnsi="Arial" w:hint="default"/>
      </w:rPr>
    </w:lvl>
    <w:lvl w:ilvl="5" w:tplc="B3FA1140" w:tentative="1">
      <w:start w:val="1"/>
      <w:numFmt w:val="bullet"/>
      <w:lvlText w:val="•"/>
      <w:lvlJc w:val="left"/>
      <w:pPr>
        <w:tabs>
          <w:tab w:val="num" w:pos="4320"/>
        </w:tabs>
        <w:ind w:left="4320" w:hanging="360"/>
      </w:pPr>
      <w:rPr>
        <w:rFonts w:ascii="Arial" w:hAnsi="Arial" w:hint="default"/>
      </w:rPr>
    </w:lvl>
    <w:lvl w:ilvl="6" w:tplc="0B4CE4C6" w:tentative="1">
      <w:start w:val="1"/>
      <w:numFmt w:val="bullet"/>
      <w:lvlText w:val="•"/>
      <w:lvlJc w:val="left"/>
      <w:pPr>
        <w:tabs>
          <w:tab w:val="num" w:pos="5040"/>
        </w:tabs>
        <w:ind w:left="5040" w:hanging="360"/>
      </w:pPr>
      <w:rPr>
        <w:rFonts w:ascii="Arial" w:hAnsi="Arial" w:hint="default"/>
      </w:rPr>
    </w:lvl>
    <w:lvl w:ilvl="7" w:tplc="1D0EEBBC" w:tentative="1">
      <w:start w:val="1"/>
      <w:numFmt w:val="bullet"/>
      <w:lvlText w:val="•"/>
      <w:lvlJc w:val="left"/>
      <w:pPr>
        <w:tabs>
          <w:tab w:val="num" w:pos="5760"/>
        </w:tabs>
        <w:ind w:left="5760" w:hanging="360"/>
      </w:pPr>
      <w:rPr>
        <w:rFonts w:ascii="Arial" w:hAnsi="Arial" w:hint="default"/>
      </w:rPr>
    </w:lvl>
    <w:lvl w:ilvl="8" w:tplc="28CC912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E562AD8"/>
    <w:multiLevelType w:val="hybridMultilevel"/>
    <w:tmpl w:val="98C6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B94824"/>
    <w:multiLevelType w:val="multilevel"/>
    <w:tmpl w:val="F850D690"/>
    <w:styleLink w:val="CurrentList1"/>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8"/>
      <w:numFmt w:val="bullet"/>
      <w:lvlText w:val="-"/>
      <w:lvlJc w:val="left"/>
      <w:pPr>
        <w:ind w:left="2520" w:hanging="360"/>
      </w:pPr>
      <w:rPr>
        <w:rFonts w:ascii="Calibri" w:eastAsia="Times New Roman" w:hAnsi="Calibri" w:cs="Calibri" w:hint="default"/>
      </w:rPr>
    </w:lvl>
    <w:lvl w:ilvl="4">
      <w:start w:val="1"/>
      <w:numFmt w:val="lowerLetter"/>
      <w:lvlText w:val="(%5)"/>
      <w:lvlJc w:val="left"/>
      <w:pPr>
        <w:ind w:left="3240" w:hanging="360"/>
      </w:pPr>
      <w:rPr>
        <w:rFonts w:asciiTheme="minorHAnsi" w:eastAsia="Times New Roman" w:hAnsiTheme="minorHAnsi" w:cs="Arial"/>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4C450C9"/>
    <w:multiLevelType w:val="hybridMultilevel"/>
    <w:tmpl w:val="F38AA19E"/>
    <w:lvl w:ilvl="0" w:tplc="9F7A7FEA">
      <w:start w:val="1"/>
      <w:numFmt w:val="lowerLetter"/>
      <w:lvlText w:val="%1)"/>
      <w:lvlJc w:val="left"/>
      <w:pPr>
        <w:tabs>
          <w:tab w:val="num" w:pos="720"/>
        </w:tabs>
        <w:ind w:left="720" w:hanging="360"/>
      </w:pPr>
    </w:lvl>
    <w:lvl w:ilvl="1" w:tplc="DA044D08">
      <w:start w:val="1"/>
      <w:numFmt w:val="lowerLetter"/>
      <w:lvlText w:val="%2)"/>
      <w:lvlJc w:val="left"/>
      <w:pPr>
        <w:tabs>
          <w:tab w:val="num" w:pos="1440"/>
        </w:tabs>
        <w:ind w:left="1440" w:hanging="360"/>
      </w:pPr>
    </w:lvl>
    <w:lvl w:ilvl="2" w:tplc="AF56F1F6" w:tentative="1">
      <w:start w:val="1"/>
      <w:numFmt w:val="lowerLetter"/>
      <w:lvlText w:val="%3)"/>
      <w:lvlJc w:val="left"/>
      <w:pPr>
        <w:tabs>
          <w:tab w:val="num" w:pos="2160"/>
        </w:tabs>
        <w:ind w:left="2160" w:hanging="360"/>
      </w:pPr>
    </w:lvl>
    <w:lvl w:ilvl="3" w:tplc="F84E918C" w:tentative="1">
      <w:start w:val="1"/>
      <w:numFmt w:val="lowerLetter"/>
      <w:lvlText w:val="%4)"/>
      <w:lvlJc w:val="left"/>
      <w:pPr>
        <w:tabs>
          <w:tab w:val="num" w:pos="2880"/>
        </w:tabs>
        <w:ind w:left="2880" w:hanging="360"/>
      </w:pPr>
    </w:lvl>
    <w:lvl w:ilvl="4" w:tplc="12C8C6CC" w:tentative="1">
      <w:start w:val="1"/>
      <w:numFmt w:val="lowerLetter"/>
      <w:lvlText w:val="%5)"/>
      <w:lvlJc w:val="left"/>
      <w:pPr>
        <w:tabs>
          <w:tab w:val="num" w:pos="3600"/>
        </w:tabs>
        <w:ind w:left="3600" w:hanging="360"/>
      </w:pPr>
    </w:lvl>
    <w:lvl w:ilvl="5" w:tplc="3064D26E" w:tentative="1">
      <w:start w:val="1"/>
      <w:numFmt w:val="lowerLetter"/>
      <w:lvlText w:val="%6)"/>
      <w:lvlJc w:val="left"/>
      <w:pPr>
        <w:tabs>
          <w:tab w:val="num" w:pos="4320"/>
        </w:tabs>
        <w:ind w:left="4320" w:hanging="360"/>
      </w:pPr>
    </w:lvl>
    <w:lvl w:ilvl="6" w:tplc="57863F2A" w:tentative="1">
      <w:start w:val="1"/>
      <w:numFmt w:val="lowerLetter"/>
      <w:lvlText w:val="%7)"/>
      <w:lvlJc w:val="left"/>
      <w:pPr>
        <w:tabs>
          <w:tab w:val="num" w:pos="5040"/>
        </w:tabs>
        <w:ind w:left="5040" w:hanging="360"/>
      </w:pPr>
    </w:lvl>
    <w:lvl w:ilvl="7" w:tplc="944CC134" w:tentative="1">
      <w:start w:val="1"/>
      <w:numFmt w:val="lowerLetter"/>
      <w:lvlText w:val="%8)"/>
      <w:lvlJc w:val="left"/>
      <w:pPr>
        <w:tabs>
          <w:tab w:val="num" w:pos="5760"/>
        </w:tabs>
        <w:ind w:left="5760" w:hanging="360"/>
      </w:pPr>
    </w:lvl>
    <w:lvl w:ilvl="8" w:tplc="9DE84184" w:tentative="1">
      <w:start w:val="1"/>
      <w:numFmt w:val="lowerLetter"/>
      <w:lvlText w:val="%9)"/>
      <w:lvlJc w:val="left"/>
      <w:pPr>
        <w:tabs>
          <w:tab w:val="num" w:pos="6480"/>
        </w:tabs>
        <w:ind w:left="6480" w:hanging="360"/>
      </w:pPr>
    </w:lvl>
  </w:abstractNum>
  <w:abstractNum w:abstractNumId="35" w15:restartNumberingAfterBreak="0">
    <w:nsid w:val="47CD5604"/>
    <w:multiLevelType w:val="hybridMultilevel"/>
    <w:tmpl w:val="21D2D228"/>
    <w:lvl w:ilvl="0" w:tplc="C8E8F32C">
      <w:start w:val="1"/>
      <w:numFmt w:val="bullet"/>
      <w:lvlText w:val="•"/>
      <w:lvlJc w:val="left"/>
      <w:pPr>
        <w:tabs>
          <w:tab w:val="num" w:pos="720"/>
        </w:tabs>
        <w:ind w:left="720" w:hanging="360"/>
      </w:pPr>
      <w:rPr>
        <w:rFonts w:ascii="Arial" w:hAnsi="Arial" w:hint="default"/>
      </w:rPr>
    </w:lvl>
    <w:lvl w:ilvl="1" w:tplc="A588DC92" w:tentative="1">
      <w:start w:val="1"/>
      <w:numFmt w:val="bullet"/>
      <w:lvlText w:val="•"/>
      <w:lvlJc w:val="left"/>
      <w:pPr>
        <w:tabs>
          <w:tab w:val="num" w:pos="1440"/>
        </w:tabs>
        <w:ind w:left="1440" w:hanging="360"/>
      </w:pPr>
      <w:rPr>
        <w:rFonts w:ascii="Arial" w:hAnsi="Arial" w:hint="default"/>
      </w:rPr>
    </w:lvl>
    <w:lvl w:ilvl="2" w:tplc="8334E66C" w:tentative="1">
      <w:start w:val="1"/>
      <w:numFmt w:val="bullet"/>
      <w:lvlText w:val="•"/>
      <w:lvlJc w:val="left"/>
      <w:pPr>
        <w:tabs>
          <w:tab w:val="num" w:pos="2160"/>
        </w:tabs>
        <w:ind w:left="2160" w:hanging="360"/>
      </w:pPr>
      <w:rPr>
        <w:rFonts w:ascii="Arial" w:hAnsi="Arial" w:hint="default"/>
      </w:rPr>
    </w:lvl>
    <w:lvl w:ilvl="3" w:tplc="3CE4884E" w:tentative="1">
      <w:start w:val="1"/>
      <w:numFmt w:val="bullet"/>
      <w:lvlText w:val="•"/>
      <w:lvlJc w:val="left"/>
      <w:pPr>
        <w:tabs>
          <w:tab w:val="num" w:pos="2880"/>
        </w:tabs>
        <w:ind w:left="2880" w:hanging="360"/>
      </w:pPr>
      <w:rPr>
        <w:rFonts w:ascii="Arial" w:hAnsi="Arial" w:hint="default"/>
      </w:rPr>
    </w:lvl>
    <w:lvl w:ilvl="4" w:tplc="BCAC8D00" w:tentative="1">
      <w:start w:val="1"/>
      <w:numFmt w:val="bullet"/>
      <w:lvlText w:val="•"/>
      <w:lvlJc w:val="left"/>
      <w:pPr>
        <w:tabs>
          <w:tab w:val="num" w:pos="3600"/>
        </w:tabs>
        <w:ind w:left="3600" w:hanging="360"/>
      </w:pPr>
      <w:rPr>
        <w:rFonts w:ascii="Arial" w:hAnsi="Arial" w:hint="default"/>
      </w:rPr>
    </w:lvl>
    <w:lvl w:ilvl="5" w:tplc="B484C2BC" w:tentative="1">
      <w:start w:val="1"/>
      <w:numFmt w:val="bullet"/>
      <w:lvlText w:val="•"/>
      <w:lvlJc w:val="left"/>
      <w:pPr>
        <w:tabs>
          <w:tab w:val="num" w:pos="4320"/>
        </w:tabs>
        <w:ind w:left="4320" w:hanging="360"/>
      </w:pPr>
      <w:rPr>
        <w:rFonts w:ascii="Arial" w:hAnsi="Arial" w:hint="default"/>
      </w:rPr>
    </w:lvl>
    <w:lvl w:ilvl="6" w:tplc="438CB604" w:tentative="1">
      <w:start w:val="1"/>
      <w:numFmt w:val="bullet"/>
      <w:lvlText w:val="•"/>
      <w:lvlJc w:val="left"/>
      <w:pPr>
        <w:tabs>
          <w:tab w:val="num" w:pos="5040"/>
        </w:tabs>
        <w:ind w:left="5040" w:hanging="360"/>
      </w:pPr>
      <w:rPr>
        <w:rFonts w:ascii="Arial" w:hAnsi="Arial" w:hint="default"/>
      </w:rPr>
    </w:lvl>
    <w:lvl w:ilvl="7" w:tplc="57DAB43C" w:tentative="1">
      <w:start w:val="1"/>
      <w:numFmt w:val="bullet"/>
      <w:lvlText w:val="•"/>
      <w:lvlJc w:val="left"/>
      <w:pPr>
        <w:tabs>
          <w:tab w:val="num" w:pos="5760"/>
        </w:tabs>
        <w:ind w:left="5760" w:hanging="360"/>
      </w:pPr>
      <w:rPr>
        <w:rFonts w:ascii="Arial" w:hAnsi="Arial" w:hint="default"/>
      </w:rPr>
    </w:lvl>
    <w:lvl w:ilvl="8" w:tplc="FE7A1ED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C1F0694"/>
    <w:multiLevelType w:val="hybridMultilevel"/>
    <w:tmpl w:val="2A264EE6"/>
    <w:lvl w:ilvl="0" w:tplc="1E32CE46">
      <w:start w:val="1"/>
      <w:numFmt w:val="decimal"/>
      <w:lvlText w:val="%1."/>
      <w:lvlJc w:val="left"/>
      <w:pPr>
        <w:tabs>
          <w:tab w:val="num" w:pos="720"/>
        </w:tabs>
        <w:ind w:left="720" w:hanging="360"/>
      </w:pPr>
    </w:lvl>
    <w:lvl w:ilvl="1" w:tplc="DED08D6A" w:tentative="1">
      <w:start w:val="1"/>
      <w:numFmt w:val="decimal"/>
      <w:lvlText w:val="%2."/>
      <w:lvlJc w:val="left"/>
      <w:pPr>
        <w:tabs>
          <w:tab w:val="num" w:pos="1440"/>
        </w:tabs>
        <w:ind w:left="1440" w:hanging="360"/>
      </w:pPr>
    </w:lvl>
    <w:lvl w:ilvl="2" w:tplc="B296B22E" w:tentative="1">
      <w:start w:val="1"/>
      <w:numFmt w:val="decimal"/>
      <w:lvlText w:val="%3."/>
      <w:lvlJc w:val="left"/>
      <w:pPr>
        <w:tabs>
          <w:tab w:val="num" w:pos="2160"/>
        </w:tabs>
        <w:ind w:left="2160" w:hanging="360"/>
      </w:pPr>
    </w:lvl>
    <w:lvl w:ilvl="3" w:tplc="1A2C6164" w:tentative="1">
      <w:start w:val="1"/>
      <w:numFmt w:val="decimal"/>
      <w:lvlText w:val="%4."/>
      <w:lvlJc w:val="left"/>
      <w:pPr>
        <w:tabs>
          <w:tab w:val="num" w:pos="2880"/>
        </w:tabs>
        <w:ind w:left="2880" w:hanging="360"/>
      </w:pPr>
    </w:lvl>
    <w:lvl w:ilvl="4" w:tplc="A06E2F76" w:tentative="1">
      <w:start w:val="1"/>
      <w:numFmt w:val="decimal"/>
      <w:lvlText w:val="%5."/>
      <w:lvlJc w:val="left"/>
      <w:pPr>
        <w:tabs>
          <w:tab w:val="num" w:pos="3600"/>
        </w:tabs>
        <w:ind w:left="3600" w:hanging="360"/>
      </w:pPr>
    </w:lvl>
    <w:lvl w:ilvl="5" w:tplc="36D016B0" w:tentative="1">
      <w:start w:val="1"/>
      <w:numFmt w:val="decimal"/>
      <w:lvlText w:val="%6."/>
      <w:lvlJc w:val="left"/>
      <w:pPr>
        <w:tabs>
          <w:tab w:val="num" w:pos="4320"/>
        </w:tabs>
        <w:ind w:left="4320" w:hanging="360"/>
      </w:pPr>
    </w:lvl>
    <w:lvl w:ilvl="6" w:tplc="C8DC25EA" w:tentative="1">
      <w:start w:val="1"/>
      <w:numFmt w:val="decimal"/>
      <w:lvlText w:val="%7."/>
      <w:lvlJc w:val="left"/>
      <w:pPr>
        <w:tabs>
          <w:tab w:val="num" w:pos="5040"/>
        </w:tabs>
        <w:ind w:left="5040" w:hanging="360"/>
      </w:pPr>
    </w:lvl>
    <w:lvl w:ilvl="7" w:tplc="E7008CE0" w:tentative="1">
      <w:start w:val="1"/>
      <w:numFmt w:val="decimal"/>
      <w:lvlText w:val="%8."/>
      <w:lvlJc w:val="left"/>
      <w:pPr>
        <w:tabs>
          <w:tab w:val="num" w:pos="5760"/>
        </w:tabs>
        <w:ind w:left="5760" w:hanging="360"/>
      </w:pPr>
    </w:lvl>
    <w:lvl w:ilvl="8" w:tplc="DE1EE624" w:tentative="1">
      <w:start w:val="1"/>
      <w:numFmt w:val="decimal"/>
      <w:lvlText w:val="%9."/>
      <w:lvlJc w:val="left"/>
      <w:pPr>
        <w:tabs>
          <w:tab w:val="num" w:pos="6480"/>
        </w:tabs>
        <w:ind w:left="6480" w:hanging="360"/>
      </w:pPr>
    </w:lvl>
  </w:abstractNum>
  <w:abstractNum w:abstractNumId="37" w15:restartNumberingAfterBreak="0">
    <w:nsid w:val="4C3310BA"/>
    <w:multiLevelType w:val="hybridMultilevel"/>
    <w:tmpl w:val="D5FCB208"/>
    <w:lvl w:ilvl="0" w:tplc="7892E48A">
      <w:start w:val="1"/>
      <w:numFmt w:val="bullet"/>
      <w:lvlText w:val=""/>
      <w:lvlJc w:val="left"/>
      <w:pPr>
        <w:tabs>
          <w:tab w:val="num" w:pos="360"/>
        </w:tabs>
        <w:ind w:left="360" w:hanging="360"/>
      </w:pPr>
      <w:rPr>
        <w:rFonts w:ascii="Symbol" w:hAnsi="Symbol" w:hint="default"/>
      </w:rPr>
    </w:lvl>
    <w:lvl w:ilvl="1" w:tplc="02D6457A">
      <w:numFmt w:val="bullet"/>
      <w:lvlText w:val=""/>
      <w:lvlJc w:val="left"/>
      <w:pPr>
        <w:tabs>
          <w:tab w:val="num" w:pos="1080"/>
        </w:tabs>
        <w:ind w:left="1080" w:hanging="360"/>
      </w:pPr>
      <w:rPr>
        <w:rFonts w:ascii="Symbol" w:hAnsi="Symbol" w:hint="default"/>
      </w:rPr>
    </w:lvl>
    <w:lvl w:ilvl="2" w:tplc="CDBE7654" w:tentative="1">
      <w:start w:val="1"/>
      <w:numFmt w:val="bullet"/>
      <w:lvlText w:val=""/>
      <w:lvlJc w:val="left"/>
      <w:pPr>
        <w:tabs>
          <w:tab w:val="num" w:pos="1800"/>
        </w:tabs>
        <w:ind w:left="1800" w:hanging="360"/>
      </w:pPr>
      <w:rPr>
        <w:rFonts w:ascii="Symbol" w:hAnsi="Symbol" w:hint="default"/>
      </w:rPr>
    </w:lvl>
    <w:lvl w:ilvl="3" w:tplc="F8020BB4" w:tentative="1">
      <w:start w:val="1"/>
      <w:numFmt w:val="bullet"/>
      <w:lvlText w:val=""/>
      <w:lvlJc w:val="left"/>
      <w:pPr>
        <w:tabs>
          <w:tab w:val="num" w:pos="2520"/>
        </w:tabs>
        <w:ind w:left="2520" w:hanging="360"/>
      </w:pPr>
      <w:rPr>
        <w:rFonts w:ascii="Symbol" w:hAnsi="Symbol" w:hint="default"/>
      </w:rPr>
    </w:lvl>
    <w:lvl w:ilvl="4" w:tplc="7A5CC2C2" w:tentative="1">
      <w:start w:val="1"/>
      <w:numFmt w:val="bullet"/>
      <w:lvlText w:val=""/>
      <w:lvlJc w:val="left"/>
      <w:pPr>
        <w:tabs>
          <w:tab w:val="num" w:pos="3240"/>
        </w:tabs>
        <w:ind w:left="3240" w:hanging="360"/>
      </w:pPr>
      <w:rPr>
        <w:rFonts w:ascii="Symbol" w:hAnsi="Symbol" w:hint="default"/>
      </w:rPr>
    </w:lvl>
    <w:lvl w:ilvl="5" w:tplc="1CB838C2" w:tentative="1">
      <w:start w:val="1"/>
      <w:numFmt w:val="bullet"/>
      <w:lvlText w:val=""/>
      <w:lvlJc w:val="left"/>
      <w:pPr>
        <w:tabs>
          <w:tab w:val="num" w:pos="3960"/>
        </w:tabs>
        <w:ind w:left="3960" w:hanging="360"/>
      </w:pPr>
      <w:rPr>
        <w:rFonts w:ascii="Symbol" w:hAnsi="Symbol" w:hint="default"/>
      </w:rPr>
    </w:lvl>
    <w:lvl w:ilvl="6" w:tplc="CB06595E" w:tentative="1">
      <w:start w:val="1"/>
      <w:numFmt w:val="bullet"/>
      <w:lvlText w:val=""/>
      <w:lvlJc w:val="left"/>
      <w:pPr>
        <w:tabs>
          <w:tab w:val="num" w:pos="4680"/>
        </w:tabs>
        <w:ind w:left="4680" w:hanging="360"/>
      </w:pPr>
      <w:rPr>
        <w:rFonts w:ascii="Symbol" w:hAnsi="Symbol" w:hint="default"/>
      </w:rPr>
    </w:lvl>
    <w:lvl w:ilvl="7" w:tplc="FCD62766" w:tentative="1">
      <w:start w:val="1"/>
      <w:numFmt w:val="bullet"/>
      <w:lvlText w:val=""/>
      <w:lvlJc w:val="left"/>
      <w:pPr>
        <w:tabs>
          <w:tab w:val="num" w:pos="5400"/>
        </w:tabs>
        <w:ind w:left="5400" w:hanging="360"/>
      </w:pPr>
      <w:rPr>
        <w:rFonts w:ascii="Symbol" w:hAnsi="Symbol" w:hint="default"/>
      </w:rPr>
    </w:lvl>
    <w:lvl w:ilvl="8" w:tplc="C81453EC" w:tentative="1">
      <w:start w:val="1"/>
      <w:numFmt w:val="bullet"/>
      <w:lvlText w:val=""/>
      <w:lvlJc w:val="left"/>
      <w:pPr>
        <w:tabs>
          <w:tab w:val="num" w:pos="6120"/>
        </w:tabs>
        <w:ind w:left="6120" w:hanging="360"/>
      </w:pPr>
      <w:rPr>
        <w:rFonts w:ascii="Symbol" w:hAnsi="Symbol" w:hint="default"/>
      </w:rPr>
    </w:lvl>
  </w:abstractNum>
  <w:abstractNum w:abstractNumId="38" w15:restartNumberingAfterBreak="0">
    <w:nsid w:val="4C9779D1"/>
    <w:multiLevelType w:val="hybridMultilevel"/>
    <w:tmpl w:val="4F28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62772C"/>
    <w:multiLevelType w:val="hybridMultilevel"/>
    <w:tmpl w:val="2C229C88"/>
    <w:lvl w:ilvl="0" w:tplc="9B1277CA">
      <w:start w:val="1"/>
      <w:numFmt w:val="bullet"/>
      <w:lvlText w:val="•"/>
      <w:lvlJc w:val="left"/>
      <w:pPr>
        <w:tabs>
          <w:tab w:val="num" w:pos="720"/>
        </w:tabs>
        <w:ind w:left="720" w:hanging="360"/>
      </w:pPr>
      <w:rPr>
        <w:rFonts w:ascii="Arial" w:hAnsi="Arial" w:hint="default"/>
      </w:rPr>
    </w:lvl>
    <w:lvl w:ilvl="1" w:tplc="1D3A8F2A" w:tentative="1">
      <w:start w:val="1"/>
      <w:numFmt w:val="bullet"/>
      <w:lvlText w:val="•"/>
      <w:lvlJc w:val="left"/>
      <w:pPr>
        <w:tabs>
          <w:tab w:val="num" w:pos="1440"/>
        </w:tabs>
        <w:ind w:left="1440" w:hanging="360"/>
      </w:pPr>
      <w:rPr>
        <w:rFonts w:ascii="Arial" w:hAnsi="Arial" w:hint="default"/>
      </w:rPr>
    </w:lvl>
    <w:lvl w:ilvl="2" w:tplc="D26C205E" w:tentative="1">
      <w:start w:val="1"/>
      <w:numFmt w:val="bullet"/>
      <w:lvlText w:val="•"/>
      <w:lvlJc w:val="left"/>
      <w:pPr>
        <w:tabs>
          <w:tab w:val="num" w:pos="2160"/>
        </w:tabs>
        <w:ind w:left="2160" w:hanging="360"/>
      </w:pPr>
      <w:rPr>
        <w:rFonts w:ascii="Arial" w:hAnsi="Arial" w:hint="default"/>
      </w:rPr>
    </w:lvl>
    <w:lvl w:ilvl="3" w:tplc="22D6C32E" w:tentative="1">
      <w:start w:val="1"/>
      <w:numFmt w:val="bullet"/>
      <w:lvlText w:val="•"/>
      <w:lvlJc w:val="left"/>
      <w:pPr>
        <w:tabs>
          <w:tab w:val="num" w:pos="2880"/>
        </w:tabs>
        <w:ind w:left="2880" w:hanging="360"/>
      </w:pPr>
      <w:rPr>
        <w:rFonts w:ascii="Arial" w:hAnsi="Arial" w:hint="default"/>
      </w:rPr>
    </w:lvl>
    <w:lvl w:ilvl="4" w:tplc="74E29F2C" w:tentative="1">
      <w:start w:val="1"/>
      <w:numFmt w:val="bullet"/>
      <w:lvlText w:val="•"/>
      <w:lvlJc w:val="left"/>
      <w:pPr>
        <w:tabs>
          <w:tab w:val="num" w:pos="3600"/>
        </w:tabs>
        <w:ind w:left="3600" w:hanging="360"/>
      </w:pPr>
      <w:rPr>
        <w:rFonts w:ascii="Arial" w:hAnsi="Arial" w:hint="default"/>
      </w:rPr>
    </w:lvl>
    <w:lvl w:ilvl="5" w:tplc="FC54E528" w:tentative="1">
      <w:start w:val="1"/>
      <w:numFmt w:val="bullet"/>
      <w:lvlText w:val="•"/>
      <w:lvlJc w:val="left"/>
      <w:pPr>
        <w:tabs>
          <w:tab w:val="num" w:pos="4320"/>
        </w:tabs>
        <w:ind w:left="4320" w:hanging="360"/>
      </w:pPr>
      <w:rPr>
        <w:rFonts w:ascii="Arial" w:hAnsi="Arial" w:hint="default"/>
      </w:rPr>
    </w:lvl>
    <w:lvl w:ilvl="6" w:tplc="DF80AFDA" w:tentative="1">
      <w:start w:val="1"/>
      <w:numFmt w:val="bullet"/>
      <w:lvlText w:val="•"/>
      <w:lvlJc w:val="left"/>
      <w:pPr>
        <w:tabs>
          <w:tab w:val="num" w:pos="5040"/>
        </w:tabs>
        <w:ind w:left="5040" w:hanging="360"/>
      </w:pPr>
      <w:rPr>
        <w:rFonts w:ascii="Arial" w:hAnsi="Arial" w:hint="default"/>
      </w:rPr>
    </w:lvl>
    <w:lvl w:ilvl="7" w:tplc="F5B265FE" w:tentative="1">
      <w:start w:val="1"/>
      <w:numFmt w:val="bullet"/>
      <w:lvlText w:val="•"/>
      <w:lvlJc w:val="left"/>
      <w:pPr>
        <w:tabs>
          <w:tab w:val="num" w:pos="5760"/>
        </w:tabs>
        <w:ind w:left="5760" w:hanging="360"/>
      </w:pPr>
      <w:rPr>
        <w:rFonts w:ascii="Arial" w:hAnsi="Arial" w:hint="default"/>
      </w:rPr>
    </w:lvl>
    <w:lvl w:ilvl="8" w:tplc="1F7E6BC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2F5562E"/>
    <w:multiLevelType w:val="multilevel"/>
    <w:tmpl w:val="A23096EE"/>
    <w:name w:val="oc_Num_4th"/>
    <w:lvl w:ilvl="0">
      <w:start w:val="1"/>
      <w:numFmt w:val="none"/>
      <w:pStyle w:val="ocNum4th1"/>
      <w:suff w:val="nothing"/>
      <w:lvlText w:val=""/>
      <w:lvlJc w:val="left"/>
      <w:pPr>
        <w:ind w:left="0" w:firstLine="0"/>
      </w:pPr>
      <w:rPr>
        <w:rFonts w:ascii="Times New Roman" w:hAnsi="Times New Roman" w:cs="Times New Roman" w:hint="default"/>
        <w:b w:val="0"/>
        <w:i w:val="0"/>
        <w:caps w:val="0"/>
        <w:strike w:val="0"/>
        <w:dstrike w:val="0"/>
        <w:vanish w:val="0"/>
        <w:color w:val="auto"/>
        <w:sz w:val="18"/>
        <w:u w:val="none"/>
        <w:effect w:val="none"/>
        <w:vertAlign w:val="baseline"/>
      </w:rPr>
    </w:lvl>
    <w:lvl w:ilvl="1">
      <w:start w:val="1"/>
      <w:numFmt w:val="decimal"/>
      <w:pStyle w:val="ocNum4th2"/>
      <w:lvlText w:val="%2."/>
      <w:lvlJc w:val="left"/>
      <w:pPr>
        <w:tabs>
          <w:tab w:val="num" w:pos="680"/>
        </w:tabs>
        <w:ind w:left="680" w:hanging="680"/>
      </w:pPr>
      <w:rPr>
        <w:rFonts w:ascii="Times New Roman" w:hAnsi="Times New Roman" w:cs="Times New Roman" w:hint="default"/>
        <w:b w:val="0"/>
        <w:i w:val="0"/>
        <w:caps w:val="0"/>
        <w:strike w:val="0"/>
        <w:dstrike w:val="0"/>
        <w:vanish w:val="0"/>
        <w:color w:val="auto"/>
        <w:sz w:val="18"/>
        <w:u w:val="none"/>
        <w:effect w:val="none"/>
        <w:vertAlign w:val="baseline"/>
      </w:rPr>
    </w:lvl>
    <w:lvl w:ilvl="2">
      <w:start w:val="1"/>
      <w:numFmt w:val="decimal"/>
      <w:pStyle w:val="ocNum4th3"/>
      <w:isLgl/>
      <w:lvlText w:val="%2.%3"/>
      <w:lvlJc w:val="left"/>
      <w:pPr>
        <w:tabs>
          <w:tab w:val="num" w:pos="680"/>
        </w:tabs>
        <w:ind w:left="680" w:hanging="680"/>
      </w:pPr>
      <w:rPr>
        <w:rFonts w:ascii="Times New Roman" w:hAnsi="Times New Roman" w:cs="Times New Roman" w:hint="default"/>
        <w:b w:val="0"/>
        <w:i w:val="0"/>
        <w:caps w:val="0"/>
        <w:strike w:val="0"/>
        <w:dstrike w:val="0"/>
        <w:vanish w:val="0"/>
        <w:color w:val="auto"/>
        <w:sz w:val="18"/>
        <w:u w:val="none"/>
        <w:effect w:val="none"/>
        <w:vertAlign w:val="baseline"/>
      </w:rPr>
    </w:lvl>
    <w:lvl w:ilvl="3">
      <w:start w:val="1"/>
      <w:numFmt w:val="none"/>
      <w:pStyle w:val="ocNum4th4"/>
      <w:suff w:val="nothing"/>
      <w:lvlText w:val=""/>
      <w:lvlJc w:val="left"/>
      <w:pPr>
        <w:ind w:left="680" w:firstLine="0"/>
      </w:pPr>
      <w:rPr>
        <w:rFonts w:ascii="Times New Roman" w:hAnsi="Times New Roman" w:cs="Times New Roman" w:hint="default"/>
        <w:b w:val="0"/>
        <w:i w:val="0"/>
        <w:caps w:val="0"/>
        <w:strike w:val="0"/>
        <w:dstrike w:val="0"/>
        <w:vanish w:val="0"/>
        <w:color w:val="auto"/>
        <w:sz w:val="18"/>
        <w:u w:val="none"/>
        <w:effect w:val="none"/>
        <w:vertAlign w:val="baseline"/>
      </w:rPr>
    </w:lvl>
    <w:lvl w:ilvl="4">
      <w:start w:val="1"/>
      <w:numFmt w:val="lowerLetter"/>
      <w:pStyle w:val="ocNum4th5"/>
      <w:lvlText w:val="(%5)"/>
      <w:lvlJc w:val="left"/>
      <w:pPr>
        <w:tabs>
          <w:tab w:val="num" w:pos="1361"/>
        </w:tabs>
        <w:ind w:left="1361" w:hanging="681"/>
      </w:pPr>
      <w:rPr>
        <w:rFonts w:ascii="Times New Roman" w:hAnsi="Times New Roman" w:cs="Times New Roman" w:hint="default"/>
        <w:b w:val="0"/>
        <w:i w:val="0"/>
        <w:caps w:val="0"/>
        <w:strike w:val="0"/>
        <w:dstrike w:val="0"/>
        <w:vanish w:val="0"/>
        <w:color w:val="auto"/>
        <w:sz w:val="18"/>
        <w:u w:val="none"/>
        <w:effect w:val="none"/>
        <w:vertAlign w:val="baseline"/>
      </w:rPr>
    </w:lvl>
    <w:lvl w:ilvl="5">
      <w:start w:val="1"/>
      <w:numFmt w:val="lowerRoman"/>
      <w:pStyle w:val="ocNum4th6"/>
      <w:lvlText w:val="(%6)"/>
      <w:lvlJc w:val="left"/>
      <w:pPr>
        <w:tabs>
          <w:tab w:val="num" w:pos="2041"/>
        </w:tabs>
        <w:ind w:left="2041" w:hanging="680"/>
      </w:pPr>
      <w:rPr>
        <w:rFonts w:ascii="Times New Roman" w:hAnsi="Times New Roman" w:cs="Times New Roman" w:hint="default"/>
        <w:b w:val="0"/>
        <w:i w:val="0"/>
        <w:caps w:val="0"/>
        <w:strike w:val="0"/>
        <w:dstrike w:val="0"/>
        <w:vanish w:val="0"/>
        <w:color w:val="auto"/>
        <w:sz w:val="18"/>
        <w:u w:val="none"/>
        <w:effect w:val="none"/>
        <w:vertAlign w:val="baseline"/>
      </w:rPr>
    </w:lvl>
    <w:lvl w:ilvl="6">
      <w:start w:val="1"/>
      <w:numFmt w:val="upperLetter"/>
      <w:pStyle w:val="ocNum4th7"/>
      <w:lvlText w:val="(%7)"/>
      <w:lvlJc w:val="left"/>
      <w:pPr>
        <w:tabs>
          <w:tab w:val="num" w:pos="2722"/>
        </w:tabs>
        <w:ind w:left="2722" w:hanging="681"/>
      </w:pPr>
      <w:rPr>
        <w:rFonts w:ascii="Times New Roman" w:hAnsi="Times New Roman" w:cs="Times New Roman" w:hint="default"/>
        <w:b w:val="0"/>
        <w:i w:val="0"/>
        <w:caps w:val="0"/>
        <w:strike w:val="0"/>
        <w:dstrike w:val="0"/>
        <w:vanish w:val="0"/>
        <w:color w:val="auto"/>
        <w:sz w:val="18"/>
        <w:u w:val="none"/>
        <w:effect w:val="none"/>
        <w:vertAlign w:val="baseline"/>
      </w:rPr>
    </w:lvl>
    <w:lvl w:ilvl="7">
      <w:start w:val="1"/>
      <w:numFmt w:val="decimal"/>
      <w:pStyle w:val="ocNum4th8"/>
      <w:lvlText w:val="(%8)"/>
      <w:lvlJc w:val="left"/>
      <w:pPr>
        <w:tabs>
          <w:tab w:val="num" w:pos="3402"/>
        </w:tabs>
        <w:ind w:left="3402" w:hanging="680"/>
      </w:pPr>
      <w:rPr>
        <w:rFonts w:ascii="Times New Roman" w:hAnsi="Times New Roman" w:cs="Times New Roman" w:hint="default"/>
        <w:b w:val="0"/>
        <w:i w:val="0"/>
        <w:caps w:val="0"/>
        <w:strike w:val="0"/>
        <w:dstrike w:val="0"/>
        <w:vanish w:val="0"/>
        <w:color w:val="auto"/>
        <w:sz w:val="20"/>
        <w:u w:val="none"/>
        <w:effect w:val="none"/>
        <w:vertAlign w:val="baseline"/>
      </w:rPr>
    </w:lvl>
    <w:lvl w:ilvl="8">
      <w:start w:val="1"/>
      <w:numFmt w:val="none"/>
      <w:pStyle w:val="ocNum4th9"/>
      <w:suff w:val="nothing"/>
      <w:lvlText w:val=""/>
      <w:lvlJc w:val="left"/>
      <w:pPr>
        <w:ind w:left="0" w:firstLine="0"/>
      </w:pPr>
      <w:rPr>
        <w:rFonts w:ascii="Times New Roman" w:hAnsi="Times New Roman" w:cs="Times New Roman" w:hint="default"/>
        <w:b w:val="0"/>
        <w:i w:val="0"/>
        <w:caps w:val="0"/>
        <w:strike w:val="0"/>
        <w:dstrike w:val="0"/>
        <w:vanish w:val="0"/>
        <w:color w:val="auto"/>
        <w:sz w:val="20"/>
        <w:u w:val="none"/>
        <w:effect w:val="none"/>
        <w:vertAlign w:val="baseline"/>
      </w:rPr>
    </w:lvl>
  </w:abstractNum>
  <w:abstractNum w:abstractNumId="41" w15:restartNumberingAfterBreak="0">
    <w:nsid w:val="58551046"/>
    <w:multiLevelType w:val="hybridMultilevel"/>
    <w:tmpl w:val="5C1AE796"/>
    <w:lvl w:ilvl="0" w:tplc="9B7C48EA">
      <w:start w:val="1"/>
      <w:numFmt w:val="lowerRoman"/>
      <w:lvlText w:val="(%1)"/>
      <w:lvlJc w:val="left"/>
      <w:pPr>
        <w:ind w:left="1287" w:hanging="720"/>
      </w:pPr>
      <w:rPr>
        <w:rFonts w:asciiTheme="minorHAnsi" w:eastAsia="Times New Roman" w:hAnsiTheme="minorHAnsi" w:cs="Arial"/>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58A87590"/>
    <w:multiLevelType w:val="hybridMultilevel"/>
    <w:tmpl w:val="F0F6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B91CCE"/>
    <w:multiLevelType w:val="hybridMultilevel"/>
    <w:tmpl w:val="A7C23A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8152BC"/>
    <w:multiLevelType w:val="hybridMultilevel"/>
    <w:tmpl w:val="676C2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FD3D35"/>
    <w:multiLevelType w:val="hybridMultilevel"/>
    <w:tmpl w:val="8FECDDD6"/>
    <w:lvl w:ilvl="0" w:tplc="D7F68140">
      <w:start w:val="3"/>
      <w:numFmt w:val="decimal"/>
      <w:lvlText w:val="%1."/>
      <w:lvlJc w:val="left"/>
      <w:pPr>
        <w:tabs>
          <w:tab w:val="num" w:pos="720"/>
        </w:tabs>
        <w:ind w:left="720" w:hanging="360"/>
      </w:pPr>
    </w:lvl>
    <w:lvl w:ilvl="1" w:tplc="15002902" w:tentative="1">
      <w:start w:val="1"/>
      <w:numFmt w:val="decimal"/>
      <w:lvlText w:val="%2."/>
      <w:lvlJc w:val="left"/>
      <w:pPr>
        <w:tabs>
          <w:tab w:val="num" w:pos="1440"/>
        </w:tabs>
        <w:ind w:left="1440" w:hanging="360"/>
      </w:pPr>
    </w:lvl>
    <w:lvl w:ilvl="2" w:tplc="77CE79A2" w:tentative="1">
      <w:start w:val="1"/>
      <w:numFmt w:val="decimal"/>
      <w:lvlText w:val="%3."/>
      <w:lvlJc w:val="left"/>
      <w:pPr>
        <w:tabs>
          <w:tab w:val="num" w:pos="2160"/>
        </w:tabs>
        <w:ind w:left="2160" w:hanging="360"/>
      </w:pPr>
    </w:lvl>
    <w:lvl w:ilvl="3" w:tplc="AC98C876" w:tentative="1">
      <w:start w:val="1"/>
      <w:numFmt w:val="decimal"/>
      <w:lvlText w:val="%4."/>
      <w:lvlJc w:val="left"/>
      <w:pPr>
        <w:tabs>
          <w:tab w:val="num" w:pos="2880"/>
        </w:tabs>
        <w:ind w:left="2880" w:hanging="360"/>
      </w:pPr>
    </w:lvl>
    <w:lvl w:ilvl="4" w:tplc="DA92C872" w:tentative="1">
      <w:start w:val="1"/>
      <w:numFmt w:val="decimal"/>
      <w:lvlText w:val="%5."/>
      <w:lvlJc w:val="left"/>
      <w:pPr>
        <w:tabs>
          <w:tab w:val="num" w:pos="3600"/>
        </w:tabs>
        <w:ind w:left="3600" w:hanging="360"/>
      </w:pPr>
    </w:lvl>
    <w:lvl w:ilvl="5" w:tplc="74FAF5E2" w:tentative="1">
      <w:start w:val="1"/>
      <w:numFmt w:val="decimal"/>
      <w:lvlText w:val="%6."/>
      <w:lvlJc w:val="left"/>
      <w:pPr>
        <w:tabs>
          <w:tab w:val="num" w:pos="4320"/>
        </w:tabs>
        <w:ind w:left="4320" w:hanging="360"/>
      </w:pPr>
    </w:lvl>
    <w:lvl w:ilvl="6" w:tplc="79ECEBA8" w:tentative="1">
      <w:start w:val="1"/>
      <w:numFmt w:val="decimal"/>
      <w:lvlText w:val="%7."/>
      <w:lvlJc w:val="left"/>
      <w:pPr>
        <w:tabs>
          <w:tab w:val="num" w:pos="5040"/>
        </w:tabs>
        <w:ind w:left="5040" w:hanging="360"/>
      </w:pPr>
    </w:lvl>
    <w:lvl w:ilvl="7" w:tplc="3D86BE5E" w:tentative="1">
      <w:start w:val="1"/>
      <w:numFmt w:val="decimal"/>
      <w:lvlText w:val="%8."/>
      <w:lvlJc w:val="left"/>
      <w:pPr>
        <w:tabs>
          <w:tab w:val="num" w:pos="5760"/>
        </w:tabs>
        <w:ind w:left="5760" w:hanging="360"/>
      </w:pPr>
    </w:lvl>
    <w:lvl w:ilvl="8" w:tplc="C0B68CD2" w:tentative="1">
      <w:start w:val="1"/>
      <w:numFmt w:val="decimal"/>
      <w:lvlText w:val="%9."/>
      <w:lvlJc w:val="left"/>
      <w:pPr>
        <w:tabs>
          <w:tab w:val="num" w:pos="6480"/>
        </w:tabs>
        <w:ind w:left="6480" w:hanging="360"/>
      </w:pPr>
    </w:lvl>
  </w:abstractNum>
  <w:abstractNum w:abstractNumId="46" w15:restartNumberingAfterBreak="0">
    <w:nsid w:val="68A3109D"/>
    <w:multiLevelType w:val="hybridMultilevel"/>
    <w:tmpl w:val="C296A2E8"/>
    <w:lvl w:ilvl="0" w:tplc="4C5257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8311D4"/>
    <w:multiLevelType w:val="hybridMultilevel"/>
    <w:tmpl w:val="5118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BC2F26"/>
    <w:multiLevelType w:val="hybridMultilevel"/>
    <w:tmpl w:val="1DF6CC28"/>
    <w:lvl w:ilvl="0" w:tplc="CDDE629E">
      <w:start w:val="1"/>
      <w:numFmt w:val="bullet"/>
      <w:lvlText w:val="•"/>
      <w:lvlJc w:val="left"/>
      <w:pPr>
        <w:tabs>
          <w:tab w:val="num" w:pos="720"/>
        </w:tabs>
        <w:ind w:left="720" w:hanging="360"/>
      </w:pPr>
      <w:rPr>
        <w:rFonts w:ascii="Arial" w:hAnsi="Arial" w:hint="default"/>
      </w:rPr>
    </w:lvl>
    <w:lvl w:ilvl="1" w:tplc="B06EDB06" w:tentative="1">
      <w:start w:val="1"/>
      <w:numFmt w:val="bullet"/>
      <w:lvlText w:val="•"/>
      <w:lvlJc w:val="left"/>
      <w:pPr>
        <w:tabs>
          <w:tab w:val="num" w:pos="1440"/>
        </w:tabs>
        <w:ind w:left="1440" w:hanging="360"/>
      </w:pPr>
      <w:rPr>
        <w:rFonts w:ascii="Arial" w:hAnsi="Arial" w:hint="default"/>
      </w:rPr>
    </w:lvl>
    <w:lvl w:ilvl="2" w:tplc="2392E526" w:tentative="1">
      <w:start w:val="1"/>
      <w:numFmt w:val="bullet"/>
      <w:lvlText w:val="•"/>
      <w:lvlJc w:val="left"/>
      <w:pPr>
        <w:tabs>
          <w:tab w:val="num" w:pos="2160"/>
        </w:tabs>
        <w:ind w:left="2160" w:hanging="360"/>
      </w:pPr>
      <w:rPr>
        <w:rFonts w:ascii="Arial" w:hAnsi="Arial" w:hint="default"/>
      </w:rPr>
    </w:lvl>
    <w:lvl w:ilvl="3" w:tplc="9AFC2F30" w:tentative="1">
      <w:start w:val="1"/>
      <w:numFmt w:val="bullet"/>
      <w:lvlText w:val="•"/>
      <w:lvlJc w:val="left"/>
      <w:pPr>
        <w:tabs>
          <w:tab w:val="num" w:pos="2880"/>
        </w:tabs>
        <w:ind w:left="2880" w:hanging="360"/>
      </w:pPr>
      <w:rPr>
        <w:rFonts w:ascii="Arial" w:hAnsi="Arial" w:hint="default"/>
      </w:rPr>
    </w:lvl>
    <w:lvl w:ilvl="4" w:tplc="D27C80EC" w:tentative="1">
      <w:start w:val="1"/>
      <w:numFmt w:val="bullet"/>
      <w:lvlText w:val="•"/>
      <w:lvlJc w:val="left"/>
      <w:pPr>
        <w:tabs>
          <w:tab w:val="num" w:pos="3600"/>
        </w:tabs>
        <w:ind w:left="3600" w:hanging="360"/>
      </w:pPr>
      <w:rPr>
        <w:rFonts w:ascii="Arial" w:hAnsi="Arial" w:hint="default"/>
      </w:rPr>
    </w:lvl>
    <w:lvl w:ilvl="5" w:tplc="765893F6" w:tentative="1">
      <w:start w:val="1"/>
      <w:numFmt w:val="bullet"/>
      <w:lvlText w:val="•"/>
      <w:lvlJc w:val="left"/>
      <w:pPr>
        <w:tabs>
          <w:tab w:val="num" w:pos="4320"/>
        </w:tabs>
        <w:ind w:left="4320" w:hanging="360"/>
      </w:pPr>
      <w:rPr>
        <w:rFonts w:ascii="Arial" w:hAnsi="Arial" w:hint="default"/>
      </w:rPr>
    </w:lvl>
    <w:lvl w:ilvl="6" w:tplc="D00E3822" w:tentative="1">
      <w:start w:val="1"/>
      <w:numFmt w:val="bullet"/>
      <w:lvlText w:val="•"/>
      <w:lvlJc w:val="left"/>
      <w:pPr>
        <w:tabs>
          <w:tab w:val="num" w:pos="5040"/>
        </w:tabs>
        <w:ind w:left="5040" w:hanging="360"/>
      </w:pPr>
      <w:rPr>
        <w:rFonts w:ascii="Arial" w:hAnsi="Arial" w:hint="default"/>
      </w:rPr>
    </w:lvl>
    <w:lvl w:ilvl="7" w:tplc="C99ACAF8" w:tentative="1">
      <w:start w:val="1"/>
      <w:numFmt w:val="bullet"/>
      <w:lvlText w:val="•"/>
      <w:lvlJc w:val="left"/>
      <w:pPr>
        <w:tabs>
          <w:tab w:val="num" w:pos="5760"/>
        </w:tabs>
        <w:ind w:left="5760" w:hanging="360"/>
      </w:pPr>
      <w:rPr>
        <w:rFonts w:ascii="Arial" w:hAnsi="Arial" w:hint="default"/>
      </w:rPr>
    </w:lvl>
    <w:lvl w:ilvl="8" w:tplc="3138846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D610286"/>
    <w:multiLevelType w:val="hybridMultilevel"/>
    <w:tmpl w:val="EB48B85C"/>
    <w:lvl w:ilvl="0" w:tplc="4E547D0C">
      <w:start w:val="1"/>
      <w:numFmt w:val="bullet"/>
      <w:lvlText w:val="•"/>
      <w:lvlJc w:val="left"/>
      <w:pPr>
        <w:tabs>
          <w:tab w:val="num" w:pos="720"/>
        </w:tabs>
        <w:ind w:left="720" w:hanging="360"/>
      </w:pPr>
      <w:rPr>
        <w:rFonts w:ascii="Arial" w:hAnsi="Arial" w:hint="default"/>
      </w:rPr>
    </w:lvl>
    <w:lvl w:ilvl="1" w:tplc="C1349D94" w:tentative="1">
      <w:start w:val="1"/>
      <w:numFmt w:val="bullet"/>
      <w:lvlText w:val="•"/>
      <w:lvlJc w:val="left"/>
      <w:pPr>
        <w:tabs>
          <w:tab w:val="num" w:pos="1440"/>
        </w:tabs>
        <w:ind w:left="1440" w:hanging="360"/>
      </w:pPr>
      <w:rPr>
        <w:rFonts w:ascii="Arial" w:hAnsi="Arial" w:hint="default"/>
      </w:rPr>
    </w:lvl>
    <w:lvl w:ilvl="2" w:tplc="DBA6F35C" w:tentative="1">
      <w:start w:val="1"/>
      <w:numFmt w:val="bullet"/>
      <w:lvlText w:val="•"/>
      <w:lvlJc w:val="left"/>
      <w:pPr>
        <w:tabs>
          <w:tab w:val="num" w:pos="2160"/>
        </w:tabs>
        <w:ind w:left="2160" w:hanging="360"/>
      </w:pPr>
      <w:rPr>
        <w:rFonts w:ascii="Arial" w:hAnsi="Arial" w:hint="default"/>
      </w:rPr>
    </w:lvl>
    <w:lvl w:ilvl="3" w:tplc="B9429614" w:tentative="1">
      <w:start w:val="1"/>
      <w:numFmt w:val="bullet"/>
      <w:lvlText w:val="•"/>
      <w:lvlJc w:val="left"/>
      <w:pPr>
        <w:tabs>
          <w:tab w:val="num" w:pos="2880"/>
        </w:tabs>
        <w:ind w:left="2880" w:hanging="360"/>
      </w:pPr>
      <w:rPr>
        <w:rFonts w:ascii="Arial" w:hAnsi="Arial" w:hint="default"/>
      </w:rPr>
    </w:lvl>
    <w:lvl w:ilvl="4" w:tplc="03D2E87C" w:tentative="1">
      <w:start w:val="1"/>
      <w:numFmt w:val="bullet"/>
      <w:lvlText w:val="•"/>
      <w:lvlJc w:val="left"/>
      <w:pPr>
        <w:tabs>
          <w:tab w:val="num" w:pos="3600"/>
        </w:tabs>
        <w:ind w:left="3600" w:hanging="360"/>
      </w:pPr>
      <w:rPr>
        <w:rFonts w:ascii="Arial" w:hAnsi="Arial" w:hint="default"/>
      </w:rPr>
    </w:lvl>
    <w:lvl w:ilvl="5" w:tplc="919ED176" w:tentative="1">
      <w:start w:val="1"/>
      <w:numFmt w:val="bullet"/>
      <w:lvlText w:val="•"/>
      <w:lvlJc w:val="left"/>
      <w:pPr>
        <w:tabs>
          <w:tab w:val="num" w:pos="4320"/>
        </w:tabs>
        <w:ind w:left="4320" w:hanging="360"/>
      </w:pPr>
      <w:rPr>
        <w:rFonts w:ascii="Arial" w:hAnsi="Arial" w:hint="default"/>
      </w:rPr>
    </w:lvl>
    <w:lvl w:ilvl="6" w:tplc="54BAC196" w:tentative="1">
      <w:start w:val="1"/>
      <w:numFmt w:val="bullet"/>
      <w:lvlText w:val="•"/>
      <w:lvlJc w:val="left"/>
      <w:pPr>
        <w:tabs>
          <w:tab w:val="num" w:pos="5040"/>
        </w:tabs>
        <w:ind w:left="5040" w:hanging="360"/>
      </w:pPr>
      <w:rPr>
        <w:rFonts w:ascii="Arial" w:hAnsi="Arial" w:hint="default"/>
      </w:rPr>
    </w:lvl>
    <w:lvl w:ilvl="7" w:tplc="0F4AD512" w:tentative="1">
      <w:start w:val="1"/>
      <w:numFmt w:val="bullet"/>
      <w:lvlText w:val="•"/>
      <w:lvlJc w:val="left"/>
      <w:pPr>
        <w:tabs>
          <w:tab w:val="num" w:pos="5760"/>
        </w:tabs>
        <w:ind w:left="5760" w:hanging="360"/>
      </w:pPr>
      <w:rPr>
        <w:rFonts w:ascii="Arial" w:hAnsi="Arial" w:hint="default"/>
      </w:rPr>
    </w:lvl>
    <w:lvl w:ilvl="8" w:tplc="9F78525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DEC4A38"/>
    <w:multiLevelType w:val="hybridMultilevel"/>
    <w:tmpl w:val="2D6022C0"/>
    <w:lvl w:ilvl="0" w:tplc="90442C90">
      <w:start w:val="3"/>
      <w:numFmt w:val="decimal"/>
      <w:lvlText w:val="%1."/>
      <w:lvlJc w:val="left"/>
      <w:pPr>
        <w:tabs>
          <w:tab w:val="num" w:pos="720"/>
        </w:tabs>
        <w:ind w:left="720" w:hanging="360"/>
      </w:pPr>
    </w:lvl>
    <w:lvl w:ilvl="1" w:tplc="E8B040F4" w:tentative="1">
      <w:start w:val="1"/>
      <w:numFmt w:val="decimal"/>
      <w:lvlText w:val="%2."/>
      <w:lvlJc w:val="left"/>
      <w:pPr>
        <w:tabs>
          <w:tab w:val="num" w:pos="1440"/>
        </w:tabs>
        <w:ind w:left="1440" w:hanging="360"/>
      </w:pPr>
    </w:lvl>
    <w:lvl w:ilvl="2" w:tplc="4F54E1B8" w:tentative="1">
      <w:start w:val="1"/>
      <w:numFmt w:val="decimal"/>
      <w:lvlText w:val="%3."/>
      <w:lvlJc w:val="left"/>
      <w:pPr>
        <w:tabs>
          <w:tab w:val="num" w:pos="2160"/>
        </w:tabs>
        <w:ind w:left="2160" w:hanging="360"/>
      </w:pPr>
    </w:lvl>
    <w:lvl w:ilvl="3" w:tplc="E0BA0552" w:tentative="1">
      <w:start w:val="1"/>
      <w:numFmt w:val="decimal"/>
      <w:lvlText w:val="%4."/>
      <w:lvlJc w:val="left"/>
      <w:pPr>
        <w:tabs>
          <w:tab w:val="num" w:pos="2880"/>
        </w:tabs>
        <w:ind w:left="2880" w:hanging="360"/>
      </w:pPr>
    </w:lvl>
    <w:lvl w:ilvl="4" w:tplc="55F63774" w:tentative="1">
      <w:start w:val="1"/>
      <w:numFmt w:val="decimal"/>
      <w:lvlText w:val="%5."/>
      <w:lvlJc w:val="left"/>
      <w:pPr>
        <w:tabs>
          <w:tab w:val="num" w:pos="3600"/>
        </w:tabs>
        <w:ind w:left="3600" w:hanging="360"/>
      </w:pPr>
    </w:lvl>
    <w:lvl w:ilvl="5" w:tplc="C7CA2372" w:tentative="1">
      <w:start w:val="1"/>
      <w:numFmt w:val="decimal"/>
      <w:lvlText w:val="%6."/>
      <w:lvlJc w:val="left"/>
      <w:pPr>
        <w:tabs>
          <w:tab w:val="num" w:pos="4320"/>
        </w:tabs>
        <w:ind w:left="4320" w:hanging="360"/>
      </w:pPr>
    </w:lvl>
    <w:lvl w:ilvl="6" w:tplc="30B6FBF8" w:tentative="1">
      <w:start w:val="1"/>
      <w:numFmt w:val="decimal"/>
      <w:lvlText w:val="%7."/>
      <w:lvlJc w:val="left"/>
      <w:pPr>
        <w:tabs>
          <w:tab w:val="num" w:pos="5040"/>
        </w:tabs>
        <w:ind w:left="5040" w:hanging="360"/>
      </w:pPr>
    </w:lvl>
    <w:lvl w:ilvl="7" w:tplc="F4B20AF2" w:tentative="1">
      <w:start w:val="1"/>
      <w:numFmt w:val="decimal"/>
      <w:lvlText w:val="%8."/>
      <w:lvlJc w:val="left"/>
      <w:pPr>
        <w:tabs>
          <w:tab w:val="num" w:pos="5760"/>
        </w:tabs>
        <w:ind w:left="5760" w:hanging="360"/>
      </w:pPr>
    </w:lvl>
    <w:lvl w:ilvl="8" w:tplc="26480922" w:tentative="1">
      <w:start w:val="1"/>
      <w:numFmt w:val="decimal"/>
      <w:lvlText w:val="%9."/>
      <w:lvlJc w:val="left"/>
      <w:pPr>
        <w:tabs>
          <w:tab w:val="num" w:pos="6480"/>
        </w:tabs>
        <w:ind w:left="6480" w:hanging="360"/>
      </w:pPr>
    </w:lvl>
  </w:abstractNum>
  <w:abstractNum w:abstractNumId="51" w15:restartNumberingAfterBreak="0">
    <w:nsid w:val="700B27A6"/>
    <w:multiLevelType w:val="multilevel"/>
    <w:tmpl w:val="F850D6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8"/>
      <w:numFmt w:val="bullet"/>
      <w:lvlText w:val="-"/>
      <w:lvlJc w:val="left"/>
      <w:pPr>
        <w:ind w:left="2520" w:hanging="360"/>
      </w:pPr>
      <w:rPr>
        <w:rFonts w:ascii="Calibri" w:eastAsia="Times New Roman" w:hAnsi="Calibri" w:cs="Calibri" w:hint="default"/>
      </w:rPr>
    </w:lvl>
    <w:lvl w:ilvl="4">
      <w:start w:val="1"/>
      <w:numFmt w:val="lowerLetter"/>
      <w:lvlText w:val="(%5)"/>
      <w:lvlJc w:val="left"/>
      <w:pPr>
        <w:ind w:left="3240" w:hanging="360"/>
      </w:pPr>
      <w:rPr>
        <w:rFonts w:asciiTheme="minorHAnsi" w:eastAsia="Times New Roman" w:hAnsiTheme="minorHAnsi" w:cs="Arial"/>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734851E0"/>
    <w:multiLevelType w:val="hybridMultilevel"/>
    <w:tmpl w:val="676C2C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B3C7413"/>
    <w:multiLevelType w:val="multilevel"/>
    <w:tmpl w:val="7C4A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502645">
    <w:abstractNumId w:val="40"/>
  </w:num>
  <w:num w:numId="2" w16cid:durableId="538855027">
    <w:abstractNumId w:val="27"/>
  </w:num>
  <w:num w:numId="3" w16cid:durableId="917523121">
    <w:abstractNumId w:val="21"/>
  </w:num>
  <w:num w:numId="4" w16cid:durableId="1394698023">
    <w:abstractNumId w:val="18"/>
  </w:num>
  <w:num w:numId="5" w16cid:durableId="1122377981">
    <w:abstractNumId w:val="44"/>
  </w:num>
  <w:num w:numId="6" w16cid:durableId="2129160637">
    <w:abstractNumId w:val="41"/>
  </w:num>
  <w:num w:numId="7" w16cid:durableId="2133359273">
    <w:abstractNumId w:val="9"/>
  </w:num>
  <w:num w:numId="8" w16cid:durableId="330718981">
    <w:abstractNumId w:val="7"/>
  </w:num>
  <w:num w:numId="9" w16cid:durableId="336928698">
    <w:abstractNumId w:val="6"/>
  </w:num>
  <w:num w:numId="10" w16cid:durableId="34431613">
    <w:abstractNumId w:val="5"/>
  </w:num>
  <w:num w:numId="11" w16cid:durableId="2139108895">
    <w:abstractNumId w:val="4"/>
  </w:num>
  <w:num w:numId="12" w16cid:durableId="279266059">
    <w:abstractNumId w:val="8"/>
  </w:num>
  <w:num w:numId="13" w16cid:durableId="1415513532">
    <w:abstractNumId w:val="3"/>
  </w:num>
  <w:num w:numId="14" w16cid:durableId="1356879343">
    <w:abstractNumId w:val="2"/>
  </w:num>
  <w:num w:numId="15" w16cid:durableId="1854226198">
    <w:abstractNumId w:val="1"/>
  </w:num>
  <w:num w:numId="16" w16cid:durableId="1122575834">
    <w:abstractNumId w:val="0"/>
  </w:num>
  <w:num w:numId="17" w16cid:durableId="582378741">
    <w:abstractNumId w:val="43"/>
  </w:num>
  <w:num w:numId="18" w16cid:durableId="1163549334">
    <w:abstractNumId w:val="23"/>
  </w:num>
  <w:num w:numId="19" w16cid:durableId="1814254338">
    <w:abstractNumId w:val="37"/>
  </w:num>
  <w:num w:numId="20" w16cid:durableId="1848251253">
    <w:abstractNumId w:val="20"/>
  </w:num>
  <w:num w:numId="21" w16cid:durableId="1191526986">
    <w:abstractNumId w:val="23"/>
  </w:num>
  <w:num w:numId="22" w16cid:durableId="2040353103">
    <w:abstractNumId w:val="31"/>
  </w:num>
  <w:num w:numId="23" w16cid:durableId="765659600">
    <w:abstractNumId w:val="10"/>
  </w:num>
  <w:num w:numId="24" w16cid:durableId="382875395">
    <w:abstractNumId w:val="22"/>
  </w:num>
  <w:num w:numId="25" w16cid:durableId="1414931604">
    <w:abstractNumId w:val="36"/>
  </w:num>
  <w:num w:numId="26" w16cid:durableId="1860506989">
    <w:abstractNumId w:val="17"/>
  </w:num>
  <w:num w:numId="27" w16cid:durableId="1532110002">
    <w:abstractNumId w:val="45"/>
  </w:num>
  <w:num w:numId="28" w16cid:durableId="1449591953">
    <w:abstractNumId w:val="50"/>
  </w:num>
  <w:num w:numId="29" w16cid:durableId="402802391">
    <w:abstractNumId w:val="29"/>
  </w:num>
  <w:num w:numId="30" w16cid:durableId="1116219209">
    <w:abstractNumId w:val="30"/>
  </w:num>
  <w:num w:numId="31" w16cid:durableId="2101094459">
    <w:abstractNumId w:val="34"/>
  </w:num>
  <w:num w:numId="32" w16cid:durableId="136995269">
    <w:abstractNumId w:val="19"/>
  </w:num>
  <w:num w:numId="33" w16cid:durableId="1031878586">
    <w:abstractNumId w:val="14"/>
  </w:num>
  <w:num w:numId="34" w16cid:durableId="731778414">
    <w:abstractNumId w:val="43"/>
  </w:num>
  <w:num w:numId="35" w16cid:durableId="93940353">
    <w:abstractNumId w:val="35"/>
  </w:num>
  <w:num w:numId="36" w16cid:durableId="2042434802">
    <w:abstractNumId w:val="26"/>
  </w:num>
  <w:num w:numId="37" w16cid:durableId="551967045">
    <w:abstractNumId w:val="53"/>
  </w:num>
  <w:num w:numId="38" w16cid:durableId="650253483">
    <w:abstractNumId w:val="13"/>
  </w:num>
  <w:num w:numId="39" w16cid:durableId="526869161">
    <w:abstractNumId w:val="11"/>
  </w:num>
  <w:num w:numId="40" w16cid:durableId="1061513258">
    <w:abstractNumId w:val="32"/>
  </w:num>
  <w:num w:numId="41" w16cid:durableId="874584783">
    <w:abstractNumId w:val="25"/>
  </w:num>
  <w:num w:numId="42" w16cid:durableId="1987515372">
    <w:abstractNumId w:val="47"/>
  </w:num>
  <w:num w:numId="43" w16cid:durableId="940604746">
    <w:abstractNumId w:val="42"/>
  </w:num>
  <w:num w:numId="44" w16cid:durableId="1005207813">
    <w:abstractNumId w:val="16"/>
  </w:num>
  <w:num w:numId="45" w16cid:durableId="1442535222">
    <w:abstractNumId w:val="52"/>
  </w:num>
  <w:num w:numId="46" w16cid:durableId="1355694865">
    <w:abstractNumId w:val="51"/>
  </w:num>
  <w:num w:numId="47" w16cid:durableId="1338730043">
    <w:abstractNumId w:val="33"/>
  </w:num>
  <w:num w:numId="48" w16cid:durableId="19207357">
    <w:abstractNumId w:val="38"/>
  </w:num>
  <w:num w:numId="49" w16cid:durableId="1901014017">
    <w:abstractNumId w:val="28"/>
  </w:num>
  <w:num w:numId="50" w16cid:durableId="626283226">
    <w:abstractNumId w:val="49"/>
  </w:num>
  <w:num w:numId="51" w16cid:durableId="491026595">
    <w:abstractNumId w:val="39"/>
  </w:num>
  <w:num w:numId="52" w16cid:durableId="406149643">
    <w:abstractNumId w:val="48"/>
  </w:num>
  <w:num w:numId="53" w16cid:durableId="1316959035">
    <w:abstractNumId w:val="24"/>
  </w:num>
  <w:num w:numId="54" w16cid:durableId="849759864">
    <w:abstractNumId w:val="12"/>
  </w:num>
  <w:num w:numId="55" w16cid:durableId="409696641">
    <w:abstractNumId w:val="15"/>
  </w:num>
  <w:num w:numId="56" w16cid:durableId="332071272">
    <w:abstractNumId w:val="46"/>
  </w:num>
  <w:num w:numId="57" w16cid:durableId="514349729">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73"/>
    <w:rsid w:val="000003D5"/>
    <w:rsid w:val="0000045C"/>
    <w:rsid w:val="00000687"/>
    <w:rsid w:val="000007BA"/>
    <w:rsid w:val="0000097A"/>
    <w:rsid w:val="00000CD5"/>
    <w:rsid w:val="00000DA1"/>
    <w:rsid w:val="00000DA8"/>
    <w:rsid w:val="00000E17"/>
    <w:rsid w:val="00000EFE"/>
    <w:rsid w:val="00000F60"/>
    <w:rsid w:val="00001067"/>
    <w:rsid w:val="00001099"/>
    <w:rsid w:val="00001820"/>
    <w:rsid w:val="00001B0F"/>
    <w:rsid w:val="00001E28"/>
    <w:rsid w:val="00001E6A"/>
    <w:rsid w:val="00001F7A"/>
    <w:rsid w:val="00001FD3"/>
    <w:rsid w:val="0000220C"/>
    <w:rsid w:val="00002307"/>
    <w:rsid w:val="00002325"/>
    <w:rsid w:val="0000245D"/>
    <w:rsid w:val="000025D1"/>
    <w:rsid w:val="00002669"/>
    <w:rsid w:val="0000268D"/>
    <w:rsid w:val="000026E9"/>
    <w:rsid w:val="00002920"/>
    <w:rsid w:val="00002B55"/>
    <w:rsid w:val="00002C6D"/>
    <w:rsid w:val="00002D32"/>
    <w:rsid w:val="00002F10"/>
    <w:rsid w:val="000034D9"/>
    <w:rsid w:val="00003556"/>
    <w:rsid w:val="00003693"/>
    <w:rsid w:val="00003709"/>
    <w:rsid w:val="00003A15"/>
    <w:rsid w:val="00003DA3"/>
    <w:rsid w:val="00003DC2"/>
    <w:rsid w:val="000040C4"/>
    <w:rsid w:val="0000421A"/>
    <w:rsid w:val="00004264"/>
    <w:rsid w:val="00004265"/>
    <w:rsid w:val="0000427C"/>
    <w:rsid w:val="0000450F"/>
    <w:rsid w:val="00004592"/>
    <w:rsid w:val="000045C1"/>
    <w:rsid w:val="00004785"/>
    <w:rsid w:val="000047D5"/>
    <w:rsid w:val="00004898"/>
    <w:rsid w:val="000048E9"/>
    <w:rsid w:val="0000496A"/>
    <w:rsid w:val="00004996"/>
    <w:rsid w:val="000049D6"/>
    <w:rsid w:val="00004B8F"/>
    <w:rsid w:val="00004C4C"/>
    <w:rsid w:val="00004F55"/>
    <w:rsid w:val="00005083"/>
    <w:rsid w:val="00005139"/>
    <w:rsid w:val="000053A6"/>
    <w:rsid w:val="000053C7"/>
    <w:rsid w:val="000056B6"/>
    <w:rsid w:val="00005791"/>
    <w:rsid w:val="0000585A"/>
    <w:rsid w:val="00005895"/>
    <w:rsid w:val="00005A72"/>
    <w:rsid w:val="00005B51"/>
    <w:rsid w:val="00005E06"/>
    <w:rsid w:val="00005FB0"/>
    <w:rsid w:val="0000606D"/>
    <w:rsid w:val="000060BB"/>
    <w:rsid w:val="0000613F"/>
    <w:rsid w:val="000061C4"/>
    <w:rsid w:val="00006234"/>
    <w:rsid w:val="00006290"/>
    <w:rsid w:val="000063F9"/>
    <w:rsid w:val="00006500"/>
    <w:rsid w:val="000067C6"/>
    <w:rsid w:val="00006892"/>
    <w:rsid w:val="00006A0E"/>
    <w:rsid w:val="00006AB4"/>
    <w:rsid w:val="00006B96"/>
    <w:rsid w:val="00006CD9"/>
    <w:rsid w:val="00006F3E"/>
    <w:rsid w:val="000070B6"/>
    <w:rsid w:val="00007119"/>
    <w:rsid w:val="000071DB"/>
    <w:rsid w:val="00007276"/>
    <w:rsid w:val="00007288"/>
    <w:rsid w:val="000073C0"/>
    <w:rsid w:val="0000741A"/>
    <w:rsid w:val="00007585"/>
    <w:rsid w:val="0000761D"/>
    <w:rsid w:val="00007869"/>
    <w:rsid w:val="00007A6E"/>
    <w:rsid w:val="00007AE6"/>
    <w:rsid w:val="00007C5F"/>
    <w:rsid w:val="00010190"/>
    <w:rsid w:val="000101BE"/>
    <w:rsid w:val="000105D1"/>
    <w:rsid w:val="00010740"/>
    <w:rsid w:val="000107D5"/>
    <w:rsid w:val="0001088B"/>
    <w:rsid w:val="00010974"/>
    <w:rsid w:val="00010A17"/>
    <w:rsid w:val="00010AB4"/>
    <w:rsid w:val="00010CBB"/>
    <w:rsid w:val="00010CE2"/>
    <w:rsid w:val="00010DFC"/>
    <w:rsid w:val="00010E6C"/>
    <w:rsid w:val="00010F18"/>
    <w:rsid w:val="000110BD"/>
    <w:rsid w:val="00011106"/>
    <w:rsid w:val="00011141"/>
    <w:rsid w:val="000111A3"/>
    <w:rsid w:val="000111B3"/>
    <w:rsid w:val="000112E8"/>
    <w:rsid w:val="00011373"/>
    <w:rsid w:val="000113DF"/>
    <w:rsid w:val="00011403"/>
    <w:rsid w:val="00011498"/>
    <w:rsid w:val="000117F2"/>
    <w:rsid w:val="00011810"/>
    <w:rsid w:val="0001189A"/>
    <w:rsid w:val="00011A4D"/>
    <w:rsid w:val="00012006"/>
    <w:rsid w:val="000120AA"/>
    <w:rsid w:val="000120DD"/>
    <w:rsid w:val="000120FD"/>
    <w:rsid w:val="00012120"/>
    <w:rsid w:val="000121CD"/>
    <w:rsid w:val="000124CF"/>
    <w:rsid w:val="000124D8"/>
    <w:rsid w:val="00012533"/>
    <w:rsid w:val="000126FE"/>
    <w:rsid w:val="0001271C"/>
    <w:rsid w:val="000129D6"/>
    <w:rsid w:val="00012A21"/>
    <w:rsid w:val="00012AC8"/>
    <w:rsid w:val="00012C83"/>
    <w:rsid w:val="00012E7A"/>
    <w:rsid w:val="00012EB2"/>
    <w:rsid w:val="00012F25"/>
    <w:rsid w:val="0001301E"/>
    <w:rsid w:val="0001318B"/>
    <w:rsid w:val="00013297"/>
    <w:rsid w:val="0001353F"/>
    <w:rsid w:val="0001357C"/>
    <w:rsid w:val="00013664"/>
    <w:rsid w:val="000136C9"/>
    <w:rsid w:val="00013847"/>
    <w:rsid w:val="00013A56"/>
    <w:rsid w:val="00013C41"/>
    <w:rsid w:val="00013DD6"/>
    <w:rsid w:val="00013FFD"/>
    <w:rsid w:val="00014116"/>
    <w:rsid w:val="00014171"/>
    <w:rsid w:val="0001422F"/>
    <w:rsid w:val="00014241"/>
    <w:rsid w:val="0001424D"/>
    <w:rsid w:val="00014254"/>
    <w:rsid w:val="00014268"/>
    <w:rsid w:val="000142CC"/>
    <w:rsid w:val="0001439C"/>
    <w:rsid w:val="0001448C"/>
    <w:rsid w:val="00014721"/>
    <w:rsid w:val="000147BC"/>
    <w:rsid w:val="000148A5"/>
    <w:rsid w:val="00014904"/>
    <w:rsid w:val="000149F3"/>
    <w:rsid w:val="00014B23"/>
    <w:rsid w:val="00014C36"/>
    <w:rsid w:val="00014E05"/>
    <w:rsid w:val="000150BC"/>
    <w:rsid w:val="0001540C"/>
    <w:rsid w:val="0001540E"/>
    <w:rsid w:val="00015A5D"/>
    <w:rsid w:val="00015A80"/>
    <w:rsid w:val="00015BFE"/>
    <w:rsid w:val="00015D37"/>
    <w:rsid w:val="00015E22"/>
    <w:rsid w:val="00015E6F"/>
    <w:rsid w:val="0001607D"/>
    <w:rsid w:val="00016203"/>
    <w:rsid w:val="000165F1"/>
    <w:rsid w:val="00016799"/>
    <w:rsid w:val="00016802"/>
    <w:rsid w:val="00016853"/>
    <w:rsid w:val="0001696B"/>
    <w:rsid w:val="00016A03"/>
    <w:rsid w:val="00016A3C"/>
    <w:rsid w:val="00016DD1"/>
    <w:rsid w:val="00016E45"/>
    <w:rsid w:val="000173E4"/>
    <w:rsid w:val="0001760D"/>
    <w:rsid w:val="0001763E"/>
    <w:rsid w:val="0001771E"/>
    <w:rsid w:val="000179C3"/>
    <w:rsid w:val="00017AA9"/>
    <w:rsid w:val="00017AE7"/>
    <w:rsid w:val="00017C14"/>
    <w:rsid w:val="00017D12"/>
    <w:rsid w:val="0002011B"/>
    <w:rsid w:val="00020124"/>
    <w:rsid w:val="0002024C"/>
    <w:rsid w:val="000203FA"/>
    <w:rsid w:val="00020461"/>
    <w:rsid w:val="00020490"/>
    <w:rsid w:val="0002063D"/>
    <w:rsid w:val="000206B1"/>
    <w:rsid w:val="00020753"/>
    <w:rsid w:val="0002075E"/>
    <w:rsid w:val="00020A1F"/>
    <w:rsid w:val="00020B25"/>
    <w:rsid w:val="00020B4B"/>
    <w:rsid w:val="00020E1C"/>
    <w:rsid w:val="00020E84"/>
    <w:rsid w:val="00020FAD"/>
    <w:rsid w:val="00020FD2"/>
    <w:rsid w:val="000211C4"/>
    <w:rsid w:val="000212F0"/>
    <w:rsid w:val="000213F9"/>
    <w:rsid w:val="0002149F"/>
    <w:rsid w:val="000215A3"/>
    <w:rsid w:val="00021783"/>
    <w:rsid w:val="00021D64"/>
    <w:rsid w:val="00021DE5"/>
    <w:rsid w:val="00021EFB"/>
    <w:rsid w:val="00021F8D"/>
    <w:rsid w:val="00022138"/>
    <w:rsid w:val="00022145"/>
    <w:rsid w:val="00022237"/>
    <w:rsid w:val="0002266A"/>
    <w:rsid w:val="00022705"/>
    <w:rsid w:val="000227C0"/>
    <w:rsid w:val="00022A0D"/>
    <w:rsid w:val="00022AB3"/>
    <w:rsid w:val="00022AF5"/>
    <w:rsid w:val="00022AFC"/>
    <w:rsid w:val="00022CEA"/>
    <w:rsid w:val="00023014"/>
    <w:rsid w:val="00023138"/>
    <w:rsid w:val="0002355D"/>
    <w:rsid w:val="00023570"/>
    <w:rsid w:val="000235C3"/>
    <w:rsid w:val="00023679"/>
    <w:rsid w:val="000236D8"/>
    <w:rsid w:val="0002379B"/>
    <w:rsid w:val="0002386A"/>
    <w:rsid w:val="000238C6"/>
    <w:rsid w:val="00023990"/>
    <w:rsid w:val="000239E4"/>
    <w:rsid w:val="000239E5"/>
    <w:rsid w:val="00023A1B"/>
    <w:rsid w:val="00023B44"/>
    <w:rsid w:val="00023CA0"/>
    <w:rsid w:val="00023D20"/>
    <w:rsid w:val="00023D8D"/>
    <w:rsid w:val="00023F66"/>
    <w:rsid w:val="00024285"/>
    <w:rsid w:val="00024307"/>
    <w:rsid w:val="00024364"/>
    <w:rsid w:val="00024594"/>
    <w:rsid w:val="000245EC"/>
    <w:rsid w:val="00024653"/>
    <w:rsid w:val="000246DE"/>
    <w:rsid w:val="00024746"/>
    <w:rsid w:val="00024A83"/>
    <w:rsid w:val="00024B9A"/>
    <w:rsid w:val="00024D25"/>
    <w:rsid w:val="0002503C"/>
    <w:rsid w:val="000251F3"/>
    <w:rsid w:val="00025243"/>
    <w:rsid w:val="000252F2"/>
    <w:rsid w:val="0002541E"/>
    <w:rsid w:val="0002552F"/>
    <w:rsid w:val="0002559A"/>
    <w:rsid w:val="00025602"/>
    <w:rsid w:val="000257D9"/>
    <w:rsid w:val="00025887"/>
    <w:rsid w:val="00025B87"/>
    <w:rsid w:val="00025BEA"/>
    <w:rsid w:val="00026205"/>
    <w:rsid w:val="00026467"/>
    <w:rsid w:val="00026695"/>
    <w:rsid w:val="0002679A"/>
    <w:rsid w:val="000267F4"/>
    <w:rsid w:val="000268A5"/>
    <w:rsid w:val="00026999"/>
    <w:rsid w:val="00027161"/>
    <w:rsid w:val="0002738C"/>
    <w:rsid w:val="00027732"/>
    <w:rsid w:val="000278BA"/>
    <w:rsid w:val="00027A6B"/>
    <w:rsid w:val="00027C6F"/>
    <w:rsid w:val="00027CD4"/>
    <w:rsid w:val="00027D61"/>
    <w:rsid w:val="00027D6D"/>
    <w:rsid w:val="0003004A"/>
    <w:rsid w:val="000300F8"/>
    <w:rsid w:val="0003038E"/>
    <w:rsid w:val="000304AB"/>
    <w:rsid w:val="00030579"/>
    <w:rsid w:val="00030624"/>
    <w:rsid w:val="000309FF"/>
    <w:rsid w:val="00030A16"/>
    <w:rsid w:val="00030A27"/>
    <w:rsid w:val="00030A59"/>
    <w:rsid w:val="00030AA2"/>
    <w:rsid w:val="00030B3F"/>
    <w:rsid w:val="00030C14"/>
    <w:rsid w:val="00030D8F"/>
    <w:rsid w:val="00030F3D"/>
    <w:rsid w:val="00030F5C"/>
    <w:rsid w:val="00030F73"/>
    <w:rsid w:val="00030F75"/>
    <w:rsid w:val="0003125B"/>
    <w:rsid w:val="000312FD"/>
    <w:rsid w:val="000314EC"/>
    <w:rsid w:val="000316BF"/>
    <w:rsid w:val="0003183C"/>
    <w:rsid w:val="0003194E"/>
    <w:rsid w:val="000319A0"/>
    <w:rsid w:val="00031A77"/>
    <w:rsid w:val="00031D2D"/>
    <w:rsid w:val="00032032"/>
    <w:rsid w:val="00032102"/>
    <w:rsid w:val="00032239"/>
    <w:rsid w:val="0003225B"/>
    <w:rsid w:val="000322DA"/>
    <w:rsid w:val="00032334"/>
    <w:rsid w:val="000325D3"/>
    <w:rsid w:val="00032724"/>
    <w:rsid w:val="000328C7"/>
    <w:rsid w:val="00032D9E"/>
    <w:rsid w:val="00032DDD"/>
    <w:rsid w:val="0003357A"/>
    <w:rsid w:val="000337BE"/>
    <w:rsid w:val="0003385A"/>
    <w:rsid w:val="00033865"/>
    <w:rsid w:val="00033BDF"/>
    <w:rsid w:val="00033CEE"/>
    <w:rsid w:val="00033D7E"/>
    <w:rsid w:val="0003404C"/>
    <w:rsid w:val="000340E8"/>
    <w:rsid w:val="0003426B"/>
    <w:rsid w:val="00034624"/>
    <w:rsid w:val="0003466E"/>
    <w:rsid w:val="0003470B"/>
    <w:rsid w:val="000347B9"/>
    <w:rsid w:val="00034861"/>
    <w:rsid w:val="00034A2A"/>
    <w:rsid w:val="00034A3B"/>
    <w:rsid w:val="00034B95"/>
    <w:rsid w:val="00034C53"/>
    <w:rsid w:val="00034CED"/>
    <w:rsid w:val="00035081"/>
    <w:rsid w:val="000352FA"/>
    <w:rsid w:val="00035455"/>
    <w:rsid w:val="000356F6"/>
    <w:rsid w:val="000358CB"/>
    <w:rsid w:val="00035A32"/>
    <w:rsid w:val="00035E59"/>
    <w:rsid w:val="00035F55"/>
    <w:rsid w:val="00036015"/>
    <w:rsid w:val="0003618D"/>
    <w:rsid w:val="00036369"/>
    <w:rsid w:val="000363DA"/>
    <w:rsid w:val="00036433"/>
    <w:rsid w:val="0003654F"/>
    <w:rsid w:val="00036592"/>
    <w:rsid w:val="000366D4"/>
    <w:rsid w:val="000367AA"/>
    <w:rsid w:val="00036AC7"/>
    <w:rsid w:val="00036AFE"/>
    <w:rsid w:val="00036BF1"/>
    <w:rsid w:val="00036CF6"/>
    <w:rsid w:val="00036D70"/>
    <w:rsid w:val="00037212"/>
    <w:rsid w:val="000372F5"/>
    <w:rsid w:val="000374E4"/>
    <w:rsid w:val="00037777"/>
    <w:rsid w:val="000377BA"/>
    <w:rsid w:val="000378A8"/>
    <w:rsid w:val="000379BB"/>
    <w:rsid w:val="00037BB9"/>
    <w:rsid w:val="00037EE9"/>
    <w:rsid w:val="00037F41"/>
    <w:rsid w:val="00040049"/>
    <w:rsid w:val="00040282"/>
    <w:rsid w:val="0004040E"/>
    <w:rsid w:val="00040579"/>
    <w:rsid w:val="00040632"/>
    <w:rsid w:val="00040658"/>
    <w:rsid w:val="00040692"/>
    <w:rsid w:val="00040752"/>
    <w:rsid w:val="000408BB"/>
    <w:rsid w:val="00040A8A"/>
    <w:rsid w:val="00040A99"/>
    <w:rsid w:val="00040D41"/>
    <w:rsid w:val="00040F11"/>
    <w:rsid w:val="0004106E"/>
    <w:rsid w:val="00041252"/>
    <w:rsid w:val="00041258"/>
    <w:rsid w:val="00041286"/>
    <w:rsid w:val="00041339"/>
    <w:rsid w:val="000415F3"/>
    <w:rsid w:val="00041670"/>
    <w:rsid w:val="00041906"/>
    <w:rsid w:val="00041954"/>
    <w:rsid w:val="00041968"/>
    <w:rsid w:val="00041A71"/>
    <w:rsid w:val="00041C50"/>
    <w:rsid w:val="00041C78"/>
    <w:rsid w:val="00041CFB"/>
    <w:rsid w:val="00041F46"/>
    <w:rsid w:val="00041F9A"/>
    <w:rsid w:val="000420E0"/>
    <w:rsid w:val="00042109"/>
    <w:rsid w:val="00042365"/>
    <w:rsid w:val="00042389"/>
    <w:rsid w:val="000427FB"/>
    <w:rsid w:val="0004297F"/>
    <w:rsid w:val="000429E5"/>
    <w:rsid w:val="00042AA7"/>
    <w:rsid w:val="00042B53"/>
    <w:rsid w:val="00043004"/>
    <w:rsid w:val="0004305F"/>
    <w:rsid w:val="0004309D"/>
    <w:rsid w:val="000432C1"/>
    <w:rsid w:val="000434E9"/>
    <w:rsid w:val="000434ED"/>
    <w:rsid w:val="000436DA"/>
    <w:rsid w:val="00043779"/>
    <w:rsid w:val="00043796"/>
    <w:rsid w:val="0004379A"/>
    <w:rsid w:val="00043A12"/>
    <w:rsid w:val="00043F5E"/>
    <w:rsid w:val="000442EA"/>
    <w:rsid w:val="00044361"/>
    <w:rsid w:val="000443D6"/>
    <w:rsid w:val="00044440"/>
    <w:rsid w:val="0004456C"/>
    <w:rsid w:val="00044766"/>
    <w:rsid w:val="00044795"/>
    <w:rsid w:val="000448E8"/>
    <w:rsid w:val="000449F4"/>
    <w:rsid w:val="00044BEB"/>
    <w:rsid w:val="00044E74"/>
    <w:rsid w:val="00044EC3"/>
    <w:rsid w:val="00044F14"/>
    <w:rsid w:val="00044F8B"/>
    <w:rsid w:val="00045171"/>
    <w:rsid w:val="000451A6"/>
    <w:rsid w:val="000451AC"/>
    <w:rsid w:val="00045405"/>
    <w:rsid w:val="0004541A"/>
    <w:rsid w:val="0004553A"/>
    <w:rsid w:val="00045592"/>
    <w:rsid w:val="00045596"/>
    <w:rsid w:val="00045828"/>
    <w:rsid w:val="00045876"/>
    <w:rsid w:val="0004590D"/>
    <w:rsid w:val="00045945"/>
    <w:rsid w:val="000459BC"/>
    <w:rsid w:val="00045BED"/>
    <w:rsid w:val="00045BF8"/>
    <w:rsid w:val="00045C39"/>
    <w:rsid w:val="00045C65"/>
    <w:rsid w:val="00045E82"/>
    <w:rsid w:val="00045F01"/>
    <w:rsid w:val="00045F2F"/>
    <w:rsid w:val="00045F56"/>
    <w:rsid w:val="00045FDB"/>
    <w:rsid w:val="0004607F"/>
    <w:rsid w:val="0004623A"/>
    <w:rsid w:val="0004654F"/>
    <w:rsid w:val="00046643"/>
    <w:rsid w:val="00046682"/>
    <w:rsid w:val="000466C6"/>
    <w:rsid w:val="000466E8"/>
    <w:rsid w:val="00046703"/>
    <w:rsid w:val="0004678B"/>
    <w:rsid w:val="000468A4"/>
    <w:rsid w:val="00046974"/>
    <w:rsid w:val="00046AAE"/>
    <w:rsid w:val="00046C3A"/>
    <w:rsid w:val="00046E6A"/>
    <w:rsid w:val="00046ED3"/>
    <w:rsid w:val="00046EF2"/>
    <w:rsid w:val="0004734C"/>
    <w:rsid w:val="000473CA"/>
    <w:rsid w:val="000473E2"/>
    <w:rsid w:val="0004741E"/>
    <w:rsid w:val="0004775A"/>
    <w:rsid w:val="00047770"/>
    <w:rsid w:val="00047791"/>
    <w:rsid w:val="000477FD"/>
    <w:rsid w:val="0004781F"/>
    <w:rsid w:val="00047826"/>
    <w:rsid w:val="00047A88"/>
    <w:rsid w:val="00047A99"/>
    <w:rsid w:val="00047C52"/>
    <w:rsid w:val="00047DCC"/>
    <w:rsid w:val="00047DFC"/>
    <w:rsid w:val="00047E52"/>
    <w:rsid w:val="00050064"/>
    <w:rsid w:val="000500C1"/>
    <w:rsid w:val="00050102"/>
    <w:rsid w:val="0005018B"/>
    <w:rsid w:val="0005028F"/>
    <w:rsid w:val="00050291"/>
    <w:rsid w:val="000502C4"/>
    <w:rsid w:val="00050667"/>
    <w:rsid w:val="00050793"/>
    <w:rsid w:val="00050A9D"/>
    <w:rsid w:val="00050ADF"/>
    <w:rsid w:val="00050C74"/>
    <w:rsid w:val="00050DB7"/>
    <w:rsid w:val="00050E40"/>
    <w:rsid w:val="00050F48"/>
    <w:rsid w:val="00051088"/>
    <w:rsid w:val="0005120B"/>
    <w:rsid w:val="0005131D"/>
    <w:rsid w:val="0005149A"/>
    <w:rsid w:val="0005149C"/>
    <w:rsid w:val="00051639"/>
    <w:rsid w:val="000516F3"/>
    <w:rsid w:val="00051936"/>
    <w:rsid w:val="000519C5"/>
    <w:rsid w:val="00051A5F"/>
    <w:rsid w:val="00051B98"/>
    <w:rsid w:val="00051C53"/>
    <w:rsid w:val="00051C99"/>
    <w:rsid w:val="00051CF6"/>
    <w:rsid w:val="00051D24"/>
    <w:rsid w:val="00051EC9"/>
    <w:rsid w:val="00051EFC"/>
    <w:rsid w:val="00051F0D"/>
    <w:rsid w:val="00051F50"/>
    <w:rsid w:val="00052348"/>
    <w:rsid w:val="000524A7"/>
    <w:rsid w:val="000524B6"/>
    <w:rsid w:val="0005263D"/>
    <w:rsid w:val="0005294C"/>
    <w:rsid w:val="0005296C"/>
    <w:rsid w:val="0005297F"/>
    <w:rsid w:val="000529F8"/>
    <w:rsid w:val="00052CFD"/>
    <w:rsid w:val="00052DCD"/>
    <w:rsid w:val="00053078"/>
    <w:rsid w:val="000535EB"/>
    <w:rsid w:val="00053662"/>
    <w:rsid w:val="00053742"/>
    <w:rsid w:val="0005378B"/>
    <w:rsid w:val="0005381F"/>
    <w:rsid w:val="000539D3"/>
    <w:rsid w:val="00053AB3"/>
    <w:rsid w:val="00053ADE"/>
    <w:rsid w:val="00053B2D"/>
    <w:rsid w:val="00053BF2"/>
    <w:rsid w:val="00053C15"/>
    <w:rsid w:val="00053E82"/>
    <w:rsid w:val="00053E85"/>
    <w:rsid w:val="00053FD0"/>
    <w:rsid w:val="00054005"/>
    <w:rsid w:val="00054021"/>
    <w:rsid w:val="00054135"/>
    <w:rsid w:val="0005417A"/>
    <w:rsid w:val="00054204"/>
    <w:rsid w:val="0005433F"/>
    <w:rsid w:val="00054512"/>
    <w:rsid w:val="00054543"/>
    <w:rsid w:val="0005454B"/>
    <w:rsid w:val="000545B2"/>
    <w:rsid w:val="0005467E"/>
    <w:rsid w:val="00054798"/>
    <w:rsid w:val="00054A25"/>
    <w:rsid w:val="00054BC9"/>
    <w:rsid w:val="00054C37"/>
    <w:rsid w:val="00054C4C"/>
    <w:rsid w:val="00054D47"/>
    <w:rsid w:val="00054DF2"/>
    <w:rsid w:val="00055061"/>
    <w:rsid w:val="000550A9"/>
    <w:rsid w:val="000550C8"/>
    <w:rsid w:val="0005510F"/>
    <w:rsid w:val="0005569D"/>
    <w:rsid w:val="000556C6"/>
    <w:rsid w:val="00055888"/>
    <w:rsid w:val="000559D2"/>
    <w:rsid w:val="00055BBF"/>
    <w:rsid w:val="00055C42"/>
    <w:rsid w:val="00055EE4"/>
    <w:rsid w:val="00055F1D"/>
    <w:rsid w:val="0005600A"/>
    <w:rsid w:val="000560A2"/>
    <w:rsid w:val="00056432"/>
    <w:rsid w:val="000564C4"/>
    <w:rsid w:val="0005660E"/>
    <w:rsid w:val="000566D1"/>
    <w:rsid w:val="00056771"/>
    <w:rsid w:val="0005679E"/>
    <w:rsid w:val="000567BC"/>
    <w:rsid w:val="000567F1"/>
    <w:rsid w:val="0005683E"/>
    <w:rsid w:val="0005699B"/>
    <w:rsid w:val="00056A57"/>
    <w:rsid w:val="00056F7C"/>
    <w:rsid w:val="0005705C"/>
    <w:rsid w:val="000572C7"/>
    <w:rsid w:val="0005736F"/>
    <w:rsid w:val="00057566"/>
    <w:rsid w:val="000577B2"/>
    <w:rsid w:val="00057B17"/>
    <w:rsid w:val="00057B73"/>
    <w:rsid w:val="00060208"/>
    <w:rsid w:val="00060332"/>
    <w:rsid w:val="0006033E"/>
    <w:rsid w:val="0006038B"/>
    <w:rsid w:val="00060390"/>
    <w:rsid w:val="000603C1"/>
    <w:rsid w:val="0006043A"/>
    <w:rsid w:val="000609A2"/>
    <w:rsid w:val="00060AB6"/>
    <w:rsid w:val="00060CCE"/>
    <w:rsid w:val="00061364"/>
    <w:rsid w:val="000613A7"/>
    <w:rsid w:val="000613B8"/>
    <w:rsid w:val="00061475"/>
    <w:rsid w:val="000614D1"/>
    <w:rsid w:val="000614E1"/>
    <w:rsid w:val="00061638"/>
    <w:rsid w:val="00061712"/>
    <w:rsid w:val="0006175B"/>
    <w:rsid w:val="0006181E"/>
    <w:rsid w:val="00061909"/>
    <w:rsid w:val="0006193A"/>
    <w:rsid w:val="00061C4C"/>
    <w:rsid w:val="00061C57"/>
    <w:rsid w:val="00061D14"/>
    <w:rsid w:val="00061F11"/>
    <w:rsid w:val="0006256E"/>
    <w:rsid w:val="000625FF"/>
    <w:rsid w:val="00062640"/>
    <w:rsid w:val="0006271A"/>
    <w:rsid w:val="000627E0"/>
    <w:rsid w:val="00062858"/>
    <w:rsid w:val="00062980"/>
    <w:rsid w:val="0006298F"/>
    <w:rsid w:val="00062A2D"/>
    <w:rsid w:val="00062C75"/>
    <w:rsid w:val="00062F55"/>
    <w:rsid w:val="00062F71"/>
    <w:rsid w:val="00062FFD"/>
    <w:rsid w:val="00063077"/>
    <w:rsid w:val="00063287"/>
    <w:rsid w:val="00063291"/>
    <w:rsid w:val="00063292"/>
    <w:rsid w:val="0006345C"/>
    <w:rsid w:val="000635DC"/>
    <w:rsid w:val="00063686"/>
    <w:rsid w:val="000636DA"/>
    <w:rsid w:val="00063752"/>
    <w:rsid w:val="000637B7"/>
    <w:rsid w:val="000639B8"/>
    <w:rsid w:val="00063C52"/>
    <w:rsid w:val="00063E0F"/>
    <w:rsid w:val="00064201"/>
    <w:rsid w:val="00064331"/>
    <w:rsid w:val="00064697"/>
    <w:rsid w:val="0006492D"/>
    <w:rsid w:val="00064947"/>
    <w:rsid w:val="00064999"/>
    <w:rsid w:val="00064A5C"/>
    <w:rsid w:val="00064B6F"/>
    <w:rsid w:val="00064DC2"/>
    <w:rsid w:val="00064E47"/>
    <w:rsid w:val="00064E4B"/>
    <w:rsid w:val="00064ED9"/>
    <w:rsid w:val="00065029"/>
    <w:rsid w:val="00065101"/>
    <w:rsid w:val="00065150"/>
    <w:rsid w:val="00065211"/>
    <w:rsid w:val="000652E7"/>
    <w:rsid w:val="000653D7"/>
    <w:rsid w:val="000653E1"/>
    <w:rsid w:val="000655B9"/>
    <w:rsid w:val="000655C3"/>
    <w:rsid w:val="00065646"/>
    <w:rsid w:val="000658DF"/>
    <w:rsid w:val="00065AD4"/>
    <w:rsid w:val="00065B63"/>
    <w:rsid w:val="00065C85"/>
    <w:rsid w:val="00065E1C"/>
    <w:rsid w:val="00065EB0"/>
    <w:rsid w:val="00065F83"/>
    <w:rsid w:val="00066153"/>
    <w:rsid w:val="00066250"/>
    <w:rsid w:val="00066291"/>
    <w:rsid w:val="00066331"/>
    <w:rsid w:val="00066353"/>
    <w:rsid w:val="00066469"/>
    <w:rsid w:val="00066706"/>
    <w:rsid w:val="0006674E"/>
    <w:rsid w:val="0006684A"/>
    <w:rsid w:val="00066BD1"/>
    <w:rsid w:val="00066CA2"/>
    <w:rsid w:val="00066D5C"/>
    <w:rsid w:val="00066D8B"/>
    <w:rsid w:val="00066EB8"/>
    <w:rsid w:val="00066F40"/>
    <w:rsid w:val="0006714E"/>
    <w:rsid w:val="0006736E"/>
    <w:rsid w:val="00067438"/>
    <w:rsid w:val="00067466"/>
    <w:rsid w:val="000677A5"/>
    <w:rsid w:val="00067883"/>
    <w:rsid w:val="00067AC9"/>
    <w:rsid w:val="00067D8A"/>
    <w:rsid w:val="00067EEF"/>
    <w:rsid w:val="00067F59"/>
    <w:rsid w:val="00070009"/>
    <w:rsid w:val="000700CC"/>
    <w:rsid w:val="00070104"/>
    <w:rsid w:val="0007024B"/>
    <w:rsid w:val="0007043E"/>
    <w:rsid w:val="00070613"/>
    <w:rsid w:val="00070614"/>
    <w:rsid w:val="000706CB"/>
    <w:rsid w:val="00070706"/>
    <w:rsid w:val="000708C1"/>
    <w:rsid w:val="00070D77"/>
    <w:rsid w:val="00070DB4"/>
    <w:rsid w:val="00070E2E"/>
    <w:rsid w:val="00070E48"/>
    <w:rsid w:val="00070EE4"/>
    <w:rsid w:val="00070F89"/>
    <w:rsid w:val="00070FE8"/>
    <w:rsid w:val="00070FF5"/>
    <w:rsid w:val="00071365"/>
    <w:rsid w:val="000713A7"/>
    <w:rsid w:val="00071587"/>
    <w:rsid w:val="000719F2"/>
    <w:rsid w:val="00071E2A"/>
    <w:rsid w:val="00071F94"/>
    <w:rsid w:val="00072064"/>
    <w:rsid w:val="00072214"/>
    <w:rsid w:val="0007226A"/>
    <w:rsid w:val="000722F3"/>
    <w:rsid w:val="00072565"/>
    <w:rsid w:val="0007267F"/>
    <w:rsid w:val="00072753"/>
    <w:rsid w:val="000728E2"/>
    <w:rsid w:val="0007299E"/>
    <w:rsid w:val="00072B33"/>
    <w:rsid w:val="00072B7F"/>
    <w:rsid w:val="00072CF9"/>
    <w:rsid w:val="00072D0B"/>
    <w:rsid w:val="00072E53"/>
    <w:rsid w:val="00072E8D"/>
    <w:rsid w:val="00072EDE"/>
    <w:rsid w:val="000731F3"/>
    <w:rsid w:val="000733B0"/>
    <w:rsid w:val="000734B2"/>
    <w:rsid w:val="000734E0"/>
    <w:rsid w:val="000735D7"/>
    <w:rsid w:val="0007366A"/>
    <w:rsid w:val="000737C5"/>
    <w:rsid w:val="000738A9"/>
    <w:rsid w:val="00073B19"/>
    <w:rsid w:val="00073B36"/>
    <w:rsid w:val="00073BEC"/>
    <w:rsid w:val="00073DEA"/>
    <w:rsid w:val="00073ED3"/>
    <w:rsid w:val="00073F04"/>
    <w:rsid w:val="00073F05"/>
    <w:rsid w:val="00073FCB"/>
    <w:rsid w:val="00074195"/>
    <w:rsid w:val="0007437E"/>
    <w:rsid w:val="00074671"/>
    <w:rsid w:val="00074A0B"/>
    <w:rsid w:val="00074A4D"/>
    <w:rsid w:val="00074A7F"/>
    <w:rsid w:val="00074B9D"/>
    <w:rsid w:val="00074D64"/>
    <w:rsid w:val="00074E1B"/>
    <w:rsid w:val="00074EAA"/>
    <w:rsid w:val="00074F46"/>
    <w:rsid w:val="00075176"/>
    <w:rsid w:val="000751C5"/>
    <w:rsid w:val="000754E3"/>
    <w:rsid w:val="00075600"/>
    <w:rsid w:val="00075676"/>
    <w:rsid w:val="000756FB"/>
    <w:rsid w:val="00075741"/>
    <w:rsid w:val="000759D1"/>
    <w:rsid w:val="00075A1F"/>
    <w:rsid w:val="00075C06"/>
    <w:rsid w:val="00075FB4"/>
    <w:rsid w:val="00076008"/>
    <w:rsid w:val="00076143"/>
    <w:rsid w:val="0007617F"/>
    <w:rsid w:val="000761AB"/>
    <w:rsid w:val="00076221"/>
    <w:rsid w:val="00076244"/>
    <w:rsid w:val="00076457"/>
    <w:rsid w:val="00076B0F"/>
    <w:rsid w:val="00076C53"/>
    <w:rsid w:val="00076C87"/>
    <w:rsid w:val="00076E53"/>
    <w:rsid w:val="00076FC6"/>
    <w:rsid w:val="00077031"/>
    <w:rsid w:val="0007709C"/>
    <w:rsid w:val="00077478"/>
    <w:rsid w:val="0007757E"/>
    <w:rsid w:val="000775E6"/>
    <w:rsid w:val="000776CE"/>
    <w:rsid w:val="00077876"/>
    <w:rsid w:val="00077D15"/>
    <w:rsid w:val="00077E60"/>
    <w:rsid w:val="00077EC7"/>
    <w:rsid w:val="000800B6"/>
    <w:rsid w:val="00080107"/>
    <w:rsid w:val="00080207"/>
    <w:rsid w:val="0008025D"/>
    <w:rsid w:val="0008043C"/>
    <w:rsid w:val="000806E4"/>
    <w:rsid w:val="000808E2"/>
    <w:rsid w:val="00080A04"/>
    <w:rsid w:val="00080A9D"/>
    <w:rsid w:val="00080AEA"/>
    <w:rsid w:val="00080C28"/>
    <w:rsid w:val="00080F07"/>
    <w:rsid w:val="000810DD"/>
    <w:rsid w:val="000811F3"/>
    <w:rsid w:val="00081260"/>
    <w:rsid w:val="000812A3"/>
    <w:rsid w:val="000813F8"/>
    <w:rsid w:val="00081617"/>
    <w:rsid w:val="00081899"/>
    <w:rsid w:val="000818E9"/>
    <w:rsid w:val="00081942"/>
    <w:rsid w:val="00081A4A"/>
    <w:rsid w:val="00081A77"/>
    <w:rsid w:val="00081AE0"/>
    <w:rsid w:val="00081C09"/>
    <w:rsid w:val="00081DCA"/>
    <w:rsid w:val="00081DE3"/>
    <w:rsid w:val="00081DF4"/>
    <w:rsid w:val="00081E7B"/>
    <w:rsid w:val="0008208E"/>
    <w:rsid w:val="000821DB"/>
    <w:rsid w:val="00082315"/>
    <w:rsid w:val="0008240B"/>
    <w:rsid w:val="00082465"/>
    <w:rsid w:val="0008259E"/>
    <w:rsid w:val="000828CE"/>
    <w:rsid w:val="000828E8"/>
    <w:rsid w:val="00082998"/>
    <w:rsid w:val="00082A44"/>
    <w:rsid w:val="00082B76"/>
    <w:rsid w:val="00082BE0"/>
    <w:rsid w:val="00082D3F"/>
    <w:rsid w:val="000830CF"/>
    <w:rsid w:val="0008313E"/>
    <w:rsid w:val="0008333F"/>
    <w:rsid w:val="000833A7"/>
    <w:rsid w:val="000838EC"/>
    <w:rsid w:val="000839BB"/>
    <w:rsid w:val="00083A3B"/>
    <w:rsid w:val="00083B33"/>
    <w:rsid w:val="00083F63"/>
    <w:rsid w:val="0008401A"/>
    <w:rsid w:val="00084159"/>
    <w:rsid w:val="00084386"/>
    <w:rsid w:val="000843A3"/>
    <w:rsid w:val="00084410"/>
    <w:rsid w:val="00084454"/>
    <w:rsid w:val="00084645"/>
    <w:rsid w:val="0008476C"/>
    <w:rsid w:val="0008492C"/>
    <w:rsid w:val="0008493D"/>
    <w:rsid w:val="00084AB8"/>
    <w:rsid w:val="00084B60"/>
    <w:rsid w:val="00084ECA"/>
    <w:rsid w:val="00084F19"/>
    <w:rsid w:val="000852F8"/>
    <w:rsid w:val="0008532A"/>
    <w:rsid w:val="000853B1"/>
    <w:rsid w:val="0008541D"/>
    <w:rsid w:val="00085759"/>
    <w:rsid w:val="00085803"/>
    <w:rsid w:val="000858BA"/>
    <w:rsid w:val="0008592F"/>
    <w:rsid w:val="00085B18"/>
    <w:rsid w:val="00085C43"/>
    <w:rsid w:val="00085CA8"/>
    <w:rsid w:val="00085D10"/>
    <w:rsid w:val="00085DBD"/>
    <w:rsid w:val="000861F6"/>
    <w:rsid w:val="000862CD"/>
    <w:rsid w:val="00086318"/>
    <w:rsid w:val="00086615"/>
    <w:rsid w:val="000867CC"/>
    <w:rsid w:val="00086870"/>
    <w:rsid w:val="0008692D"/>
    <w:rsid w:val="00086991"/>
    <w:rsid w:val="000869A5"/>
    <w:rsid w:val="00086A5D"/>
    <w:rsid w:val="00086BB4"/>
    <w:rsid w:val="00086BCB"/>
    <w:rsid w:val="00086BDF"/>
    <w:rsid w:val="00086DE2"/>
    <w:rsid w:val="00086ECC"/>
    <w:rsid w:val="00086FBA"/>
    <w:rsid w:val="00087430"/>
    <w:rsid w:val="0008748F"/>
    <w:rsid w:val="00087FB6"/>
    <w:rsid w:val="0009000B"/>
    <w:rsid w:val="0009010E"/>
    <w:rsid w:val="00090152"/>
    <w:rsid w:val="00090155"/>
    <w:rsid w:val="00090277"/>
    <w:rsid w:val="0009051E"/>
    <w:rsid w:val="00090696"/>
    <w:rsid w:val="0009093F"/>
    <w:rsid w:val="00090A54"/>
    <w:rsid w:val="00090C17"/>
    <w:rsid w:val="00090DCC"/>
    <w:rsid w:val="00090EED"/>
    <w:rsid w:val="00090F21"/>
    <w:rsid w:val="00090F24"/>
    <w:rsid w:val="00090FBA"/>
    <w:rsid w:val="000910CA"/>
    <w:rsid w:val="000910D0"/>
    <w:rsid w:val="000911A9"/>
    <w:rsid w:val="00091358"/>
    <w:rsid w:val="0009157E"/>
    <w:rsid w:val="0009161F"/>
    <w:rsid w:val="000917AB"/>
    <w:rsid w:val="000919C5"/>
    <w:rsid w:val="00091B45"/>
    <w:rsid w:val="00091B6B"/>
    <w:rsid w:val="00091C07"/>
    <w:rsid w:val="00091C45"/>
    <w:rsid w:val="00091D2D"/>
    <w:rsid w:val="00091DA1"/>
    <w:rsid w:val="00091E0B"/>
    <w:rsid w:val="00091EB4"/>
    <w:rsid w:val="0009203C"/>
    <w:rsid w:val="00092197"/>
    <w:rsid w:val="00092230"/>
    <w:rsid w:val="0009225E"/>
    <w:rsid w:val="00092319"/>
    <w:rsid w:val="00092518"/>
    <w:rsid w:val="00092851"/>
    <w:rsid w:val="00092A00"/>
    <w:rsid w:val="00092C01"/>
    <w:rsid w:val="00092CC5"/>
    <w:rsid w:val="00092D43"/>
    <w:rsid w:val="00092DC1"/>
    <w:rsid w:val="00092DD1"/>
    <w:rsid w:val="00092E5E"/>
    <w:rsid w:val="0009301F"/>
    <w:rsid w:val="00093029"/>
    <w:rsid w:val="000932CA"/>
    <w:rsid w:val="00093348"/>
    <w:rsid w:val="0009342B"/>
    <w:rsid w:val="000937F4"/>
    <w:rsid w:val="00093B6F"/>
    <w:rsid w:val="00093BE0"/>
    <w:rsid w:val="00093CEB"/>
    <w:rsid w:val="00093D1B"/>
    <w:rsid w:val="00093D96"/>
    <w:rsid w:val="00093DF8"/>
    <w:rsid w:val="00093FFC"/>
    <w:rsid w:val="00094098"/>
    <w:rsid w:val="000940A3"/>
    <w:rsid w:val="000941B2"/>
    <w:rsid w:val="0009444D"/>
    <w:rsid w:val="000944B6"/>
    <w:rsid w:val="00094504"/>
    <w:rsid w:val="000946D9"/>
    <w:rsid w:val="00094832"/>
    <w:rsid w:val="000948DB"/>
    <w:rsid w:val="000949BC"/>
    <w:rsid w:val="00094D07"/>
    <w:rsid w:val="00094D78"/>
    <w:rsid w:val="00094FCF"/>
    <w:rsid w:val="000950DA"/>
    <w:rsid w:val="0009526F"/>
    <w:rsid w:val="000952E4"/>
    <w:rsid w:val="00095300"/>
    <w:rsid w:val="000953F4"/>
    <w:rsid w:val="000954AD"/>
    <w:rsid w:val="0009576F"/>
    <w:rsid w:val="00095975"/>
    <w:rsid w:val="000959A3"/>
    <w:rsid w:val="00095A7E"/>
    <w:rsid w:val="00095AC5"/>
    <w:rsid w:val="00095B29"/>
    <w:rsid w:val="00095EC9"/>
    <w:rsid w:val="00096060"/>
    <w:rsid w:val="000960D6"/>
    <w:rsid w:val="000960E9"/>
    <w:rsid w:val="000961DB"/>
    <w:rsid w:val="00096256"/>
    <w:rsid w:val="00096444"/>
    <w:rsid w:val="000964CA"/>
    <w:rsid w:val="00096822"/>
    <w:rsid w:val="00096920"/>
    <w:rsid w:val="00096928"/>
    <w:rsid w:val="0009699B"/>
    <w:rsid w:val="00096B06"/>
    <w:rsid w:val="00096B74"/>
    <w:rsid w:val="00097084"/>
    <w:rsid w:val="000970DB"/>
    <w:rsid w:val="000972AA"/>
    <w:rsid w:val="000973D8"/>
    <w:rsid w:val="00097500"/>
    <w:rsid w:val="00097509"/>
    <w:rsid w:val="0009775D"/>
    <w:rsid w:val="0009776E"/>
    <w:rsid w:val="000977CA"/>
    <w:rsid w:val="000977ED"/>
    <w:rsid w:val="0009787D"/>
    <w:rsid w:val="000978B0"/>
    <w:rsid w:val="000978E1"/>
    <w:rsid w:val="00097AA1"/>
    <w:rsid w:val="00097AB5"/>
    <w:rsid w:val="00097B0D"/>
    <w:rsid w:val="00097B5D"/>
    <w:rsid w:val="00097FB4"/>
    <w:rsid w:val="000A0115"/>
    <w:rsid w:val="000A0278"/>
    <w:rsid w:val="000A03D6"/>
    <w:rsid w:val="000A042E"/>
    <w:rsid w:val="000A0490"/>
    <w:rsid w:val="000A04A6"/>
    <w:rsid w:val="000A0768"/>
    <w:rsid w:val="000A07C3"/>
    <w:rsid w:val="000A0885"/>
    <w:rsid w:val="000A0A8D"/>
    <w:rsid w:val="000A0B9E"/>
    <w:rsid w:val="000A0C15"/>
    <w:rsid w:val="000A0E28"/>
    <w:rsid w:val="000A1067"/>
    <w:rsid w:val="000A1112"/>
    <w:rsid w:val="000A112E"/>
    <w:rsid w:val="000A14E5"/>
    <w:rsid w:val="000A162F"/>
    <w:rsid w:val="000A16AF"/>
    <w:rsid w:val="000A17B3"/>
    <w:rsid w:val="000A183A"/>
    <w:rsid w:val="000A19E5"/>
    <w:rsid w:val="000A1A4C"/>
    <w:rsid w:val="000A1ACB"/>
    <w:rsid w:val="000A1B62"/>
    <w:rsid w:val="000A1D3A"/>
    <w:rsid w:val="000A1E80"/>
    <w:rsid w:val="000A1E9A"/>
    <w:rsid w:val="000A1EAC"/>
    <w:rsid w:val="000A1EF2"/>
    <w:rsid w:val="000A2078"/>
    <w:rsid w:val="000A218E"/>
    <w:rsid w:val="000A221D"/>
    <w:rsid w:val="000A221E"/>
    <w:rsid w:val="000A22FD"/>
    <w:rsid w:val="000A23F3"/>
    <w:rsid w:val="000A27CD"/>
    <w:rsid w:val="000A280E"/>
    <w:rsid w:val="000A2816"/>
    <w:rsid w:val="000A28CD"/>
    <w:rsid w:val="000A2981"/>
    <w:rsid w:val="000A2B9C"/>
    <w:rsid w:val="000A2D36"/>
    <w:rsid w:val="000A2D4F"/>
    <w:rsid w:val="000A2E9F"/>
    <w:rsid w:val="000A3083"/>
    <w:rsid w:val="000A316B"/>
    <w:rsid w:val="000A31BA"/>
    <w:rsid w:val="000A3219"/>
    <w:rsid w:val="000A33D2"/>
    <w:rsid w:val="000A342E"/>
    <w:rsid w:val="000A3645"/>
    <w:rsid w:val="000A36EC"/>
    <w:rsid w:val="000A3761"/>
    <w:rsid w:val="000A379E"/>
    <w:rsid w:val="000A3896"/>
    <w:rsid w:val="000A3934"/>
    <w:rsid w:val="000A3981"/>
    <w:rsid w:val="000A3AC5"/>
    <w:rsid w:val="000A3CBA"/>
    <w:rsid w:val="000A3DAF"/>
    <w:rsid w:val="000A3E70"/>
    <w:rsid w:val="000A40BB"/>
    <w:rsid w:val="000A41AC"/>
    <w:rsid w:val="000A426A"/>
    <w:rsid w:val="000A43E0"/>
    <w:rsid w:val="000A45FD"/>
    <w:rsid w:val="000A4C69"/>
    <w:rsid w:val="000A4C78"/>
    <w:rsid w:val="000A4DB3"/>
    <w:rsid w:val="000A4F86"/>
    <w:rsid w:val="000A4FE1"/>
    <w:rsid w:val="000A50FF"/>
    <w:rsid w:val="000A53CD"/>
    <w:rsid w:val="000A53FE"/>
    <w:rsid w:val="000A54AF"/>
    <w:rsid w:val="000A56E0"/>
    <w:rsid w:val="000A5742"/>
    <w:rsid w:val="000A59EE"/>
    <w:rsid w:val="000A5A6A"/>
    <w:rsid w:val="000A5B3D"/>
    <w:rsid w:val="000A5C83"/>
    <w:rsid w:val="000A5D96"/>
    <w:rsid w:val="000A5DF6"/>
    <w:rsid w:val="000A5E18"/>
    <w:rsid w:val="000A5E9D"/>
    <w:rsid w:val="000A5F13"/>
    <w:rsid w:val="000A601F"/>
    <w:rsid w:val="000A6059"/>
    <w:rsid w:val="000A6186"/>
    <w:rsid w:val="000A6306"/>
    <w:rsid w:val="000A6317"/>
    <w:rsid w:val="000A647F"/>
    <w:rsid w:val="000A64A7"/>
    <w:rsid w:val="000A698F"/>
    <w:rsid w:val="000A6A20"/>
    <w:rsid w:val="000A6A71"/>
    <w:rsid w:val="000A6B87"/>
    <w:rsid w:val="000A6C64"/>
    <w:rsid w:val="000A6C71"/>
    <w:rsid w:val="000A6CD4"/>
    <w:rsid w:val="000A6CFE"/>
    <w:rsid w:val="000A71A8"/>
    <w:rsid w:val="000A7290"/>
    <w:rsid w:val="000A746C"/>
    <w:rsid w:val="000A7568"/>
    <w:rsid w:val="000A773E"/>
    <w:rsid w:val="000A7777"/>
    <w:rsid w:val="000A7999"/>
    <w:rsid w:val="000A7ECC"/>
    <w:rsid w:val="000A7F0F"/>
    <w:rsid w:val="000B00AD"/>
    <w:rsid w:val="000B04F7"/>
    <w:rsid w:val="000B0642"/>
    <w:rsid w:val="000B0647"/>
    <w:rsid w:val="000B072B"/>
    <w:rsid w:val="000B0826"/>
    <w:rsid w:val="000B085B"/>
    <w:rsid w:val="000B0984"/>
    <w:rsid w:val="000B09E4"/>
    <w:rsid w:val="000B0C6A"/>
    <w:rsid w:val="000B0E6E"/>
    <w:rsid w:val="000B0F49"/>
    <w:rsid w:val="000B0F99"/>
    <w:rsid w:val="000B0FC9"/>
    <w:rsid w:val="000B1059"/>
    <w:rsid w:val="000B108E"/>
    <w:rsid w:val="000B11AA"/>
    <w:rsid w:val="000B11ED"/>
    <w:rsid w:val="000B122E"/>
    <w:rsid w:val="000B1260"/>
    <w:rsid w:val="000B12B4"/>
    <w:rsid w:val="000B1423"/>
    <w:rsid w:val="000B157C"/>
    <w:rsid w:val="000B15AD"/>
    <w:rsid w:val="000B15D1"/>
    <w:rsid w:val="000B17AB"/>
    <w:rsid w:val="000B183F"/>
    <w:rsid w:val="000B1891"/>
    <w:rsid w:val="000B1A4D"/>
    <w:rsid w:val="000B1BC6"/>
    <w:rsid w:val="000B1BE7"/>
    <w:rsid w:val="000B1C9E"/>
    <w:rsid w:val="000B1F6A"/>
    <w:rsid w:val="000B1FF2"/>
    <w:rsid w:val="000B20C2"/>
    <w:rsid w:val="000B20D6"/>
    <w:rsid w:val="000B20FD"/>
    <w:rsid w:val="000B2279"/>
    <w:rsid w:val="000B2585"/>
    <w:rsid w:val="000B2593"/>
    <w:rsid w:val="000B2A1A"/>
    <w:rsid w:val="000B2AA8"/>
    <w:rsid w:val="000B2B81"/>
    <w:rsid w:val="000B2C2A"/>
    <w:rsid w:val="000B2E0A"/>
    <w:rsid w:val="000B3016"/>
    <w:rsid w:val="000B3043"/>
    <w:rsid w:val="000B3061"/>
    <w:rsid w:val="000B30C6"/>
    <w:rsid w:val="000B313B"/>
    <w:rsid w:val="000B328C"/>
    <w:rsid w:val="000B3317"/>
    <w:rsid w:val="000B33EB"/>
    <w:rsid w:val="000B3537"/>
    <w:rsid w:val="000B35EB"/>
    <w:rsid w:val="000B3801"/>
    <w:rsid w:val="000B3893"/>
    <w:rsid w:val="000B39A6"/>
    <w:rsid w:val="000B3A9F"/>
    <w:rsid w:val="000B3B29"/>
    <w:rsid w:val="000B3B99"/>
    <w:rsid w:val="000B4001"/>
    <w:rsid w:val="000B43EC"/>
    <w:rsid w:val="000B459E"/>
    <w:rsid w:val="000B4626"/>
    <w:rsid w:val="000B46CC"/>
    <w:rsid w:val="000B46D6"/>
    <w:rsid w:val="000B46DA"/>
    <w:rsid w:val="000B478D"/>
    <w:rsid w:val="000B4997"/>
    <w:rsid w:val="000B49B4"/>
    <w:rsid w:val="000B4AD8"/>
    <w:rsid w:val="000B4B24"/>
    <w:rsid w:val="000B4BE2"/>
    <w:rsid w:val="000B4C25"/>
    <w:rsid w:val="000B4E3E"/>
    <w:rsid w:val="000B506A"/>
    <w:rsid w:val="000B50DB"/>
    <w:rsid w:val="000B5140"/>
    <w:rsid w:val="000B5400"/>
    <w:rsid w:val="000B5482"/>
    <w:rsid w:val="000B5491"/>
    <w:rsid w:val="000B55ED"/>
    <w:rsid w:val="000B563C"/>
    <w:rsid w:val="000B56AB"/>
    <w:rsid w:val="000B57BA"/>
    <w:rsid w:val="000B57C7"/>
    <w:rsid w:val="000B5862"/>
    <w:rsid w:val="000B58C9"/>
    <w:rsid w:val="000B5904"/>
    <w:rsid w:val="000B59F2"/>
    <w:rsid w:val="000B5A8D"/>
    <w:rsid w:val="000B5AC9"/>
    <w:rsid w:val="000B5D6E"/>
    <w:rsid w:val="000B5E2E"/>
    <w:rsid w:val="000B5E64"/>
    <w:rsid w:val="000B5E80"/>
    <w:rsid w:val="000B5F0B"/>
    <w:rsid w:val="000B6393"/>
    <w:rsid w:val="000B666C"/>
    <w:rsid w:val="000B681B"/>
    <w:rsid w:val="000B68E2"/>
    <w:rsid w:val="000B6A6E"/>
    <w:rsid w:val="000B6A9A"/>
    <w:rsid w:val="000B6C3B"/>
    <w:rsid w:val="000B6E14"/>
    <w:rsid w:val="000B7122"/>
    <w:rsid w:val="000B7230"/>
    <w:rsid w:val="000B72E9"/>
    <w:rsid w:val="000B7498"/>
    <w:rsid w:val="000B751C"/>
    <w:rsid w:val="000B7618"/>
    <w:rsid w:val="000B767A"/>
    <w:rsid w:val="000B7862"/>
    <w:rsid w:val="000B7BF7"/>
    <w:rsid w:val="000B7BFF"/>
    <w:rsid w:val="000B7CE9"/>
    <w:rsid w:val="000C005A"/>
    <w:rsid w:val="000C01A1"/>
    <w:rsid w:val="000C01DE"/>
    <w:rsid w:val="000C0224"/>
    <w:rsid w:val="000C02F7"/>
    <w:rsid w:val="000C02F9"/>
    <w:rsid w:val="000C03CD"/>
    <w:rsid w:val="000C0586"/>
    <w:rsid w:val="000C05B4"/>
    <w:rsid w:val="000C0987"/>
    <w:rsid w:val="000C0994"/>
    <w:rsid w:val="000C09F5"/>
    <w:rsid w:val="000C0E37"/>
    <w:rsid w:val="000C129B"/>
    <w:rsid w:val="000C137A"/>
    <w:rsid w:val="000C139E"/>
    <w:rsid w:val="000C13C1"/>
    <w:rsid w:val="000C13E9"/>
    <w:rsid w:val="000C1440"/>
    <w:rsid w:val="000C1452"/>
    <w:rsid w:val="000C1507"/>
    <w:rsid w:val="000C1566"/>
    <w:rsid w:val="000C1675"/>
    <w:rsid w:val="000C1ADB"/>
    <w:rsid w:val="000C1CAE"/>
    <w:rsid w:val="000C1F05"/>
    <w:rsid w:val="000C2033"/>
    <w:rsid w:val="000C2071"/>
    <w:rsid w:val="000C2606"/>
    <w:rsid w:val="000C292D"/>
    <w:rsid w:val="000C2ABC"/>
    <w:rsid w:val="000C2AE1"/>
    <w:rsid w:val="000C2C16"/>
    <w:rsid w:val="000C2C62"/>
    <w:rsid w:val="000C2C78"/>
    <w:rsid w:val="000C2E8B"/>
    <w:rsid w:val="000C2F0E"/>
    <w:rsid w:val="000C2FC1"/>
    <w:rsid w:val="000C303B"/>
    <w:rsid w:val="000C3249"/>
    <w:rsid w:val="000C3284"/>
    <w:rsid w:val="000C33EE"/>
    <w:rsid w:val="000C340A"/>
    <w:rsid w:val="000C3432"/>
    <w:rsid w:val="000C3648"/>
    <w:rsid w:val="000C3710"/>
    <w:rsid w:val="000C381A"/>
    <w:rsid w:val="000C3926"/>
    <w:rsid w:val="000C3B40"/>
    <w:rsid w:val="000C3B65"/>
    <w:rsid w:val="000C3BDB"/>
    <w:rsid w:val="000C3CA8"/>
    <w:rsid w:val="000C3F20"/>
    <w:rsid w:val="000C3F98"/>
    <w:rsid w:val="000C4042"/>
    <w:rsid w:val="000C412F"/>
    <w:rsid w:val="000C458C"/>
    <w:rsid w:val="000C45B0"/>
    <w:rsid w:val="000C45F0"/>
    <w:rsid w:val="000C4706"/>
    <w:rsid w:val="000C4751"/>
    <w:rsid w:val="000C4836"/>
    <w:rsid w:val="000C4B95"/>
    <w:rsid w:val="000C4CB3"/>
    <w:rsid w:val="000C4D46"/>
    <w:rsid w:val="000C4D5D"/>
    <w:rsid w:val="000C4DA9"/>
    <w:rsid w:val="000C4EA8"/>
    <w:rsid w:val="000C4F47"/>
    <w:rsid w:val="000C5270"/>
    <w:rsid w:val="000C52DD"/>
    <w:rsid w:val="000C52F9"/>
    <w:rsid w:val="000C531C"/>
    <w:rsid w:val="000C5459"/>
    <w:rsid w:val="000C5B9E"/>
    <w:rsid w:val="000C5BA5"/>
    <w:rsid w:val="000C5E19"/>
    <w:rsid w:val="000C5E98"/>
    <w:rsid w:val="000C5FF2"/>
    <w:rsid w:val="000C6220"/>
    <w:rsid w:val="000C63DD"/>
    <w:rsid w:val="000C64A0"/>
    <w:rsid w:val="000C64CE"/>
    <w:rsid w:val="000C661A"/>
    <w:rsid w:val="000C69CE"/>
    <w:rsid w:val="000C69F7"/>
    <w:rsid w:val="000C6A43"/>
    <w:rsid w:val="000C6B14"/>
    <w:rsid w:val="000C6B31"/>
    <w:rsid w:val="000C6B53"/>
    <w:rsid w:val="000C6CB8"/>
    <w:rsid w:val="000C6DDD"/>
    <w:rsid w:val="000C6E4C"/>
    <w:rsid w:val="000C6EDE"/>
    <w:rsid w:val="000C6F64"/>
    <w:rsid w:val="000C70E1"/>
    <w:rsid w:val="000C71B3"/>
    <w:rsid w:val="000C724E"/>
    <w:rsid w:val="000C73DE"/>
    <w:rsid w:val="000C743D"/>
    <w:rsid w:val="000C748A"/>
    <w:rsid w:val="000C74DC"/>
    <w:rsid w:val="000C76D9"/>
    <w:rsid w:val="000C7719"/>
    <w:rsid w:val="000C77FB"/>
    <w:rsid w:val="000C7DAE"/>
    <w:rsid w:val="000C7F58"/>
    <w:rsid w:val="000C7FC0"/>
    <w:rsid w:val="000D04B9"/>
    <w:rsid w:val="000D0510"/>
    <w:rsid w:val="000D0683"/>
    <w:rsid w:val="000D0BE3"/>
    <w:rsid w:val="000D0C82"/>
    <w:rsid w:val="000D0D3A"/>
    <w:rsid w:val="000D0E84"/>
    <w:rsid w:val="000D0F4A"/>
    <w:rsid w:val="000D0F4F"/>
    <w:rsid w:val="000D1031"/>
    <w:rsid w:val="000D1275"/>
    <w:rsid w:val="000D12EE"/>
    <w:rsid w:val="000D1414"/>
    <w:rsid w:val="000D17CF"/>
    <w:rsid w:val="000D17F8"/>
    <w:rsid w:val="000D1AEE"/>
    <w:rsid w:val="000D1C3F"/>
    <w:rsid w:val="000D1C72"/>
    <w:rsid w:val="000D1CDB"/>
    <w:rsid w:val="000D1DAA"/>
    <w:rsid w:val="000D1EB4"/>
    <w:rsid w:val="000D2060"/>
    <w:rsid w:val="000D20DA"/>
    <w:rsid w:val="000D233E"/>
    <w:rsid w:val="000D244D"/>
    <w:rsid w:val="000D2517"/>
    <w:rsid w:val="000D270B"/>
    <w:rsid w:val="000D2736"/>
    <w:rsid w:val="000D29B0"/>
    <w:rsid w:val="000D2A03"/>
    <w:rsid w:val="000D2AA4"/>
    <w:rsid w:val="000D2B4F"/>
    <w:rsid w:val="000D2BFF"/>
    <w:rsid w:val="000D2C4B"/>
    <w:rsid w:val="000D2C75"/>
    <w:rsid w:val="000D2D2E"/>
    <w:rsid w:val="000D2DCD"/>
    <w:rsid w:val="000D3039"/>
    <w:rsid w:val="000D3203"/>
    <w:rsid w:val="000D34A0"/>
    <w:rsid w:val="000D353B"/>
    <w:rsid w:val="000D354C"/>
    <w:rsid w:val="000D35F0"/>
    <w:rsid w:val="000D35FD"/>
    <w:rsid w:val="000D3638"/>
    <w:rsid w:val="000D3734"/>
    <w:rsid w:val="000D3762"/>
    <w:rsid w:val="000D3891"/>
    <w:rsid w:val="000D38A8"/>
    <w:rsid w:val="000D3DAE"/>
    <w:rsid w:val="000D3DEA"/>
    <w:rsid w:val="000D3EEB"/>
    <w:rsid w:val="000D3F11"/>
    <w:rsid w:val="000D3F65"/>
    <w:rsid w:val="000D40BA"/>
    <w:rsid w:val="000D423E"/>
    <w:rsid w:val="000D4432"/>
    <w:rsid w:val="000D459A"/>
    <w:rsid w:val="000D4785"/>
    <w:rsid w:val="000D48E5"/>
    <w:rsid w:val="000D4AAF"/>
    <w:rsid w:val="000D4C46"/>
    <w:rsid w:val="000D4D7A"/>
    <w:rsid w:val="000D4FED"/>
    <w:rsid w:val="000D5088"/>
    <w:rsid w:val="000D56D1"/>
    <w:rsid w:val="000D59D8"/>
    <w:rsid w:val="000D5A0E"/>
    <w:rsid w:val="000D5B39"/>
    <w:rsid w:val="000D5DB4"/>
    <w:rsid w:val="000D61DE"/>
    <w:rsid w:val="000D624F"/>
    <w:rsid w:val="000D6269"/>
    <w:rsid w:val="000D6533"/>
    <w:rsid w:val="000D656E"/>
    <w:rsid w:val="000D66DA"/>
    <w:rsid w:val="000D697D"/>
    <w:rsid w:val="000D698D"/>
    <w:rsid w:val="000D6AE7"/>
    <w:rsid w:val="000D6B4B"/>
    <w:rsid w:val="000D6C70"/>
    <w:rsid w:val="000D6C7F"/>
    <w:rsid w:val="000D6D3E"/>
    <w:rsid w:val="000D6E40"/>
    <w:rsid w:val="000D7012"/>
    <w:rsid w:val="000D7023"/>
    <w:rsid w:val="000D73B2"/>
    <w:rsid w:val="000D73D0"/>
    <w:rsid w:val="000D746A"/>
    <w:rsid w:val="000D751A"/>
    <w:rsid w:val="000D7660"/>
    <w:rsid w:val="000D7784"/>
    <w:rsid w:val="000D7819"/>
    <w:rsid w:val="000D78BF"/>
    <w:rsid w:val="000D7976"/>
    <w:rsid w:val="000D7AC6"/>
    <w:rsid w:val="000D7B3A"/>
    <w:rsid w:val="000D7D63"/>
    <w:rsid w:val="000D7FDE"/>
    <w:rsid w:val="000E01AF"/>
    <w:rsid w:val="000E021C"/>
    <w:rsid w:val="000E0422"/>
    <w:rsid w:val="000E04DF"/>
    <w:rsid w:val="000E053D"/>
    <w:rsid w:val="000E088C"/>
    <w:rsid w:val="000E0A6A"/>
    <w:rsid w:val="000E0B36"/>
    <w:rsid w:val="000E0B78"/>
    <w:rsid w:val="000E0EB5"/>
    <w:rsid w:val="000E0F97"/>
    <w:rsid w:val="000E1196"/>
    <w:rsid w:val="000E123D"/>
    <w:rsid w:val="000E127C"/>
    <w:rsid w:val="000E12C7"/>
    <w:rsid w:val="000E140D"/>
    <w:rsid w:val="000E14EF"/>
    <w:rsid w:val="000E15AC"/>
    <w:rsid w:val="000E17A9"/>
    <w:rsid w:val="000E18E6"/>
    <w:rsid w:val="000E196A"/>
    <w:rsid w:val="000E1A2B"/>
    <w:rsid w:val="000E1AF2"/>
    <w:rsid w:val="000E1BFE"/>
    <w:rsid w:val="000E1D3D"/>
    <w:rsid w:val="000E1D67"/>
    <w:rsid w:val="000E1DF6"/>
    <w:rsid w:val="000E1EF3"/>
    <w:rsid w:val="000E1FC2"/>
    <w:rsid w:val="000E1FDA"/>
    <w:rsid w:val="000E20A4"/>
    <w:rsid w:val="000E2109"/>
    <w:rsid w:val="000E2110"/>
    <w:rsid w:val="000E21F0"/>
    <w:rsid w:val="000E22FB"/>
    <w:rsid w:val="000E236A"/>
    <w:rsid w:val="000E244C"/>
    <w:rsid w:val="000E282A"/>
    <w:rsid w:val="000E29E3"/>
    <w:rsid w:val="000E2A35"/>
    <w:rsid w:val="000E2B40"/>
    <w:rsid w:val="000E2B94"/>
    <w:rsid w:val="000E2C1A"/>
    <w:rsid w:val="000E2CE0"/>
    <w:rsid w:val="000E2D5D"/>
    <w:rsid w:val="000E2D6A"/>
    <w:rsid w:val="000E30F4"/>
    <w:rsid w:val="000E3162"/>
    <w:rsid w:val="000E3424"/>
    <w:rsid w:val="000E34D0"/>
    <w:rsid w:val="000E3507"/>
    <w:rsid w:val="000E366A"/>
    <w:rsid w:val="000E38D6"/>
    <w:rsid w:val="000E399F"/>
    <w:rsid w:val="000E3AD2"/>
    <w:rsid w:val="000E3BD0"/>
    <w:rsid w:val="000E3C1D"/>
    <w:rsid w:val="000E3CD6"/>
    <w:rsid w:val="000E3CE7"/>
    <w:rsid w:val="000E3DE6"/>
    <w:rsid w:val="000E3E76"/>
    <w:rsid w:val="000E4038"/>
    <w:rsid w:val="000E4177"/>
    <w:rsid w:val="000E4355"/>
    <w:rsid w:val="000E43CC"/>
    <w:rsid w:val="000E47A5"/>
    <w:rsid w:val="000E4D12"/>
    <w:rsid w:val="000E4D31"/>
    <w:rsid w:val="000E4DF9"/>
    <w:rsid w:val="000E4E81"/>
    <w:rsid w:val="000E4EC7"/>
    <w:rsid w:val="000E5127"/>
    <w:rsid w:val="000E528D"/>
    <w:rsid w:val="000E5489"/>
    <w:rsid w:val="000E55D3"/>
    <w:rsid w:val="000E55D9"/>
    <w:rsid w:val="000E5780"/>
    <w:rsid w:val="000E5885"/>
    <w:rsid w:val="000E59DC"/>
    <w:rsid w:val="000E59F5"/>
    <w:rsid w:val="000E5AE0"/>
    <w:rsid w:val="000E5B9C"/>
    <w:rsid w:val="000E5C4C"/>
    <w:rsid w:val="000E5C5D"/>
    <w:rsid w:val="000E5DBC"/>
    <w:rsid w:val="000E5DCC"/>
    <w:rsid w:val="000E5E60"/>
    <w:rsid w:val="000E5EC6"/>
    <w:rsid w:val="000E5EDB"/>
    <w:rsid w:val="000E5F89"/>
    <w:rsid w:val="000E61D0"/>
    <w:rsid w:val="000E635A"/>
    <w:rsid w:val="000E669F"/>
    <w:rsid w:val="000E676A"/>
    <w:rsid w:val="000E67E6"/>
    <w:rsid w:val="000E6A5C"/>
    <w:rsid w:val="000E6AFA"/>
    <w:rsid w:val="000E6B74"/>
    <w:rsid w:val="000E6C10"/>
    <w:rsid w:val="000E6C30"/>
    <w:rsid w:val="000E6E7D"/>
    <w:rsid w:val="000E6ED6"/>
    <w:rsid w:val="000E6EDD"/>
    <w:rsid w:val="000E6F7C"/>
    <w:rsid w:val="000E70C1"/>
    <w:rsid w:val="000E713B"/>
    <w:rsid w:val="000E715B"/>
    <w:rsid w:val="000E71C4"/>
    <w:rsid w:val="000E724B"/>
    <w:rsid w:val="000E7578"/>
    <w:rsid w:val="000E762F"/>
    <w:rsid w:val="000E788C"/>
    <w:rsid w:val="000E78AD"/>
    <w:rsid w:val="000E7A31"/>
    <w:rsid w:val="000E7ACC"/>
    <w:rsid w:val="000E7C4A"/>
    <w:rsid w:val="000E7C7C"/>
    <w:rsid w:val="000E7EC5"/>
    <w:rsid w:val="000F0124"/>
    <w:rsid w:val="000F03DF"/>
    <w:rsid w:val="000F0405"/>
    <w:rsid w:val="000F0599"/>
    <w:rsid w:val="000F0617"/>
    <w:rsid w:val="000F0687"/>
    <w:rsid w:val="000F06E6"/>
    <w:rsid w:val="000F06FB"/>
    <w:rsid w:val="000F092E"/>
    <w:rsid w:val="000F0D2E"/>
    <w:rsid w:val="000F1054"/>
    <w:rsid w:val="000F105A"/>
    <w:rsid w:val="000F11F3"/>
    <w:rsid w:val="000F1379"/>
    <w:rsid w:val="000F14BF"/>
    <w:rsid w:val="000F1645"/>
    <w:rsid w:val="000F1696"/>
    <w:rsid w:val="000F169B"/>
    <w:rsid w:val="000F17A4"/>
    <w:rsid w:val="000F1908"/>
    <w:rsid w:val="000F191A"/>
    <w:rsid w:val="000F1999"/>
    <w:rsid w:val="000F1A04"/>
    <w:rsid w:val="000F1A7F"/>
    <w:rsid w:val="000F1CDB"/>
    <w:rsid w:val="000F1D07"/>
    <w:rsid w:val="000F1F3B"/>
    <w:rsid w:val="000F203C"/>
    <w:rsid w:val="000F2120"/>
    <w:rsid w:val="000F21A4"/>
    <w:rsid w:val="000F224A"/>
    <w:rsid w:val="000F22FA"/>
    <w:rsid w:val="000F264E"/>
    <w:rsid w:val="000F27ED"/>
    <w:rsid w:val="000F2800"/>
    <w:rsid w:val="000F28B3"/>
    <w:rsid w:val="000F31DA"/>
    <w:rsid w:val="000F3218"/>
    <w:rsid w:val="000F3358"/>
    <w:rsid w:val="000F353A"/>
    <w:rsid w:val="000F3855"/>
    <w:rsid w:val="000F3C2E"/>
    <w:rsid w:val="000F3CC7"/>
    <w:rsid w:val="000F4276"/>
    <w:rsid w:val="000F435E"/>
    <w:rsid w:val="000F43A0"/>
    <w:rsid w:val="000F43A4"/>
    <w:rsid w:val="000F46B8"/>
    <w:rsid w:val="000F4863"/>
    <w:rsid w:val="000F4915"/>
    <w:rsid w:val="000F4B4C"/>
    <w:rsid w:val="000F4BFF"/>
    <w:rsid w:val="000F4E0D"/>
    <w:rsid w:val="000F4E1F"/>
    <w:rsid w:val="000F4E83"/>
    <w:rsid w:val="000F4F9C"/>
    <w:rsid w:val="000F5129"/>
    <w:rsid w:val="000F5148"/>
    <w:rsid w:val="000F539B"/>
    <w:rsid w:val="000F552C"/>
    <w:rsid w:val="000F5749"/>
    <w:rsid w:val="000F58DE"/>
    <w:rsid w:val="000F58FE"/>
    <w:rsid w:val="000F59E2"/>
    <w:rsid w:val="000F5A0E"/>
    <w:rsid w:val="000F5B2B"/>
    <w:rsid w:val="000F5D54"/>
    <w:rsid w:val="000F5D9B"/>
    <w:rsid w:val="000F5DC2"/>
    <w:rsid w:val="000F5E1B"/>
    <w:rsid w:val="000F5E85"/>
    <w:rsid w:val="000F5F56"/>
    <w:rsid w:val="000F5FD5"/>
    <w:rsid w:val="000F60D7"/>
    <w:rsid w:val="000F6119"/>
    <w:rsid w:val="000F657F"/>
    <w:rsid w:val="000F6652"/>
    <w:rsid w:val="000F6745"/>
    <w:rsid w:val="000F6758"/>
    <w:rsid w:val="000F676D"/>
    <w:rsid w:val="000F6AD3"/>
    <w:rsid w:val="000F6D05"/>
    <w:rsid w:val="000F6FA1"/>
    <w:rsid w:val="000F71F2"/>
    <w:rsid w:val="000F7236"/>
    <w:rsid w:val="000F73B0"/>
    <w:rsid w:val="000F73E8"/>
    <w:rsid w:val="000F7523"/>
    <w:rsid w:val="000F75CE"/>
    <w:rsid w:val="000F7810"/>
    <w:rsid w:val="000F7855"/>
    <w:rsid w:val="000F7A25"/>
    <w:rsid w:val="000F7A6C"/>
    <w:rsid w:val="000F7B51"/>
    <w:rsid w:val="000F7BF2"/>
    <w:rsid w:val="000F7C6C"/>
    <w:rsid w:val="000F7DCB"/>
    <w:rsid w:val="0010009B"/>
    <w:rsid w:val="00100184"/>
    <w:rsid w:val="00100304"/>
    <w:rsid w:val="001003BA"/>
    <w:rsid w:val="0010048C"/>
    <w:rsid w:val="0010051F"/>
    <w:rsid w:val="00100528"/>
    <w:rsid w:val="0010064E"/>
    <w:rsid w:val="00100724"/>
    <w:rsid w:val="001007CE"/>
    <w:rsid w:val="001009D1"/>
    <w:rsid w:val="001009E5"/>
    <w:rsid w:val="00100A80"/>
    <w:rsid w:val="00100CFC"/>
    <w:rsid w:val="00100F65"/>
    <w:rsid w:val="00100FA0"/>
    <w:rsid w:val="001011F1"/>
    <w:rsid w:val="001015A4"/>
    <w:rsid w:val="001016A8"/>
    <w:rsid w:val="001017B9"/>
    <w:rsid w:val="001017F5"/>
    <w:rsid w:val="00101B80"/>
    <w:rsid w:val="00101C21"/>
    <w:rsid w:val="00101C73"/>
    <w:rsid w:val="00101CA7"/>
    <w:rsid w:val="00101E05"/>
    <w:rsid w:val="00101EC5"/>
    <w:rsid w:val="001022C0"/>
    <w:rsid w:val="001022E9"/>
    <w:rsid w:val="001023A6"/>
    <w:rsid w:val="00102525"/>
    <w:rsid w:val="00102671"/>
    <w:rsid w:val="00102721"/>
    <w:rsid w:val="00102766"/>
    <w:rsid w:val="001029CF"/>
    <w:rsid w:val="00102BA7"/>
    <w:rsid w:val="00102C1C"/>
    <w:rsid w:val="00102D78"/>
    <w:rsid w:val="00102DA9"/>
    <w:rsid w:val="00102DB8"/>
    <w:rsid w:val="00102E40"/>
    <w:rsid w:val="00102FA0"/>
    <w:rsid w:val="00102FF0"/>
    <w:rsid w:val="0010318F"/>
    <w:rsid w:val="00103233"/>
    <w:rsid w:val="001039E0"/>
    <w:rsid w:val="00103BED"/>
    <w:rsid w:val="00103C7D"/>
    <w:rsid w:val="0010403F"/>
    <w:rsid w:val="001042F9"/>
    <w:rsid w:val="00104761"/>
    <w:rsid w:val="001048BC"/>
    <w:rsid w:val="0010494E"/>
    <w:rsid w:val="00104B0D"/>
    <w:rsid w:val="00104B28"/>
    <w:rsid w:val="00104D76"/>
    <w:rsid w:val="00104ECB"/>
    <w:rsid w:val="00104F2E"/>
    <w:rsid w:val="00104F7E"/>
    <w:rsid w:val="001050C0"/>
    <w:rsid w:val="001050C8"/>
    <w:rsid w:val="001050E4"/>
    <w:rsid w:val="00105102"/>
    <w:rsid w:val="0010511C"/>
    <w:rsid w:val="001052AA"/>
    <w:rsid w:val="00105493"/>
    <w:rsid w:val="001056B6"/>
    <w:rsid w:val="0010593F"/>
    <w:rsid w:val="00105AA2"/>
    <w:rsid w:val="00105B42"/>
    <w:rsid w:val="00105BF0"/>
    <w:rsid w:val="00105D8B"/>
    <w:rsid w:val="00105E41"/>
    <w:rsid w:val="001061BF"/>
    <w:rsid w:val="0010620C"/>
    <w:rsid w:val="00106351"/>
    <w:rsid w:val="0010657C"/>
    <w:rsid w:val="001065D1"/>
    <w:rsid w:val="0010672B"/>
    <w:rsid w:val="001068DA"/>
    <w:rsid w:val="001068F0"/>
    <w:rsid w:val="001069B0"/>
    <w:rsid w:val="00106A7B"/>
    <w:rsid w:val="00106B88"/>
    <w:rsid w:val="00106DA5"/>
    <w:rsid w:val="00106F61"/>
    <w:rsid w:val="001075A2"/>
    <w:rsid w:val="001076C7"/>
    <w:rsid w:val="00107793"/>
    <w:rsid w:val="00107865"/>
    <w:rsid w:val="001078DD"/>
    <w:rsid w:val="0010791E"/>
    <w:rsid w:val="00107B06"/>
    <w:rsid w:val="00107D3C"/>
    <w:rsid w:val="0011041A"/>
    <w:rsid w:val="001104BA"/>
    <w:rsid w:val="001105AF"/>
    <w:rsid w:val="0011061E"/>
    <w:rsid w:val="0011066E"/>
    <w:rsid w:val="001106EE"/>
    <w:rsid w:val="00110843"/>
    <w:rsid w:val="00110939"/>
    <w:rsid w:val="001109B0"/>
    <w:rsid w:val="001109D5"/>
    <w:rsid w:val="00110A95"/>
    <w:rsid w:val="00110D79"/>
    <w:rsid w:val="00110D7B"/>
    <w:rsid w:val="00110F60"/>
    <w:rsid w:val="001110FB"/>
    <w:rsid w:val="001114BD"/>
    <w:rsid w:val="001116CD"/>
    <w:rsid w:val="001117DE"/>
    <w:rsid w:val="00111911"/>
    <w:rsid w:val="001119D3"/>
    <w:rsid w:val="00111A87"/>
    <w:rsid w:val="00111C4C"/>
    <w:rsid w:val="00111DD5"/>
    <w:rsid w:val="00111ECD"/>
    <w:rsid w:val="00112241"/>
    <w:rsid w:val="00112300"/>
    <w:rsid w:val="00112483"/>
    <w:rsid w:val="00112556"/>
    <w:rsid w:val="00112792"/>
    <w:rsid w:val="001129B1"/>
    <w:rsid w:val="00112A4C"/>
    <w:rsid w:val="00112CD3"/>
    <w:rsid w:val="00112CE5"/>
    <w:rsid w:val="00112E28"/>
    <w:rsid w:val="001130EF"/>
    <w:rsid w:val="00113269"/>
    <w:rsid w:val="001132FD"/>
    <w:rsid w:val="001133CF"/>
    <w:rsid w:val="001135C7"/>
    <w:rsid w:val="001136A3"/>
    <w:rsid w:val="00113746"/>
    <w:rsid w:val="001137AA"/>
    <w:rsid w:val="00113B56"/>
    <w:rsid w:val="00113B97"/>
    <w:rsid w:val="00113DF3"/>
    <w:rsid w:val="00113EAA"/>
    <w:rsid w:val="00113FA9"/>
    <w:rsid w:val="00113FBA"/>
    <w:rsid w:val="001140A8"/>
    <w:rsid w:val="001140B3"/>
    <w:rsid w:val="001140F0"/>
    <w:rsid w:val="0011416F"/>
    <w:rsid w:val="00114487"/>
    <w:rsid w:val="001146E3"/>
    <w:rsid w:val="00114797"/>
    <w:rsid w:val="0011497E"/>
    <w:rsid w:val="00114CAB"/>
    <w:rsid w:val="00114D81"/>
    <w:rsid w:val="00114F1D"/>
    <w:rsid w:val="00114F5D"/>
    <w:rsid w:val="00114F6E"/>
    <w:rsid w:val="00115193"/>
    <w:rsid w:val="001151BF"/>
    <w:rsid w:val="001154DA"/>
    <w:rsid w:val="001154DF"/>
    <w:rsid w:val="0011563E"/>
    <w:rsid w:val="0011564C"/>
    <w:rsid w:val="001156CD"/>
    <w:rsid w:val="001157B2"/>
    <w:rsid w:val="00115941"/>
    <w:rsid w:val="00115971"/>
    <w:rsid w:val="00115AA5"/>
    <w:rsid w:val="00115BBB"/>
    <w:rsid w:val="00115BF4"/>
    <w:rsid w:val="00115D72"/>
    <w:rsid w:val="00115F8D"/>
    <w:rsid w:val="001160AD"/>
    <w:rsid w:val="00116196"/>
    <w:rsid w:val="00116366"/>
    <w:rsid w:val="00116458"/>
    <w:rsid w:val="0011653C"/>
    <w:rsid w:val="001165AC"/>
    <w:rsid w:val="001165C8"/>
    <w:rsid w:val="00116763"/>
    <w:rsid w:val="001167C4"/>
    <w:rsid w:val="00116850"/>
    <w:rsid w:val="00116914"/>
    <w:rsid w:val="00116932"/>
    <w:rsid w:val="00116A11"/>
    <w:rsid w:val="00116BBB"/>
    <w:rsid w:val="00116C31"/>
    <w:rsid w:val="00116CF4"/>
    <w:rsid w:val="00116D5C"/>
    <w:rsid w:val="00116D73"/>
    <w:rsid w:val="00117139"/>
    <w:rsid w:val="00117156"/>
    <w:rsid w:val="00117290"/>
    <w:rsid w:val="001172C6"/>
    <w:rsid w:val="00117414"/>
    <w:rsid w:val="001174D0"/>
    <w:rsid w:val="001174DD"/>
    <w:rsid w:val="001176BC"/>
    <w:rsid w:val="0011784F"/>
    <w:rsid w:val="00117965"/>
    <w:rsid w:val="00117AA0"/>
    <w:rsid w:val="00117B53"/>
    <w:rsid w:val="00117DA3"/>
    <w:rsid w:val="00117DD4"/>
    <w:rsid w:val="00117F7B"/>
    <w:rsid w:val="00117FF3"/>
    <w:rsid w:val="001201A2"/>
    <w:rsid w:val="001202E6"/>
    <w:rsid w:val="001204A7"/>
    <w:rsid w:val="001204F9"/>
    <w:rsid w:val="00120603"/>
    <w:rsid w:val="00120754"/>
    <w:rsid w:val="00120768"/>
    <w:rsid w:val="00120800"/>
    <w:rsid w:val="00120A5C"/>
    <w:rsid w:val="00120AAF"/>
    <w:rsid w:val="00120B39"/>
    <w:rsid w:val="00120B7D"/>
    <w:rsid w:val="00120BFA"/>
    <w:rsid w:val="00120E8A"/>
    <w:rsid w:val="00120F0E"/>
    <w:rsid w:val="00120F22"/>
    <w:rsid w:val="00120F72"/>
    <w:rsid w:val="0012109D"/>
    <w:rsid w:val="001210DD"/>
    <w:rsid w:val="0012126B"/>
    <w:rsid w:val="001213A6"/>
    <w:rsid w:val="001214D9"/>
    <w:rsid w:val="001215C9"/>
    <w:rsid w:val="00121735"/>
    <w:rsid w:val="00121799"/>
    <w:rsid w:val="001217BA"/>
    <w:rsid w:val="001218B1"/>
    <w:rsid w:val="00121952"/>
    <w:rsid w:val="001219F5"/>
    <w:rsid w:val="00121C26"/>
    <w:rsid w:val="00121C89"/>
    <w:rsid w:val="00121D60"/>
    <w:rsid w:val="00121DF1"/>
    <w:rsid w:val="00121EAA"/>
    <w:rsid w:val="0012210F"/>
    <w:rsid w:val="0012218D"/>
    <w:rsid w:val="001224F2"/>
    <w:rsid w:val="0012253C"/>
    <w:rsid w:val="001225C4"/>
    <w:rsid w:val="001226F4"/>
    <w:rsid w:val="0012275B"/>
    <w:rsid w:val="0012276C"/>
    <w:rsid w:val="0012297A"/>
    <w:rsid w:val="00122A28"/>
    <w:rsid w:val="00122A80"/>
    <w:rsid w:val="00122ABA"/>
    <w:rsid w:val="00122B43"/>
    <w:rsid w:val="00122BC5"/>
    <w:rsid w:val="00122C14"/>
    <w:rsid w:val="00122C29"/>
    <w:rsid w:val="00122E03"/>
    <w:rsid w:val="00122EE4"/>
    <w:rsid w:val="00122FB4"/>
    <w:rsid w:val="00122FD8"/>
    <w:rsid w:val="001230E9"/>
    <w:rsid w:val="0012319E"/>
    <w:rsid w:val="0012362F"/>
    <w:rsid w:val="0012384D"/>
    <w:rsid w:val="001239DC"/>
    <w:rsid w:val="00123AC4"/>
    <w:rsid w:val="00123C5A"/>
    <w:rsid w:val="00123CA1"/>
    <w:rsid w:val="00123DED"/>
    <w:rsid w:val="00123EA8"/>
    <w:rsid w:val="00123F15"/>
    <w:rsid w:val="00124041"/>
    <w:rsid w:val="0012434A"/>
    <w:rsid w:val="001243A9"/>
    <w:rsid w:val="00124437"/>
    <w:rsid w:val="00124475"/>
    <w:rsid w:val="0012462F"/>
    <w:rsid w:val="001246C5"/>
    <w:rsid w:val="00124769"/>
    <w:rsid w:val="0012487C"/>
    <w:rsid w:val="00124A1F"/>
    <w:rsid w:val="00124A91"/>
    <w:rsid w:val="00124AB2"/>
    <w:rsid w:val="00124B90"/>
    <w:rsid w:val="00124CB6"/>
    <w:rsid w:val="00124D12"/>
    <w:rsid w:val="00124D28"/>
    <w:rsid w:val="00124F1A"/>
    <w:rsid w:val="00124F87"/>
    <w:rsid w:val="00124F9A"/>
    <w:rsid w:val="00125352"/>
    <w:rsid w:val="001254F6"/>
    <w:rsid w:val="00125801"/>
    <w:rsid w:val="001258BE"/>
    <w:rsid w:val="00125B93"/>
    <w:rsid w:val="00125D37"/>
    <w:rsid w:val="00125E2F"/>
    <w:rsid w:val="00125E3E"/>
    <w:rsid w:val="00125E68"/>
    <w:rsid w:val="001260CA"/>
    <w:rsid w:val="001261D3"/>
    <w:rsid w:val="00126660"/>
    <w:rsid w:val="001266D4"/>
    <w:rsid w:val="001267CC"/>
    <w:rsid w:val="00126870"/>
    <w:rsid w:val="001268A1"/>
    <w:rsid w:val="001269A1"/>
    <w:rsid w:val="00126ABF"/>
    <w:rsid w:val="00126AC5"/>
    <w:rsid w:val="00126BCD"/>
    <w:rsid w:val="00126C67"/>
    <w:rsid w:val="00126C88"/>
    <w:rsid w:val="00126FF2"/>
    <w:rsid w:val="00127049"/>
    <w:rsid w:val="001273C0"/>
    <w:rsid w:val="001273E1"/>
    <w:rsid w:val="001276A5"/>
    <w:rsid w:val="001276B1"/>
    <w:rsid w:val="00127864"/>
    <w:rsid w:val="0012794F"/>
    <w:rsid w:val="001279B5"/>
    <w:rsid w:val="00127AA8"/>
    <w:rsid w:val="00127C4F"/>
    <w:rsid w:val="00127C71"/>
    <w:rsid w:val="00127D9B"/>
    <w:rsid w:val="00127EB5"/>
    <w:rsid w:val="00127F66"/>
    <w:rsid w:val="00130026"/>
    <w:rsid w:val="00130027"/>
    <w:rsid w:val="00130403"/>
    <w:rsid w:val="00130999"/>
    <w:rsid w:val="001309ED"/>
    <w:rsid w:val="00130A0F"/>
    <w:rsid w:val="00130A4A"/>
    <w:rsid w:val="00130EA3"/>
    <w:rsid w:val="00131214"/>
    <w:rsid w:val="001313E1"/>
    <w:rsid w:val="001316C0"/>
    <w:rsid w:val="0013175C"/>
    <w:rsid w:val="001318F6"/>
    <w:rsid w:val="00131A82"/>
    <w:rsid w:val="00131C31"/>
    <w:rsid w:val="00131CB9"/>
    <w:rsid w:val="00131D5B"/>
    <w:rsid w:val="00131F34"/>
    <w:rsid w:val="0013208E"/>
    <w:rsid w:val="001320C9"/>
    <w:rsid w:val="001321E7"/>
    <w:rsid w:val="00132329"/>
    <w:rsid w:val="001323E9"/>
    <w:rsid w:val="0013250C"/>
    <w:rsid w:val="001326B9"/>
    <w:rsid w:val="0013281A"/>
    <w:rsid w:val="0013291A"/>
    <w:rsid w:val="00132971"/>
    <w:rsid w:val="001329CD"/>
    <w:rsid w:val="00132B0A"/>
    <w:rsid w:val="0013306E"/>
    <w:rsid w:val="001330BD"/>
    <w:rsid w:val="001332D1"/>
    <w:rsid w:val="00133413"/>
    <w:rsid w:val="00133447"/>
    <w:rsid w:val="001334D2"/>
    <w:rsid w:val="00133562"/>
    <w:rsid w:val="001335E8"/>
    <w:rsid w:val="00133893"/>
    <w:rsid w:val="0013389F"/>
    <w:rsid w:val="0013391D"/>
    <w:rsid w:val="00133A7E"/>
    <w:rsid w:val="00133DE7"/>
    <w:rsid w:val="00133E0D"/>
    <w:rsid w:val="00133F66"/>
    <w:rsid w:val="001342A8"/>
    <w:rsid w:val="00134342"/>
    <w:rsid w:val="00134490"/>
    <w:rsid w:val="00134588"/>
    <w:rsid w:val="001345D0"/>
    <w:rsid w:val="00134610"/>
    <w:rsid w:val="00134633"/>
    <w:rsid w:val="00134696"/>
    <w:rsid w:val="00134889"/>
    <w:rsid w:val="0013498E"/>
    <w:rsid w:val="00134A3B"/>
    <w:rsid w:val="00134C4F"/>
    <w:rsid w:val="001350E5"/>
    <w:rsid w:val="001350E7"/>
    <w:rsid w:val="00135155"/>
    <w:rsid w:val="00135199"/>
    <w:rsid w:val="001352FA"/>
    <w:rsid w:val="001353A9"/>
    <w:rsid w:val="00135452"/>
    <w:rsid w:val="0013548B"/>
    <w:rsid w:val="001354E8"/>
    <w:rsid w:val="001355CE"/>
    <w:rsid w:val="0013567A"/>
    <w:rsid w:val="00135AA2"/>
    <w:rsid w:val="00135ACC"/>
    <w:rsid w:val="00135CBA"/>
    <w:rsid w:val="00135F42"/>
    <w:rsid w:val="0013604C"/>
    <w:rsid w:val="001360D2"/>
    <w:rsid w:val="001360F7"/>
    <w:rsid w:val="0013612F"/>
    <w:rsid w:val="00136282"/>
    <w:rsid w:val="00136571"/>
    <w:rsid w:val="001365CF"/>
    <w:rsid w:val="001365E0"/>
    <w:rsid w:val="00136631"/>
    <w:rsid w:val="00136748"/>
    <w:rsid w:val="001367ED"/>
    <w:rsid w:val="0013692F"/>
    <w:rsid w:val="00136949"/>
    <w:rsid w:val="00136A0F"/>
    <w:rsid w:val="00136C65"/>
    <w:rsid w:val="00137579"/>
    <w:rsid w:val="0013766A"/>
    <w:rsid w:val="00137676"/>
    <w:rsid w:val="00137694"/>
    <w:rsid w:val="001377F0"/>
    <w:rsid w:val="0013783D"/>
    <w:rsid w:val="00137958"/>
    <w:rsid w:val="00137A86"/>
    <w:rsid w:val="00137BB0"/>
    <w:rsid w:val="00137C92"/>
    <w:rsid w:val="00137DC7"/>
    <w:rsid w:val="00137DE0"/>
    <w:rsid w:val="00137ED1"/>
    <w:rsid w:val="00137F02"/>
    <w:rsid w:val="00140141"/>
    <w:rsid w:val="00140323"/>
    <w:rsid w:val="001403D2"/>
    <w:rsid w:val="001407D3"/>
    <w:rsid w:val="00140927"/>
    <w:rsid w:val="00140B62"/>
    <w:rsid w:val="00140D0D"/>
    <w:rsid w:val="00140E67"/>
    <w:rsid w:val="00140F2A"/>
    <w:rsid w:val="0014103F"/>
    <w:rsid w:val="00141232"/>
    <w:rsid w:val="0014129D"/>
    <w:rsid w:val="001413AF"/>
    <w:rsid w:val="001415AF"/>
    <w:rsid w:val="001417C7"/>
    <w:rsid w:val="00141ACC"/>
    <w:rsid w:val="00141CC3"/>
    <w:rsid w:val="001421EE"/>
    <w:rsid w:val="0014222D"/>
    <w:rsid w:val="001422DB"/>
    <w:rsid w:val="001423F9"/>
    <w:rsid w:val="0014247F"/>
    <w:rsid w:val="001424D7"/>
    <w:rsid w:val="00142541"/>
    <w:rsid w:val="0014254E"/>
    <w:rsid w:val="00142687"/>
    <w:rsid w:val="00142773"/>
    <w:rsid w:val="001427D2"/>
    <w:rsid w:val="00142978"/>
    <w:rsid w:val="001429AB"/>
    <w:rsid w:val="00142A0B"/>
    <w:rsid w:val="00142A29"/>
    <w:rsid w:val="00142A76"/>
    <w:rsid w:val="00142AE0"/>
    <w:rsid w:val="00142D1F"/>
    <w:rsid w:val="00142DD9"/>
    <w:rsid w:val="00142DE7"/>
    <w:rsid w:val="00142E7D"/>
    <w:rsid w:val="001430F2"/>
    <w:rsid w:val="0014313B"/>
    <w:rsid w:val="0014329B"/>
    <w:rsid w:val="00143325"/>
    <w:rsid w:val="00143507"/>
    <w:rsid w:val="00143630"/>
    <w:rsid w:val="001437C5"/>
    <w:rsid w:val="00143808"/>
    <w:rsid w:val="001439A2"/>
    <w:rsid w:val="00143AE7"/>
    <w:rsid w:val="00143B16"/>
    <w:rsid w:val="00143CDB"/>
    <w:rsid w:val="00143DE3"/>
    <w:rsid w:val="00143E1D"/>
    <w:rsid w:val="00143E46"/>
    <w:rsid w:val="00143FB6"/>
    <w:rsid w:val="001440D0"/>
    <w:rsid w:val="001442D3"/>
    <w:rsid w:val="001445B7"/>
    <w:rsid w:val="00144615"/>
    <w:rsid w:val="001447F1"/>
    <w:rsid w:val="00144879"/>
    <w:rsid w:val="00144B3D"/>
    <w:rsid w:val="00144CF7"/>
    <w:rsid w:val="00144D74"/>
    <w:rsid w:val="00144DEB"/>
    <w:rsid w:val="00144DF9"/>
    <w:rsid w:val="00144E1B"/>
    <w:rsid w:val="00144EBB"/>
    <w:rsid w:val="00144EF0"/>
    <w:rsid w:val="00144F4D"/>
    <w:rsid w:val="00144FB4"/>
    <w:rsid w:val="001453BB"/>
    <w:rsid w:val="00145FE1"/>
    <w:rsid w:val="00145FF4"/>
    <w:rsid w:val="001460FF"/>
    <w:rsid w:val="001462AF"/>
    <w:rsid w:val="001465BB"/>
    <w:rsid w:val="00146761"/>
    <w:rsid w:val="001467CE"/>
    <w:rsid w:val="001469D8"/>
    <w:rsid w:val="00146A02"/>
    <w:rsid w:val="00146DCC"/>
    <w:rsid w:val="00146F46"/>
    <w:rsid w:val="00146F5C"/>
    <w:rsid w:val="00147042"/>
    <w:rsid w:val="00147054"/>
    <w:rsid w:val="0014715F"/>
    <w:rsid w:val="0014717F"/>
    <w:rsid w:val="001473D8"/>
    <w:rsid w:val="0014770C"/>
    <w:rsid w:val="0014772D"/>
    <w:rsid w:val="0014774A"/>
    <w:rsid w:val="001477AE"/>
    <w:rsid w:val="001478E2"/>
    <w:rsid w:val="00147D97"/>
    <w:rsid w:val="00147DC6"/>
    <w:rsid w:val="00147E69"/>
    <w:rsid w:val="00150021"/>
    <w:rsid w:val="00150232"/>
    <w:rsid w:val="00150293"/>
    <w:rsid w:val="001507A2"/>
    <w:rsid w:val="001507CD"/>
    <w:rsid w:val="001507DE"/>
    <w:rsid w:val="00150A2C"/>
    <w:rsid w:val="00150B32"/>
    <w:rsid w:val="00150BA6"/>
    <w:rsid w:val="00150C86"/>
    <w:rsid w:val="00150D9C"/>
    <w:rsid w:val="00150DC6"/>
    <w:rsid w:val="00150ECD"/>
    <w:rsid w:val="00150F10"/>
    <w:rsid w:val="00151252"/>
    <w:rsid w:val="001513A1"/>
    <w:rsid w:val="0015142E"/>
    <w:rsid w:val="001514D1"/>
    <w:rsid w:val="00151616"/>
    <w:rsid w:val="00151625"/>
    <w:rsid w:val="001516B7"/>
    <w:rsid w:val="00151763"/>
    <w:rsid w:val="0015187F"/>
    <w:rsid w:val="0015189A"/>
    <w:rsid w:val="001519EC"/>
    <w:rsid w:val="00151E92"/>
    <w:rsid w:val="00151FC2"/>
    <w:rsid w:val="0015232F"/>
    <w:rsid w:val="001523AB"/>
    <w:rsid w:val="001523D5"/>
    <w:rsid w:val="001526BC"/>
    <w:rsid w:val="001529DC"/>
    <w:rsid w:val="001529FA"/>
    <w:rsid w:val="00152AD3"/>
    <w:rsid w:val="00152C00"/>
    <w:rsid w:val="00152CA6"/>
    <w:rsid w:val="00152D17"/>
    <w:rsid w:val="00152EBF"/>
    <w:rsid w:val="00152F38"/>
    <w:rsid w:val="00152FFE"/>
    <w:rsid w:val="00153016"/>
    <w:rsid w:val="001532C3"/>
    <w:rsid w:val="00153422"/>
    <w:rsid w:val="00153694"/>
    <w:rsid w:val="001539DE"/>
    <w:rsid w:val="00153B43"/>
    <w:rsid w:val="00153B7E"/>
    <w:rsid w:val="00153BED"/>
    <w:rsid w:val="00153DB8"/>
    <w:rsid w:val="00153DE7"/>
    <w:rsid w:val="00153E2E"/>
    <w:rsid w:val="00153FCB"/>
    <w:rsid w:val="00154018"/>
    <w:rsid w:val="001540CA"/>
    <w:rsid w:val="001544F6"/>
    <w:rsid w:val="00154849"/>
    <w:rsid w:val="001549C0"/>
    <w:rsid w:val="00154ACD"/>
    <w:rsid w:val="00154E41"/>
    <w:rsid w:val="00154E78"/>
    <w:rsid w:val="00154F82"/>
    <w:rsid w:val="00155014"/>
    <w:rsid w:val="00155103"/>
    <w:rsid w:val="00155195"/>
    <w:rsid w:val="0015525F"/>
    <w:rsid w:val="001553A0"/>
    <w:rsid w:val="001555ED"/>
    <w:rsid w:val="00155663"/>
    <w:rsid w:val="0015567D"/>
    <w:rsid w:val="0015576A"/>
    <w:rsid w:val="00155795"/>
    <w:rsid w:val="001557EB"/>
    <w:rsid w:val="00155957"/>
    <w:rsid w:val="00155968"/>
    <w:rsid w:val="00155979"/>
    <w:rsid w:val="00155A53"/>
    <w:rsid w:val="00155EA7"/>
    <w:rsid w:val="00155EC7"/>
    <w:rsid w:val="00155FDE"/>
    <w:rsid w:val="0015620E"/>
    <w:rsid w:val="00156321"/>
    <w:rsid w:val="00156485"/>
    <w:rsid w:val="0015649A"/>
    <w:rsid w:val="001564EF"/>
    <w:rsid w:val="0015655F"/>
    <w:rsid w:val="00156716"/>
    <w:rsid w:val="001567D0"/>
    <w:rsid w:val="00156C2F"/>
    <w:rsid w:val="00156C7A"/>
    <w:rsid w:val="00156EF9"/>
    <w:rsid w:val="00156F38"/>
    <w:rsid w:val="00156FC3"/>
    <w:rsid w:val="001571F5"/>
    <w:rsid w:val="00157482"/>
    <w:rsid w:val="001576FA"/>
    <w:rsid w:val="00157820"/>
    <w:rsid w:val="001578B6"/>
    <w:rsid w:val="00157911"/>
    <w:rsid w:val="00157C67"/>
    <w:rsid w:val="00157C84"/>
    <w:rsid w:val="00157E0F"/>
    <w:rsid w:val="00157E6F"/>
    <w:rsid w:val="00157F45"/>
    <w:rsid w:val="0016011B"/>
    <w:rsid w:val="001601DD"/>
    <w:rsid w:val="001601FA"/>
    <w:rsid w:val="00160232"/>
    <w:rsid w:val="001604DB"/>
    <w:rsid w:val="00160846"/>
    <w:rsid w:val="00160952"/>
    <w:rsid w:val="00160A48"/>
    <w:rsid w:val="00160AA0"/>
    <w:rsid w:val="00160C30"/>
    <w:rsid w:val="00160C92"/>
    <w:rsid w:val="00160D3A"/>
    <w:rsid w:val="00160D53"/>
    <w:rsid w:val="00160DD5"/>
    <w:rsid w:val="00160E2A"/>
    <w:rsid w:val="00160FF5"/>
    <w:rsid w:val="00161000"/>
    <w:rsid w:val="00161080"/>
    <w:rsid w:val="00161211"/>
    <w:rsid w:val="001612C4"/>
    <w:rsid w:val="001613B2"/>
    <w:rsid w:val="0016144D"/>
    <w:rsid w:val="00161736"/>
    <w:rsid w:val="0016185B"/>
    <w:rsid w:val="0016186A"/>
    <w:rsid w:val="00161B23"/>
    <w:rsid w:val="00161B68"/>
    <w:rsid w:val="00161B95"/>
    <w:rsid w:val="00161D13"/>
    <w:rsid w:val="00161D94"/>
    <w:rsid w:val="00162071"/>
    <w:rsid w:val="001620A5"/>
    <w:rsid w:val="001620BC"/>
    <w:rsid w:val="001621A9"/>
    <w:rsid w:val="001621BB"/>
    <w:rsid w:val="0016220E"/>
    <w:rsid w:val="00162248"/>
    <w:rsid w:val="0016241F"/>
    <w:rsid w:val="001624E3"/>
    <w:rsid w:val="00162959"/>
    <w:rsid w:val="00162981"/>
    <w:rsid w:val="00162A31"/>
    <w:rsid w:val="00162B80"/>
    <w:rsid w:val="00162C39"/>
    <w:rsid w:val="0016300C"/>
    <w:rsid w:val="001632A6"/>
    <w:rsid w:val="001636F2"/>
    <w:rsid w:val="00163877"/>
    <w:rsid w:val="00163890"/>
    <w:rsid w:val="001638E6"/>
    <w:rsid w:val="0016397C"/>
    <w:rsid w:val="00163A47"/>
    <w:rsid w:val="00163AFE"/>
    <w:rsid w:val="00163B60"/>
    <w:rsid w:val="00163BA0"/>
    <w:rsid w:val="00163EE0"/>
    <w:rsid w:val="00163F5B"/>
    <w:rsid w:val="0016408C"/>
    <w:rsid w:val="00164155"/>
    <w:rsid w:val="00164398"/>
    <w:rsid w:val="0016439F"/>
    <w:rsid w:val="001643DF"/>
    <w:rsid w:val="001644AE"/>
    <w:rsid w:val="001644EB"/>
    <w:rsid w:val="001646C4"/>
    <w:rsid w:val="001646ED"/>
    <w:rsid w:val="00164839"/>
    <w:rsid w:val="00164853"/>
    <w:rsid w:val="001648AF"/>
    <w:rsid w:val="00164909"/>
    <w:rsid w:val="00164949"/>
    <w:rsid w:val="00164A89"/>
    <w:rsid w:val="00164C4C"/>
    <w:rsid w:val="00164C60"/>
    <w:rsid w:val="00164D4E"/>
    <w:rsid w:val="00164D55"/>
    <w:rsid w:val="00164E14"/>
    <w:rsid w:val="00164F2E"/>
    <w:rsid w:val="00164F96"/>
    <w:rsid w:val="001653D9"/>
    <w:rsid w:val="00165423"/>
    <w:rsid w:val="0016572F"/>
    <w:rsid w:val="0016597E"/>
    <w:rsid w:val="001659CB"/>
    <w:rsid w:val="00165AF8"/>
    <w:rsid w:val="00165B65"/>
    <w:rsid w:val="00165C8D"/>
    <w:rsid w:val="00165D5F"/>
    <w:rsid w:val="00165F2C"/>
    <w:rsid w:val="00165FA0"/>
    <w:rsid w:val="001660E9"/>
    <w:rsid w:val="0016612E"/>
    <w:rsid w:val="001662B4"/>
    <w:rsid w:val="00166349"/>
    <w:rsid w:val="00166515"/>
    <w:rsid w:val="0016665B"/>
    <w:rsid w:val="00166667"/>
    <w:rsid w:val="00166AB4"/>
    <w:rsid w:val="00166B7D"/>
    <w:rsid w:val="00166B7E"/>
    <w:rsid w:val="00166B86"/>
    <w:rsid w:val="00166C5A"/>
    <w:rsid w:val="00166C75"/>
    <w:rsid w:val="00166DCE"/>
    <w:rsid w:val="00166E63"/>
    <w:rsid w:val="00166F16"/>
    <w:rsid w:val="001670CD"/>
    <w:rsid w:val="0016722F"/>
    <w:rsid w:val="001672E5"/>
    <w:rsid w:val="00167339"/>
    <w:rsid w:val="00167547"/>
    <w:rsid w:val="00167631"/>
    <w:rsid w:val="001676E3"/>
    <w:rsid w:val="001678E3"/>
    <w:rsid w:val="00167AB5"/>
    <w:rsid w:val="00167AB8"/>
    <w:rsid w:val="00167CBE"/>
    <w:rsid w:val="00167D15"/>
    <w:rsid w:val="00167F2F"/>
    <w:rsid w:val="00167FEF"/>
    <w:rsid w:val="001700BC"/>
    <w:rsid w:val="001701BC"/>
    <w:rsid w:val="0017041E"/>
    <w:rsid w:val="00170421"/>
    <w:rsid w:val="00170439"/>
    <w:rsid w:val="00170440"/>
    <w:rsid w:val="0017070C"/>
    <w:rsid w:val="00170832"/>
    <w:rsid w:val="0017088E"/>
    <w:rsid w:val="00170A0E"/>
    <w:rsid w:val="00170AFB"/>
    <w:rsid w:val="00170C1C"/>
    <w:rsid w:val="00170E8F"/>
    <w:rsid w:val="00170ED9"/>
    <w:rsid w:val="00170FA7"/>
    <w:rsid w:val="00170FAD"/>
    <w:rsid w:val="001710E1"/>
    <w:rsid w:val="0017135D"/>
    <w:rsid w:val="0017168B"/>
    <w:rsid w:val="00171768"/>
    <w:rsid w:val="00171ACD"/>
    <w:rsid w:val="00171C06"/>
    <w:rsid w:val="00171C21"/>
    <w:rsid w:val="00171FDB"/>
    <w:rsid w:val="00172226"/>
    <w:rsid w:val="00172240"/>
    <w:rsid w:val="0017224E"/>
    <w:rsid w:val="00172264"/>
    <w:rsid w:val="001722FF"/>
    <w:rsid w:val="00172374"/>
    <w:rsid w:val="00172419"/>
    <w:rsid w:val="001724C9"/>
    <w:rsid w:val="0017281F"/>
    <w:rsid w:val="0017286A"/>
    <w:rsid w:val="00172B0C"/>
    <w:rsid w:val="00172C52"/>
    <w:rsid w:val="00172CA3"/>
    <w:rsid w:val="00172D20"/>
    <w:rsid w:val="00172DD9"/>
    <w:rsid w:val="00172ECD"/>
    <w:rsid w:val="00173011"/>
    <w:rsid w:val="001732BB"/>
    <w:rsid w:val="00173553"/>
    <w:rsid w:val="00173644"/>
    <w:rsid w:val="001738C2"/>
    <w:rsid w:val="0017392F"/>
    <w:rsid w:val="00173EA5"/>
    <w:rsid w:val="00173FE9"/>
    <w:rsid w:val="00173FFD"/>
    <w:rsid w:val="001742E5"/>
    <w:rsid w:val="00174412"/>
    <w:rsid w:val="00174467"/>
    <w:rsid w:val="00174616"/>
    <w:rsid w:val="0017468A"/>
    <w:rsid w:val="001746F0"/>
    <w:rsid w:val="00174715"/>
    <w:rsid w:val="00174C56"/>
    <w:rsid w:val="00174C9C"/>
    <w:rsid w:val="001750C8"/>
    <w:rsid w:val="0017529F"/>
    <w:rsid w:val="00175305"/>
    <w:rsid w:val="00175465"/>
    <w:rsid w:val="001755AD"/>
    <w:rsid w:val="00175628"/>
    <w:rsid w:val="00175775"/>
    <w:rsid w:val="001758DD"/>
    <w:rsid w:val="00175B03"/>
    <w:rsid w:val="00175B14"/>
    <w:rsid w:val="00175CE0"/>
    <w:rsid w:val="00175CEB"/>
    <w:rsid w:val="00175D8F"/>
    <w:rsid w:val="00175E5B"/>
    <w:rsid w:val="00176187"/>
    <w:rsid w:val="001761A1"/>
    <w:rsid w:val="0017633D"/>
    <w:rsid w:val="001763E2"/>
    <w:rsid w:val="0017657E"/>
    <w:rsid w:val="0017660C"/>
    <w:rsid w:val="00176903"/>
    <w:rsid w:val="00176937"/>
    <w:rsid w:val="00176A20"/>
    <w:rsid w:val="00176AE3"/>
    <w:rsid w:val="00176AFE"/>
    <w:rsid w:val="00176C0A"/>
    <w:rsid w:val="00176C82"/>
    <w:rsid w:val="00176DCB"/>
    <w:rsid w:val="00176EA9"/>
    <w:rsid w:val="0017701D"/>
    <w:rsid w:val="0017709E"/>
    <w:rsid w:val="00177298"/>
    <w:rsid w:val="00177320"/>
    <w:rsid w:val="001773C5"/>
    <w:rsid w:val="00177465"/>
    <w:rsid w:val="001778CD"/>
    <w:rsid w:val="001778E0"/>
    <w:rsid w:val="00177A5A"/>
    <w:rsid w:val="00177A60"/>
    <w:rsid w:val="00177B68"/>
    <w:rsid w:val="00177BA5"/>
    <w:rsid w:val="00177D05"/>
    <w:rsid w:val="00177E2C"/>
    <w:rsid w:val="00177EAD"/>
    <w:rsid w:val="00178868"/>
    <w:rsid w:val="00180150"/>
    <w:rsid w:val="001801AA"/>
    <w:rsid w:val="001802AA"/>
    <w:rsid w:val="001804E2"/>
    <w:rsid w:val="0018058A"/>
    <w:rsid w:val="0018085F"/>
    <w:rsid w:val="0018089B"/>
    <w:rsid w:val="00180A06"/>
    <w:rsid w:val="00180C8D"/>
    <w:rsid w:val="00180D36"/>
    <w:rsid w:val="00180D51"/>
    <w:rsid w:val="00180D58"/>
    <w:rsid w:val="00180F31"/>
    <w:rsid w:val="00180FAA"/>
    <w:rsid w:val="00181053"/>
    <w:rsid w:val="0018114E"/>
    <w:rsid w:val="0018119D"/>
    <w:rsid w:val="001812A6"/>
    <w:rsid w:val="00181433"/>
    <w:rsid w:val="0018144E"/>
    <w:rsid w:val="001816F6"/>
    <w:rsid w:val="00181BD3"/>
    <w:rsid w:val="00181C52"/>
    <w:rsid w:val="00181CFF"/>
    <w:rsid w:val="00181D69"/>
    <w:rsid w:val="00181DDD"/>
    <w:rsid w:val="00181E84"/>
    <w:rsid w:val="00181EC5"/>
    <w:rsid w:val="00181F20"/>
    <w:rsid w:val="00182218"/>
    <w:rsid w:val="0018254D"/>
    <w:rsid w:val="00182CAE"/>
    <w:rsid w:val="00182CEB"/>
    <w:rsid w:val="00182D23"/>
    <w:rsid w:val="00182DA1"/>
    <w:rsid w:val="00182F0F"/>
    <w:rsid w:val="00183007"/>
    <w:rsid w:val="00183045"/>
    <w:rsid w:val="00183318"/>
    <w:rsid w:val="00183633"/>
    <w:rsid w:val="00183692"/>
    <w:rsid w:val="001837AA"/>
    <w:rsid w:val="001837B5"/>
    <w:rsid w:val="0018386D"/>
    <w:rsid w:val="001838C1"/>
    <w:rsid w:val="00183911"/>
    <w:rsid w:val="001839BD"/>
    <w:rsid w:val="001839F4"/>
    <w:rsid w:val="00183ABE"/>
    <w:rsid w:val="00183AF1"/>
    <w:rsid w:val="00183B4A"/>
    <w:rsid w:val="00183B99"/>
    <w:rsid w:val="00183B9F"/>
    <w:rsid w:val="00183D70"/>
    <w:rsid w:val="00183D8A"/>
    <w:rsid w:val="00183E0E"/>
    <w:rsid w:val="00183E54"/>
    <w:rsid w:val="00183F2B"/>
    <w:rsid w:val="00184009"/>
    <w:rsid w:val="0018413A"/>
    <w:rsid w:val="0018424E"/>
    <w:rsid w:val="00184289"/>
    <w:rsid w:val="001843CE"/>
    <w:rsid w:val="0018444A"/>
    <w:rsid w:val="0018452A"/>
    <w:rsid w:val="00184586"/>
    <w:rsid w:val="001848B8"/>
    <w:rsid w:val="00184988"/>
    <w:rsid w:val="00184A1A"/>
    <w:rsid w:val="00184DCC"/>
    <w:rsid w:val="00184FB7"/>
    <w:rsid w:val="00184FC5"/>
    <w:rsid w:val="001850B2"/>
    <w:rsid w:val="00185179"/>
    <w:rsid w:val="001851E8"/>
    <w:rsid w:val="0018542C"/>
    <w:rsid w:val="00185537"/>
    <w:rsid w:val="001855C5"/>
    <w:rsid w:val="0018564B"/>
    <w:rsid w:val="00185C4D"/>
    <w:rsid w:val="00185CC7"/>
    <w:rsid w:val="00185EBA"/>
    <w:rsid w:val="00185F2B"/>
    <w:rsid w:val="00186271"/>
    <w:rsid w:val="00186395"/>
    <w:rsid w:val="001865B7"/>
    <w:rsid w:val="001865EC"/>
    <w:rsid w:val="001867DE"/>
    <w:rsid w:val="00186AC7"/>
    <w:rsid w:val="00187137"/>
    <w:rsid w:val="00187205"/>
    <w:rsid w:val="001872AA"/>
    <w:rsid w:val="001872FF"/>
    <w:rsid w:val="00187366"/>
    <w:rsid w:val="001875AB"/>
    <w:rsid w:val="0018787F"/>
    <w:rsid w:val="00187BC5"/>
    <w:rsid w:val="00187BFD"/>
    <w:rsid w:val="00187E6A"/>
    <w:rsid w:val="00190136"/>
    <w:rsid w:val="001901DF"/>
    <w:rsid w:val="001902CA"/>
    <w:rsid w:val="001904A3"/>
    <w:rsid w:val="00190510"/>
    <w:rsid w:val="00190572"/>
    <w:rsid w:val="001905A6"/>
    <w:rsid w:val="001905E7"/>
    <w:rsid w:val="00190620"/>
    <w:rsid w:val="0019067E"/>
    <w:rsid w:val="00190690"/>
    <w:rsid w:val="001906E4"/>
    <w:rsid w:val="001906FD"/>
    <w:rsid w:val="00190761"/>
    <w:rsid w:val="0019097A"/>
    <w:rsid w:val="001909AB"/>
    <w:rsid w:val="00190A4A"/>
    <w:rsid w:val="00190B00"/>
    <w:rsid w:val="00190D68"/>
    <w:rsid w:val="00190E62"/>
    <w:rsid w:val="00190E9F"/>
    <w:rsid w:val="00191777"/>
    <w:rsid w:val="00191A11"/>
    <w:rsid w:val="00191BED"/>
    <w:rsid w:val="00191BF5"/>
    <w:rsid w:val="00191CA0"/>
    <w:rsid w:val="00191D22"/>
    <w:rsid w:val="00191E44"/>
    <w:rsid w:val="00191F0A"/>
    <w:rsid w:val="00191F1D"/>
    <w:rsid w:val="00192073"/>
    <w:rsid w:val="001920F3"/>
    <w:rsid w:val="00192170"/>
    <w:rsid w:val="001923C8"/>
    <w:rsid w:val="001924F1"/>
    <w:rsid w:val="001925F5"/>
    <w:rsid w:val="00192617"/>
    <w:rsid w:val="001926F3"/>
    <w:rsid w:val="001927EF"/>
    <w:rsid w:val="001928AA"/>
    <w:rsid w:val="001929DB"/>
    <w:rsid w:val="00192C86"/>
    <w:rsid w:val="00192C99"/>
    <w:rsid w:val="00192CD5"/>
    <w:rsid w:val="00192D40"/>
    <w:rsid w:val="00192D56"/>
    <w:rsid w:val="00192D7D"/>
    <w:rsid w:val="001933F5"/>
    <w:rsid w:val="00193436"/>
    <w:rsid w:val="0019353B"/>
    <w:rsid w:val="0019366C"/>
    <w:rsid w:val="00193725"/>
    <w:rsid w:val="001937DE"/>
    <w:rsid w:val="00193960"/>
    <w:rsid w:val="00193A38"/>
    <w:rsid w:val="00193B84"/>
    <w:rsid w:val="00193D48"/>
    <w:rsid w:val="00193DE2"/>
    <w:rsid w:val="00193ED8"/>
    <w:rsid w:val="00193EDC"/>
    <w:rsid w:val="001940EA"/>
    <w:rsid w:val="00194124"/>
    <w:rsid w:val="001943B8"/>
    <w:rsid w:val="0019448A"/>
    <w:rsid w:val="00194638"/>
    <w:rsid w:val="00194703"/>
    <w:rsid w:val="001949EF"/>
    <w:rsid w:val="00194C46"/>
    <w:rsid w:val="00194C96"/>
    <w:rsid w:val="00194D7D"/>
    <w:rsid w:val="00194D97"/>
    <w:rsid w:val="00194E5F"/>
    <w:rsid w:val="00194EF0"/>
    <w:rsid w:val="0019513B"/>
    <w:rsid w:val="00195306"/>
    <w:rsid w:val="00195444"/>
    <w:rsid w:val="00195517"/>
    <w:rsid w:val="00195632"/>
    <w:rsid w:val="001956F3"/>
    <w:rsid w:val="001957C2"/>
    <w:rsid w:val="001959B7"/>
    <w:rsid w:val="00195B2A"/>
    <w:rsid w:val="00195D01"/>
    <w:rsid w:val="00195D4D"/>
    <w:rsid w:val="00195E20"/>
    <w:rsid w:val="00195E38"/>
    <w:rsid w:val="00195F12"/>
    <w:rsid w:val="001960A3"/>
    <w:rsid w:val="00196160"/>
    <w:rsid w:val="001962B1"/>
    <w:rsid w:val="00196540"/>
    <w:rsid w:val="00196594"/>
    <w:rsid w:val="001965F4"/>
    <w:rsid w:val="001966E7"/>
    <w:rsid w:val="00196711"/>
    <w:rsid w:val="001968DE"/>
    <w:rsid w:val="0019691C"/>
    <w:rsid w:val="001969FA"/>
    <w:rsid w:val="00196A38"/>
    <w:rsid w:val="00196AF9"/>
    <w:rsid w:val="00196DFB"/>
    <w:rsid w:val="0019716A"/>
    <w:rsid w:val="001973DC"/>
    <w:rsid w:val="001976BB"/>
    <w:rsid w:val="001977CB"/>
    <w:rsid w:val="001977DE"/>
    <w:rsid w:val="00197817"/>
    <w:rsid w:val="00197854"/>
    <w:rsid w:val="00197AD8"/>
    <w:rsid w:val="00197B4E"/>
    <w:rsid w:val="00197B65"/>
    <w:rsid w:val="00197C00"/>
    <w:rsid w:val="00197C6A"/>
    <w:rsid w:val="00197C7A"/>
    <w:rsid w:val="001A01C7"/>
    <w:rsid w:val="001A0219"/>
    <w:rsid w:val="001A02A2"/>
    <w:rsid w:val="001A03CD"/>
    <w:rsid w:val="001A041E"/>
    <w:rsid w:val="001A05B3"/>
    <w:rsid w:val="001A05BB"/>
    <w:rsid w:val="001A0636"/>
    <w:rsid w:val="001A0880"/>
    <w:rsid w:val="001A0937"/>
    <w:rsid w:val="001A0958"/>
    <w:rsid w:val="001A0D2A"/>
    <w:rsid w:val="001A0FAB"/>
    <w:rsid w:val="001A10BB"/>
    <w:rsid w:val="001A12F4"/>
    <w:rsid w:val="001A137E"/>
    <w:rsid w:val="001A13B1"/>
    <w:rsid w:val="001A1406"/>
    <w:rsid w:val="001A158C"/>
    <w:rsid w:val="001A1623"/>
    <w:rsid w:val="001A18E8"/>
    <w:rsid w:val="001A1A55"/>
    <w:rsid w:val="001A1C00"/>
    <w:rsid w:val="001A1C13"/>
    <w:rsid w:val="001A1E2D"/>
    <w:rsid w:val="001A1F3E"/>
    <w:rsid w:val="001A26FF"/>
    <w:rsid w:val="001A271A"/>
    <w:rsid w:val="001A2865"/>
    <w:rsid w:val="001A295E"/>
    <w:rsid w:val="001A297E"/>
    <w:rsid w:val="001A2A6B"/>
    <w:rsid w:val="001A2A87"/>
    <w:rsid w:val="001A2BEE"/>
    <w:rsid w:val="001A2BEF"/>
    <w:rsid w:val="001A2C45"/>
    <w:rsid w:val="001A2C93"/>
    <w:rsid w:val="001A2E75"/>
    <w:rsid w:val="001A3091"/>
    <w:rsid w:val="001A32C1"/>
    <w:rsid w:val="001A338E"/>
    <w:rsid w:val="001A33E1"/>
    <w:rsid w:val="001A3436"/>
    <w:rsid w:val="001A34B6"/>
    <w:rsid w:val="001A385A"/>
    <w:rsid w:val="001A38A4"/>
    <w:rsid w:val="001A38B4"/>
    <w:rsid w:val="001A39C1"/>
    <w:rsid w:val="001A3C97"/>
    <w:rsid w:val="001A3EE6"/>
    <w:rsid w:val="001A3EFF"/>
    <w:rsid w:val="001A3F38"/>
    <w:rsid w:val="001A4788"/>
    <w:rsid w:val="001A4817"/>
    <w:rsid w:val="001A4860"/>
    <w:rsid w:val="001A4898"/>
    <w:rsid w:val="001A49D0"/>
    <w:rsid w:val="001A4A49"/>
    <w:rsid w:val="001A4A7E"/>
    <w:rsid w:val="001A4C34"/>
    <w:rsid w:val="001A4E4C"/>
    <w:rsid w:val="001A50E4"/>
    <w:rsid w:val="001A516D"/>
    <w:rsid w:val="001A51B8"/>
    <w:rsid w:val="001A51EE"/>
    <w:rsid w:val="001A56A9"/>
    <w:rsid w:val="001A5927"/>
    <w:rsid w:val="001A5B3D"/>
    <w:rsid w:val="001A5BEF"/>
    <w:rsid w:val="001A5C8E"/>
    <w:rsid w:val="001A5DD5"/>
    <w:rsid w:val="001A5DE9"/>
    <w:rsid w:val="001A6095"/>
    <w:rsid w:val="001A609A"/>
    <w:rsid w:val="001A61C5"/>
    <w:rsid w:val="001A61E0"/>
    <w:rsid w:val="001A64BE"/>
    <w:rsid w:val="001A66FA"/>
    <w:rsid w:val="001A67EF"/>
    <w:rsid w:val="001A6970"/>
    <w:rsid w:val="001A697C"/>
    <w:rsid w:val="001A69C7"/>
    <w:rsid w:val="001A69DC"/>
    <w:rsid w:val="001A69F6"/>
    <w:rsid w:val="001A6A88"/>
    <w:rsid w:val="001A6C48"/>
    <w:rsid w:val="001A6C52"/>
    <w:rsid w:val="001A6D8C"/>
    <w:rsid w:val="001A6ECE"/>
    <w:rsid w:val="001A6F7C"/>
    <w:rsid w:val="001A7026"/>
    <w:rsid w:val="001A7046"/>
    <w:rsid w:val="001A7113"/>
    <w:rsid w:val="001A759C"/>
    <w:rsid w:val="001A77C2"/>
    <w:rsid w:val="001A7860"/>
    <w:rsid w:val="001A7873"/>
    <w:rsid w:val="001A7BE0"/>
    <w:rsid w:val="001B00C9"/>
    <w:rsid w:val="001B0165"/>
    <w:rsid w:val="001B04CF"/>
    <w:rsid w:val="001B0545"/>
    <w:rsid w:val="001B0A28"/>
    <w:rsid w:val="001B0B18"/>
    <w:rsid w:val="001B0B85"/>
    <w:rsid w:val="001B0D7E"/>
    <w:rsid w:val="001B0E5F"/>
    <w:rsid w:val="001B0F41"/>
    <w:rsid w:val="001B1040"/>
    <w:rsid w:val="001B1046"/>
    <w:rsid w:val="001B10E3"/>
    <w:rsid w:val="001B1299"/>
    <w:rsid w:val="001B1427"/>
    <w:rsid w:val="001B189C"/>
    <w:rsid w:val="001B19B8"/>
    <w:rsid w:val="001B19D7"/>
    <w:rsid w:val="001B1A9B"/>
    <w:rsid w:val="001B1B60"/>
    <w:rsid w:val="001B1D23"/>
    <w:rsid w:val="001B1DF8"/>
    <w:rsid w:val="001B21F1"/>
    <w:rsid w:val="001B2599"/>
    <w:rsid w:val="001B25A9"/>
    <w:rsid w:val="001B25AD"/>
    <w:rsid w:val="001B2600"/>
    <w:rsid w:val="001B269B"/>
    <w:rsid w:val="001B27C4"/>
    <w:rsid w:val="001B2800"/>
    <w:rsid w:val="001B280E"/>
    <w:rsid w:val="001B2823"/>
    <w:rsid w:val="001B2B1C"/>
    <w:rsid w:val="001B2DB9"/>
    <w:rsid w:val="001B2E0C"/>
    <w:rsid w:val="001B3302"/>
    <w:rsid w:val="001B346F"/>
    <w:rsid w:val="001B35F7"/>
    <w:rsid w:val="001B37E8"/>
    <w:rsid w:val="001B37F4"/>
    <w:rsid w:val="001B3882"/>
    <w:rsid w:val="001B39BF"/>
    <w:rsid w:val="001B3B2F"/>
    <w:rsid w:val="001B3E17"/>
    <w:rsid w:val="001B43DB"/>
    <w:rsid w:val="001B4647"/>
    <w:rsid w:val="001B46E0"/>
    <w:rsid w:val="001B4725"/>
    <w:rsid w:val="001B493B"/>
    <w:rsid w:val="001B4A6D"/>
    <w:rsid w:val="001B4B6B"/>
    <w:rsid w:val="001B4DC2"/>
    <w:rsid w:val="001B4E6F"/>
    <w:rsid w:val="001B5080"/>
    <w:rsid w:val="001B51C0"/>
    <w:rsid w:val="001B526B"/>
    <w:rsid w:val="001B54AE"/>
    <w:rsid w:val="001B5572"/>
    <w:rsid w:val="001B55FA"/>
    <w:rsid w:val="001B5644"/>
    <w:rsid w:val="001B5A73"/>
    <w:rsid w:val="001B5A7A"/>
    <w:rsid w:val="001B5B59"/>
    <w:rsid w:val="001B5C6D"/>
    <w:rsid w:val="001B5DC8"/>
    <w:rsid w:val="001B5F26"/>
    <w:rsid w:val="001B6015"/>
    <w:rsid w:val="001B60C2"/>
    <w:rsid w:val="001B60DF"/>
    <w:rsid w:val="001B61FC"/>
    <w:rsid w:val="001B634C"/>
    <w:rsid w:val="001B653D"/>
    <w:rsid w:val="001B673E"/>
    <w:rsid w:val="001B67C5"/>
    <w:rsid w:val="001B68B2"/>
    <w:rsid w:val="001B6920"/>
    <w:rsid w:val="001B693A"/>
    <w:rsid w:val="001B6ADE"/>
    <w:rsid w:val="001B6C52"/>
    <w:rsid w:val="001B6C68"/>
    <w:rsid w:val="001B6D23"/>
    <w:rsid w:val="001B6E77"/>
    <w:rsid w:val="001B6EE8"/>
    <w:rsid w:val="001B6F84"/>
    <w:rsid w:val="001B70DA"/>
    <w:rsid w:val="001B70DB"/>
    <w:rsid w:val="001B7105"/>
    <w:rsid w:val="001B7153"/>
    <w:rsid w:val="001B722F"/>
    <w:rsid w:val="001B7311"/>
    <w:rsid w:val="001B7365"/>
    <w:rsid w:val="001B74D2"/>
    <w:rsid w:val="001B759C"/>
    <w:rsid w:val="001B7A30"/>
    <w:rsid w:val="001B7AAB"/>
    <w:rsid w:val="001C0462"/>
    <w:rsid w:val="001C066C"/>
    <w:rsid w:val="001C0A16"/>
    <w:rsid w:val="001C0BCE"/>
    <w:rsid w:val="001C10AC"/>
    <w:rsid w:val="001C1105"/>
    <w:rsid w:val="001C11CD"/>
    <w:rsid w:val="001C15E6"/>
    <w:rsid w:val="001C15F7"/>
    <w:rsid w:val="001C1755"/>
    <w:rsid w:val="001C17BE"/>
    <w:rsid w:val="001C18C3"/>
    <w:rsid w:val="001C19CA"/>
    <w:rsid w:val="001C1AFB"/>
    <w:rsid w:val="001C1B3A"/>
    <w:rsid w:val="001C1B85"/>
    <w:rsid w:val="001C1BFB"/>
    <w:rsid w:val="001C1CE3"/>
    <w:rsid w:val="001C1E25"/>
    <w:rsid w:val="001C1EC2"/>
    <w:rsid w:val="001C1F51"/>
    <w:rsid w:val="001C213D"/>
    <w:rsid w:val="001C2156"/>
    <w:rsid w:val="001C2276"/>
    <w:rsid w:val="001C22E7"/>
    <w:rsid w:val="001C2395"/>
    <w:rsid w:val="001C24B5"/>
    <w:rsid w:val="001C24BC"/>
    <w:rsid w:val="001C24ED"/>
    <w:rsid w:val="001C2532"/>
    <w:rsid w:val="001C255F"/>
    <w:rsid w:val="001C2563"/>
    <w:rsid w:val="001C2613"/>
    <w:rsid w:val="001C27E9"/>
    <w:rsid w:val="001C280C"/>
    <w:rsid w:val="001C280D"/>
    <w:rsid w:val="001C2930"/>
    <w:rsid w:val="001C2C34"/>
    <w:rsid w:val="001C2C74"/>
    <w:rsid w:val="001C2CDE"/>
    <w:rsid w:val="001C2FF8"/>
    <w:rsid w:val="001C318D"/>
    <w:rsid w:val="001C3220"/>
    <w:rsid w:val="001C335A"/>
    <w:rsid w:val="001C3495"/>
    <w:rsid w:val="001C34DE"/>
    <w:rsid w:val="001C35C9"/>
    <w:rsid w:val="001C3669"/>
    <w:rsid w:val="001C3942"/>
    <w:rsid w:val="001C396C"/>
    <w:rsid w:val="001C39C1"/>
    <w:rsid w:val="001C3A0F"/>
    <w:rsid w:val="001C3A39"/>
    <w:rsid w:val="001C3AC6"/>
    <w:rsid w:val="001C3B16"/>
    <w:rsid w:val="001C3D51"/>
    <w:rsid w:val="001C3FDB"/>
    <w:rsid w:val="001C40D4"/>
    <w:rsid w:val="001C440C"/>
    <w:rsid w:val="001C4430"/>
    <w:rsid w:val="001C4467"/>
    <w:rsid w:val="001C451F"/>
    <w:rsid w:val="001C45EA"/>
    <w:rsid w:val="001C473D"/>
    <w:rsid w:val="001C480B"/>
    <w:rsid w:val="001C4811"/>
    <w:rsid w:val="001C4C3A"/>
    <w:rsid w:val="001C4CD2"/>
    <w:rsid w:val="001C4D30"/>
    <w:rsid w:val="001C4D4C"/>
    <w:rsid w:val="001C5098"/>
    <w:rsid w:val="001C5194"/>
    <w:rsid w:val="001C5248"/>
    <w:rsid w:val="001C5350"/>
    <w:rsid w:val="001C5414"/>
    <w:rsid w:val="001C548D"/>
    <w:rsid w:val="001C5686"/>
    <w:rsid w:val="001C5689"/>
    <w:rsid w:val="001C56E7"/>
    <w:rsid w:val="001C5B79"/>
    <w:rsid w:val="001C5BD1"/>
    <w:rsid w:val="001C5BF1"/>
    <w:rsid w:val="001C5BF8"/>
    <w:rsid w:val="001C5D1E"/>
    <w:rsid w:val="001C5D55"/>
    <w:rsid w:val="001C6094"/>
    <w:rsid w:val="001C60A6"/>
    <w:rsid w:val="001C6110"/>
    <w:rsid w:val="001C6316"/>
    <w:rsid w:val="001C6552"/>
    <w:rsid w:val="001C6656"/>
    <w:rsid w:val="001C6717"/>
    <w:rsid w:val="001C6850"/>
    <w:rsid w:val="001C686D"/>
    <w:rsid w:val="001C6959"/>
    <w:rsid w:val="001C69B0"/>
    <w:rsid w:val="001C6A70"/>
    <w:rsid w:val="001C6A8F"/>
    <w:rsid w:val="001C6B98"/>
    <w:rsid w:val="001C6BB3"/>
    <w:rsid w:val="001C6D15"/>
    <w:rsid w:val="001C6F9F"/>
    <w:rsid w:val="001C6FBC"/>
    <w:rsid w:val="001C6FEE"/>
    <w:rsid w:val="001C7010"/>
    <w:rsid w:val="001C7095"/>
    <w:rsid w:val="001C74C6"/>
    <w:rsid w:val="001C75C6"/>
    <w:rsid w:val="001C75D8"/>
    <w:rsid w:val="001C75FD"/>
    <w:rsid w:val="001C765D"/>
    <w:rsid w:val="001C76EF"/>
    <w:rsid w:val="001C76F6"/>
    <w:rsid w:val="001C7791"/>
    <w:rsid w:val="001C77B8"/>
    <w:rsid w:val="001C7906"/>
    <w:rsid w:val="001C7975"/>
    <w:rsid w:val="001C7992"/>
    <w:rsid w:val="001C7BC2"/>
    <w:rsid w:val="001C7C40"/>
    <w:rsid w:val="001C7E62"/>
    <w:rsid w:val="001C7E94"/>
    <w:rsid w:val="001C7ED9"/>
    <w:rsid w:val="001C7F5A"/>
    <w:rsid w:val="001C7F79"/>
    <w:rsid w:val="001C7F97"/>
    <w:rsid w:val="001C7FE9"/>
    <w:rsid w:val="001D01F9"/>
    <w:rsid w:val="001D0743"/>
    <w:rsid w:val="001D0910"/>
    <w:rsid w:val="001D0929"/>
    <w:rsid w:val="001D0B3A"/>
    <w:rsid w:val="001D0BAA"/>
    <w:rsid w:val="001D0CF7"/>
    <w:rsid w:val="001D0D56"/>
    <w:rsid w:val="001D0DF8"/>
    <w:rsid w:val="001D0EBB"/>
    <w:rsid w:val="001D1171"/>
    <w:rsid w:val="001D1179"/>
    <w:rsid w:val="001D121A"/>
    <w:rsid w:val="001D127F"/>
    <w:rsid w:val="001D1300"/>
    <w:rsid w:val="001D13F8"/>
    <w:rsid w:val="001D1400"/>
    <w:rsid w:val="001D14A7"/>
    <w:rsid w:val="001D16B3"/>
    <w:rsid w:val="001D18E2"/>
    <w:rsid w:val="001D1BBB"/>
    <w:rsid w:val="001D1C58"/>
    <w:rsid w:val="001D1FEE"/>
    <w:rsid w:val="001D20FF"/>
    <w:rsid w:val="001D21CC"/>
    <w:rsid w:val="001D2201"/>
    <w:rsid w:val="001D256F"/>
    <w:rsid w:val="001D2600"/>
    <w:rsid w:val="001D26BF"/>
    <w:rsid w:val="001D27EB"/>
    <w:rsid w:val="001D2985"/>
    <w:rsid w:val="001D2AA2"/>
    <w:rsid w:val="001D2B59"/>
    <w:rsid w:val="001D2BC4"/>
    <w:rsid w:val="001D2D0E"/>
    <w:rsid w:val="001D2E24"/>
    <w:rsid w:val="001D2FA5"/>
    <w:rsid w:val="001D2FAF"/>
    <w:rsid w:val="001D3068"/>
    <w:rsid w:val="001D30F2"/>
    <w:rsid w:val="001D3118"/>
    <w:rsid w:val="001D317F"/>
    <w:rsid w:val="001D3253"/>
    <w:rsid w:val="001D32E3"/>
    <w:rsid w:val="001D33C1"/>
    <w:rsid w:val="001D33EE"/>
    <w:rsid w:val="001D34E6"/>
    <w:rsid w:val="001D34EA"/>
    <w:rsid w:val="001D3691"/>
    <w:rsid w:val="001D36FC"/>
    <w:rsid w:val="001D3748"/>
    <w:rsid w:val="001D3759"/>
    <w:rsid w:val="001D384F"/>
    <w:rsid w:val="001D3A64"/>
    <w:rsid w:val="001D3C40"/>
    <w:rsid w:val="001D3DF6"/>
    <w:rsid w:val="001D41E2"/>
    <w:rsid w:val="001D4311"/>
    <w:rsid w:val="001D44B3"/>
    <w:rsid w:val="001D44D0"/>
    <w:rsid w:val="001D4925"/>
    <w:rsid w:val="001D4934"/>
    <w:rsid w:val="001D4CA9"/>
    <w:rsid w:val="001D4CDE"/>
    <w:rsid w:val="001D4E55"/>
    <w:rsid w:val="001D4F3E"/>
    <w:rsid w:val="001D511D"/>
    <w:rsid w:val="001D54E6"/>
    <w:rsid w:val="001D55D7"/>
    <w:rsid w:val="001D55ED"/>
    <w:rsid w:val="001D5633"/>
    <w:rsid w:val="001D5792"/>
    <w:rsid w:val="001D58C3"/>
    <w:rsid w:val="001D59B5"/>
    <w:rsid w:val="001D5A07"/>
    <w:rsid w:val="001D5A72"/>
    <w:rsid w:val="001D5B50"/>
    <w:rsid w:val="001D5B6A"/>
    <w:rsid w:val="001D5CB4"/>
    <w:rsid w:val="001D5E68"/>
    <w:rsid w:val="001D5EB9"/>
    <w:rsid w:val="001D61D2"/>
    <w:rsid w:val="001D62A7"/>
    <w:rsid w:val="001D62F2"/>
    <w:rsid w:val="001D6365"/>
    <w:rsid w:val="001D63CB"/>
    <w:rsid w:val="001D6460"/>
    <w:rsid w:val="001D66F8"/>
    <w:rsid w:val="001D6705"/>
    <w:rsid w:val="001D68C6"/>
    <w:rsid w:val="001D6BD8"/>
    <w:rsid w:val="001D6D54"/>
    <w:rsid w:val="001D6F97"/>
    <w:rsid w:val="001D6FA4"/>
    <w:rsid w:val="001D7012"/>
    <w:rsid w:val="001D7045"/>
    <w:rsid w:val="001D708E"/>
    <w:rsid w:val="001D71DF"/>
    <w:rsid w:val="001D73B4"/>
    <w:rsid w:val="001D7491"/>
    <w:rsid w:val="001D7868"/>
    <w:rsid w:val="001D78AC"/>
    <w:rsid w:val="001D7D2C"/>
    <w:rsid w:val="001D7D3E"/>
    <w:rsid w:val="001D7E4B"/>
    <w:rsid w:val="001D7F4F"/>
    <w:rsid w:val="001D7FC8"/>
    <w:rsid w:val="001E00A6"/>
    <w:rsid w:val="001E0176"/>
    <w:rsid w:val="001E020A"/>
    <w:rsid w:val="001E0359"/>
    <w:rsid w:val="001E03AA"/>
    <w:rsid w:val="001E050B"/>
    <w:rsid w:val="001E089E"/>
    <w:rsid w:val="001E08A2"/>
    <w:rsid w:val="001E091A"/>
    <w:rsid w:val="001E0935"/>
    <w:rsid w:val="001E0A1D"/>
    <w:rsid w:val="001E0BA6"/>
    <w:rsid w:val="001E0C56"/>
    <w:rsid w:val="001E0D66"/>
    <w:rsid w:val="001E0DA7"/>
    <w:rsid w:val="001E0E15"/>
    <w:rsid w:val="001E0EE8"/>
    <w:rsid w:val="001E142F"/>
    <w:rsid w:val="001E1AC7"/>
    <w:rsid w:val="001E1C1A"/>
    <w:rsid w:val="001E1C51"/>
    <w:rsid w:val="001E1D56"/>
    <w:rsid w:val="001E1D98"/>
    <w:rsid w:val="001E1DCB"/>
    <w:rsid w:val="001E1DEA"/>
    <w:rsid w:val="001E1EB3"/>
    <w:rsid w:val="001E1EF8"/>
    <w:rsid w:val="001E2010"/>
    <w:rsid w:val="001E2160"/>
    <w:rsid w:val="001E22BC"/>
    <w:rsid w:val="001E23BC"/>
    <w:rsid w:val="001E25CD"/>
    <w:rsid w:val="001E262E"/>
    <w:rsid w:val="001E26EC"/>
    <w:rsid w:val="001E28A7"/>
    <w:rsid w:val="001E2925"/>
    <w:rsid w:val="001E2A0D"/>
    <w:rsid w:val="001E2A35"/>
    <w:rsid w:val="001E2A8D"/>
    <w:rsid w:val="001E2C51"/>
    <w:rsid w:val="001E2EFE"/>
    <w:rsid w:val="001E30E7"/>
    <w:rsid w:val="001E3106"/>
    <w:rsid w:val="001E3169"/>
    <w:rsid w:val="001E3386"/>
    <w:rsid w:val="001E33E5"/>
    <w:rsid w:val="001E35C9"/>
    <w:rsid w:val="001E36FB"/>
    <w:rsid w:val="001E38C7"/>
    <w:rsid w:val="001E3B13"/>
    <w:rsid w:val="001E3CD7"/>
    <w:rsid w:val="001E3E47"/>
    <w:rsid w:val="001E3E51"/>
    <w:rsid w:val="001E3EBE"/>
    <w:rsid w:val="001E3EDF"/>
    <w:rsid w:val="001E401A"/>
    <w:rsid w:val="001E4112"/>
    <w:rsid w:val="001E423D"/>
    <w:rsid w:val="001E435A"/>
    <w:rsid w:val="001E441B"/>
    <w:rsid w:val="001E4553"/>
    <w:rsid w:val="001E45E8"/>
    <w:rsid w:val="001E4738"/>
    <w:rsid w:val="001E473C"/>
    <w:rsid w:val="001E4B1F"/>
    <w:rsid w:val="001E4B35"/>
    <w:rsid w:val="001E4EB9"/>
    <w:rsid w:val="001E4F23"/>
    <w:rsid w:val="001E4FA9"/>
    <w:rsid w:val="001E5005"/>
    <w:rsid w:val="001E5021"/>
    <w:rsid w:val="001E5128"/>
    <w:rsid w:val="001E51CF"/>
    <w:rsid w:val="001E521A"/>
    <w:rsid w:val="001E558E"/>
    <w:rsid w:val="001E599A"/>
    <w:rsid w:val="001E5E4C"/>
    <w:rsid w:val="001E6206"/>
    <w:rsid w:val="001E6AC3"/>
    <w:rsid w:val="001E6CCE"/>
    <w:rsid w:val="001E6FE1"/>
    <w:rsid w:val="001E7173"/>
    <w:rsid w:val="001E71B0"/>
    <w:rsid w:val="001E7203"/>
    <w:rsid w:val="001E73F4"/>
    <w:rsid w:val="001E77AF"/>
    <w:rsid w:val="001E7A41"/>
    <w:rsid w:val="001E7CAB"/>
    <w:rsid w:val="001E7DBD"/>
    <w:rsid w:val="001F01D8"/>
    <w:rsid w:val="001F01DD"/>
    <w:rsid w:val="001F0395"/>
    <w:rsid w:val="001F04C9"/>
    <w:rsid w:val="001F0587"/>
    <w:rsid w:val="001F05EC"/>
    <w:rsid w:val="001F05F5"/>
    <w:rsid w:val="001F0644"/>
    <w:rsid w:val="001F0672"/>
    <w:rsid w:val="001F076E"/>
    <w:rsid w:val="001F0860"/>
    <w:rsid w:val="001F099C"/>
    <w:rsid w:val="001F09F1"/>
    <w:rsid w:val="001F0A66"/>
    <w:rsid w:val="001F0AE1"/>
    <w:rsid w:val="001F10FA"/>
    <w:rsid w:val="001F12AA"/>
    <w:rsid w:val="001F1421"/>
    <w:rsid w:val="001F144E"/>
    <w:rsid w:val="001F1603"/>
    <w:rsid w:val="001F1770"/>
    <w:rsid w:val="001F1831"/>
    <w:rsid w:val="001F1956"/>
    <w:rsid w:val="001F1C6B"/>
    <w:rsid w:val="001F1C7A"/>
    <w:rsid w:val="001F1F0E"/>
    <w:rsid w:val="001F1F2D"/>
    <w:rsid w:val="001F1F37"/>
    <w:rsid w:val="001F1F58"/>
    <w:rsid w:val="001F20F5"/>
    <w:rsid w:val="001F21CD"/>
    <w:rsid w:val="001F2401"/>
    <w:rsid w:val="001F24C8"/>
    <w:rsid w:val="001F24FF"/>
    <w:rsid w:val="001F270E"/>
    <w:rsid w:val="001F2772"/>
    <w:rsid w:val="001F2827"/>
    <w:rsid w:val="001F2892"/>
    <w:rsid w:val="001F2B7B"/>
    <w:rsid w:val="001F2BC8"/>
    <w:rsid w:val="001F2C7C"/>
    <w:rsid w:val="001F2CFF"/>
    <w:rsid w:val="001F2DC6"/>
    <w:rsid w:val="001F2E00"/>
    <w:rsid w:val="001F2F82"/>
    <w:rsid w:val="001F301C"/>
    <w:rsid w:val="001F31B5"/>
    <w:rsid w:val="001F32EE"/>
    <w:rsid w:val="001F344C"/>
    <w:rsid w:val="001F353F"/>
    <w:rsid w:val="001F36F6"/>
    <w:rsid w:val="001F3735"/>
    <w:rsid w:val="001F3954"/>
    <w:rsid w:val="001F3C8C"/>
    <w:rsid w:val="001F3C95"/>
    <w:rsid w:val="001F3CA3"/>
    <w:rsid w:val="001F3D4D"/>
    <w:rsid w:val="001F3E9E"/>
    <w:rsid w:val="001F41F7"/>
    <w:rsid w:val="001F4661"/>
    <w:rsid w:val="001F4744"/>
    <w:rsid w:val="001F489C"/>
    <w:rsid w:val="001F4AFC"/>
    <w:rsid w:val="001F4D2B"/>
    <w:rsid w:val="001F506C"/>
    <w:rsid w:val="001F5133"/>
    <w:rsid w:val="001F51E1"/>
    <w:rsid w:val="001F53D8"/>
    <w:rsid w:val="001F53DF"/>
    <w:rsid w:val="001F5409"/>
    <w:rsid w:val="001F5793"/>
    <w:rsid w:val="001F57A7"/>
    <w:rsid w:val="001F57C6"/>
    <w:rsid w:val="001F583C"/>
    <w:rsid w:val="001F59B8"/>
    <w:rsid w:val="001F5E17"/>
    <w:rsid w:val="001F5E9D"/>
    <w:rsid w:val="001F5F03"/>
    <w:rsid w:val="001F5F18"/>
    <w:rsid w:val="001F5F1D"/>
    <w:rsid w:val="001F6264"/>
    <w:rsid w:val="001F64F7"/>
    <w:rsid w:val="001F6579"/>
    <w:rsid w:val="001F65F9"/>
    <w:rsid w:val="001F672A"/>
    <w:rsid w:val="001F69DA"/>
    <w:rsid w:val="001F6B6C"/>
    <w:rsid w:val="001F6FF9"/>
    <w:rsid w:val="001F7006"/>
    <w:rsid w:val="001F70C5"/>
    <w:rsid w:val="001F7286"/>
    <w:rsid w:val="001F7483"/>
    <w:rsid w:val="001F7489"/>
    <w:rsid w:val="001F75F9"/>
    <w:rsid w:val="001F76BC"/>
    <w:rsid w:val="001F79D0"/>
    <w:rsid w:val="001F7CE0"/>
    <w:rsid w:val="001F7F97"/>
    <w:rsid w:val="001F7FB2"/>
    <w:rsid w:val="002001F0"/>
    <w:rsid w:val="0020046A"/>
    <w:rsid w:val="00200477"/>
    <w:rsid w:val="002004A5"/>
    <w:rsid w:val="002005D7"/>
    <w:rsid w:val="002006AD"/>
    <w:rsid w:val="002007B0"/>
    <w:rsid w:val="00200936"/>
    <w:rsid w:val="00200B91"/>
    <w:rsid w:val="00200C02"/>
    <w:rsid w:val="00200E1D"/>
    <w:rsid w:val="00200E41"/>
    <w:rsid w:val="00200F33"/>
    <w:rsid w:val="00201244"/>
    <w:rsid w:val="002012CF"/>
    <w:rsid w:val="0020134D"/>
    <w:rsid w:val="00201480"/>
    <w:rsid w:val="00201612"/>
    <w:rsid w:val="002016BB"/>
    <w:rsid w:val="00201722"/>
    <w:rsid w:val="002017EB"/>
    <w:rsid w:val="002019EE"/>
    <w:rsid w:val="00201B98"/>
    <w:rsid w:val="00201CB1"/>
    <w:rsid w:val="00201E07"/>
    <w:rsid w:val="00201EFE"/>
    <w:rsid w:val="00201F84"/>
    <w:rsid w:val="002023E5"/>
    <w:rsid w:val="0020246D"/>
    <w:rsid w:val="00202506"/>
    <w:rsid w:val="002026F6"/>
    <w:rsid w:val="00202702"/>
    <w:rsid w:val="002027BE"/>
    <w:rsid w:val="00202B42"/>
    <w:rsid w:val="00202D1F"/>
    <w:rsid w:val="00202D46"/>
    <w:rsid w:val="00202DFA"/>
    <w:rsid w:val="00202F7D"/>
    <w:rsid w:val="00202F91"/>
    <w:rsid w:val="0020313B"/>
    <w:rsid w:val="0020334B"/>
    <w:rsid w:val="0020335B"/>
    <w:rsid w:val="00203528"/>
    <w:rsid w:val="002036AF"/>
    <w:rsid w:val="00203751"/>
    <w:rsid w:val="0020385A"/>
    <w:rsid w:val="00203889"/>
    <w:rsid w:val="00203BC7"/>
    <w:rsid w:val="00203E0F"/>
    <w:rsid w:val="00203E1D"/>
    <w:rsid w:val="00203FE5"/>
    <w:rsid w:val="00204122"/>
    <w:rsid w:val="00204254"/>
    <w:rsid w:val="002042BE"/>
    <w:rsid w:val="002042D2"/>
    <w:rsid w:val="002043BC"/>
    <w:rsid w:val="002043D2"/>
    <w:rsid w:val="0020443A"/>
    <w:rsid w:val="00204479"/>
    <w:rsid w:val="00204557"/>
    <w:rsid w:val="0020461D"/>
    <w:rsid w:val="002046BD"/>
    <w:rsid w:val="0020471D"/>
    <w:rsid w:val="00204800"/>
    <w:rsid w:val="002049D3"/>
    <w:rsid w:val="00204A5A"/>
    <w:rsid w:val="00204B51"/>
    <w:rsid w:val="00204BBB"/>
    <w:rsid w:val="00204E93"/>
    <w:rsid w:val="00204FDD"/>
    <w:rsid w:val="00204FE3"/>
    <w:rsid w:val="00204FED"/>
    <w:rsid w:val="002050CC"/>
    <w:rsid w:val="002054ED"/>
    <w:rsid w:val="0020562E"/>
    <w:rsid w:val="0020568B"/>
    <w:rsid w:val="0020576A"/>
    <w:rsid w:val="00205936"/>
    <w:rsid w:val="00205ACD"/>
    <w:rsid w:val="00205B52"/>
    <w:rsid w:val="00205BED"/>
    <w:rsid w:val="00205F69"/>
    <w:rsid w:val="00206212"/>
    <w:rsid w:val="002068DB"/>
    <w:rsid w:val="00206B1E"/>
    <w:rsid w:val="00206F36"/>
    <w:rsid w:val="00206F7E"/>
    <w:rsid w:val="002071E4"/>
    <w:rsid w:val="00207224"/>
    <w:rsid w:val="00207329"/>
    <w:rsid w:val="0020758B"/>
    <w:rsid w:val="0020767A"/>
    <w:rsid w:val="002076AA"/>
    <w:rsid w:val="002077E5"/>
    <w:rsid w:val="0020786A"/>
    <w:rsid w:val="002079FA"/>
    <w:rsid w:val="00207BF3"/>
    <w:rsid w:val="00207C74"/>
    <w:rsid w:val="00207CB4"/>
    <w:rsid w:val="00207EC0"/>
    <w:rsid w:val="00207EC6"/>
    <w:rsid w:val="00207F08"/>
    <w:rsid w:val="00207FF6"/>
    <w:rsid w:val="00210008"/>
    <w:rsid w:val="002100E7"/>
    <w:rsid w:val="00210402"/>
    <w:rsid w:val="00210901"/>
    <w:rsid w:val="002109C4"/>
    <w:rsid w:val="00210A35"/>
    <w:rsid w:val="00210A9A"/>
    <w:rsid w:val="00210AC4"/>
    <w:rsid w:val="00210C1E"/>
    <w:rsid w:val="00210C68"/>
    <w:rsid w:val="00210D6B"/>
    <w:rsid w:val="00210EB3"/>
    <w:rsid w:val="002110A8"/>
    <w:rsid w:val="0021116C"/>
    <w:rsid w:val="002111C9"/>
    <w:rsid w:val="002111FA"/>
    <w:rsid w:val="002112FE"/>
    <w:rsid w:val="0021130D"/>
    <w:rsid w:val="0021149C"/>
    <w:rsid w:val="002115C4"/>
    <w:rsid w:val="002115C6"/>
    <w:rsid w:val="002115DF"/>
    <w:rsid w:val="00211611"/>
    <w:rsid w:val="0021165C"/>
    <w:rsid w:val="002118D1"/>
    <w:rsid w:val="0021198C"/>
    <w:rsid w:val="002119A3"/>
    <w:rsid w:val="002119D8"/>
    <w:rsid w:val="00211A99"/>
    <w:rsid w:val="00211EF0"/>
    <w:rsid w:val="00212006"/>
    <w:rsid w:val="00212082"/>
    <w:rsid w:val="0021220A"/>
    <w:rsid w:val="0021220C"/>
    <w:rsid w:val="002122C4"/>
    <w:rsid w:val="0021247A"/>
    <w:rsid w:val="00212A26"/>
    <w:rsid w:val="00212E0F"/>
    <w:rsid w:val="00212E69"/>
    <w:rsid w:val="00212EE1"/>
    <w:rsid w:val="00212F5C"/>
    <w:rsid w:val="00213028"/>
    <w:rsid w:val="002130DD"/>
    <w:rsid w:val="002132AB"/>
    <w:rsid w:val="002132BF"/>
    <w:rsid w:val="00213447"/>
    <w:rsid w:val="002134C7"/>
    <w:rsid w:val="00213596"/>
    <w:rsid w:val="00213626"/>
    <w:rsid w:val="0021364C"/>
    <w:rsid w:val="0021369D"/>
    <w:rsid w:val="002136AF"/>
    <w:rsid w:val="002138A3"/>
    <w:rsid w:val="0021390A"/>
    <w:rsid w:val="00213A3A"/>
    <w:rsid w:val="00213A82"/>
    <w:rsid w:val="00213BD6"/>
    <w:rsid w:val="00213D22"/>
    <w:rsid w:val="00213D6C"/>
    <w:rsid w:val="00213DA1"/>
    <w:rsid w:val="00213E6D"/>
    <w:rsid w:val="00213FA0"/>
    <w:rsid w:val="0021402C"/>
    <w:rsid w:val="0021416A"/>
    <w:rsid w:val="00214239"/>
    <w:rsid w:val="00214412"/>
    <w:rsid w:val="002144ED"/>
    <w:rsid w:val="00214761"/>
    <w:rsid w:val="00214801"/>
    <w:rsid w:val="00214824"/>
    <w:rsid w:val="0021489F"/>
    <w:rsid w:val="002148FC"/>
    <w:rsid w:val="00214B84"/>
    <w:rsid w:val="00214BF2"/>
    <w:rsid w:val="00214C83"/>
    <w:rsid w:val="00214D47"/>
    <w:rsid w:val="00214DE7"/>
    <w:rsid w:val="002150D3"/>
    <w:rsid w:val="00215165"/>
    <w:rsid w:val="0021521B"/>
    <w:rsid w:val="002152D6"/>
    <w:rsid w:val="00215393"/>
    <w:rsid w:val="0021541F"/>
    <w:rsid w:val="002154A2"/>
    <w:rsid w:val="00215643"/>
    <w:rsid w:val="00215963"/>
    <w:rsid w:val="00215E3A"/>
    <w:rsid w:val="0021614B"/>
    <w:rsid w:val="00216356"/>
    <w:rsid w:val="002164EB"/>
    <w:rsid w:val="0021675B"/>
    <w:rsid w:val="002167F1"/>
    <w:rsid w:val="0021681E"/>
    <w:rsid w:val="002168A5"/>
    <w:rsid w:val="002168D6"/>
    <w:rsid w:val="002168D9"/>
    <w:rsid w:val="002169CB"/>
    <w:rsid w:val="00216B64"/>
    <w:rsid w:val="00216B77"/>
    <w:rsid w:val="00216C5B"/>
    <w:rsid w:val="00216DB5"/>
    <w:rsid w:val="00216DCD"/>
    <w:rsid w:val="00216DD4"/>
    <w:rsid w:val="00216DF8"/>
    <w:rsid w:val="00216EF9"/>
    <w:rsid w:val="0021739D"/>
    <w:rsid w:val="00217453"/>
    <w:rsid w:val="002176AF"/>
    <w:rsid w:val="0021772D"/>
    <w:rsid w:val="00217731"/>
    <w:rsid w:val="00217934"/>
    <w:rsid w:val="00217A19"/>
    <w:rsid w:val="00217A1B"/>
    <w:rsid w:val="00217B57"/>
    <w:rsid w:val="00217B61"/>
    <w:rsid w:val="00217DD2"/>
    <w:rsid w:val="00217EDE"/>
    <w:rsid w:val="00217F44"/>
    <w:rsid w:val="00217FBA"/>
    <w:rsid w:val="00220012"/>
    <w:rsid w:val="00220081"/>
    <w:rsid w:val="00220133"/>
    <w:rsid w:val="00220183"/>
    <w:rsid w:val="0022026B"/>
    <w:rsid w:val="00220647"/>
    <w:rsid w:val="00220650"/>
    <w:rsid w:val="0022078D"/>
    <w:rsid w:val="002207F6"/>
    <w:rsid w:val="0022087C"/>
    <w:rsid w:val="0022091E"/>
    <w:rsid w:val="00220951"/>
    <w:rsid w:val="00220A64"/>
    <w:rsid w:val="00220C04"/>
    <w:rsid w:val="00220DF4"/>
    <w:rsid w:val="00220F02"/>
    <w:rsid w:val="0022112C"/>
    <w:rsid w:val="00221316"/>
    <w:rsid w:val="0022132D"/>
    <w:rsid w:val="00221338"/>
    <w:rsid w:val="002214BF"/>
    <w:rsid w:val="00221506"/>
    <w:rsid w:val="0022151D"/>
    <w:rsid w:val="00221595"/>
    <w:rsid w:val="002216E0"/>
    <w:rsid w:val="002217D7"/>
    <w:rsid w:val="00221AA6"/>
    <w:rsid w:val="00221AD2"/>
    <w:rsid w:val="002220E4"/>
    <w:rsid w:val="002221C8"/>
    <w:rsid w:val="002221ED"/>
    <w:rsid w:val="00222565"/>
    <w:rsid w:val="00222618"/>
    <w:rsid w:val="00222922"/>
    <w:rsid w:val="002229FC"/>
    <w:rsid w:val="00222A8C"/>
    <w:rsid w:val="00222B7B"/>
    <w:rsid w:val="00222BFE"/>
    <w:rsid w:val="00222C3A"/>
    <w:rsid w:val="00222E0E"/>
    <w:rsid w:val="00223205"/>
    <w:rsid w:val="00223233"/>
    <w:rsid w:val="0022325C"/>
    <w:rsid w:val="0022333F"/>
    <w:rsid w:val="0022339A"/>
    <w:rsid w:val="002234A1"/>
    <w:rsid w:val="0022357F"/>
    <w:rsid w:val="002235AB"/>
    <w:rsid w:val="002235E9"/>
    <w:rsid w:val="0022361D"/>
    <w:rsid w:val="002237FB"/>
    <w:rsid w:val="0022389D"/>
    <w:rsid w:val="00223B10"/>
    <w:rsid w:val="00223BD7"/>
    <w:rsid w:val="00223CE6"/>
    <w:rsid w:val="00223CF2"/>
    <w:rsid w:val="00223D70"/>
    <w:rsid w:val="00223E60"/>
    <w:rsid w:val="00224148"/>
    <w:rsid w:val="0022416A"/>
    <w:rsid w:val="002243BF"/>
    <w:rsid w:val="002243DF"/>
    <w:rsid w:val="00224448"/>
    <w:rsid w:val="00224499"/>
    <w:rsid w:val="002244DB"/>
    <w:rsid w:val="002244F7"/>
    <w:rsid w:val="00224686"/>
    <w:rsid w:val="00224942"/>
    <w:rsid w:val="00224AA1"/>
    <w:rsid w:val="00224AEB"/>
    <w:rsid w:val="00224B61"/>
    <w:rsid w:val="00224CD5"/>
    <w:rsid w:val="00224D60"/>
    <w:rsid w:val="00224D86"/>
    <w:rsid w:val="00225164"/>
    <w:rsid w:val="002252E0"/>
    <w:rsid w:val="002253C5"/>
    <w:rsid w:val="00225762"/>
    <w:rsid w:val="00225AD1"/>
    <w:rsid w:val="00225B95"/>
    <w:rsid w:val="00225C18"/>
    <w:rsid w:val="00225C84"/>
    <w:rsid w:val="00225D04"/>
    <w:rsid w:val="00225D2B"/>
    <w:rsid w:val="00225E49"/>
    <w:rsid w:val="00225FAB"/>
    <w:rsid w:val="00226043"/>
    <w:rsid w:val="00226099"/>
    <w:rsid w:val="002261AB"/>
    <w:rsid w:val="0022626F"/>
    <w:rsid w:val="002265B4"/>
    <w:rsid w:val="002266A2"/>
    <w:rsid w:val="002266AF"/>
    <w:rsid w:val="002266CE"/>
    <w:rsid w:val="00226733"/>
    <w:rsid w:val="002268E1"/>
    <w:rsid w:val="00226BFD"/>
    <w:rsid w:val="00226C07"/>
    <w:rsid w:val="00226CB8"/>
    <w:rsid w:val="00226DF9"/>
    <w:rsid w:val="00226E93"/>
    <w:rsid w:val="00226F9F"/>
    <w:rsid w:val="0022722F"/>
    <w:rsid w:val="0022740F"/>
    <w:rsid w:val="002274B1"/>
    <w:rsid w:val="002275AE"/>
    <w:rsid w:val="00227811"/>
    <w:rsid w:val="002278DC"/>
    <w:rsid w:val="0022799B"/>
    <w:rsid w:val="00227BD0"/>
    <w:rsid w:val="00227DCB"/>
    <w:rsid w:val="00227E21"/>
    <w:rsid w:val="00230073"/>
    <w:rsid w:val="00230521"/>
    <w:rsid w:val="00230548"/>
    <w:rsid w:val="002305D7"/>
    <w:rsid w:val="00230726"/>
    <w:rsid w:val="0023072E"/>
    <w:rsid w:val="002308E2"/>
    <w:rsid w:val="00230BC5"/>
    <w:rsid w:val="00230CCF"/>
    <w:rsid w:val="00230E4B"/>
    <w:rsid w:val="00230F40"/>
    <w:rsid w:val="00231281"/>
    <w:rsid w:val="00231385"/>
    <w:rsid w:val="00231432"/>
    <w:rsid w:val="002314A3"/>
    <w:rsid w:val="00231A3A"/>
    <w:rsid w:val="00231AA0"/>
    <w:rsid w:val="00231F92"/>
    <w:rsid w:val="00232040"/>
    <w:rsid w:val="002320A6"/>
    <w:rsid w:val="002321B2"/>
    <w:rsid w:val="002321D8"/>
    <w:rsid w:val="00232366"/>
    <w:rsid w:val="00232477"/>
    <w:rsid w:val="00232609"/>
    <w:rsid w:val="002328D0"/>
    <w:rsid w:val="00232901"/>
    <w:rsid w:val="0023292F"/>
    <w:rsid w:val="00232ADA"/>
    <w:rsid w:val="00232AFA"/>
    <w:rsid w:val="00232CA9"/>
    <w:rsid w:val="00232D2B"/>
    <w:rsid w:val="00232D5A"/>
    <w:rsid w:val="00232E6E"/>
    <w:rsid w:val="00232E9E"/>
    <w:rsid w:val="00232EE7"/>
    <w:rsid w:val="00232F12"/>
    <w:rsid w:val="00232F4C"/>
    <w:rsid w:val="002332FB"/>
    <w:rsid w:val="002333C5"/>
    <w:rsid w:val="00233828"/>
    <w:rsid w:val="00233A76"/>
    <w:rsid w:val="00233C6A"/>
    <w:rsid w:val="00233DF2"/>
    <w:rsid w:val="00234259"/>
    <w:rsid w:val="00234352"/>
    <w:rsid w:val="0023439A"/>
    <w:rsid w:val="0023449D"/>
    <w:rsid w:val="0023451A"/>
    <w:rsid w:val="0023467D"/>
    <w:rsid w:val="00234742"/>
    <w:rsid w:val="0023479A"/>
    <w:rsid w:val="0023492E"/>
    <w:rsid w:val="0023498D"/>
    <w:rsid w:val="00234BBD"/>
    <w:rsid w:val="00234D81"/>
    <w:rsid w:val="00235031"/>
    <w:rsid w:val="0023516A"/>
    <w:rsid w:val="002351EA"/>
    <w:rsid w:val="002352D3"/>
    <w:rsid w:val="00235510"/>
    <w:rsid w:val="002355D6"/>
    <w:rsid w:val="002356AB"/>
    <w:rsid w:val="002357EC"/>
    <w:rsid w:val="00235D66"/>
    <w:rsid w:val="00236076"/>
    <w:rsid w:val="002361B8"/>
    <w:rsid w:val="00236682"/>
    <w:rsid w:val="00236700"/>
    <w:rsid w:val="002367AE"/>
    <w:rsid w:val="002367C6"/>
    <w:rsid w:val="00236805"/>
    <w:rsid w:val="00236851"/>
    <w:rsid w:val="0023692C"/>
    <w:rsid w:val="00237097"/>
    <w:rsid w:val="00237286"/>
    <w:rsid w:val="0023742E"/>
    <w:rsid w:val="00237537"/>
    <w:rsid w:val="00237658"/>
    <w:rsid w:val="0023791E"/>
    <w:rsid w:val="002379FA"/>
    <w:rsid w:val="00237CFE"/>
    <w:rsid w:val="00237D8E"/>
    <w:rsid w:val="00237DC5"/>
    <w:rsid w:val="00237E4D"/>
    <w:rsid w:val="00237EB8"/>
    <w:rsid w:val="00237FCD"/>
    <w:rsid w:val="00240138"/>
    <w:rsid w:val="00240527"/>
    <w:rsid w:val="00240697"/>
    <w:rsid w:val="002407B3"/>
    <w:rsid w:val="002407DC"/>
    <w:rsid w:val="00240856"/>
    <w:rsid w:val="00240B26"/>
    <w:rsid w:val="00240CCF"/>
    <w:rsid w:val="00240FE4"/>
    <w:rsid w:val="00241042"/>
    <w:rsid w:val="00241138"/>
    <w:rsid w:val="00241297"/>
    <w:rsid w:val="00241554"/>
    <w:rsid w:val="00241694"/>
    <w:rsid w:val="0024173A"/>
    <w:rsid w:val="0024188A"/>
    <w:rsid w:val="00241A31"/>
    <w:rsid w:val="00241ACC"/>
    <w:rsid w:val="00241C1B"/>
    <w:rsid w:val="00241E15"/>
    <w:rsid w:val="00241EBB"/>
    <w:rsid w:val="00241F0C"/>
    <w:rsid w:val="00242066"/>
    <w:rsid w:val="0024214D"/>
    <w:rsid w:val="00242231"/>
    <w:rsid w:val="00242349"/>
    <w:rsid w:val="0024238F"/>
    <w:rsid w:val="00242411"/>
    <w:rsid w:val="002424F0"/>
    <w:rsid w:val="002427A5"/>
    <w:rsid w:val="0024280D"/>
    <w:rsid w:val="00242BB2"/>
    <w:rsid w:val="00242BD5"/>
    <w:rsid w:val="00242EFC"/>
    <w:rsid w:val="00242F54"/>
    <w:rsid w:val="00243087"/>
    <w:rsid w:val="002430CF"/>
    <w:rsid w:val="002430E3"/>
    <w:rsid w:val="0024322D"/>
    <w:rsid w:val="00243377"/>
    <w:rsid w:val="00243457"/>
    <w:rsid w:val="0024346F"/>
    <w:rsid w:val="0024350A"/>
    <w:rsid w:val="00243543"/>
    <w:rsid w:val="00243753"/>
    <w:rsid w:val="00243B2D"/>
    <w:rsid w:val="00243CF9"/>
    <w:rsid w:val="00243D7B"/>
    <w:rsid w:val="00243D7F"/>
    <w:rsid w:val="00243DE2"/>
    <w:rsid w:val="00243E4F"/>
    <w:rsid w:val="00243F9D"/>
    <w:rsid w:val="00243FF1"/>
    <w:rsid w:val="00244126"/>
    <w:rsid w:val="0024423B"/>
    <w:rsid w:val="002442A8"/>
    <w:rsid w:val="0024453A"/>
    <w:rsid w:val="0024455D"/>
    <w:rsid w:val="00244916"/>
    <w:rsid w:val="00244B2F"/>
    <w:rsid w:val="00244C33"/>
    <w:rsid w:val="00244CA7"/>
    <w:rsid w:val="00244CC4"/>
    <w:rsid w:val="00244D8F"/>
    <w:rsid w:val="00244F8F"/>
    <w:rsid w:val="00244FE1"/>
    <w:rsid w:val="00244FFF"/>
    <w:rsid w:val="002450D2"/>
    <w:rsid w:val="00245146"/>
    <w:rsid w:val="002451DA"/>
    <w:rsid w:val="002452BD"/>
    <w:rsid w:val="00245305"/>
    <w:rsid w:val="0024559A"/>
    <w:rsid w:val="0024585E"/>
    <w:rsid w:val="002458A5"/>
    <w:rsid w:val="00245952"/>
    <w:rsid w:val="00245A56"/>
    <w:rsid w:val="00245BCC"/>
    <w:rsid w:val="00245BDD"/>
    <w:rsid w:val="00245D4D"/>
    <w:rsid w:val="00246543"/>
    <w:rsid w:val="002465EA"/>
    <w:rsid w:val="00246608"/>
    <w:rsid w:val="00246654"/>
    <w:rsid w:val="00246836"/>
    <w:rsid w:val="00246A17"/>
    <w:rsid w:val="00246AC6"/>
    <w:rsid w:val="00246C78"/>
    <w:rsid w:val="00246F20"/>
    <w:rsid w:val="002472C1"/>
    <w:rsid w:val="002475D8"/>
    <w:rsid w:val="0024777D"/>
    <w:rsid w:val="002478D2"/>
    <w:rsid w:val="0024796F"/>
    <w:rsid w:val="0024798A"/>
    <w:rsid w:val="00247BAB"/>
    <w:rsid w:val="00247BBD"/>
    <w:rsid w:val="00247CFB"/>
    <w:rsid w:val="00247D12"/>
    <w:rsid w:val="00247F3F"/>
    <w:rsid w:val="00247F52"/>
    <w:rsid w:val="002501BC"/>
    <w:rsid w:val="0025081F"/>
    <w:rsid w:val="00250AD6"/>
    <w:rsid w:val="00250C67"/>
    <w:rsid w:val="00250C79"/>
    <w:rsid w:val="00250D41"/>
    <w:rsid w:val="00250E22"/>
    <w:rsid w:val="00250E8E"/>
    <w:rsid w:val="00250EEC"/>
    <w:rsid w:val="0025131A"/>
    <w:rsid w:val="00251362"/>
    <w:rsid w:val="002515FB"/>
    <w:rsid w:val="002516D2"/>
    <w:rsid w:val="002518ED"/>
    <w:rsid w:val="002519AA"/>
    <w:rsid w:val="00251A4D"/>
    <w:rsid w:val="00251A5F"/>
    <w:rsid w:val="00251C59"/>
    <w:rsid w:val="00251C9D"/>
    <w:rsid w:val="0025243C"/>
    <w:rsid w:val="00252537"/>
    <w:rsid w:val="002525A9"/>
    <w:rsid w:val="002527B1"/>
    <w:rsid w:val="002528F8"/>
    <w:rsid w:val="00252937"/>
    <w:rsid w:val="00252A25"/>
    <w:rsid w:val="00252AC2"/>
    <w:rsid w:val="00252B3C"/>
    <w:rsid w:val="00252B86"/>
    <w:rsid w:val="00252D7F"/>
    <w:rsid w:val="00252E56"/>
    <w:rsid w:val="00252F1E"/>
    <w:rsid w:val="00252F96"/>
    <w:rsid w:val="002531E1"/>
    <w:rsid w:val="00253316"/>
    <w:rsid w:val="00253AA3"/>
    <w:rsid w:val="00253C29"/>
    <w:rsid w:val="00253C92"/>
    <w:rsid w:val="00253D96"/>
    <w:rsid w:val="00253F54"/>
    <w:rsid w:val="00254004"/>
    <w:rsid w:val="0025417A"/>
    <w:rsid w:val="00254265"/>
    <w:rsid w:val="00254320"/>
    <w:rsid w:val="00254455"/>
    <w:rsid w:val="0025491E"/>
    <w:rsid w:val="00254A4D"/>
    <w:rsid w:val="00254B0F"/>
    <w:rsid w:val="00254C0A"/>
    <w:rsid w:val="00254D14"/>
    <w:rsid w:val="00254E0D"/>
    <w:rsid w:val="00254F3B"/>
    <w:rsid w:val="002551CE"/>
    <w:rsid w:val="00255212"/>
    <w:rsid w:val="00255269"/>
    <w:rsid w:val="002553F0"/>
    <w:rsid w:val="002555DF"/>
    <w:rsid w:val="0025572F"/>
    <w:rsid w:val="00255745"/>
    <w:rsid w:val="00255868"/>
    <w:rsid w:val="002558BA"/>
    <w:rsid w:val="002558E4"/>
    <w:rsid w:val="00255BEB"/>
    <w:rsid w:val="00255C6D"/>
    <w:rsid w:val="00255FB0"/>
    <w:rsid w:val="00256128"/>
    <w:rsid w:val="00256473"/>
    <w:rsid w:val="002564D8"/>
    <w:rsid w:val="00256580"/>
    <w:rsid w:val="00256646"/>
    <w:rsid w:val="002567A0"/>
    <w:rsid w:val="002567F7"/>
    <w:rsid w:val="00256905"/>
    <w:rsid w:val="00256B3F"/>
    <w:rsid w:val="00256B40"/>
    <w:rsid w:val="00256B55"/>
    <w:rsid w:val="00256F71"/>
    <w:rsid w:val="00256F73"/>
    <w:rsid w:val="00256FCA"/>
    <w:rsid w:val="0025706B"/>
    <w:rsid w:val="00257133"/>
    <w:rsid w:val="00257196"/>
    <w:rsid w:val="0025724B"/>
    <w:rsid w:val="002572CB"/>
    <w:rsid w:val="0025731D"/>
    <w:rsid w:val="00257398"/>
    <w:rsid w:val="0025741B"/>
    <w:rsid w:val="0025751A"/>
    <w:rsid w:val="00257930"/>
    <w:rsid w:val="00257A8F"/>
    <w:rsid w:val="00257B86"/>
    <w:rsid w:val="00257C26"/>
    <w:rsid w:val="00257C4A"/>
    <w:rsid w:val="00257C5F"/>
    <w:rsid w:val="00257DB0"/>
    <w:rsid w:val="00257EAB"/>
    <w:rsid w:val="00257ED9"/>
    <w:rsid w:val="0026006C"/>
    <w:rsid w:val="002600F2"/>
    <w:rsid w:val="00260246"/>
    <w:rsid w:val="00260303"/>
    <w:rsid w:val="002607EE"/>
    <w:rsid w:val="00260819"/>
    <w:rsid w:val="0026087B"/>
    <w:rsid w:val="002609A4"/>
    <w:rsid w:val="00260A54"/>
    <w:rsid w:val="00260BDB"/>
    <w:rsid w:val="00261013"/>
    <w:rsid w:val="0026118C"/>
    <w:rsid w:val="00261205"/>
    <w:rsid w:val="0026128B"/>
    <w:rsid w:val="002612B3"/>
    <w:rsid w:val="00261325"/>
    <w:rsid w:val="00261471"/>
    <w:rsid w:val="002614EB"/>
    <w:rsid w:val="0026154A"/>
    <w:rsid w:val="0026175B"/>
    <w:rsid w:val="002617F9"/>
    <w:rsid w:val="00261A91"/>
    <w:rsid w:val="00261AAB"/>
    <w:rsid w:val="00261D63"/>
    <w:rsid w:val="00261D92"/>
    <w:rsid w:val="00261F12"/>
    <w:rsid w:val="00261F31"/>
    <w:rsid w:val="002621D9"/>
    <w:rsid w:val="0026245D"/>
    <w:rsid w:val="002625E5"/>
    <w:rsid w:val="00262628"/>
    <w:rsid w:val="00262802"/>
    <w:rsid w:val="00262A9C"/>
    <w:rsid w:val="00262B86"/>
    <w:rsid w:val="00262BE7"/>
    <w:rsid w:val="00262C71"/>
    <w:rsid w:val="00262FE6"/>
    <w:rsid w:val="0026323C"/>
    <w:rsid w:val="002632EF"/>
    <w:rsid w:val="002632F0"/>
    <w:rsid w:val="00263331"/>
    <w:rsid w:val="002633E7"/>
    <w:rsid w:val="002634EC"/>
    <w:rsid w:val="0026378E"/>
    <w:rsid w:val="002637AD"/>
    <w:rsid w:val="00263AF2"/>
    <w:rsid w:val="00263E1B"/>
    <w:rsid w:val="00263ECC"/>
    <w:rsid w:val="00264127"/>
    <w:rsid w:val="002641A8"/>
    <w:rsid w:val="002641B8"/>
    <w:rsid w:val="00264311"/>
    <w:rsid w:val="002645D3"/>
    <w:rsid w:val="002645F0"/>
    <w:rsid w:val="0026461C"/>
    <w:rsid w:val="00264700"/>
    <w:rsid w:val="00264888"/>
    <w:rsid w:val="0026490B"/>
    <w:rsid w:val="002649A2"/>
    <w:rsid w:val="00264A11"/>
    <w:rsid w:val="00264A3C"/>
    <w:rsid w:val="00264C33"/>
    <w:rsid w:val="00264D4C"/>
    <w:rsid w:val="00264F58"/>
    <w:rsid w:val="00264FCE"/>
    <w:rsid w:val="00264FE0"/>
    <w:rsid w:val="002651D7"/>
    <w:rsid w:val="0026529D"/>
    <w:rsid w:val="00265675"/>
    <w:rsid w:val="00265805"/>
    <w:rsid w:val="0026587B"/>
    <w:rsid w:val="00265AB7"/>
    <w:rsid w:val="00265B63"/>
    <w:rsid w:val="00265D53"/>
    <w:rsid w:val="00265E6B"/>
    <w:rsid w:val="00265E9D"/>
    <w:rsid w:val="00265F49"/>
    <w:rsid w:val="00265F91"/>
    <w:rsid w:val="00265F9C"/>
    <w:rsid w:val="0026600A"/>
    <w:rsid w:val="002660B5"/>
    <w:rsid w:val="002661D4"/>
    <w:rsid w:val="0026621B"/>
    <w:rsid w:val="002662F0"/>
    <w:rsid w:val="00266349"/>
    <w:rsid w:val="00266373"/>
    <w:rsid w:val="002663E0"/>
    <w:rsid w:val="00266549"/>
    <w:rsid w:val="0026689B"/>
    <w:rsid w:val="00266A0C"/>
    <w:rsid w:val="00266A53"/>
    <w:rsid w:val="00266B80"/>
    <w:rsid w:val="00266C43"/>
    <w:rsid w:val="00266DA7"/>
    <w:rsid w:val="00266EC5"/>
    <w:rsid w:val="00266F0C"/>
    <w:rsid w:val="00267021"/>
    <w:rsid w:val="0026714E"/>
    <w:rsid w:val="00267170"/>
    <w:rsid w:val="002671A4"/>
    <w:rsid w:val="002671D1"/>
    <w:rsid w:val="002672C4"/>
    <w:rsid w:val="0026746A"/>
    <w:rsid w:val="00267550"/>
    <w:rsid w:val="0026758C"/>
    <w:rsid w:val="00267626"/>
    <w:rsid w:val="00267693"/>
    <w:rsid w:val="0026773A"/>
    <w:rsid w:val="00267A7A"/>
    <w:rsid w:val="00267AEA"/>
    <w:rsid w:val="00267BAC"/>
    <w:rsid w:val="00267F3B"/>
    <w:rsid w:val="002701DC"/>
    <w:rsid w:val="00270294"/>
    <w:rsid w:val="002702EC"/>
    <w:rsid w:val="0027035F"/>
    <w:rsid w:val="002703AB"/>
    <w:rsid w:val="00270588"/>
    <w:rsid w:val="002705D6"/>
    <w:rsid w:val="00270694"/>
    <w:rsid w:val="0027081D"/>
    <w:rsid w:val="00270B87"/>
    <w:rsid w:val="00270D0A"/>
    <w:rsid w:val="00270DDD"/>
    <w:rsid w:val="00270E4C"/>
    <w:rsid w:val="00270EAC"/>
    <w:rsid w:val="00271087"/>
    <w:rsid w:val="0027131B"/>
    <w:rsid w:val="002713AB"/>
    <w:rsid w:val="002713C2"/>
    <w:rsid w:val="0027142E"/>
    <w:rsid w:val="00271664"/>
    <w:rsid w:val="0027170A"/>
    <w:rsid w:val="0027171A"/>
    <w:rsid w:val="00271886"/>
    <w:rsid w:val="00271ACF"/>
    <w:rsid w:val="00271B3F"/>
    <w:rsid w:val="00271DC4"/>
    <w:rsid w:val="00272210"/>
    <w:rsid w:val="00272624"/>
    <w:rsid w:val="00272684"/>
    <w:rsid w:val="00272866"/>
    <w:rsid w:val="0027292E"/>
    <w:rsid w:val="002729F4"/>
    <w:rsid w:val="00272A42"/>
    <w:rsid w:val="00272BF8"/>
    <w:rsid w:val="00272D6F"/>
    <w:rsid w:val="00272E64"/>
    <w:rsid w:val="0027312F"/>
    <w:rsid w:val="00273191"/>
    <w:rsid w:val="00273270"/>
    <w:rsid w:val="00273442"/>
    <w:rsid w:val="00273851"/>
    <w:rsid w:val="0027392B"/>
    <w:rsid w:val="00273D77"/>
    <w:rsid w:val="00273D8B"/>
    <w:rsid w:val="00273EC3"/>
    <w:rsid w:val="00273EEA"/>
    <w:rsid w:val="00274086"/>
    <w:rsid w:val="002740D3"/>
    <w:rsid w:val="0027435E"/>
    <w:rsid w:val="00274367"/>
    <w:rsid w:val="002743BA"/>
    <w:rsid w:val="0027445F"/>
    <w:rsid w:val="00274763"/>
    <w:rsid w:val="00274998"/>
    <w:rsid w:val="00274A4F"/>
    <w:rsid w:val="00274A68"/>
    <w:rsid w:val="00274B04"/>
    <w:rsid w:val="00274D42"/>
    <w:rsid w:val="00274DBE"/>
    <w:rsid w:val="0027504F"/>
    <w:rsid w:val="00275155"/>
    <w:rsid w:val="00275372"/>
    <w:rsid w:val="00275457"/>
    <w:rsid w:val="0027547D"/>
    <w:rsid w:val="0027573F"/>
    <w:rsid w:val="002759DF"/>
    <w:rsid w:val="00275A41"/>
    <w:rsid w:val="00275B4D"/>
    <w:rsid w:val="00275C32"/>
    <w:rsid w:val="00275CC0"/>
    <w:rsid w:val="00275CE9"/>
    <w:rsid w:val="00275D41"/>
    <w:rsid w:val="00275D42"/>
    <w:rsid w:val="0027602A"/>
    <w:rsid w:val="002760D2"/>
    <w:rsid w:val="002760E3"/>
    <w:rsid w:val="00276183"/>
    <w:rsid w:val="00276444"/>
    <w:rsid w:val="002768AD"/>
    <w:rsid w:val="002768E7"/>
    <w:rsid w:val="00276E9D"/>
    <w:rsid w:val="002773A0"/>
    <w:rsid w:val="002773B8"/>
    <w:rsid w:val="00277442"/>
    <w:rsid w:val="00277516"/>
    <w:rsid w:val="0027752A"/>
    <w:rsid w:val="0027756F"/>
    <w:rsid w:val="00277597"/>
    <w:rsid w:val="002777DE"/>
    <w:rsid w:val="002779C2"/>
    <w:rsid w:val="00277A20"/>
    <w:rsid w:val="00277A3B"/>
    <w:rsid w:val="00277A76"/>
    <w:rsid w:val="00277A7A"/>
    <w:rsid w:val="00277C82"/>
    <w:rsid w:val="00277CEE"/>
    <w:rsid w:val="00277D6D"/>
    <w:rsid w:val="002801A2"/>
    <w:rsid w:val="002802DF"/>
    <w:rsid w:val="00280697"/>
    <w:rsid w:val="002808F9"/>
    <w:rsid w:val="00280A53"/>
    <w:rsid w:val="00280A80"/>
    <w:rsid w:val="00280C79"/>
    <w:rsid w:val="00280D8D"/>
    <w:rsid w:val="00280D90"/>
    <w:rsid w:val="00280E38"/>
    <w:rsid w:val="00281150"/>
    <w:rsid w:val="00281233"/>
    <w:rsid w:val="00281248"/>
    <w:rsid w:val="00281253"/>
    <w:rsid w:val="002812CF"/>
    <w:rsid w:val="00281991"/>
    <w:rsid w:val="002819A8"/>
    <w:rsid w:val="002819F7"/>
    <w:rsid w:val="00281A62"/>
    <w:rsid w:val="00281A7A"/>
    <w:rsid w:val="00281AF9"/>
    <w:rsid w:val="00281AFA"/>
    <w:rsid w:val="00281D79"/>
    <w:rsid w:val="00281EBB"/>
    <w:rsid w:val="00281EE1"/>
    <w:rsid w:val="00281F10"/>
    <w:rsid w:val="00281F46"/>
    <w:rsid w:val="00281FD8"/>
    <w:rsid w:val="00281FF3"/>
    <w:rsid w:val="0028206D"/>
    <w:rsid w:val="0028232A"/>
    <w:rsid w:val="0028247E"/>
    <w:rsid w:val="0028250B"/>
    <w:rsid w:val="00282613"/>
    <w:rsid w:val="002827E7"/>
    <w:rsid w:val="00282925"/>
    <w:rsid w:val="00282C39"/>
    <w:rsid w:val="00282CF3"/>
    <w:rsid w:val="0028301C"/>
    <w:rsid w:val="00283050"/>
    <w:rsid w:val="002834A4"/>
    <w:rsid w:val="002835B5"/>
    <w:rsid w:val="00283634"/>
    <w:rsid w:val="0028391D"/>
    <w:rsid w:val="00283CE7"/>
    <w:rsid w:val="00283E88"/>
    <w:rsid w:val="00283EDE"/>
    <w:rsid w:val="0028414B"/>
    <w:rsid w:val="002843EA"/>
    <w:rsid w:val="002846A0"/>
    <w:rsid w:val="002847EA"/>
    <w:rsid w:val="00284840"/>
    <w:rsid w:val="002849B4"/>
    <w:rsid w:val="00284B0C"/>
    <w:rsid w:val="00284EE6"/>
    <w:rsid w:val="00284F1F"/>
    <w:rsid w:val="00284F5D"/>
    <w:rsid w:val="002852D2"/>
    <w:rsid w:val="0028535F"/>
    <w:rsid w:val="00285370"/>
    <w:rsid w:val="00285413"/>
    <w:rsid w:val="00285461"/>
    <w:rsid w:val="002854A0"/>
    <w:rsid w:val="00285836"/>
    <w:rsid w:val="00285913"/>
    <w:rsid w:val="00285A48"/>
    <w:rsid w:val="00285BE3"/>
    <w:rsid w:val="00285CBA"/>
    <w:rsid w:val="00285E2C"/>
    <w:rsid w:val="00285EA4"/>
    <w:rsid w:val="002860A8"/>
    <w:rsid w:val="0028652C"/>
    <w:rsid w:val="002865FA"/>
    <w:rsid w:val="0028664C"/>
    <w:rsid w:val="0028684A"/>
    <w:rsid w:val="002868FE"/>
    <w:rsid w:val="00286C06"/>
    <w:rsid w:val="00286E29"/>
    <w:rsid w:val="00286F07"/>
    <w:rsid w:val="00286F1C"/>
    <w:rsid w:val="00287050"/>
    <w:rsid w:val="002870B7"/>
    <w:rsid w:val="002873B9"/>
    <w:rsid w:val="0028775A"/>
    <w:rsid w:val="00287912"/>
    <w:rsid w:val="00287B42"/>
    <w:rsid w:val="00287C43"/>
    <w:rsid w:val="00287D42"/>
    <w:rsid w:val="00287ECA"/>
    <w:rsid w:val="00290145"/>
    <w:rsid w:val="002903AE"/>
    <w:rsid w:val="0029058C"/>
    <w:rsid w:val="0029061E"/>
    <w:rsid w:val="002907A9"/>
    <w:rsid w:val="00290A2D"/>
    <w:rsid w:val="00290A7E"/>
    <w:rsid w:val="00290BF5"/>
    <w:rsid w:val="00290C06"/>
    <w:rsid w:val="00290CCF"/>
    <w:rsid w:val="00290D1A"/>
    <w:rsid w:val="00290D65"/>
    <w:rsid w:val="00290D70"/>
    <w:rsid w:val="00290E61"/>
    <w:rsid w:val="00290F30"/>
    <w:rsid w:val="002911B7"/>
    <w:rsid w:val="002911FD"/>
    <w:rsid w:val="00291274"/>
    <w:rsid w:val="002912C4"/>
    <w:rsid w:val="002913B8"/>
    <w:rsid w:val="002913F4"/>
    <w:rsid w:val="002914DE"/>
    <w:rsid w:val="002915B2"/>
    <w:rsid w:val="00291841"/>
    <w:rsid w:val="002918DF"/>
    <w:rsid w:val="0029196B"/>
    <w:rsid w:val="00291A56"/>
    <w:rsid w:val="00291AB9"/>
    <w:rsid w:val="00291CE9"/>
    <w:rsid w:val="00291D70"/>
    <w:rsid w:val="00291D90"/>
    <w:rsid w:val="00291F72"/>
    <w:rsid w:val="00292118"/>
    <w:rsid w:val="00292163"/>
    <w:rsid w:val="002922BB"/>
    <w:rsid w:val="00292339"/>
    <w:rsid w:val="0029245A"/>
    <w:rsid w:val="0029256F"/>
    <w:rsid w:val="00292676"/>
    <w:rsid w:val="002926FB"/>
    <w:rsid w:val="002929CA"/>
    <w:rsid w:val="002929D8"/>
    <w:rsid w:val="00292AB4"/>
    <w:rsid w:val="00292C8B"/>
    <w:rsid w:val="00292CCE"/>
    <w:rsid w:val="00292D28"/>
    <w:rsid w:val="00292FA0"/>
    <w:rsid w:val="00293106"/>
    <w:rsid w:val="0029317E"/>
    <w:rsid w:val="002933FC"/>
    <w:rsid w:val="00293434"/>
    <w:rsid w:val="002934C5"/>
    <w:rsid w:val="00293504"/>
    <w:rsid w:val="002935D5"/>
    <w:rsid w:val="00293658"/>
    <w:rsid w:val="00293693"/>
    <w:rsid w:val="002936BB"/>
    <w:rsid w:val="002936C9"/>
    <w:rsid w:val="002936F4"/>
    <w:rsid w:val="002937A4"/>
    <w:rsid w:val="00293846"/>
    <w:rsid w:val="002939B7"/>
    <w:rsid w:val="002939C0"/>
    <w:rsid w:val="00293AE6"/>
    <w:rsid w:val="00293C23"/>
    <w:rsid w:val="00293CA5"/>
    <w:rsid w:val="00293D0F"/>
    <w:rsid w:val="00293DB2"/>
    <w:rsid w:val="00293F4D"/>
    <w:rsid w:val="00293F7B"/>
    <w:rsid w:val="002940FC"/>
    <w:rsid w:val="00294290"/>
    <w:rsid w:val="00294339"/>
    <w:rsid w:val="0029444E"/>
    <w:rsid w:val="00294590"/>
    <w:rsid w:val="0029462C"/>
    <w:rsid w:val="00294760"/>
    <w:rsid w:val="00294768"/>
    <w:rsid w:val="002947B1"/>
    <w:rsid w:val="002948F8"/>
    <w:rsid w:val="00294DF1"/>
    <w:rsid w:val="00294EEF"/>
    <w:rsid w:val="0029502B"/>
    <w:rsid w:val="00295060"/>
    <w:rsid w:val="002950C5"/>
    <w:rsid w:val="002952AF"/>
    <w:rsid w:val="00295308"/>
    <w:rsid w:val="00295423"/>
    <w:rsid w:val="00295551"/>
    <w:rsid w:val="002956DE"/>
    <w:rsid w:val="0029571E"/>
    <w:rsid w:val="002957D2"/>
    <w:rsid w:val="002957E9"/>
    <w:rsid w:val="00295B74"/>
    <w:rsid w:val="00295CFF"/>
    <w:rsid w:val="00295D8F"/>
    <w:rsid w:val="00295DD0"/>
    <w:rsid w:val="00295ED1"/>
    <w:rsid w:val="00295F88"/>
    <w:rsid w:val="00295FC5"/>
    <w:rsid w:val="0029619C"/>
    <w:rsid w:val="002961F7"/>
    <w:rsid w:val="00296402"/>
    <w:rsid w:val="0029677D"/>
    <w:rsid w:val="0029681F"/>
    <w:rsid w:val="0029694F"/>
    <w:rsid w:val="00296A3C"/>
    <w:rsid w:val="00296A52"/>
    <w:rsid w:val="00296AC7"/>
    <w:rsid w:val="00296B9D"/>
    <w:rsid w:val="00296BDF"/>
    <w:rsid w:val="00296CEE"/>
    <w:rsid w:val="00296E69"/>
    <w:rsid w:val="0029706F"/>
    <w:rsid w:val="0029710D"/>
    <w:rsid w:val="002971DB"/>
    <w:rsid w:val="0029727F"/>
    <w:rsid w:val="00297293"/>
    <w:rsid w:val="0029747E"/>
    <w:rsid w:val="0029761D"/>
    <w:rsid w:val="00297859"/>
    <w:rsid w:val="00297867"/>
    <w:rsid w:val="00297A0E"/>
    <w:rsid w:val="00297A1B"/>
    <w:rsid w:val="00297B73"/>
    <w:rsid w:val="00297BCE"/>
    <w:rsid w:val="00297EA2"/>
    <w:rsid w:val="00297F98"/>
    <w:rsid w:val="00297FAD"/>
    <w:rsid w:val="002A011D"/>
    <w:rsid w:val="002A0138"/>
    <w:rsid w:val="002A0144"/>
    <w:rsid w:val="002A02BE"/>
    <w:rsid w:val="002A02C9"/>
    <w:rsid w:val="002A04D4"/>
    <w:rsid w:val="002A0615"/>
    <w:rsid w:val="002A0749"/>
    <w:rsid w:val="002A07B9"/>
    <w:rsid w:val="002A082E"/>
    <w:rsid w:val="002A09A9"/>
    <w:rsid w:val="002A0A07"/>
    <w:rsid w:val="002A0A0A"/>
    <w:rsid w:val="002A0CBD"/>
    <w:rsid w:val="002A0CEE"/>
    <w:rsid w:val="002A0E0F"/>
    <w:rsid w:val="002A12E6"/>
    <w:rsid w:val="002A14A8"/>
    <w:rsid w:val="002A17E3"/>
    <w:rsid w:val="002A1852"/>
    <w:rsid w:val="002A1877"/>
    <w:rsid w:val="002A1889"/>
    <w:rsid w:val="002A1946"/>
    <w:rsid w:val="002A198C"/>
    <w:rsid w:val="002A1A2A"/>
    <w:rsid w:val="002A1A8A"/>
    <w:rsid w:val="002A1AB1"/>
    <w:rsid w:val="002A1F79"/>
    <w:rsid w:val="002A1FE5"/>
    <w:rsid w:val="002A2135"/>
    <w:rsid w:val="002A21ED"/>
    <w:rsid w:val="002A2503"/>
    <w:rsid w:val="002A262C"/>
    <w:rsid w:val="002A275C"/>
    <w:rsid w:val="002A2764"/>
    <w:rsid w:val="002A27AA"/>
    <w:rsid w:val="002A27B4"/>
    <w:rsid w:val="002A2943"/>
    <w:rsid w:val="002A311C"/>
    <w:rsid w:val="002A3184"/>
    <w:rsid w:val="002A323A"/>
    <w:rsid w:val="002A3639"/>
    <w:rsid w:val="002A36AE"/>
    <w:rsid w:val="002A3902"/>
    <w:rsid w:val="002A3A9F"/>
    <w:rsid w:val="002A3AA2"/>
    <w:rsid w:val="002A3B5E"/>
    <w:rsid w:val="002A3BF2"/>
    <w:rsid w:val="002A3C51"/>
    <w:rsid w:val="002A3E35"/>
    <w:rsid w:val="002A3ECC"/>
    <w:rsid w:val="002A3ED2"/>
    <w:rsid w:val="002A3F30"/>
    <w:rsid w:val="002A40A3"/>
    <w:rsid w:val="002A41A1"/>
    <w:rsid w:val="002A4302"/>
    <w:rsid w:val="002A4558"/>
    <w:rsid w:val="002A45C2"/>
    <w:rsid w:val="002A461F"/>
    <w:rsid w:val="002A4690"/>
    <w:rsid w:val="002A4804"/>
    <w:rsid w:val="002A4971"/>
    <w:rsid w:val="002A4B52"/>
    <w:rsid w:val="002A4D74"/>
    <w:rsid w:val="002A4E64"/>
    <w:rsid w:val="002A500C"/>
    <w:rsid w:val="002A5069"/>
    <w:rsid w:val="002A5102"/>
    <w:rsid w:val="002A5119"/>
    <w:rsid w:val="002A51ED"/>
    <w:rsid w:val="002A5208"/>
    <w:rsid w:val="002A524C"/>
    <w:rsid w:val="002A527D"/>
    <w:rsid w:val="002A5356"/>
    <w:rsid w:val="002A5524"/>
    <w:rsid w:val="002A56D5"/>
    <w:rsid w:val="002A5702"/>
    <w:rsid w:val="002A57E4"/>
    <w:rsid w:val="002A584D"/>
    <w:rsid w:val="002A5859"/>
    <w:rsid w:val="002A5A28"/>
    <w:rsid w:val="002A5A6C"/>
    <w:rsid w:val="002A5BDA"/>
    <w:rsid w:val="002A5CC1"/>
    <w:rsid w:val="002A5F34"/>
    <w:rsid w:val="002A5F95"/>
    <w:rsid w:val="002A6025"/>
    <w:rsid w:val="002A6026"/>
    <w:rsid w:val="002A6103"/>
    <w:rsid w:val="002A6188"/>
    <w:rsid w:val="002A629F"/>
    <w:rsid w:val="002A62A4"/>
    <w:rsid w:val="002A648E"/>
    <w:rsid w:val="002A6531"/>
    <w:rsid w:val="002A655F"/>
    <w:rsid w:val="002A694B"/>
    <w:rsid w:val="002A6956"/>
    <w:rsid w:val="002A6AD2"/>
    <w:rsid w:val="002A6B7E"/>
    <w:rsid w:val="002A6DE0"/>
    <w:rsid w:val="002A71C5"/>
    <w:rsid w:val="002A7378"/>
    <w:rsid w:val="002A743E"/>
    <w:rsid w:val="002A7615"/>
    <w:rsid w:val="002A76C0"/>
    <w:rsid w:val="002A780E"/>
    <w:rsid w:val="002A7A74"/>
    <w:rsid w:val="002A7B5E"/>
    <w:rsid w:val="002A7D49"/>
    <w:rsid w:val="002A7D56"/>
    <w:rsid w:val="002A7EFE"/>
    <w:rsid w:val="002A7F17"/>
    <w:rsid w:val="002B0210"/>
    <w:rsid w:val="002B0590"/>
    <w:rsid w:val="002B07D2"/>
    <w:rsid w:val="002B0997"/>
    <w:rsid w:val="002B0A97"/>
    <w:rsid w:val="002B0DFB"/>
    <w:rsid w:val="002B0F52"/>
    <w:rsid w:val="002B0FDA"/>
    <w:rsid w:val="002B10EF"/>
    <w:rsid w:val="002B129F"/>
    <w:rsid w:val="002B130E"/>
    <w:rsid w:val="002B1420"/>
    <w:rsid w:val="002B151D"/>
    <w:rsid w:val="002B156F"/>
    <w:rsid w:val="002B16F5"/>
    <w:rsid w:val="002B1769"/>
    <w:rsid w:val="002B186E"/>
    <w:rsid w:val="002B1881"/>
    <w:rsid w:val="002B18A5"/>
    <w:rsid w:val="002B18B1"/>
    <w:rsid w:val="002B18C6"/>
    <w:rsid w:val="002B19E8"/>
    <w:rsid w:val="002B1ABA"/>
    <w:rsid w:val="002B1BAE"/>
    <w:rsid w:val="002B1CDD"/>
    <w:rsid w:val="002B1EC5"/>
    <w:rsid w:val="002B1EE6"/>
    <w:rsid w:val="002B1EF4"/>
    <w:rsid w:val="002B20E3"/>
    <w:rsid w:val="002B2195"/>
    <w:rsid w:val="002B21C5"/>
    <w:rsid w:val="002B234A"/>
    <w:rsid w:val="002B274F"/>
    <w:rsid w:val="002B2769"/>
    <w:rsid w:val="002B27A9"/>
    <w:rsid w:val="002B27F7"/>
    <w:rsid w:val="002B28DF"/>
    <w:rsid w:val="002B2B78"/>
    <w:rsid w:val="002B2D1C"/>
    <w:rsid w:val="002B2D32"/>
    <w:rsid w:val="002B2ED1"/>
    <w:rsid w:val="002B2FA1"/>
    <w:rsid w:val="002B2FDB"/>
    <w:rsid w:val="002B30F4"/>
    <w:rsid w:val="002B34FC"/>
    <w:rsid w:val="002B379E"/>
    <w:rsid w:val="002B39D7"/>
    <w:rsid w:val="002B3A8D"/>
    <w:rsid w:val="002B3FC3"/>
    <w:rsid w:val="002B40A5"/>
    <w:rsid w:val="002B424F"/>
    <w:rsid w:val="002B4474"/>
    <w:rsid w:val="002B468A"/>
    <w:rsid w:val="002B493B"/>
    <w:rsid w:val="002B4AC3"/>
    <w:rsid w:val="002B4B8C"/>
    <w:rsid w:val="002B4D76"/>
    <w:rsid w:val="002B4DB8"/>
    <w:rsid w:val="002B4DCB"/>
    <w:rsid w:val="002B4E3F"/>
    <w:rsid w:val="002B4EA7"/>
    <w:rsid w:val="002B4EB7"/>
    <w:rsid w:val="002B4EC7"/>
    <w:rsid w:val="002B5146"/>
    <w:rsid w:val="002B57D2"/>
    <w:rsid w:val="002B58BB"/>
    <w:rsid w:val="002B58E3"/>
    <w:rsid w:val="002B5A51"/>
    <w:rsid w:val="002B5A95"/>
    <w:rsid w:val="002B5AF9"/>
    <w:rsid w:val="002B5B39"/>
    <w:rsid w:val="002B5BC1"/>
    <w:rsid w:val="002B5BD1"/>
    <w:rsid w:val="002B5C2D"/>
    <w:rsid w:val="002B5FDE"/>
    <w:rsid w:val="002B615B"/>
    <w:rsid w:val="002B61A6"/>
    <w:rsid w:val="002B647F"/>
    <w:rsid w:val="002B6762"/>
    <w:rsid w:val="002B678A"/>
    <w:rsid w:val="002B68F5"/>
    <w:rsid w:val="002B6910"/>
    <w:rsid w:val="002B6A5D"/>
    <w:rsid w:val="002B6C27"/>
    <w:rsid w:val="002B6F1A"/>
    <w:rsid w:val="002B738F"/>
    <w:rsid w:val="002B74CA"/>
    <w:rsid w:val="002B74D7"/>
    <w:rsid w:val="002B74DB"/>
    <w:rsid w:val="002B7656"/>
    <w:rsid w:val="002B77F2"/>
    <w:rsid w:val="002B7AB1"/>
    <w:rsid w:val="002B7B7C"/>
    <w:rsid w:val="002B7FC3"/>
    <w:rsid w:val="002B7FE6"/>
    <w:rsid w:val="002C0063"/>
    <w:rsid w:val="002C01CA"/>
    <w:rsid w:val="002C01F8"/>
    <w:rsid w:val="002C03BC"/>
    <w:rsid w:val="002C05CE"/>
    <w:rsid w:val="002C05F9"/>
    <w:rsid w:val="002C0640"/>
    <w:rsid w:val="002C065C"/>
    <w:rsid w:val="002C06C2"/>
    <w:rsid w:val="002C0704"/>
    <w:rsid w:val="002C086B"/>
    <w:rsid w:val="002C0AA5"/>
    <w:rsid w:val="002C0B42"/>
    <w:rsid w:val="002C0C65"/>
    <w:rsid w:val="002C0CCA"/>
    <w:rsid w:val="002C0F13"/>
    <w:rsid w:val="002C0F5F"/>
    <w:rsid w:val="002C1124"/>
    <w:rsid w:val="002C12CB"/>
    <w:rsid w:val="002C140F"/>
    <w:rsid w:val="002C1439"/>
    <w:rsid w:val="002C1478"/>
    <w:rsid w:val="002C14EA"/>
    <w:rsid w:val="002C1505"/>
    <w:rsid w:val="002C17F0"/>
    <w:rsid w:val="002C18D5"/>
    <w:rsid w:val="002C18FD"/>
    <w:rsid w:val="002C1B0D"/>
    <w:rsid w:val="002C1E1D"/>
    <w:rsid w:val="002C1EF0"/>
    <w:rsid w:val="002C1FCD"/>
    <w:rsid w:val="002C203D"/>
    <w:rsid w:val="002C2213"/>
    <w:rsid w:val="002C2234"/>
    <w:rsid w:val="002C2354"/>
    <w:rsid w:val="002C2426"/>
    <w:rsid w:val="002C248D"/>
    <w:rsid w:val="002C28E1"/>
    <w:rsid w:val="002C2931"/>
    <w:rsid w:val="002C295C"/>
    <w:rsid w:val="002C2A9A"/>
    <w:rsid w:val="002C2BBC"/>
    <w:rsid w:val="002C2D53"/>
    <w:rsid w:val="002C3125"/>
    <w:rsid w:val="002C3129"/>
    <w:rsid w:val="002C3351"/>
    <w:rsid w:val="002C346E"/>
    <w:rsid w:val="002C35AA"/>
    <w:rsid w:val="002C3656"/>
    <w:rsid w:val="002C3763"/>
    <w:rsid w:val="002C3882"/>
    <w:rsid w:val="002C3976"/>
    <w:rsid w:val="002C3AA5"/>
    <w:rsid w:val="002C3AF1"/>
    <w:rsid w:val="002C3C47"/>
    <w:rsid w:val="002C3CA4"/>
    <w:rsid w:val="002C3D0A"/>
    <w:rsid w:val="002C3D31"/>
    <w:rsid w:val="002C3ECF"/>
    <w:rsid w:val="002C401D"/>
    <w:rsid w:val="002C414D"/>
    <w:rsid w:val="002C432D"/>
    <w:rsid w:val="002C44C1"/>
    <w:rsid w:val="002C45E0"/>
    <w:rsid w:val="002C47A4"/>
    <w:rsid w:val="002C47E7"/>
    <w:rsid w:val="002C48D9"/>
    <w:rsid w:val="002C4C21"/>
    <w:rsid w:val="002C4C96"/>
    <w:rsid w:val="002C4D1B"/>
    <w:rsid w:val="002C4E75"/>
    <w:rsid w:val="002C5118"/>
    <w:rsid w:val="002C536F"/>
    <w:rsid w:val="002C5540"/>
    <w:rsid w:val="002C5682"/>
    <w:rsid w:val="002C56C7"/>
    <w:rsid w:val="002C5818"/>
    <w:rsid w:val="002C5976"/>
    <w:rsid w:val="002C5A8F"/>
    <w:rsid w:val="002C5AFD"/>
    <w:rsid w:val="002C5C49"/>
    <w:rsid w:val="002C5CD2"/>
    <w:rsid w:val="002C5E8A"/>
    <w:rsid w:val="002C5F54"/>
    <w:rsid w:val="002C5F97"/>
    <w:rsid w:val="002C5F9D"/>
    <w:rsid w:val="002C604A"/>
    <w:rsid w:val="002C605F"/>
    <w:rsid w:val="002C6194"/>
    <w:rsid w:val="002C636C"/>
    <w:rsid w:val="002C648C"/>
    <w:rsid w:val="002C66B8"/>
    <w:rsid w:val="002C6BD1"/>
    <w:rsid w:val="002C6D3E"/>
    <w:rsid w:val="002C6D75"/>
    <w:rsid w:val="002C6DAB"/>
    <w:rsid w:val="002C6F71"/>
    <w:rsid w:val="002C6FFB"/>
    <w:rsid w:val="002C705B"/>
    <w:rsid w:val="002C71B3"/>
    <w:rsid w:val="002C71E6"/>
    <w:rsid w:val="002C7277"/>
    <w:rsid w:val="002C738B"/>
    <w:rsid w:val="002C743D"/>
    <w:rsid w:val="002C75EB"/>
    <w:rsid w:val="002C76E0"/>
    <w:rsid w:val="002C797D"/>
    <w:rsid w:val="002C7A3B"/>
    <w:rsid w:val="002C7B06"/>
    <w:rsid w:val="002C7C02"/>
    <w:rsid w:val="002C7CA0"/>
    <w:rsid w:val="002C7D52"/>
    <w:rsid w:val="002C7E58"/>
    <w:rsid w:val="002C7E60"/>
    <w:rsid w:val="002C7E80"/>
    <w:rsid w:val="002C7F7D"/>
    <w:rsid w:val="002D000F"/>
    <w:rsid w:val="002D008D"/>
    <w:rsid w:val="002D0173"/>
    <w:rsid w:val="002D03E1"/>
    <w:rsid w:val="002D05DE"/>
    <w:rsid w:val="002D06F2"/>
    <w:rsid w:val="002D075B"/>
    <w:rsid w:val="002D076E"/>
    <w:rsid w:val="002D0825"/>
    <w:rsid w:val="002D0A33"/>
    <w:rsid w:val="002D0A7C"/>
    <w:rsid w:val="002D0BFE"/>
    <w:rsid w:val="002D0C03"/>
    <w:rsid w:val="002D0C2F"/>
    <w:rsid w:val="002D0CC9"/>
    <w:rsid w:val="002D1077"/>
    <w:rsid w:val="002D10EE"/>
    <w:rsid w:val="002D1197"/>
    <w:rsid w:val="002D11A5"/>
    <w:rsid w:val="002D11D4"/>
    <w:rsid w:val="002D12E8"/>
    <w:rsid w:val="002D1312"/>
    <w:rsid w:val="002D1457"/>
    <w:rsid w:val="002D1458"/>
    <w:rsid w:val="002D166E"/>
    <w:rsid w:val="002D1739"/>
    <w:rsid w:val="002D182F"/>
    <w:rsid w:val="002D18B5"/>
    <w:rsid w:val="002D18F9"/>
    <w:rsid w:val="002D1940"/>
    <w:rsid w:val="002D1AF7"/>
    <w:rsid w:val="002D1B17"/>
    <w:rsid w:val="002D1B43"/>
    <w:rsid w:val="002D1EC5"/>
    <w:rsid w:val="002D1EFF"/>
    <w:rsid w:val="002D1F32"/>
    <w:rsid w:val="002D1FBC"/>
    <w:rsid w:val="002D2030"/>
    <w:rsid w:val="002D2153"/>
    <w:rsid w:val="002D21C0"/>
    <w:rsid w:val="002D21EF"/>
    <w:rsid w:val="002D22A2"/>
    <w:rsid w:val="002D2312"/>
    <w:rsid w:val="002D24C3"/>
    <w:rsid w:val="002D2521"/>
    <w:rsid w:val="002D2560"/>
    <w:rsid w:val="002D27AA"/>
    <w:rsid w:val="002D27D4"/>
    <w:rsid w:val="002D280D"/>
    <w:rsid w:val="002D283B"/>
    <w:rsid w:val="002D2877"/>
    <w:rsid w:val="002D2895"/>
    <w:rsid w:val="002D28FE"/>
    <w:rsid w:val="002D2A7A"/>
    <w:rsid w:val="002D2CA3"/>
    <w:rsid w:val="002D2CB7"/>
    <w:rsid w:val="002D2DF3"/>
    <w:rsid w:val="002D316F"/>
    <w:rsid w:val="002D3526"/>
    <w:rsid w:val="002D3630"/>
    <w:rsid w:val="002D38B4"/>
    <w:rsid w:val="002D3932"/>
    <w:rsid w:val="002D395B"/>
    <w:rsid w:val="002D39A5"/>
    <w:rsid w:val="002D39D0"/>
    <w:rsid w:val="002D3AF4"/>
    <w:rsid w:val="002D3AFD"/>
    <w:rsid w:val="002D3C0D"/>
    <w:rsid w:val="002D3CFC"/>
    <w:rsid w:val="002D3D56"/>
    <w:rsid w:val="002D3DC1"/>
    <w:rsid w:val="002D404D"/>
    <w:rsid w:val="002D40BD"/>
    <w:rsid w:val="002D43AD"/>
    <w:rsid w:val="002D44CF"/>
    <w:rsid w:val="002D4581"/>
    <w:rsid w:val="002D458F"/>
    <w:rsid w:val="002D45AE"/>
    <w:rsid w:val="002D477A"/>
    <w:rsid w:val="002D4812"/>
    <w:rsid w:val="002D48F4"/>
    <w:rsid w:val="002D497A"/>
    <w:rsid w:val="002D49A0"/>
    <w:rsid w:val="002D4A57"/>
    <w:rsid w:val="002D4AC5"/>
    <w:rsid w:val="002D4AFA"/>
    <w:rsid w:val="002D4B89"/>
    <w:rsid w:val="002D5010"/>
    <w:rsid w:val="002D50E1"/>
    <w:rsid w:val="002D5233"/>
    <w:rsid w:val="002D52E9"/>
    <w:rsid w:val="002D5536"/>
    <w:rsid w:val="002D5925"/>
    <w:rsid w:val="002D5A31"/>
    <w:rsid w:val="002D5A3E"/>
    <w:rsid w:val="002D5CB3"/>
    <w:rsid w:val="002D5F76"/>
    <w:rsid w:val="002D6010"/>
    <w:rsid w:val="002D6123"/>
    <w:rsid w:val="002D61E4"/>
    <w:rsid w:val="002D61ED"/>
    <w:rsid w:val="002D62AE"/>
    <w:rsid w:val="002D646F"/>
    <w:rsid w:val="002D6480"/>
    <w:rsid w:val="002D6484"/>
    <w:rsid w:val="002D64C2"/>
    <w:rsid w:val="002D657E"/>
    <w:rsid w:val="002D688D"/>
    <w:rsid w:val="002D6976"/>
    <w:rsid w:val="002D69B9"/>
    <w:rsid w:val="002D6C5C"/>
    <w:rsid w:val="002D6DEB"/>
    <w:rsid w:val="002D6E22"/>
    <w:rsid w:val="002D6E78"/>
    <w:rsid w:val="002D6F5B"/>
    <w:rsid w:val="002D7465"/>
    <w:rsid w:val="002D7503"/>
    <w:rsid w:val="002D7507"/>
    <w:rsid w:val="002D76D5"/>
    <w:rsid w:val="002D7745"/>
    <w:rsid w:val="002D7973"/>
    <w:rsid w:val="002D79F6"/>
    <w:rsid w:val="002D7BBC"/>
    <w:rsid w:val="002D7C34"/>
    <w:rsid w:val="002D7FEB"/>
    <w:rsid w:val="002D7FFB"/>
    <w:rsid w:val="002E00DD"/>
    <w:rsid w:val="002E016D"/>
    <w:rsid w:val="002E0500"/>
    <w:rsid w:val="002E0550"/>
    <w:rsid w:val="002E05BB"/>
    <w:rsid w:val="002E0773"/>
    <w:rsid w:val="002E09EF"/>
    <w:rsid w:val="002E0A6A"/>
    <w:rsid w:val="002E0BF5"/>
    <w:rsid w:val="002E0C63"/>
    <w:rsid w:val="002E0F87"/>
    <w:rsid w:val="002E1007"/>
    <w:rsid w:val="002E114C"/>
    <w:rsid w:val="002E1658"/>
    <w:rsid w:val="002E18A9"/>
    <w:rsid w:val="002E18C4"/>
    <w:rsid w:val="002E1956"/>
    <w:rsid w:val="002E1998"/>
    <w:rsid w:val="002E1A4F"/>
    <w:rsid w:val="002E1C5F"/>
    <w:rsid w:val="002E1D10"/>
    <w:rsid w:val="002E1F0A"/>
    <w:rsid w:val="002E202C"/>
    <w:rsid w:val="002E20A8"/>
    <w:rsid w:val="002E2105"/>
    <w:rsid w:val="002E2124"/>
    <w:rsid w:val="002E22F1"/>
    <w:rsid w:val="002E23A8"/>
    <w:rsid w:val="002E23FF"/>
    <w:rsid w:val="002E253A"/>
    <w:rsid w:val="002E2548"/>
    <w:rsid w:val="002E26A1"/>
    <w:rsid w:val="002E27C2"/>
    <w:rsid w:val="002E27EF"/>
    <w:rsid w:val="002E28FD"/>
    <w:rsid w:val="002E2956"/>
    <w:rsid w:val="002E29C4"/>
    <w:rsid w:val="002E2AD8"/>
    <w:rsid w:val="002E2AE4"/>
    <w:rsid w:val="002E2C81"/>
    <w:rsid w:val="002E2F8D"/>
    <w:rsid w:val="002E30B9"/>
    <w:rsid w:val="002E3374"/>
    <w:rsid w:val="002E3440"/>
    <w:rsid w:val="002E351B"/>
    <w:rsid w:val="002E3666"/>
    <w:rsid w:val="002E3858"/>
    <w:rsid w:val="002E3860"/>
    <w:rsid w:val="002E388D"/>
    <w:rsid w:val="002E3947"/>
    <w:rsid w:val="002E3963"/>
    <w:rsid w:val="002E3BCF"/>
    <w:rsid w:val="002E3BD2"/>
    <w:rsid w:val="002E3CE5"/>
    <w:rsid w:val="002E3DD4"/>
    <w:rsid w:val="002E3FF8"/>
    <w:rsid w:val="002E40BC"/>
    <w:rsid w:val="002E4115"/>
    <w:rsid w:val="002E4359"/>
    <w:rsid w:val="002E44CF"/>
    <w:rsid w:val="002E47A6"/>
    <w:rsid w:val="002E4972"/>
    <w:rsid w:val="002E4AD9"/>
    <w:rsid w:val="002E4B59"/>
    <w:rsid w:val="002E4E58"/>
    <w:rsid w:val="002E4EA8"/>
    <w:rsid w:val="002E4FBB"/>
    <w:rsid w:val="002E5042"/>
    <w:rsid w:val="002E508F"/>
    <w:rsid w:val="002E51B6"/>
    <w:rsid w:val="002E5260"/>
    <w:rsid w:val="002E5278"/>
    <w:rsid w:val="002E5737"/>
    <w:rsid w:val="002E5A0D"/>
    <w:rsid w:val="002E5BE9"/>
    <w:rsid w:val="002E5E94"/>
    <w:rsid w:val="002E5F41"/>
    <w:rsid w:val="002E61D7"/>
    <w:rsid w:val="002E6250"/>
    <w:rsid w:val="002E639E"/>
    <w:rsid w:val="002E640B"/>
    <w:rsid w:val="002E677F"/>
    <w:rsid w:val="002E67B3"/>
    <w:rsid w:val="002E691F"/>
    <w:rsid w:val="002E6A98"/>
    <w:rsid w:val="002E6BA9"/>
    <w:rsid w:val="002E6C8F"/>
    <w:rsid w:val="002E6CFF"/>
    <w:rsid w:val="002E6D51"/>
    <w:rsid w:val="002E7116"/>
    <w:rsid w:val="002E7183"/>
    <w:rsid w:val="002E728D"/>
    <w:rsid w:val="002E7295"/>
    <w:rsid w:val="002E72F6"/>
    <w:rsid w:val="002E7442"/>
    <w:rsid w:val="002E7BC0"/>
    <w:rsid w:val="002E7BE9"/>
    <w:rsid w:val="002E7C5C"/>
    <w:rsid w:val="002E7D17"/>
    <w:rsid w:val="002E7EE3"/>
    <w:rsid w:val="002F00FF"/>
    <w:rsid w:val="002F012C"/>
    <w:rsid w:val="002F01C2"/>
    <w:rsid w:val="002F02C3"/>
    <w:rsid w:val="002F0302"/>
    <w:rsid w:val="002F03CB"/>
    <w:rsid w:val="002F0695"/>
    <w:rsid w:val="002F0725"/>
    <w:rsid w:val="002F077D"/>
    <w:rsid w:val="002F0784"/>
    <w:rsid w:val="002F0867"/>
    <w:rsid w:val="002F0868"/>
    <w:rsid w:val="002F08F5"/>
    <w:rsid w:val="002F0A11"/>
    <w:rsid w:val="002F0B1D"/>
    <w:rsid w:val="002F0CED"/>
    <w:rsid w:val="002F0FF6"/>
    <w:rsid w:val="002F1196"/>
    <w:rsid w:val="002F11BD"/>
    <w:rsid w:val="002F15BE"/>
    <w:rsid w:val="002F16F6"/>
    <w:rsid w:val="002F1772"/>
    <w:rsid w:val="002F18E5"/>
    <w:rsid w:val="002F1961"/>
    <w:rsid w:val="002F19E5"/>
    <w:rsid w:val="002F1BBD"/>
    <w:rsid w:val="002F1C32"/>
    <w:rsid w:val="002F1C35"/>
    <w:rsid w:val="002F1DB3"/>
    <w:rsid w:val="002F1DB5"/>
    <w:rsid w:val="002F20F7"/>
    <w:rsid w:val="002F21C0"/>
    <w:rsid w:val="002F2281"/>
    <w:rsid w:val="002F2368"/>
    <w:rsid w:val="002F25C2"/>
    <w:rsid w:val="002F2609"/>
    <w:rsid w:val="002F2788"/>
    <w:rsid w:val="002F2880"/>
    <w:rsid w:val="002F28D4"/>
    <w:rsid w:val="002F28FB"/>
    <w:rsid w:val="002F2A9E"/>
    <w:rsid w:val="002F2D45"/>
    <w:rsid w:val="002F2E4B"/>
    <w:rsid w:val="002F2E75"/>
    <w:rsid w:val="002F3363"/>
    <w:rsid w:val="002F33E6"/>
    <w:rsid w:val="002F3780"/>
    <w:rsid w:val="002F389C"/>
    <w:rsid w:val="002F39B1"/>
    <w:rsid w:val="002F3A08"/>
    <w:rsid w:val="002F3A0A"/>
    <w:rsid w:val="002F3CB0"/>
    <w:rsid w:val="002F3DDD"/>
    <w:rsid w:val="002F3E3F"/>
    <w:rsid w:val="002F3FCA"/>
    <w:rsid w:val="002F402D"/>
    <w:rsid w:val="002F40C7"/>
    <w:rsid w:val="002F40CC"/>
    <w:rsid w:val="002F4200"/>
    <w:rsid w:val="002F429A"/>
    <w:rsid w:val="002F42BF"/>
    <w:rsid w:val="002F443D"/>
    <w:rsid w:val="002F44AD"/>
    <w:rsid w:val="002F44F4"/>
    <w:rsid w:val="002F4578"/>
    <w:rsid w:val="002F4658"/>
    <w:rsid w:val="002F4B94"/>
    <w:rsid w:val="002F4D6F"/>
    <w:rsid w:val="002F4D7D"/>
    <w:rsid w:val="002F4E60"/>
    <w:rsid w:val="002F4FD2"/>
    <w:rsid w:val="002F4FF9"/>
    <w:rsid w:val="002F50C3"/>
    <w:rsid w:val="002F50E3"/>
    <w:rsid w:val="002F562F"/>
    <w:rsid w:val="002F5717"/>
    <w:rsid w:val="002F57E3"/>
    <w:rsid w:val="002F5A3F"/>
    <w:rsid w:val="002F5C0C"/>
    <w:rsid w:val="002F5C76"/>
    <w:rsid w:val="002F5D9C"/>
    <w:rsid w:val="002F5E00"/>
    <w:rsid w:val="002F5E3F"/>
    <w:rsid w:val="002F601E"/>
    <w:rsid w:val="002F603D"/>
    <w:rsid w:val="002F6227"/>
    <w:rsid w:val="002F6684"/>
    <w:rsid w:val="002F675F"/>
    <w:rsid w:val="002F6838"/>
    <w:rsid w:val="002F6D72"/>
    <w:rsid w:val="002F6DFA"/>
    <w:rsid w:val="002F6F40"/>
    <w:rsid w:val="002F786B"/>
    <w:rsid w:val="002F7A6C"/>
    <w:rsid w:val="002F7AC4"/>
    <w:rsid w:val="002F7D9F"/>
    <w:rsid w:val="002F7E27"/>
    <w:rsid w:val="002F7E39"/>
    <w:rsid w:val="002F7EA6"/>
    <w:rsid w:val="002F7F42"/>
    <w:rsid w:val="002F7F7A"/>
    <w:rsid w:val="0030002E"/>
    <w:rsid w:val="0030052B"/>
    <w:rsid w:val="003005B2"/>
    <w:rsid w:val="003006C2"/>
    <w:rsid w:val="00300842"/>
    <w:rsid w:val="003008C8"/>
    <w:rsid w:val="003008FC"/>
    <w:rsid w:val="00300B09"/>
    <w:rsid w:val="00300E31"/>
    <w:rsid w:val="00300E58"/>
    <w:rsid w:val="00300F7D"/>
    <w:rsid w:val="00301290"/>
    <w:rsid w:val="00301352"/>
    <w:rsid w:val="0030160D"/>
    <w:rsid w:val="00301662"/>
    <w:rsid w:val="00301663"/>
    <w:rsid w:val="003016CF"/>
    <w:rsid w:val="0030182E"/>
    <w:rsid w:val="00301864"/>
    <w:rsid w:val="00301A38"/>
    <w:rsid w:val="00301B78"/>
    <w:rsid w:val="00301F21"/>
    <w:rsid w:val="003020B6"/>
    <w:rsid w:val="00302187"/>
    <w:rsid w:val="0030219A"/>
    <w:rsid w:val="00302272"/>
    <w:rsid w:val="00302288"/>
    <w:rsid w:val="003022C8"/>
    <w:rsid w:val="00302355"/>
    <w:rsid w:val="0030236C"/>
    <w:rsid w:val="003024A0"/>
    <w:rsid w:val="003024B3"/>
    <w:rsid w:val="003025A9"/>
    <w:rsid w:val="003026AC"/>
    <w:rsid w:val="003026D3"/>
    <w:rsid w:val="00302BA7"/>
    <w:rsid w:val="00302BFA"/>
    <w:rsid w:val="00302D27"/>
    <w:rsid w:val="00302DC6"/>
    <w:rsid w:val="00302E0C"/>
    <w:rsid w:val="00302EA0"/>
    <w:rsid w:val="00302F03"/>
    <w:rsid w:val="00303056"/>
    <w:rsid w:val="003032FB"/>
    <w:rsid w:val="00303314"/>
    <w:rsid w:val="0030337D"/>
    <w:rsid w:val="003033B3"/>
    <w:rsid w:val="003033B4"/>
    <w:rsid w:val="003033D8"/>
    <w:rsid w:val="003033E1"/>
    <w:rsid w:val="0030353F"/>
    <w:rsid w:val="00303548"/>
    <w:rsid w:val="003036DB"/>
    <w:rsid w:val="00303868"/>
    <w:rsid w:val="00303960"/>
    <w:rsid w:val="00303CED"/>
    <w:rsid w:val="00303D50"/>
    <w:rsid w:val="00303DFF"/>
    <w:rsid w:val="003041AB"/>
    <w:rsid w:val="0030420B"/>
    <w:rsid w:val="003044A8"/>
    <w:rsid w:val="003045EA"/>
    <w:rsid w:val="003045F8"/>
    <w:rsid w:val="00304622"/>
    <w:rsid w:val="00304953"/>
    <w:rsid w:val="00304980"/>
    <w:rsid w:val="00304AE8"/>
    <w:rsid w:val="00304CB0"/>
    <w:rsid w:val="00304E37"/>
    <w:rsid w:val="00304F2A"/>
    <w:rsid w:val="00304FA2"/>
    <w:rsid w:val="00305319"/>
    <w:rsid w:val="0030536F"/>
    <w:rsid w:val="0030545F"/>
    <w:rsid w:val="003054B1"/>
    <w:rsid w:val="0030552C"/>
    <w:rsid w:val="003058F4"/>
    <w:rsid w:val="00305907"/>
    <w:rsid w:val="00305938"/>
    <w:rsid w:val="00305B65"/>
    <w:rsid w:val="00305F16"/>
    <w:rsid w:val="0030603B"/>
    <w:rsid w:val="00306209"/>
    <w:rsid w:val="00306312"/>
    <w:rsid w:val="003063B1"/>
    <w:rsid w:val="003064C3"/>
    <w:rsid w:val="00306592"/>
    <w:rsid w:val="003065B4"/>
    <w:rsid w:val="003067A5"/>
    <w:rsid w:val="00306A94"/>
    <w:rsid w:val="00306BA4"/>
    <w:rsid w:val="00306CDF"/>
    <w:rsid w:val="00306CFD"/>
    <w:rsid w:val="00306E8F"/>
    <w:rsid w:val="00306E92"/>
    <w:rsid w:val="003072D7"/>
    <w:rsid w:val="00307358"/>
    <w:rsid w:val="003073C7"/>
    <w:rsid w:val="00307426"/>
    <w:rsid w:val="00307427"/>
    <w:rsid w:val="00307553"/>
    <w:rsid w:val="00307557"/>
    <w:rsid w:val="0030759C"/>
    <w:rsid w:val="00307870"/>
    <w:rsid w:val="003078C1"/>
    <w:rsid w:val="00307E22"/>
    <w:rsid w:val="00307E93"/>
    <w:rsid w:val="00310120"/>
    <w:rsid w:val="0031013A"/>
    <w:rsid w:val="00310298"/>
    <w:rsid w:val="00310479"/>
    <w:rsid w:val="003104F0"/>
    <w:rsid w:val="0031051F"/>
    <w:rsid w:val="003105FD"/>
    <w:rsid w:val="003109E8"/>
    <w:rsid w:val="00310AA3"/>
    <w:rsid w:val="00310AED"/>
    <w:rsid w:val="00310E3E"/>
    <w:rsid w:val="00310E80"/>
    <w:rsid w:val="00310E9B"/>
    <w:rsid w:val="0031102A"/>
    <w:rsid w:val="003110A0"/>
    <w:rsid w:val="0031123A"/>
    <w:rsid w:val="003114BC"/>
    <w:rsid w:val="003114E0"/>
    <w:rsid w:val="0031186B"/>
    <w:rsid w:val="00311AEB"/>
    <w:rsid w:val="00311FA0"/>
    <w:rsid w:val="00312006"/>
    <w:rsid w:val="00312010"/>
    <w:rsid w:val="00312044"/>
    <w:rsid w:val="00312076"/>
    <w:rsid w:val="00312084"/>
    <w:rsid w:val="0031213B"/>
    <w:rsid w:val="0031226E"/>
    <w:rsid w:val="003125A4"/>
    <w:rsid w:val="00312906"/>
    <w:rsid w:val="00312C61"/>
    <w:rsid w:val="00312E9D"/>
    <w:rsid w:val="00313169"/>
    <w:rsid w:val="00313359"/>
    <w:rsid w:val="0031347D"/>
    <w:rsid w:val="00313679"/>
    <w:rsid w:val="003136A9"/>
    <w:rsid w:val="00313904"/>
    <w:rsid w:val="00313922"/>
    <w:rsid w:val="003139F4"/>
    <w:rsid w:val="003139F9"/>
    <w:rsid w:val="00313A9F"/>
    <w:rsid w:val="00313AFD"/>
    <w:rsid w:val="00313B14"/>
    <w:rsid w:val="00313BAB"/>
    <w:rsid w:val="00313C31"/>
    <w:rsid w:val="00313C71"/>
    <w:rsid w:val="00313CBC"/>
    <w:rsid w:val="00313D4E"/>
    <w:rsid w:val="00313F8C"/>
    <w:rsid w:val="003140DD"/>
    <w:rsid w:val="00314149"/>
    <w:rsid w:val="00314193"/>
    <w:rsid w:val="00314282"/>
    <w:rsid w:val="003142DB"/>
    <w:rsid w:val="003142FD"/>
    <w:rsid w:val="0031435C"/>
    <w:rsid w:val="003146C9"/>
    <w:rsid w:val="003146D1"/>
    <w:rsid w:val="0031473B"/>
    <w:rsid w:val="0031476D"/>
    <w:rsid w:val="00314869"/>
    <w:rsid w:val="003148AC"/>
    <w:rsid w:val="0031495D"/>
    <w:rsid w:val="00314A00"/>
    <w:rsid w:val="00314B76"/>
    <w:rsid w:val="00314C2F"/>
    <w:rsid w:val="00314CE9"/>
    <w:rsid w:val="00314D7A"/>
    <w:rsid w:val="00314E76"/>
    <w:rsid w:val="00314EF5"/>
    <w:rsid w:val="00314F80"/>
    <w:rsid w:val="00314FC7"/>
    <w:rsid w:val="00315169"/>
    <w:rsid w:val="00315266"/>
    <w:rsid w:val="003153A8"/>
    <w:rsid w:val="003155E8"/>
    <w:rsid w:val="00315757"/>
    <w:rsid w:val="003158D3"/>
    <w:rsid w:val="00315B36"/>
    <w:rsid w:val="00315B3F"/>
    <w:rsid w:val="00315BEE"/>
    <w:rsid w:val="00315DC6"/>
    <w:rsid w:val="00315F8B"/>
    <w:rsid w:val="00316052"/>
    <w:rsid w:val="00316110"/>
    <w:rsid w:val="003162D7"/>
    <w:rsid w:val="00316525"/>
    <w:rsid w:val="003165FC"/>
    <w:rsid w:val="003166B6"/>
    <w:rsid w:val="0031670E"/>
    <w:rsid w:val="0031676F"/>
    <w:rsid w:val="003167C9"/>
    <w:rsid w:val="0031683B"/>
    <w:rsid w:val="00316A35"/>
    <w:rsid w:val="00316A52"/>
    <w:rsid w:val="00316B19"/>
    <w:rsid w:val="00316D08"/>
    <w:rsid w:val="00316D14"/>
    <w:rsid w:val="00316DB8"/>
    <w:rsid w:val="00316E3E"/>
    <w:rsid w:val="00316E99"/>
    <w:rsid w:val="003171F0"/>
    <w:rsid w:val="0031722A"/>
    <w:rsid w:val="0031725C"/>
    <w:rsid w:val="003172C9"/>
    <w:rsid w:val="003172CA"/>
    <w:rsid w:val="00317817"/>
    <w:rsid w:val="00317993"/>
    <w:rsid w:val="00317A43"/>
    <w:rsid w:val="00317A8C"/>
    <w:rsid w:val="00317D32"/>
    <w:rsid w:val="00317F84"/>
    <w:rsid w:val="00320114"/>
    <w:rsid w:val="003202AC"/>
    <w:rsid w:val="003203BF"/>
    <w:rsid w:val="00320413"/>
    <w:rsid w:val="00320468"/>
    <w:rsid w:val="0032057E"/>
    <w:rsid w:val="003206C6"/>
    <w:rsid w:val="00320AD5"/>
    <w:rsid w:val="00320B60"/>
    <w:rsid w:val="00320B85"/>
    <w:rsid w:val="00320CA7"/>
    <w:rsid w:val="00320E32"/>
    <w:rsid w:val="00320E45"/>
    <w:rsid w:val="00320F35"/>
    <w:rsid w:val="00321008"/>
    <w:rsid w:val="003210A1"/>
    <w:rsid w:val="00321146"/>
    <w:rsid w:val="00321246"/>
    <w:rsid w:val="00321262"/>
    <w:rsid w:val="0032139F"/>
    <w:rsid w:val="00321449"/>
    <w:rsid w:val="0032150A"/>
    <w:rsid w:val="00321511"/>
    <w:rsid w:val="00321712"/>
    <w:rsid w:val="00321AE5"/>
    <w:rsid w:val="00321C78"/>
    <w:rsid w:val="00321CA1"/>
    <w:rsid w:val="00321CC4"/>
    <w:rsid w:val="00321ECC"/>
    <w:rsid w:val="00321EFB"/>
    <w:rsid w:val="00321FCC"/>
    <w:rsid w:val="003220A7"/>
    <w:rsid w:val="003220D0"/>
    <w:rsid w:val="0032211D"/>
    <w:rsid w:val="003222C1"/>
    <w:rsid w:val="0032252C"/>
    <w:rsid w:val="00322656"/>
    <w:rsid w:val="00322725"/>
    <w:rsid w:val="00322A75"/>
    <w:rsid w:val="00322A9F"/>
    <w:rsid w:val="00322BA4"/>
    <w:rsid w:val="00322BCC"/>
    <w:rsid w:val="00322E3B"/>
    <w:rsid w:val="00322E4F"/>
    <w:rsid w:val="00322ECE"/>
    <w:rsid w:val="0032306A"/>
    <w:rsid w:val="0032312C"/>
    <w:rsid w:val="003231F6"/>
    <w:rsid w:val="0032323F"/>
    <w:rsid w:val="0032329E"/>
    <w:rsid w:val="00323390"/>
    <w:rsid w:val="00323514"/>
    <w:rsid w:val="0032353F"/>
    <w:rsid w:val="00323670"/>
    <w:rsid w:val="00323BE2"/>
    <w:rsid w:val="00323D1D"/>
    <w:rsid w:val="00323F4C"/>
    <w:rsid w:val="003241AD"/>
    <w:rsid w:val="003241E2"/>
    <w:rsid w:val="003242E5"/>
    <w:rsid w:val="00324422"/>
    <w:rsid w:val="003244C9"/>
    <w:rsid w:val="0032450A"/>
    <w:rsid w:val="00324520"/>
    <w:rsid w:val="00324642"/>
    <w:rsid w:val="003246ED"/>
    <w:rsid w:val="00324847"/>
    <w:rsid w:val="00324906"/>
    <w:rsid w:val="00324CBF"/>
    <w:rsid w:val="00324D34"/>
    <w:rsid w:val="00324E2D"/>
    <w:rsid w:val="00324F2B"/>
    <w:rsid w:val="003250A2"/>
    <w:rsid w:val="00325378"/>
    <w:rsid w:val="00325B0A"/>
    <w:rsid w:val="00325C7B"/>
    <w:rsid w:val="00325E6A"/>
    <w:rsid w:val="00325EB4"/>
    <w:rsid w:val="0032618F"/>
    <w:rsid w:val="00326311"/>
    <w:rsid w:val="0032634E"/>
    <w:rsid w:val="00326553"/>
    <w:rsid w:val="003265A5"/>
    <w:rsid w:val="003265D8"/>
    <w:rsid w:val="00326714"/>
    <w:rsid w:val="00326ACB"/>
    <w:rsid w:val="00326D83"/>
    <w:rsid w:val="00326D88"/>
    <w:rsid w:val="00326E72"/>
    <w:rsid w:val="00326EC1"/>
    <w:rsid w:val="00326FB5"/>
    <w:rsid w:val="0032729C"/>
    <w:rsid w:val="003272D1"/>
    <w:rsid w:val="0032744A"/>
    <w:rsid w:val="00327555"/>
    <w:rsid w:val="003275EA"/>
    <w:rsid w:val="00327940"/>
    <w:rsid w:val="00327954"/>
    <w:rsid w:val="00327A1E"/>
    <w:rsid w:val="00327AC5"/>
    <w:rsid w:val="00327FED"/>
    <w:rsid w:val="0033017A"/>
    <w:rsid w:val="003302F4"/>
    <w:rsid w:val="0033034C"/>
    <w:rsid w:val="00330369"/>
    <w:rsid w:val="00330454"/>
    <w:rsid w:val="00330509"/>
    <w:rsid w:val="003306C2"/>
    <w:rsid w:val="003307A1"/>
    <w:rsid w:val="0033083B"/>
    <w:rsid w:val="0033091B"/>
    <w:rsid w:val="00330A1C"/>
    <w:rsid w:val="00330B30"/>
    <w:rsid w:val="00330C3A"/>
    <w:rsid w:val="00331089"/>
    <w:rsid w:val="00331208"/>
    <w:rsid w:val="00331296"/>
    <w:rsid w:val="003313AB"/>
    <w:rsid w:val="00331486"/>
    <w:rsid w:val="0033166E"/>
    <w:rsid w:val="0033169E"/>
    <w:rsid w:val="0033191C"/>
    <w:rsid w:val="00331982"/>
    <w:rsid w:val="00331A9F"/>
    <w:rsid w:val="00331B75"/>
    <w:rsid w:val="00331CC7"/>
    <w:rsid w:val="00331F51"/>
    <w:rsid w:val="00332190"/>
    <w:rsid w:val="0033220B"/>
    <w:rsid w:val="003322C5"/>
    <w:rsid w:val="00332353"/>
    <w:rsid w:val="0033256A"/>
    <w:rsid w:val="003326EA"/>
    <w:rsid w:val="0033282C"/>
    <w:rsid w:val="00332901"/>
    <w:rsid w:val="00332915"/>
    <w:rsid w:val="00332A99"/>
    <w:rsid w:val="00332B3B"/>
    <w:rsid w:val="00332FB8"/>
    <w:rsid w:val="00332FE4"/>
    <w:rsid w:val="00332FEC"/>
    <w:rsid w:val="0033311F"/>
    <w:rsid w:val="0033334C"/>
    <w:rsid w:val="00333906"/>
    <w:rsid w:val="003339CF"/>
    <w:rsid w:val="00333A81"/>
    <w:rsid w:val="00333B15"/>
    <w:rsid w:val="00333B1A"/>
    <w:rsid w:val="00333C36"/>
    <w:rsid w:val="00333DB3"/>
    <w:rsid w:val="00333ED6"/>
    <w:rsid w:val="00334190"/>
    <w:rsid w:val="00334381"/>
    <w:rsid w:val="00334469"/>
    <w:rsid w:val="00334499"/>
    <w:rsid w:val="00334540"/>
    <w:rsid w:val="00334817"/>
    <w:rsid w:val="00334828"/>
    <w:rsid w:val="003349DA"/>
    <w:rsid w:val="00334C0F"/>
    <w:rsid w:val="00334C61"/>
    <w:rsid w:val="00334DD0"/>
    <w:rsid w:val="00334E55"/>
    <w:rsid w:val="00334E60"/>
    <w:rsid w:val="00334F85"/>
    <w:rsid w:val="00334FC1"/>
    <w:rsid w:val="0033500D"/>
    <w:rsid w:val="00335030"/>
    <w:rsid w:val="0033530D"/>
    <w:rsid w:val="003354FB"/>
    <w:rsid w:val="003355ED"/>
    <w:rsid w:val="003356DF"/>
    <w:rsid w:val="00335716"/>
    <w:rsid w:val="00335753"/>
    <w:rsid w:val="00335761"/>
    <w:rsid w:val="003357B0"/>
    <w:rsid w:val="003358C8"/>
    <w:rsid w:val="003358D4"/>
    <w:rsid w:val="00335CFA"/>
    <w:rsid w:val="00335D38"/>
    <w:rsid w:val="00335E30"/>
    <w:rsid w:val="00336169"/>
    <w:rsid w:val="0033617F"/>
    <w:rsid w:val="00336180"/>
    <w:rsid w:val="003362C4"/>
    <w:rsid w:val="003362E0"/>
    <w:rsid w:val="00336472"/>
    <w:rsid w:val="00336778"/>
    <w:rsid w:val="00336941"/>
    <w:rsid w:val="00336A58"/>
    <w:rsid w:val="00336A8D"/>
    <w:rsid w:val="00336B00"/>
    <w:rsid w:val="00336B1F"/>
    <w:rsid w:val="00336B69"/>
    <w:rsid w:val="00336DD2"/>
    <w:rsid w:val="00336F5D"/>
    <w:rsid w:val="00336FDA"/>
    <w:rsid w:val="00337024"/>
    <w:rsid w:val="003370EC"/>
    <w:rsid w:val="00337127"/>
    <w:rsid w:val="0033718F"/>
    <w:rsid w:val="00337249"/>
    <w:rsid w:val="00337366"/>
    <w:rsid w:val="003373F2"/>
    <w:rsid w:val="003375BF"/>
    <w:rsid w:val="0033768D"/>
    <w:rsid w:val="003377E5"/>
    <w:rsid w:val="003378AE"/>
    <w:rsid w:val="003378FD"/>
    <w:rsid w:val="00337912"/>
    <w:rsid w:val="00337CC4"/>
    <w:rsid w:val="00337D98"/>
    <w:rsid w:val="00337F0C"/>
    <w:rsid w:val="00337F43"/>
    <w:rsid w:val="00337F70"/>
    <w:rsid w:val="003401EC"/>
    <w:rsid w:val="00340213"/>
    <w:rsid w:val="003402BB"/>
    <w:rsid w:val="003403AF"/>
    <w:rsid w:val="00340426"/>
    <w:rsid w:val="003405D5"/>
    <w:rsid w:val="00340845"/>
    <w:rsid w:val="003408BC"/>
    <w:rsid w:val="00340AD2"/>
    <w:rsid w:val="00340D97"/>
    <w:rsid w:val="00340E36"/>
    <w:rsid w:val="00340E4F"/>
    <w:rsid w:val="00340FDC"/>
    <w:rsid w:val="003410AD"/>
    <w:rsid w:val="003413BB"/>
    <w:rsid w:val="00341672"/>
    <w:rsid w:val="00341971"/>
    <w:rsid w:val="00341988"/>
    <w:rsid w:val="00341E56"/>
    <w:rsid w:val="00341F6F"/>
    <w:rsid w:val="00341FCA"/>
    <w:rsid w:val="003420A9"/>
    <w:rsid w:val="00342119"/>
    <w:rsid w:val="003421F6"/>
    <w:rsid w:val="00342297"/>
    <w:rsid w:val="0034233B"/>
    <w:rsid w:val="00342376"/>
    <w:rsid w:val="003423C6"/>
    <w:rsid w:val="00342511"/>
    <w:rsid w:val="003429B6"/>
    <w:rsid w:val="00342A2D"/>
    <w:rsid w:val="00342BCD"/>
    <w:rsid w:val="00342C46"/>
    <w:rsid w:val="00342E1C"/>
    <w:rsid w:val="00342F95"/>
    <w:rsid w:val="003430D4"/>
    <w:rsid w:val="00343202"/>
    <w:rsid w:val="0034363F"/>
    <w:rsid w:val="003436E3"/>
    <w:rsid w:val="0034379A"/>
    <w:rsid w:val="003437E7"/>
    <w:rsid w:val="00343C39"/>
    <w:rsid w:val="003441C8"/>
    <w:rsid w:val="003442CC"/>
    <w:rsid w:val="003442CD"/>
    <w:rsid w:val="0034433D"/>
    <w:rsid w:val="0034449E"/>
    <w:rsid w:val="003445FC"/>
    <w:rsid w:val="0034468F"/>
    <w:rsid w:val="003446CB"/>
    <w:rsid w:val="0034473F"/>
    <w:rsid w:val="003447D8"/>
    <w:rsid w:val="003447D9"/>
    <w:rsid w:val="003447DB"/>
    <w:rsid w:val="003447FC"/>
    <w:rsid w:val="00344866"/>
    <w:rsid w:val="00344910"/>
    <w:rsid w:val="00344C0A"/>
    <w:rsid w:val="00344C34"/>
    <w:rsid w:val="00344D2F"/>
    <w:rsid w:val="00344EBE"/>
    <w:rsid w:val="00345017"/>
    <w:rsid w:val="0034503D"/>
    <w:rsid w:val="00345092"/>
    <w:rsid w:val="0034545B"/>
    <w:rsid w:val="003455FD"/>
    <w:rsid w:val="003456F9"/>
    <w:rsid w:val="00345737"/>
    <w:rsid w:val="00345751"/>
    <w:rsid w:val="00345CD9"/>
    <w:rsid w:val="00345E24"/>
    <w:rsid w:val="00345F44"/>
    <w:rsid w:val="00346040"/>
    <w:rsid w:val="0034615E"/>
    <w:rsid w:val="00346609"/>
    <w:rsid w:val="003467AC"/>
    <w:rsid w:val="00346AC5"/>
    <w:rsid w:val="00346B19"/>
    <w:rsid w:val="00346E99"/>
    <w:rsid w:val="00347117"/>
    <w:rsid w:val="0034712F"/>
    <w:rsid w:val="003471C0"/>
    <w:rsid w:val="0034726E"/>
    <w:rsid w:val="00347830"/>
    <w:rsid w:val="003479E0"/>
    <w:rsid w:val="00347A4C"/>
    <w:rsid w:val="00347AA9"/>
    <w:rsid w:val="00347C63"/>
    <w:rsid w:val="00347D6E"/>
    <w:rsid w:val="00347DDF"/>
    <w:rsid w:val="00347ED4"/>
    <w:rsid w:val="00347EF7"/>
    <w:rsid w:val="00347FD2"/>
    <w:rsid w:val="003503DD"/>
    <w:rsid w:val="00350454"/>
    <w:rsid w:val="003504D4"/>
    <w:rsid w:val="0035050A"/>
    <w:rsid w:val="0035064F"/>
    <w:rsid w:val="00350687"/>
    <w:rsid w:val="003507C7"/>
    <w:rsid w:val="003507D8"/>
    <w:rsid w:val="00350814"/>
    <w:rsid w:val="00350B70"/>
    <w:rsid w:val="00350C94"/>
    <w:rsid w:val="00350D43"/>
    <w:rsid w:val="00350DBB"/>
    <w:rsid w:val="00350F0C"/>
    <w:rsid w:val="00350F4C"/>
    <w:rsid w:val="00350FC7"/>
    <w:rsid w:val="0035106E"/>
    <w:rsid w:val="003510EA"/>
    <w:rsid w:val="0035120D"/>
    <w:rsid w:val="0035146D"/>
    <w:rsid w:val="003514E0"/>
    <w:rsid w:val="003514F3"/>
    <w:rsid w:val="00351593"/>
    <w:rsid w:val="00351629"/>
    <w:rsid w:val="003517A6"/>
    <w:rsid w:val="003517D8"/>
    <w:rsid w:val="00351818"/>
    <w:rsid w:val="00351A4E"/>
    <w:rsid w:val="00351B19"/>
    <w:rsid w:val="00351B36"/>
    <w:rsid w:val="00351C19"/>
    <w:rsid w:val="00351CAA"/>
    <w:rsid w:val="00351CEF"/>
    <w:rsid w:val="00351E98"/>
    <w:rsid w:val="00351FC4"/>
    <w:rsid w:val="003520C1"/>
    <w:rsid w:val="003520D1"/>
    <w:rsid w:val="0035222A"/>
    <w:rsid w:val="00352344"/>
    <w:rsid w:val="003524A1"/>
    <w:rsid w:val="00352505"/>
    <w:rsid w:val="0035256C"/>
    <w:rsid w:val="00352828"/>
    <w:rsid w:val="00352D1A"/>
    <w:rsid w:val="00352FDF"/>
    <w:rsid w:val="0035301F"/>
    <w:rsid w:val="003531E4"/>
    <w:rsid w:val="00353396"/>
    <w:rsid w:val="00353493"/>
    <w:rsid w:val="0035352D"/>
    <w:rsid w:val="00353531"/>
    <w:rsid w:val="00353698"/>
    <w:rsid w:val="003536AE"/>
    <w:rsid w:val="003537DB"/>
    <w:rsid w:val="003538BA"/>
    <w:rsid w:val="003538DC"/>
    <w:rsid w:val="003539D2"/>
    <w:rsid w:val="00353B7F"/>
    <w:rsid w:val="00353DC7"/>
    <w:rsid w:val="00353DF3"/>
    <w:rsid w:val="00353F55"/>
    <w:rsid w:val="00353F63"/>
    <w:rsid w:val="00353F6D"/>
    <w:rsid w:val="00354026"/>
    <w:rsid w:val="003540DB"/>
    <w:rsid w:val="0035422F"/>
    <w:rsid w:val="003543A0"/>
    <w:rsid w:val="003543B6"/>
    <w:rsid w:val="00354460"/>
    <w:rsid w:val="0035452B"/>
    <w:rsid w:val="00354733"/>
    <w:rsid w:val="00354762"/>
    <w:rsid w:val="003549F0"/>
    <w:rsid w:val="00354B21"/>
    <w:rsid w:val="00354B5E"/>
    <w:rsid w:val="00354CBE"/>
    <w:rsid w:val="00354CDD"/>
    <w:rsid w:val="00354D2F"/>
    <w:rsid w:val="00354E0C"/>
    <w:rsid w:val="00354EAA"/>
    <w:rsid w:val="00355029"/>
    <w:rsid w:val="00355049"/>
    <w:rsid w:val="00355169"/>
    <w:rsid w:val="003553B4"/>
    <w:rsid w:val="003553FE"/>
    <w:rsid w:val="003554C9"/>
    <w:rsid w:val="0035553F"/>
    <w:rsid w:val="0035555F"/>
    <w:rsid w:val="0035577C"/>
    <w:rsid w:val="003558A9"/>
    <w:rsid w:val="003558B8"/>
    <w:rsid w:val="00355994"/>
    <w:rsid w:val="00355A38"/>
    <w:rsid w:val="00355AB2"/>
    <w:rsid w:val="00355AD4"/>
    <w:rsid w:val="00355BF8"/>
    <w:rsid w:val="00355C45"/>
    <w:rsid w:val="00355F30"/>
    <w:rsid w:val="00355FE5"/>
    <w:rsid w:val="00356164"/>
    <w:rsid w:val="00356343"/>
    <w:rsid w:val="00356477"/>
    <w:rsid w:val="0035647A"/>
    <w:rsid w:val="003566C7"/>
    <w:rsid w:val="0035679B"/>
    <w:rsid w:val="00356898"/>
    <w:rsid w:val="003568D3"/>
    <w:rsid w:val="00356A02"/>
    <w:rsid w:val="00356AE5"/>
    <w:rsid w:val="00356C14"/>
    <w:rsid w:val="00356CB3"/>
    <w:rsid w:val="00356CCA"/>
    <w:rsid w:val="0035714A"/>
    <w:rsid w:val="00357157"/>
    <w:rsid w:val="003571F4"/>
    <w:rsid w:val="00357205"/>
    <w:rsid w:val="00357359"/>
    <w:rsid w:val="00357381"/>
    <w:rsid w:val="003573E5"/>
    <w:rsid w:val="00357423"/>
    <w:rsid w:val="003576A8"/>
    <w:rsid w:val="0035786B"/>
    <w:rsid w:val="00357B5B"/>
    <w:rsid w:val="00357D7A"/>
    <w:rsid w:val="00357DC4"/>
    <w:rsid w:val="0036031B"/>
    <w:rsid w:val="00360449"/>
    <w:rsid w:val="00360497"/>
    <w:rsid w:val="003604F0"/>
    <w:rsid w:val="0036060D"/>
    <w:rsid w:val="003606F0"/>
    <w:rsid w:val="0036070D"/>
    <w:rsid w:val="00360791"/>
    <w:rsid w:val="003607E7"/>
    <w:rsid w:val="00360B68"/>
    <w:rsid w:val="00360C14"/>
    <w:rsid w:val="00360F97"/>
    <w:rsid w:val="00361544"/>
    <w:rsid w:val="0036154D"/>
    <w:rsid w:val="00361584"/>
    <w:rsid w:val="003616B4"/>
    <w:rsid w:val="00361828"/>
    <w:rsid w:val="00361AA6"/>
    <w:rsid w:val="00361AED"/>
    <w:rsid w:val="00361C1F"/>
    <w:rsid w:val="00361C55"/>
    <w:rsid w:val="00361D05"/>
    <w:rsid w:val="00361F6D"/>
    <w:rsid w:val="00361F79"/>
    <w:rsid w:val="00362176"/>
    <w:rsid w:val="00362222"/>
    <w:rsid w:val="00362341"/>
    <w:rsid w:val="00362615"/>
    <w:rsid w:val="0036265F"/>
    <w:rsid w:val="00362796"/>
    <w:rsid w:val="0036291D"/>
    <w:rsid w:val="003629EB"/>
    <w:rsid w:val="00362A05"/>
    <w:rsid w:val="00362A6B"/>
    <w:rsid w:val="00362EFF"/>
    <w:rsid w:val="0036309B"/>
    <w:rsid w:val="0036317F"/>
    <w:rsid w:val="003631B4"/>
    <w:rsid w:val="0036320C"/>
    <w:rsid w:val="00363253"/>
    <w:rsid w:val="00363448"/>
    <w:rsid w:val="003636AA"/>
    <w:rsid w:val="003638A6"/>
    <w:rsid w:val="0036397B"/>
    <w:rsid w:val="00363A4A"/>
    <w:rsid w:val="00363B9B"/>
    <w:rsid w:val="00363C44"/>
    <w:rsid w:val="00363CFD"/>
    <w:rsid w:val="00363EFE"/>
    <w:rsid w:val="003641E1"/>
    <w:rsid w:val="00364286"/>
    <w:rsid w:val="00364367"/>
    <w:rsid w:val="0036449B"/>
    <w:rsid w:val="00364824"/>
    <w:rsid w:val="00364901"/>
    <w:rsid w:val="00364B0A"/>
    <w:rsid w:val="00364BD4"/>
    <w:rsid w:val="00364C8D"/>
    <w:rsid w:val="00364CFE"/>
    <w:rsid w:val="00364F66"/>
    <w:rsid w:val="00364F84"/>
    <w:rsid w:val="00364F9F"/>
    <w:rsid w:val="00364FF2"/>
    <w:rsid w:val="003650FE"/>
    <w:rsid w:val="00365245"/>
    <w:rsid w:val="003652D2"/>
    <w:rsid w:val="00365386"/>
    <w:rsid w:val="00365403"/>
    <w:rsid w:val="0036588C"/>
    <w:rsid w:val="00365A7B"/>
    <w:rsid w:val="00365B13"/>
    <w:rsid w:val="00366192"/>
    <w:rsid w:val="003661CE"/>
    <w:rsid w:val="00366430"/>
    <w:rsid w:val="003669A7"/>
    <w:rsid w:val="003669B0"/>
    <w:rsid w:val="00366AC4"/>
    <w:rsid w:val="00366B97"/>
    <w:rsid w:val="00366CA5"/>
    <w:rsid w:val="00366D28"/>
    <w:rsid w:val="00366E82"/>
    <w:rsid w:val="003672ED"/>
    <w:rsid w:val="003674CC"/>
    <w:rsid w:val="00367555"/>
    <w:rsid w:val="0036761A"/>
    <w:rsid w:val="003677AD"/>
    <w:rsid w:val="003679BE"/>
    <w:rsid w:val="00367A08"/>
    <w:rsid w:val="00367BBA"/>
    <w:rsid w:val="00367CB7"/>
    <w:rsid w:val="00367EC5"/>
    <w:rsid w:val="00367ED4"/>
    <w:rsid w:val="00370031"/>
    <w:rsid w:val="00370109"/>
    <w:rsid w:val="003701A9"/>
    <w:rsid w:val="003702C3"/>
    <w:rsid w:val="0037073E"/>
    <w:rsid w:val="00370875"/>
    <w:rsid w:val="003708CE"/>
    <w:rsid w:val="003709FB"/>
    <w:rsid w:val="00370B59"/>
    <w:rsid w:val="00370B8E"/>
    <w:rsid w:val="00370BBF"/>
    <w:rsid w:val="00370CE0"/>
    <w:rsid w:val="00370D77"/>
    <w:rsid w:val="00370DDE"/>
    <w:rsid w:val="00370DE9"/>
    <w:rsid w:val="00370FAB"/>
    <w:rsid w:val="00371107"/>
    <w:rsid w:val="003711D4"/>
    <w:rsid w:val="003712DF"/>
    <w:rsid w:val="00371374"/>
    <w:rsid w:val="003713C1"/>
    <w:rsid w:val="0037149D"/>
    <w:rsid w:val="003714DB"/>
    <w:rsid w:val="00371618"/>
    <w:rsid w:val="003716DE"/>
    <w:rsid w:val="0037188A"/>
    <w:rsid w:val="00371A26"/>
    <w:rsid w:val="00371DAD"/>
    <w:rsid w:val="00371F8D"/>
    <w:rsid w:val="0037212E"/>
    <w:rsid w:val="0037229E"/>
    <w:rsid w:val="00372428"/>
    <w:rsid w:val="00372ACA"/>
    <w:rsid w:val="00372B07"/>
    <w:rsid w:val="00372B95"/>
    <w:rsid w:val="00372C32"/>
    <w:rsid w:val="00372DCF"/>
    <w:rsid w:val="00373074"/>
    <w:rsid w:val="003730C5"/>
    <w:rsid w:val="00373267"/>
    <w:rsid w:val="00373284"/>
    <w:rsid w:val="00373294"/>
    <w:rsid w:val="003732E8"/>
    <w:rsid w:val="00373395"/>
    <w:rsid w:val="00373662"/>
    <w:rsid w:val="003737C1"/>
    <w:rsid w:val="0037380C"/>
    <w:rsid w:val="00373852"/>
    <w:rsid w:val="00373884"/>
    <w:rsid w:val="00373C26"/>
    <w:rsid w:val="00373C6D"/>
    <w:rsid w:val="00373D17"/>
    <w:rsid w:val="00373F13"/>
    <w:rsid w:val="00374070"/>
    <w:rsid w:val="003741E6"/>
    <w:rsid w:val="003741E8"/>
    <w:rsid w:val="00374448"/>
    <w:rsid w:val="003744F4"/>
    <w:rsid w:val="003747F3"/>
    <w:rsid w:val="00374BF6"/>
    <w:rsid w:val="00374C5D"/>
    <w:rsid w:val="00374CBB"/>
    <w:rsid w:val="00374D93"/>
    <w:rsid w:val="00374F50"/>
    <w:rsid w:val="00374FA2"/>
    <w:rsid w:val="00375057"/>
    <w:rsid w:val="003754BB"/>
    <w:rsid w:val="003754ED"/>
    <w:rsid w:val="003756B0"/>
    <w:rsid w:val="003757F7"/>
    <w:rsid w:val="00375BC4"/>
    <w:rsid w:val="00375C19"/>
    <w:rsid w:val="00375D79"/>
    <w:rsid w:val="00375FD5"/>
    <w:rsid w:val="003762E1"/>
    <w:rsid w:val="00376354"/>
    <w:rsid w:val="003763CA"/>
    <w:rsid w:val="00376552"/>
    <w:rsid w:val="003765D8"/>
    <w:rsid w:val="00376856"/>
    <w:rsid w:val="00376901"/>
    <w:rsid w:val="003769C0"/>
    <w:rsid w:val="00376D91"/>
    <w:rsid w:val="003771C5"/>
    <w:rsid w:val="0037722A"/>
    <w:rsid w:val="00377283"/>
    <w:rsid w:val="0037729F"/>
    <w:rsid w:val="003774E0"/>
    <w:rsid w:val="00377595"/>
    <w:rsid w:val="0037776F"/>
    <w:rsid w:val="003777D4"/>
    <w:rsid w:val="00377809"/>
    <w:rsid w:val="003779CD"/>
    <w:rsid w:val="00377A9E"/>
    <w:rsid w:val="00377B61"/>
    <w:rsid w:val="00377B9F"/>
    <w:rsid w:val="00377BA6"/>
    <w:rsid w:val="00377C3B"/>
    <w:rsid w:val="00377D57"/>
    <w:rsid w:val="00377D71"/>
    <w:rsid w:val="00377EEA"/>
    <w:rsid w:val="00380079"/>
    <w:rsid w:val="003802D6"/>
    <w:rsid w:val="003802FF"/>
    <w:rsid w:val="0038035C"/>
    <w:rsid w:val="003803BC"/>
    <w:rsid w:val="00380775"/>
    <w:rsid w:val="003807BC"/>
    <w:rsid w:val="0038087F"/>
    <w:rsid w:val="003808CC"/>
    <w:rsid w:val="0038096B"/>
    <w:rsid w:val="003809A5"/>
    <w:rsid w:val="00380B22"/>
    <w:rsid w:val="00380B88"/>
    <w:rsid w:val="00380BB1"/>
    <w:rsid w:val="00380C9B"/>
    <w:rsid w:val="00380D07"/>
    <w:rsid w:val="00380ED3"/>
    <w:rsid w:val="00381162"/>
    <w:rsid w:val="003812B5"/>
    <w:rsid w:val="003813BD"/>
    <w:rsid w:val="003813C8"/>
    <w:rsid w:val="0038186F"/>
    <w:rsid w:val="00381916"/>
    <w:rsid w:val="00381938"/>
    <w:rsid w:val="003819A6"/>
    <w:rsid w:val="00381B17"/>
    <w:rsid w:val="00381B5F"/>
    <w:rsid w:val="00381D35"/>
    <w:rsid w:val="00381FE5"/>
    <w:rsid w:val="00382096"/>
    <w:rsid w:val="003820B7"/>
    <w:rsid w:val="003823F1"/>
    <w:rsid w:val="00382477"/>
    <w:rsid w:val="00382755"/>
    <w:rsid w:val="0038279B"/>
    <w:rsid w:val="00382823"/>
    <w:rsid w:val="003828B0"/>
    <w:rsid w:val="00382917"/>
    <w:rsid w:val="0038291B"/>
    <w:rsid w:val="00382CE4"/>
    <w:rsid w:val="00382E4B"/>
    <w:rsid w:val="003830FF"/>
    <w:rsid w:val="0038332C"/>
    <w:rsid w:val="0038335F"/>
    <w:rsid w:val="003833A3"/>
    <w:rsid w:val="00383870"/>
    <w:rsid w:val="003838C6"/>
    <w:rsid w:val="00383BBC"/>
    <w:rsid w:val="00383BC6"/>
    <w:rsid w:val="00383C54"/>
    <w:rsid w:val="0038400C"/>
    <w:rsid w:val="003841E0"/>
    <w:rsid w:val="0038444A"/>
    <w:rsid w:val="003844B8"/>
    <w:rsid w:val="003844C9"/>
    <w:rsid w:val="00384A32"/>
    <w:rsid w:val="00384A9F"/>
    <w:rsid w:val="00384AC2"/>
    <w:rsid w:val="00384BFB"/>
    <w:rsid w:val="00384C44"/>
    <w:rsid w:val="00384C98"/>
    <w:rsid w:val="00384CAE"/>
    <w:rsid w:val="00384D08"/>
    <w:rsid w:val="00384F8B"/>
    <w:rsid w:val="00384FCF"/>
    <w:rsid w:val="00385086"/>
    <w:rsid w:val="003850D9"/>
    <w:rsid w:val="003851FB"/>
    <w:rsid w:val="003854C4"/>
    <w:rsid w:val="003857A7"/>
    <w:rsid w:val="003857C9"/>
    <w:rsid w:val="00385816"/>
    <w:rsid w:val="0038594C"/>
    <w:rsid w:val="00385E10"/>
    <w:rsid w:val="00385E54"/>
    <w:rsid w:val="00385E59"/>
    <w:rsid w:val="00385EF0"/>
    <w:rsid w:val="003862C5"/>
    <w:rsid w:val="003862E0"/>
    <w:rsid w:val="003862FA"/>
    <w:rsid w:val="003865C4"/>
    <w:rsid w:val="003865DC"/>
    <w:rsid w:val="0038697C"/>
    <w:rsid w:val="00386987"/>
    <w:rsid w:val="00386B7B"/>
    <w:rsid w:val="00386B8E"/>
    <w:rsid w:val="00386DAB"/>
    <w:rsid w:val="003870ED"/>
    <w:rsid w:val="003871DD"/>
    <w:rsid w:val="003874FE"/>
    <w:rsid w:val="003876D7"/>
    <w:rsid w:val="003878FB"/>
    <w:rsid w:val="00387A3E"/>
    <w:rsid w:val="00387C4C"/>
    <w:rsid w:val="00387D44"/>
    <w:rsid w:val="00387D85"/>
    <w:rsid w:val="00387E3D"/>
    <w:rsid w:val="00387E49"/>
    <w:rsid w:val="00387E5C"/>
    <w:rsid w:val="00390001"/>
    <w:rsid w:val="00390188"/>
    <w:rsid w:val="00390195"/>
    <w:rsid w:val="003901AA"/>
    <w:rsid w:val="003901D6"/>
    <w:rsid w:val="003902C7"/>
    <w:rsid w:val="003902E9"/>
    <w:rsid w:val="00390477"/>
    <w:rsid w:val="0039048E"/>
    <w:rsid w:val="003904FF"/>
    <w:rsid w:val="003907BE"/>
    <w:rsid w:val="0039091D"/>
    <w:rsid w:val="00390A63"/>
    <w:rsid w:val="00390BB1"/>
    <w:rsid w:val="00390CE5"/>
    <w:rsid w:val="00391050"/>
    <w:rsid w:val="003913B1"/>
    <w:rsid w:val="00391444"/>
    <w:rsid w:val="00391594"/>
    <w:rsid w:val="003916E3"/>
    <w:rsid w:val="0039176B"/>
    <w:rsid w:val="003918EB"/>
    <w:rsid w:val="00391B69"/>
    <w:rsid w:val="00391BC0"/>
    <w:rsid w:val="00391EE8"/>
    <w:rsid w:val="00391F21"/>
    <w:rsid w:val="00392008"/>
    <w:rsid w:val="00392040"/>
    <w:rsid w:val="00392073"/>
    <w:rsid w:val="00392112"/>
    <w:rsid w:val="0039254D"/>
    <w:rsid w:val="00392606"/>
    <w:rsid w:val="003926FB"/>
    <w:rsid w:val="003928EE"/>
    <w:rsid w:val="00392925"/>
    <w:rsid w:val="00392AAE"/>
    <w:rsid w:val="00392DFA"/>
    <w:rsid w:val="0039317C"/>
    <w:rsid w:val="003931B5"/>
    <w:rsid w:val="003932CE"/>
    <w:rsid w:val="0039332E"/>
    <w:rsid w:val="003939F5"/>
    <w:rsid w:val="00393C03"/>
    <w:rsid w:val="00393CBE"/>
    <w:rsid w:val="003941D7"/>
    <w:rsid w:val="003945E5"/>
    <w:rsid w:val="0039496E"/>
    <w:rsid w:val="003949CC"/>
    <w:rsid w:val="00394B40"/>
    <w:rsid w:val="00394D0D"/>
    <w:rsid w:val="00394D34"/>
    <w:rsid w:val="00394D77"/>
    <w:rsid w:val="00395115"/>
    <w:rsid w:val="00395393"/>
    <w:rsid w:val="003955D4"/>
    <w:rsid w:val="00395988"/>
    <w:rsid w:val="00395A45"/>
    <w:rsid w:val="00395AFE"/>
    <w:rsid w:val="00395B72"/>
    <w:rsid w:val="00395CAA"/>
    <w:rsid w:val="00395D4B"/>
    <w:rsid w:val="00395ED5"/>
    <w:rsid w:val="00395F6F"/>
    <w:rsid w:val="0039602E"/>
    <w:rsid w:val="003961F1"/>
    <w:rsid w:val="00396220"/>
    <w:rsid w:val="00396307"/>
    <w:rsid w:val="00396357"/>
    <w:rsid w:val="0039646A"/>
    <w:rsid w:val="003966BC"/>
    <w:rsid w:val="003966F8"/>
    <w:rsid w:val="0039670A"/>
    <w:rsid w:val="0039679B"/>
    <w:rsid w:val="003968D1"/>
    <w:rsid w:val="0039697B"/>
    <w:rsid w:val="003969B9"/>
    <w:rsid w:val="00396A19"/>
    <w:rsid w:val="00396B5D"/>
    <w:rsid w:val="00396B86"/>
    <w:rsid w:val="00396C79"/>
    <w:rsid w:val="00396D4A"/>
    <w:rsid w:val="00396F0E"/>
    <w:rsid w:val="00396F89"/>
    <w:rsid w:val="0039700D"/>
    <w:rsid w:val="00397165"/>
    <w:rsid w:val="00397195"/>
    <w:rsid w:val="00397250"/>
    <w:rsid w:val="003972BA"/>
    <w:rsid w:val="003973CF"/>
    <w:rsid w:val="003973D3"/>
    <w:rsid w:val="00397617"/>
    <w:rsid w:val="003976F8"/>
    <w:rsid w:val="0039777B"/>
    <w:rsid w:val="0039790F"/>
    <w:rsid w:val="003979B3"/>
    <w:rsid w:val="00397B04"/>
    <w:rsid w:val="00397CE6"/>
    <w:rsid w:val="00397D07"/>
    <w:rsid w:val="00397E67"/>
    <w:rsid w:val="003A0056"/>
    <w:rsid w:val="003A00D3"/>
    <w:rsid w:val="003A02E8"/>
    <w:rsid w:val="003A0398"/>
    <w:rsid w:val="003A0438"/>
    <w:rsid w:val="003A04CE"/>
    <w:rsid w:val="003A06AD"/>
    <w:rsid w:val="003A0755"/>
    <w:rsid w:val="003A07A5"/>
    <w:rsid w:val="003A07D1"/>
    <w:rsid w:val="003A08F1"/>
    <w:rsid w:val="003A092E"/>
    <w:rsid w:val="003A09E4"/>
    <w:rsid w:val="003A0CF0"/>
    <w:rsid w:val="003A0D5C"/>
    <w:rsid w:val="003A0DFC"/>
    <w:rsid w:val="003A0E2E"/>
    <w:rsid w:val="003A0E53"/>
    <w:rsid w:val="003A0E79"/>
    <w:rsid w:val="003A0EAC"/>
    <w:rsid w:val="003A103E"/>
    <w:rsid w:val="003A1178"/>
    <w:rsid w:val="003A121A"/>
    <w:rsid w:val="003A12A8"/>
    <w:rsid w:val="003A1326"/>
    <w:rsid w:val="003A1606"/>
    <w:rsid w:val="003A1714"/>
    <w:rsid w:val="003A17F4"/>
    <w:rsid w:val="003A186C"/>
    <w:rsid w:val="003A1900"/>
    <w:rsid w:val="003A1937"/>
    <w:rsid w:val="003A196E"/>
    <w:rsid w:val="003A1994"/>
    <w:rsid w:val="003A1A47"/>
    <w:rsid w:val="003A1ADF"/>
    <w:rsid w:val="003A1AE9"/>
    <w:rsid w:val="003A1BCA"/>
    <w:rsid w:val="003A1CE2"/>
    <w:rsid w:val="003A1CF9"/>
    <w:rsid w:val="003A1DC3"/>
    <w:rsid w:val="003A2029"/>
    <w:rsid w:val="003A210F"/>
    <w:rsid w:val="003A21CD"/>
    <w:rsid w:val="003A2330"/>
    <w:rsid w:val="003A2534"/>
    <w:rsid w:val="003A2676"/>
    <w:rsid w:val="003A28EF"/>
    <w:rsid w:val="003A2D19"/>
    <w:rsid w:val="003A2D7E"/>
    <w:rsid w:val="003A2E45"/>
    <w:rsid w:val="003A2E56"/>
    <w:rsid w:val="003A311E"/>
    <w:rsid w:val="003A3195"/>
    <w:rsid w:val="003A33D0"/>
    <w:rsid w:val="003A372B"/>
    <w:rsid w:val="003A384D"/>
    <w:rsid w:val="003A397C"/>
    <w:rsid w:val="003A3982"/>
    <w:rsid w:val="003A3C62"/>
    <w:rsid w:val="003A40A6"/>
    <w:rsid w:val="003A4263"/>
    <w:rsid w:val="003A42EA"/>
    <w:rsid w:val="003A4318"/>
    <w:rsid w:val="003A44B5"/>
    <w:rsid w:val="003A48BD"/>
    <w:rsid w:val="003A490D"/>
    <w:rsid w:val="003A4947"/>
    <w:rsid w:val="003A4C2C"/>
    <w:rsid w:val="003A4F5C"/>
    <w:rsid w:val="003A4F99"/>
    <w:rsid w:val="003A4FCF"/>
    <w:rsid w:val="003A506C"/>
    <w:rsid w:val="003A51D0"/>
    <w:rsid w:val="003A55E0"/>
    <w:rsid w:val="003A55F9"/>
    <w:rsid w:val="003A5673"/>
    <w:rsid w:val="003A5762"/>
    <w:rsid w:val="003A5861"/>
    <w:rsid w:val="003A5C29"/>
    <w:rsid w:val="003A5C79"/>
    <w:rsid w:val="003A5ED2"/>
    <w:rsid w:val="003A600A"/>
    <w:rsid w:val="003A6130"/>
    <w:rsid w:val="003A628F"/>
    <w:rsid w:val="003A62BA"/>
    <w:rsid w:val="003A6399"/>
    <w:rsid w:val="003A63E9"/>
    <w:rsid w:val="003A6533"/>
    <w:rsid w:val="003A662D"/>
    <w:rsid w:val="003A6703"/>
    <w:rsid w:val="003A6734"/>
    <w:rsid w:val="003A68BC"/>
    <w:rsid w:val="003A68DC"/>
    <w:rsid w:val="003A69BD"/>
    <w:rsid w:val="003A6A41"/>
    <w:rsid w:val="003A6AE4"/>
    <w:rsid w:val="003A6CEC"/>
    <w:rsid w:val="003A6D6E"/>
    <w:rsid w:val="003A6D73"/>
    <w:rsid w:val="003A6D9D"/>
    <w:rsid w:val="003A6E16"/>
    <w:rsid w:val="003A6F31"/>
    <w:rsid w:val="003A72A7"/>
    <w:rsid w:val="003A73A7"/>
    <w:rsid w:val="003A73E4"/>
    <w:rsid w:val="003A76FD"/>
    <w:rsid w:val="003A7AF1"/>
    <w:rsid w:val="003A7BBF"/>
    <w:rsid w:val="003A7C78"/>
    <w:rsid w:val="003A7FA6"/>
    <w:rsid w:val="003B01A3"/>
    <w:rsid w:val="003B02FF"/>
    <w:rsid w:val="003B048F"/>
    <w:rsid w:val="003B05B7"/>
    <w:rsid w:val="003B05EA"/>
    <w:rsid w:val="003B0662"/>
    <w:rsid w:val="003B0767"/>
    <w:rsid w:val="003B0ABC"/>
    <w:rsid w:val="003B0BE9"/>
    <w:rsid w:val="003B0D6D"/>
    <w:rsid w:val="003B137F"/>
    <w:rsid w:val="003B13D2"/>
    <w:rsid w:val="003B1564"/>
    <w:rsid w:val="003B16C8"/>
    <w:rsid w:val="003B16E7"/>
    <w:rsid w:val="003B16EB"/>
    <w:rsid w:val="003B174E"/>
    <w:rsid w:val="003B181C"/>
    <w:rsid w:val="003B1AF7"/>
    <w:rsid w:val="003B1B17"/>
    <w:rsid w:val="003B1CC6"/>
    <w:rsid w:val="003B1E7D"/>
    <w:rsid w:val="003B2203"/>
    <w:rsid w:val="003B2393"/>
    <w:rsid w:val="003B23C9"/>
    <w:rsid w:val="003B2423"/>
    <w:rsid w:val="003B25B9"/>
    <w:rsid w:val="003B2672"/>
    <w:rsid w:val="003B2D5C"/>
    <w:rsid w:val="003B2F35"/>
    <w:rsid w:val="003B3020"/>
    <w:rsid w:val="003B32FC"/>
    <w:rsid w:val="003B33AC"/>
    <w:rsid w:val="003B359D"/>
    <w:rsid w:val="003B370B"/>
    <w:rsid w:val="003B37C6"/>
    <w:rsid w:val="003B3A9C"/>
    <w:rsid w:val="003B3AE6"/>
    <w:rsid w:val="003B3DC3"/>
    <w:rsid w:val="003B3E1C"/>
    <w:rsid w:val="003B3E5D"/>
    <w:rsid w:val="003B3F47"/>
    <w:rsid w:val="003B45F8"/>
    <w:rsid w:val="003B4654"/>
    <w:rsid w:val="003B4800"/>
    <w:rsid w:val="003B4A89"/>
    <w:rsid w:val="003B50DA"/>
    <w:rsid w:val="003B510E"/>
    <w:rsid w:val="003B5437"/>
    <w:rsid w:val="003B54E9"/>
    <w:rsid w:val="003B554B"/>
    <w:rsid w:val="003B56DC"/>
    <w:rsid w:val="003B5903"/>
    <w:rsid w:val="003B5E1B"/>
    <w:rsid w:val="003B5E63"/>
    <w:rsid w:val="003B6022"/>
    <w:rsid w:val="003B6065"/>
    <w:rsid w:val="003B6467"/>
    <w:rsid w:val="003B6552"/>
    <w:rsid w:val="003B65B2"/>
    <w:rsid w:val="003B6734"/>
    <w:rsid w:val="003B6A8A"/>
    <w:rsid w:val="003B6B27"/>
    <w:rsid w:val="003B6B4D"/>
    <w:rsid w:val="003B6BAD"/>
    <w:rsid w:val="003B6FCA"/>
    <w:rsid w:val="003B7163"/>
    <w:rsid w:val="003B72C9"/>
    <w:rsid w:val="003B73D0"/>
    <w:rsid w:val="003B743E"/>
    <w:rsid w:val="003B7537"/>
    <w:rsid w:val="003B76AE"/>
    <w:rsid w:val="003B76B1"/>
    <w:rsid w:val="003B7742"/>
    <w:rsid w:val="003B7755"/>
    <w:rsid w:val="003B7866"/>
    <w:rsid w:val="003B788D"/>
    <w:rsid w:val="003B78B4"/>
    <w:rsid w:val="003B7920"/>
    <w:rsid w:val="003B7946"/>
    <w:rsid w:val="003B7952"/>
    <w:rsid w:val="003B7A7C"/>
    <w:rsid w:val="003B7BEA"/>
    <w:rsid w:val="003B7D0D"/>
    <w:rsid w:val="003B7F39"/>
    <w:rsid w:val="003B7F50"/>
    <w:rsid w:val="003C00DA"/>
    <w:rsid w:val="003C0136"/>
    <w:rsid w:val="003C01D4"/>
    <w:rsid w:val="003C024F"/>
    <w:rsid w:val="003C0284"/>
    <w:rsid w:val="003C02D5"/>
    <w:rsid w:val="003C02F6"/>
    <w:rsid w:val="003C040B"/>
    <w:rsid w:val="003C044A"/>
    <w:rsid w:val="003C0480"/>
    <w:rsid w:val="003C0965"/>
    <w:rsid w:val="003C0C96"/>
    <w:rsid w:val="003C0F40"/>
    <w:rsid w:val="003C0FBB"/>
    <w:rsid w:val="003C1113"/>
    <w:rsid w:val="003C1643"/>
    <w:rsid w:val="003C1A33"/>
    <w:rsid w:val="003C1A58"/>
    <w:rsid w:val="003C1B1B"/>
    <w:rsid w:val="003C1B51"/>
    <w:rsid w:val="003C1CB3"/>
    <w:rsid w:val="003C1D6D"/>
    <w:rsid w:val="003C1F66"/>
    <w:rsid w:val="003C2056"/>
    <w:rsid w:val="003C2130"/>
    <w:rsid w:val="003C2177"/>
    <w:rsid w:val="003C2343"/>
    <w:rsid w:val="003C237E"/>
    <w:rsid w:val="003C246B"/>
    <w:rsid w:val="003C24AC"/>
    <w:rsid w:val="003C25DF"/>
    <w:rsid w:val="003C261B"/>
    <w:rsid w:val="003C283D"/>
    <w:rsid w:val="003C29AC"/>
    <w:rsid w:val="003C2A53"/>
    <w:rsid w:val="003C2B8E"/>
    <w:rsid w:val="003C2B91"/>
    <w:rsid w:val="003C329B"/>
    <w:rsid w:val="003C330B"/>
    <w:rsid w:val="003C33A2"/>
    <w:rsid w:val="003C341D"/>
    <w:rsid w:val="003C344E"/>
    <w:rsid w:val="003C3552"/>
    <w:rsid w:val="003C35A7"/>
    <w:rsid w:val="003C35AA"/>
    <w:rsid w:val="003C35AF"/>
    <w:rsid w:val="003C390C"/>
    <w:rsid w:val="003C39CD"/>
    <w:rsid w:val="003C3AEF"/>
    <w:rsid w:val="003C3B56"/>
    <w:rsid w:val="003C3BC7"/>
    <w:rsid w:val="003C3D02"/>
    <w:rsid w:val="003C3D7C"/>
    <w:rsid w:val="003C3E87"/>
    <w:rsid w:val="003C3E9B"/>
    <w:rsid w:val="003C402B"/>
    <w:rsid w:val="003C42E3"/>
    <w:rsid w:val="003C44D2"/>
    <w:rsid w:val="003C4598"/>
    <w:rsid w:val="003C45BC"/>
    <w:rsid w:val="003C4604"/>
    <w:rsid w:val="003C4613"/>
    <w:rsid w:val="003C4B89"/>
    <w:rsid w:val="003C4BF4"/>
    <w:rsid w:val="003C50E5"/>
    <w:rsid w:val="003C5148"/>
    <w:rsid w:val="003C5309"/>
    <w:rsid w:val="003C54ED"/>
    <w:rsid w:val="003C553F"/>
    <w:rsid w:val="003C5660"/>
    <w:rsid w:val="003C573C"/>
    <w:rsid w:val="003C57C6"/>
    <w:rsid w:val="003C5849"/>
    <w:rsid w:val="003C5ADF"/>
    <w:rsid w:val="003C5B03"/>
    <w:rsid w:val="003C5CC1"/>
    <w:rsid w:val="003C5D2A"/>
    <w:rsid w:val="003C5D2E"/>
    <w:rsid w:val="003C5D3C"/>
    <w:rsid w:val="003C5E5D"/>
    <w:rsid w:val="003C6135"/>
    <w:rsid w:val="003C62CA"/>
    <w:rsid w:val="003C63CC"/>
    <w:rsid w:val="003C640D"/>
    <w:rsid w:val="003C6630"/>
    <w:rsid w:val="003C669D"/>
    <w:rsid w:val="003C66C1"/>
    <w:rsid w:val="003C66D4"/>
    <w:rsid w:val="003C689D"/>
    <w:rsid w:val="003C6955"/>
    <w:rsid w:val="003C6A04"/>
    <w:rsid w:val="003C6B08"/>
    <w:rsid w:val="003C6BD1"/>
    <w:rsid w:val="003C6D59"/>
    <w:rsid w:val="003C6DB2"/>
    <w:rsid w:val="003C6DB6"/>
    <w:rsid w:val="003C6DC9"/>
    <w:rsid w:val="003C6DD9"/>
    <w:rsid w:val="003C6DE0"/>
    <w:rsid w:val="003C6E5C"/>
    <w:rsid w:val="003C6EA0"/>
    <w:rsid w:val="003C6FFC"/>
    <w:rsid w:val="003C7000"/>
    <w:rsid w:val="003C7081"/>
    <w:rsid w:val="003C72E1"/>
    <w:rsid w:val="003C7591"/>
    <w:rsid w:val="003C785A"/>
    <w:rsid w:val="003C7867"/>
    <w:rsid w:val="003C7B58"/>
    <w:rsid w:val="003C7C4D"/>
    <w:rsid w:val="003C7F1B"/>
    <w:rsid w:val="003C7F2E"/>
    <w:rsid w:val="003D018E"/>
    <w:rsid w:val="003D0672"/>
    <w:rsid w:val="003D07D4"/>
    <w:rsid w:val="003D08FE"/>
    <w:rsid w:val="003D0914"/>
    <w:rsid w:val="003D0933"/>
    <w:rsid w:val="003D0A50"/>
    <w:rsid w:val="003D0BD2"/>
    <w:rsid w:val="003D1079"/>
    <w:rsid w:val="003D130C"/>
    <w:rsid w:val="003D13E8"/>
    <w:rsid w:val="003D14FE"/>
    <w:rsid w:val="003D1502"/>
    <w:rsid w:val="003D1551"/>
    <w:rsid w:val="003D1606"/>
    <w:rsid w:val="003D1649"/>
    <w:rsid w:val="003D16F0"/>
    <w:rsid w:val="003D1A5A"/>
    <w:rsid w:val="003D1C17"/>
    <w:rsid w:val="003D1C39"/>
    <w:rsid w:val="003D1F3D"/>
    <w:rsid w:val="003D21B2"/>
    <w:rsid w:val="003D2410"/>
    <w:rsid w:val="003D2502"/>
    <w:rsid w:val="003D256D"/>
    <w:rsid w:val="003D260E"/>
    <w:rsid w:val="003D27CE"/>
    <w:rsid w:val="003D296B"/>
    <w:rsid w:val="003D2A5A"/>
    <w:rsid w:val="003D2B00"/>
    <w:rsid w:val="003D2E65"/>
    <w:rsid w:val="003D2ED6"/>
    <w:rsid w:val="003D300B"/>
    <w:rsid w:val="003D3236"/>
    <w:rsid w:val="003D34B0"/>
    <w:rsid w:val="003D3694"/>
    <w:rsid w:val="003D3748"/>
    <w:rsid w:val="003D3881"/>
    <w:rsid w:val="003D394B"/>
    <w:rsid w:val="003D3CD1"/>
    <w:rsid w:val="003D3D00"/>
    <w:rsid w:val="003D3D25"/>
    <w:rsid w:val="003D3E49"/>
    <w:rsid w:val="003D3F9C"/>
    <w:rsid w:val="003D3FE3"/>
    <w:rsid w:val="003D4174"/>
    <w:rsid w:val="003D41C1"/>
    <w:rsid w:val="003D42B3"/>
    <w:rsid w:val="003D4300"/>
    <w:rsid w:val="003D43E9"/>
    <w:rsid w:val="003D4755"/>
    <w:rsid w:val="003D47EC"/>
    <w:rsid w:val="003D4931"/>
    <w:rsid w:val="003D49F0"/>
    <w:rsid w:val="003D4B1A"/>
    <w:rsid w:val="003D4C7E"/>
    <w:rsid w:val="003D4D19"/>
    <w:rsid w:val="003D50B3"/>
    <w:rsid w:val="003D510B"/>
    <w:rsid w:val="003D5251"/>
    <w:rsid w:val="003D54AE"/>
    <w:rsid w:val="003D5571"/>
    <w:rsid w:val="003D5700"/>
    <w:rsid w:val="003D5939"/>
    <w:rsid w:val="003D5A54"/>
    <w:rsid w:val="003D5B75"/>
    <w:rsid w:val="003D5C04"/>
    <w:rsid w:val="003D5CB3"/>
    <w:rsid w:val="003D5FA8"/>
    <w:rsid w:val="003D6050"/>
    <w:rsid w:val="003D63DC"/>
    <w:rsid w:val="003D64A3"/>
    <w:rsid w:val="003D64B8"/>
    <w:rsid w:val="003D64D3"/>
    <w:rsid w:val="003D6799"/>
    <w:rsid w:val="003D6B6F"/>
    <w:rsid w:val="003D7257"/>
    <w:rsid w:val="003D72A0"/>
    <w:rsid w:val="003D72E3"/>
    <w:rsid w:val="003D74CE"/>
    <w:rsid w:val="003D74E1"/>
    <w:rsid w:val="003D7754"/>
    <w:rsid w:val="003D77D8"/>
    <w:rsid w:val="003D781E"/>
    <w:rsid w:val="003D7A50"/>
    <w:rsid w:val="003D7B03"/>
    <w:rsid w:val="003D7D72"/>
    <w:rsid w:val="003D7F01"/>
    <w:rsid w:val="003D7F70"/>
    <w:rsid w:val="003E0011"/>
    <w:rsid w:val="003E00F5"/>
    <w:rsid w:val="003E034D"/>
    <w:rsid w:val="003E0615"/>
    <w:rsid w:val="003E092B"/>
    <w:rsid w:val="003E096D"/>
    <w:rsid w:val="003E0B6C"/>
    <w:rsid w:val="003E0D6B"/>
    <w:rsid w:val="003E0DF0"/>
    <w:rsid w:val="003E0FAE"/>
    <w:rsid w:val="003E0FF3"/>
    <w:rsid w:val="003E110B"/>
    <w:rsid w:val="003E1275"/>
    <w:rsid w:val="003E145E"/>
    <w:rsid w:val="003E15A5"/>
    <w:rsid w:val="003E182B"/>
    <w:rsid w:val="003E19A9"/>
    <w:rsid w:val="003E1AAA"/>
    <w:rsid w:val="003E1C28"/>
    <w:rsid w:val="003E1E11"/>
    <w:rsid w:val="003E1E86"/>
    <w:rsid w:val="003E1F67"/>
    <w:rsid w:val="003E215B"/>
    <w:rsid w:val="003E215E"/>
    <w:rsid w:val="003E2171"/>
    <w:rsid w:val="003E2188"/>
    <w:rsid w:val="003E21C5"/>
    <w:rsid w:val="003E21C8"/>
    <w:rsid w:val="003E2407"/>
    <w:rsid w:val="003E2607"/>
    <w:rsid w:val="003E2611"/>
    <w:rsid w:val="003E263A"/>
    <w:rsid w:val="003E26B9"/>
    <w:rsid w:val="003E26FC"/>
    <w:rsid w:val="003E27B6"/>
    <w:rsid w:val="003E27FA"/>
    <w:rsid w:val="003E285D"/>
    <w:rsid w:val="003E2915"/>
    <w:rsid w:val="003E2D93"/>
    <w:rsid w:val="003E2F1B"/>
    <w:rsid w:val="003E2F44"/>
    <w:rsid w:val="003E3090"/>
    <w:rsid w:val="003E30E0"/>
    <w:rsid w:val="003E341C"/>
    <w:rsid w:val="003E3580"/>
    <w:rsid w:val="003E3638"/>
    <w:rsid w:val="003E36E2"/>
    <w:rsid w:val="003E3D58"/>
    <w:rsid w:val="003E3F3B"/>
    <w:rsid w:val="003E3F68"/>
    <w:rsid w:val="003E4222"/>
    <w:rsid w:val="003E435D"/>
    <w:rsid w:val="003E44AA"/>
    <w:rsid w:val="003E461B"/>
    <w:rsid w:val="003E4729"/>
    <w:rsid w:val="003E474F"/>
    <w:rsid w:val="003E47DB"/>
    <w:rsid w:val="003E49ED"/>
    <w:rsid w:val="003E4A89"/>
    <w:rsid w:val="003E4B17"/>
    <w:rsid w:val="003E4B40"/>
    <w:rsid w:val="003E4B70"/>
    <w:rsid w:val="003E4BC1"/>
    <w:rsid w:val="003E4C49"/>
    <w:rsid w:val="003E4D24"/>
    <w:rsid w:val="003E4E18"/>
    <w:rsid w:val="003E50E7"/>
    <w:rsid w:val="003E52F8"/>
    <w:rsid w:val="003E5312"/>
    <w:rsid w:val="003E5350"/>
    <w:rsid w:val="003E53F7"/>
    <w:rsid w:val="003E56D6"/>
    <w:rsid w:val="003E5997"/>
    <w:rsid w:val="003E5B0D"/>
    <w:rsid w:val="003E5C6B"/>
    <w:rsid w:val="003E5DD6"/>
    <w:rsid w:val="003E5F1E"/>
    <w:rsid w:val="003E5F81"/>
    <w:rsid w:val="003E6015"/>
    <w:rsid w:val="003E6110"/>
    <w:rsid w:val="003E61F9"/>
    <w:rsid w:val="003E623A"/>
    <w:rsid w:val="003E625E"/>
    <w:rsid w:val="003E62C4"/>
    <w:rsid w:val="003E6387"/>
    <w:rsid w:val="003E65B0"/>
    <w:rsid w:val="003E667A"/>
    <w:rsid w:val="003E6688"/>
    <w:rsid w:val="003E66BE"/>
    <w:rsid w:val="003E67FE"/>
    <w:rsid w:val="003E6886"/>
    <w:rsid w:val="003E6ADF"/>
    <w:rsid w:val="003E6B29"/>
    <w:rsid w:val="003E6CBF"/>
    <w:rsid w:val="003E6F2A"/>
    <w:rsid w:val="003E7182"/>
    <w:rsid w:val="003E71E8"/>
    <w:rsid w:val="003E72D5"/>
    <w:rsid w:val="003E75DC"/>
    <w:rsid w:val="003E7680"/>
    <w:rsid w:val="003E76DF"/>
    <w:rsid w:val="003E7764"/>
    <w:rsid w:val="003E782F"/>
    <w:rsid w:val="003E79C8"/>
    <w:rsid w:val="003E79E2"/>
    <w:rsid w:val="003E7C5A"/>
    <w:rsid w:val="003E7D33"/>
    <w:rsid w:val="003E7EEE"/>
    <w:rsid w:val="003E7F7D"/>
    <w:rsid w:val="003F029F"/>
    <w:rsid w:val="003F03CA"/>
    <w:rsid w:val="003F0488"/>
    <w:rsid w:val="003F04D0"/>
    <w:rsid w:val="003F054D"/>
    <w:rsid w:val="003F06A0"/>
    <w:rsid w:val="003F07A9"/>
    <w:rsid w:val="003F07DC"/>
    <w:rsid w:val="003F07DE"/>
    <w:rsid w:val="003F07EE"/>
    <w:rsid w:val="003F08B6"/>
    <w:rsid w:val="003F0AA7"/>
    <w:rsid w:val="003F0B29"/>
    <w:rsid w:val="003F0D49"/>
    <w:rsid w:val="003F0DB3"/>
    <w:rsid w:val="003F0DEC"/>
    <w:rsid w:val="003F0E82"/>
    <w:rsid w:val="003F0F42"/>
    <w:rsid w:val="003F10D0"/>
    <w:rsid w:val="003F1198"/>
    <w:rsid w:val="003F1333"/>
    <w:rsid w:val="003F13B0"/>
    <w:rsid w:val="003F148B"/>
    <w:rsid w:val="003F17C5"/>
    <w:rsid w:val="003F17F3"/>
    <w:rsid w:val="003F180A"/>
    <w:rsid w:val="003F1857"/>
    <w:rsid w:val="003F19C6"/>
    <w:rsid w:val="003F1A0A"/>
    <w:rsid w:val="003F1C49"/>
    <w:rsid w:val="003F1CD2"/>
    <w:rsid w:val="003F1CE6"/>
    <w:rsid w:val="003F1D3D"/>
    <w:rsid w:val="003F1D97"/>
    <w:rsid w:val="003F1E6E"/>
    <w:rsid w:val="003F1E87"/>
    <w:rsid w:val="003F1F0E"/>
    <w:rsid w:val="003F20B2"/>
    <w:rsid w:val="003F236E"/>
    <w:rsid w:val="003F257D"/>
    <w:rsid w:val="003F283E"/>
    <w:rsid w:val="003F2843"/>
    <w:rsid w:val="003F284D"/>
    <w:rsid w:val="003F29C2"/>
    <w:rsid w:val="003F29DC"/>
    <w:rsid w:val="003F2B65"/>
    <w:rsid w:val="003F2C8A"/>
    <w:rsid w:val="003F2CD1"/>
    <w:rsid w:val="003F2E5C"/>
    <w:rsid w:val="003F2E9F"/>
    <w:rsid w:val="003F2EFA"/>
    <w:rsid w:val="003F32F1"/>
    <w:rsid w:val="003F3369"/>
    <w:rsid w:val="003F3522"/>
    <w:rsid w:val="003F3792"/>
    <w:rsid w:val="003F3834"/>
    <w:rsid w:val="003F3B1D"/>
    <w:rsid w:val="003F3FB8"/>
    <w:rsid w:val="003F3FEB"/>
    <w:rsid w:val="003F4161"/>
    <w:rsid w:val="003F4301"/>
    <w:rsid w:val="003F4410"/>
    <w:rsid w:val="003F4490"/>
    <w:rsid w:val="003F4504"/>
    <w:rsid w:val="003F4882"/>
    <w:rsid w:val="003F4988"/>
    <w:rsid w:val="003F4E72"/>
    <w:rsid w:val="003F4EE8"/>
    <w:rsid w:val="003F511B"/>
    <w:rsid w:val="003F514B"/>
    <w:rsid w:val="003F51C1"/>
    <w:rsid w:val="003F53BE"/>
    <w:rsid w:val="003F54B7"/>
    <w:rsid w:val="003F55EE"/>
    <w:rsid w:val="003F5753"/>
    <w:rsid w:val="003F5A40"/>
    <w:rsid w:val="003F5A45"/>
    <w:rsid w:val="003F5BD9"/>
    <w:rsid w:val="003F5BF0"/>
    <w:rsid w:val="003F5D56"/>
    <w:rsid w:val="003F6004"/>
    <w:rsid w:val="003F6135"/>
    <w:rsid w:val="003F634B"/>
    <w:rsid w:val="003F6371"/>
    <w:rsid w:val="003F671B"/>
    <w:rsid w:val="003F681D"/>
    <w:rsid w:val="003F6847"/>
    <w:rsid w:val="003F6886"/>
    <w:rsid w:val="003F6B43"/>
    <w:rsid w:val="003F6B75"/>
    <w:rsid w:val="003F6BD3"/>
    <w:rsid w:val="003F6BD9"/>
    <w:rsid w:val="003F6C33"/>
    <w:rsid w:val="003F6C85"/>
    <w:rsid w:val="003F6DE4"/>
    <w:rsid w:val="003F6E9B"/>
    <w:rsid w:val="003F7011"/>
    <w:rsid w:val="003F71F1"/>
    <w:rsid w:val="003F72EB"/>
    <w:rsid w:val="003F768F"/>
    <w:rsid w:val="003F7709"/>
    <w:rsid w:val="003F782A"/>
    <w:rsid w:val="003F79F0"/>
    <w:rsid w:val="003F7A66"/>
    <w:rsid w:val="003F7B72"/>
    <w:rsid w:val="003F7BDB"/>
    <w:rsid w:val="003F7E1D"/>
    <w:rsid w:val="003F7F69"/>
    <w:rsid w:val="003F7FBE"/>
    <w:rsid w:val="003F7FD3"/>
    <w:rsid w:val="00400075"/>
    <w:rsid w:val="0040012E"/>
    <w:rsid w:val="00400218"/>
    <w:rsid w:val="00400253"/>
    <w:rsid w:val="0040035B"/>
    <w:rsid w:val="00400401"/>
    <w:rsid w:val="00400495"/>
    <w:rsid w:val="00400565"/>
    <w:rsid w:val="004005C0"/>
    <w:rsid w:val="0040067A"/>
    <w:rsid w:val="004006A4"/>
    <w:rsid w:val="00400704"/>
    <w:rsid w:val="0040085C"/>
    <w:rsid w:val="0040086C"/>
    <w:rsid w:val="004008AD"/>
    <w:rsid w:val="00400A4C"/>
    <w:rsid w:val="00400C15"/>
    <w:rsid w:val="00400E96"/>
    <w:rsid w:val="00401078"/>
    <w:rsid w:val="0040133B"/>
    <w:rsid w:val="0040135E"/>
    <w:rsid w:val="00401370"/>
    <w:rsid w:val="00401385"/>
    <w:rsid w:val="004013AB"/>
    <w:rsid w:val="004014F7"/>
    <w:rsid w:val="00401613"/>
    <w:rsid w:val="004016B8"/>
    <w:rsid w:val="00401751"/>
    <w:rsid w:val="004017F1"/>
    <w:rsid w:val="00401837"/>
    <w:rsid w:val="004018FE"/>
    <w:rsid w:val="0040194B"/>
    <w:rsid w:val="00401BFA"/>
    <w:rsid w:val="00401C87"/>
    <w:rsid w:val="00401DDC"/>
    <w:rsid w:val="00402096"/>
    <w:rsid w:val="004021DC"/>
    <w:rsid w:val="004021F8"/>
    <w:rsid w:val="00402213"/>
    <w:rsid w:val="00402414"/>
    <w:rsid w:val="00402485"/>
    <w:rsid w:val="0040252F"/>
    <w:rsid w:val="004028F9"/>
    <w:rsid w:val="00402907"/>
    <w:rsid w:val="00402A18"/>
    <w:rsid w:val="00402C32"/>
    <w:rsid w:val="00402CF9"/>
    <w:rsid w:val="00402CFC"/>
    <w:rsid w:val="0040349B"/>
    <w:rsid w:val="004034B0"/>
    <w:rsid w:val="004037D3"/>
    <w:rsid w:val="0040380B"/>
    <w:rsid w:val="00403BA7"/>
    <w:rsid w:val="00403C08"/>
    <w:rsid w:val="00403C5E"/>
    <w:rsid w:val="00403CCF"/>
    <w:rsid w:val="00403CD1"/>
    <w:rsid w:val="00403DD6"/>
    <w:rsid w:val="00403DFB"/>
    <w:rsid w:val="00403E8F"/>
    <w:rsid w:val="00403EB1"/>
    <w:rsid w:val="00403EBA"/>
    <w:rsid w:val="00403F0C"/>
    <w:rsid w:val="004040B9"/>
    <w:rsid w:val="00404258"/>
    <w:rsid w:val="00404312"/>
    <w:rsid w:val="004044BC"/>
    <w:rsid w:val="004046E5"/>
    <w:rsid w:val="004047D9"/>
    <w:rsid w:val="00404996"/>
    <w:rsid w:val="004049C8"/>
    <w:rsid w:val="00404A1E"/>
    <w:rsid w:val="00404CB4"/>
    <w:rsid w:val="00404E0F"/>
    <w:rsid w:val="00404E32"/>
    <w:rsid w:val="00405013"/>
    <w:rsid w:val="00405072"/>
    <w:rsid w:val="0040547B"/>
    <w:rsid w:val="00405494"/>
    <w:rsid w:val="0040554C"/>
    <w:rsid w:val="004056E4"/>
    <w:rsid w:val="00405736"/>
    <w:rsid w:val="0040573A"/>
    <w:rsid w:val="004057E2"/>
    <w:rsid w:val="004057F0"/>
    <w:rsid w:val="0040584A"/>
    <w:rsid w:val="004058F3"/>
    <w:rsid w:val="00405A5F"/>
    <w:rsid w:val="00405BF7"/>
    <w:rsid w:val="00405D26"/>
    <w:rsid w:val="00405FC6"/>
    <w:rsid w:val="00405FD2"/>
    <w:rsid w:val="00405FE5"/>
    <w:rsid w:val="00406040"/>
    <w:rsid w:val="00406176"/>
    <w:rsid w:val="004063BD"/>
    <w:rsid w:val="00406477"/>
    <w:rsid w:val="004066F0"/>
    <w:rsid w:val="00406764"/>
    <w:rsid w:val="00406771"/>
    <w:rsid w:val="00406A82"/>
    <w:rsid w:val="00406C5C"/>
    <w:rsid w:val="00406E5D"/>
    <w:rsid w:val="00406F74"/>
    <w:rsid w:val="004071FD"/>
    <w:rsid w:val="00407594"/>
    <w:rsid w:val="004075A7"/>
    <w:rsid w:val="00407754"/>
    <w:rsid w:val="00407AA7"/>
    <w:rsid w:val="00407C3A"/>
    <w:rsid w:val="00407DDA"/>
    <w:rsid w:val="00407E83"/>
    <w:rsid w:val="00407FB4"/>
    <w:rsid w:val="00407FD7"/>
    <w:rsid w:val="004101A2"/>
    <w:rsid w:val="00410445"/>
    <w:rsid w:val="004109DB"/>
    <w:rsid w:val="004109EC"/>
    <w:rsid w:val="00410A85"/>
    <w:rsid w:val="00410B29"/>
    <w:rsid w:val="00410D7F"/>
    <w:rsid w:val="00410E69"/>
    <w:rsid w:val="0041123E"/>
    <w:rsid w:val="004112FE"/>
    <w:rsid w:val="004114F0"/>
    <w:rsid w:val="004114F8"/>
    <w:rsid w:val="0041169D"/>
    <w:rsid w:val="0041171A"/>
    <w:rsid w:val="00411851"/>
    <w:rsid w:val="004119AA"/>
    <w:rsid w:val="00411B37"/>
    <w:rsid w:val="00411BAE"/>
    <w:rsid w:val="00411C03"/>
    <w:rsid w:val="00411D0B"/>
    <w:rsid w:val="00411D5A"/>
    <w:rsid w:val="00411F71"/>
    <w:rsid w:val="00411FEA"/>
    <w:rsid w:val="00412255"/>
    <w:rsid w:val="00412280"/>
    <w:rsid w:val="0041229D"/>
    <w:rsid w:val="004123F7"/>
    <w:rsid w:val="004123FC"/>
    <w:rsid w:val="0041254D"/>
    <w:rsid w:val="004125EA"/>
    <w:rsid w:val="00412777"/>
    <w:rsid w:val="00412794"/>
    <w:rsid w:val="0041279B"/>
    <w:rsid w:val="00412823"/>
    <w:rsid w:val="00412B03"/>
    <w:rsid w:val="00412B2D"/>
    <w:rsid w:val="00412B3B"/>
    <w:rsid w:val="00412BFD"/>
    <w:rsid w:val="00412C2B"/>
    <w:rsid w:val="00412DC8"/>
    <w:rsid w:val="00412DED"/>
    <w:rsid w:val="00412EF4"/>
    <w:rsid w:val="00412F5F"/>
    <w:rsid w:val="00413391"/>
    <w:rsid w:val="004133C4"/>
    <w:rsid w:val="004134D7"/>
    <w:rsid w:val="004138EC"/>
    <w:rsid w:val="00413A8A"/>
    <w:rsid w:val="00413BA7"/>
    <w:rsid w:val="00413BC5"/>
    <w:rsid w:val="00413E09"/>
    <w:rsid w:val="00414002"/>
    <w:rsid w:val="0041400D"/>
    <w:rsid w:val="00414124"/>
    <w:rsid w:val="004143E0"/>
    <w:rsid w:val="0041443A"/>
    <w:rsid w:val="004144C8"/>
    <w:rsid w:val="0041452C"/>
    <w:rsid w:val="00414535"/>
    <w:rsid w:val="004145DC"/>
    <w:rsid w:val="00414798"/>
    <w:rsid w:val="00414BC0"/>
    <w:rsid w:val="00414BCA"/>
    <w:rsid w:val="00414CA8"/>
    <w:rsid w:val="00414DFB"/>
    <w:rsid w:val="00414F5F"/>
    <w:rsid w:val="00415085"/>
    <w:rsid w:val="004150D8"/>
    <w:rsid w:val="004151DD"/>
    <w:rsid w:val="00415807"/>
    <w:rsid w:val="0041580C"/>
    <w:rsid w:val="004158EF"/>
    <w:rsid w:val="00415A5F"/>
    <w:rsid w:val="00415C3E"/>
    <w:rsid w:val="00415F5E"/>
    <w:rsid w:val="00416079"/>
    <w:rsid w:val="004160AF"/>
    <w:rsid w:val="004161FD"/>
    <w:rsid w:val="00416241"/>
    <w:rsid w:val="00416270"/>
    <w:rsid w:val="0041630C"/>
    <w:rsid w:val="00416470"/>
    <w:rsid w:val="00416539"/>
    <w:rsid w:val="0041676B"/>
    <w:rsid w:val="004167A1"/>
    <w:rsid w:val="00416817"/>
    <w:rsid w:val="00416915"/>
    <w:rsid w:val="00416922"/>
    <w:rsid w:val="00416A9F"/>
    <w:rsid w:val="00416B71"/>
    <w:rsid w:val="00416B96"/>
    <w:rsid w:val="00416C28"/>
    <w:rsid w:val="00416C62"/>
    <w:rsid w:val="0041703A"/>
    <w:rsid w:val="0041704D"/>
    <w:rsid w:val="00417270"/>
    <w:rsid w:val="00417595"/>
    <w:rsid w:val="004178D1"/>
    <w:rsid w:val="00417966"/>
    <w:rsid w:val="00417A77"/>
    <w:rsid w:val="00417FCA"/>
    <w:rsid w:val="004202BF"/>
    <w:rsid w:val="004202C9"/>
    <w:rsid w:val="0042035D"/>
    <w:rsid w:val="00420463"/>
    <w:rsid w:val="0042051E"/>
    <w:rsid w:val="00420843"/>
    <w:rsid w:val="004208DE"/>
    <w:rsid w:val="00420922"/>
    <w:rsid w:val="00420A18"/>
    <w:rsid w:val="00420A1F"/>
    <w:rsid w:val="00420AF2"/>
    <w:rsid w:val="00420B99"/>
    <w:rsid w:val="00420D7C"/>
    <w:rsid w:val="00420E3E"/>
    <w:rsid w:val="00421071"/>
    <w:rsid w:val="0042121E"/>
    <w:rsid w:val="00421276"/>
    <w:rsid w:val="004212B3"/>
    <w:rsid w:val="0042133A"/>
    <w:rsid w:val="004213C5"/>
    <w:rsid w:val="004214E5"/>
    <w:rsid w:val="00421517"/>
    <w:rsid w:val="00421721"/>
    <w:rsid w:val="0042189E"/>
    <w:rsid w:val="004219BE"/>
    <w:rsid w:val="00421B24"/>
    <w:rsid w:val="00421C81"/>
    <w:rsid w:val="00421D79"/>
    <w:rsid w:val="00421F06"/>
    <w:rsid w:val="00422125"/>
    <w:rsid w:val="00422274"/>
    <w:rsid w:val="00422341"/>
    <w:rsid w:val="004223E9"/>
    <w:rsid w:val="0042244D"/>
    <w:rsid w:val="00422521"/>
    <w:rsid w:val="0042252C"/>
    <w:rsid w:val="00422595"/>
    <w:rsid w:val="00422638"/>
    <w:rsid w:val="004226FA"/>
    <w:rsid w:val="00422728"/>
    <w:rsid w:val="00422775"/>
    <w:rsid w:val="004227A3"/>
    <w:rsid w:val="004227A9"/>
    <w:rsid w:val="004229FF"/>
    <w:rsid w:val="00422B6C"/>
    <w:rsid w:val="00422C57"/>
    <w:rsid w:val="00423314"/>
    <w:rsid w:val="0042331F"/>
    <w:rsid w:val="0042395D"/>
    <w:rsid w:val="004239A7"/>
    <w:rsid w:val="004239DC"/>
    <w:rsid w:val="00423C42"/>
    <w:rsid w:val="00423D32"/>
    <w:rsid w:val="00423E97"/>
    <w:rsid w:val="004240BF"/>
    <w:rsid w:val="004241A7"/>
    <w:rsid w:val="0042425D"/>
    <w:rsid w:val="00424480"/>
    <w:rsid w:val="00424975"/>
    <w:rsid w:val="0042499B"/>
    <w:rsid w:val="00424B2A"/>
    <w:rsid w:val="00424D08"/>
    <w:rsid w:val="00424DFC"/>
    <w:rsid w:val="00424E05"/>
    <w:rsid w:val="0042503A"/>
    <w:rsid w:val="00425043"/>
    <w:rsid w:val="004250E5"/>
    <w:rsid w:val="004251C8"/>
    <w:rsid w:val="00425319"/>
    <w:rsid w:val="00425458"/>
    <w:rsid w:val="004256FE"/>
    <w:rsid w:val="0042581D"/>
    <w:rsid w:val="00425B77"/>
    <w:rsid w:val="00425DBC"/>
    <w:rsid w:val="00425E11"/>
    <w:rsid w:val="00425E71"/>
    <w:rsid w:val="0042601D"/>
    <w:rsid w:val="0042608B"/>
    <w:rsid w:val="004261D3"/>
    <w:rsid w:val="00426315"/>
    <w:rsid w:val="004267C6"/>
    <w:rsid w:val="00426836"/>
    <w:rsid w:val="0042689D"/>
    <w:rsid w:val="004268BC"/>
    <w:rsid w:val="0042696B"/>
    <w:rsid w:val="00426E45"/>
    <w:rsid w:val="00426F15"/>
    <w:rsid w:val="00426FA6"/>
    <w:rsid w:val="004271AD"/>
    <w:rsid w:val="004271E0"/>
    <w:rsid w:val="00427371"/>
    <w:rsid w:val="00427441"/>
    <w:rsid w:val="00427449"/>
    <w:rsid w:val="00427634"/>
    <w:rsid w:val="00427842"/>
    <w:rsid w:val="0042787E"/>
    <w:rsid w:val="00427957"/>
    <w:rsid w:val="00427B86"/>
    <w:rsid w:val="00427DE3"/>
    <w:rsid w:val="00427E45"/>
    <w:rsid w:val="00427E46"/>
    <w:rsid w:val="004301A4"/>
    <w:rsid w:val="0043025B"/>
    <w:rsid w:val="00430462"/>
    <w:rsid w:val="00430659"/>
    <w:rsid w:val="00430670"/>
    <w:rsid w:val="004306A8"/>
    <w:rsid w:val="004306E3"/>
    <w:rsid w:val="0043071B"/>
    <w:rsid w:val="004308DA"/>
    <w:rsid w:val="004309AF"/>
    <w:rsid w:val="00430C50"/>
    <w:rsid w:val="00430C92"/>
    <w:rsid w:val="00430CCE"/>
    <w:rsid w:val="00430CE2"/>
    <w:rsid w:val="00430E01"/>
    <w:rsid w:val="00430F87"/>
    <w:rsid w:val="004310BC"/>
    <w:rsid w:val="004310C7"/>
    <w:rsid w:val="00431102"/>
    <w:rsid w:val="00431189"/>
    <w:rsid w:val="00431314"/>
    <w:rsid w:val="00431392"/>
    <w:rsid w:val="004313EF"/>
    <w:rsid w:val="00431442"/>
    <w:rsid w:val="004314BF"/>
    <w:rsid w:val="004317FE"/>
    <w:rsid w:val="00431850"/>
    <w:rsid w:val="0043187B"/>
    <w:rsid w:val="0043192E"/>
    <w:rsid w:val="00431C23"/>
    <w:rsid w:val="00431C55"/>
    <w:rsid w:val="00431D2B"/>
    <w:rsid w:val="00431E76"/>
    <w:rsid w:val="0043201F"/>
    <w:rsid w:val="004320ED"/>
    <w:rsid w:val="004321F4"/>
    <w:rsid w:val="004322B4"/>
    <w:rsid w:val="004322CD"/>
    <w:rsid w:val="0043239A"/>
    <w:rsid w:val="00432508"/>
    <w:rsid w:val="00432754"/>
    <w:rsid w:val="004328D5"/>
    <w:rsid w:val="00432982"/>
    <w:rsid w:val="004329BD"/>
    <w:rsid w:val="00432ACE"/>
    <w:rsid w:val="00432B01"/>
    <w:rsid w:val="00432B60"/>
    <w:rsid w:val="00432CEE"/>
    <w:rsid w:val="00432DBA"/>
    <w:rsid w:val="00432EBD"/>
    <w:rsid w:val="00433145"/>
    <w:rsid w:val="00433242"/>
    <w:rsid w:val="0043324F"/>
    <w:rsid w:val="004332A7"/>
    <w:rsid w:val="004332EC"/>
    <w:rsid w:val="00433315"/>
    <w:rsid w:val="00433472"/>
    <w:rsid w:val="00433592"/>
    <w:rsid w:val="00433835"/>
    <w:rsid w:val="00433877"/>
    <w:rsid w:val="004338B1"/>
    <w:rsid w:val="00433905"/>
    <w:rsid w:val="00433908"/>
    <w:rsid w:val="00433995"/>
    <w:rsid w:val="00433B1A"/>
    <w:rsid w:val="00433D50"/>
    <w:rsid w:val="00433E27"/>
    <w:rsid w:val="0043406C"/>
    <w:rsid w:val="00434190"/>
    <w:rsid w:val="0043444D"/>
    <w:rsid w:val="004344BA"/>
    <w:rsid w:val="004344F9"/>
    <w:rsid w:val="0043456A"/>
    <w:rsid w:val="0043463D"/>
    <w:rsid w:val="004347D7"/>
    <w:rsid w:val="0043488E"/>
    <w:rsid w:val="00434890"/>
    <w:rsid w:val="00434C2D"/>
    <w:rsid w:val="00434EA5"/>
    <w:rsid w:val="004350C0"/>
    <w:rsid w:val="00435197"/>
    <w:rsid w:val="004351B1"/>
    <w:rsid w:val="00435411"/>
    <w:rsid w:val="00435534"/>
    <w:rsid w:val="004355F0"/>
    <w:rsid w:val="00435685"/>
    <w:rsid w:val="00435837"/>
    <w:rsid w:val="00435864"/>
    <w:rsid w:val="004358A7"/>
    <w:rsid w:val="00435973"/>
    <w:rsid w:val="004359AD"/>
    <w:rsid w:val="00435AF6"/>
    <w:rsid w:val="00435BFE"/>
    <w:rsid w:val="00435EAA"/>
    <w:rsid w:val="0043620E"/>
    <w:rsid w:val="004363A9"/>
    <w:rsid w:val="0043653C"/>
    <w:rsid w:val="00436654"/>
    <w:rsid w:val="0043667B"/>
    <w:rsid w:val="00436748"/>
    <w:rsid w:val="00436795"/>
    <w:rsid w:val="0043681B"/>
    <w:rsid w:val="0043697F"/>
    <w:rsid w:val="00436A19"/>
    <w:rsid w:val="00436B40"/>
    <w:rsid w:val="00436ED0"/>
    <w:rsid w:val="00436F2D"/>
    <w:rsid w:val="0043708E"/>
    <w:rsid w:val="004370A6"/>
    <w:rsid w:val="004370DF"/>
    <w:rsid w:val="004371C9"/>
    <w:rsid w:val="00437649"/>
    <w:rsid w:val="004377C5"/>
    <w:rsid w:val="0043784A"/>
    <w:rsid w:val="00437864"/>
    <w:rsid w:val="004378DD"/>
    <w:rsid w:val="00437B1D"/>
    <w:rsid w:val="00437C04"/>
    <w:rsid w:val="00437E1E"/>
    <w:rsid w:val="004400EA"/>
    <w:rsid w:val="00440234"/>
    <w:rsid w:val="00440277"/>
    <w:rsid w:val="0044050B"/>
    <w:rsid w:val="004405EE"/>
    <w:rsid w:val="00440644"/>
    <w:rsid w:val="00440893"/>
    <w:rsid w:val="00440936"/>
    <w:rsid w:val="00440BE1"/>
    <w:rsid w:val="00440CC9"/>
    <w:rsid w:val="00440E4A"/>
    <w:rsid w:val="00440E6A"/>
    <w:rsid w:val="00440F95"/>
    <w:rsid w:val="00440F97"/>
    <w:rsid w:val="00441042"/>
    <w:rsid w:val="0044112D"/>
    <w:rsid w:val="0044115F"/>
    <w:rsid w:val="0044116F"/>
    <w:rsid w:val="004411C0"/>
    <w:rsid w:val="00441471"/>
    <w:rsid w:val="004415B8"/>
    <w:rsid w:val="0044177B"/>
    <w:rsid w:val="004417F6"/>
    <w:rsid w:val="004418F3"/>
    <w:rsid w:val="004419D1"/>
    <w:rsid w:val="00441A61"/>
    <w:rsid w:val="00441BDB"/>
    <w:rsid w:val="00441ED8"/>
    <w:rsid w:val="00441FE0"/>
    <w:rsid w:val="00442061"/>
    <w:rsid w:val="004422FB"/>
    <w:rsid w:val="004425BD"/>
    <w:rsid w:val="0044264F"/>
    <w:rsid w:val="00442776"/>
    <w:rsid w:val="004428AE"/>
    <w:rsid w:val="00442B27"/>
    <w:rsid w:val="00442B5E"/>
    <w:rsid w:val="00442C78"/>
    <w:rsid w:val="00442F20"/>
    <w:rsid w:val="00442FCF"/>
    <w:rsid w:val="004430AB"/>
    <w:rsid w:val="004431E0"/>
    <w:rsid w:val="00443226"/>
    <w:rsid w:val="00443257"/>
    <w:rsid w:val="00443269"/>
    <w:rsid w:val="00443271"/>
    <w:rsid w:val="0044345C"/>
    <w:rsid w:val="0044359E"/>
    <w:rsid w:val="004435A8"/>
    <w:rsid w:val="004438AB"/>
    <w:rsid w:val="004439CA"/>
    <w:rsid w:val="00443B80"/>
    <w:rsid w:val="00443C34"/>
    <w:rsid w:val="00443E27"/>
    <w:rsid w:val="00443FDD"/>
    <w:rsid w:val="00444109"/>
    <w:rsid w:val="00444651"/>
    <w:rsid w:val="004446D4"/>
    <w:rsid w:val="00444724"/>
    <w:rsid w:val="00444742"/>
    <w:rsid w:val="004447AC"/>
    <w:rsid w:val="0044492E"/>
    <w:rsid w:val="00444959"/>
    <w:rsid w:val="0044497C"/>
    <w:rsid w:val="00444A4B"/>
    <w:rsid w:val="00444A6E"/>
    <w:rsid w:val="00444D77"/>
    <w:rsid w:val="00444DCC"/>
    <w:rsid w:val="00444E1D"/>
    <w:rsid w:val="00444E50"/>
    <w:rsid w:val="00444EAA"/>
    <w:rsid w:val="00444FF3"/>
    <w:rsid w:val="00445021"/>
    <w:rsid w:val="00445390"/>
    <w:rsid w:val="0044586F"/>
    <w:rsid w:val="00445886"/>
    <w:rsid w:val="004459BE"/>
    <w:rsid w:val="00445B11"/>
    <w:rsid w:val="00445CF6"/>
    <w:rsid w:val="00445FEA"/>
    <w:rsid w:val="00445FEB"/>
    <w:rsid w:val="004464EB"/>
    <w:rsid w:val="00446621"/>
    <w:rsid w:val="004466D0"/>
    <w:rsid w:val="004467C2"/>
    <w:rsid w:val="0044688E"/>
    <w:rsid w:val="00446929"/>
    <w:rsid w:val="00446E54"/>
    <w:rsid w:val="0044726E"/>
    <w:rsid w:val="004472F0"/>
    <w:rsid w:val="0044748E"/>
    <w:rsid w:val="004475F5"/>
    <w:rsid w:val="0044771E"/>
    <w:rsid w:val="00447910"/>
    <w:rsid w:val="00447BD2"/>
    <w:rsid w:val="00447D75"/>
    <w:rsid w:val="00447F27"/>
    <w:rsid w:val="0045007C"/>
    <w:rsid w:val="0045017C"/>
    <w:rsid w:val="00450199"/>
    <w:rsid w:val="0045025D"/>
    <w:rsid w:val="00450817"/>
    <w:rsid w:val="00450C20"/>
    <w:rsid w:val="00450C3D"/>
    <w:rsid w:val="00450C5E"/>
    <w:rsid w:val="00451068"/>
    <w:rsid w:val="004510AD"/>
    <w:rsid w:val="00451459"/>
    <w:rsid w:val="00451567"/>
    <w:rsid w:val="004515DE"/>
    <w:rsid w:val="004515E3"/>
    <w:rsid w:val="004517E2"/>
    <w:rsid w:val="004518BC"/>
    <w:rsid w:val="004519F0"/>
    <w:rsid w:val="00451AB8"/>
    <w:rsid w:val="00451AEE"/>
    <w:rsid w:val="00451B3F"/>
    <w:rsid w:val="00452034"/>
    <w:rsid w:val="0045212D"/>
    <w:rsid w:val="0045215A"/>
    <w:rsid w:val="004521A9"/>
    <w:rsid w:val="004521F4"/>
    <w:rsid w:val="004522C2"/>
    <w:rsid w:val="004523E7"/>
    <w:rsid w:val="004528A1"/>
    <w:rsid w:val="004529C1"/>
    <w:rsid w:val="004529FB"/>
    <w:rsid w:val="00452DD3"/>
    <w:rsid w:val="00452E30"/>
    <w:rsid w:val="00452EAE"/>
    <w:rsid w:val="00452F1C"/>
    <w:rsid w:val="00452F27"/>
    <w:rsid w:val="00452F2F"/>
    <w:rsid w:val="00452FC2"/>
    <w:rsid w:val="004532AC"/>
    <w:rsid w:val="004534A5"/>
    <w:rsid w:val="00453560"/>
    <w:rsid w:val="004536B2"/>
    <w:rsid w:val="004536B5"/>
    <w:rsid w:val="004536DC"/>
    <w:rsid w:val="0045374D"/>
    <w:rsid w:val="004537AF"/>
    <w:rsid w:val="00453AAC"/>
    <w:rsid w:val="00453BFA"/>
    <w:rsid w:val="00453D8B"/>
    <w:rsid w:val="00454003"/>
    <w:rsid w:val="004540EE"/>
    <w:rsid w:val="004541CF"/>
    <w:rsid w:val="0045423E"/>
    <w:rsid w:val="00454267"/>
    <w:rsid w:val="0045432D"/>
    <w:rsid w:val="00454385"/>
    <w:rsid w:val="00454458"/>
    <w:rsid w:val="00454506"/>
    <w:rsid w:val="0045471B"/>
    <w:rsid w:val="00454804"/>
    <w:rsid w:val="00454886"/>
    <w:rsid w:val="00454943"/>
    <w:rsid w:val="00454A3B"/>
    <w:rsid w:val="00454A6E"/>
    <w:rsid w:val="00454A78"/>
    <w:rsid w:val="00454B21"/>
    <w:rsid w:val="00454CA4"/>
    <w:rsid w:val="00454CF6"/>
    <w:rsid w:val="00455021"/>
    <w:rsid w:val="00455155"/>
    <w:rsid w:val="0045539F"/>
    <w:rsid w:val="004553E5"/>
    <w:rsid w:val="0045545C"/>
    <w:rsid w:val="004555B5"/>
    <w:rsid w:val="004555FC"/>
    <w:rsid w:val="0045563C"/>
    <w:rsid w:val="00455673"/>
    <w:rsid w:val="00455682"/>
    <w:rsid w:val="004558E6"/>
    <w:rsid w:val="00455A05"/>
    <w:rsid w:val="00455BC5"/>
    <w:rsid w:val="00455E53"/>
    <w:rsid w:val="0045624B"/>
    <w:rsid w:val="0045629F"/>
    <w:rsid w:val="00456501"/>
    <w:rsid w:val="0045664C"/>
    <w:rsid w:val="004567C4"/>
    <w:rsid w:val="00456802"/>
    <w:rsid w:val="00456983"/>
    <w:rsid w:val="00456DA6"/>
    <w:rsid w:val="00456E4B"/>
    <w:rsid w:val="00456E8F"/>
    <w:rsid w:val="00456F26"/>
    <w:rsid w:val="004571F8"/>
    <w:rsid w:val="004572F0"/>
    <w:rsid w:val="00457596"/>
    <w:rsid w:val="00457654"/>
    <w:rsid w:val="004578C5"/>
    <w:rsid w:val="00457C0B"/>
    <w:rsid w:val="00460056"/>
    <w:rsid w:val="00460290"/>
    <w:rsid w:val="0046043A"/>
    <w:rsid w:val="00460832"/>
    <w:rsid w:val="004609E9"/>
    <w:rsid w:val="00460CE0"/>
    <w:rsid w:val="00460D14"/>
    <w:rsid w:val="00460E91"/>
    <w:rsid w:val="00460F1D"/>
    <w:rsid w:val="0046116E"/>
    <w:rsid w:val="0046116F"/>
    <w:rsid w:val="004611D4"/>
    <w:rsid w:val="004611F3"/>
    <w:rsid w:val="00461336"/>
    <w:rsid w:val="0046143D"/>
    <w:rsid w:val="0046147D"/>
    <w:rsid w:val="004614E5"/>
    <w:rsid w:val="00461638"/>
    <w:rsid w:val="00461759"/>
    <w:rsid w:val="0046181D"/>
    <w:rsid w:val="00461B31"/>
    <w:rsid w:val="00461D24"/>
    <w:rsid w:val="00461D9C"/>
    <w:rsid w:val="00461EBB"/>
    <w:rsid w:val="004620AE"/>
    <w:rsid w:val="004621E6"/>
    <w:rsid w:val="004623DC"/>
    <w:rsid w:val="004625A5"/>
    <w:rsid w:val="004628C1"/>
    <w:rsid w:val="004628CF"/>
    <w:rsid w:val="00462930"/>
    <w:rsid w:val="00462F98"/>
    <w:rsid w:val="00463062"/>
    <w:rsid w:val="004631A2"/>
    <w:rsid w:val="004631CE"/>
    <w:rsid w:val="00463246"/>
    <w:rsid w:val="00463781"/>
    <w:rsid w:val="004638AE"/>
    <w:rsid w:val="00463D0D"/>
    <w:rsid w:val="00464142"/>
    <w:rsid w:val="004641B1"/>
    <w:rsid w:val="004641C5"/>
    <w:rsid w:val="004643A2"/>
    <w:rsid w:val="004645ED"/>
    <w:rsid w:val="00464831"/>
    <w:rsid w:val="00464905"/>
    <w:rsid w:val="00464996"/>
    <w:rsid w:val="00464A2D"/>
    <w:rsid w:val="00464B29"/>
    <w:rsid w:val="00464BE9"/>
    <w:rsid w:val="00464C3A"/>
    <w:rsid w:val="00464C3B"/>
    <w:rsid w:val="00464CCA"/>
    <w:rsid w:val="00464EE1"/>
    <w:rsid w:val="00464F08"/>
    <w:rsid w:val="00465087"/>
    <w:rsid w:val="00465149"/>
    <w:rsid w:val="00465185"/>
    <w:rsid w:val="004651E5"/>
    <w:rsid w:val="004655C9"/>
    <w:rsid w:val="004657F5"/>
    <w:rsid w:val="00465A14"/>
    <w:rsid w:val="00465A41"/>
    <w:rsid w:val="00465AF5"/>
    <w:rsid w:val="00465B30"/>
    <w:rsid w:val="00465BE2"/>
    <w:rsid w:val="00465CB4"/>
    <w:rsid w:val="00465F2C"/>
    <w:rsid w:val="00465FAE"/>
    <w:rsid w:val="00466000"/>
    <w:rsid w:val="00466016"/>
    <w:rsid w:val="00466165"/>
    <w:rsid w:val="004666AA"/>
    <w:rsid w:val="004666BD"/>
    <w:rsid w:val="00466898"/>
    <w:rsid w:val="0046692D"/>
    <w:rsid w:val="00466A83"/>
    <w:rsid w:val="00466ABD"/>
    <w:rsid w:val="00466AF8"/>
    <w:rsid w:val="00466B98"/>
    <w:rsid w:val="00466DA5"/>
    <w:rsid w:val="00466DDE"/>
    <w:rsid w:val="00466FC3"/>
    <w:rsid w:val="0046708B"/>
    <w:rsid w:val="004671BF"/>
    <w:rsid w:val="004673A6"/>
    <w:rsid w:val="004673AE"/>
    <w:rsid w:val="00467420"/>
    <w:rsid w:val="00467440"/>
    <w:rsid w:val="00467487"/>
    <w:rsid w:val="004675E5"/>
    <w:rsid w:val="00467602"/>
    <w:rsid w:val="0046762B"/>
    <w:rsid w:val="00467850"/>
    <w:rsid w:val="004678D2"/>
    <w:rsid w:val="004679C0"/>
    <w:rsid w:val="00467A41"/>
    <w:rsid w:val="00467C01"/>
    <w:rsid w:val="00467F21"/>
    <w:rsid w:val="0047003B"/>
    <w:rsid w:val="00470158"/>
    <w:rsid w:val="0047023E"/>
    <w:rsid w:val="004704D2"/>
    <w:rsid w:val="00470976"/>
    <w:rsid w:val="00470AED"/>
    <w:rsid w:val="00470B0D"/>
    <w:rsid w:val="00470BD9"/>
    <w:rsid w:val="00470C4F"/>
    <w:rsid w:val="00470E34"/>
    <w:rsid w:val="0047101C"/>
    <w:rsid w:val="004710B8"/>
    <w:rsid w:val="00471259"/>
    <w:rsid w:val="004713C0"/>
    <w:rsid w:val="004715DF"/>
    <w:rsid w:val="0047166D"/>
    <w:rsid w:val="00471734"/>
    <w:rsid w:val="0047175D"/>
    <w:rsid w:val="00471BFE"/>
    <w:rsid w:val="00471CCF"/>
    <w:rsid w:val="00471EF2"/>
    <w:rsid w:val="00471EF9"/>
    <w:rsid w:val="0047202A"/>
    <w:rsid w:val="0047203C"/>
    <w:rsid w:val="004720A7"/>
    <w:rsid w:val="00472328"/>
    <w:rsid w:val="00472558"/>
    <w:rsid w:val="004725A4"/>
    <w:rsid w:val="0047267B"/>
    <w:rsid w:val="0047278C"/>
    <w:rsid w:val="00472981"/>
    <w:rsid w:val="00472A39"/>
    <w:rsid w:val="00472BA3"/>
    <w:rsid w:val="00472BE3"/>
    <w:rsid w:val="00472BF6"/>
    <w:rsid w:val="00472C48"/>
    <w:rsid w:val="00472D69"/>
    <w:rsid w:val="00472D7F"/>
    <w:rsid w:val="00472EEF"/>
    <w:rsid w:val="00472F3A"/>
    <w:rsid w:val="004730AA"/>
    <w:rsid w:val="00473145"/>
    <w:rsid w:val="00473222"/>
    <w:rsid w:val="0047332B"/>
    <w:rsid w:val="0047343C"/>
    <w:rsid w:val="00473499"/>
    <w:rsid w:val="004734BE"/>
    <w:rsid w:val="004735AA"/>
    <w:rsid w:val="004736C8"/>
    <w:rsid w:val="004736F4"/>
    <w:rsid w:val="00473787"/>
    <w:rsid w:val="004737D6"/>
    <w:rsid w:val="00473836"/>
    <w:rsid w:val="004739C9"/>
    <w:rsid w:val="00473A7A"/>
    <w:rsid w:val="00473B95"/>
    <w:rsid w:val="00473D32"/>
    <w:rsid w:val="00473FC6"/>
    <w:rsid w:val="004740F2"/>
    <w:rsid w:val="0047431A"/>
    <w:rsid w:val="004743F0"/>
    <w:rsid w:val="004745E0"/>
    <w:rsid w:val="004747E1"/>
    <w:rsid w:val="00474806"/>
    <w:rsid w:val="0047495A"/>
    <w:rsid w:val="00474C94"/>
    <w:rsid w:val="00474CB8"/>
    <w:rsid w:val="00474F30"/>
    <w:rsid w:val="00474F39"/>
    <w:rsid w:val="00474F71"/>
    <w:rsid w:val="00475108"/>
    <w:rsid w:val="00475160"/>
    <w:rsid w:val="004751A5"/>
    <w:rsid w:val="004751CA"/>
    <w:rsid w:val="00475232"/>
    <w:rsid w:val="0047530A"/>
    <w:rsid w:val="0047539C"/>
    <w:rsid w:val="004753C8"/>
    <w:rsid w:val="0047566B"/>
    <w:rsid w:val="004756FE"/>
    <w:rsid w:val="00475751"/>
    <w:rsid w:val="004759CE"/>
    <w:rsid w:val="00475D91"/>
    <w:rsid w:val="00475FA6"/>
    <w:rsid w:val="00476155"/>
    <w:rsid w:val="00476363"/>
    <w:rsid w:val="0047651F"/>
    <w:rsid w:val="004766B7"/>
    <w:rsid w:val="00476718"/>
    <w:rsid w:val="00476751"/>
    <w:rsid w:val="0047692A"/>
    <w:rsid w:val="004769B3"/>
    <w:rsid w:val="00476B95"/>
    <w:rsid w:val="00476F2E"/>
    <w:rsid w:val="00476F35"/>
    <w:rsid w:val="00477230"/>
    <w:rsid w:val="0047723A"/>
    <w:rsid w:val="004772EB"/>
    <w:rsid w:val="0047740B"/>
    <w:rsid w:val="0047744C"/>
    <w:rsid w:val="004774A9"/>
    <w:rsid w:val="004775E8"/>
    <w:rsid w:val="00477674"/>
    <w:rsid w:val="0047782F"/>
    <w:rsid w:val="0047790B"/>
    <w:rsid w:val="0047794D"/>
    <w:rsid w:val="00477971"/>
    <w:rsid w:val="00477AF6"/>
    <w:rsid w:val="00477B00"/>
    <w:rsid w:val="00477C55"/>
    <w:rsid w:val="00477DB6"/>
    <w:rsid w:val="00477E38"/>
    <w:rsid w:val="0048030C"/>
    <w:rsid w:val="00480338"/>
    <w:rsid w:val="0048039D"/>
    <w:rsid w:val="00480773"/>
    <w:rsid w:val="004809D3"/>
    <w:rsid w:val="00480BEC"/>
    <w:rsid w:val="00480D51"/>
    <w:rsid w:val="00480DA1"/>
    <w:rsid w:val="00480DAC"/>
    <w:rsid w:val="00480F02"/>
    <w:rsid w:val="0048103B"/>
    <w:rsid w:val="00481101"/>
    <w:rsid w:val="0048123A"/>
    <w:rsid w:val="0048126E"/>
    <w:rsid w:val="0048127A"/>
    <w:rsid w:val="00481286"/>
    <w:rsid w:val="0048149A"/>
    <w:rsid w:val="00481503"/>
    <w:rsid w:val="0048158F"/>
    <w:rsid w:val="0048159A"/>
    <w:rsid w:val="0048165A"/>
    <w:rsid w:val="00481660"/>
    <w:rsid w:val="00481808"/>
    <w:rsid w:val="004818F5"/>
    <w:rsid w:val="00481915"/>
    <w:rsid w:val="00481C0D"/>
    <w:rsid w:val="00481C1D"/>
    <w:rsid w:val="00481D2A"/>
    <w:rsid w:val="00481DB9"/>
    <w:rsid w:val="00481E93"/>
    <w:rsid w:val="00482086"/>
    <w:rsid w:val="004820EC"/>
    <w:rsid w:val="004821E3"/>
    <w:rsid w:val="004823DF"/>
    <w:rsid w:val="004827C6"/>
    <w:rsid w:val="00482A65"/>
    <w:rsid w:val="00482CF4"/>
    <w:rsid w:val="00482DF1"/>
    <w:rsid w:val="00482EE3"/>
    <w:rsid w:val="00482F0E"/>
    <w:rsid w:val="00482FDB"/>
    <w:rsid w:val="00482FEE"/>
    <w:rsid w:val="00483028"/>
    <w:rsid w:val="00483043"/>
    <w:rsid w:val="00483057"/>
    <w:rsid w:val="004830B1"/>
    <w:rsid w:val="00483128"/>
    <w:rsid w:val="00483285"/>
    <w:rsid w:val="00483365"/>
    <w:rsid w:val="004833CA"/>
    <w:rsid w:val="004834A3"/>
    <w:rsid w:val="00483770"/>
    <w:rsid w:val="0048387D"/>
    <w:rsid w:val="00483B4A"/>
    <w:rsid w:val="00483C63"/>
    <w:rsid w:val="00483CE5"/>
    <w:rsid w:val="00483D2B"/>
    <w:rsid w:val="00483E34"/>
    <w:rsid w:val="00483E89"/>
    <w:rsid w:val="004841FB"/>
    <w:rsid w:val="00484233"/>
    <w:rsid w:val="00484237"/>
    <w:rsid w:val="00484279"/>
    <w:rsid w:val="0048445D"/>
    <w:rsid w:val="0048447C"/>
    <w:rsid w:val="00484969"/>
    <w:rsid w:val="00484AAE"/>
    <w:rsid w:val="00484AE8"/>
    <w:rsid w:val="00484CC5"/>
    <w:rsid w:val="00484F1A"/>
    <w:rsid w:val="00485148"/>
    <w:rsid w:val="00485168"/>
    <w:rsid w:val="00485275"/>
    <w:rsid w:val="004852CA"/>
    <w:rsid w:val="00485461"/>
    <w:rsid w:val="0048589F"/>
    <w:rsid w:val="00485A8D"/>
    <w:rsid w:val="00485C06"/>
    <w:rsid w:val="00485ED8"/>
    <w:rsid w:val="004861BA"/>
    <w:rsid w:val="004861D7"/>
    <w:rsid w:val="004862BD"/>
    <w:rsid w:val="004864FF"/>
    <w:rsid w:val="0048653E"/>
    <w:rsid w:val="0048658E"/>
    <w:rsid w:val="0048661B"/>
    <w:rsid w:val="0048680F"/>
    <w:rsid w:val="00486818"/>
    <w:rsid w:val="004869D1"/>
    <w:rsid w:val="00486A3B"/>
    <w:rsid w:val="00486A73"/>
    <w:rsid w:val="0048703C"/>
    <w:rsid w:val="004870FD"/>
    <w:rsid w:val="0048713D"/>
    <w:rsid w:val="004871BE"/>
    <w:rsid w:val="0048740C"/>
    <w:rsid w:val="00487663"/>
    <w:rsid w:val="004877C3"/>
    <w:rsid w:val="004878AA"/>
    <w:rsid w:val="004878E7"/>
    <w:rsid w:val="00487B1B"/>
    <w:rsid w:val="00487C25"/>
    <w:rsid w:val="00487C81"/>
    <w:rsid w:val="00487DAC"/>
    <w:rsid w:val="00487EFF"/>
    <w:rsid w:val="0049005D"/>
    <w:rsid w:val="0049022F"/>
    <w:rsid w:val="004902B3"/>
    <w:rsid w:val="00490428"/>
    <w:rsid w:val="0049056B"/>
    <w:rsid w:val="004905E5"/>
    <w:rsid w:val="004906CB"/>
    <w:rsid w:val="0049082A"/>
    <w:rsid w:val="00490B8F"/>
    <w:rsid w:val="00490C30"/>
    <w:rsid w:val="00490E2F"/>
    <w:rsid w:val="00491314"/>
    <w:rsid w:val="00491597"/>
    <w:rsid w:val="004916E3"/>
    <w:rsid w:val="004917CE"/>
    <w:rsid w:val="004917F9"/>
    <w:rsid w:val="0049182A"/>
    <w:rsid w:val="00491A75"/>
    <w:rsid w:val="00491A80"/>
    <w:rsid w:val="00491B48"/>
    <w:rsid w:val="00491C5E"/>
    <w:rsid w:val="00491D84"/>
    <w:rsid w:val="00491D94"/>
    <w:rsid w:val="00491DEE"/>
    <w:rsid w:val="00491EBF"/>
    <w:rsid w:val="00491FBF"/>
    <w:rsid w:val="00491FE2"/>
    <w:rsid w:val="00492169"/>
    <w:rsid w:val="0049219C"/>
    <w:rsid w:val="00492673"/>
    <w:rsid w:val="0049271E"/>
    <w:rsid w:val="00492856"/>
    <w:rsid w:val="00492969"/>
    <w:rsid w:val="00492BE2"/>
    <w:rsid w:val="00492F0A"/>
    <w:rsid w:val="0049302C"/>
    <w:rsid w:val="00493116"/>
    <w:rsid w:val="004932BB"/>
    <w:rsid w:val="004933B9"/>
    <w:rsid w:val="004933BB"/>
    <w:rsid w:val="004933E6"/>
    <w:rsid w:val="0049365B"/>
    <w:rsid w:val="00493734"/>
    <w:rsid w:val="004939A2"/>
    <w:rsid w:val="00493B18"/>
    <w:rsid w:val="00493D31"/>
    <w:rsid w:val="00493F97"/>
    <w:rsid w:val="00494078"/>
    <w:rsid w:val="0049422E"/>
    <w:rsid w:val="00494235"/>
    <w:rsid w:val="00494240"/>
    <w:rsid w:val="004942FF"/>
    <w:rsid w:val="0049435B"/>
    <w:rsid w:val="00494591"/>
    <w:rsid w:val="00494614"/>
    <w:rsid w:val="004946DB"/>
    <w:rsid w:val="00494748"/>
    <w:rsid w:val="0049474C"/>
    <w:rsid w:val="004947AC"/>
    <w:rsid w:val="00494904"/>
    <w:rsid w:val="004949B1"/>
    <w:rsid w:val="00494E05"/>
    <w:rsid w:val="00494E29"/>
    <w:rsid w:val="00494E2E"/>
    <w:rsid w:val="00494F33"/>
    <w:rsid w:val="0049501F"/>
    <w:rsid w:val="0049504C"/>
    <w:rsid w:val="00495216"/>
    <w:rsid w:val="00495249"/>
    <w:rsid w:val="00495291"/>
    <w:rsid w:val="004952A9"/>
    <w:rsid w:val="00495302"/>
    <w:rsid w:val="00495375"/>
    <w:rsid w:val="004954AD"/>
    <w:rsid w:val="0049551A"/>
    <w:rsid w:val="00495550"/>
    <w:rsid w:val="004959DF"/>
    <w:rsid w:val="00495AC4"/>
    <w:rsid w:val="00495C26"/>
    <w:rsid w:val="00495DAA"/>
    <w:rsid w:val="00495DF7"/>
    <w:rsid w:val="00495EE7"/>
    <w:rsid w:val="00496437"/>
    <w:rsid w:val="00496624"/>
    <w:rsid w:val="00496673"/>
    <w:rsid w:val="0049671E"/>
    <w:rsid w:val="0049687F"/>
    <w:rsid w:val="00496880"/>
    <w:rsid w:val="00496904"/>
    <w:rsid w:val="00496970"/>
    <w:rsid w:val="00496B9A"/>
    <w:rsid w:val="00496C19"/>
    <w:rsid w:val="00496EE9"/>
    <w:rsid w:val="00496F1A"/>
    <w:rsid w:val="00496F75"/>
    <w:rsid w:val="00496FBC"/>
    <w:rsid w:val="00496FD6"/>
    <w:rsid w:val="00497143"/>
    <w:rsid w:val="0049718B"/>
    <w:rsid w:val="00497197"/>
    <w:rsid w:val="0049728E"/>
    <w:rsid w:val="004973BD"/>
    <w:rsid w:val="004973FA"/>
    <w:rsid w:val="00497493"/>
    <w:rsid w:val="004974CB"/>
    <w:rsid w:val="00497563"/>
    <w:rsid w:val="004976AA"/>
    <w:rsid w:val="004976AC"/>
    <w:rsid w:val="00497711"/>
    <w:rsid w:val="00497782"/>
    <w:rsid w:val="0049779A"/>
    <w:rsid w:val="004977B6"/>
    <w:rsid w:val="00497BA8"/>
    <w:rsid w:val="00497C39"/>
    <w:rsid w:val="00497E34"/>
    <w:rsid w:val="00497ED8"/>
    <w:rsid w:val="004A010C"/>
    <w:rsid w:val="004A0160"/>
    <w:rsid w:val="004A04C7"/>
    <w:rsid w:val="004A0715"/>
    <w:rsid w:val="004A0804"/>
    <w:rsid w:val="004A0B27"/>
    <w:rsid w:val="004A0BF4"/>
    <w:rsid w:val="004A0E10"/>
    <w:rsid w:val="004A0E94"/>
    <w:rsid w:val="004A0FC5"/>
    <w:rsid w:val="004A10FC"/>
    <w:rsid w:val="004A1317"/>
    <w:rsid w:val="004A1374"/>
    <w:rsid w:val="004A145B"/>
    <w:rsid w:val="004A1597"/>
    <w:rsid w:val="004A16A7"/>
    <w:rsid w:val="004A16B2"/>
    <w:rsid w:val="004A16D6"/>
    <w:rsid w:val="004A16F3"/>
    <w:rsid w:val="004A177F"/>
    <w:rsid w:val="004A1843"/>
    <w:rsid w:val="004A1C7C"/>
    <w:rsid w:val="004A1D0A"/>
    <w:rsid w:val="004A1DFE"/>
    <w:rsid w:val="004A214B"/>
    <w:rsid w:val="004A2190"/>
    <w:rsid w:val="004A219A"/>
    <w:rsid w:val="004A2403"/>
    <w:rsid w:val="004A26C0"/>
    <w:rsid w:val="004A27C0"/>
    <w:rsid w:val="004A2891"/>
    <w:rsid w:val="004A2AF0"/>
    <w:rsid w:val="004A2B0D"/>
    <w:rsid w:val="004A2BDC"/>
    <w:rsid w:val="004A2C30"/>
    <w:rsid w:val="004A302A"/>
    <w:rsid w:val="004A31D0"/>
    <w:rsid w:val="004A32D5"/>
    <w:rsid w:val="004A3538"/>
    <w:rsid w:val="004A374E"/>
    <w:rsid w:val="004A37B0"/>
    <w:rsid w:val="004A3849"/>
    <w:rsid w:val="004A3885"/>
    <w:rsid w:val="004A3909"/>
    <w:rsid w:val="004A39E5"/>
    <w:rsid w:val="004A39ED"/>
    <w:rsid w:val="004A3A0C"/>
    <w:rsid w:val="004A3A9F"/>
    <w:rsid w:val="004A3B07"/>
    <w:rsid w:val="004A3B88"/>
    <w:rsid w:val="004A3CFB"/>
    <w:rsid w:val="004A3DE5"/>
    <w:rsid w:val="004A3E2B"/>
    <w:rsid w:val="004A42F9"/>
    <w:rsid w:val="004A4557"/>
    <w:rsid w:val="004A45B4"/>
    <w:rsid w:val="004A4634"/>
    <w:rsid w:val="004A47C7"/>
    <w:rsid w:val="004A48CB"/>
    <w:rsid w:val="004A48FD"/>
    <w:rsid w:val="004A49AB"/>
    <w:rsid w:val="004A4AFD"/>
    <w:rsid w:val="004A4D21"/>
    <w:rsid w:val="004A4D3D"/>
    <w:rsid w:val="004A4D5B"/>
    <w:rsid w:val="004A4E59"/>
    <w:rsid w:val="004A509F"/>
    <w:rsid w:val="004A51BD"/>
    <w:rsid w:val="004A51F6"/>
    <w:rsid w:val="004A5238"/>
    <w:rsid w:val="004A55F2"/>
    <w:rsid w:val="004A5840"/>
    <w:rsid w:val="004A5987"/>
    <w:rsid w:val="004A5A51"/>
    <w:rsid w:val="004A5AF8"/>
    <w:rsid w:val="004A5BF3"/>
    <w:rsid w:val="004A5CD6"/>
    <w:rsid w:val="004A5E98"/>
    <w:rsid w:val="004A6093"/>
    <w:rsid w:val="004A6104"/>
    <w:rsid w:val="004A6107"/>
    <w:rsid w:val="004A6115"/>
    <w:rsid w:val="004A6270"/>
    <w:rsid w:val="004A632E"/>
    <w:rsid w:val="004A63E1"/>
    <w:rsid w:val="004A6465"/>
    <w:rsid w:val="004A6597"/>
    <w:rsid w:val="004A6799"/>
    <w:rsid w:val="004A6858"/>
    <w:rsid w:val="004A692A"/>
    <w:rsid w:val="004A6950"/>
    <w:rsid w:val="004A6998"/>
    <w:rsid w:val="004A6CA0"/>
    <w:rsid w:val="004A7031"/>
    <w:rsid w:val="004A705C"/>
    <w:rsid w:val="004A7068"/>
    <w:rsid w:val="004A743C"/>
    <w:rsid w:val="004A7498"/>
    <w:rsid w:val="004A7889"/>
    <w:rsid w:val="004A7A30"/>
    <w:rsid w:val="004A7A65"/>
    <w:rsid w:val="004A7AB4"/>
    <w:rsid w:val="004A7B91"/>
    <w:rsid w:val="004A7CA8"/>
    <w:rsid w:val="004A7E63"/>
    <w:rsid w:val="004A7ED2"/>
    <w:rsid w:val="004A7F35"/>
    <w:rsid w:val="004A7FBE"/>
    <w:rsid w:val="004A7FCA"/>
    <w:rsid w:val="004B002C"/>
    <w:rsid w:val="004B0059"/>
    <w:rsid w:val="004B0141"/>
    <w:rsid w:val="004B020D"/>
    <w:rsid w:val="004B061B"/>
    <w:rsid w:val="004B075F"/>
    <w:rsid w:val="004B0843"/>
    <w:rsid w:val="004B086A"/>
    <w:rsid w:val="004B0896"/>
    <w:rsid w:val="004B0A5A"/>
    <w:rsid w:val="004B0A83"/>
    <w:rsid w:val="004B0B3A"/>
    <w:rsid w:val="004B0BCF"/>
    <w:rsid w:val="004B0D55"/>
    <w:rsid w:val="004B0F6E"/>
    <w:rsid w:val="004B0F9A"/>
    <w:rsid w:val="004B0FCC"/>
    <w:rsid w:val="004B10C8"/>
    <w:rsid w:val="004B1253"/>
    <w:rsid w:val="004B14A2"/>
    <w:rsid w:val="004B14AA"/>
    <w:rsid w:val="004B164F"/>
    <w:rsid w:val="004B173B"/>
    <w:rsid w:val="004B19C4"/>
    <w:rsid w:val="004B1ADF"/>
    <w:rsid w:val="004B1B11"/>
    <w:rsid w:val="004B1B47"/>
    <w:rsid w:val="004B1B6D"/>
    <w:rsid w:val="004B1ED4"/>
    <w:rsid w:val="004B1F61"/>
    <w:rsid w:val="004B2171"/>
    <w:rsid w:val="004B23BD"/>
    <w:rsid w:val="004B246A"/>
    <w:rsid w:val="004B2587"/>
    <w:rsid w:val="004B2598"/>
    <w:rsid w:val="004B25DD"/>
    <w:rsid w:val="004B2697"/>
    <w:rsid w:val="004B2703"/>
    <w:rsid w:val="004B28B1"/>
    <w:rsid w:val="004B2971"/>
    <w:rsid w:val="004B29BD"/>
    <w:rsid w:val="004B2AB3"/>
    <w:rsid w:val="004B2D3C"/>
    <w:rsid w:val="004B2D94"/>
    <w:rsid w:val="004B2F5E"/>
    <w:rsid w:val="004B2F79"/>
    <w:rsid w:val="004B3113"/>
    <w:rsid w:val="004B31A0"/>
    <w:rsid w:val="004B33A6"/>
    <w:rsid w:val="004B33B1"/>
    <w:rsid w:val="004B3476"/>
    <w:rsid w:val="004B367A"/>
    <w:rsid w:val="004B3683"/>
    <w:rsid w:val="004B3864"/>
    <w:rsid w:val="004B38B3"/>
    <w:rsid w:val="004B394C"/>
    <w:rsid w:val="004B3A9A"/>
    <w:rsid w:val="004B3B97"/>
    <w:rsid w:val="004B3E87"/>
    <w:rsid w:val="004B417F"/>
    <w:rsid w:val="004B41ED"/>
    <w:rsid w:val="004B429F"/>
    <w:rsid w:val="004B4391"/>
    <w:rsid w:val="004B43A9"/>
    <w:rsid w:val="004B445F"/>
    <w:rsid w:val="004B459F"/>
    <w:rsid w:val="004B4918"/>
    <w:rsid w:val="004B4D1D"/>
    <w:rsid w:val="004B4F5C"/>
    <w:rsid w:val="004B503B"/>
    <w:rsid w:val="004B5178"/>
    <w:rsid w:val="004B5231"/>
    <w:rsid w:val="004B5258"/>
    <w:rsid w:val="004B52F6"/>
    <w:rsid w:val="004B52F7"/>
    <w:rsid w:val="004B5396"/>
    <w:rsid w:val="004B53FC"/>
    <w:rsid w:val="004B544B"/>
    <w:rsid w:val="004B5471"/>
    <w:rsid w:val="004B573B"/>
    <w:rsid w:val="004B59C3"/>
    <w:rsid w:val="004B5D98"/>
    <w:rsid w:val="004B5FBC"/>
    <w:rsid w:val="004B6146"/>
    <w:rsid w:val="004B6454"/>
    <w:rsid w:val="004B64BD"/>
    <w:rsid w:val="004B6690"/>
    <w:rsid w:val="004B68CE"/>
    <w:rsid w:val="004B6BE0"/>
    <w:rsid w:val="004B7011"/>
    <w:rsid w:val="004B71EA"/>
    <w:rsid w:val="004B72D2"/>
    <w:rsid w:val="004B73D8"/>
    <w:rsid w:val="004B74C8"/>
    <w:rsid w:val="004B7513"/>
    <w:rsid w:val="004B75F9"/>
    <w:rsid w:val="004B7748"/>
    <w:rsid w:val="004B7A54"/>
    <w:rsid w:val="004B7AFA"/>
    <w:rsid w:val="004B7B35"/>
    <w:rsid w:val="004B7B73"/>
    <w:rsid w:val="004B7D45"/>
    <w:rsid w:val="004B7FAE"/>
    <w:rsid w:val="004C035B"/>
    <w:rsid w:val="004C052E"/>
    <w:rsid w:val="004C05AD"/>
    <w:rsid w:val="004C05AE"/>
    <w:rsid w:val="004C0795"/>
    <w:rsid w:val="004C07BF"/>
    <w:rsid w:val="004C09C4"/>
    <w:rsid w:val="004C101E"/>
    <w:rsid w:val="004C1036"/>
    <w:rsid w:val="004C11B5"/>
    <w:rsid w:val="004C131A"/>
    <w:rsid w:val="004C1400"/>
    <w:rsid w:val="004C146A"/>
    <w:rsid w:val="004C152C"/>
    <w:rsid w:val="004C1543"/>
    <w:rsid w:val="004C1625"/>
    <w:rsid w:val="004C164A"/>
    <w:rsid w:val="004C1664"/>
    <w:rsid w:val="004C18D5"/>
    <w:rsid w:val="004C1A1A"/>
    <w:rsid w:val="004C1A45"/>
    <w:rsid w:val="004C1A61"/>
    <w:rsid w:val="004C1B83"/>
    <w:rsid w:val="004C1DAC"/>
    <w:rsid w:val="004C221E"/>
    <w:rsid w:val="004C22B9"/>
    <w:rsid w:val="004C23B5"/>
    <w:rsid w:val="004C23C7"/>
    <w:rsid w:val="004C24D3"/>
    <w:rsid w:val="004C278E"/>
    <w:rsid w:val="004C28C7"/>
    <w:rsid w:val="004C28DF"/>
    <w:rsid w:val="004C2934"/>
    <w:rsid w:val="004C29A3"/>
    <w:rsid w:val="004C29AE"/>
    <w:rsid w:val="004C2C41"/>
    <w:rsid w:val="004C2C65"/>
    <w:rsid w:val="004C2CDE"/>
    <w:rsid w:val="004C2F64"/>
    <w:rsid w:val="004C335F"/>
    <w:rsid w:val="004C348C"/>
    <w:rsid w:val="004C34D3"/>
    <w:rsid w:val="004C3544"/>
    <w:rsid w:val="004C35FD"/>
    <w:rsid w:val="004C3618"/>
    <w:rsid w:val="004C3C99"/>
    <w:rsid w:val="004C3D5C"/>
    <w:rsid w:val="004C3F0E"/>
    <w:rsid w:val="004C3F48"/>
    <w:rsid w:val="004C3F56"/>
    <w:rsid w:val="004C4337"/>
    <w:rsid w:val="004C43F6"/>
    <w:rsid w:val="004C443D"/>
    <w:rsid w:val="004C44C0"/>
    <w:rsid w:val="004C474D"/>
    <w:rsid w:val="004C4772"/>
    <w:rsid w:val="004C4811"/>
    <w:rsid w:val="004C49B0"/>
    <w:rsid w:val="004C4A24"/>
    <w:rsid w:val="004C4A4D"/>
    <w:rsid w:val="004C4B64"/>
    <w:rsid w:val="004C4CA0"/>
    <w:rsid w:val="004C4CA8"/>
    <w:rsid w:val="004C4D22"/>
    <w:rsid w:val="004C50C0"/>
    <w:rsid w:val="004C5294"/>
    <w:rsid w:val="004C5354"/>
    <w:rsid w:val="004C55D5"/>
    <w:rsid w:val="004C5658"/>
    <w:rsid w:val="004C566D"/>
    <w:rsid w:val="004C57EE"/>
    <w:rsid w:val="004C58F0"/>
    <w:rsid w:val="004C58F4"/>
    <w:rsid w:val="004C58F7"/>
    <w:rsid w:val="004C59C8"/>
    <w:rsid w:val="004C5ACD"/>
    <w:rsid w:val="004C5B58"/>
    <w:rsid w:val="004C5BD8"/>
    <w:rsid w:val="004C5E06"/>
    <w:rsid w:val="004C605C"/>
    <w:rsid w:val="004C6075"/>
    <w:rsid w:val="004C60A5"/>
    <w:rsid w:val="004C60F9"/>
    <w:rsid w:val="004C6321"/>
    <w:rsid w:val="004C64F9"/>
    <w:rsid w:val="004C67F9"/>
    <w:rsid w:val="004C67FF"/>
    <w:rsid w:val="004C6968"/>
    <w:rsid w:val="004C6991"/>
    <w:rsid w:val="004C6A2A"/>
    <w:rsid w:val="004C6AAE"/>
    <w:rsid w:val="004C6AFB"/>
    <w:rsid w:val="004C6B56"/>
    <w:rsid w:val="004C6B75"/>
    <w:rsid w:val="004C6CBF"/>
    <w:rsid w:val="004C6F16"/>
    <w:rsid w:val="004C7077"/>
    <w:rsid w:val="004C7182"/>
    <w:rsid w:val="004C7187"/>
    <w:rsid w:val="004C7487"/>
    <w:rsid w:val="004C776D"/>
    <w:rsid w:val="004C7864"/>
    <w:rsid w:val="004C7CD7"/>
    <w:rsid w:val="004C7D79"/>
    <w:rsid w:val="004C7E4C"/>
    <w:rsid w:val="004C7E66"/>
    <w:rsid w:val="004C7E7D"/>
    <w:rsid w:val="004C7EB7"/>
    <w:rsid w:val="004C7FE2"/>
    <w:rsid w:val="004D0248"/>
    <w:rsid w:val="004D02B2"/>
    <w:rsid w:val="004D0354"/>
    <w:rsid w:val="004D0510"/>
    <w:rsid w:val="004D09AA"/>
    <w:rsid w:val="004D0B29"/>
    <w:rsid w:val="004D0C31"/>
    <w:rsid w:val="004D0C92"/>
    <w:rsid w:val="004D0D9B"/>
    <w:rsid w:val="004D0E93"/>
    <w:rsid w:val="004D0FDA"/>
    <w:rsid w:val="004D10E0"/>
    <w:rsid w:val="004D11E1"/>
    <w:rsid w:val="004D1382"/>
    <w:rsid w:val="004D1836"/>
    <w:rsid w:val="004D1A61"/>
    <w:rsid w:val="004D1D49"/>
    <w:rsid w:val="004D1F12"/>
    <w:rsid w:val="004D24DB"/>
    <w:rsid w:val="004D25D5"/>
    <w:rsid w:val="004D2708"/>
    <w:rsid w:val="004D27E0"/>
    <w:rsid w:val="004D29D1"/>
    <w:rsid w:val="004D2ACC"/>
    <w:rsid w:val="004D2E00"/>
    <w:rsid w:val="004D3129"/>
    <w:rsid w:val="004D31B0"/>
    <w:rsid w:val="004D33A9"/>
    <w:rsid w:val="004D33D0"/>
    <w:rsid w:val="004D3508"/>
    <w:rsid w:val="004D3515"/>
    <w:rsid w:val="004D3559"/>
    <w:rsid w:val="004D3852"/>
    <w:rsid w:val="004D38ED"/>
    <w:rsid w:val="004D3CEA"/>
    <w:rsid w:val="004D3EE4"/>
    <w:rsid w:val="004D4153"/>
    <w:rsid w:val="004D418C"/>
    <w:rsid w:val="004D41C8"/>
    <w:rsid w:val="004D4443"/>
    <w:rsid w:val="004D44CA"/>
    <w:rsid w:val="004D46DD"/>
    <w:rsid w:val="004D4705"/>
    <w:rsid w:val="004D481D"/>
    <w:rsid w:val="004D4830"/>
    <w:rsid w:val="004D4892"/>
    <w:rsid w:val="004D4898"/>
    <w:rsid w:val="004D48F2"/>
    <w:rsid w:val="004D4A39"/>
    <w:rsid w:val="004D4A52"/>
    <w:rsid w:val="004D4AA4"/>
    <w:rsid w:val="004D4CD1"/>
    <w:rsid w:val="004D4E04"/>
    <w:rsid w:val="004D4E2E"/>
    <w:rsid w:val="004D4EA7"/>
    <w:rsid w:val="004D50CC"/>
    <w:rsid w:val="004D51A6"/>
    <w:rsid w:val="004D51B0"/>
    <w:rsid w:val="004D5225"/>
    <w:rsid w:val="004D531C"/>
    <w:rsid w:val="004D53A6"/>
    <w:rsid w:val="004D55D9"/>
    <w:rsid w:val="004D5832"/>
    <w:rsid w:val="004D58B2"/>
    <w:rsid w:val="004D5A93"/>
    <w:rsid w:val="004D5AD0"/>
    <w:rsid w:val="004D5C90"/>
    <w:rsid w:val="004D5DE2"/>
    <w:rsid w:val="004D5DEF"/>
    <w:rsid w:val="004D5E12"/>
    <w:rsid w:val="004D63F8"/>
    <w:rsid w:val="004D641E"/>
    <w:rsid w:val="004D653C"/>
    <w:rsid w:val="004D66B5"/>
    <w:rsid w:val="004D6884"/>
    <w:rsid w:val="004D68C4"/>
    <w:rsid w:val="004D6912"/>
    <w:rsid w:val="004D692B"/>
    <w:rsid w:val="004D6C36"/>
    <w:rsid w:val="004D6D3F"/>
    <w:rsid w:val="004D6FC0"/>
    <w:rsid w:val="004D704D"/>
    <w:rsid w:val="004D72AE"/>
    <w:rsid w:val="004D733C"/>
    <w:rsid w:val="004D747E"/>
    <w:rsid w:val="004D7548"/>
    <w:rsid w:val="004D770E"/>
    <w:rsid w:val="004D79DB"/>
    <w:rsid w:val="004D79F1"/>
    <w:rsid w:val="004D7A63"/>
    <w:rsid w:val="004D7B21"/>
    <w:rsid w:val="004D7B22"/>
    <w:rsid w:val="004D7FC0"/>
    <w:rsid w:val="004E0150"/>
    <w:rsid w:val="004E01BF"/>
    <w:rsid w:val="004E039C"/>
    <w:rsid w:val="004E06E4"/>
    <w:rsid w:val="004E0799"/>
    <w:rsid w:val="004E083B"/>
    <w:rsid w:val="004E0A60"/>
    <w:rsid w:val="004E0BD3"/>
    <w:rsid w:val="004E0D33"/>
    <w:rsid w:val="004E0DD7"/>
    <w:rsid w:val="004E0ED8"/>
    <w:rsid w:val="004E0F06"/>
    <w:rsid w:val="004E0FD8"/>
    <w:rsid w:val="004E1039"/>
    <w:rsid w:val="004E1066"/>
    <w:rsid w:val="004E11B6"/>
    <w:rsid w:val="004E1251"/>
    <w:rsid w:val="004E15A8"/>
    <w:rsid w:val="004E16C7"/>
    <w:rsid w:val="004E1784"/>
    <w:rsid w:val="004E1838"/>
    <w:rsid w:val="004E184C"/>
    <w:rsid w:val="004E1850"/>
    <w:rsid w:val="004E186B"/>
    <w:rsid w:val="004E18EC"/>
    <w:rsid w:val="004E1A61"/>
    <w:rsid w:val="004E1CF8"/>
    <w:rsid w:val="004E1E63"/>
    <w:rsid w:val="004E1F64"/>
    <w:rsid w:val="004E1F68"/>
    <w:rsid w:val="004E1FF0"/>
    <w:rsid w:val="004E209A"/>
    <w:rsid w:val="004E2209"/>
    <w:rsid w:val="004E23A9"/>
    <w:rsid w:val="004E241A"/>
    <w:rsid w:val="004E256A"/>
    <w:rsid w:val="004E2581"/>
    <w:rsid w:val="004E265C"/>
    <w:rsid w:val="004E2830"/>
    <w:rsid w:val="004E2AFE"/>
    <w:rsid w:val="004E2DB3"/>
    <w:rsid w:val="004E2DBD"/>
    <w:rsid w:val="004E2E29"/>
    <w:rsid w:val="004E2EB3"/>
    <w:rsid w:val="004E30FB"/>
    <w:rsid w:val="004E32EC"/>
    <w:rsid w:val="004E3320"/>
    <w:rsid w:val="004E3461"/>
    <w:rsid w:val="004E34A7"/>
    <w:rsid w:val="004E3524"/>
    <w:rsid w:val="004E3568"/>
    <w:rsid w:val="004E35B7"/>
    <w:rsid w:val="004E36D3"/>
    <w:rsid w:val="004E3748"/>
    <w:rsid w:val="004E3798"/>
    <w:rsid w:val="004E391A"/>
    <w:rsid w:val="004E3CC4"/>
    <w:rsid w:val="004E3DD9"/>
    <w:rsid w:val="004E3DDB"/>
    <w:rsid w:val="004E3DEC"/>
    <w:rsid w:val="004E3E20"/>
    <w:rsid w:val="004E3FB3"/>
    <w:rsid w:val="004E4174"/>
    <w:rsid w:val="004E417B"/>
    <w:rsid w:val="004E41C3"/>
    <w:rsid w:val="004E4256"/>
    <w:rsid w:val="004E4867"/>
    <w:rsid w:val="004E4A20"/>
    <w:rsid w:val="004E4A60"/>
    <w:rsid w:val="004E4A89"/>
    <w:rsid w:val="004E4B2B"/>
    <w:rsid w:val="004E4B39"/>
    <w:rsid w:val="004E4B5D"/>
    <w:rsid w:val="004E4C0D"/>
    <w:rsid w:val="004E4C2B"/>
    <w:rsid w:val="004E4C34"/>
    <w:rsid w:val="004E4E4C"/>
    <w:rsid w:val="004E4EA6"/>
    <w:rsid w:val="004E4F98"/>
    <w:rsid w:val="004E514D"/>
    <w:rsid w:val="004E5151"/>
    <w:rsid w:val="004E5274"/>
    <w:rsid w:val="004E5279"/>
    <w:rsid w:val="004E5593"/>
    <w:rsid w:val="004E5834"/>
    <w:rsid w:val="004E58A1"/>
    <w:rsid w:val="004E58EE"/>
    <w:rsid w:val="004E5939"/>
    <w:rsid w:val="004E5AC6"/>
    <w:rsid w:val="004E5B39"/>
    <w:rsid w:val="004E620E"/>
    <w:rsid w:val="004E64D1"/>
    <w:rsid w:val="004E64FB"/>
    <w:rsid w:val="004E65C9"/>
    <w:rsid w:val="004E6625"/>
    <w:rsid w:val="004E66D3"/>
    <w:rsid w:val="004E6723"/>
    <w:rsid w:val="004E67FC"/>
    <w:rsid w:val="004E6890"/>
    <w:rsid w:val="004E6925"/>
    <w:rsid w:val="004E695B"/>
    <w:rsid w:val="004E6A4B"/>
    <w:rsid w:val="004E6AE8"/>
    <w:rsid w:val="004E6C3E"/>
    <w:rsid w:val="004E6C84"/>
    <w:rsid w:val="004E6C8A"/>
    <w:rsid w:val="004E6C97"/>
    <w:rsid w:val="004E6CCD"/>
    <w:rsid w:val="004E6D69"/>
    <w:rsid w:val="004E6DF3"/>
    <w:rsid w:val="004E6F1E"/>
    <w:rsid w:val="004E6F34"/>
    <w:rsid w:val="004E6F92"/>
    <w:rsid w:val="004E6FBB"/>
    <w:rsid w:val="004E6FCA"/>
    <w:rsid w:val="004E6FE3"/>
    <w:rsid w:val="004E7017"/>
    <w:rsid w:val="004E708E"/>
    <w:rsid w:val="004E70D4"/>
    <w:rsid w:val="004E7470"/>
    <w:rsid w:val="004E7487"/>
    <w:rsid w:val="004E7800"/>
    <w:rsid w:val="004E78B6"/>
    <w:rsid w:val="004E7B11"/>
    <w:rsid w:val="004E7C97"/>
    <w:rsid w:val="004E7D7E"/>
    <w:rsid w:val="004E7DB8"/>
    <w:rsid w:val="004E7EBF"/>
    <w:rsid w:val="004E7F51"/>
    <w:rsid w:val="004E7FF8"/>
    <w:rsid w:val="004F0036"/>
    <w:rsid w:val="004F0287"/>
    <w:rsid w:val="004F0306"/>
    <w:rsid w:val="004F0346"/>
    <w:rsid w:val="004F045F"/>
    <w:rsid w:val="004F07C4"/>
    <w:rsid w:val="004F0AC8"/>
    <w:rsid w:val="004F0B2A"/>
    <w:rsid w:val="004F0DFC"/>
    <w:rsid w:val="004F0F1F"/>
    <w:rsid w:val="004F10D5"/>
    <w:rsid w:val="004F10FF"/>
    <w:rsid w:val="004F127D"/>
    <w:rsid w:val="004F16DC"/>
    <w:rsid w:val="004F17C5"/>
    <w:rsid w:val="004F18C5"/>
    <w:rsid w:val="004F19CC"/>
    <w:rsid w:val="004F1A03"/>
    <w:rsid w:val="004F1AC9"/>
    <w:rsid w:val="004F1E46"/>
    <w:rsid w:val="004F1E86"/>
    <w:rsid w:val="004F1EA6"/>
    <w:rsid w:val="004F1EAA"/>
    <w:rsid w:val="004F1F96"/>
    <w:rsid w:val="004F2077"/>
    <w:rsid w:val="004F25D4"/>
    <w:rsid w:val="004F2661"/>
    <w:rsid w:val="004F26EC"/>
    <w:rsid w:val="004F2862"/>
    <w:rsid w:val="004F2AA0"/>
    <w:rsid w:val="004F2B32"/>
    <w:rsid w:val="004F2C75"/>
    <w:rsid w:val="004F2CDA"/>
    <w:rsid w:val="004F2D0C"/>
    <w:rsid w:val="004F2E18"/>
    <w:rsid w:val="004F2E4F"/>
    <w:rsid w:val="004F2EC2"/>
    <w:rsid w:val="004F2F31"/>
    <w:rsid w:val="004F2FA3"/>
    <w:rsid w:val="004F3118"/>
    <w:rsid w:val="004F3399"/>
    <w:rsid w:val="004F33D0"/>
    <w:rsid w:val="004F355A"/>
    <w:rsid w:val="004F35D9"/>
    <w:rsid w:val="004F3851"/>
    <w:rsid w:val="004F3BF2"/>
    <w:rsid w:val="004F3BF8"/>
    <w:rsid w:val="004F3C21"/>
    <w:rsid w:val="004F42DC"/>
    <w:rsid w:val="004F432C"/>
    <w:rsid w:val="004F4373"/>
    <w:rsid w:val="004F442C"/>
    <w:rsid w:val="004F46FB"/>
    <w:rsid w:val="004F47B9"/>
    <w:rsid w:val="004F4AE4"/>
    <w:rsid w:val="004F4B41"/>
    <w:rsid w:val="004F4B9D"/>
    <w:rsid w:val="004F4C26"/>
    <w:rsid w:val="004F4C61"/>
    <w:rsid w:val="004F4DF0"/>
    <w:rsid w:val="004F4FB2"/>
    <w:rsid w:val="004F4FB9"/>
    <w:rsid w:val="004F5035"/>
    <w:rsid w:val="004F5053"/>
    <w:rsid w:val="004F50A9"/>
    <w:rsid w:val="004F5301"/>
    <w:rsid w:val="004F54B3"/>
    <w:rsid w:val="004F54FD"/>
    <w:rsid w:val="004F5544"/>
    <w:rsid w:val="004F556E"/>
    <w:rsid w:val="004F57FA"/>
    <w:rsid w:val="004F5837"/>
    <w:rsid w:val="004F58E2"/>
    <w:rsid w:val="004F5973"/>
    <w:rsid w:val="004F5974"/>
    <w:rsid w:val="004F5C4A"/>
    <w:rsid w:val="004F5D24"/>
    <w:rsid w:val="004F5D49"/>
    <w:rsid w:val="004F5D82"/>
    <w:rsid w:val="004F60DC"/>
    <w:rsid w:val="004F6371"/>
    <w:rsid w:val="004F6665"/>
    <w:rsid w:val="004F6697"/>
    <w:rsid w:val="004F6718"/>
    <w:rsid w:val="004F6769"/>
    <w:rsid w:val="004F6A24"/>
    <w:rsid w:val="004F6A74"/>
    <w:rsid w:val="004F6B91"/>
    <w:rsid w:val="004F6C86"/>
    <w:rsid w:val="004F6D7E"/>
    <w:rsid w:val="004F6E36"/>
    <w:rsid w:val="004F6E89"/>
    <w:rsid w:val="004F6FA0"/>
    <w:rsid w:val="004F717F"/>
    <w:rsid w:val="004F735E"/>
    <w:rsid w:val="004F737C"/>
    <w:rsid w:val="004F7416"/>
    <w:rsid w:val="004F7465"/>
    <w:rsid w:val="004F7518"/>
    <w:rsid w:val="004F75DB"/>
    <w:rsid w:val="004F7698"/>
    <w:rsid w:val="004F77E7"/>
    <w:rsid w:val="004F781D"/>
    <w:rsid w:val="004F7866"/>
    <w:rsid w:val="004F7912"/>
    <w:rsid w:val="004F7984"/>
    <w:rsid w:val="004F7B2F"/>
    <w:rsid w:val="004F7B6B"/>
    <w:rsid w:val="004F7C2D"/>
    <w:rsid w:val="004F7F49"/>
    <w:rsid w:val="00500114"/>
    <w:rsid w:val="0050022F"/>
    <w:rsid w:val="00500251"/>
    <w:rsid w:val="0050033C"/>
    <w:rsid w:val="0050034E"/>
    <w:rsid w:val="00500A16"/>
    <w:rsid w:val="00500A43"/>
    <w:rsid w:val="00500ACE"/>
    <w:rsid w:val="005011AA"/>
    <w:rsid w:val="005012C1"/>
    <w:rsid w:val="0050137D"/>
    <w:rsid w:val="00501559"/>
    <w:rsid w:val="005015C6"/>
    <w:rsid w:val="005015FA"/>
    <w:rsid w:val="00501624"/>
    <w:rsid w:val="00501AFA"/>
    <w:rsid w:val="00501EC3"/>
    <w:rsid w:val="00501F6A"/>
    <w:rsid w:val="0050207D"/>
    <w:rsid w:val="00502515"/>
    <w:rsid w:val="00502543"/>
    <w:rsid w:val="00502631"/>
    <w:rsid w:val="0050269D"/>
    <w:rsid w:val="00502743"/>
    <w:rsid w:val="00502A91"/>
    <w:rsid w:val="00502C32"/>
    <w:rsid w:val="00502C8A"/>
    <w:rsid w:val="00502CF7"/>
    <w:rsid w:val="00502DF9"/>
    <w:rsid w:val="00502F06"/>
    <w:rsid w:val="00503197"/>
    <w:rsid w:val="005031F7"/>
    <w:rsid w:val="005034FF"/>
    <w:rsid w:val="00503728"/>
    <w:rsid w:val="005037CE"/>
    <w:rsid w:val="005038B2"/>
    <w:rsid w:val="00503BCF"/>
    <w:rsid w:val="0050420D"/>
    <w:rsid w:val="00504284"/>
    <w:rsid w:val="00504293"/>
    <w:rsid w:val="00504333"/>
    <w:rsid w:val="0050436C"/>
    <w:rsid w:val="005043A9"/>
    <w:rsid w:val="005044B7"/>
    <w:rsid w:val="00504520"/>
    <w:rsid w:val="005046DE"/>
    <w:rsid w:val="00504806"/>
    <w:rsid w:val="00504897"/>
    <w:rsid w:val="0050499E"/>
    <w:rsid w:val="00504CEC"/>
    <w:rsid w:val="00504D9D"/>
    <w:rsid w:val="00504E37"/>
    <w:rsid w:val="0050507B"/>
    <w:rsid w:val="005051DC"/>
    <w:rsid w:val="00505470"/>
    <w:rsid w:val="00505481"/>
    <w:rsid w:val="005054D2"/>
    <w:rsid w:val="0050568C"/>
    <w:rsid w:val="005058F4"/>
    <w:rsid w:val="00505923"/>
    <w:rsid w:val="005059A5"/>
    <w:rsid w:val="005059BF"/>
    <w:rsid w:val="00505A03"/>
    <w:rsid w:val="00505AA6"/>
    <w:rsid w:val="00505D0A"/>
    <w:rsid w:val="00505EB9"/>
    <w:rsid w:val="00506003"/>
    <w:rsid w:val="005060FA"/>
    <w:rsid w:val="00506212"/>
    <w:rsid w:val="005062B4"/>
    <w:rsid w:val="005064F1"/>
    <w:rsid w:val="005066AC"/>
    <w:rsid w:val="00506750"/>
    <w:rsid w:val="0050678F"/>
    <w:rsid w:val="00506842"/>
    <w:rsid w:val="00506AD4"/>
    <w:rsid w:val="00506B0D"/>
    <w:rsid w:val="00506CC0"/>
    <w:rsid w:val="00506F9A"/>
    <w:rsid w:val="00507188"/>
    <w:rsid w:val="005071DF"/>
    <w:rsid w:val="005073B4"/>
    <w:rsid w:val="005073E3"/>
    <w:rsid w:val="00507450"/>
    <w:rsid w:val="00507633"/>
    <w:rsid w:val="005077D7"/>
    <w:rsid w:val="005077E3"/>
    <w:rsid w:val="00507828"/>
    <w:rsid w:val="00507A04"/>
    <w:rsid w:val="00507A35"/>
    <w:rsid w:val="00507B17"/>
    <w:rsid w:val="00507C21"/>
    <w:rsid w:val="00507CD8"/>
    <w:rsid w:val="00507F43"/>
    <w:rsid w:val="00507FEF"/>
    <w:rsid w:val="0051006F"/>
    <w:rsid w:val="0051026A"/>
    <w:rsid w:val="0051026F"/>
    <w:rsid w:val="00510305"/>
    <w:rsid w:val="00510322"/>
    <w:rsid w:val="00510535"/>
    <w:rsid w:val="005105DD"/>
    <w:rsid w:val="005106C3"/>
    <w:rsid w:val="005106FD"/>
    <w:rsid w:val="00510812"/>
    <w:rsid w:val="00510820"/>
    <w:rsid w:val="00510B84"/>
    <w:rsid w:val="00510DA7"/>
    <w:rsid w:val="00510E19"/>
    <w:rsid w:val="00510EB0"/>
    <w:rsid w:val="00510F18"/>
    <w:rsid w:val="00510FD0"/>
    <w:rsid w:val="0051108D"/>
    <w:rsid w:val="00511381"/>
    <w:rsid w:val="0051151E"/>
    <w:rsid w:val="00511621"/>
    <w:rsid w:val="00511823"/>
    <w:rsid w:val="005118AD"/>
    <w:rsid w:val="00511B04"/>
    <w:rsid w:val="00511BAD"/>
    <w:rsid w:val="00511D26"/>
    <w:rsid w:val="00511F51"/>
    <w:rsid w:val="005121CD"/>
    <w:rsid w:val="00512485"/>
    <w:rsid w:val="0051257C"/>
    <w:rsid w:val="0051264D"/>
    <w:rsid w:val="005126C0"/>
    <w:rsid w:val="005126DD"/>
    <w:rsid w:val="005128CE"/>
    <w:rsid w:val="00512C7E"/>
    <w:rsid w:val="00512DE6"/>
    <w:rsid w:val="0051310F"/>
    <w:rsid w:val="0051312F"/>
    <w:rsid w:val="00513328"/>
    <w:rsid w:val="00513626"/>
    <w:rsid w:val="00513873"/>
    <w:rsid w:val="00513977"/>
    <w:rsid w:val="00513A13"/>
    <w:rsid w:val="00513B47"/>
    <w:rsid w:val="00513D22"/>
    <w:rsid w:val="00513DED"/>
    <w:rsid w:val="00513DFC"/>
    <w:rsid w:val="00513E36"/>
    <w:rsid w:val="00513F76"/>
    <w:rsid w:val="005144DD"/>
    <w:rsid w:val="00514552"/>
    <w:rsid w:val="0051459A"/>
    <w:rsid w:val="00514603"/>
    <w:rsid w:val="0051467F"/>
    <w:rsid w:val="00514ADE"/>
    <w:rsid w:val="00514D03"/>
    <w:rsid w:val="0051531C"/>
    <w:rsid w:val="0051538F"/>
    <w:rsid w:val="005153AB"/>
    <w:rsid w:val="005153B5"/>
    <w:rsid w:val="0051548A"/>
    <w:rsid w:val="005154F9"/>
    <w:rsid w:val="005156C8"/>
    <w:rsid w:val="00515799"/>
    <w:rsid w:val="00515AE4"/>
    <w:rsid w:val="00515B32"/>
    <w:rsid w:val="00515D69"/>
    <w:rsid w:val="00516021"/>
    <w:rsid w:val="00516225"/>
    <w:rsid w:val="00516331"/>
    <w:rsid w:val="005163BF"/>
    <w:rsid w:val="00516517"/>
    <w:rsid w:val="005165B7"/>
    <w:rsid w:val="005165E7"/>
    <w:rsid w:val="00516607"/>
    <w:rsid w:val="005166AC"/>
    <w:rsid w:val="00516924"/>
    <w:rsid w:val="00516BEE"/>
    <w:rsid w:val="00516DA1"/>
    <w:rsid w:val="00516DBF"/>
    <w:rsid w:val="0051737D"/>
    <w:rsid w:val="00517506"/>
    <w:rsid w:val="00517843"/>
    <w:rsid w:val="005178ED"/>
    <w:rsid w:val="005179AC"/>
    <w:rsid w:val="00517D64"/>
    <w:rsid w:val="00517F09"/>
    <w:rsid w:val="00520210"/>
    <w:rsid w:val="005204A1"/>
    <w:rsid w:val="00520772"/>
    <w:rsid w:val="005207A8"/>
    <w:rsid w:val="005207C5"/>
    <w:rsid w:val="0052096D"/>
    <w:rsid w:val="00520D54"/>
    <w:rsid w:val="00520DD0"/>
    <w:rsid w:val="00520F27"/>
    <w:rsid w:val="00520F61"/>
    <w:rsid w:val="005210F6"/>
    <w:rsid w:val="00521132"/>
    <w:rsid w:val="005211E9"/>
    <w:rsid w:val="005213BB"/>
    <w:rsid w:val="0052144F"/>
    <w:rsid w:val="005215AD"/>
    <w:rsid w:val="005216A7"/>
    <w:rsid w:val="005216F5"/>
    <w:rsid w:val="005217E2"/>
    <w:rsid w:val="005218E1"/>
    <w:rsid w:val="00521A36"/>
    <w:rsid w:val="00521B32"/>
    <w:rsid w:val="00521B3B"/>
    <w:rsid w:val="00521DEC"/>
    <w:rsid w:val="00521E3E"/>
    <w:rsid w:val="00521E4B"/>
    <w:rsid w:val="00522066"/>
    <w:rsid w:val="0052209C"/>
    <w:rsid w:val="00522372"/>
    <w:rsid w:val="005224C1"/>
    <w:rsid w:val="0052250F"/>
    <w:rsid w:val="00522560"/>
    <w:rsid w:val="00522609"/>
    <w:rsid w:val="00522889"/>
    <w:rsid w:val="005228E2"/>
    <w:rsid w:val="00522A68"/>
    <w:rsid w:val="00522B98"/>
    <w:rsid w:val="00522EE4"/>
    <w:rsid w:val="0052304C"/>
    <w:rsid w:val="0052312F"/>
    <w:rsid w:val="0052316F"/>
    <w:rsid w:val="005233C1"/>
    <w:rsid w:val="0052340F"/>
    <w:rsid w:val="005234E3"/>
    <w:rsid w:val="00523667"/>
    <w:rsid w:val="005238A9"/>
    <w:rsid w:val="005238AA"/>
    <w:rsid w:val="00523920"/>
    <w:rsid w:val="0052396A"/>
    <w:rsid w:val="00523AB0"/>
    <w:rsid w:val="00523B15"/>
    <w:rsid w:val="00523B81"/>
    <w:rsid w:val="00523B91"/>
    <w:rsid w:val="00523C85"/>
    <w:rsid w:val="00523D4C"/>
    <w:rsid w:val="00523EF3"/>
    <w:rsid w:val="00523F03"/>
    <w:rsid w:val="00523F87"/>
    <w:rsid w:val="00524052"/>
    <w:rsid w:val="005240CB"/>
    <w:rsid w:val="00524367"/>
    <w:rsid w:val="005245E1"/>
    <w:rsid w:val="00524687"/>
    <w:rsid w:val="0052472D"/>
    <w:rsid w:val="00524795"/>
    <w:rsid w:val="00524C5B"/>
    <w:rsid w:val="00524D8B"/>
    <w:rsid w:val="00525060"/>
    <w:rsid w:val="005251AC"/>
    <w:rsid w:val="005253CC"/>
    <w:rsid w:val="005254C4"/>
    <w:rsid w:val="0052568E"/>
    <w:rsid w:val="005256B7"/>
    <w:rsid w:val="00525715"/>
    <w:rsid w:val="0052585D"/>
    <w:rsid w:val="005258BE"/>
    <w:rsid w:val="00525AE9"/>
    <w:rsid w:val="00525B41"/>
    <w:rsid w:val="00525B79"/>
    <w:rsid w:val="00525CA5"/>
    <w:rsid w:val="00525CD6"/>
    <w:rsid w:val="00525EFD"/>
    <w:rsid w:val="00526034"/>
    <w:rsid w:val="00526089"/>
    <w:rsid w:val="0052626E"/>
    <w:rsid w:val="0052658C"/>
    <w:rsid w:val="005265B4"/>
    <w:rsid w:val="005265D2"/>
    <w:rsid w:val="0052672D"/>
    <w:rsid w:val="00526825"/>
    <w:rsid w:val="00526857"/>
    <w:rsid w:val="00526865"/>
    <w:rsid w:val="00526934"/>
    <w:rsid w:val="00526937"/>
    <w:rsid w:val="00526ACB"/>
    <w:rsid w:val="00526ADC"/>
    <w:rsid w:val="00526DC1"/>
    <w:rsid w:val="00526E0A"/>
    <w:rsid w:val="005271A5"/>
    <w:rsid w:val="00527284"/>
    <w:rsid w:val="005272BE"/>
    <w:rsid w:val="00527573"/>
    <w:rsid w:val="005276D5"/>
    <w:rsid w:val="00527721"/>
    <w:rsid w:val="00527802"/>
    <w:rsid w:val="005278F2"/>
    <w:rsid w:val="00527A0D"/>
    <w:rsid w:val="00527BE1"/>
    <w:rsid w:val="00527E52"/>
    <w:rsid w:val="005300A2"/>
    <w:rsid w:val="005300C6"/>
    <w:rsid w:val="00530116"/>
    <w:rsid w:val="00530186"/>
    <w:rsid w:val="005301B1"/>
    <w:rsid w:val="005302BE"/>
    <w:rsid w:val="005302DC"/>
    <w:rsid w:val="0053030B"/>
    <w:rsid w:val="0053051D"/>
    <w:rsid w:val="00530552"/>
    <w:rsid w:val="005305CD"/>
    <w:rsid w:val="00530624"/>
    <w:rsid w:val="0053064E"/>
    <w:rsid w:val="005306A7"/>
    <w:rsid w:val="005306FA"/>
    <w:rsid w:val="0053073C"/>
    <w:rsid w:val="0053079A"/>
    <w:rsid w:val="005307AD"/>
    <w:rsid w:val="005307E7"/>
    <w:rsid w:val="00530840"/>
    <w:rsid w:val="005308A0"/>
    <w:rsid w:val="005308F2"/>
    <w:rsid w:val="005309BA"/>
    <w:rsid w:val="00530A5F"/>
    <w:rsid w:val="00530A88"/>
    <w:rsid w:val="00530A94"/>
    <w:rsid w:val="00530A96"/>
    <w:rsid w:val="00530AB3"/>
    <w:rsid w:val="00530EC7"/>
    <w:rsid w:val="00531261"/>
    <w:rsid w:val="00531473"/>
    <w:rsid w:val="005314F9"/>
    <w:rsid w:val="00531675"/>
    <w:rsid w:val="00531733"/>
    <w:rsid w:val="005317AD"/>
    <w:rsid w:val="00531869"/>
    <w:rsid w:val="00531B21"/>
    <w:rsid w:val="00531B56"/>
    <w:rsid w:val="00531DBD"/>
    <w:rsid w:val="00531E5C"/>
    <w:rsid w:val="00532108"/>
    <w:rsid w:val="00532256"/>
    <w:rsid w:val="005323C8"/>
    <w:rsid w:val="0053244C"/>
    <w:rsid w:val="0053261D"/>
    <w:rsid w:val="00532813"/>
    <w:rsid w:val="00532D5B"/>
    <w:rsid w:val="0053316E"/>
    <w:rsid w:val="005332BD"/>
    <w:rsid w:val="0053348F"/>
    <w:rsid w:val="00533570"/>
    <w:rsid w:val="005335CE"/>
    <w:rsid w:val="005338E0"/>
    <w:rsid w:val="0053390B"/>
    <w:rsid w:val="00533987"/>
    <w:rsid w:val="005339DC"/>
    <w:rsid w:val="00533B7E"/>
    <w:rsid w:val="00533BAD"/>
    <w:rsid w:val="00533C24"/>
    <w:rsid w:val="00533D0B"/>
    <w:rsid w:val="00533D80"/>
    <w:rsid w:val="00533DAB"/>
    <w:rsid w:val="005340FC"/>
    <w:rsid w:val="00534590"/>
    <w:rsid w:val="00534920"/>
    <w:rsid w:val="00534B69"/>
    <w:rsid w:val="00534D26"/>
    <w:rsid w:val="00534E70"/>
    <w:rsid w:val="00534E8E"/>
    <w:rsid w:val="00534F9A"/>
    <w:rsid w:val="00535120"/>
    <w:rsid w:val="00535268"/>
    <w:rsid w:val="005352E0"/>
    <w:rsid w:val="005355B0"/>
    <w:rsid w:val="00535628"/>
    <w:rsid w:val="0053564B"/>
    <w:rsid w:val="0053589D"/>
    <w:rsid w:val="00536067"/>
    <w:rsid w:val="00536124"/>
    <w:rsid w:val="0053621D"/>
    <w:rsid w:val="0053622B"/>
    <w:rsid w:val="005363F9"/>
    <w:rsid w:val="005369B9"/>
    <w:rsid w:val="005369F5"/>
    <w:rsid w:val="00536B4D"/>
    <w:rsid w:val="00536C5B"/>
    <w:rsid w:val="00536C7F"/>
    <w:rsid w:val="00536D9F"/>
    <w:rsid w:val="00536FFA"/>
    <w:rsid w:val="0053704B"/>
    <w:rsid w:val="0053751B"/>
    <w:rsid w:val="005375DF"/>
    <w:rsid w:val="005378ED"/>
    <w:rsid w:val="005378FA"/>
    <w:rsid w:val="00537951"/>
    <w:rsid w:val="005379D0"/>
    <w:rsid w:val="005379DD"/>
    <w:rsid w:val="00537B1C"/>
    <w:rsid w:val="00537C3B"/>
    <w:rsid w:val="00537E0B"/>
    <w:rsid w:val="00537E81"/>
    <w:rsid w:val="00537F5D"/>
    <w:rsid w:val="00540021"/>
    <w:rsid w:val="00540042"/>
    <w:rsid w:val="0054095F"/>
    <w:rsid w:val="00540B28"/>
    <w:rsid w:val="00540BC8"/>
    <w:rsid w:val="00540BE4"/>
    <w:rsid w:val="00540C65"/>
    <w:rsid w:val="00540C7C"/>
    <w:rsid w:val="00540E05"/>
    <w:rsid w:val="00540E14"/>
    <w:rsid w:val="00540F39"/>
    <w:rsid w:val="00541146"/>
    <w:rsid w:val="005411B2"/>
    <w:rsid w:val="005412DD"/>
    <w:rsid w:val="0054138C"/>
    <w:rsid w:val="005415D9"/>
    <w:rsid w:val="00541655"/>
    <w:rsid w:val="005417E4"/>
    <w:rsid w:val="00541837"/>
    <w:rsid w:val="00541A77"/>
    <w:rsid w:val="00541B2B"/>
    <w:rsid w:val="00541CEE"/>
    <w:rsid w:val="00541E11"/>
    <w:rsid w:val="00542169"/>
    <w:rsid w:val="005422D4"/>
    <w:rsid w:val="00542467"/>
    <w:rsid w:val="005424C7"/>
    <w:rsid w:val="005427C9"/>
    <w:rsid w:val="00542844"/>
    <w:rsid w:val="00542876"/>
    <w:rsid w:val="005429AF"/>
    <w:rsid w:val="005429C5"/>
    <w:rsid w:val="00542C17"/>
    <w:rsid w:val="00542D58"/>
    <w:rsid w:val="00542E56"/>
    <w:rsid w:val="00543081"/>
    <w:rsid w:val="00543209"/>
    <w:rsid w:val="005432B2"/>
    <w:rsid w:val="005432C4"/>
    <w:rsid w:val="0054333D"/>
    <w:rsid w:val="005435E2"/>
    <w:rsid w:val="005437EB"/>
    <w:rsid w:val="00543849"/>
    <w:rsid w:val="0054386B"/>
    <w:rsid w:val="00543970"/>
    <w:rsid w:val="005439BF"/>
    <w:rsid w:val="00543A0C"/>
    <w:rsid w:val="00543A2F"/>
    <w:rsid w:val="00543AB3"/>
    <w:rsid w:val="00543FAD"/>
    <w:rsid w:val="00543FB4"/>
    <w:rsid w:val="0054400D"/>
    <w:rsid w:val="0054403D"/>
    <w:rsid w:val="005440B9"/>
    <w:rsid w:val="005440E5"/>
    <w:rsid w:val="0054420C"/>
    <w:rsid w:val="005445BA"/>
    <w:rsid w:val="005446B8"/>
    <w:rsid w:val="00544799"/>
    <w:rsid w:val="0054487B"/>
    <w:rsid w:val="00544A2A"/>
    <w:rsid w:val="00544BB6"/>
    <w:rsid w:val="00545192"/>
    <w:rsid w:val="00545219"/>
    <w:rsid w:val="005452B4"/>
    <w:rsid w:val="005454EB"/>
    <w:rsid w:val="0054568D"/>
    <w:rsid w:val="0054577E"/>
    <w:rsid w:val="005457C2"/>
    <w:rsid w:val="00545864"/>
    <w:rsid w:val="00545A33"/>
    <w:rsid w:val="00545C15"/>
    <w:rsid w:val="00545CA4"/>
    <w:rsid w:val="00545D33"/>
    <w:rsid w:val="00545ED5"/>
    <w:rsid w:val="00545FAC"/>
    <w:rsid w:val="00546171"/>
    <w:rsid w:val="00546234"/>
    <w:rsid w:val="005462C0"/>
    <w:rsid w:val="0054641E"/>
    <w:rsid w:val="0054647E"/>
    <w:rsid w:val="0054648B"/>
    <w:rsid w:val="005464D2"/>
    <w:rsid w:val="0054673F"/>
    <w:rsid w:val="005467F8"/>
    <w:rsid w:val="005468B3"/>
    <w:rsid w:val="00546A93"/>
    <w:rsid w:val="00546C51"/>
    <w:rsid w:val="00546F27"/>
    <w:rsid w:val="00546F82"/>
    <w:rsid w:val="00546FA3"/>
    <w:rsid w:val="00546FDB"/>
    <w:rsid w:val="005471F5"/>
    <w:rsid w:val="0054747F"/>
    <w:rsid w:val="005474C2"/>
    <w:rsid w:val="005475A1"/>
    <w:rsid w:val="005475D7"/>
    <w:rsid w:val="00547635"/>
    <w:rsid w:val="005476BB"/>
    <w:rsid w:val="00547850"/>
    <w:rsid w:val="0054797B"/>
    <w:rsid w:val="00547A4F"/>
    <w:rsid w:val="00547C72"/>
    <w:rsid w:val="00547CD8"/>
    <w:rsid w:val="00547D09"/>
    <w:rsid w:val="00547DC1"/>
    <w:rsid w:val="00547DC7"/>
    <w:rsid w:val="00547E21"/>
    <w:rsid w:val="00547EB5"/>
    <w:rsid w:val="00547EC2"/>
    <w:rsid w:val="00547EE4"/>
    <w:rsid w:val="00547EFE"/>
    <w:rsid w:val="00550174"/>
    <w:rsid w:val="00550199"/>
    <w:rsid w:val="005501FD"/>
    <w:rsid w:val="0055037B"/>
    <w:rsid w:val="00550453"/>
    <w:rsid w:val="005506D9"/>
    <w:rsid w:val="005509F3"/>
    <w:rsid w:val="00550A05"/>
    <w:rsid w:val="00550C04"/>
    <w:rsid w:val="00550C88"/>
    <w:rsid w:val="0055124C"/>
    <w:rsid w:val="005514AC"/>
    <w:rsid w:val="00551522"/>
    <w:rsid w:val="005518C8"/>
    <w:rsid w:val="00551A0D"/>
    <w:rsid w:val="00551AE9"/>
    <w:rsid w:val="00551C30"/>
    <w:rsid w:val="00551C47"/>
    <w:rsid w:val="00551D84"/>
    <w:rsid w:val="00551E1C"/>
    <w:rsid w:val="00551F96"/>
    <w:rsid w:val="005520FE"/>
    <w:rsid w:val="00552168"/>
    <w:rsid w:val="005522DC"/>
    <w:rsid w:val="005523B6"/>
    <w:rsid w:val="00552445"/>
    <w:rsid w:val="00552550"/>
    <w:rsid w:val="00552552"/>
    <w:rsid w:val="005526C5"/>
    <w:rsid w:val="0055278D"/>
    <w:rsid w:val="00552A3A"/>
    <w:rsid w:val="0055305E"/>
    <w:rsid w:val="005530CB"/>
    <w:rsid w:val="005531C8"/>
    <w:rsid w:val="005531D7"/>
    <w:rsid w:val="0055333C"/>
    <w:rsid w:val="005536B2"/>
    <w:rsid w:val="00553725"/>
    <w:rsid w:val="00553746"/>
    <w:rsid w:val="005537A5"/>
    <w:rsid w:val="005539F2"/>
    <w:rsid w:val="00553C95"/>
    <w:rsid w:val="00553D50"/>
    <w:rsid w:val="00553E4F"/>
    <w:rsid w:val="00553F8B"/>
    <w:rsid w:val="00554277"/>
    <w:rsid w:val="005543A2"/>
    <w:rsid w:val="005543F5"/>
    <w:rsid w:val="0055443C"/>
    <w:rsid w:val="00554533"/>
    <w:rsid w:val="005545F4"/>
    <w:rsid w:val="005547A2"/>
    <w:rsid w:val="0055483D"/>
    <w:rsid w:val="005549B4"/>
    <w:rsid w:val="00554DD9"/>
    <w:rsid w:val="005550CF"/>
    <w:rsid w:val="00555249"/>
    <w:rsid w:val="00555494"/>
    <w:rsid w:val="0055562C"/>
    <w:rsid w:val="00555753"/>
    <w:rsid w:val="0055586C"/>
    <w:rsid w:val="005558BA"/>
    <w:rsid w:val="005558D9"/>
    <w:rsid w:val="005558E9"/>
    <w:rsid w:val="005559DE"/>
    <w:rsid w:val="00555BCC"/>
    <w:rsid w:val="00555CF8"/>
    <w:rsid w:val="00555EB2"/>
    <w:rsid w:val="00555FF1"/>
    <w:rsid w:val="00556102"/>
    <w:rsid w:val="00556406"/>
    <w:rsid w:val="00556563"/>
    <w:rsid w:val="0055670F"/>
    <w:rsid w:val="00556722"/>
    <w:rsid w:val="00556738"/>
    <w:rsid w:val="00556799"/>
    <w:rsid w:val="00556B45"/>
    <w:rsid w:val="00556D58"/>
    <w:rsid w:val="00556EC8"/>
    <w:rsid w:val="00556F38"/>
    <w:rsid w:val="00556FFE"/>
    <w:rsid w:val="0055722B"/>
    <w:rsid w:val="0055722C"/>
    <w:rsid w:val="00557380"/>
    <w:rsid w:val="005574DE"/>
    <w:rsid w:val="00557838"/>
    <w:rsid w:val="0055798D"/>
    <w:rsid w:val="00557C8A"/>
    <w:rsid w:val="00557D0A"/>
    <w:rsid w:val="00557D90"/>
    <w:rsid w:val="00557EAA"/>
    <w:rsid w:val="00557F1E"/>
    <w:rsid w:val="00557F3D"/>
    <w:rsid w:val="00560136"/>
    <w:rsid w:val="00560144"/>
    <w:rsid w:val="0056031E"/>
    <w:rsid w:val="00560320"/>
    <w:rsid w:val="00560446"/>
    <w:rsid w:val="0056046C"/>
    <w:rsid w:val="005604CE"/>
    <w:rsid w:val="005605D0"/>
    <w:rsid w:val="00560601"/>
    <w:rsid w:val="0056061F"/>
    <w:rsid w:val="005606B1"/>
    <w:rsid w:val="005606F4"/>
    <w:rsid w:val="005606F8"/>
    <w:rsid w:val="005608AD"/>
    <w:rsid w:val="005608C9"/>
    <w:rsid w:val="0056091C"/>
    <w:rsid w:val="0056099B"/>
    <w:rsid w:val="00560AD9"/>
    <w:rsid w:val="00560B75"/>
    <w:rsid w:val="00560E29"/>
    <w:rsid w:val="00560FE3"/>
    <w:rsid w:val="0056122A"/>
    <w:rsid w:val="00561347"/>
    <w:rsid w:val="00561417"/>
    <w:rsid w:val="005616DD"/>
    <w:rsid w:val="005616DE"/>
    <w:rsid w:val="005617AE"/>
    <w:rsid w:val="005619B0"/>
    <w:rsid w:val="00561AAC"/>
    <w:rsid w:val="00561C0D"/>
    <w:rsid w:val="00561C30"/>
    <w:rsid w:val="00561E75"/>
    <w:rsid w:val="00561E9E"/>
    <w:rsid w:val="0056205C"/>
    <w:rsid w:val="005620C2"/>
    <w:rsid w:val="005621FA"/>
    <w:rsid w:val="0056229A"/>
    <w:rsid w:val="005623A6"/>
    <w:rsid w:val="005623C8"/>
    <w:rsid w:val="0056245C"/>
    <w:rsid w:val="00562461"/>
    <w:rsid w:val="0056248C"/>
    <w:rsid w:val="00562593"/>
    <w:rsid w:val="0056274D"/>
    <w:rsid w:val="005627F3"/>
    <w:rsid w:val="00562949"/>
    <w:rsid w:val="005629CB"/>
    <w:rsid w:val="00562C99"/>
    <w:rsid w:val="00562CA8"/>
    <w:rsid w:val="00562DC3"/>
    <w:rsid w:val="00562EE0"/>
    <w:rsid w:val="00562F44"/>
    <w:rsid w:val="005630C6"/>
    <w:rsid w:val="00563399"/>
    <w:rsid w:val="0056343D"/>
    <w:rsid w:val="0056344F"/>
    <w:rsid w:val="0056353A"/>
    <w:rsid w:val="0056362C"/>
    <w:rsid w:val="005636CA"/>
    <w:rsid w:val="00563839"/>
    <w:rsid w:val="0056385B"/>
    <w:rsid w:val="0056393D"/>
    <w:rsid w:val="00563AAD"/>
    <w:rsid w:val="00563F3D"/>
    <w:rsid w:val="00564275"/>
    <w:rsid w:val="0056439E"/>
    <w:rsid w:val="0056469B"/>
    <w:rsid w:val="005646CC"/>
    <w:rsid w:val="00564723"/>
    <w:rsid w:val="005647DD"/>
    <w:rsid w:val="005648E0"/>
    <w:rsid w:val="00564997"/>
    <w:rsid w:val="00564BB3"/>
    <w:rsid w:val="00564C12"/>
    <w:rsid w:val="00564D29"/>
    <w:rsid w:val="00564EE8"/>
    <w:rsid w:val="00564FEA"/>
    <w:rsid w:val="00565174"/>
    <w:rsid w:val="005651A5"/>
    <w:rsid w:val="005651F5"/>
    <w:rsid w:val="0056542D"/>
    <w:rsid w:val="0056554A"/>
    <w:rsid w:val="00565575"/>
    <w:rsid w:val="00565580"/>
    <w:rsid w:val="0056564E"/>
    <w:rsid w:val="00565738"/>
    <w:rsid w:val="00565944"/>
    <w:rsid w:val="005659BE"/>
    <w:rsid w:val="00565CD3"/>
    <w:rsid w:val="00565DA5"/>
    <w:rsid w:val="00565ECA"/>
    <w:rsid w:val="00565F82"/>
    <w:rsid w:val="00565FB1"/>
    <w:rsid w:val="00566057"/>
    <w:rsid w:val="0056625D"/>
    <w:rsid w:val="00566349"/>
    <w:rsid w:val="00566435"/>
    <w:rsid w:val="0056652B"/>
    <w:rsid w:val="00566675"/>
    <w:rsid w:val="005666B6"/>
    <w:rsid w:val="00566719"/>
    <w:rsid w:val="00566946"/>
    <w:rsid w:val="00566ED8"/>
    <w:rsid w:val="00566FBC"/>
    <w:rsid w:val="0056735B"/>
    <w:rsid w:val="0056743D"/>
    <w:rsid w:val="0056773E"/>
    <w:rsid w:val="0056778B"/>
    <w:rsid w:val="00567923"/>
    <w:rsid w:val="00567B3F"/>
    <w:rsid w:val="00567C4A"/>
    <w:rsid w:val="00567CD0"/>
    <w:rsid w:val="00567E7D"/>
    <w:rsid w:val="00567EEC"/>
    <w:rsid w:val="00567F14"/>
    <w:rsid w:val="00570165"/>
    <w:rsid w:val="00570250"/>
    <w:rsid w:val="005702DB"/>
    <w:rsid w:val="005702DE"/>
    <w:rsid w:val="005706CD"/>
    <w:rsid w:val="005707E0"/>
    <w:rsid w:val="0057088B"/>
    <w:rsid w:val="0057096F"/>
    <w:rsid w:val="00570AB3"/>
    <w:rsid w:val="00570C5D"/>
    <w:rsid w:val="00570CF0"/>
    <w:rsid w:val="00570F4A"/>
    <w:rsid w:val="00570F9E"/>
    <w:rsid w:val="00571030"/>
    <w:rsid w:val="0057105E"/>
    <w:rsid w:val="0057106B"/>
    <w:rsid w:val="005710F5"/>
    <w:rsid w:val="00571150"/>
    <w:rsid w:val="0057127A"/>
    <w:rsid w:val="005714EF"/>
    <w:rsid w:val="005714FC"/>
    <w:rsid w:val="0057180E"/>
    <w:rsid w:val="0057182F"/>
    <w:rsid w:val="00571912"/>
    <w:rsid w:val="005719DF"/>
    <w:rsid w:val="00571A45"/>
    <w:rsid w:val="00571B4B"/>
    <w:rsid w:val="00571DBE"/>
    <w:rsid w:val="005720C2"/>
    <w:rsid w:val="00572260"/>
    <w:rsid w:val="005724B2"/>
    <w:rsid w:val="005724CD"/>
    <w:rsid w:val="00572623"/>
    <w:rsid w:val="00572632"/>
    <w:rsid w:val="005728D0"/>
    <w:rsid w:val="005729E6"/>
    <w:rsid w:val="00572A7E"/>
    <w:rsid w:val="00572BC5"/>
    <w:rsid w:val="00572EF4"/>
    <w:rsid w:val="00572F82"/>
    <w:rsid w:val="0057303F"/>
    <w:rsid w:val="00573152"/>
    <w:rsid w:val="0057315E"/>
    <w:rsid w:val="0057328A"/>
    <w:rsid w:val="00573414"/>
    <w:rsid w:val="0057389B"/>
    <w:rsid w:val="00573979"/>
    <w:rsid w:val="00573ADD"/>
    <w:rsid w:val="00573C10"/>
    <w:rsid w:val="00573D4A"/>
    <w:rsid w:val="00573D6F"/>
    <w:rsid w:val="00573D7C"/>
    <w:rsid w:val="00573E65"/>
    <w:rsid w:val="00573F65"/>
    <w:rsid w:val="00574054"/>
    <w:rsid w:val="005741E7"/>
    <w:rsid w:val="0057436D"/>
    <w:rsid w:val="005744F8"/>
    <w:rsid w:val="005746B2"/>
    <w:rsid w:val="0057482D"/>
    <w:rsid w:val="00574885"/>
    <w:rsid w:val="0057498B"/>
    <w:rsid w:val="00574A6D"/>
    <w:rsid w:val="00574C04"/>
    <w:rsid w:val="00574E45"/>
    <w:rsid w:val="00574F4A"/>
    <w:rsid w:val="005750BF"/>
    <w:rsid w:val="00575191"/>
    <w:rsid w:val="00575356"/>
    <w:rsid w:val="00575366"/>
    <w:rsid w:val="005754B7"/>
    <w:rsid w:val="0057558B"/>
    <w:rsid w:val="005756DE"/>
    <w:rsid w:val="00575A04"/>
    <w:rsid w:val="00575BAB"/>
    <w:rsid w:val="00575D0A"/>
    <w:rsid w:val="00575EC1"/>
    <w:rsid w:val="00575EFE"/>
    <w:rsid w:val="00576025"/>
    <w:rsid w:val="005760E8"/>
    <w:rsid w:val="00576315"/>
    <w:rsid w:val="00576395"/>
    <w:rsid w:val="0057644F"/>
    <w:rsid w:val="00576457"/>
    <w:rsid w:val="0057645F"/>
    <w:rsid w:val="005764D4"/>
    <w:rsid w:val="005766D7"/>
    <w:rsid w:val="00576767"/>
    <w:rsid w:val="0057682E"/>
    <w:rsid w:val="005768E3"/>
    <w:rsid w:val="005769A4"/>
    <w:rsid w:val="00576A47"/>
    <w:rsid w:val="00576B4D"/>
    <w:rsid w:val="00576BA1"/>
    <w:rsid w:val="00576D11"/>
    <w:rsid w:val="00576ED5"/>
    <w:rsid w:val="00576EF2"/>
    <w:rsid w:val="0057714D"/>
    <w:rsid w:val="0057716C"/>
    <w:rsid w:val="0057726C"/>
    <w:rsid w:val="00577420"/>
    <w:rsid w:val="005774BB"/>
    <w:rsid w:val="0057756D"/>
    <w:rsid w:val="00577AB1"/>
    <w:rsid w:val="00577B30"/>
    <w:rsid w:val="00577BE6"/>
    <w:rsid w:val="00577D25"/>
    <w:rsid w:val="00577D63"/>
    <w:rsid w:val="00577D9E"/>
    <w:rsid w:val="00577E72"/>
    <w:rsid w:val="00577EFE"/>
    <w:rsid w:val="00580036"/>
    <w:rsid w:val="005801D0"/>
    <w:rsid w:val="005803D5"/>
    <w:rsid w:val="00580436"/>
    <w:rsid w:val="005804C9"/>
    <w:rsid w:val="00580604"/>
    <w:rsid w:val="005806DF"/>
    <w:rsid w:val="0058072A"/>
    <w:rsid w:val="005807D3"/>
    <w:rsid w:val="00580910"/>
    <w:rsid w:val="005809B4"/>
    <w:rsid w:val="00580A69"/>
    <w:rsid w:val="00580B39"/>
    <w:rsid w:val="00580C22"/>
    <w:rsid w:val="00580D3F"/>
    <w:rsid w:val="00580D6D"/>
    <w:rsid w:val="00580E5B"/>
    <w:rsid w:val="00580EE9"/>
    <w:rsid w:val="00580FE5"/>
    <w:rsid w:val="005810A7"/>
    <w:rsid w:val="00581217"/>
    <w:rsid w:val="00581342"/>
    <w:rsid w:val="0058156E"/>
    <w:rsid w:val="00581597"/>
    <w:rsid w:val="005815A3"/>
    <w:rsid w:val="005816DB"/>
    <w:rsid w:val="0058187E"/>
    <w:rsid w:val="00581924"/>
    <w:rsid w:val="00581AA0"/>
    <w:rsid w:val="00581ADF"/>
    <w:rsid w:val="00581CB7"/>
    <w:rsid w:val="00581F47"/>
    <w:rsid w:val="00582164"/>
    <w:rsid w:val="0058231C"/>
    <w:rsid w:val="0058255C"/>
    <w:rsid w:val="005825C8"/>
    <w:rsid w:val="00582734"/>
    <w:rsid w:val="00582836"/>
    <w:rsid w:val="005828C0"/>
    <w:rsid w:val="005828FC"/>
    <w:rsid w:val="00582A96"/>
    <w:rsid w:val="00582AAB"/>
    <w:rsid w:val="00582C6D"/>
    <w:rsid w:val="00582D37"/>
    <w:rsid w:val="005830CF"/>
    <w:rsid w:val="005830FC"/>
    <w:rsid w:val="00583103"/>
    <w:rsid w:val="0058318C"/>
    <w:rsid w:val="00583254"/>
    <w:rsid w:val="00583369"/>
    <w:rsid w:val="005836C2"/>
    <w:rsid w:val="00583723"/>
    <w:rsid w:val="0058387B"/>
    <w:rsid w:val="0058397F"/>
    <w:rsid w:val="005839CB"/>
    <w:rsid w:val="005839CF"/>
    <w:rsid w:val="00583B9D"/>
    <w:rsid w:val="00583BE9"/>
    <w:rsid w:val="00583E1F"/>
    <w:rsid w:val="00584033"/>
    <w:rsid w:val="00584054"/>
    <w:rsid w:val="005840B2"/>
    <w:rsid w:val="00584220"/>
    <w:rsid w:val="0058427F"/>
    <w:rsid w:val="0058446C"/>
    <w:rsid w:val="00584729"/>
    <w:rsid w:val="0058475D"/>
    <w:rsid w:val="00584777"/>
    <w:rsid w:val="00584D54"/>
    <w:rsid w:val="00584F1F"/>
    <w:rsid w:val="00585104"/>
    <w:rsid w:val="00585381"/>
    <w:rsid w:val="0058539B"/>
    <w:rsid w:val="0058542F"/>
    <w:rsid w:val="00585553"/>
    <w:rsid w:val="005856B2"/>
    <w:rsid w:val="00585711"/>
    <w:rsid w:val="00585771"/>
    <w:rsid w:val="005857DD"/>
    <w:rsid w:val="005859A7"/>
    <w:rsid w:val="005859B9"/>
    <w:rsid w:val="00585A0C"/>
    <w:rsid w:val="00585B72"/>
    <w:rsid w:val="00585BAB"/>
    <w:rsid w:val="00585C79"/>
    <w:rsid w:val="00585CA8"/>
    <w:rsid w:val="00585CEA"/>
    <w:rsid w:val="00585EB6"/>
    <w:rsid w:val="00585F0D"/>
    <w:rsid w:val="005860DA"/>
    <w:rsid w:val="0058618E"/>
    <w:rsid w:val="0058645F"/>
    <w:rsid w:val="00586613"/>
    <w:rsid w:val="00586654"/>
    <w:rsid w:val="005866B3"/>
    <w:rsid w:val="00586761"/>
    <w:rsid w:val="0058677F"/>
    <w:rsid w:val="0058678E"/>
    <w:rsid w:val="005867EE"/>
    <w:rsid w:val="00586977"/>
    <w:rsid w:val="00586B9D"/>
    <w:rsid w:val="00586D6E"/>
    <w:rsid w:val="00586EA7"/>
    <w:rsid w:val="00586F3F"/>
    <w:rsid w:val="0058714E"/>
    <w:rsid w:val="0058718A"/>
    <w:rsid w:val="0058731D"/>
    <w:rsid w:val="00587345"/>
    <w:rsid w:val="00587366"/>
    <w:rsid w:val="0058742A"/>
    <w:rsid w:val="00587552"/>
    <w:rsid w:val="005875F8"/>
    <w:rsid w:val="005876B5"/>
    <w:rsid w:val="0058772C"/>
    <w:rsid w:val="0058786D"/>
    <w:rsid w:val="005878B8"/>
    <w:rsid w:val="005878FA"/>
    <w:rsid w:val="00587BF0"/>
    <w:rsid w:val="00590029"/>
    <w:rsid w:val="00590132"/>
    <w:rsid w:val="00590172"/>
    <w:rsid w:val="00590430"/>
    <w:rsid w:val="005904FE"/>
    <w:rsid w:val="005905DC"/>
    <w:rsid w:val="0059067F"/>
    <w:rsid w:val="005907BB"/>
    <w:rsid w:val="00590876"/>
    <w:rsid w:val="00590898"/>
    <w:rsid w:val="005908F1"/>
    <w:rsid w:val="00590A11"/>
    <w:rsid w:val="00590B1F"/>
    <w:rsid w:val="00590C64"/>
    <w:rsid w:val="00590E1B"/>
    <w:rsid w:val="00590ED7"/>
    <w:rsid w:val="00590F0D"/>
    <w:rsid w:val="00591040"/>
    <w:rsid w:val="005911D2"/>
    <w:rsid w:val="0059126D"/>
    <w:rsid w:val="005912B7"/>
    <w:rsid w:val="00591307"/>
    <w:rsid w:val="0059144E"/>
    <w:rsid w:val="00591580"/>
    <w:rsid w:val="005917BB"/>
    <w:rsid w:val="00591C12"/>
    <w:rsid w:val="00591C1D"/>
    <w:rsid w:val="00591CB1"/>
    <w:rsid w:val="00591FCC"/>
    <w:rsid w:val="005922BF"/>
    <w:rsid w:val="005923B4"/>
    <w:rsid w:val="00592435"/>
    <w:rsid w:val="0059286B"/>
    <w:rsid w:val="0059293A"/>
    <w:rsid w:val="00592982"/>
    <w:rsid w:val="00592AA1"/>
    <w:rsid w:val="00592BB8"/>
    <w:rsid w:val="00592BEA"/>
    <w:rsid w:val="00592CAF"/>
    <w:rsid w:val="00592D02"/>
    <w:rsid w:val="00592D87"/>
    <w:rsid w:val="00592DC0"/>
    <w:rsid w:val="00592E4E"/>
    <w:rsid w:val="00593048"/>
    <w:rsid w:val="0059327C"/>
    <w:rsid w:val="005933F0"/>
    <w:rsid w:val="0059350B"/>
    <w:rsid w:val="00593788"/>
    <w:rsid w:val="00593890"/>
    <w:rsid w:val="00593A61"/>
    <w:rsid w:val="00593A89"/>
    <w:rsid w:val="00593B0B"/>
    <w:rsid w:val="00593B19"/>
    <w:rsid w:val="00593BE3"/>
    <w:rsid w:val="00593C30"/>
    <w:rsid w:val="00593CAF"/>
    <w:rsid w:val="00593FBA"/>
    <w:rsid w:val="00594017"/>
    <w:rsid w:val="00594160"/>
    <w:rsid w:val="0059422C"/>
    <w:rsid w:val="00594325"/>
    <w:rsid w:val="005944DA"/>
    <w:rsid w:val="005945CC"/>
    <w:rsid w:val="00594679"/>
    <w:rsid w:val="00594694"/>
    <w:rsid w:val="005946BA"/>
    <w:rsid w:val="00594900"/>
    <w:rsid w:val="00594904"/>
    <w:rsid w:val="005949B7"/>
    <w:rsid w:val="005950DE"/>
    <w:rsid w:val="0059514D"/>
    <w:rsid w:val="00595385"/>
    <w:rsid w:val="005953A5"/>
    <w:rsid w:val="00595404"/>
    <w:rsid w:val="005955E3"/>
    <w:rsid w:val="005955FF"/>
    <w:rsid w:val="00595974"/>
    <w:rsid w:val="00595982"/>
    <w:rsid w:val="00595CDB"/>
    <w:rsid w:val="00595E6C"/>
    <w:rsid w:val="00595F2E"/>
    <w:rsid w:val="00596025"/>
    <w:rsid w:val="00596287"/>
    <w:rsid w:val="00596297"/>
    <w:rsid w:val="00596306"/>
    <w:rsid w:val="005963D4"/>
    <w:rsid w:val="00596756"/>
    <w:rsid w:val="0059686B"/>
    <w:rsid w:val="005969A8"/>
    <w:rsid w:val="00596CF6"/>
    <w:rsid w:val="00596D69"/>
    <w:rsid w:val="00596EF9"/>
    <w:rsid w:val="0059709A"/>
    <w:rsid w:val="005975B2"/>
    <w:rsid w:val="00597754"/>
    <w:rsid w:val="00597952"/>
    <w:rsid w:val="00597CDA"/>
    <w:rsid w:val="005A05B3"/>
    <w:rsid w:val="005A0868"/>
    <w:rsid w:val="005A08A8"/>
    <w:rsid w:val="005A0955"/>
    <w:rsid w:val="005A0B2A"/>
    <w:rsid w:val="005A0B74"/>
    <w:rsid w:val="005A100A"/>
    <w:rsid w:val="005A1193"/>
    <w:rsid w:val="005A1279"/>
    <w:rsid w:val="005A135B"/>
    <w:rsid w:val="005A14CD"/>
    <w:rsid w:val="005A154E"/>
    <w:rsid w:val="005A1676"/>
    <w:rsid w:val="005A17A9"/>
    <w:rsid w:val="005A1946"/>
    <w:rsid w:val="005A1993"/>
    <w:rsid w:val="005A1CA8"/>
    <w:rsid w:val="005A1DD1"/>
    <w:rsid w:val="005A1DFC"/>
    <w:rsid w:val="005A1E27"/>
    <w:rsid w:val="005A1E32"/>
    <w:rsid w:val="005A1E9D"/>
    <w:rsid w:val="005A1FA7"/>
    <w:rsid w:val="005A2237"/>
    <w:rsid w:val="005A22B3"/>
    <w:rsid w:val="005A231F"/>
    <w:rsid w:val="005A2326"/>
    <w:rsid w:val="005A233F"/>
    <w:rsid w:val="005A25B3"/>
    <w:rsid w:val="005A2609"/>
    <w:rsid w:val="005A26AF"/>
    <w:rsid w:val="005A27DE"/>
    <w:rsid w:val="005A2968"/>
    <w:rsid w:val="005A29A5"/>
    <w:rsid w:val="005A29B2"/>
    <w:rsid w:val="005A2A2D"/>
    <w:rsid w:val="005A2B6E"/>
    <w:rsid w:val="005A2D29"/>
    <w:rsid w:val="005A2D34"/>
    <w:rsid w:val="005A2E4A"/>
    <w:rsid w:val="005A2E99"/>
    <w:rsid w:val="005A2EB8"/>
    <w:rsid w:val="005A2F3C"/>
    <w:rsid w:val="005A2F51"/>
    <w:rsid w:val="005A30BE"/>
    <w:rsid w:val="005A3189"/>
    <w:rsid w:val="005A32E8"/>
    <w:rsid w:val="005A330D"/>
    <w:rsid w:val="005A353E"/>
    <w:rsid w:val="005A3610"/>
    <w:rsid w:val="005A362D"/>
    <w:rsid w:val="005A370A"/>
    <w:rsid w:val="005A37FA"/>
    <w:rsid w:val="005A38B8"/>
    <w:rsid w:val="005A3962"/>
    <w:rsid w:val="005A3CD2"/>
    <w:rsid w:val="005A3F6B"/>
    <w:rsid w:val="005A410C"/>
    <w:rsid w:val="005A45F6"/>
    <w:rsid w:val="005A45F9"/>
    <w:rsid w:val="005A487B"/>
    <w:rsid w:val="005A48A2"/>
    <w:rsid w:val="005A48F0"/>
    <w:rsid w:val="005A491C"/>
    <w:rsid w:val="005A497F"/>
    <w:rsid w:val="005A4A31"/>
    <w:rsid w:val="005A4A80"/>
    <w:rsid w:val="005A4AE2"/>
    <w:rsid w:val="005A4B6F"/>
    <w:rsid w:val="005A4E75"/>
    <w:rsid w:val="005A52F3"/>
    <w:rsid w:val="005A53D4"/>
    <w:rsid w:val="005A53FF"/>
    <w:rsid w:val="005A58AA"/>
    <w:rsid w:val="005A5BD1"/>
    <w:rsid w:val="005A5D44"/>
    <w:rsid w:val="005A6132"/>
    <w:rsid w:val="005A625C"/>
    <w:rsid w:val="005A64DD"/>
    <w:rsid w:val="005A66D1"/>
    <w:rsid w:val="005A66E8"/>
    <w:rsid w:val="005A6803"/>
    <w:rsid w:val="005A6903"/>
    <w:rsid w:val="005A6B98"/>
    <w:rsid w:val="005A7106"/>
    <w:rsid w:val="005A7168"/>
    <w:rsid w:val="005A71E3"/>
    <w:rsid w:val="005A7342"/>
    <w:rsid w:val="005A74DE"/>
    <w:rsid w:val="005A7501"/>
    <w:rsid w:val="005A7527"/>
    <w:rsid w:val="005A75D9"/>
    <w:rsid w:val="005A77FF"/>
    <w:rsid w:val="005A7A2F"/>
    <w:rsid w:val="005A7BE6"/>
    <w:rsid w:val="005B02A3"/>
    <w:rsid w:val="005B04DD"/>
    <w:rsid w:val="005B0704"/>
    <w:rsid w:val="005B070B"/>
    <w:rsid w:val="005B08D9"/>
    <w:rsid w:val="005B0EB9"/>
    <w:rsid w:val="005B10DC"/>
    <w:rsid w:val="005B1124"/>
    <w:rsid w:val="005B11FF"/>
    <w:rsid w:val="005B164F"/>
    <w:rsid w:val="005B1A21"/>
    <w:rsid w:val="005B1BF0"/>
    <w:rsid w:val="005B1EE4"/>
    <w:rsid w:val="005B20BD"/>
    <w:rsid w:val="005B20D3"/>
    <w:rsid w:val="005B212F"/>
    <w:rsid w:val="005B22B5"/>
    <w:rsid w:val="005B2473"/>
    <w:rsid w:val="005B2646"/>
    <w:rsid w:val="005B26F1"/>
    <w:rsid w:val="005B2725"/>
    <w:rsid w:val="005B2ACC"/>
    <w:rsid w:val="005B2AD1"/>
    <w:rsid w:val="005B2B2E"/>
    <w:rsid w:val="005B2B8A"/>
    <w:rsid w:val="005B2D74"/>
    <w:rsid w:val="005B2E3F"/>
    <w:rsid w:val="005B2E61"/>
    <w:rsid w:val="005B2F1F"/>
    <w:rsid w:val="005B2F7E"/>
    <w:rsid w:val="005B2FC7"/>
    <w:rsid w:val="005B31B6"/>
    <w:rsid w:val="005B32F0"/>
    <w:rsid w:val="005B3AD7"/>
    <w:rsid w:val="005B3AFC"/>
    <w:rsid w:val="005B3BEB"/>
    <w:rsid w:val="005B3D89"/>
    <w:rsid w:val="005B3F52"/>
    <w:rsid w:val="005B4190"/>
    <w:rsid w:val="005B41F8"/>
    <w:rsid w:val="005B42C6"/>
    <w:rsid w:val="005B4300"/>
    <w:rsid w:val="005B43AD"/>
    <w:rsid w:val="005B449F"/>
    <w:rsid w:val="005B458F"/>
    <w:rsid w:val="005B466B"/>
    <w:rsid w:val="005B4738"/>
    <w:rsid w:val="005B4842"/>
    <w:rsid w:val="005B48A5"/>
    <w:rsid w:val="005B4A49"/>
    <w:rsid w:val="005B4BA4"/>
    <w:rsid w:val="005B4C26"/>
    <w:rsid w:val="005B4EE7"/>
    <w:rsid w:val="005B5090"/>
    <w:rsid w:val="005B50DC"/>
    <w:rsid w:val="005B51C0"/>
    <w:rsid w:val="005B5200"/>
    <w:rsid w:val="005B52A9"/>
    <w:rsid w:val="005B5470"/>
    <w:rsid w:val="005B54BA"/>
    <w:rsid w:val="005B56FB"/>
    <w:rsid w:val="005B57D4"/>
    <w:rsid w:val="005B583E"/>
    <w:rsid w:val="005B5C08"/>
    <w:rsid w:val="005B5E14"/>
    <w:rsid w:val="005B5E4F"/>
    <w:rsid w:val="005B600B"/>
    <w:rsid w:val="005B610C"/>
    <w:rsid w:val="005B6391"/>
    <w:rsid w:val="005B644D"/>
    <w:rsid w:val="005B64D1"/>
    <w:rsid w:val="005B656F"/>
    <w:rsid w:val="005B6606"/>
    <w:rsid w:val="005B6937"/>
    <w:rsid w:val="005B6E4B"/>
    <w:rsid w:val="005B6EA5"/>
    <w:rsid w:val="005B7188"/>
    <w:rsid w:val="005B7300"/>
    <w:rsid w:val="005B7367"/>
    <w:rsid w:val="005B758E"/>
    <w:rsid w:val="005B763F"/>
    <w:rsid w:val="005B76EE"/>
    <w:rsid w:val="005B7774"/>
    <w:rsid w:val="005B7875"/>
    <w:rsid w:val="005B78E4"/>
    <w:rsid w:val="005B79DC"/>
    <w:rsid w:val="005B7B3C"/>
    <w:rsid w:val="005B7C44"/>
    <w:rsid w:val="005B7C5D"/>
    <w:rsid w:val="005B7F93"/>
    <w:rsid w:val="005C0277"/>
    <w:rsid w:val="005C0410"/>
    <w:rsid w:val="005C048A"/>
    <w:rsid w:val="005C063F"/>
    <w:rsid w:val="005C07FC"/>
    <w:rsid w:val="005C0CDA"/>
    <w:rsid w:val="005C0F21"/>
    <w:rsid w:val="005C0F55"/>
    <w:rsid w:val="005C0F97"/>
    <w:rsid w:val="005C1056"/>
    <w:rsid w:val="005C108A"/>
    <w:rsid w:val="005C10D6"/>
    <w:rsid w:val="005C1388"/>
    <w:rsid w:val="005C1461"/>
    <w:rsid w:val="005C14B2"/>
    <w:rsid w:val="005C1583"/>
    <w:rsid w:val="005C1621"/>
    <w:rsid w:val="005C165A"/>
    <w:rsid w:val="005C176C"/>
    <w:rsid w:val="005C1773"/>
    <w:rsid w:val="005C1BD2"/>
    <w:rsid w:val="005C1BE1"/>
    <w:rsid w:val="005C1DB7"/>
    <w:rsid w:val="005C21E6"/>
    <w:rsid w:val="005C222A"/>
    <w:rsid w:val="005C2391"/>
    <w:rsid w:val="005C2451"/>
    <w:rsid w:val="005C24EB"/>
    <w:rsid w:val="005C24F7"/>
    <w:rsid w:val="005C2853"/>
    <w:rsid w:val="005C2A2C"/>
    <w:rsid w:val="005C2C2F"/>
    <w:rsid w:val="005C2F6C"/>
    <w:rsid w:val="005C2FEB"/>
    <w:rsid w:val="005C31D3"/>
    <w:rsid w:val="005C321C"/>
    <w:rsid w:val="005C3449"/>
    <w:rsid w:val="005C354E"/>
    <w:rsid w:val="005C3688"/>
    <w:rsid w:val="005C36A7"/>
    <w:rsid w:val="005C3804"/>
    <w:rsid w:val="005C3849"/>
    <w:rsid w:val="005C388F"/>
    <w:rsid w:val="005C39AA"/>
    <w:rsid w:val="005C3C31"/>
    <w:rsid w:val="005C3DBE"/>
    <w:rsid w:val="005C414D"/>
    <w:rsid w:val="005C41FD"/>
    <w:rsid w:val="005C4292"/>
    <w:rsid w:val="005C4636"/>
    <w:rsid w:val="005C49E5"/>
    <w:rsid w:val="005C4B08"/>
    <w:rsid w:val="005C4B46"/>
    <w:rsid w:val="005C4C29"/>
    <w:rsid w:val="005C4E42"/>
    <w:rsid w:val="005C4FD1"/>
    <w:rsid w:val="005C5060"/>
    <w:rsid w:val="005C50E0"/>
    <w:rsid w:val="005C51C9"/>
    <w:rsid w:val="005C5295"/>
    <w:rsid w:val="005C52AD"/>
    <w:rsid w:val="005C52F7"/>
    <w:rsid w:val="005C5391"/>
    <w:rsid w:val="005C550D"/>
    <w:rsid w:val="005C5563"/>
    <w:rsid w:val="005C55CD"/>
    <w:rsid w:val="005C5A94"/>
    <w:rsid w:val="005C5B52"/>
    <w:rsid w:val="005C5C2D"/>
    <w:rsid w:val="005C5C9A"/>
    <w:rsid w:val="005C5DB4"/>
    <w:rsid w:val="005C5DE4"/>
    <w:rsid w:val="005C5E06"/>
    <w:rsid w:val="005C615D"/>
    <w:rsid w:val="005C618B"/>
    <w:rsid w:val="005C64ED"/>
    <w:rsid w:val="005C65AD"/>
    <w:rsid w:val="005C65C6"/>
    <w:rsid w:val="005C65E8"/>
    <w:rsid w:val="005C682B"/>
    <w:rsid w:val="005C69C2"/>
    <w:rsid w:val="005C6B35"/>
    <w:rsid w:val="005C6B37"/>
    <w:rsid w:val="005C6D26"/>
    <w:rsid w:val="005C6DDD"/>
    <w:rsid w:val="005C6E7E"/>
    <w:rsid w:val="005C6EE5"/>
    <w:rsid w:val="005C6F30"/>
    <w:rsid w:val="005C74C2"/>
    <w:rsid w:val="005C74FE"/>
    <w:rsid w:val="005C75B8"/>
    <w:rsid w:val="005C773C"/>
    <w:rsid w:val="005C77EB"/>
    <w:rsid w:val="005C77F5"/>
    <w:rsid w:val="005C79E7"/>
    <w:rsid w:val="005C7B38"/>
    <w:rsid w:val="005C7B39"/>
    <w:rsid w:val="005C7B9D"/>
    <w:rsid w:val="005C7D8B"/>
    <w:rsid w:val="005C7DF7"/>
    <w:rsid w:val="005C7E37"/>
    <w:rsid w:val="005C7F79"/>
    <w:rsid w:val="005D0021"/>
    <w:rsid w:val="005D0230"/>
    <w:rsid w:val="005D02CE"/>
    <w:rsid w:val="005D03E3"/>
    <w:rsid w:val="005D04B8"/>
    <w:rsid w:val="005D09CB"/>
    <w:rsid w:val="005D0A8A"/>
    <w:rsid w:val="005D0CF7"/>
    <w:rsid w:val="005D115B"/>
    <w:rsid w:val="005D12D3"/>
    <w:rsid w:val="005D1431"/>
    <w:rsid w:val="005D151F"/>
    <w:rsid w:val="005D1868"/>
    <w:rsid w:val="005D190A"/>
    <w:rsid w:val="005D193F"/>
    <w:rsid w:val="005D19EB"/>
    <w:rsid w:val="005D1B6A"/>
    <w:rsid w:val="005D1BF6"/>
    <w:rsid w:val="005D1BF9"/>
    <w:rsid w:val="005D1D42"/>
    <w:rsid w:val="005D1D82"/>
    <w:rsid w:val="005D1DFB"/>
    <w:rsid w:val="005D1E25"/>
    <w:rsid w:val="005D22E6"/>
    <w:rsid w:val="005D23AD"/>
    <w:rsid w:val="005D24ED"/>
    <w:rsid w:val="005D2514"/>
    <w:rsid w:val="005D255F"/>
    <w:rsid w:val="005D256B"/>
    <w:rsid w:val="005D25E2"/>
    <w:rsid w:val="005D2609"/>
    <w:rsid w:val="005D26EF"/>
    <w:rsid w:val="005D279F"/>
    <w:rsid w:val="005D2881"/>
    <w:rsid w:val="005D2A4F"/>
    <w:rsid w:val="005D2C3D"/>
    <w:rsid w:val="005D2F0C"/>
    <w:rsid w:val="005D2F80"/>
    <w:rsid w:val="005D2F8F"/>
    <w:rsid w:val="005D328F"/>
    <w:rsid w:val="005D3413"/>
    <w:rsid w:val="005D35FC"/>
    <w:rsid w:val="005D3A37"/>
    <w:rsid w:val="005D3E1E"/>
    <w:rsid w:val="005D3FA1"/>
    <w:rsid w:val="005D4031"/>
    <w:rsid w:val="005D415D"/>
    <w:rsid w:val="005D4219"/>
    <w:rsid w:val="005D429B"/>
    <w:rsid w:val="005D4304"/>
    <w:rsid w:val="005D44F8"/>
    <w:rsid w:val="005D451B"/>
    <w:rsid w:val="005D466A"/>
    <w:rsid w:val="005D4769"/>
    <w:rsid w:val="005D4922"/>
    <w:rsid w:val="005D4A91"/>
    <w:rsid w:val="005D4AF6"/>
    <w:rsid w:val="005D4F60"/>
    <w:rsid w:val="005D4F6D"/>
    <w:rsid w:val="005D5199"/>
    <w:rsid w:val="005D51D4"/>
    <w:rsid w:val="005D51EF"/>
    <w:rsid w:val="005D5365"/>
    <w:rsid w:val="005D548D"/>
    <w:rsid w:val="005D54AF"/>
    <w:rsid w:val="005D54C1"/>
    <w:rsid w:val="005D5674"/>
    <w:rsid w:val="005D5CE1"/>
    <w:rsid w:val="005D5D33"/>
    <w:rsid w:val="005D6015"/>
    <w:rsid w:val="005D6233"/>
    <w:rsid w:val="005D638B"/>
    <w:rsid w:val="005D64A8"/>
    <w:rsid w:val="005D656D"/>
    <w:rsid w:val="005D676F"/>
    <w:rsid w:val="005D67FD"/>
    <w:rsid w:val="005D6883"/>
    <w:rsid w:val="005D6EFB"/>
    <w:rsid w:val="005D701C"/>
    <w:rsid w:val="005D7062"/>
    <w:rsid w:val="005D7243"/>
    <w:rsid w:val="005D7322"/>
    <w:rsid w:val="005D7387"/>
    <w:rsid w:val="005D7431"/>
    <w:rsid w:val="005D78AB"/>
    <w:rsid w:val="005D799D"/>
    <w:rsid w:val="005D7AF4"/>
    <w:rsid w:val="005E01D2"/>
    <w:rsid w:val="005E0421"/>
    <w:rsid w:val="005E05E6"/>
    <w:rsid w:val="005E080B"/>
    <w:rsid w:val="005E0839"/>
    <w:rsid w:val="005E095A"/>
    <w:rsid w:val="005E0A4E"/>
    <w:rsid w:val="005E0B0D"/>
    <w:rsid w:val="005E0FCE"/>
    <w:rsid w:val="005E1011"/>
    <w:rsid w:val="005E12FD"/>
    <w:rsid w:val="005E131B"/>
    <w:rsid w:val="005E13D1"/>
    <w:rsid w:val="005E1582"/>
    <w:rsid w:val="005E159A"/>
    <w:rsid w:val="005E15F1"/>
    <w:rsid w:val="005E1884"/>
    <w:rsid w:val="005E1979"/>
    <w:rsid w:val="005E1B49"/>
    <w:rsid w:val="005E1B4A"/>
    <w:rsid w:val="005E1B86"/>
    <w:rsid w:val="005E1ECE"/>
    <w:rsid w:val="005E1EDA"/>
    <w:rsid w:val="005E1F05"/>
    <w:rsid w:val="005E20C2"/>
    <w:rsid w:val="005E226E"/>
    <w:rsid w:val="005E22B2"/>
    <w:rsid w:val="005E232F"/>
    <w:rsid w:val="005E23C6"/>
    <w:rsid w:val="005E2545"/>
    <w:rsid w:val="005E25A6"/>
    <w:rsid w:val="005E2632"/>
    <w:rsid w:val="005E263F"/>
    <w:rsid w:val="005E2659"/>
    <w:rsid w:val="005E2A28"/>
    <w:rsid w:val="005E2B10"/>
    <w:rsid w:val="005E2BF2"/>
    <w:rsid w:val="005E2D9E"/>
    <w:rsid w:val="005E2DBC"/>
    <w:rsid w:val="005E2E27"/>
    <w:rsid w:val="005E2E7B"/>
    <w:rsid w:val="005E2EDD"/>
    <w:rsid w:val="005E32B7"/>
    <w:rsid w:val="005E33E7"/>
    <w:rsid w:val="005E353D"/>
    <w:rsid w:val="005E3543"/>
    <w:rsid w:val="005E3544"/>
    <w:rsid w:val="005E3603"/>
    <w:rsid w:val="005E3724"/>
    <w:rsid w:val="005E3879"/>
    <w:rsid w:val="005E39BC"/>
    <w:rsid w:val="005E3AA6"/>
    <w:rsid w:val="005E3BC1"/>
    <w:rsid w:val="005E3CF7"/>
    <w:rsid w:val="005E3D20"/>
    <w:rsid w:val="005E3E4B"/>
    <w:rsid w:val="005E4160"/>
    <w:rsid w:val="005E41DA"/>
    <w:rsid w:val="005E4414"/>
    <w:rsid w:val="005E45C2"/>
    <w:rsid w:val="005E4608"/>
    <w:rsid w:val="005E46B1"/>
    <w:rsid w:val="005E4A8F"/>
    <w:rsid w:val="005E4A99"/>
    <w:rsid w:val="005E4AF4"/>
    <w:rsid w:val="005E4C05"/>
    <w:rsid w:val="005E4CBF"/>
    <w:rsid w:val="005E4E73"/>
    <w:rsid w:val="005E4E7C"/>
    <w:rsid w:val="005E4EE8"/>
    <w:rsid w:val="005E513B"/>
    <w:rsid w:val="005E524C"/>
    <w:rsid w:val="005E5445"/>
    <w:rsid w:val="005E56E1"/>
    <w:rsid w:val="005E5743"/>
    <w:rsid w:val="005E57D6"/>
    <w:rsid w:val="005E5929"/>
    <w:rsid w:val="005E5959"/>
    <w:rsid w:val="005E595B"/>
    <w:rsid w:val="005E5A48"/>
    <w:rsid w:val="005E5A6A"/>
    <w:rsid w:val="005E5C50"/>
    <w:rsid w:val="005E5E9C"/>
    <w:rsid w:val="005E6385"/>
    <w:rsid w:val="005E6396"/>
    <w:rsid w:val="005E63F8"/>
    <w:rsid w:val="005E6637"/>
    <w:rsid w:val="005E675D"/>
    <w:rsid w:val="005E67A2"/>
    <w:rsid w:val="005E697A"/>
    <w:rsid w:val="005E69B7"/>
    <w:rsid w:val="005E6BAE"/>
    <w:rsid w:val="005E6BF8"/>
    <w:rsid w:val="005E6C7F"/>
    <w:rsid w:val="005E7060"/>
    <w:rsid w:val="005E7350"/>
    <w:rsid w:val="005E75F2"/>
    <w:rsid w:val="005E7641"/>
    <w:rsid w:val="005E78EA"/>
    <w:rsid w:val="005E7AC9"/>
    <w:rsid w:val="005E7B92"/>
    <w:rsid w:val="005E7CB0"/>
    <w:rsid w:val="005E7CDF"/>
    <w:rsid w:val="005E7DED"/>
    <w:rsid w:val="005E7EBE"/>
    <w:rsid w:val="005E7F02"/>
    <w:rsid w:val="005E7F1F"/>
    <w:rsid w:val="005E7FF5"/>
    <w:rsid w:val="005F01B1"/>
    <w:rsid w:val="005F037E"/>
    <w:rsid w:val="005F04AD"/>
    <w:rsid w:val="005F0831"/>
    <w:rsid w:val="005F09BC"/>
    <w:rsid w:val="005F0A08"/>
    <w:rsid w:val="005F0C11"/>
    <w:rsid w:val="005F0C9B"/>
    <w:rsid w:val="005F0CA0"/>
    <w:rsid w:val="005F1011"/>
    <w:rsid w:val="005F10F9"/>
    <w:rsid w:val="005F116C"/>
    <w:rsid w:val="005F1263"/>
    <w:rsid w:val="005F134B"/>
    <w:rsid w:val="005F1363"/>
    <w:rsid w:val="005F1476"/>
    <w:rsid w:val="005F1484"/>
    <w:rsid w:val="005F1489"/>
    <w:rsid w:val="005F15B3"/>
    <w:rsid w:val="005F15B6"/>
    <w:rsid w:val="005F1757"/>
    <w:rsid w:val="005F1813"/>
    <w:rsid w:val="005F1826"/>
    <w:rsid w:val="005F1A20"/>
    <w:rsid w:val="005F1DC2"/>
    <w:rsid w:val="005F2026"/>
    <w:rsid w:val="005F21B5"/>
    <w:rsid w:val="005F2242"/>
    <w:rsid w:val="005F226E"/>
    <w:rsid w:val="005F22BA"/>
    <w:rsid w:val="005F245E"/>
    <w:rsid w:val="005F24F5"/>
    <w:rsid w:val="005F2564"/>
    <w:rsid w:val="005F2578"/>
    <w:rsid w:val="005F25C5"/>
    <w:rsid w:val="005F2844"/>
    <w:rsid w:val="005F28D5"/>
    <w:rsid w:val="005F2925"/>
    <w:rsid w:val="005F29D2"/>
    <w:rsid w:val="005F29FD"/>
    <w:rsid w:val="005F2A13"/>
    <w:rsid w:val="005F2A6D"/>
    <w:rsid w:val="005F2DB6"/>
    <w:rsid w:val="005F3189"/>
    <w:rsid w:val="005F318A"/>
    <w:rsid w:val="005F3194"/>
    <w:rsid w:val="005F3313"/>
    <w:rsid w:val="005F3364"/>
    <w:rsid w:val="005F33F5"/>
    <w:rsid w:val="005F348E"/>
    <w:rsid w:val="005F34B6"/>
    <w:rsid w:val="005F3543"/>
    <w:rsid w:val="005F3797"/>
    <w:rsid w:val="005F382E"/>
    <w:rsid w:val="005F3833"/>
    <w:rsid w:val="005F38FF"/>
    <w:rsid w:val="005F39F9"/>
    <w:rsid w:val="005F3A78"/>
    <w:rsid w:val="005F3B20"/>
    <w:rsid w:val="005F3C0B"/>
    <w:rsid w:val="005F3C2A"/>
    <w:rsid w:val="005F3C3A"/>
    <w:rsid w:val="005F3C91"/>
    <w:rsid w:val="005F3E6B"/>
    <w:rsid w:val="005F3E80"/>
    <w:rsid w:val="005F40AA"/>
    <w:rsid w:val="005F425A"/>
    <w:rsid w:val="005F42E8"/>
    <w:rsid w:val="005F4310"/>
    <w:rsid w:val="005F4412"/>
    <w:rsid w:val="005F45F8"/>
    <w:rsid w:val="005F494D"/>
    <w:rsid w:val="005F4AC0"/>
    <w:rsid w:val="005F4AC9"/>
    <w:rsid w:val="005F4C04"/>
    <w:rsid w:val="005F4C97"/>
    <w:rsid w:val="005F4E71"/>
    <w:rsid w:val="005F4EB0"/>
    <w:rsid w:val="005F5088"/>
    <w:rsid w:val="005F5132"/>
    <w:rsid w:val="005F5350"/>
    <w:rsid w:val="005F54AC"/>
    <w:rsid w:val="005F5795"/>
    <w:rsid w:val="005F57B5"/>
    <w:rsid w:val="005F5944"/>
    <w:rsid w:val="005F5B29"/>
    <w:rsid w:val="005F5C0D"/>
    <w:rsid w:val="005F5CB5"/>
    <w:rsid w:val="005F5D19"/>
    <w:rsid w:val="005F5EE7"/>
    <w:rsid w:val="005F5F63"/>
    <w:rsid w:val="005F5F88"/>
    <w:rsid w:val="005F5FDE"/>
    <w:rsid w:val="005F624D"/>
    <w:rsid w:val="005F641A"/>
    <w:rsid w:val="005F6430"/>
    <w:rsid w:val="005F652B"/>
    <w:rsid w:val="005F65EA"/>
    <w:rsid w:val="005F6627"/>
    <w:rsid w:val="005F6658"/>
    <w:rsid w:val="005F6686"/>
    <w:rsid w:val="005F68DA"/>
    <w:rsid w:val="005F694E"/>
    <w:rsid w:val="005F699E"/>
    <w:rsid w:val="005F6A57"/>
    <w:rsid w:val="005F6BA8"/>
    <w:rsid w:val="005F6D13"/>
    <w:rsid w:val="005F6D71"/>
    <w:rsid w:val="005F6DE2"/>
    <w:rsid w:val="005F6EB7"/>
    <w:rsid w:val="005F7117"/>
    <w:rsid w:val="005F71DE"/>
    <w:rsid w:val="005F71F1"/>
    <w:rsid w:val="005F72A7"/>
    <w:rsid w:val="005F7533"/>
    <w:rsid w:val="005F7861"/>
    <w:rsid w:val="005F7940"/>
    <w:rsid w:val="005F7AF9"/>
    <w:rsid w:val="005F7C4D"/>
    <w:rsid w:val="005F7C97"/>
    <w:rsid w:val="005F7CC5"/>
    <w:rsid w:val="005F7EBD"/>
    <w:rsid w:val="005F7F85"/>
    <w:rsid w:val="005F7F9C"/>
    <w:rsid w:val="00600019"/>
    <w:rsid w:val="0060001E"/>
    <w:rsid w:val="006000A8"/>
    <w:rsid w:val="0060022B"/>
    <w:rsid w:val="00600364"/>
    <w:rsid w:val="00600412"/>
    <w:rsid w:val="00600450"/>
    <w:rsid w:val="0060065A"/>
    <w:rsid w:val="00600682"/>
    <w:rsid w:val="006006D3"/>
    <w:rsid w:val="00600791"/>
    <w:rsid w:val="0060081B"/>
    <w:rsid w:val="00600936"/>
    <w:rsid w:val="00600C5D"/>
    <w:rsid w:val="00600D73"/>
    <w:rsid w:val="00600E19"/>
    <w:rsid w:val="00600E24"/>
    <w:rsid w:val="00600E82"/>
    <w:rsid w:val="00601245"/>
    <w:rsid w:val="0060140C"/>
    <w:rsid w:val="00601455"/>
    <w:rsid w:val="006017FA"/>
    <w:rsid w:val="00601904"/>
    <w:rsid w:val="00601A0C"/>
    <w:rsid w:val="00601ACF"/>
    <w:rsid w:val="00601B73"/>
    <w:rsid w:val="00601C06"/>
    <w:rsid w:val="00601CD9"/>
    <w:rsid w:val="00601D54"/>
    <w:rsid w:val="00601E3D"/>
    <w:rsid w:val="0060204A"/>
    <w:rsid w:val="006020D0"/>
    <w:rsid w:val="00602118"/>
    <w:rsid w:val="0060214B"/>
    <w:rsid w:val="00602183"/>
    <w:rsid w:val="00602723"/>
    <w:rsid w:val="00602A64"/>
    <w:rsid w:val="00602D52"/>
    <w:rsid w:val="00602E43"/>
    <w:rsid w:val="00602F8E"/>
    <w:rsid w:val="00603176"/>
    <w:rsid w:val="006033BB"/>
    <w:rsid w:val="006034A2"/>
    <w:rsid w:val="0060351B"/>
    <w:rsid w:val="006039FD"/>
    <w:rsid w:val="00603F4E"/>
    <w:rsid w:val="00604041"/>
    <w:rsid w:val="006040CB"/>
    <w:rsid w:val="0060412D"/>
    <w:rsid w:val="00604277"/>
    <w:rsid w:val="006042B0"/>
    <w:rsid w:val="00604539"/>
    <w:rsid w:val="006045D6"/>
    <w:rsid w:val="006046AC"/>
    <w:rsid w:val="00604B12"/>
    <w:rsid w:val="00604B6E"/>
    <w:rsid w:val="00604B76"/>
    <w:rsid w:val="00604C2C"/>
    <w:rsid w:val="00604CB1"/>
    <w:rsid w:val="00604D8F"/>
    <w:rsid w:val="00604E9A"/>
    <w:rsid w:val="006050D7"/>
    <w:rsid w:val="00605417"/>
    <w:rsid w:val="00605456"/>
    <w:rsid w:val="00605463"/>
    <w:rsid w:val="006055EA"/>
    <w:rsid w:val="00605848"/>
    <w:rsid w:val="0060589E"/>
    <w:rsid w:val="006059B2"/>
    <w:rsid w:val="00605B60"/>
    <w:rsid w:val="00605B8C"/>
    <w:rsid w:val="00605D3E"/>
    <w:rsid w:val="00605E9A"/>
    <w:rsid w:val="00605F22"/>
    <w:rsid w:val="0060644E"/>
    <w:rsid w:val="006064B0"/>
    <w:rsid w:val="0060654C"/>
    <w:rsid w:val="00606718"/>
    <w:rsid w:val="006067FE"/>
    <w:rsid w:val="00606810"/>
    <w:rsid w:val="0060682D"/>
    <w:rsid w:val="00606965"/>
    <w:rsid w:val="00606987"/>
    <w:rsid w:val="006069D3"/>
    <w:rsid w:val="00606A17"/>
    <w:rsid w:val="00606B4F"/>
    <w:rsid w:val="00606BE9"/>
    <w:rsid w:val="00606C0D"/>
    <w:rsid w:val="00606D50"/>
    <w:rsid w:val="00606D76"/>
    <w:rsid w:val="00606D8F"/>
    <w:rsid w:val="00606E88"/>
    <w:rsid w:val="00606E92"/>
    <w:rsid w:val="00606FB6"/>
    <w:rsid w:val="00607048"/>
    <w:rsid w:val="006072E4"/>
    <w:rsid w:val="0060747D"/>
    <w:rsid w:val="006074E6"/>
    <w:rsid w:val="00607839"/>
    <w:rsid w:val="00607910"/>
    <w:rsid w:val="0060791B"/>
    <w:rsid w:val="006079BF"/>
    <w:rsid w:val="00607A7A"/>
    <w:rsid w:val="00607B13"/>
    <w:rsid w:val="00607D99"/>
    <w:rsid w:val="00607E22"/>
    <w:rsid w:val="006101E2"/>
    <w:rsid w:val="006101E7"/>
    <w:rsid w:val="0061023D"/>
    <w:rsid w:val="0061044E"/>
    <w:rsid w:val="006104DA"/>
    <w:rsid w:val="006104E1"/>
    <w:rsid w:val="00610884"/>
    <w:rsid w:val="006108B4"/>
    <w:rsid w:val="00610A50"/>
    <w:rsid w:val="00610A69"/>
    <w:rsid w:val="00610B29"/>
    <w:rsid w:val="00610D30"/>
    <w:rsid w:val="00610E0C"/>
    <w:rsid w:val="00610F17"/>
    <w:rsid w:val="00610FFA"/>
    <w:rsid w:val="0061107B"/>
    <w:rsid w:val="006110E8"/>
    <w:rsid w:val="006111C9"/>
    <w:rsid w:val="006112F3"/>
    <w:rsid w:val="00611307"/>
    <w:rsid w:val="0061141D"/>
    <w:rsid w:val="0061168A"/>
    <w:rsid w:val="0061170F"/>
    <w:rsid w:val="006117BD"/>
    <w:rsid w:val="006117D9"/>
    <w:rsid w:val="0061193B"/>
    <w:rsid w:val="00611963"/>
    <w:rsid w:val="00611A0B"/>
    <w:rsid w:val="00611EB9"/>
    <w:rsid w:val="00612041"/>
    <w:rsid w:val="0061216E"/>
    <w:rsid w:val="006122EB"/>
    <w:rsid w:val="00612393"/>
    <w:rsid w:val="00612401"/>
    <w:rsid w:val="00612980"/>
    <w:rsid w:val="006129ED"/>
    <w:rsid w:val="00612A1C"/>
    <w:rsid w:val="00612A21"/>
    <w:rsid w:val="00612AEE"/>
    <w:rsid w:val="00612BBA"/>
    <w:rsid w:val="00612C89"/>
    <w:rsid w:val="00612C95"/>
    <w:rsid w:val="00612D80"/>
    <w:rsid w:val="00612DFD"/>
    <w:rsid w:val="00613050"/>
    <w:rsid w:val="00613269"/>
    <w:rsid w:val="00613349"/>
    <w:rsid w:val="006133C3"/>
    <w:rsid w:val="0061342D"/>
    <w:rsid w:val="00613593"/>
    <w:rsid w:val="006135C7"/>
    <w:rsid w:val="00613630"/>
    <w:rsid w:val="00613676"/>
    <w:rsid w:val="006136CA"/>
    <w:rsid w:val="00613A5A"/>
    <w:rsid w:val="00613AF5"/>
    <w:rsid w:val="006140BA"/>
    <w:rsid w:val="00614256"/>
    <w:rsid w:val="006143AB"/>
    <w:rsid w:val="0061479F"/>
    <w:rsid w:val="00614968"/>
    <w:rsid w:val="00614A82"/>
    <w:rsid w:val="00614B30"/>
    <w:rsid w:val="00614BFC"/>
    <w:rsid w:val="00614C1E"/>
    <w:rsid w:val="00614CCF"/>
    <w:rsid w:val="00614D2B"/>
    <w:rsid w:val="00614DC5"/>
    <w:rsid w:val="00614DD7"/>
    <w:rsid w:val="006150E4"/>
    <w:rsid w:val="0061531F"/>
    <w:rsid w:val="006154A6"/>
    <w:rsid w:val="006158CB"/>
    <w:rsid w:val="00615AB1"/>
    <w:rsid w:val="00615DE6"/>
    <w:rsid w:val="00615E90"/>
    <w:rsid w:val="00615F8B"/>
    <w:rsid w:val="00615F99"/>
    <w:rsid w:val="006165DF"/>
    <w:rsid w:val="006165EC"/>
    <w:rsid w:val="00616909"/>
    <w:rsid w:val="006169A9"/>
    <w:rsid w:val="00616A76"/>
    <w:rsid w:val="00616AA9"/>
    <w:rsid w:val="00616B3E"/>
    <w:rsid w:val="00616C0F"/>
    <w:rsid w:val="00616C70"/>
    <w:rsid w:val="00616CCA"/>
    <w:rsid w:val="00616CFA"/>
    <w:rsid w:val="00616FE9"/>
    <w:rsid w:val="00617037"/>
    <w:rsid w:val="00617160"/>
    <w:rsid w:val="006171AF"/>
    <w:rsid w:val="0061726A"/>
    <w:rsid w:val="00617360"/>
    <w:rsid w:val="0061743C"/>
    <w:rsid w:val="0061744D"/>
    <w:rsid w:val="00617674"/>
    <w:rsid w:val="006178E0"/>
    <w:rsid w:val="00617946"/>
    <w:rsid w:val="00617AA5"/>
    <w:rsid w:val="00617AED"/>
    <w:rsid w:val="00617DCF"/>
    <w:rsid w:val="00617E61"/>
    <w:rsid w:val="00617E62"/>
    <w:rsid w:val="00620295"/>
    <w:rsid w:val="00620324"/>
    <w:rsid w:val="00620399"/>
    <w:rsid w:val="00620448"/>
    <w:rsid w:val="006204F7"/>
    <w:rsid w:val="0062064A"/>
    <w:rsid w:val="00620836"/>
    <w:rsid w:val="00620839"/>
    <w:rsid w:val="00620A3F"/>
    <w:rsid w:val="00620B6E"/>
    <w:rsid w:val="00620CE5"/>
    <w:rsid w:val="00620DB5"/>
    <w:rsid w:val="00620E11"/>
    <w:rsid w:val="00620F21"/>
    <w:rsid w:val="006214CA"/>
    <w:rsid w:val="006215E5"/>
    <w:rsid w:val="0062160E"/>
    <w:rsid w:val="006216CA"/>
    <w:rsid w:val="00621727"/>
    <w:rsid w:val="00621795"/>
    <w:rsid w:val="006218D0"/>
    <w:rsid w:val="0062198B"/>
    <w:rsid w:val="00621AB3"/>
    <w:rsid w:val="00621AD0"/>
    <w:rsid w:val="00621B40"/>
    <w:rsid w:val="00621B57"/>
    <w:rsid w:val="00621C4F"/>
    <w:rsid w:val="00621CE4"/>
    <w:rsid w:val="00621D49"/>
    <w:rsid w:val="00621DA7"/>
    <w:rsid w:val="00621FF6"/>
    <w:rsid w:val="0062207F"/>
    <w:rsid w:val="006220FE"/>
    <w:rsid w:val="00622138"/>
    <w:rsid w:val="0062214B"/>
    <w:rsid w:val="006223AF"/>
    <w:rsid w:val="0062242D"/>
    <w:rsid w:val="00622532"/>
    <w:rsid w:val="00622708"/>
    <w:rsid w:val="00622A6D"/>
    <w:rsid w:val="00622BF1"/>
    <w:rsid w:val="00622BF6"/>
    <w:rsid w:val="00622CC9"/>
    <w:rsid w:val="00622D66"/>
    <w:rsid w:val="00622EBE"/>
    <w:rsid w:val="00622F35"/>
    <w:rsid w:val="00623061"/>
    <w:rsid w:val="006230DB"/>
    <w:rsid w:val="0062321C"/>
    <w:rsid w:val="00623254"/>
    <w:rsid w:val="0062328C"/>
    <w:rsid w:val="00623601"/>
    <w:rsid w:val="00623666"/>
    <w:rsid w:val="006236AD"/>
    <w:rsid w:val="0062379E"/>
    <w:rsid w:val="00623985"/>
    <w:rsid w:val="00623B24"/>
    <w:rsid w:val="00623B5E"/>
    <w:rsid w:val="00624116"/>
    <w:rsid w:val="006241E9"/>
    <w:rsid w:val="006241EE"/>
    <w:rsid w:val="00624599"/>
    <w:rsid w:val="006245C1"/>
    <w:rsid w:val="00624694"/>
    <w:rsid w:val="006246C8"/>
    <w:rsid w:val="0062470D"/>
    <w:rsid w:val="00624717"/>
    <w:rsid w:val="00624B32"/>
    <w:rsid w:val="00624C54"/>
    <w:rsid w:val="00624DD2"/>
    <w:rsid w:val="00624E50"/>
    <w:rsid w:val="00624EAD"/>
    <w:rsid w:val="00624F31"/>
    <w:rsid w:val="00625058"/>
    <w:rsid w:val="006251CA"/>
    <w:rsid w:val="006252CE"/>
    <w:rsid w:val="006253DB"/>
    <w:rsid w:val="00625416"/>
    <w:rsid w:val="00625601"/>
    <w:rsid w:val="006257E2"/>
    <w:rsid w:val="00625927"/>
    <w:rsid w:val="00625BBB"/>
    <w:rsid w:val="00625BBF"/>
    <w:rsid w:val="00625BC1"/>
    <w:rsid w:val="00625C00"/>
    <w:rsid w:val="00625CBE"/>
    <w:rsid w:val="00625E66"/>
    <w:rsid w:val="00625E7D"/>
    <w:rsid w:val="00625FE3"/>
    <w:rsid w:val="0062614F"/>
    <w:rsid w:val="00626152"/>
    <w:rsid w:val="006261F2"/>
    <w:rsid w:val="00626234"/>
    <w:rsid w:val="00626477"/>
    <w:rsid w:val="00626C36"/>
    <w:rsid w:val="00626DF7"/>
    <w:rsid w:val="00626EC7"/>
    <w:rsid w:val="00627239"/>
    <w:rsid w:val="00627359"/>
    <w:rsid w:val="0062739D"/>
    <w:rsid w:val="00627495"/>
    <w:rsid w:val="0062752D"/>
    <w:rsid w:val="006277C9"/>
    <w:rsid w:val="006278E2"/>
    <w:rsid w:val="00627B8A"/>
    <w:rsid w:val="00627F8B"/>
    <w:rsid w:val="00630115"/>
    <w:rsid w:val="006303A6"/>
    <w:rsid w:val="00630456"/>
    <w:rsid w:val="006305FE"/>
    <w:rsid w:val="0063063E"/>
    <w:rsid w:val="006306B1"/>
    <w:rsid w:val="006307E0"/>
    <w:rsid w:val="006308B4"/>
    <w:rsid w:val="0063098F"/>
    <w:rsid w:val="00630A24"/>
    <w:rsid w:val="00630B91"/>
    <w:rsid w:val="00630D6C"/>
    <w:rsid w:val="00630FF6"/>
    <w:rsid w:val="006312D6"/>
    <w:rsid w:val="0063135A"/>
    <w:rsid w:val="00631380"/>
    <w:rsid w:val="0063148A"/>
    <w:rsid w:val="0063158D"/>
    <w:rsid w:val="00631773"/>
    <w:rsid w:val="00631788"/>
    <w:rsid w:val="0063186D"/>
    <w:rsid w:val="00631ACA"/>
    <w:rsid w:val="00631AE1"/>
    <w:rsid w:val="00631B0C"/>
    <w:rsid w:val="00631BA8"/>
    <w:rsid w:val="00631BB5"/>
    <w:rsid w:val="00631BFC"/>
    <w:rsid w:val="00631D24"/>
    <w:rsid w:val="00631ED0"/>
    <w:rsid w:val="006320CE"/>
    <w:rsid w:val="00632278"/>
    <w:rsid w:val="00632397"/>
    <w:rsid w:val="00632592"/>
    <w:rsid w:val="0063285A"/>
    <w:rsid w:val="0063297E"/>
    <w:rsid w:val="00632983"/>
    <w:rsid w:val="00632C32"/>
    <w:rsid w:val="00632D3C"/>
    <w:rsid w:val="00632E6B"/>
    <w:rsid w:val="00632FBE"/>
    <w:rsid w:val="006331F4"/>
    <w:rsid w:val="00633463"/>
    <w:rsid w:val="00633650"/>
    <w:rsid w:val="006337B7"/>
    <w:rsid w:val="006337D7"/>
    <w:rsid w:val="00633877"/>
    <w:rsid w:val="00633929"/>
    <w:rsid w:val="00633963"/>
    <w:rsid w:val="00633B0C"/>
    <w:rsid w:val="00633B12"/>
    <w:rsid w:val="00633B20"/>
    <w:rsid w:val="00633C36"/>
    <w:rsid w:val="00633D96"/>
    <w:rsid w:val="00633E0B"/>
    <w:rsid w:val="00633F1B"/>
    <w:rsid w:val="00633F98"/>
    <w:rsid w:val="00634118"/>
    <w:rsid w:val="00634188"/>
    <w:rsid w:val="006343E6"/>
    <w:rsid w:val="00634492"/>
    <w:rsid w:val="006344E0"/>
    <w:rsid w:val="006344FB"/>
    <w:rsid w:val="0063455A"/>
    <w:rsid w:val="0063468C"/>
    <w:rsid w:val="0063469E"/>
    <w:rsid w:val="006346AD"/>
    <w:rsid w:val="00634963"/>
    <w:rsid w:val="0063498F"/>
    <w:rsid w:val="00634FE8"/>
    <w:rsid w:val="006350A6"/>
    <w:rsid w:val="0063511F"/>
    <w:rsid w:val="00635122"/>
    <w:rsid w:val="006353E7"/>
    <w:rsid w:val="00635582"/>
    <w:rsid w:val="0063571B"/>
    <w:rsid w:val="006357BF"/>
    <w:rsid w:val="00635804"/>
    <w:rsid w:val="006358DD"/>
    <w:rsid w:val="0063593C"/>
    <w:rsid w:val="00635980"/>
    <w:rsid w:val="006359AC"/>
    <w:rsid w:val="00635ABA"/>
    <w:rsid w:val="00635B1B"/>
    <w:rsid w:val="00635B4F"/>
    <w:rsid w:val="00635B8D"/>
    <w:rsid w:val="00635CA9"/>
    <w:rsid w:val="00635FD2"/>
    <w:rsid w:val="0063602D"/>
    <w:rsid w:val="00636072"/>
    <w:rsid w:val="00636189"/>
    <w:rsid w:val="006361BF"/>
    <w:rsid w:val="006362EB"/>
    <w:rsid w:val="00636388"/>
    <w:rsid w:val="00636391"/>
    <w:rsid w:val="006364C8"/>
    <w:rsid w:val="006366BB"/>
    <w:rsid w:val="006368C0"/>
    <w:rsid w:val="0063699F"/>
    <w:rsid w:val="00636A1B"/>
    <w:rsid w:val="00636AF6"/>
    <w:rsid w:val="00636CD3"/>
    <w:rsid w:val="00636D1E"/>
    <w:rsid w:val="00636F29"/>
    <w:rsid w:val="00636FD8"/>
    <w:rsid w:val="00637002"/>
    <w:rsid w:val="00637353"/>
    <w:rsid w:val="00637428"/>
    <w:rsid w:val="0063747C"/>
    <w:rsid w:val="00637513"/>
    <w:rsid w:val="00637544"/>
    <w:rsid w:val="0063754E"/>
    <w:rsid w:val="00637556"/>
    <w:rsid w:val="00637634"/>
    <w:rsid w:val="00637922"/>
    <w:rsid w:val="00637BA3"/>
    <w:rsid w:val="00637BB1"/>
    <w:rsid w:val="00637F29"/>
    <w:rsid w:val="006400AB"/>
    <w:rsid w:val="006407C0"/>
    <w:rsid w:val="0064089A"/>
    <w:rsid w:val="00640ACF"/>
    <w:rsid w:val="00640EC8"/>
    <w:rsid w:val="0064135B"/>
    <w:rsid w:val="006413F2"/>
    <w:rsid w:val="00641477"/>
    <w:rsid w:val="006414DD"/>
    <w:rsid w:val="00641510"/>
    <w:rsid w:val="0064155E"/>
    <w:rsid w:val="0064158E"/>
    <w:rsid w:val="006418E3"/>
    <w:rsid w:val="006419EB"/>
    <w:rsid w:val="00641C85"/>
    <w:rsid w:val="00641E3F"/>
    <w:rsid w:val="00641E8B"/>
    <w:rsid w:val="006420B2"/>
    <w:rsid w:val="00642155"/>
    <w:rsid w:val="00642189"/>
    <w:rsid w:val="00642279"/>
    <w:rsid w:val="006423EF"/>
    <w:rsid w:val="006424FD"/>
    <w:rsid w:val="006425B0"/>
    <w:rsid w:val="0064260A"/>
    <w:rsid w:val="006426AA"/>
    <w:rsid w:val="006426DE"/>
    <w:rsid w:val="00642763"/>
    <w:rsid w:val="0064289E"/>
    <w:rsid w:val="00642A78"/>
    <w:rsid w:val="00642C83"/>
    <w:rsid w:val="00642CAF"/>
    <w:rsid w:val="00642CCF"/>
    <w:rsid w:val="00642D95"/>
    <w:rsid w:val="00643010"/>
    <w:rsid w:val="006432B5"/>
    <w:rsid w:val="0064333F"/>
    <w:rsid w:val="00643429"/>
    <w:rsid w:val="006435D0"/>
    <w:rsid w:val="0064360C"/>
    <w:rsid w:val="00643760"/>
    <w:rsid w:val="006437EC"/>
    <w:rsid w:val="006439F6"/>
    <w:rsid w:val="00643A6A"/>
    <w:rsid w:val="00643D86"/>
    <w:rsid w:val="00643E85"/>
    <w:rsid w:val="00643EEC"/>
    <w:rsid w:val="00643FAC"/>
    <w:rsid w:val="00644320"/>
    <w:rsid w:val="006443D1"/>
    <w:rsid w:val="0064444D"/>
    <w:rsid w:val="006445C6"/>
    <w:rsid w:val="00644742"/>
    <w:rsid w:val="00644B2C"/>
    <w:rsid w:val="00644BC6"/>
    <w:rsid w:val="00644C3D"/>
    <w:rsid w:val="00644CA8"/>
    <w:rsid w:val="00644E24"/>
    <w:rsid w:val="00644EC8"/>
    <w:rsid w:val="00644F8A"/>
    <w:rsid w:val="00644FFD"/>
    <w:rsid w:val="00645185"/>
    <w:rsid w:val="006451B4"/>
    <w:rsid w:val="0064536A"/>
    <w:rsid w:val="006453F6"/>
    <w:rsid w:val="006454D7"/>
    <w:rsid w:val="00645603"/>
    <w:rsid w:val="006458FE"/>
    <w:rsid w:val="00645A11"/>
    <w:rsid w:val="00645C8C"/>
    <w:rsid w:val="00645CAF"/>
    <w:rsid w:val="0064600E"/>
    <w:rsid w:val="00646084"/>
    <w:rsid w:val="00646093"/>
    <w:rsid w:val="006460BD"/>
    <w:rsid w:val="006460D1"/>
    <w:rsid w:val="00646132"/>
    <w:rsid w:val="006461D1"/>
    <w:rsid w:val="00646345"/>
    <w:rsid w:val="006463E6"/>
    <w:rsid w:val="00646577"/>
    <w:rsid w:val="006465CD"/>
    <w:rsid w:val="00646607"/>
    <w:rsid w:val="006466D7"/>
    <w:rsid w:val="00646736"/>
    <w:rsid w:val="0064681B"/>
    <w:rsid w:val="0064681E"/>
    <w:rsid w:val="006469CF"/>
    <w:rsid w:val="00646B5B"/>
    <w:rsid w:val="00646DB6"/>
    <w:rsid w:val="00646F35"/>
    <w:rsid w:val="00646F49"/>
    <w:rsid w:val="00646FF7"/>
    <w:rsid w:val="006471DA"/>
    <w:rsid w:val="00647468"/>
    <w:rsid w:val="0064757C"/>
    <w:rsid w:val="006476ED"/>
    <w:rsid w:val="006478E3"/>
    <w:rsid w:val="0064798F"/>
    <w:rsid w:val="00647B15"/>
    <w:rsid w:val="00647C41"/>
    <w:rsid w:val="00647F5D"/>
    <w:rsid w:val="0065009A"/>
    <w:rsid w:val="006500C8"/>
    <w:rsid w:val="0065038F"/>
    <w:rsid w:val="00650568"/>
    <w:rsid w:val="006505A0"/>
    <w:rsid w:val="0065064F"/>
    <w:rsid w:val="006506AC"/>
    <w:rsid w:val="006506B0"/>
    <w:rsid w:val="006508DA"/>
    <w:rsid w:val="0065099A"/>
    <w:rsid w:val="00650AD1"/>
    <w:rsid w:val="00650B44"/>
    <w:rsid w:val="00650CBA"/>
    <w:rsid w:val="00650D35"/>
    <w:rsid w:val="00650E5A"/>
    <w:rsid w:val="00650F9B"/>
    <w:rsid w:val="006510B6"/>
    <w:rsid w:val="00651739"/>
    <w:rsid w:val="00651B93"/>
    <w:rsid w:val="00651CB0"/>
    <w:rsid w:val="00651CC4"/>
    <w:rsid w:val="00651F2B"/>
    <w:rsid w:val="00652016"/>
    <w:rsid w:val="006520B9"/>
    <w:rsid w:val="006522F7"/>
    <w:rsid w:val="0065230A"/>
    <w:rsid w:val="00652460"/>
    <w:rsid w:val="00652779"/>
    <w:rsid w:val="00652AAD"/>
    <w:rsid w:val="00652B29"/>
    <w:rsid w:val="00652B42"/>
    <w:rsid w:val="00652BAA"/>
    <w:rsid w:val="00652C51"/>
    <w:rsid w:val="00652C98"/>
    <w:rsid w:val="0065304F"/>
    <w:rsid w:val="006530EB"/>
    <w:rsid w:val="00653164"/>
    <w:rsid w:val="0065317E"/>
    <w:rsid w:val="006536A7"/>
    <w:rsid w:val="006537E0"/>
    <w:rsid w:val="00653A4D"/>
    <w:rsid w:val="00653C10"/>
    <w:rsid w:val="00653C45"/>
    <w:rsid w:val="00653DF0"/>
    <w:rsid w:val="00654163"/>
    <w:rsid w:val="006541D3"/>
    <w:rsid w:val="0065423D"/>
    <w:rsid w:val="006542A3"/>
    <w:rsid w:val="006542F3"/>
    <w:rsid w:val="00654349"/>
    <w:rsid w:val="0065453F"/>
    <w:rsid w:val="0065458E"/>
    <w:rsid w:val="00654592"/>
    <w:rsid w:val="006545F6"/>
    <w:rsid w:val="00654784"/>
    <w:rsid w:val="00654826"/>
    <w:rsid w:val="00654937"/>
    <w:rsid w:val="00654972"/>
    <w:rsid w:val="00654990"/>
    <w:rsid w:val="00654B5F"/>
    <w:rsid w:val="00654FAB"/>
    <w:rsid w:val="0065501B"/>
    <w:rsid w:val="0065505D"/>
    <w:rsid w:val="00655426"/>
    <w:rsid w:val="006554A5"/>
    <w:rsid w:val="006554EB"/>
    <w:rsid w:val="00655530"/>
    <w:rsid w:val="00655622"/>
    <w:rsid w:val="00655854"/>
    <w:rsid w:val="00655AE8"/>
    <w:rsid w:val="00655B36"/>
    <w:rsid w:val="00655C91"/>
    <w:rsid w:val="00655D41"/>
    <w:rsid w:val="006560D9"/>
    <w:rsid w:val="00656400"/>
    <w:rsid w:val="00656631"/>
    <w:rsid w:val="00656825"/>
    <w:rsid w:val="00656920"/>
    <w:rsid w:val="0065696D"/>
    <w:rsid w:val="00656977"/>
    <w:rsid w:val="0065699F"/>
    <w:rsid w:val="00656A1D"/>
    <w:rsid w:val="00656A78"/>
    <w:rsid w:val="00656C17"/>
    <w:rsid w:val="00656D86"/>
    <w:rsid w:val="00657061"/>
    <w:rsid w:val="00657086"/>
    <w:rsid w:val="006570EE"/>
    <w:rsid w:val="0065727E"/>
    <w:rsid w:val="00657290"/>
    <w:rsid w:val="006572DE"/>
    <w:rsid w:val="00657380"/>
    <w:rsid w:val="006573A7"/>
    <w:rsid w:val="0065759F"/>
    <w:rsid w:val="00657612"/>
    <w:rsid w:val="00657829"/>
    <w:rsid w:val="006579BD"/>
    <w:rsid w:val="00657AF3"/>
    <w:rsid w:val="00657C75"/>
    <w:rsid w:val="00657CED"/>
    <w:rsid w:val="00657D06"/>
    <w:rsid w:val="006601AC"/>
    <w:rsid w:val="006601FA"/>
    <w:rsid w:val="006606E1"/>
    <w:rsid w:val="00660701"/>
    <w:rsid w:val="0066090B"/>
    <w:rsid w:val="00660979"/>
    <w:rsid w:val="00660A5F"/>
    <w:rsid w:val="00660A6B"/>
    <w:rsid w:val="00660B63"/>
    <w:rsid w:val="00660BBE"/>
    <w:rsid w:val="00660CBD"/>
    <w:rsid w:val="00660FFE"/>
    <w:rsid w:val="00661010"/>
    <w:rsid w:val="00661448"/>
    <w:rsid w:val="00661534"/>
    <w:rsid w:val="0066163C"/>
    <w:rsid w:val="006616AA"/>
    <w:rsid w:val="0066187B"/>
    <w:rsid w:val="00661892"/>
    <w:rsid w:val="00661AAA"/>
    <w:rsid w:val="00661B5B"/>
    <w:rsid w:val="00661C1A"/>
    <w:rsid w:val="00661F6A"/>
    <w:rsid w:val="00661FF6"/>
    <w:rsid w:val="00662087"/>
    <w:rsid w:val="0066218D"/>
    <w:rsid w:val="00662293"/>
    <w:rsid w:val="006624D9"/>
    <w:rsid w:val="00662510"/>
    <w:rsid w:val="00662557"/>
    <w:rsid w:val="00662583"/>
    <w:rsid w:val="006627B3"/>
    <w:rsid w:val="0066288F"/>
    <w:rsid w:val="00662B0A"/>
    <w:rsid w:val="00662B9B"/>
    <w:rsid w:val="00662D8D"/>
    <w:rsid w:val="00662EB8"/>
    <w:rsid w:val="00662F0A"/>
    <w:rsid w:val="00662FA2"/>
    <w:rsid w:val="0066301A"/>
    <w:rsid w:val="006635C8"/>
    <w:rsid w:val="00663718"/>
    <w:rsid w:val="0066373C"/>
    <w:rsid w:val="0066378C"/>
    <w:rsid w:val="006637A1"/>
    <w:rsid w:val="00663823"/>
    <w:rsid w:val="0066397D"/>
    <w:rsid w:val="00663980"/>
    <w:rsid w:val="006639E6"/>
    <w:rsid w:val="00663A27"/>
    <w:rsid w:val="00663C7C"/>
    <w:rsid w:val="00663D9F"/>
    <w:rsid w:val="00663E6F"/>
    <w:rsid w:val="00663F3D"/>
    <w:rsid w:val="00664059"/>
    <w:rsid w:val="006642ED"/>
    <w:rsid w:val="006644F0"/>
    <w:rsid w:val="0066476D"/>
    <w:rsid w:val="006648CD"/>
    <w:rsid w:val="006649F6"/>
    <w:rsid w:val="00664BB5"/>
    <w:rsid w:val="00664D1C"/>
    <w:rsid w:val="00664F4C"/>
    <w:rsid w:val="00665467"/>
    <w:rsid w:val="006654D4"/>
    <w:rsid w:val="006655AD"/>
    <w:rsid w:val="00665737"/>
    <w:rsid w:val="006657C1"/>
    <w:rsid w:val="00665884"/>
    <w:rsid w:val="00665B3F"/>
    <w:rsid w:val="00665C70"/>
    <w:rsid w:val="00665D11"/>
    <w:rsid w:val="00665D47"/>
    <w:rsid w:val="00665DBF"/>
    <w:rsid w:val="00665EB9"/>
    <w:rsid w:val="0066611F"/>
    <w:rsid w:val="006661A1"/>
    <w:rsid w:val="006663EA"/>
    <w:rsid w:val="00666405"/>
    <w:rsid w:val="00666661"/>
    <w:rsid w:val="006666B7"/>
    <w:rsid w:val="006666EB"/>
    <w:rsid w:val="00666765"/>
    <w:rsid w:val="006668E4"/>
    <w:rsid w:val="00666AE2"/>
    <w:rsid w:val="00666CE0"/>
    <w:rsid w:val="00667326"/>
    <w:rsid w:val="006674BF"/>
    <w:rsid w:val="0066755E"/>
    <w:rsid w:val="006676AA"/>
    <w:rsid w:val="006677D7"/>
    <w:rsid w:val="00667905"/>
    <w:rsid w:val="00667BC4"/>
    <w:rsid w:val="00667C3A"/>
    <w:rsid w:val="00667D89"/>
    <w:rsid w:val="00667F18"/>
    <w:rsid w:val="006700D2"/>
    <w:rsid w:val="006701B7"/>
    <w:rsid w:val="006702CF"/>
    <w:rsid w:val="00670321"/>
    <w:rsid w:val="0067049C"/>
    <w:rsid w:val="006704D8"/>
    <w:rsid w:val="00670673"/>
    <w:rsid w:val="006709A3"/>
    <w:rsid w:val="006709EF"/>
    <w:rsid w:val="00670B80"/>
    <w:rsid w:val="00670D68"/>
    <w:rsid w:val="00670F4F"/>
    <w:rsid w:val="006710DD"/>
    <w:rsid w:val="006712CD"/>
    <w:rsid w:val="00671305"/>
    <w:rsid w:val="00671358"/>
    <w:rsid w:val="006715D5"/>
    <w:rsid w:val="00671739"/>
    <w:rsid w:val="006718D6"/>
    <w:rsid w:val="0067195C"/>
    <w:rsid w:val="00671D8F"/>
    <w:rsid w:val="00671DD2"/>
    <w:rsid w:val="00672166"/>
    <w:rsid w:val="0067220F"/>
    <w:rsid w:val="00672323"/>
    <w:rsid w:val="00672642"/>
    <w:rsid w:val="0067278A"/>
    <w:rsid w:val="0067282B"/>
    <w:rsid w:val="00672C7E"/>
    <w:rsid w:val="00672CC1"/>
    <w:rsid w:val="00672D0E"/>
    <w:rsid w:val="00672D60"/>
    <w:rsid w:val="00672D94"/>
    <w:rsid w:val="00672FC9"/>
    <w:rsid w:val="0067319F"/>
    <w:rsid w:val="00673331"/>
    <w:rsid w:val="0067333E"/>
    <w:rsid w:val="0067355D"/>
    <w:rsid w:val="0067370D"/>
    <w:rsid w:val="00673A3B"/>
    <w:rsid w:val="00673A99"/>
    <w:rsid w:val="00673B28"/>
    <w:rsid w:val="00673B2F"/>
    <w:rsid w:val="00673D66"/>
    <w:rsid w:val="00673D9D"/>
    <w:rsid w:val="00673DBF"/>
    <w:rsid w:val="00673EF3"/>
    <w:rsid w:val="00674225"/>
    <w:rsid w:val="0067428D"/>
    <w:rsid w:val="00674584"/>
    <w:rsid w:val="00674BEB"/>
    <w:rsid w:val="00674CB9"/>
    <w:rsid w:val="00674E51"/>
    <w:rsid w:val="00674E82"/>
    <w:rsid w:val="00674F98"/>
    <w:rsid w:val="00674FC2"/>
    <w:rsid w:val="0067501F"/>
    <w:rsid w:val="00675042"/>
    <w:rsid w:val="00675057"/>
    <w:rsid w:val="00675266"/>
    <w:rsid w:val="0067527B"/>
    <w:rsid w:val="006753A4"/>
    <w:rsid w:val="006755E1"/>
    <w:rsid w:val="00675615"/>
    <w:rsid w:val="0067570D"/>
    <w:rsid w:val="006757A2"/>
    <w:rsid w:val="00675887"/>
    <w:rsid w:val="00675A70"/>
    <w:rsid w:val="00675C51"/>
    <w:rsid w:val="00675CA1"/>
    <w:rsid w:val="00675D08"/>
    <w:rsid w:val="00675D41"/>
    <w:rsid w:val="00675EF3"/>
    <w:rsid w:val="00676056"/>
    <w:rsid w:val="006762AA"/>
    <w:rsid w:val="006762F7"/>
    <w:rsid w:val="006763CD"/>
    <w:rsid w:val="006764CB"/>
    <w:rsid w:val="0067669F"/>
    <w:rsid w:val="00676775"/>
    <w:rsid w:val="00676808"/>
    <w:rsid w:val="00676862"/>
    <w:rsid w:val="00676AC6"/>
    <w:rsid w:val="00676BD8"/>
    <w:rsid w:val="00676E3C"/>
    <w:rsid w:val="00676F80"/>
    <w:rsid w:val="006770A6"/>
    <w:rsid w:val="00677112"/>
    <w:rsid w:val="0067722F"/>
    <w:rsid w:val="00677324"/>
    <w:rsid w:val="006773C6"/>
    <w:rsid w:val="006773DB"/>
    <w:rsid w:val="00677704"/>
    <w:rsid w:val="00677840"/>
    <w:rsid w:val="00677BBD"/>
    <w:rsid w:val="00677C93"/>
    <w:rsid w:val="00677D3B"/>
    <w:rsid w:val="00677D5D"/>
    <w:rsid w:val="00677E2B"/>
    <w:rsid w:val="00677E52"/>
    <w:rsid w:val="00677FD1"/>
    <w:rsid w:val="006800C3"/>
    <w:rsid w:val="00680177"/>
    <w:rsid w:val="006802FE"/>
    <w:rsid w:val="006803A3"/>
    <w:rsid w:val="006804F5"/>
    <w:rsid w:val="00680531"/>
    <w:rsid w:val="006805A6"/>
    <w:rsid w:val="006805D8"/>
    <w:rsid w:val="006805E6"/>
    <w:rsid w:val="006808DE"/>
    <w:rsid w:val="006808FD"/>
    <w:rsid w:val="00680998"/>
    <w:rsid w:val="006809F6"/>
    <w:rsid w:val="00680C20"/>
    <w:rsid w:val="00680F6F"/>
    <w:rsid w:val="00681296"/>
    <w:rsid w:val="006813FF"/>
    <w:rsid w:val="0068145C"/>
    <w:rsid w:val="006814D5"/>
    <w:rsid w:val="00681B82"/>
    <w:rsid w:val="00681EA3"/>
    <w:rsid w:val="0068200C"/>
    <w:rsid w:val="0068215E"/>
    <w:rsid w:val="00682496"/>
    <w:rsid w:val="00682602"/>
    <w:rsid w:val="00682654"/>
    <w:rsid w:val="00682725"/>
    <w:rsid w:val="00682936"/>
    <w:rsid w:val="006829AF"/>
    <w:rsid w:val="00682A41"/>
    <w:rsid w:val="00682AA3"/>
    <w:rsid w:val="00682DAE"/>
    <w:rsid w:val="00682F31"/>
    <w:rsid w:val="006830C7"/>
    <w:rsid w:val="00683323"/>
    <w:rsid w:val="0068332B"/>
    <w:rsid w:val="00683395"/>
    <w:rsid w:val="00683486"/>
    <w:rsid w:val="0068358A"/>
    <w:rsid w:val="006835FB"/>
    <w:rsid w:val="006836BF"/>
    <w:rsid w:val="006837CC"/>
    <w:rsid w:val="006838CF"/>
    <w:rsid w:val="00683D43"/>
    <w:rsid w:val="00683D4F"/>
    <w:rsid w:val="00683D80"/>
    <w:rsid w:val="00683EAE"/>
    <w:rsid w:val="00683F1D"/>
    <w:rsid w:val="00683F79"/>
    <w:rsid w:val="0068413D"/>
    <w:rsid w:val="0068423B"/>
    <w:rsid w:val="0068450A"/>
    <w:rsid w:val="0068452A"/>
    <w:rsid w:val="006846C8"/>
    <w:rsid w:val="006848AA"/>
    <w:rsid w:val="006848CE"/>
    <w:rsid w:val="006848F1"/>
    <w:rsid w:val="0068498F"/>
    <w:rsid w:val="0068499B"/>
    <w:rsid w:val="006849F5"/>
    <w:rsid w:val="00684B85"/>
    <w:rsid w:val="00684C4F"/>
    <w:rsid w:val="00684E6B"/>
    <w:rsid w:val="00684F8F"/>
    <w:rsid w:val="0068531B"/>
    <w:rsid w:val="00685335"/>
    <w:rsid w:val="00685436"/>
    <w:rsid w:val="006854E8"/>
    <w:rsid w:val="00685561"/>
    <w:rsid w:val="00685611"/>
    <w:rsid w:val="0068563C"/>
    <w:rsid w:val="00685705"/>
    <w:rsid w:val="00685720"/>
    <w:rsid w:val="00685738"/>
    <w:rsid w:val="00685809"/>
    <w:rsid w:val="00685A0F"/>
    <w:rsid w:val="00685A71"/>
    <w:rsid w:val="00685DDD"/>
    <w:rsid w:val="00685E1F"/>
    <w:rsid w:val="00685ED0"/>
    <w:rsid w:val="006860D0"/>
    <w:rsid w:val="00686418"/>
    <w:rsid w:val="006865A2"/>
    <w:rsid w:val="00686643"/>
    <w:rsid w:val="006866CB"/>
    <w:rsid w:val="006868CB"/>
    <w:rsid w:val="00686AF4"/>
    <w:rsid w:val="00686BEF"/>
    <w:rsid w:val="00686C88"/>
    <w:rsid w:val="00686CBC"/>
    <w:rsid w:val="00686D4E"/>
    <w:rsid w:val="00686D9D"/>
    <w:rsid w:val="00686E80"/>
    <w:rsid w:val="00686F4E"/>
    <w:rsid w:val="006872B5"/>
    <w:rsid w:val="006872FE"/>
    <w:rsid w:val="00687385"/>
    <w:rsid w:val="00687609"/>
    <w:rsid w:val="0068765E"/>
    <w:rsid w:val="006876D8"/>
    <w:rsid w:val="006876FD"/>
    <w:rsid w:val="006877D9"/>
    <w:rsid w:val="006879A8"/>
    <w:rsid w:val="00687AFA"/>
    <w:rsid w:val="00687C27"/>
    <w:rsid w:val="00687C35"/>
    <w:rsid w:val="00687CBC"/>
    <w:rsid w:val="00687D3B"/>
    <w:rsid w:val="00687DCC"/>
    <w:rsid w:val="00687DEA"/>
    <w:rsid w:val="00687F29"/>
    <w:rsid w:val="00690385"/>
    <w:rsid w:val="0069039B"/>
    <w:rsid w:val="00690488"/>
    <w:rsid w:val="006906B3"/>
    <w:rsid w:val="0069092D"/>
    <w:rsid w:val="00690AF9"/>
    <w:rsid w:val="00690B3C"/>
    <w:rsid w:val="00690BFF"/>
    <w:rsid w:val="00690E7A"/>
    <w:rsid w:val="00690FF1"/>
    <w:rsid w:val="006911E0"/>
    <w:rsid w:val="0069127B"/>
    <w:rsid w:val="0069131A"/>
    <w:rsid w:val="00691472"/>
    <w:rsid w:val="00691733"/>
    <w:rsid w:val="0069175D"/>
    <w:rsid w:val="00691B2C"/>
    <w:rsid w:val="00691C00"/>
    <w:rsid w:val="00691C46"/>
    <w:rsid w:val="00692477"/>
    <w:rsid w:val="0069279B"/>
    <w:rsid w:val="00692A77"/>
    <w:rsid w:val="00692B89"/>
    <w:rsid w:val="00692D1C"/>
    <w:rsid w:val="00692DDE"/>
    <w:rsid w:val="00692E14"/>
    <w:rsid w:val="00693275"/>
    <w:rsid w:val="00693392"/>
    <w:rsid w:val="0069358F"/>
    <w:rsid w:val="0069371F"/>
    <w:rsid w:val="006937F0"/>
    <w:rsid w:val="00693887"/>
    <w:rsid w:val="0069392A"/>
    <w:rsid w:val="00693C23"/>
    <w:rsid w:val="00693CF2"/>
    <w:rsid w:val="00693DAC"/>
    <w:rsid w:val="00694025"/>
    <w:rsid w:val="006941A1"/>
    <w:rsid w:val="00694262"/>
    <w:rsid w:val="006943FE"/>
    <w:rsid w:val="00694593"/>
    <w:rsid w:val="006945AB"/>
    <w:rsid w:val="006946A5"/>
    <w:rsid w:val="0069476D"/>
    <w:rsid w:val="0069478F"/>
    <w:rsid w:val="006947DC"/>
    <w:rsid w:val="00694944"/>
    <w:rsid w:val="00694994"/>
    <w:rsid w:val="006949C4"/>
    <w:rsid w:val="00694A2F"/>
    <w:rsid w:val="00694C8C"/>
    <w:rsid w:val="00694DFA"/>
    <w:rsid w:val="00694E41"/>
    <w:rsid w:val="00694F85"/>
    <w:rsid w:val="00694FDC"/>
    <w:rsid w:val="00695235"/>
    <w:rsid w:val="006952AC"/>
    <w:rsid w:val="006954CE"/>
    <w:rsid w:val="0069558C"/>
    <w:rsid w:val="0069577A"/>
    <w:rsid w:val="006957F4"/>
    <w:rsid w:val="00695847"/>
    <w:rsid w:val="00695C25"/>
    <w:rsid w:val="00695CBE"/>
    <w:rsid w:val="00695E66"/>
    <w:rsid w:val="0069625D"/>
    <w:rsid w:val="006962F7"/>
    <w:rsid w:val="00696309"/>
    <w:rsid w:val="00696430"/>
    <w:rsid w:val="00696621"/>
    <w:rsid w:val="006966BE"/>
    <w:rsid w:val="00696723"/>
    <w:rsid w:val="00696837"/>
    <w:rsid w:val="0069689E"/>
    <w:rsid w:val="00696BA5"/>
    <w:rsid w:val="00696C1E"/>
    <w:rsid w:val="00696C89"/>
    <w:rsid w:val="0069704E"/>
    <w:rsid w:val="00697117"/>
    <w:rsid w:val="00697600"/>
    <w:rsid w:val="00697653"/>
    <w:rsid w:val="006976BE"/>
    <w:rsid w:val="006978E7"/>
    <w:rsid w:val="00697F35"/>
    <w:rsid w:val="00697F6D"/>
    <w:rsid w:val="006A0264"/>
    <w:rsid w:val="006A02C1"/>
    <w:rsid w:val="006A0444"/>
    <w:rsid w:val="006A0522"/>
    <w:rsid w:val="006A05B5"/>
    <w:rsid w:val="006A0600"/>
    <w:rsid w:val="006A0633"/>
    <w:rsid w:val="006A08AB"/>
    <w:rsid w:val="006A09F5"/>
    <w:rsid w:val="006A0BB2"/>
    <w:rsid w:val="006A0BB8"/>
    <w:rsid w:val="006A0C47"/>
    <w:rsid w:val="006A0DED"/>
    <w:rsid w:val="006A0F06"/>
    <w:rsid w:val="006A0F9F"/>
    <w:rsid w:val="006A11B5"/>
    <w:rsid w:val="006A125C"/>
    <w:rsid w:val="006A13F0"/>
    <w:rsid w:val="006A1569"/>
    <w:rsid w:val="006A1575"/>
    <w:rsid w:val="006A1683"/>
    <w:rsid w:val="006A18E4"/>
    <w:rsid w:val="006A19B1"/>
    <w:rsid w:val="006A1A46"/>
    <w:rsid w:val="006A1A5E"/>
    <w:rsid w:val="006A1D42"/>
    <w:rsid w:val="006A1D9F"/>
    <w:rsid w:val="006A1DCF"/>
    <w:rsid w:val="006A209E"/>
    <w:rsid w:val="006A2120"/>
    <w:rsid w:val="006A214C"/>
    <w:rsid w:val="006A21FA"/>
    <w:rsid w:val="006A220F"/>
    <w:rsid w:val="006A22D6"/>
    <w:rsid w:val="006A232B"/>
    <w:rsid w:val="006A23F4"/>
    <w:rsid w:val="006A2617"/>
    <w:rsid w:val="006A2B31"/>
    <w:rsid w:val="006A2C0E"/>
    <w:rsid w:val="006A2D7F"/>
    <w:rsid w:val="006A2F59"/>
    <w:rsid w:val="006A2F5E"/>
    <w:rsid w:val="006A30F1"/>
    <w:rsid w:val="006A3359"/>
    <w:rsid w:val="006A3590"/>
    <w:rsid w:val="006A3611"/>
    <w:rsid w:val="006A3619"/>
    <w:rsid w:val="006A366D"/>
    <w:rsid w:val="006A390E"/>
    <w:rsid w:val="006A39DA"/>
    <w:rsid w:val="006A3D80"/>
    <w:rsid w:val="006A3F4B"/>
    <w:rsid w:val="006A407E"/>
    <w:rsid w:val="006A40CD"/>
    <w:rsid w:val="006A4387"/>
    <w:rsid w:val="006A440B"/>
    <w:rsid w:val="006A45DC"/>
    <w:rsid w:val="006A47C9"/>
    <w:rsid w:val="006A47EB"/>
    <w:rsid w:val="006A48D8"/>
    <w:rsid w:val="006A48F8"/>
    <w:rsid w:val="006A4967"/>
    <w:rsid w:val="006A4981"/>
    <w:rsid w:val="006A49B4"/>
    <w:rsid w:val="006A4D29"/>
    <w:rsid w:val="006A4EB3"/>
    <w:rsid w:val="006A4F2F"/>
    <w:rsid w:val="006A527A"/>
    <w:rsid w:val="006A53CD"/>
    <w:rsid w:val="006A5517"/>
    <w:rsid w:val="006A569F"/>
    <w:rsid w:val="006A56F9"/>
    <w:rsid w:val="006A57F3"/>
    <w:rsid w:val="006A5813"/>
    <w:rsid w:val="006A5873"/>
    <w:rsid w:val="006A5955"/>
    <w:rsid w:val="006A5992"/>
    <w:rsid w:val="006A5B4B"/>
    <w:rsid w:val="006A5D0F"/>
    <w:rsid w:val="006A5F68"/>
    <w:rsid w:val="006A60A4"/>
    <w:rsid w:val="006A61A8"/>
    <w:rsid w:val="006A61F6"/>
    <w:rsid w:val="006A62AB"/>
    <w:rsid w:val="006A62CF"/>
    <w:rsid w:val="006A6332"/>
    <w:rsid w:val="006A6410"/>
    <w:rsid w:val="006A64AA"/>
    <w:rsid w:val="006A6870"/>
    <w:rsid w:val="006A690F"/>
    <w:rsid w:val="006A6A0E"/>
    <w:rsid w:val="006A6C7B"/>
    <w:rsid w:val="006A6C90"/>
    <w:rsid w:val="006A6D64"/>
    <w:rsid w:val="006A6DB0"/>
    <w:rsid w:val="006A6DC2"/>
    <w:rsid w:val="006A70E6"/>
    <w:rsid w:val="006A7208"/>
    <w:rsid w:val="006A729D"/>
    <w:rsid w:val="006A7439"/>
    <w:rsid w:val="006A7459"/>
    <w:rsid w:val="006A746B"/>
    <w:rsid w:val="006A747E"/>
    <w:rsid w:val="006A7616"/>
    <w:rsid w:val="006A7707"/>
    <w:rsid w:val="006A7801"/>
    <w:rsid w:val="006A781E"/>
    <w:rsid w:val="006A78E5"/>
    <w:rsid w:val="006A7C86"/>
    <w:rsid w:val="006A7CC1"/>
    <w:rsid w:val="006A7D94"/>
    <w:rsid w:val="006A7DDB"/>
    <w:rsid w:val="006B0072"/>
    <w:rsid w:val="006B01EC"/>
    <w:rsid w:val="006B0514"/>
    <w:rsid w:val="006B0934"/>
    <w:rsid w:val="006B0C38"/>
    <w:rsid w:val="006B0CC4"/>
    <w:rsid w:val="006B0DC3"/>
    <w:rsid w:val="006B0E0C"/>
    <w:rsid w:val="006B0E47"/>
    <w:rsid w:val="006B0E5F"/>
    <w:rsid w:val="006B0E67"/>
    <w:rsid w:val="006B0F89"/>
    <w:rsid w:val="006B0FCE"/>
    <w:rsid w:val="006B132D"/>
    <w:rsid w:val="006B134F"/>
    <w:rsid w:val="006B13BE"/>
    <w:rsid w:val="006B1487"/>
    <w:rsid w:val="006B1604"/>
    <w:rsid w:val="006B1609"/>
    <w:rsid w:val="006B16C3"/>
    <w:rsid w:val="006B183D"/>
    <w:rsid w:val="006B18CA"/>
    <w:rsid w:val="006B198E"/>
    <w:rsid w:val="006B1A08"/>
    <w:rsid w:val="006B1A46"/>
    <w:rsid w:val="006B1C80"/>
    <w:rsid w:val="006B1CDA"/>
    <w:rsid w:val="006B1D69"/>
    <w:rsid w:val="006B1DAD"/>
    <w:rsid w:val="006B1E9F"/>
    <w:rsid w:val="006B1EFF"/>
    <w:rsid w:val="006B205D"/>
    <w:rsid w:val="006B20E0"/>
    <w:rsid w:val="006B2368"/>
    <w:rsid w:val="006B24C5"/>
    <w:rsid w:val="006B25E9"/>
    <w:rsid w:val="006B2612"/>
    <w:rsid w:val="006B2719"/>
    <w:rsid w:val="006B2724"/>
    <w:rsid w:val="006B2785"/>
    <w:rsid w:val="006B27A7"/>
    <w:rsid w:val="006B27EA"/>
    <w:rsid w:val="006B2BB9"/>
    <w:rsid w:val="006B2F62"/>
    <w:rsid w:val="006B30D0"/>
    <w:rsid w:val="006B317B"/>
    <w:rsid w:val="006B31E4"/>
    <w:rsid w:val="006B31EA"/>
    <w:rsid w:val="006B32BC"/>
    <w:rsid w:val="006B339D"/>
    <w:rsid w:val="006B3482"/>
    <w:rsid w:val="006B34A7"/>
    <w:rsid w:val="006B35A2"/>
    <w:rsid w:val="006B35E7"/>
    <w:rsid w:val="006B374C"/>
    <w:rsid w:val="006B3A22"/>
    <w:rsid w:val="006B3AA4"/>
    <w:rsid w:val="006B3AFD"/>
    <w:rsid w:val="006B3B19"/>
    <w:rsid w:val="006B3F90"/>
    <w:rsid w:val="006B3FAA"/>
    <w:rsid w:val="006B4092"/>
    <w:rsid w:val="006B42EA"/>
    <w:rsid w:val="006B4303"/>
    <w:rsid w:val="006B436F"/>
    <w:rsid w:val="006B4645"/>
    <w:rsid w:val="006B4692"/>
    <w:rsid w:val="006B478D"/>
    <w:rsid w:val="006B47EB"/>
    <w:rsid w:val="006B493A"/>
    <w:rsid w:val="006B4B2A"/>
    <w:rsid w:val="006B4B6A"/>
    <w:rsid w:val="006B4EA7"/>
    <w:rsid w:val="006B4FCD"/>
    <w:rsid w:val="006B52BA"/>
    <w:rsid w:val="006B52C3"/>
    <w:rsid w:val="006B545F"/>
    <w:rsid w:val="006B5571"/>
    <w:rsid w:val="006B57DF"/>
    <w:rsid w:val="006B5AAD"/>
    <w:rsid w:val="006B5C6C"/>
    <w:rsid w:val="006B5D43"/>
    <w:rsid w:val="006B5F62"/>
    <w:rsid w:val="006B5F8B"/>
    <w:rsid w:val="006B62BC"/>
    <w:rsid w:val="006B62E8"/>
    <w:rsid w:val="006B6555"/>
    <w:rsid w:val="006B669B"/>
    <w:rsid w:val="006B68C9"/>
    <w:rsid w:val="006B6B0C"/>
    <w:rsid w:val="006B6B61"/>
    <w:rsid w:val="006B6CE5"/>
    <w:rsid w:val="006B6D23"/>
    <w:rsid w:val="006B6D33"/>
    <w:rsid w:val="006B6FC0"/>
    <w:rsid w:val="006B70D4"/>
    <w:rsid w:val="006B712B"/>
    <w:rsid w:val="006B7188"/>
    <w:rsid w:val="006B7271"/>
    <w:rsid w:val="006B72D5"/>
    <w:rsid w:val="006B759C"/>
    <w:rsid w:val="006B765F"/>
    <w:rsid w:val="006B7A79"/>
    <w:rsid w:val="006B7C21"/>
    <w:rsid w:val="006B7CDE"/>
    <w:rsid w:val="006B7F6A"/>
    <w:rsid w:val="006C011A"/>
    <w:rsid w:val="006C0221"/>
    <w:rsid w:val="006C02E3"/>
    <w:rsid w:val="006C038C"/>
    <w:rsid w:val="006C0594"/>
    <w:rsid w:val="006C0874"/>
    <w:rsid w:val="006C092A"/>
    <w:rsid w:val="006C0A2A"/>
    <w:rsid w:val="006C0AA1"/>
    <w:rsid w:val="006C0CA9"/>
    <w:rsid w:val="006C0D3E"/>
    <w:rsid w:val="006C0F5C"/>
    <w:rsid w:val="006C1281"/>
    <w:rsid w:val="006C13E3"/>
    <w:rsid w:val="006C1451"/>
    <w:rsid w:val="006C15D5"/>
    <w:rsid w:val="006C1739"/>
    <w:rsid w:val="006C199A"/>
    <w:rsid w:val="006C1A9F"/>
    <w:rsid w:val="006C1BFD"/>
    <w:rsid w:val="006C1CFB"/>
    <w:rsid w:val="006C1D42"/>
    <w:rsid w:val="006C1E18"/>
    <w:rsid w:val="006C21B7"/>
    <w:rsid w:val="006C21ED"/>
    <w:rsid w:val="006C225F"/>
    <w:rsid w:val="006C22C4"/>
    <w:rsid w:val="006C22DC"/>
    <w:rsid w:val="006C2380"/>
    <w:rsid w:val="006C24C9"/>
    <w:rsid w:val="006C25A9"/>
    <w:rsid w:val="006C279D"/>
    <w:rsid w:val="006C27AE"/>
    <w:rsid w:val="006C287F"/>
    <w:rsid w:val="006C2944"/>
    <w:rsid w:val="006C2AF1"/>
    <w:rsid w:val="006C2CAC"/>
    <w:rsid w:val="006C2CCF"/>
    <w:rsid w:val="006C2DF7"/>
    <w:rsid w:val="006C2E46"/>
    <w:rsid w:val="006C309F"/>
    <w:rsid w:val="006C30CC"/>
    <w:rsid w:val="006C31A3"/>
    <w:rsid w:val="006C33D8"/>
    <w:rsid w:val="006C3609"/>
    <w:rsid w:val="006C3759"/>
    <w:rsid w:val="006C381B"/>
    <w:rsid w:val="006C3915"/>
    <w:rsid w:val="006C396A"/>
    <w:rsid w:val="006C39AB"/>
    <w:rsid w:val="006C3B0F"/>
    <w:rsid w:val="006C3D24"/>
    <w:rsid w:val="006C3DDC"/>
    <w:rsid w:val="006C3F62"/>
    <w:rsid w:val="006C3FCF"/>
    <w:rsid w:val="006C4233"/>
    <w:rsid w:val="006C42B0"/>
    <w:rsid w:val="006C442C"/>
    <w:rsid w:val="006C444F"/>
    <w:rsid w:val="006C468B"/>
    <w:rsid w:val="006C4958"/>
    <w:rsid w:val="006C4A8B"/>
    <w:rsid w:val="006C4ACC"/>
    <w:rsid w:val="006C4ADD"/>
    <w:rsid w:val="006C4C7B"/>
    <w:rsid w:val="006C4D3F"/>
    <w:rsid w:val="006C4D40"/>
    <w:rsid w:val="006C508A"/>
    <w:rsid w:val="006C50BF"/>
    <w:rsid w:val="006C51EA"/>
    <w:rsid w:val="006C5673"/>
    <w:rsid w:val="006C5808"/>
    <w:rsid w:val="006C58A9"/>
    <w:rsid w:val="006C5947"/>
    <w:rsid w:val="006C5A95"/>
    <w:rsid w:val="006C5D07"/>
    <w:rsid w:val="006C5D9C"/>
    <w:rsid w:val="006C5EE8"/>
    <w:rsid w:val="006C605E"/>
    <w:rsid w:val="006C60AB"/>
    <w:rsid w:val="006C63BF"/>
    <w:rsid w:val="006C644D"/>
    <w:rsid w:val="006C66D5"/>
    <w:rsid w:val="006C6945"/>
    <w:rsid w:val="006C6C2D"/>
    <w:rsid w:val="006C6CA6"/>
    <w:rsid w:val="006C6CCF"/>
    <w:rsid w:val="006C7050"/>
    <w:rsid w:val="006C7085"/>
    <w:rsid w:val="006C7090"/>
    <w:rsid w:val="006C70BD"/>
    <w:rsid w:val="006C711F"/>
    <w:rsid w:val="006C71D1"/>
    <w:rsid w:val="006C71E1"/>
    <w:rsid w:val="006C726A"/>
    <w:rsid w:val="006C72B9"/>
    <w:rsid w:val="006C731D"/>
    <w:rsid w:val="006C73FD"/>
    <w:rsid w:val="006C7474"/>
    <w:rsid w:val="006C77B6"/>
    <w:rsid w:val="006C7840"/>
    <w:rsid w:val="006C7A3D"/>
    <w:rsid w:val="006C7BB5"/>
    <w:rsid w:val="006C7BBD"/>
    <w:rsid w:val="006C7C8A"/>
    <w:rsid w:val="006C7DFB"/>
    <w:rsid w:val="006C7E13"/>
    <w:rsid w:val="006D0039"/>
    <w:rsid w:val="006D0116"/>
    <w:rsid w:val="006D0266"/>
    <w:rsid w:val="006D02DD"/>
    <w:rsid w:val="006D031D"/>
    <w:rsid w:val="006D0356"/>
    <w:rsid w:val="006D06A9"/>
    <w:rsid w:val="006D06F3"/>
    <w:rsid w:val="006D0B06"/>
    <w:rsid w:val="006D0C28"/>
    <w:rsid w:val="006D0CF3"/>
    <w:rsid w:val="006D0E5F"/>
    <w:rsid w:val="006D0F5F"/>
    <w:rsid w:val="006D0FE2"/>
    <w:rsid w:val="006D1053"/>
    <w:rsid w:val="006D131E"/>
    <w:rsid w:val="006D133D"/>
    <w:rsid w:val="006D141D"/>
    <w:rsid w:val="006D1470"/>
    <w:rsid w:val="006D14F2"/>
    <w:rsid w:val="006D154D"/>
    <w:rsid w:val="006D165F"/>
    <w:rsid w:val="006D17E5"/>
    <w:rsid w:val="006D1AF7"/>
    <w:rsid w:val="006D1BCD"/>
    <w:rsid w:val="006D20B9"/>
    <w:rsid w:val="006D2123"/>
    <w:rsid w:val="006D2406"/>
    <w:rsid w:val="006D250C"/>
    <w:rsid w:val="006D2805"/>
    <w:rsid w:val="006D28EF"/>
    <w:rsid w:val="006D2922"/>
    <w:rsid w:val="006D2A5A"/>
    <w:rsid w:val="006D2B3B"/>
    <w:rsid w:val="006D2BF6"/>
    <w:rsid w:val="006D2C1B"/>
    <w:rsid w:val="006D2C5F"/>
    <w:rsid w:val="006D2D8C"/>
    <w:rsid w:val="006D2D9A"/>
    <w:rsid w:val="006D2DCA"/>
    <w:rsid w:val="006D2EB2"/>
    <w:rsid w:val="006D2EF8"/>
    <w:rsid w:val="006D2F5C"/>
    <w:rsid w:val="006D2FE1"/>
    <w:rsid w:val="006D3002"/>
    <w:rsid w:val="006D321C"/>
    <w:rsid w:val="006D3256"/>
    <w:rsid w:val="006D329B"/>
    <w:rsid w:val="006D3493"/>
    <w:rsid w:val="006D3688"/>
    <w:rsid w:val="006D3758"/>
    <w:rsid w:val="006D3772"/>
    <w:rsid w:val="006D38F8"/>
    <w:rsid w:val="006D3919"/>
    <w:rsid w:val="006D3988"/>
    <w:rsid w:val="006D39DC"/>
    <w:rsid w:val="006D3A4D"/>
    <w:rsid w:val="006D3B87"/>
    <w:rsid w:val="006D3CBF"/>
    <w:rsid w:val="006D3DE7"/>
    <w:rsid w:val="006D3E89"/>
    <w:rsid w:val="006D427E"/>
    <w:rsid w:val="006D45B5"/>
    <w:rsid w:val="006D45E0"/>
    <w:rsid w:val="006D45FC"/>
    <w:rsid w:val="006D47C8"/>
    <w:rsid w:val="006D4C40"/>
    <w:rsid w:val="006D4CE6"/>
    <w:rsid w:val="006D4D12"/>
    <w:rsid w:val="006D4D57"/>
    <w:rsid w:val="006D4D5F"/>
    <w:rsid w:val="006D4FA1"/>
    <w:rsid w:val="006D4FE8"/>
    <w:rsid w:val="006D500D"/>
    <w:rsid w:val="006D5392"/>
    <w:rsid w:val="006D5489"/>
    <w:rsid w:val="006D5546"/>
    <w:rsid w:val="006D5571"/>
    <w:rsid w:val="006D55BF"/>
    <w:rsid w:val="006D568A"/>
    <w:rsid w:val="006D56E7"/>
    <w:rsid w:val="006D5740"/>
    <w:rsid w:val="006D57F3"/>
    <w:rsid w:val="006D58C0"/>
    <w:rsid w:val="006D58E3"/>
    <w:rsid w:val="006D5C75"/>
    <w:rsid w:val="006D5D7C"/>
    <w:rsid w:val="006D6136"/>
    <w:rsid w:val="006D63D4"/>
    <w:rsid w:val="006D66DC"/>
    <w:rsid w:val="006D67BA"/>
    <w:rsid w:val="006D681E"/>
    <w:rsid w:val="006D688B"/>
    <w:rsid w:val="006D68C6"/>
    <w:rsid w:val="006D6902"/>
    <w:rsid w:val="006D69C5"/>
    <w:rsid w:val="006D6A9B"/>
    <w:rsid w:val="006D6D7D"/>
    <w:rsid w:val="006D6FC2"/>
    <w:rsid w:val="006D7039"/>
    <w:rsid w:val="006D704A"/>
    <w:rsid w:val="006D7180"/>
    <w:rsid w:val="006D745C"/>
    <w:rsid w:val="006D7678"/>
    <w:rsid w:val="006D7ABC"/>
    <w:rsid w:val="006D7B2A"/>
    <w:rsid w:val="006D7C05"/>
    <w:rsid w:val="006D7C1C"/>
    <w:rsid w:val="006D7EED"/>
    <w:rsid w:val="006D7F71"/>
    <w:rsid w:val="006D7F78"/>
    <w:rsid w:val="006E01B7"/>
    <w:rsid w:val="006E01BF"/>
    <w:rsid w:val="006E027A"/>
    <w:rsid w:val="006E03C8"/>
    <w:rsid w:val="006E0418"/>
    <w:rsid w:val="006E04CE"/>
    <w:rsid w:val="006E08D2"/>
    <w:rsid w:val="006E0A7A"/>
    <w:rsid w:val="006E0C06"/>
    <w:rsid w:val="006E0D44"/>
    <w:rsid w:val="006E0D71"/>
    <w:rsid w:val="006E0F46"/>
    <w:rsid w:val="006E103A"/>
    <w:rsid w:val="006E13E1"/>
    <w:rsid w:val="006E157E"/>
    <w:rsid w:val="006E1642"/>
    <w:rsid w:val="006E1651"/>
    <w:rsid w:val="006E16E0"/>
    <w:rsid w:val="006E1761"/>
    <w:rsid w:val="006E1A92"/>
    <w:rsid w:val="006E1D58"/>
    <w:rsid w:val="006E1DEF"/>
    <w:rsid w:val="006E1FA0"/>
    <w:rsid w:val="006E1FC7"/>
    <w:rsid w:val="006E1FDD"/>
    <w:rsid w:val="006E219B"/>
    <w:rsid w:val="006E2206"/>
    <w:rsid w:val="006E232C"/>
    <w:rsid w:val="006E23B5"/>
    <w:rsid w:val="006E23FF"/>
    <w:rsid w:val="006E24A2"/>
    <w:rsid w:val="006E279E"/>
    <w:rsid w:val="006E2807"/>
    <w:rsid w:val="006E2891"/>
    <w:rsid w:val="006E28F8"/>
    <w:rsid w:val="006E2969"/>
    <w:rsid w:val="006E29EA"/>
    <w:rsid w:val="006E2BFB"/>
    <w:rsid w:val="006E2C25"/>
    <w:rsid w:val="006E2C71"/>
    <w:rsid w:val="006E2E8C"/>
    <w:rsid w:val="006E2EB8"/>
    <w:rsid w:val="006E2FEF"/>
    <w:rsid w:val="006E3015"/>
    <w:rsid w:val="006E30C1"/>
    <w:rsid w:val="006E30EF"/>
    <w:rsid w:val="006E34CC"/>
    <w:rsid w:val="006E3749"/>
    <w:rsid w:val="006E379C"/>
    <w:rsid w:val="006E39E1"/>
    <w:rsid w:val="006E3C9C"/>
    <w:rsid w:val="006E3E4E"/>
    <w:rsid w:val="006E3ECE"/>
    <w:rsid w:val="006E3F65"/>
    <w:rsid w:val="006E3FFB"/>
    <w:rsid w:val="006E4106"/>
    <w:rsid w:val="006E4271"/>
    <w:rsid w:val="006E446B"/>
    <w:rsid w:val="006E4694"/>
    <w:rsid w:val="006E4726"/>
    <w:rsid w:val="006E4756"/>
    <w:rsid w:val="006E4805"/>
    <w:rsid w:val="006E4895"/>
    <w:rsid w:val="006E4968"/>
    <w:rsid w:val="006E4A0D"/>
    <w:rsid w:val="006E4ADD"/>
    <w:rsid w:val="006E4B16"/>
    <w:rsid w:val="006E4CB7"/>
    <w:rsid w:val="006E4EEC"/>
    <w:rsid w:val="006E4F3E"/>
    <w:rsid w:val="006E5091"/>
    <w:rsid w:val="006E5128"/>
    <w:rsid w:val="006E5493"/>
    <w:rsid w:val="006E554E"/>
    <w:rsid w:val="006E5574"/>
    <w:rsid w:val="006E55E0"/>
    <w:rsid w:val="006E565F"/>
    <w:rsid w:val="006E5B3F"/>
    <w:rsid w:val="006E5BF5"/>
    <w:rsid w:val="006E5C1C"/>
    <w:rsid w:val="006E5E7D"/>
    <w:rsid w:val="006E5E93"/>
    <w:rsid w:val="006E62A4"/>
    <w:rsid w:val="006E63D1"/>
    <w:rsid w:val="006E6410"/>
    <w:rsid w:val="006E649C"/>
    <w:rsid w:val="006E65F8"/>
    <w:rsid w:val="006E6614"/>
    <w:rsid w:val="006E66E1"/>
    <w:rsid w:val="006E685C"/>
    <w:rsid w:val="006E6A8C"/>
    <w:rsid w:val="006E6E4C"/>
    <w:rsid w:val="006E6FB1"/>
    <w:rsid w:val="006E70C7"/>
    <w:rsid w:val="006E71C4"/>
    <w:rsid w:val="006E7248"/>
    <w:rsid w:val="006E7390"/>
    <w:rsid w:val="006E7968"/>
    <w:rsid w:val="006E796D"/>
    <w:rsid w:val="006E7972"/>
    <w:rsid w:val="006E79BD"/>
    <w:rsid w:val="006E79E5"/>
    <w:rsid w:val="006E7AA8"/>
    <w:rsid w:val="006E7BB8"/>
    <w:rsid w:val="006E7CDA"/>
    <w:rsid w:val="006E7D99"/>
    <w:rsid w:val="006E7F35"/>
    <w:rsid w:val="006F00EB"/>
    <w:rsid w:val="006F022D"/>
    <w:rsid w:val="006F0561"/>
    <w:rsid w:val="006F0715"/>
    <w:rsid w:val="006F080C"/>
    <w:rsid w:val="006F0AA0"/>
    <w:rsid w:val="006F0DC5"/>
    <w:rsid w:val="006F0F6B"/>
    <w:rsid w:val="006F13EF"/>
    <w:rsid w:val="006F14DD"/>
    <w:rsid w:val="006F165D"/>
    <w:rsid w:val="006F1715"/>
    <w:rsid w:val="006F18E4"/>
    <w:rsid w:val="006F1BBC"/>
    <w:rsid w:val="006F1E2D"/>
    <w:rsid w:val="006F211A"/>
    <w:rsid w:val="006F22CF"/>
    <w:rsid w:val="006F235E"/>
    <w:rsid w:val="006F2362"/>
    <w:rsid w:val="006F24E4"/>
    <w:rsid w:val="006F25F7"/>
    <w:rsid w:val="006F26BE"/>
    <w:rsid w:val="006F277C"/>
    <w:rsid w:val="006F2BAA"/>
    <w:rsid w:val="006F2E5E"/>
    <w:rsid w:val="006F2E87"/>
    <w:rsid w:val="006F2FB4"/>
    <w:rsid w:val="006F3184"/>
    <w:rsid w:val="006F31C5"/>
    <w:rsid w:val="006F31D4"/>
    <w:rsid w:val="006F3308"/>
    <w:rsid w:val="006F3343"/>
    <w:rsid w:val="006F35E4"/>
    <w:rsid w:val="006F36F0"/>
    <w:rsid w:val="006F371A"/>
    <w:rsid w:val="006F385A"/>
    <w:rsid w:val="006F3B8A"/>
    <w:rsid w:val="006F4049"/>
    <w:rsid w:val="006F40E9"/>
    <w:rsid w:val="006F4157"/>
    <w:rsid w:val="006F42AB"/>
    <w:rsid w:val="006F4312"/>
    <w:rsid w:val="006F45D4"/>
    <w:rsid w:val="006F4646"/>
    <w:rsid w:val="006F4657"/>
    <w:rsid w:val="006F4720"/>
    <w:rsid w:val="006F474B"/>
    <w:rsid w:val="006F489A"/>
    <w:rsid w:val="006F4A79"/>
    <w:rsid w:val="006F4A94"/>
    <w:rsid w:val="006F4D0D"/>
    <w:rsid w:val="006F4DAF"/>
    <w:rsid w:val="006F4DB2"/>
    <w:rsid w:val="006F4F93"/>
    <w:rsid w:val="006F4FB4"/>
    <w:rsid w:val="006F523A"/>
    <w:rsid w:val="006F52A3"/>
    <w:rsid w:val="006F53F0"/>
    <w:rsid w:val="006F55B6"/>
    <w:rsid w:val="006F5675"/>
    <w:rsid w:val="006F5774"/>
    <w:rsid w:val="006F5846"/>
    <w:rsid w:val="006F5A7F"/>
    <w:rsid w:val="006F5CA8"/>
    <w:rsid w:val="006F5CAF"/>
    <w:rsid w:val="006F5CB0"/>
    <w:rsid w:val="006F5D35"/>
    <w:rsid w:val="006F5D87"/>
    <w:rsid w:val="006F5EBB"/>
    <w:rsid w:val="006F5EE4"/>
    <w:rsid w:val="006F5EE7"/>
    <w:rsid w:val="006F6006"/>
    <w:rsid w:val="006F6068"/>
    <w:rsid w:val="006F62C1"/>
    <w:rsid w:val="006F64C9"/>
    <w:rsid w:val="006F665C"/>
    <w:rsid w:val="006F6888"/>
    <w:rsid w:val="006F69B5"/>
    <w:rsid w:val="006F6B73"/>
    <w:rsid w:val="006F6D3A"/>
    <w:rsid w:val="006F6DC7"/>
    <w:rsid w:val="006F6F5C"/>
    <w:rsid w:val="006F70A2"/>
    <w:rsid w:val="006F7119"/>
    <w:rsid w:val="006F724E"/>
    <w:rsid w:val="006F7287"/>
    <w:rsid w:val="006F7321"/>
    <w:rsid w:val="006F7445"/>
    <w:rsid w:val="006F756F"/>
    <w:rsid w:val="006F75B2"/>
    <w:rsid w:val="006F764F"/>
    <w:rsid w:val="006F7665"/>
    <w:rsid w:val="006F787A"/>
    <w:rsid w:val="006F794C"/>
    <w:rsid w:val="006F79C2"/>
    <w:rsid w:val="006F7BD9"/>
    <w:rsid w:val="006F7E70"/>
    <w:rsid w:val="006F7FA6"/>
    <w:rsid w:val="0070010E"/>
    <w:rsid w:val="0070025B"/>
    <w:rsid w:val="0070038B"/>
    <w:rsid w:val="007003E6"/>
    <w:rsid w:val="007003F7"/>
    <w:rsid w:val="007004AB"/>
    <w:rsid w:val="0070059B"/>
    <w:rsid w:val="007005F4"/>
    <w:rsid w:val="0070061C"/>
    <w:rsid w:val="007008A8"/>
    <w:rsid w:val="00700B97"/>
    <w:rsid w:val="00700FE4"/>
    <w:rsid w:val="00701439"/>
    <w:rsid w:val="00701581"/>
    <w:rsid w:val="00701707"/>
    <w:rsid w:val="00701B8D"/>
    <w:rsid w:val="00701E8D"/>
    <w:rsid w:val="00701EC0"/>
    <w:rsid w:val="0070224D"/>
    <w:rsid w:val="007024D7"/>
    <w:rsid w:val="007025D0"/>
    <w:rsid w:val="00702D95"/>
    <w:rsid w:val="00702DF1"/>
    <w:rsid w:val="00702E86"/>
    <w:rsid w:val="00702F0B"/>
    <w:rsid w:val="00702F82"/>
    <w:rsid w:val="00703155"/>
    <w:rsid w:val="007032B4"/>
    <w:rsid w:val="007032EC"/>
    <w:rsid w:val="00703332"/>
    <w:rsid w:val="007036EF"/>
    <w:rsid w:val="0070374C"/>
    <w:rsid w:val="007037B7"/>
    <w:rsid w:val="0070395C"/>
    <w:rsid w:val="00703A58"/>
    <w:rsid w:val="00703C1A"/>
    <w:rsid w:val="00703DC0"/>
    <w:rsid w:val="00703E76"/>
    <w:rsid w:val="00703E7F"/>
    <w:rsid w:val="00703E8E"/>
    <w:rsid w:val="007042BD"/>
    <w:rsid w:val="0070434C"/>
    <w:rsid w:val="007043A6"/>
    <w:rsid w:val="007044B7"/>
    <w:rsid w:val="007044D9"/>
    <w:rsid w:val="0070473A"/>
    <w:rsid w:val="007048C8"/>
    <w:rsid w:val="007049EA"/>
    <w:rsid w:val="00704ADA"/>
    <w:rsid w:val="00704CB7"/>
    <w:rsid w:val="00704EAD"/>
    <w:rsid w:val="00704F3E"/>
    <w:rsid w:val="00704FB8"/>
    <w:rsid w:val="00704FB9"/>
    <w:rsid w:val="00704FD5"/>
    <w:rsid w:val="007050A7"/>
    <w:rsid w:val="007050C7"/>
    <w:rsid w:val="0070537E"/>
    <w:rsid w:val="00705388"/>
    <w:rsid w:val="007053EF"/>
    <w:rsid w:val="0070551E"/>
    <w:rsid w:val="00705550"/>
    <w:rsid w:val="0070581D"/>
    <w:rsid w:val="007059A1"/>
    <w:rsid w:val="00705B87"/>
    <w:rsid w:val="00705BBF"/>
    <w:rsid w:val="00705CA0"/>
    <w:rsid w:val="00705CF1"/>
    <w:rsid w:val="00705D2D"/>
    <w:rsid w:val="00705EAC"/>
    <w:rsid w:val="00706071"/>
    <w:rsid w:val="007060EB"/>
    <w:rsid w:val="00706120"/>
    <w:rsid w:val="007061F9"/>
    <w:rsid w:val="007065FC"/>
    <w:rsid w:val="00706616"/>
    <w:rsid w:val="0070663A"/>
    <w:rsid w:val="00706757"/>
    <w:rsid w:val="0070696A"/>
    <w:rsid w:val="007069D7"/>
    <w:rsid w:val="00706B21"/>
    <w:rsid w:val="00706B63"/>
    <w:rsid w:val="00706BF1"/>
    <w:rsid w:val="00706C08"/>
    <w:rsid w:val="00706FF4"/>
    <w:rsid w:val="00707510"/>
    <w:rsid w:val="00707847"/>
    <w:rsid w:val="00707912"/>
    <w:rsid w:val="00707C0B"/>
    <w:rsid w:val="00707C94"/>
    <w:rsid w:val="00707D7B"/>
    <w:rsid w:val="00707DE0"/>
    <w:rsid w:val="00707E8A"/>
    <w:rsid w:val="0071009C"/>
    <w:rsid w:val="0071042D"/>
    <w:rsid w:val="007106A7"/>
    <w:rsid w:val="00710921"/>
    <w:rsid w:val="00710A91"/>
    <w:rsid w:val="00710B88"/>
    <w:rsid w:val="00710BC7"/>
    <w:rsid w:val="00710C56"/>
    <w:rsid w:val="00710CE2"/>
    <w:rsid w:val="00710DDC"/>
    <w:rsid w:val="00710F1A"/>
    <w:rsid w:val="00711024"/>
    <w:rsid w:val="007114B5"/>
    <w:rsid w:val="007115D8"/>
    <w:rsid w:val="00711669"/>
    <w:rsid w:val="007117B9"/>
    <w:rsid w:val="007118FA"/>
    <w:rsid w:val="007119BB"/>
    <w:rsid w:val="00711C22"/>
    <w:rsid w:val="00711C5C"/>
    <w:rsid w:val="00711CB5"/>
    <w:rsid w:val="00711D00"/>
    <w:rsid w:val="00711D87"/>
    <w:rsid w:val="00711EFF"/>
    <w:rsid w:val="00711F3D"/>
    <w:rsid w:val="0071208B"/>
    <w:rsid w:val="007120B1"/>
    <w:rsid w:val="007120EF"/>
    <w:rsid w:val="00712218"/>
    <w:rsid w:val="0071225C"/>
    <w:rsid w:val="0071260B"/>
    <w:rsid w:val="00712683"/>
    <w:rsid w:val="00712728"/>
    <w:rsid w:val="00712872"/>
    <w:rsid w:val="00712A3F"/>
    <w:rsid w:val="00712BAA"/>
    <w:rsid w:val="00712C8B"/>
    <w:rsid w:val="00713074"/>
    <w:rsid w:val="00713094"/>
    <w:rsid w:val="007131B2"/>
    <w:rsid w:val="007133FE"/>
    <w:rsid w:val="007134D7"/>
    <w:rsid w:val="0071397A"/>
    <w:rsid w:val="00713A46"/>
    <w:rsid w:val="00713C43"/>
    <w:rsid w:val="00713DF6"/>
    <w:rsid w:val="007140D3"/>
    <w:rsid w:val="00714126"/>
    <w:rsid w:val="00714299"/>
    <w:rsid w:val="00714436"/>
    <w:rsid w:val="00714475"/>
    <w:rsid w:val="007145BA"/>
    <w:rsid w:val="00714717"/>
    <w:rsid w:val="007147D2"/>
    <w:rsid w:val="0071482F"/>
    <w:rsid w:val="0071493F"/>
    <w:rsid w:val="007149DB"/>
    <w:rsid w:val="00714A8A"/>
    <w:rsid w:val="00714A99"/>
    <w:rsid w:val="00714B5C"/>
    <w:rsid w:val="00714B6C"/>
    <w:rsid w:val="00714BB2"/>
    <w:rsid w:val="00714CF6"/>
    <w:rsid w:val="00714DE8"/>
    <w:rsid w:val="00714E2B"/>
    <w:rsid w:val="00715068"/>
    <w:rsid w:val="007151F6"/>
    <w:rsid w:val="007152CC"/>
    <w:rsid w:val="00715438"/>
    <w:rsid w:val="00715647"/>
    <w:rsid w:val="007159D5"/>
    <w:rsid w:val="00715A9C"/>
    <w:rsid w:val="00715B40"/>
    <w:rsid w:val="00715B93"/>
    <w:rsid w:val="00715C36"/>
    <w:rsid w:val="00715E63"/>
    <w:rsid w:val="00715E65"/>
    <w:rsid w:val="00715E67"/>
    <w:rsid w:val="00715F5D"/>
    <w:rsid w:val="007161D9"/>
    <w:rsid w:val="0071632F"/>
    <w:rsid w:val="00716391"/>
    <w:rsid w:val="00716450"/>
    <w:rsid w:val="0071665A"/>
    <w:rsid w:val="007166CB"/>
    <w:rsid w:val="007167B0"/>
    <w:rsid w:val="00716836"/>
    <w:rsid w:val="007168CC"/>
    <w:rsid w:val="007168D4"/>
    <w:rsid w:val="00716A7E"/>
    <w:rsid w:val="00716ADE"/>
    <w:rsid w:val="00716F0B"/>
    <w:rsid w:val="0071738B"/>
    <w:rsid w:val="0071741C"/>
    <w:rsid w:val="00717468"/>
    <w:rsid w:val="00717742"/>
    <w:rsid w:val="00717943"/>
    <w:rsid w:val="00717A05"/>
    <w:rsid w:val="00717A53"/>
    <w:rsid w:val="00717B2B"/>
    <w:rsid w:val="00717CB6"/>
    <w:rsid w:val="00717CC5"/>
    <w:rsid w:val="00717DB0"/>
    <w:rsid w:val="00717E54"/>
    <w:rsid w:val="00717EED"/>
    <w:rsid w:val="00717F11"/>
    <w:rsid w:val="007200B1"/>
    <w:rsid w:val="007200BD"/>
    <w:rsid w:val="00720124"/>
    <w:rsid w:val="00720128"/>
    <w:rsid w:val="007201EA"/>
    <w:rsid w:val="00720500"/>
    <w:rsid w:val="00720574"/>
    <w:rsid w:val="007205A7"/>
    <w:rsid w:val="0072063B"/>
    <w:rsid w:val="00720726"/>
    <w:rsid w:val="00720849"/>
    <w:rsid w:val="00720B8F"/>
    <w:rsid w:val="00720EE8"/>
    <w:rsid w:val="00720F1E"/>
    <w:rsid w:val="0072105B"/>
    <w:rsid w:val="0072144B"/>
    <w:rsid w:val="00721630"/>
    <w:rsid w:val="0072178B"/>
    <w:rsid w:val="00721833"/>
    <w:rsid w:val="00721C80"/>
    <w:rsid w:val="00721D72"/>
    <w:rsid w:val="00721F2F"/>
    <w:rsid w:val="00722109"/>
    <w:rsid w:val="007221E7"/>
    <w:rsid w:val="0072226B"/>
    <w:rsid w:val="007222EF"/>
    <w:rsid w:val="007223AD"/>
    <w:rsid w:val="0072242B"/>
    <w:rsid w:val="0072243E"/>
    <w:rsid w:val="007225F7"/>
    <w:rsid w:val="007227AF"/>
    <w:rsid w:val="0072295D"/>
    <w:rsid w:val="007231C5"/>
    <w:rsid w:val="0072334C"/>
    <w:rsid w:val="007233A7"/>
    <w:rsid w:val="007236EF"/>
    <w:rsid w:val="00723724"/>
    <w:rsid w:val="007237DC"/>
    <w:rsid w:val="00723C2A"/>
    <w:rsid w:val="00723D06"/>
    <w:rsid w:val="00723F18"/>
    <w:rsid w:val="00724099"/>
    <w:rsid w:val="0072432F"/>
    <w:rsid w:val="007243C6"/>
    <w:rsid w:val="007243DF"/>
    <w:rsid w:val="00724431"/>
    <w:rsid w:val="007244D0"/>
    <w:rsid w:val="00724543"/>
    <w:rsid w:val="00724705"/>
    <w:rsid w:val="007248A2"/>
    <w:rsid w:val="00724ACE"/>
    <w:rsid w:val="00724B25"/>
    <w:rsid w:val="00724BAB"/>
    <w:rsid w:val="00724C47"/>
    <w:rsid w:val="00724E15"/>
    <w:rsid w:val="00724E72"/>
    <w:rsid w:val="00724F52"/>
    <w:rsid w:val="0072501C"/>
    <w:rsid w:val="00725023"/>
    <w:rsid w:val="007250D0"/>
    <w:rsid w:val="007250F7"/>
    <w:rsid w:val="007250FF"/>
    <w:rsid w:val="0072527F"/>
    <w:rsid w:val="00725420"/>
    <w:rsid w:val="007254D5"/>
    <w:rsid w:val="007257C9"/>
    <w:rsid w:val="007257CE"/>
    <w:rsid w:val="00725A34"/>
    <w:rsid w:val="00725A3D"/>
    <w:rsid w:val="00725A47"/>
    <w:rsid w:val="00725C21"/>
    <w:rsid w:val="00725F86"/>
    <w:rsid w:val="007262DB"/>
    <w:rsid w:val="00726375"/>
    <w:rsid w:val="007263F6"/>
    <w:rsid w:val="007264DD"/>
    <w:rsid w:val="00726526"/>
    <w:rsid w:val="007266D0"/>
    <w:rsid w:val="00726704"/>
    <w:rsid w:val="00726857"/>
    <w:rsid w:val="00726A41"/>
    <w:rsid w:val="00726B22"/>
    <w:rsid w:val="00726B26"/>
    <w:rsid w:val="00726BFC"/>
    <w:rsid w:val="0072705D"/>
    <w:rsid w:val="00727128"/>
    <w:rsid w:val="0072728B"/>
    <w:rsid w:val="007273B5"/>
    <w:rsid w:val="007273C2"/>
    <w:rsid w:val="0072740C"/>
    <w:rsid w:val="00727677"/>
    <w:rsid w:val="00727981"/>
    <w:rsid w:val="00727A4D"/>
    <w:rsid w:val="00727B59"/>
    <w:rsid w:val="00727BD0"/>
    <w:rsid w:val="00727C2A"/>
    <w:rsid w:val="00727CCC"/>
    <w:rsid w:val="007300F4"/>
    <w:rsid w:val="00730324"/>
    <w:rsid w:val="00730428"/>
    <w:rsid w:val="00730535"/>
    <w:rsid w:val="007305C8"/>
    <w:rsid w:val="007305E0"/>
    <w:rsid w:val="007307F8"/>
    <w:rsid w:val="00730911"/>
    <w:rsid w:val="00730AA7"/>
    <w:rsid w:val="00730AAF"/>
    <w:rsid w:val="00730B74"/>
    <w:rsid w:val="00730D2E"/>
    <w:rsid w:val="00730D44"/>
    <w:rsid w:val="00730DB3"/>
    <w:rsid w:val="0073103B"/>
    <w:rsid w:val="00731168"/>
    <w:rsid w:val="00731232"/>
    <w:rsid w:val="00731262"/>
    <w:rsid w:val="007312BA"/>
    <w:rsid w:val="007312E5"/>
    <w:rsid w:val="00731464"/>
    <w:rsid w:val="0073148A"/>
    <w:rsid w:val="007315F9"/>
    <w:rsid w:val="007318F1"/>
    <w:rsid w:val="00731C0F"/>
    <w:rsid w:val="00732148"/>
    <w:rsid w:val="0073222C"/>
    <w:rsid w:val="007322CB"/>
    <w:rsid w:val="00732669"/>
    <w:rsid w:val="00732774"/>
    <w:rsid w:val="007327FB"/>
    <w:rsid w:val="007328BF"/>
    <w:rsid w:val="00732912"/>
    <w:rsid w:val="00732B89"/>
    <w:rsid w:val="00732BAF"/>
    <w:rsid w:val="00732D84"/>
    <w:rsid w:val="00732DBB"/>
    <w:rsid w:val="00732F5E"/>
    <w:rsid w:val="00732FD0"/>
    <w:rsid w:val="00733323"/>
    <w:rsid w:val="00733364"/>
    <w:rsid w:val="007333B9"/>
    <w:rsid w:val="007334C5"/>
    <w:rsid w:val="007334CF"/>
    <w:rsid w:val="00733525"/>
    <w:rsid w:val="00733788"/>
    <w:rsid w:val="0073379E"/>
    <w:rsid w:val="0073381E"/>
    <w:rsid w:val="00733969"/>
    <w:rsid w:val="0073396E"/>
    <w:rsid w:val="00733A19"/>
    <w:rsid w:val="00733ACF"/>
    <w:rsid w:val="00733D07"/>
    <w:rsid w:val="00733F6C"/>
    <w:rsid w:val="007340F2"/>
    <w:rsid w:val="0073410E"/>
    <w:rsid w:val="0073426E"/>
    <w:rsid w:val="007342C6"/>
    <w:rsid w:val="007342CA"/>
    <w:rsid w:val="007342FB"/>
    <w:rsid w:val="0073432E"/>
    <w:rsid w:val="007346E7"/>
    <w:rsid w:val="007349B3"/>
    <w:rsid w:val="00734AF3"/>
    <w:rsid w:val="00734D7C"/>
    <w:rsid w:val="00734E44"/>
    <w:rsid w:val="00734F30"/>
    <w:rsid w:val="00735004"/>
    <w:rsid w:val="007352F0"/>
    <w:rsid w:val="007353A1"/>
    <w:rsid w:val="00735402"/>
    <w:rsid w:val="00735612"/>
    <w:rsid w:val="00735630"/>
    <w:rsid w:val="00735656"/>
    <w:rsid w:val="007357FB"/>
    <w:rsid w:val="00735D72"/>
    <w:rsid w:val="00735E9A"/>
    <w:rsid w:val="00735FA3"/>
    <w:rsid w:val="00736176"/>
    <w:rsid w:val="00736539"/>
    <w:rsid w:val="007365B2"/>
    <w:rsid w:val="00736618"/>
    <w:rsid w:val="00736872"/>
    <w:rsid w:val="007369B7"/>
    <w:rsid w:val="007369C9"/>
    <w:rsid w:val="007369DD"/>
    <w:rsid w:val="00736AEC"/>
    <w:rsid w:val="00736CA0"/>
    <w:rsid w:val="00736D64"/>
    <w:rsid w:val="00736DFE"/>
    <w:rsid w:val="00736F7C"/>
    <w:rsid w:val="00736FA8"/>
    <w:rsid w:val="00736FDE"/>
    <w:rsid w:val="007372BE"/>
    <w:rsid w:val="00737429"/>
    <w:rsid w:val="0073750F"/>
    <w:rsid w:val="007375F2"/>
    <w:rsid w:val="0073760F"/>
    <w:rsid w:val="007378CF"/>
    <w:rsid w:val="00737937"/>
    <w:rsid w:val="00737B1A"/>
    <w:rsid w:val="00737C4D"/>
    <w:rsid w:val="00737CDC"/>
    <w:rsid w:val="00737D37"/>
    <w:rsid w:val="00737F2B"/>
    <w:rsid w:val="0074005D"/>
    <w:rsid w:val="00740215"/>
    <w:rsid w:val="00740225"/>
    <w:rsid w:val="0074023A"/>
    <w:rsid w:val="007403AF"/>
    <w:rsid w:val="007403CF"/>
    <w:rsid w:val="00740511"/>
    <w:rsid w:val="007407C2"/>
    <w:rsid w:val="007408F8"/>
    <w:rsid w:val="00740960"/>
    <w:rsid w:val="00740A6F"/>
    <w:rsid w:val="00740AEA"/>
    <w:rsid w:val="00740F8E"/>
    <w:rsid w:val="0074115D"/>
    <w:rsid w:val="00741295"/>
    <w:rsid w:val="007412A8"/>
    <w:rsid w:val="007412FE"/>
    <w:rsid w:val="00741386"/>
    <w:rsid w:val="007414CD"/>
    <w:rsid w:val="0074181D"/>
    <w:rsid w:val="007419D1"/>
    <w:rsid w:val="00741B47"/>
    <w:rsid w:val="00741D29"/>
    <w:rsid w:val="00741F23"/>
    <w:rsid w:val="00742119"/>
    <w:rsid w:val="007421BB"/>
    <w:rsid w:val="0074224C"/>
    <w:rsid w:val="007424C8"/>
    <w:rsid w:val="00742510"/>
    <w:rsid w:val="007428FB"/>
    <w:rsid w:val="00742DF6"/>
    <w:rsid w:val="00742E2D"/>
    <w:rsid w:val="00742EFB"/>
    <w:rsid w:val="0074300F"/>
    <w:rsid w:val="00743033"/>
    <w:rsid w:val="0074321F"/>
    <w:rsid w:val="007433CA"/>
    <w:rsid w:val="00743425"/>
    <w:rsid w:val="00743797"/>
    <w:rsid w:val="00743873"/>
    <w:rsid w:val="00743925"/>
    <w:rsid w:val="007439F7"/>
    <w:rsid w:val="00743B22"/>
    <w:rsid w:val="00743B2F"/>
    <w:rsid w:val="00743B5B"/>
    <w:rsid w:val="00743BD0"/>
    <w:rsid w:val="00743CCE"/>
    <w:rsid w:val="00743DB5"/>
    <w:rsid w:val="00743F17"/>
    <w:rsid w:val="00744398"/>
    <w:rsid w:val="00744465"/>
    <w:rsid w:val="0074458E"/>
    <w:rsid w:val="00744607"/>
    <w:rsid w:val="007447AC"/>
    <w:rsid w:val="007447F4"/>
    <w:rsid w:val="00744840"/>
    <w:rsid w:val="0074499F"/>
    <w:rsid w:val="00744A34"/>
    <w:rsid w:val="00744B05"/>
    <w:rsid w:val="00744C9B"/>
    <w:rsid w:val="00745288"/>
    <w:rsid w:val="007453B4"/>
    <w:rsid w:val="007453CB"/>
    <w:rsid w:val="007454FB"/>
    <w:rsid w:val="00745715"/>
    <w:rsid w:val="00745918"/>
    <w:rsid w:val="00745A5F"/>
    <w:rsid w:val="00745A8A"/>
    <w:rsid w:val="00745DDC"/>
    <w:rsid w:val="00745EB5"/>
    <w:rsid w:val="0074602C"/>
    <w:rsid w:val="00746177"/>
    <w:rsid w:val="0074628F"/>
    <w:rsid w:val="0074636E"/>
    <w:rsid w:val="00746460"/>
    <w:rsid w:val="007465D0"/>
    <w:rsid w:val="007466AF"/>
    <w:rsid w:val="007466B2"/>
    <w:rsid w:val="007466F1"/>
    <w:rsid w:val="00746785"/>
    <w:rsid w:val="0074680D"/>
    <w:rsid w:val="0074682C"/>
    <w:rsid w:val="00746878"/>
    <w:rsid w:val="0074690A"/>
    <w:rsid w:val="00746945"/>
    <w:rsid w:val="00746959"/>
    <w:rsid w:val="00746BB2"/>
    <w:rsid w:val="00746C02"/>
    <w:rsid w:val="00746D80"/>
    <w:rsid w:val="00746E9E"/>
    <w:rsid w:val="0074703E"/>
    <w:rsid w:val="00747078"/>
    <w:rsid w:val="0074715E"/>
    <w:rsid w:val="00747200"/>
    <w:rsid w:val="00747299"/>
    <w:rsid w:val="0074732B"/>
    <w:rsid w:val="00747348"/>
    <w:rsid w:val="007473E8"/>
    <w:rsid w:val="007475B7"/>
    <w:rsid w:val="007476AE"/>
    <w:rsid w:val="0074777C"/>
    <w:rsid w:val="0074783D"/>
    <w:rsid w:val="0074784E"/>
    <w:rsid w:val="0074798F"/>
    <w:rsid w:val="0074799C"/>
    <w:rsid w:val="00747A20"/>
    <w:rsid w:val="00747A8C"/>
    <w:rsid w:val="00747AEB"/>
    <w:rsid w:val="00747AED"/>
    <w:rsid w:val="00747D28"/>
    <w:rsid w:val="00747D37"/>
    <w:rsid w:val="0074FBD4"/>
    <w:rsid w:val="00750164"/>
    <w:rsid w:val="00750551"/>
    <w:rsid w:val="0075055B"/>
    <w:rsid w:val="0075055E"/>
    <w:rsid w:val="007505FE"/>
    <w:rsid w:val="00750813"/>
    <w:rsid w:val="00750A3C"/>
    <w:rsid w:val="00750B57"/>
    <w:rsid w:val="00750B75"/>
    <w:rsid w:val="00750BA6"/>
    <w:rsid w:val="00750E66"/>
    <w:rsid w:val="00750F08"/>
    <w:rsid w:val="00751165"/>
    <w:rsid w:val="0075140D"/>
    <w:rsid w:val="0075150B"/>
    <w:rsid w:val="00751611"/>
    <w:rsid w:val="00751645"/>
    <w:rsid w:val="0075177A"/>
    <w:rsid w:val="0075189C"/>
    <w:rsid w:val="0075197B"/>
    <w:rsid w:val="00751A29"/>
    <w:rsid w:val="00751A3E"/>
    <w:rsid w:val="00751AD2"/>
    <w:rsid w:val="00751ADE"/>
    <w:rsid w:val="00751CE5"/>
    <w:rsid w:val="00751E00"/>
    <w:rsid w:val="00751E79"/>
    <w:rsid w:val="00751EB8"/>
    <w:rsid w:val="00751FF3"/>
    <w:rsid w:val="00752084"/>
    <w:rsid w:val="007520E7"/>
    <w:rsid w:val="007523D8"/>
    <w:rsid w:val="00752547"/>
    <w:rsid w:val="0075256E"/>
    <w:rsid w:val="0075263D"/>
    <w:rsid w:val="007527AD"/>
    <w:rsid w:val="007527E7"/>
    <w:rsid w:val="007528C1"/>
    <w:rsid w:val="00752944"/>
    <w:rsid w:val="00752976"/>
    <w:rsid w:val="007529F8"/>
    <w:rsid w:val="00752B2F"/>
    <w:rsid w:val="00752CE5"/>
    <w:rsid w:val="00752E0C"/>
    <w:rsid w:val="00752F66"/>
    <w:rsid w:val="00752FA7"/>
    <w:rsid w:val="0075320D"/>
    <w:rsid w:val="00753494"/>
    <w:rsid w:val="007534C3"/>
    <w:rsid w:val="0075389F"/>
    <w:rsid w:val="00753A7B"/>
    <w:rsid w:val="00753ABE"/>
    <w:rsid w:val="00753CD4"/>
    <w:rsid w:val="00753D1C"/>
    <w:rsid w:val="00753DFD"/>
    <w:rsid w:val="00753E8F"/>
    <w:rsid w:val="00753EAA"/>
    <w:rsid w:val="00753F0D"/>
    <w:rsid w:val="00753F5A"/>
    <w:rsid w:val="007541CF"/>
    <w:rsid w:val="00754224"/>
    <w:rsid w:val="007542CB"/>
    <w:rsid w:val="00754502"/>
    <w:rsid w:val="00754531"/>
    <w:rsid w:val="007546FA"/>
    <w:rsid w:val="007547C4"/>
    <w:rsid w:val="00754A21"/>
    <w:rsid w:val="00754A41"/>
    <w:rsid w:val="00754AA4"/>
    <w:rsid w:val="00754BAB"/>
    <w:rsid w:val="00755065"/>
    <w:rsid w:val="0075510D"/>
    <w:rsid w:val="00755113"/>
    <w:rsid w:val="0075515C"/>
    <w:rsid w:val="00755188"/>
    <w:rsid w:val="007552C3"/>
    <w:rsid w:val="0075537B"/>
    <w:rsid w:val="007553D0"/>
    <w:rsid w:val="00755455"/>
    <w:rsid w:val="007558F8"/>
    <w:rsid w:val="00755A10"/>
    <w:rsid w:val="00755A55"/>
    <w:rsid w:val="00755A7A"/>
    <w:rsid w:val="00755A94"/>
    <w:rsid w:val="00755B1D"/>
    <w:rsid w:val="00755BA0"/>
    <w:rsid w:val="00755C3D"/>
    <w:rsid w:val="00755D08"/>
    <w:rsid w:val="00755E33"/>
    <w:rsid w:val="00756180"/>
    <w:rsid w:val="007561D9"/>
    <w:rsid w:val="007561E5"/>
    <w:rsid w:val="007563CE"/>
    <w:rsid w:val="0075698D"/>
    <w:rsid w:val="00756A0B"/>
    <w:rsid w:val="00756AD2"/>
    <w:rsid w:val="00756BF8"/>
    <w:rsid w:val="00756D6B"/>
    <w:rsid w:val="00756DBB"/>
    <w:rsid w:val="00756EE0"/>
    <w:rsid w:val="00757062"/>
    <w:rsid w:val="007570F1"/>
    <w:rsid w:val="007571F2"/>
    <w:rsid w:val="00757271"/>
    <w:rsid w:val="007573C4"/>
    <w:rsid w:val="007574A9"/>
    <w:rsid w:val="007574EB"/>
    <w:rsid w:val="00757556"/>
    <w:rsid w:val="007575E5"/>
    <w:rsid w:val="0075789F"/>
    <w:rsid w:val="00757962"/>
    <w:rsid w:val="0075797A"/>
    <w:rsid w:val="00757AF0"/>
    <w:rsid w:val="00757BD5"/>
    <w:rsid w:val="00757ED8"/>
    <w:rsid w:val="00757FB4"/>
    <w:rsid w:val="00757FDA"/>
    <w:rsid w:val="00760015"/>
    <w:rsid w:val="00760234"/>
    <w:rsid w:val="00760404"/>
    <w:rsid w:val="007604B9"/>
    <w:rsid w:val="00760517"/>
    <w:rsid w:val="007605FC"/>
    <w:rsid w:val="00760C71"/>
    <w:rsid w:val="00760EC3"/>
    <w:rsid w:val="0076109A"/>
    <w:rsid w:val="007610D2"/>
    <w:rsid w:val="00761161"/>
    <w:rsid w:val="007612D2"/>
    <w:rsid w:val="007612E3"/>
    <w:rsid w:val="00761344"/>
    <w:rsid w:val="00761364"/>
    <w:rsid w:val="0076137D"/>
    <w:rsid w:val="00761BEA"/>
    <w:rsid w:val="00761E82"/>
    <w:rsid w:val="00761F89"/>
    <w:rsid w:val="00761FF2"/>
    <w:rsid w:val="007620BE"/>
    <w:rsid w:val="007620BF"/>
    <w:rsid w:val="007621AE"/>
    <w:rsid w:val="00762242"/>
    <w:rsid w:val="007622F8"/>
    <w:rsid w:val="0076240D"/>
    <w:rsid w:val="00762467"/>
    <w:rsid w:val="007625FA"/>
    <w:rsid w:val="00762806"/>
    <w:rsid w:val="0076288E"/>
    <w:rsid w:val="00762B76"/>
    <w:rsid w:val="00762BBF"/>
    <w:rsid w:val="00762BF2"/>
    <w:rsid w:val="00762D7D"/>
    <w:rsid w:val="00762E68"/>
    <w:rsid w:val="00762ECE"/>
    <w:rsid w:val="0076307E"/>
    <w:rsid w:val="007631AE"/>
    <w:rsid w:val="007632A2"/>
    <w:rsid w:val="0076346F"/>
    <w:rsid w:val="007634B5"/>
    <w:rsid w:val="007634E9"/>
    <w:rsid w:val="00763620"/>
    <w:rsid w:val="00763817"/>
    <w:rsid w:val="007639EC"/>
    <w:rsid w:val="00763A66"/>
    <w:rsid w:val="00763C84"/>
    <w:rsid w:val="00763E37"/>
    <w:rsid w:val="00764051"/>
    <w:rsid w:val="0076405A"/>
    <w:rsid w:val="00764075"/>
    <w:rsid w:val="007641AB"/>
    <w:rsid w:val="007641BF"/>
    <w:rsid w:val="0076422D"/>
    <w:rsid w:val="00764262"/>
    <w:rsid w:val="007643BC"/>
    <w:rsid w:val="00764595"/>
    <w:rsid w:val="007645BD"/>
    <w:rsid w:val="00764782"/>
    <w:rsid w:val="00764836"/>
    <w:rsid w:val="007648A8"/>
    <w:rsid w:val="007649B6"/>
    <w:rsid w:val="00764DB4"/>
    <w:rsid w:val="00764DE2"/>
    <w:rsid w:val="00764E4F"/>
    <w:rsid w:val="00764F95"/>
    <w:rsid w:val="0076530B"/>
    <w:rsid w:val="0076545A"/>
    <w:rsid w:val="0076545D"/>
    <w:rsid w:val="007654DE"/>
    <w:rsid w:val="007654F4"/>
    <w:rsid w:val="0076557B"/>
    <w:rsid w:val="00765752"/>
    <w:rsid w:val="0076579B"/>
    <w:rsid w:val="007658D4"/>
    <w:rsid w:val="007659F0"/>
    <w:rsid w:val="00765A40"/>
    <w:rsid w:val="00765B47"/>
    <w:rsid w:val="00765B84"/>
    <w:rsid w:val="00765C69"/>
    <w:rsid w:val="00765D7F"/>
    <w:rsid w:val="00765E05"/>
    <w:rsid w:val="00765EA2"/>
    <w:rsid w:val="00765EF8"/>
    <w:rsid w:val="00765F32"/>
    <w:rsid w:val="00765FFF"/>
    <w:rsid w:val="00766019"/>
    <w:rsid w:val="0076607C"/>
    <w:rsid w:val="00766513"/>
    <w:rsid w:val="00766572"/>
    <w:rsid w:val="007665A8"/>
    <w:rsid w:val="007665E3"/>
    <w:rsid w:val="00766639"/>
    <w:rsid w:val="0076674F"/>
    <w:rsid w:val="007667F2"/>
    <w:rsid w:val="00766871"/>
    <w:rsid w:val="00766B44"/>
    <w:rsid w:val="00766C52"/>
    <w:rsid w:val="00766C5B"/>
    <w:rsid w:val="00766D34"/>
    <w:rsid w:val="00766D74"/>
    <w:rsid w:val="0076715D"/>
    <w:rsid w:val="007673AB"/>
    <w:rsid w:val="007674A8"/>
    <w:rsid w:val="0076760A"/>
    <w:rsid w:val="007676A0"/>
    <w:rsid w:val="007677B8"/>
    <w:rsid w:val="00767A58"/>
    <w:rsid w:val="00767DDA"/>
    <w:rsid w:val="00767EE4"/>
    <w:rsid w:val="00767F62"/>
    <w:rsid w:val="007700FB"/>
    <w:rsid w:val="007701D6"/>
    <w:rsid w:val="00770281"/>
    <w:rsid w:val="007702C1"/>
    <w:rsid w:val="0077033E"/>
    <w:rsid w:val="007703CE"/>
    <w:rsid w:val="007703E7"/>
    <w:rsid w:val="007703EA"/>
    <w:rsid w:val="00770537"/>
    <w:rsid w:val="00770576"/>
    <w:rsid w:val="007706FC"/>
    <w:rsid w:val="007707DE"/>
    <w:rsid w:val="00770A2C"/>
    <w:rsid w:val="00770A94"/>
    <w:rsid w:val="00770AEE"/>
    <w:rsid w:val="00770CFE"/>
    <w:rsid w:val="00770D6B"/>
    <w:rsid w:val="00770DC2"/>
    <w:rsid w:val="00770EE8"/>
    <w:rsid w:val="00770F4C"/>
    <w:rsid w:val="007713A3"/>
    <w:rsid w:val="00771768"/>
    <w:rsid w:val="007717D8"/>
    <w:rsid w:val="007718DC"/>
    <w:rsid w:val="007718E9"/>
    <w:rsid w:val="00771981"/>
    <w:rsid w:val="00771BE6"/>
    <w:rsid w:val="00771CE9"/>
    <w:rsid w:val="00771DD3"/>
    <w:rsid w:val="00771DE3"/>
    <w:rsid w:val="00771E0D"/>
    <w:rsid w:val="00771E2B"/>
    <w:rsid w:val="00771F27"/>
    <w:rsid w:val="00771F37"/>
    <w:rsid w:val="00771F3E"/>
    <w:rsid w:val="00771FD2"/>
    <w:rsid w:val="007720B2"/>
    <w:rsid w:val="00772179"/>
    <w:rsid w:val="007722E2"/>
    <w:rsid w:val="00772389"/>
    <w:rsid w:val="007723F2"/>
    <w:rsid w:val="00772604"/>
    <w:rsid w:val="007726F7"/>
    <w:rsid w:val="007728C6"/>
    <w:rsid w:val="00772A51"/>
    <w:rsid w:val="00772A87"/>
    <w:rsid w:val="00772BB0"/>
    <w:rsid w:val="00772DB5"/>
    <w:rsid w:val="00772E97"/>
    <w:rsid w:val="00773023"/>
    <w:rsid w:val="00773195"/>
    <w:rsid w:val="007732D2"/>
    <w:rsid w:val="007733A8"/>
    <w:rsid w:val="00773667"/>
    <w:rsid w:val="007737CE"/>
    <w:rsid w:val="0077382D"/>
    <w:rsid w:val="00773A5E"/>
    <w:rsid w:val="00773BB4"/>
    <w:rsid w:val="00773BF9"/>
    <w:rsid w:val="00773E3B"/>
    <w:rsid w:val="00773EE8"/>
    <w:rsid w:val="00773F84"/>
    <w:rsid w:val="00774170"/>
    <w:rsid w:val="007741C2"/>
    <w:rsid w:val="0077445D"/>
    <w:rsid w:val="00774535"/>
    <w:rsid w:val="007746C7"/>
    <w:rsid w:val="00774791"/>
    <w:rsid w:val="00774830"/>
    <w:rsid w:val="00774906"/>
    <w:rsid w:val="0077496B"/>
    <w:rsid w:val="00774994"/>
    <w:rsid w:val="00774C1D"/>
    <w:rsid w:val="00774D50"/>
    <w:rsid w:val="00774E08"/>
    <w:rsid w:val="00774F5A"/>
    <w:rsid w:val="007751FE"/>
    <w:rsid w:val="0077520D"/>
    <w:rsid w:val="007753B0"/>
    <w:rsid w:val="007755C3"/>
    <w:rsid w:val="007756BA"/>
    <w:rsid w:val="007756CC"/>
    <w:rsid w:val="007756FE"/>
    <w:rsid w:val="00775718"/>
    <w:rsid w:val="007757E1"/>
    <w:rsid w:val="007757EE"/>
    <w:rsid w:val="007758D9"/>
    <w:rsid w:val="0077594A"/>
    <w:rsid w:val="00775A2F"/>
    <w:rsid w:val="00775A58"/>
    <w:rsid w:val="00775CEE"/>
    <w:rsid w:val="00775EE0"/>
    <w:rsid w:val="007760EC"/>
    <w:rsid w:val="00776214"/>
    <w:rsid w:val="0077621C"/>
    <w:rsid w:val="0077631A"/>
    <w:rsid w:val="0077649D"/>
    <w:rsid w:val="007764E3"/>
    <w:rsid w:val="0077656E"/>
    <w:rsid w:val="007767B7"/>
    <w:rsid w:val="007767CF"/>
    <w:rsid w:val="00776854"/>
    <w:rsid w:val="00776910"/>
    <w:rsid w:val="00776935"/>
    <w:rsid w:val="0077696C"/>
    <w:rsid w:val="00776A0B"/>
    <w:rsid w:val="00776A3B"/>
    <w:rsid w:val="00776B69"/>
    <w:rsid w:val="00776FD1"/>
    <w:rsid w:val="007770A3"/>
    <w:rsid w:val="007772DE"/>
    <w:rsid w:val="007772F7"/>
    <w:rsid w:val="00777386"/>
    <w:rsid w:val="00777484"/>
    <w:rsid w:val="00777730"/>
    <w:rsid w:val="00777B03"/>
    <w:rsid w:val="00777B24"/>
    <w:rsid w:val="00777CF9"/>
    <w:rsid w:val="00777D41"/>
    <w:rsid w:val="00777E24"/>
    <w:rsid w:val="00777EF7"/>
    <w:rsid w:val="00777EFC"/>
    <w:rsid w:val="00780060"/>
    <w:rsid w:val="00780187"/>
    <w:rsid w:val="007801B3"/>
    <w:rsid w:val="007802B1"/>
    <w:rsid w:val="007802D8"/>
    <w:rsid w:val="00780327"/>
    <w:rsid w:val="0078033B"/>
    <w:rsid w:val="0078039E"/>
    <w:rsid w:val="007804CD"/>
    <w:rsid w:val="00780AE6"/>
    <w:rsid w:val="00780BBB"/>
    <w:rsid w:val="00780CFC"/>
    <w:rsid w:val="00780D5D"/>
    <w:rsid w:val="00780F2D"/>
    <w:rsid w:val="00780FA9"/>
    <w:rsid w:val="007810FD"/>
    <w:rsid w:val="00781157"/>
    <w:rsid w:val="00781243"/>
    <w:rsid w:val="0078144D"/>
    <w:rsid w:val="007815D6"/>
    <w:rsid w:val="0078192F"/>
    <w:rsid w:val="00781A4B"/>
    <w:rsid w:val="00781BD2"/>
    <w:rsid w:val="00781F10"/>
    <w:rsid w:val="00782107"/>
    <w:rsid w:val="0078232B"/>
    <w:rsid w:val="0078244A"/>
    <w:rsid w:val="00782618"/>
    <w:rsid w:val="007828B8"/>
    <w:rsid w:val="007828D8"/>
    <w:rsid w:val="007828DC"/>
    <w:rsid w:val="00782905"/>
    <w:rsid w:val="00782930"/>
    <w:rsid w:val="00782B70"/>
    <w:rsid w:val="00782BB5"/>
    <w:rsid w:val="00782D3A"/>
    <w:rsid w:val="00782D46"/>
    <w:rsid w:val="00782DEB"/>
    <w:rsid w:val="00782FE6"/>
    <w:rsid w:val="007830B7"/>
    <w:rsid w:val="00783257"/>
    <w:rsid w:val="007832AA"/>
    <w:rsid w:val="00783300"/>
    <w:rsid w:val="00783878"/>
    <w:rsid w:val="00783AAC"/>
    <w:rsid w:val="00783B0D"/>
    <w:rsid w:val="00783CB2"/>
    <w:rsid w:val="00783FE8"/>
    <w:rsid w:val="00784090"/>
    <w:rsid w:val="00784213"/>
    <w:rsid w:val="007843E2"/>
    <w:rsid w:val="0078446D"/>
    <w:rsid w:val="0078487B"/>
    <w:rsid w:val="00784992"/>
    <w:rsid w:val="00784C67"/>
    <w:rsid w:val="00784CF7"/>
    <w:rsid w:val="00784D1C"/>
    <w:rsid w:val="007850D3"/>
    <w:rsid w:val="00785157"/>
    <w:rsid w:val="007851AA"/>
    <w:rsid w:val="0078537B"/>
    <w:rsid w:val="007854B9"/>
    <w:rsid w:val="00785694"/>
    <w:rsid w:val="00785867"/>
    <w:rsid w:val="0078588E"/>
    <w:rsid w:val="0078593E"/>
    <w:rsid w:val="007859F2"/>
    <w:rsid w:val="00785D33"/>
    <w:rsid w:val="00785E8F"/>
    <w:rsid w:val="00785FC1"/>
    <w:rsid w:val="00786410"/>
    <w:rsid w:val="007865D0"/>
    <w:rsid w:val="007866A4"/>
    <w:rsid w:val="0078671C"/>
    <w:rsid w:val="00786732"/>
    <w:rsid w:val="007867AD"/>
    <w:rsid w:val="00786B1E"/>
    <w:rsid w:val="00786DAE"/>
    <w:rsid w:val="00786DE5"/>
    <w:rsid w:val="00786F31"/>
    <w:rsid w:val="00786F89"/>
    <w:rsid w:val="00786FD6"/>
    <w:rsid w:val="0078760B"/>
    <w:rsid w:val="00787A3E"/>
    <w:rsid w:val="00787BBD"/>
    <w:rsid w:val="00787CE3"/>
    <w:rsid w:val="00787E26"/>
    <w:rsid w:val="00787F50"/>
    <w:rsid w:val="00787FC8"/>
    <w:rsid w:val="007900F9"/>
    <w:rsid w:val="007900FE"/>
    <w:rsid w:val="00790408"/>
    <w:rsid w:val="0079041C"/>
    <w:rsid w:val="007905BA"/>
    <w:rsid w:val="00790899"/>
    <w:rsid w:val="007908EB"/>
    <w:rsid w:val="00790931"/>
    <w:rsid w:val="0079093A"/>
    <w:rsid w:val="00790A6A"/>
    <w:rsid w:val="00790D23"/>
    <w:rsid w:val="00790DCD"/>
    <w:rsid w:val="00790E0C"/>
    <w:rsid w:val="00790F5B"/>
    <w:rsid w:val="00790F6F"/>
    <w:rsid w:val="007910D0"/>
    <w:rsid w:val="0079110A"/>
    <w:rsid w:val="007912BF"/>
    <w:rsid w:val="0079137C"/>
    <w:rsid w:val="0079172D"/>
    <w:rsid w:val="00791B0C"/>
    <w:rsid w:val="00791B14"/>
    <w:rsid w:val="00791BBC"/>
    <w:rsid w:val="00791BFE"/>
    <w:rsid w:val="00791C26"/>
    <w:rsid w:val="00791C81"/>
    <w:rsid w:val="00791D3C"/>
    <w:rsid w:val="00791DBC"/>
    <w:rsid w:val="00791EBC"/>
    <w:rsid w:val="00792041"/>
    <w:rsid w:val="00792043"/>
    <w:rsid w:val="007926E0"/>
    <w:rsid w:val="007926EE"/>
    <w:rsid w:val="007926F1"/>
    <w:rsid w:val="007927F2"/>
    <w:rsid w:val="00792823"/>
    <w:rsid w:val="00792837"/>
    <w:rsid w:val="007928B9"/>
    <w:rsid w:val="00792918"/>
    <w:rsid w:val="00792CED"/>
    <w:rsid w:val="0079302B"/>
    <w:rsid w:val="00793140"/>
    <w:rsid w:val="00793217"/>
    <w:rsid w:val="007932A2"/>
    <w:rsid w:val="0079361F"/>
    <w:rsid w:val="007936C6"/>
    <w:rsid w:val="007938CB"/>
    <w:rsid w:val="00793E04"/>
    <w:rsid w:val="00793FEE"/>
    <w:rsid w:val="0079401A"/>
    <w:rsid w:val="00794291"/>
    <w:rsid w:val="00794464"/>
    <w:rsid w:val="00794490"/>
    <w:rsid w:val="0079458A"/>
    <w:rsid w:val="007945C4"/>
    <w:rsid w:val="00794636"/>
    <w:rsid w:val="007946F3"/>
    <w:rsid w:val="00794A17"/>
    <w:rsid w:val="00794A56"/>
    <w:rsid w:val="00794D39"/>
    <w:rsid w:val="00794D4D"/>
    <w:rsid w:val="00794E58"/>
    <w:rsid w:val="00795047"/>
    <w:rsid w:val="00795155"/>
    <w:rsid w:val="007951A4"/>
    <w:rsid w:val="0079544A"/>
    <w:rsid w:val="007954C8"/>
    <w:rsid w:val="007955B3"/>
    <w:rsid w:val="00795704"/>
    <w:rsid w:val="00795742"/>
    <w:rsid w:val="00795917"/>
    <w:rsid w:val="0079593E"/>
    <w:rsid w:val="00795BA7"/>
    <w:rsid w:val="00795BD0"/>
    <w:rsid w:val="00795C92"/>
    <w:rsid w:val="00795DD3"/>
    <w:rsid w:val="00795FB5"/>
    <w:rsid w:val="00796052"/>
    <w:rsid w:val="007960AF"/>
    <w:rsid w:val="007961C3"/>
    <w:rsid w:val="007964EF"/>
    <w:rsid w:val="00796737"/>
    <w:rsid w:val="00796BCB"/>
    <w:rsid w:val="00796F45"/>
    <w:rsid w:val="00797045"/>
    <w:rsid w:val="007970D0"/>
    <w:rsid w:val="00797281"/>
    <w:rsid w:val="00797430"/>
    <w:rsid w:val="00797644"/>
    <w:rsid w:val="007977D4"/>
    <w:rsid w:val="007978F5"/>
    <w:rsid w:val="00797923"/>
    <w:rsid w:val="00797B41"/>
    <w:rsid w:val="00797B9E"/>
    <w:rsid w:val="00797C2B"/>
    <w:rsid w:val="00797C7F"/>
    <w:rsid w:val="00797E10"/>
    <w:rsid w:val="00797E68"/>
    <w:rsid w:val="00797FC7"/>
    <w:rsid w:val="007A0456"/>
    <w:rsid w:val="007A05D1"/>
    <w:rsid w:val="007A05F4"/>
    <w:rsid w:val="007A07F5"/>
    <w:rsid w:val="007A0861"/>
    <w:rsid w:val="007A0955"/>
    <w:rsid w:val="007A0AB6"/>
    <w:rsid w:val="007A0ABF"/>
    <w:rsid w:val="007A0B95"/>
    <w:rsid w:val="007A0D50"/>
    <w:rsid w:val="007A0DF6"/>
    <w:rsid w:val="007A127F"/>
    <w:rsid w:val="007A1324"/>
    <w:rsid w:val="007A1465"/>
    <w:rsid w:val="007A14FA"/>
    <w:rsid w:val="007A1505"/>
    <w:rsid w:val="007A155B"/>
    <w:rsid w:val="007A16C1"/>
    <w:rsid w:val="007A16E2"/>
    <w:rsid w:val="007A18AC"/>
    <w:rsid w:val="007A1909"/>
    <w:rsid w:val="007A191F"/>
    <w:rsid w:val="007A1BD0"/>
    <w:rsid w:val="007A1BEB"/>
    <w:rsid w:val="007A1C23"/>
    <w:rsid w:val="007A1CD5"/>
    <w:rsid w:val="007A1DAA"/>
    <w:rsid w:val="007A2077"/>
    <w:rsid w:val="007A20C1"/>
    <w:rsid w:val="007A21F6"/>
    <w:rsid w:val="007A2270"/>
    <w:rsid w:val="007A25FA"/>
    <w:rsid w:val="007A26DA"/>
    <w:rsid w:val="007A279D"/>
    <w:rsid w:val="007A29FA"/>
    <w:rsid w:val="007A2AF2"/>
    <w:rsid w:val="007A2BC7"/>
    <w:rsid w:val="007A2CEB"/>
    <w:rsid w:val="007A2D8E"/>
    <w:rsid w:val="007A2DA0"/>
    <w:rsid w:val="007A2E53"/>
    <w:rsid w:val="007A2F6A"/>
    <w:rsid w:val="007A31B4"/>
    <w:rsid w:val="007A34E0"/>
    <w:rsid w:val="007A35B3"/>
    <w:rsid w:val="007A35B5"/>
    <w:rsid w:val="007A36C7"/>
    <w:rsid w:val="007A36F0"/>
    <w:rsid w:val="007A3884"/>
    <w:rsid w:val="007A3937"/>
    <w:rsid w:val="007A396C"/>
    <w:rsid w:val="007A39BB"/>
    <w:rsid w:val="007A3C6E"/>
    <w:rsid w:val="007A3EA4"/>
    <w:rsid w:val="007A3ECA"/>
    <w:rsid w:val="007A3FE9"/>
    <w:rsid w:val="007A40C0"/>
    <w:rsid w:val="007A411D"/>
    <w:rsid w:val="007A4273"/>
    <w:rsid w:val="007A4850"/>
    <w:rsid w:val="007A487F"/>
    <w:rsid w:val="007A49EF"/>
    <w:rsid w:val="007A4B98"/>
    <w:rsid w:val="007A4BF3"/>
    <w:rsid w:val="007A4C5B"/>
    <w:rsid w:val="007A4C62"/>
    <w:rsid w:val="007A4D2C"/>
    <w:rsid w:val="007A4D6B"/>
    <w:rsid w:val="007A4E16"/>
    <w:rsid w:val="007A4E73"/>
    <w:rsid w:val="007A50A9"/>
    <w:rsid w:val="007A5210"/>
    <w:rsid w:val="007A5232"/>
    <w:rsid w:val="007A5337"/>
    <w:rsid w:val="007A5456"/>
    <w:rsid w:val="007A548C"/>
    <w:rsid w:val="007A54AE"/>
    <w:rsid w:val="007A55C1"/>
    <w:rsid w:val="007A55CD"/>
    <w:rsid w:val="007A5626"/>
    <w:rsid w:val="007A573A"/>
    <w:rsid w:val="007A5755"/>
    <w:rsid w:val="007A58DD"/>
    <w:rsid w:val="007A5AC7"/>
    <w:rsid w:val="007A5B6B"/>
    <w:rsid w:val="007A5EAA"/>
    <w:rsid w:val="007A5EE8"/>
    <w:rsid w:val="007A602F"/>
    <w:rsid w:val="007A6305"/>
    <w:rsid w:val="007A63C8"/>
    <w:rsid w:val="007A65A8"/>
    <w:rsid w:val="007A67BF"/>
    <w:rsid w:val="007A680F"/>
    <w:rsid w:val="007A68B2"/>
    <w:rsid w:val="007A6956"/>
    <w:rsid w:val="007A6998"/>
    <w:rsid w:val="007A6B17"/>
    <w:rsid w:val="007A6B7D"/>
    <w:rsid w:val="007A6C1E"/>
    <w:rsid w:val="007A7394"/>
    <w:rsid w:val="007A7547"/>
    <w:rsid w:val="007A76A4"/>
    <w:rsid w:val="007A7794"/>
    <w:rsid w:val="007A785D"/>
    <w:rsid w:val="007A78A8"/>
    <w:rsid w:val="007A79AC"/>
    <w:rsid w:val="007A7C23"/>
    <w:rsid w:val="007A7DB8"/>
    <w:rsid w:val="007A7DBD"/>
    <w:rsid w:val="007A7F10"/>
    <w:rsid w:val="007A7F64"/>
    <w:rsid w:val="007A7FAB"/>
    <w:rsid w:val="007B00AC"/>
    <w:rsid w:val="007B03BD"/>
    <w:rsid w:val="007B046F"/>
    <w:rsid w:val="007B05FD"/>
    <w:rsid w:val="007B0976"/>
    <w:rsid w:val="007B09B3"/>
    <w:rsid w:val="007B09CB"/>
    <w:rsid w:val="007B0CCB"/>
    <w:rsid w:val="007B0D30"/>
    <w:rsid w:val="007B0EA3"/>
    <w:rsid w:val="007B100C"/>
    <w:rsid w:val="007B1023"/>
    <w:rsid w:val="007B1059"/>
    <w:rsid w:val="007B1220"/>
    <w:rsid w:val="007B1267"/>
    <w:rsid w:val="007B1357"/>
    <w:rsid w:val="007B1470"/>
    <w:rsid w:val="007B1592"/>
    <w:rsid w:val="007B16D5"/>
    <w:rsid w:val="007B1747"/>
    <w:rsid w:val="007B1749"/>
    <w:rsid w:val="007B1818"/>
    <w:rsid w:val="007B1886"/>
    <w:rsid w:val="007B1ABB"/>
    <w:rsid w:val="007B1B7F"/>
    <w:rsid w:val="007B1C06"/>
    <w:rsid w:val="007B1C0B"/>
    <w:rsid w:val="007B1C85"/>
    <w:rsid w:val="007B1D1B"/>
    <w:rsid w:val="007B1D46"/>
    <w:rsid w:val="007B1E53"/>
    <w:rsid w:val="007B1E90"/>
    <w:rsid w:val="007B1FF6"/>
    <w:rsid w:val="007B206A"/>
    <w:rsid w:val="007B2077"/>
    <w:rsid w:val="007B213A"/>
    <w:rsid w:val="007B22D7"/>
    <w:rsid w:val="007B23D2"/>
    <w:rsid w:val="007B2503"/>
    <w:rsid w:val="007B258A"/>
    <w:rsid w:val="007B280E"/>
    <w:rsid w:val="007B2821"/>
    <w:rsid w:val="007B28B0"/>
    <w:rsid w:val="007B2A7F"/>
    <w:rsid w:val="007B2C32"/>
    <w:rsid w:val="007B3160"/>
    <w:rsid w:val="007B31FC"/>
    <w:rsid w:val="007B33B2"/>
    <w:rsid w:val="007B33BC"/>
    <w:rsid w:val="007B34F6"/>
    <w:rsid w:val="007B35BB"/>
    <w:rsid w:val="007B3663"/>
    <w:rsid w:val="007B368C"/>
    <w:rsid w:val="007B3771"/>
    <w:rsid w:val="007B3809"/>
    <w:rsid w:val="007B3814"/>
    <w:rsid w:val="007B389F"/>
    <w:rsid w:val="007B3AC0"/>
    <w:rsid w:val="007B3D01"/>
    <w:rsid w:val="007B3F50"/>
    <w:rsid w:val="007B3F5D"/>
    <w:rsid w:val="007B4312"/>
    <w:rsid w:val="007B4340"/>
    <w:rsid w:val="007B437C"/>
    <w:rsid w:val="007B443D"/>
    <w:rsid w:val="007B4521"/>
    <w:rsid w:val="007B45EF"/>
    <w:rsid w:val="007B4855"/>
    <w:rsid w:val="007B498F"/>
    <w:rsid w:val="007B49A8"/>
    <w:rsid w:val="007B4ACC"/>
    <w:rsid w:val="007B4B5D"/>
    <w:rsid w:val="007B4B61"/>
    <w:rsid w:val="007B4C52"/>
    <w:rsid w:val="007B4DAE"/>
    <w:rsid w:val="007B4E3B"/>
    <w:rsid w:val="007B4E49"/>
    <w:rsid w:val="007B4E98"/>
    <w:rsid w:val="007B514F"/>
    <w:rsid w:val="007B5156"/>
    <w:rsid w:val="007B52B3"/>
    <w:rsid w:val="007B5313"/>
    <w:rsid w:val="007B5471"/>
    <w:rsid w:val="007B5787"/>
    <w:rsid w:val="007B5925"/>
    <w:rsid w:val="007B5AB4"/>
    <w:rsid w:val="007B5AE7"/>
    <w:rsid w:val="007B5D9D"/>
    <w:rsid w:val="007B5F1E"/>
    <w:rsid w:val="007B6048"/>
    <w:rsid w:val="007B6077"/>
    <w:rsid w:val="007B611D"/>
    <w:rsid w:val="007B6132"/>
    <w:rsid w:val="007B6224"/>
    <w:rsid w:val="007B62AA"/>
    <w:rsid w:val="007B62E1"/>
    <w:rsid w:val="007B6309"/>
    <w:rsid w:val="007B6311"/>
    <w:rsid w:val="007B646F"/>
    <w:rsid w:val="007B649D"/>
    <w:rsid w:val="007B658F"/>
    <w:rsid w:val="007B667A"/>
    <w:rsid w:val="007B6857"/>
    <w:rsid w:val="007B6B6E"/>
    <w:rsid w:val="007B6BE5"/>
    <w:rsid w:val="007B6CBE"/>
    <w:rsid w:val="007B6E65"/>
    <w:rsid w:val="007B70C7"/>
    <w:rsid w:val="007B71C7"/>
    <w:rsid w:val="007B7289"/>
    <w:rsid w:val="007B73AD"/>
    <w:rsid w:val="007B73DE"/>
    <w:rsid w:val="007B7443"/>
    <w:rsid w:val="007B7486"/>
    <w:rsid w:val="007B7494"/>
    <w:rsid w:val="007B7669"/>
    <w:rsid w:val="007B7698"/>
    <w:rsid w:val="007B769F"/>
    <w:rsid w:val="007B77E5"/>
    <w:rsid w:val="007B7911"/>
    <w:rsid w:val="007B7B37"/>
    <w:rsid w:val="007B7B44"/>
    <w:rsid w:val="007B7CA9"/>
    <w:rsid w:val="007B7DE2"/>
    <w:rsid w:val="007B7F72"/>
    <w:rsid w:val="007C019B"/>
    <w:rsid w:val="007C037D"/>
    <w:rsid w:val="007C0536"/>
    <w:rsid w:val="007C078A"/>
    <w:rsid w:val="007C0856"/>
    <w:rsid w:val="007C0994"/>
    <w:rsid w:val="007C0A74"/>
    <w:rsid w:val="007C0B38"/>
    <w:rsid w:val="007C0C2C"/>
    <w:rsid w:val="007C0CA2"/>
    <w:rsid w:val="007C0CE2"/>
    <w:rsid w:val="007C0EB2"/>
    <w:rsid w:val="007C0EB9"/>
    <w:rsid w:val="007C0F27"/>
    <w:rsid w:val="007C0F7F"/>
    <w:rsid w:val="007C1133"/>
    <w:rsid w:val="007C1296"/>
    <w:rsid w:val="007C12C1"/>
    <w:rsid w:val="007C1414"/>
    <w:rsid w:val="007C147E"/>
    <w:rsid w:val="007C155E"/>
    <w:rsid w:val="007C15AE"/>
    <w:rsid w:val="007C176D"/>
    <w:rsid w:val="007C1883"/>
    <w:rsid w:val="007C1A95"/>
    <w:rsid w:val="007C1DE9"/>
    <w:rsid w:val="007C1E2D"/>
    <w:rsid w:val="007C1E4B"/>
    <w:rsid w:val="007C1FB5"/>
    <w:rsid w:val="007C2380"/>
    <w:rsid w:val="007C2444"/>
    <w:rsid w:val="007C2583"/>
    <w:rsid w:val="007C25C3"/>
    <w:rsid w:val="007C2646"/>
    <w:rsid w:val="007C267B"/>
    <w:rsid w:val="007C2726"/>
    <w:rsid w:val="007C2740"/>
    <w:rsid w:val="007C27F4"/>
    <w:rsid w:val="007C2A86"/>
    <w:rsid w:val="007C2B90"/>
    <w:rsid w:val="007C2DA8"/>
    <w:rsid w:val="007C2DF9"/>
    <w:rsid w:val="007C2EDB"/>
    <w:rsid w:val="007C3574"/>
    <w:rsid w:val="007C3698"/>
    <w:rsid w:val="007C3ACB"/>
    <w:rsid w:val="007C3D4D"/>
    <w:rsid w:val="007C3DD4"/>
    <w:rsid w:val="007C3E9F"/>
    <w:rsid w:val="007C429D"/>
    <w:rsid w:val="007C436F"/>
    <w:rsid w:val="007C4583"/>
    <w:rsid w:val="007C46C7"/>
    <w:rsid w:val="007C472D"/>
    <w:rsid w:val="007C47A0"/>
    <w:rsid w:val="007C4852"/>
    <w:rsid w:val="007C48E8"/>
    <w:rsid w:val="007C4B67"/>
    <w:rsid w:val="007C4D3A"/>
    <w:rsid w:val="007C4D8E"/>
    <w:rsid w:val="007C4DBA"/>
    <w:rsid w:val="007C4E46"/>
    <w:rsid w:val="007C4EAE"/>
    <w:rsid w:val="007C4F73"/>
    <w:rsid w:val="007C5048"/>
    <w:rsid w:val="007C5078"/>
    <w:rsid w:val="007C5266"/>
    <w:rsid w:val="007C52DE"/>
    <w:rsid w:val="007C539D"/>
    <w:rsid w:val="007C53C0"/>
    <w:rsid w:val="007C53C6"/>
    <w:rsid w:val="007C55ED"/>
    <w:rsid w:val="007C5661"/>
    <w:rsid w:val="007C57C2"/>
    <w:rsid w:val="007C5B71"/>
    <w:rsid w:val="007C5DF7"/>
    <w:rsid w:val="007C5EF7"/>
    <w:rsid w:val="007C614E"/>
    <w:rsid w:val="007C6329"/>
    <w:rsid w:val="007C6390"/>
    <w:rsid w:val="007C673C"/>
    <w:rsid w:val="007C6876"/>
    <w:rsid w:val="007C69EF"/>
    <w:rsid w:val="007C700D"/>
    <w:rsid w:val="007C7218"/>
    <w:rsid w:val="007C729C"/>
    <w:rsid w:val="007C73C2"/>
    <w:rsid w:val="007C7497"/>
    <w:rsid w:val="007C77AB"/>
    <w:rsid w:val="007C787D"/>
    <w:rsid w:val="007C78EE"/>
    <w:rsid w:val="007C793A"/>
    <w:rsid w:val="007C7A5D"/>
    <w:rsid w:val="007C7B08"/>
    <w:rsid w:val="007C7B55"/>
    <w:rsid w:val="007C7BF5"/>
    <w:rsid w:val="007C7CE1"/>
    <w:rsid w:val="007C7E01"/>
    <w:rsid w:val="007C7F0C"/>
    <w:rsid w:val="007C7F43"/>
    <w:rsid w:val="007C7FA8"/>
    <w:rsid w:val="007D0116"/>
    <w:rsid w:val="007D0137"/>
    <w:rsid w:val="007D0204"/>
    <w:rsid w:val="007D0222"/>
    <w:rsid w:val="007D0247"/>
    <w:rsid w:val="007D02BB"/>
    <w:rsid w:val="007D03F7"/>
    <w:rsid w:val="007D0542"/>
    <w:rsid w:val="007D055E"/>
    <w:rsid w:val="007D056A"/>
    <w:rsid w:val="007D05A1"/>
    <w:rsid w:val="007D07B3"/>
    <w:rsid w:val="007D084C"/>
    <w:rsid w:val="007D08A4"/>
    <w:rsid w:val="007D09AE"/>
    <w:rsid w:val="007D09BA"/>
    <w:rsid w:val="007D0C35"/>
    <w:rsid w:val="007D0C42"/>
    <w:rsid w:val="007D131A"/>
    <w:rsid w:val="007D1377"/>
    <w:rsid w:val="007D13D1"/>
    <w:rsid w:val="007D1452"/>
    <w:rsid w:val="007D1518"/>
    <w:rsid w:val="007D1C42"/>
    <w:rsid w:val="007D1F3E"/>
    <w:rsid w:val="007D2039"/>
    <w:rsid w:val="007D2081"/>
    <w:rsid w:val="007D20E0"/>
    <w:rsid w:val="007D219B"/>
    <w:rsid w:val="007D2468"/>
    <w:rsid w:val="007D24DC"/>
    <w:rsid w:val="007D258D"/>
    <w:rsid w:val="007D273B"/>
    <w:rsid w:val="007D2791"/>
    <w:rsid w:val="007D29D6"/>
    <w:rsid w:val="007D2B0C"/>
    <w:rsid w:val="007D2DE6"/>
    <w:rsid w:val="007D2DFA"/>
    <w:rsid w:val="007D2F35"/>
    <w:rsid w:val="007D2FBB"/>
    <w:rsid w:val="007D2FCE"/>
    <w:rsid w:val="007D2FF5"/>
    <w:rsid w:val="007D3273"/>
    <w:rsid w:val="007D3485"/>
    <w:rsid w:val="007D34A4"/>
    <w:rsid w:val="007D35E9"/>
    <w:rsid w:val="007D3697"/>
    <w:rsid w:val="007D37CE"/>
    <w:rsid w:val="007D3C33"/>
    <w:rsid w:val="007D3CFF"/>
    <w:rsid w:val="007D3D2A"/>
    <w:rsid w:val="007D3E4E"/>
    <w:rsid w:val="007D4018"/>
    <w:rsid w:val="007D4242"/>
    <w:rsid w:val="007D4279"/>
    <w:rsid w:val="007D42A3"/>
    <w:rsid w:val="007D433E"/>
    <w:rsid w:val="007D44AB"/>
    <w:rsid w:val="007D46C8"/>
    <w:rsid w:val="007D4721"/>
    <w:rsid w:val="007D4820"/>
    <w:rsid w:val="007D488A"/>
    <w:rsid w:val="007D4993"/>
    <w:rsid w:val="007D4A05"/>
    <w:rsid w:val="007D4CC3"/>
    <w:rsid w:val="007D4D1E"/>
    <w:rsid w:val="007D4D34"/>
    <w:rsid w:val="007D4F7D"/>
    <w:rsid w:val="007D504F"/>
    <w:rsid w:val="007D50BC"/>
    <w:rsid w:val="007D5305"/>
    <w:rsid w:val="007D547A"/>
    <w:rsid w:val="007D54F4"/>
    <w:rsid w:val="007D573D"/>
    <w:rsid w:val="007D576D"/>
    <w:rsid w:val="007D5951"/>
    <w:rsid w:val="007D59EC"/>
    <w:rsid w:val="007D5A05"/>
    <w:rsid w:val="007D5B31"/>
    <w:rsid w:val="007D5C78"/>
    <w:rsid w:val="007D5CBD"/>
    <w:rsid w:val="007D5D1A"/>
    <w:rsid w:val="007D611C"/>
    <w:rsid w:val="007D62C3"/>
    <w:rsid w:val="007D6429"/>
    <w:rsid w:val="007D649E"/>
    <w:rsid w:val="007D6557"/>
    <w:rsid w:val="007D67CF"/>
    <w:rsid w:val="007D6A25"/>
    <w:rsid w:val="007D6BAF"/>
    <w:rsid w:val="007D6C06"/>
    <w:rsid w:val="007D6DA5"/>
    <w:rsid w:val="007D6DB7"/>
    <w:rsid w:val="007D6E14"/>
    <w:rsid w:val="007D6E9E"/>
    <w:rsid w:val="007D6FC5"/>
    <w:rsid w:val="007D6FC6"/>
    <w:rsid w:val="007D6FEE"/>
    <w:rsid w:val="007D714D"/>
    <w:rsid w:val="007D7454"/>
    <w:rsid w:val="007D74F3"/>
    <w:rsid w:val="007D7589"/>
    <w:rsid w:val="007D75D2"/>
    <w:rsid w:val="007D768F"/>
    <w:rsid w:val="007D798B"/>
    <w:rsid w:val="007D79DA"/>
    <w:rsid w:val="007D7CCB"/>
    <w:rsid w:val="007D7F55"/>
    <w:rsid w:val="007E00C5"/>
    <w:rsid w:val="007E0270"/>
    <w:rsid w:val="007E041F"/>
    <w:rsid w:val="007E074F"/>
    <w:rsid w:val="007E096D"/>
    <w:rsid w:val="007E0A37"/>
    <w:rsid w:val="007E0BE0"/>
    <w:rsid w:val="007E0C53"/>
    <w:rsid w:val="007E0F1C"/>
    <w:rsid w:val="007E1015"/>
    <w:rsid w:val="007E1326"/>
    <w:rsid w:val="007E1366"/>
    <w:rsid w:val="007E1419"/>
    <w:rsid w:val="007E1456"/>
    <w:rsid w:val="007E15F9"/>
    <w:rsid w:val="007E16B0"/>
    <w:rsid w:val="007E16D5"/>
    <w:rsid w:val="007E1714"/>
    <w:rsid w:val="007E193D"/>
    <w:rsid w:val="007E1B07"/>
    <w:rsid w:val="007E1BF5"/>
    <w:rsid w:val="007E1D97"/>
    <w:rsid w:val="007E1EF6"/>
    <w:rsid w:val="007E200E"/>
    <w:rsid w:val="007E211A"/>
    <w:rsid w:val="007E21D3"/>
    <w:rsid w:val="007E2277"/>
    <w:rsid w:val="007E2297"/>
    <w:rsid w:val="007E2302"/>
    <w:rsid w:val="007E2567"/>
    <w:rsid w:val="007E2571"/>
    <w:rsid w:val="007E27C5"/>
    <w:rsid w:val="007E2848"/>
    <w:rsid w:val="007E2937"/>
    <w:rsid w:val="007E298A"/>
    <w:rsid w:val="007E29B9"/>
    <w:rsid w:val="007E2B6F"/>
    <w:rsid w:val="007E2C18"/>
    <w:rsid w:val="007E2D13"/>
    <w:rsid w:val="007E2DAB"/>
    <w:rsid w:val="007E2F10"/>
    <w:rsid w:val="007E2F21"/>
    <w:rsid w:val="007E3064"/>
    <w:rsid w:val="007E3554"/>
    <w:rsid w:val="007E36A9"/>
    <w:rsid w:val="007E386A"/>
    <w:rsid w:val="007E389F"/>
    <w:rsid w:val="007E3BB9"/>
    <w:rsid w:val="007E3CAB"/>
    <w:rsid w:val="007E3D62"/>
    <w:rsid w:val="007E3DE1"/>
    <w:rsid w:val="007E401B"/>
    <w:rsid w:val="007E4134"/>
    <w:rsid w:val="007E42CE"/>
    <w:rsid w:val="007E4394"/>
    <w:rsid w:val="007E441E"/>
    <w:rsid w:val="007E442C"/>
    <w:rsid w:val="007E448C"/>
    <w:rsid w:val="007E44A3"/>
    <w:rsid w:val="007E451E"/>
    <w:rsid w:val="007E464A"/>
    <w:rsid w:val="007E482B"/>
    <w:rsid w:val="007E4865"/>
    <w:rsid w:val="007E4B67"/>
    <w:rsid w:val="007E4C26"/>
    <w:rsid w:val="007E4D45"/>
    <w:rsid w:val="007E5149"/>
    <w:rsid w:val="007E5237"/>
    <w:rsid w:val="007E52EB"/>
    <w:rsid w:val="007E538E"/>
    <w:rsid w:val="007E53AA"/>
    <w:rsid w:val="007E54E2"/>
    <w:rsid w:val="007E57C7"/>
    <w:rsid w:val="007E57F8"/>
    <w:rsid w:val="007E5833"/>
    <w:rsid w:val="007E58FF"/>
    <w:rsid w:val="007E594A"/>
    <w:rsid w:val="007E5AC1"/>
    <w:rsid w:val="007E5C03"/>
    <w:rsid w:val="007E5D9A"/>
    <w:rsid w:val="007E5E1C"/>
    <w:rsid w:val="007E5E45"/>
    <w:rsid w:val="007E5EA4"/>
    <w:rsid w:val="007E5EA9"/>
    <w:rsid w:val="007E606B"/>
    <w:rsid w:val="007E612E"/>
    <w:rsid w:val="007E622E"/>
    <w:rsid w:val="007E6333"/>
    <w:rsid w:val="007E6622"/>
    <w:rsid w:val="007E67D9"/>
    <w:rsid w:val="007E6DBA"/>
    <w:rsid w:val="007E6DCD"/>
    <w:rsid w:val="007E6E11"/>
    <w:rsid w:val="007E7163"/>
    <w:rsid w:val="007E7379"/>
    <w:rsid w:val="007E7384"/>
    <w:rsid w:val="007E748C"/>
    <w:rsid w:val="007E74F9"/>
    <w:rsid w:val="007E752D"/>
    <w:rsid w:val="007E7576"/>
    <w:rsid w:val="007E76D0"/>
    <w:rsid w:val="007E7723"/>
    <w:rsid w:val="007E7805"/>
    <w:rsid w:val="007E7884"/>
    <w:rsid w:val="007E7908"/>
    <w:rsid w:val="007E7957"/>
    <w:rsid w:val="007E79FD"/>
    <w:rsid w:val="007E7A06"/>
    <w:rsid w:val="007E7BB1"/>
    <w:rsid w:val="007E7BE0"/>
    <w:rsid w:val="007E7BEB"/>
    <w:rsid w:val="007E7DC5"/>
    <w:rsid w:val="007E7EEE"/>
    <w:rsid w:val="007E7F90"/>
    <w:rsid w:val="007F01D1"/>
    <w:rsid w:val="007F028E"/>
    <w:rsid w:val="007F03C6"/>
    <w:rsid w:val="007F03EE"/>
    <w:rsid w:val="007F0424"/>
    <w:rsid w:val="007F043B"/>
    <w:rsid w:val="007F04D6"/>
    <w:rsid w:val="007F0523"/>
    <w:rsid w:val="007F05A9"/>
    <w:rsid w:val="007F0773"/>
    <w:rsid w:val="007F0C45"/>
    <w:rsid w:val="007F0D73"/>
    <w:rsid w:val="007F0DAC"/>
    <w:rsid w:val="007F0FA2"/>
    <w:rsid w:val="007F10E9"/>
    <w:rsid w:val="007F1145"/>
    <w:rsid w:val="007F1173"/>
    <w:rsid w:val="007F12F3"/>
    <w:rsid w:val="007F1351"/>
    <w:rsid w:val="007F158A"/>
    <w:rsid w:val="007F1824"/>
    <w:rsid w:val="007F18FC"/>
    <w:rsid w:val="007F1A14"/>
    <w:rsid w:val="007F1A39"/>
    <w:rsid w:val="007F1A5C"/>
    <w:rsid w:val="007F1AAC"/>
    <w:rsid w:val="007F1BC5"/>
    <w:rsid w:val="007F1D81"/>
    <w:rsid w:val="007F1DDC"/>
    <w:rsid w:val="007F1F77"/>
    <w:rsid w:val="007F2124"/>
    <w:rsid w:val="007F228C"/>
    <w:rsid w:val="007F2493"/>
    <w:rsid w:val="007F29BA"/>
    <w:rsid w:val="007F2A81"/>
    <w:rsid w:val="007F2BF7"/>
    <w:rsid w:val="007F2CCD"/>
    <w:rsid w:val="007F2E3D"/>
    <w:rsid w:val="007F2ED5"/>
    <w:rsid w:val="007F323E"/>
    <w:rsid w:val="007F3253"/>
    <w:rsid w:val="007F3415"/>
    <w:rsid w:val="007F3496"/>
    <w:rsid w:val="007F38E1"/>
    <w:rsid w:val="007F395C"/>
    <w:rsid w:val="007F39A3"/>
    <w:rsid w:val="007F3B1D"/>
    <w:rsid w:val="007F3C8F"/>
    <w:rsid w:val="007F3D01"/>
    <w:rsid w:val="007F3E1E"/>
    <w:rsid w:val="007F3EE7"/>
    <w:rsid w:val="007F401F"/>
    <w:rsid w:val="007F4034"/>
    <w:rsid w:val="007F4136"/>
    <w:rsid w:val="007F4491"/>
    <w:rsid w:val="007F4578"/>
    <w:rsid w:val="007F46DF"/>
    <w:rsid w:val="007F472C"/>
    <w:rsid w:val="007F4818"/>
    <w:rsid w:val="007F48BC"/>
    <w:rsid w:val="007F494D"/>
    <w:rsid w:val="007F4B20"/>
    <w:rsid w:val="007F4C30"/>
    <w:rsid w:val="007F4E2E"/>
    <w:rsid w:val="007F4E86"/>
    <w:rsid w:val="007F4EDF"/>
    <w:rsid w:val="007F4FCA"/>
    <w:rsid w:val="007F4FD2"/>
    <w:rsid w:val="007F5123"/>
    <w:rsid w:val="007F543E"/>
    <w:rsid w:val="007F561A"/>
    <w:rsid w:val="007F567D"/>
    <w:rsid w:val="007F56B4"/>
    <w:rsid w:val="007F5736"/>
    <w:rsid w:val="007F573A"/>
    <w:rsid w:val="007F5848"/>
    <w:rsid w:val="007F58AE"/>
    <w:rsid w:val="007F59F9"/>
    <w:rsid w:val="007F5B71"/>
    <w:rsid w:val="007F5B7B"/>
    <w:rsid w:val="007F641F"/>
    <w:rsid w:val="007F65A2"/>
    <w:rsid w:val="007F688E"/>
    <w:rsid w:val="007F69A8"/>
    <w:rsid w:val="007F6C9F"/>
    <w:rsid w:val="007F6CC1"/>
    <w:rsid w:val="007F6F53"/>
    <w:rsid w:val="007F6FC7"/>
    <w:rsid w:val="007F7068"/>
    <w:rsid w:val="007F71E1"/>
    <w:rsid w:val="007F7281"/>
    <w:rsid w:val="007F73D1"/>
    <w:rsid w:val="007F73DB"/>
    <w:rsid w:val="007F746D"/>
    <w:rsid w:val="007F7542"/>
    <w:rsid w:val="007F7783"/>
    <w:rsid w:val="007F7793"/>
    <w:rsid w:val="007F7960"/>
    <w:rsid w:val="007F79C8"/>
    <w:rsid w:val="007F7D1C"/>
    <w:rsid w:val="007F7DE1"/>
    <w:rsid w:val="007F7E70"/>
    <w:rsid w:val="00800257"/>
    <w:rsid w:val="00800387"/>
    <w:rsid w:val="0080074B"/>
    <w:rsid w:val="008009D4"/>
    <w:rsid w:val="00800C73"/>
    <w:rsid w:val="00801373"/>
    <w:rsid w:val="0080146F"/>
    <w:rsid w:val="00801512"/>
    <w:rsid w:val="008018E6"/>
    <w:rsid w:val="008018EA"/>
    <w:rsid w:val="0080197F"/>
    <w:rsid w:val="00801B00"/>
    <w:rsid w:val="00801B67"/>
    <w:rsid w:val="00801B70"/>
    <w:rsid w:val="00801D4D"/>
    <w:rsid w:val="00801EFD"/>
    <w:rsid w:val="0080205B"/>
    <w:rsid w:val="008023DC"/>
    <w:rsid w:val="00802406"/>
    <w:rsid w:val="00802418"/>
    <w:rsid w:val="00802456"/>
    <w:rsid w:val="008024A0"/>
    <w:rsid w:val="00802542"/>
    <w:rsid w:val="00802671"/>
    <w:rsid w:val="008028B9"/>
    <w:rsid w:val="008028C4"/>
    <w:rsid w:val="008029BA"/>
    <w:rsid w:val="00802AF5"/>
    <w:rsid w:val="00802B06"/>
    <w:rsid w:val="00802B15"/>
    <w:rsid w:val="00802CB3"/>
    <w:rsid w:val="00802E28"/>
    <w:rsid w:val="00802E61"/>
    <w:rsid w:val="00802F2E"/>
    <w:rsid w:val="00802F77"/>
    <w:rsid w:val="00802FF1"/>
    <w:rsid w:val="00802FF4"/>
    <w:rsid w:val="00803151"/>
    <w:rsid w:val="00803458"/>
    <w:rsid w:val="00803680"/>
    <w:rsid w:val="00803803"/>
    <w:rsid w:val="00803B02"/>
    <w:rsid w:val="00803D46"/>
    <w:rsid w:val="00803D98"/>
    <w:rsid w:val="00803ECF"/>
    <w:rsid w:val="00804023"/>
    <w:rsid w:val="00804098"/>
    <w:rsid w:val="008043FE"/>
    <w:rsid w:val="0080443D"/>
    <w:rsid w:val="00804547"/>
    <w:rsid w:val="0080456B"/>
    <w:rsid w:val="008045FB"/>
    <w:rsid w:val="0080469C"/>
    <w:rsid w:val="00804750"/>
    <w:rsid w:val="00804B35"/>
    <w:rsid w:val="00804CD1"/>
    <w:rsid w:val="00804EE5"/>
    <w:rsid w:val="00804F3F"/>
    <w:rsid w:val="00804F71"/>
    <w:rsid w:val="0080522C"/>
    <w:rsid w:val="00805263"/>
    <w:rsid w:val="008052FC"/>
    <w:rsid w:val="00805330"/>
    <w:rsid w:val="00805434"/>
    <w:rsid w:val="00805483"/>
    <w:rsid w:val="008054A2"/>
    <w:rsid w:val="008054D4"/>
    <w:rsid w:val="008055AD"/>
    <w:rsid w:val="0080567F"/>
    <w:rsid w:val="00805681"/>
    <w:rsid w:val="0080570B"/>
    <w:rsid w:val="00805872"/>
    <w:rsid w:val="00805A44"/>
    <w:rsid w:val="00805A58"/>
    <w:rsid w:val="00805AE9"/>
    <w:rsid w:val="00805C9B"/>
    <w:rsid w:val="00805CD2"/>
    <w:rsid w:val="00805D0A"/>
    <w:rsid w:val="00805F1C"/>
    <w:rsid w:val="00806162"/>
    <w:rsid w:val="00806235"/>
    <w:rsid w:val="0080661B"/>
    <w:rsid w:val="00806755"/>
    <w:rsid w:val="0080692A"/>
    <w:rsid w:val="0080696C"/>
    <w:rsid w:val="00806C67"/>
    <w:rsid w:val="00806DC6"/>
    <w:rsid w:val="00806EBE"/>
    <w:rsid w:val="00806F40"/>
    <w:rsid w:val="00806FDE"/>
    <w:rsid w:val="00807053"/>
    <w:rsid w:val="00807120"/>
    <w:rsid w:val="008072AC"/>
    <w:rsid w:val="00807318"/>
    <w:rsid w:val="0080745D"/>
    <w:rsid w:val="008074BE"/>
    <w:rsid w:val="0080751E"/>
    <w:rsid w:val="00807658"/>
    <w:rsid w:val="008076BA"/>
    <w:rsid w:val="0080777E"/>
    <w:rsid w:val="008077EE"/>
    <w:rsid w:val="00807909"/>
    <w:rsid w:val="00807910"/>
    <w:rsid w:val="00807932"/>
    <w:rsid w:val="0080793C"/>
    <w:rsid w:val="008079EF"/>
    <w:rsid w:val="00807BEB"/>
    <w:rsid w:val="00807C34"/>
    <w:rsid w:val="00807D5C"/>
    <w:rsid w:val="00807EFD"/>
    <w:rsid w:val="0081003A"/>
    <w:rsid w:val="008100F6"/>
    <w:rsid w:val="00810123"/>
    <w:rsid w:val="008102C5"/>
    <w:rsid w:val="008103A6"/>
    <w:rsid w:val="008104B6"/>
    <w:rsid w:val="008105E9"/>
    <w:rsid w:val="0081064F"/>
    <w:rsid w:val="008106A9"/>
    <w:rsid w:val="008107F7"/>
    <w:rsid w:val="0081088C"/>
    <w:rsid w:val="008108AC"/>
    <w:rsid w:val="0081095E"/>
    <w:rsid w:val="00810964"/>
    <w:rsid w:val="00810ACB"/>
    <w:rsid w:val="00810C17"/>
    <w:rsid w:val="00810E36"/>
    <w:rsid w:val="00810F03"/>
    <w:rsid w:val="00810FC4"/>
    <w:rsid w:val="00810FF9"/>
    <w:rsid w:val="008112A7"/>
    <w:rsid w:val="00811441"/>
    <w:rsid w:val="00811465"/>
    <w:rsid w:val="00811477"/>
    <w:rsid w:val="0081150B"/>
    <w:rsid w:val="00811878"/>
    <w:rsid w:val="00811888"/>
    <w:rsid w:val="0081190E"/>
    <w:rsid w:val="00811A57"/>
    <w:rsid w:val="00811C76"/>
    <w:rsid w:val="00811C7B"/>
    <w:rsid w:val="00811CA7"/>
    <w:rsid w:val="00811D12"/>
    <w:rsid w:val="00811F4A"/>
    <w:rsid w:val="00812183"/>
    <w:rsid w:val="00812288"/>
    <w:rsid w:val="00812338"/>
    <w:rsid w:val="008126B9"/>
    <w:rsid w:val="0081279B"/>
    <w:rsid w:val="008127B0"/>
    <w:rsid w:val="00812990"/>
    <w:rsid w:val="00812A76"/>
    <w:rsid w:val="00812A85"/>
    <w:rsid w:val="00813081"/>
    <w:rsid w:val="008130B6"/>
    <w:rsid w:val="00813115"/>
    <w:rsid w:val="008131D8"/>
    <w:rsid w:val="00813498"/>
    <w:rsid w:val="0081377E"/>
    <w:rsid w:val="00813825"/>
    <w:rsid w:val="0081397D"/>
    <w:rsid w:val="00813A72"/>
    <w:rsid w:val="00813BA4"/>
    <w:rsid w:val="00813F05"/>
    <w:rsid w:val="008140DD"/>
    <w:rsid w:val="008141BF"/>
    <w:rsid w:val="008141DF"/>
    <w:rsid w:val="0081425F"/>
    <w:rsid w:val="00814277"/>
    <w:rsid w:val="00814280"/>
    <w:rsid w:val="0081440C"/>
    <w:rsid w:val="00814575"/>
    <w:rsid w:val="008149E9"/>
    <w:rsid w:val="00814AD2"/>
    <w:rsid w:val="00814D23"/>
    <w:rsid w:val="00814E5B"/>
    <w:rsid w:val="00814F1B"/>
    <w:rsid w:val="00814F4B"/>
    <w:rsid w:val="00814F82"/>
    <w:rsid w:val="00814FC6"/>
    <w:rsid w:val="00814FC7"/>
    <w:rsid w:val="00814FDC"/>
    <w:rsid w:val="0081503E"/>
    <w:rsid w:val="008150B2"/>
    <w:rsid w:val="008152ED"/>
    <w:rsid w:val="0081537C"/>
    <w:rsid w:val="00815489"/>
    <w:rsid w:val="00815814"/>
    <w:rsid w:val="008158F5"/>
    <w:rsid w:val="00815C21"/>
    <w:rsid w:val="00815D26"/>
    <w:rsid w:val="00816101"/>
    <w:rsid w:val="00816219"/>
    <w:rsid w:val="0081631B"/>
    <w:rsid w:val="0081675E"/>
    <w:rsid w:val="00816810"/>
    <w:rsid w:val="008168A5"/>
    <w:rsid w:val="008168D3"/>
    <w:rsid w:val="00816957"/>
    <w:rsid w:val="00816AB2"/>
    <w:rsid w:val="00816ACE"/>
    <w:rsid w:val="00816C79"/>
    <w:rsid w:val="00816E66"/>
    <w:rsid w:val="0081700F"/>
    <w:rsid w:val="0081706E"/>
    <w:rsid w:val="0081707C"/>
    <w:rsid w:val="008170E4"/>
    <w:rsid w:val="008172CD"/>
    <w:rsid w:val="0081734A"/>
    <w:rsid w:val="008173FD"/>
    <w:rsid w:val="00817686"/>
    <w:rsid w:val="0081777F"/>
    <w:rsid w:val="00817960"/>
    <w:rsid w:val="00817AED"/>
    <w:rsid w:val="00817C48"/>
    <w:rsid w:val="00817D04"/>
    <w:rsid w:val="00817DB9"/>
    <w:rsid w:val="00817F59"/>
    <w:rsid w:val="00817FE4"/>
    <w:rsid w:val="0082007D"/>
    <w:rsid w:val="0082027B"/>
    <w:rsid w:val="008202D8"/>
    <w:rsid w:val="00820378"/>
    <w:rsid w:val="008203A5"/>
    <w:rsid w:val="0082063B"/>
    <w:rsid w:val="00820640"/>
    <w:rsid w:val="00820809"/>
    <w:rsid w:val="008208F0"/>
    <w:rsid w:val="00820AB2"/>
    <w:rsid w:val="00820AC7"/>
    <w:rsid w:val="00820B11"/>
    <w:rsid w:val="00820B13"/>
    <w:rsid w:val="00820CA3"/>
    <w:rsid w:val="00820FAA"/>
    <w:rsid w:val="00820FCD"/>
    <w:rsid w:val="00821076"/>
    <w:rsid w:val="008211A0"/>
    <w:rsid w:val="00821314"/>
    <w:rsid w:val="008214E9"/>
    <w:rsid w:val="0082166F"/>
    <w:rsid w:val="0082185A"/>
    <w:rsid w:val="00821A6E"/>
    <w:rsid w:val="00821BBF"/>
    <w:rsid w:val="00821BCF"/>
    <w:rsid w:val="00821CD2"/>
    <w:rsid w:val="00821DE4"/>
    <w:rsid w:val="00822196"/>
    <w:rsid w:val="00822322"/>
    <w:rsid w:val="008225B5"/>
    <w:rsid w:val="008226FA"/>
    <w:rsid w:val="0082271A"/>
    <w:rsid w:val="00822A32"/>
    <w:rsid w:val="00822A47"/>
    <w:rsid w:val="00822ABC"/>
    <w:rsid w:val="00822B12"/>
    <w:rsid w:val="00822BA1"/>
    <w:rsid w:val="00822DD4"/>
    <w:rsid w:val="00822DDA"/>
    <w:rsid w:val="00822E14"/>
    <w:rsid w:val="008230B5"/>
    <w:rsid w:val="0082334B"/>
    <w:rsid w:val="0082349B"/>
    <w:rsid w:val="008234F5"/>
    <w:rsid w:val="00823686"/>
    <w:rsid w:val="00823745"/>
    <w:rsid w:val="0082375D"/>
    <w:rsid w:val="008237A5"/>
    <w:rsid w:val="00823812"/>
    <w:rsid w:val="00823824"/>
    <w:rsid w:val="008239D9"/>
    <w:rsid w:val="00823BE8"/>
    <w:rsid w:val="00823DFE"/>
    <w:rsid w:val="00823E13"/>
    <w:rsid w:val="00824017"/>
    <w:rsid w:val="008241B3"/>
    <w:rsid w:val="008245A1"/>
    <w:rsid w:val="00824722"/>
    <w:rsid w:val="00824A2A"/>
    <w:rsid w:val="00824A42"/>
    <w:rsid w:val="00824AC8"/>
    <w:rsid w:val="00824B53"/>
    <w:rsid w:val="00824B78"/>
    <w:rsid w:val="00824BAB"/>
    <w:rsid w:val="00825193"/>
    <w:rsid w:val="00825330"/>
    <w:rsid w:val="008255D7"/>
    <w:rsid w:val="008256CD"/>
    <w:rsid w:val="008258BB"/>
    <w:rsid w:val="0082591F"/>
    <w:rsid w:val="00825CBA"/>
    <w:rsid w:val="00825E40"/>
    <w:rsid w:val="00825F9E"/>
    <w:rsid w:val="00826081"/>
    <w:rsid w:val="00826170"/>
    <w:rsid w:val="0082643D"/>
    <w:rsid w:val="008264E6"/>
    <w:rsid w:val="008265B5"/>
    <w:rsid w:val="008266D2"/>
    <w:rsid w:val="008268FF"/>
    <w:rsid w:val="00826C5A"/>
    <w:rsid w:val="00826E55"/>
    <w:rsid w:val="00826E6B"/>
    <w:rsid w:val="008270CA"/>
    <w:rsid w:val="00827161"/>
    <w:rsid w:val="008273F5"/>
    <w:rsid w:val="0082750B"/>
    <w:rsid w:val="00827604"/>
    <w:rsid w:val="00827655"/>
    <w:rsid w:val="0082792A"/>
    <w:rsid w:val="00827960"/>
    <w:rsid w:val="008279C6"/>
    <w:rsid w:val="00827C14"/>
    <w:rsid w:val="00827C5D"/>
    <w:rsid w:val="00827CCB"/>
    <w:rsid w:val="00827CEF"/>
    <w:rsid w:val="00827D65"/>
    <w:rsid w:val="0083005B"/>
    <w:rsid w:val="008300D0"/>
    <w:rsid w:val="008303C1"/>
    <w:rsid w:val="00830446"/>
    <w:rsid w:val="0083048B"/>
    <w:rsid w:val="008305B9"/>
    <w:rsid w:val="00830668"/>
    <w:rsid w:val="00830AD8"/>
    <w:rsid w:val="00830B95"/>
    <w:rsid w:val="00830D09"/>
    <w:rsid w:val="00830E15"/>
    <w:rsid w:val="00830F79"/>
    <w:rsid w:val="00830F8E"/>
    <w:rsid w:val="008311F8"/>
    <w:rsid w:val="0083137F"/>
    <w:rsid w:val="008313C1"/>
    <w:rsid w:val="008314F7"/>
    <w:rsid w:val="008315CD"/>
    <w:rsid w:val="00831A37"/>
    <w:rsid w:val="00831D68"/>
    <w:rsid w:val="00831D7A"/>
    <w:rsid w:val="00831DED"/>
    <w:rsid w:val="00831F80"/>
    <w:rsid w:val="00831FF1"/>
    <w:rsid w:val="00831FFB"/>
    <w:rsid w:val="0083205D"/>
    <w:rsid w:val="008320AF"/>
    <w:rsid w:val="00832376"/>
    <w:rsid w:val="00832472"/>
    <w:rsid w:val="0083248C"/>
    <w:rsid w:val="008325A4"/>
    <w:rsid w:val="008326E8"/>
    <w:rsid w:val="0083288E"/>
    <w:rsid w:val="0083294E"/>
    <w:rsid w:val="0083298D"/>
    <w:rsid w:val="00832BE5"/>
    <w:rsid w:val="00832BF3"/>
    <w:rsid w:val="00832E3B"/>
    <w:rsid w:val="00832E69"/>
    <w:rsid w:val="00832F0E"/>
    <w:rsid w:val="00833046"/>
    <w:rsid w:val="00833091"/>
    <w:rsid w:val="00833127"/>
    <w:rsid w:val="0083322E"/>
    <w:rsid w:val="00833370"/>
    <w:rsid w:val="0083348D"/>
    <w:rsid w:val="0083348F"/>
    <w:rsid w:val="00833495"/>
    <w:rsid w:val="00833547"/>
    <w:rsid w:val="008336DF"/>
    <w:rsid w:val="00833770"/>
    <w:rsid w:val="00833852"/>
    <w:rsid w:val="00833A50"/>
    <w:rsid w:val="00833A88"/>
    <w:rsid w:val="00833D47"/>
    <w:rsid w:val="00833D77"/>
    <w:rsid w:val="00833E58"/>
    <w:rsid w:val="00833E60"/>
    <w:rsid w:val="00833FC7"/>
    <w:rsid w:val="0083402E"/>
    <w:rsid w:val="008340F9"/>
    <w:rsid w:val="0083416C"/>
    <w:rsid w:val="008341A6"/>
    <w:rsid w:val="00834268"/>
    <w:rsid w:val="0083428A"/>
    <w:rsid w:val="00834290"/>
    <w:rsid w:val="0083442B"/>
    <w:rsid w:val="008344E9"/>
    <w:rsid w:val="0083454D"/>
    <w:rsid w:val="008347B6"/>
    <w:rsid w:val="008348A6"/>
    <w:rsid w:val="00834C78"/>
    <w:rsid w:val="00834C87"/>
    <w:rsid w:val="00834DE7"/>
    <w:rsid w:val="00834EE8"/>
    <w:rsid w:val="00834F32"/>
    <w:rsid w:val="00834FBE"/>
    <w:rsid w:val="00834FC9"/>
    <w:rsid w:val="00834FE2"/>
    <w:rsid w:val="00835091"/>
    <w:rsid w:val="008351CA"/>
    <w:rsid w:val="00835238"/>
    <w:rsid w:val="008352E7"/>
    <w:rsid w:val="00835530"/>
    <w:rsid w:val="00835587"/>
    <w:rsid w:val="008355F8"/>
    <w:rsid w:val="00835667"/>
    <w:rsid w:val="008356B3"/>
    <w:rsid w:val="0083570F"/>
    <w:rsid w:val="0083571D"/>
    <w:rsid w:val="00835923"/>
    <w:rsid w:val="00835A6F"/>
    <w:rsid w:val="00835B51"/>
    <w:rsid w:val="00835B71"/>
    <w:rsid w:val="00835C5A"/>
    <w:rsid w:val="00835D5F"/>
    <w:rsid w:val="00835D62"/>
    <w:rsid w:val="00835E10"/>
    <w:rsid w:val="00835E15"/>
    <w:rsid w:val="00835F1D"/>
    <w:rsid w:val="0083614A"/>
    <w:rsid w:val="00836185"/>
    <w:rsid w:val="0083631C"/>
    <w:rsid w:val="008363DE"/>
    <w:rsid w:val="008365A4"/>
    <w:rsid w:val="00836880"/>
    <w:rsid w:val="00836890"/>
    <w:rsid w:val="00836935"/>
    <w:rsid w:val="008369F4"/>
    <w:rsid w:val="00836A77"/>
    <w:rsid w:val="00836B08"/>
    <w:rsid w:val="00836CC5"/>
    <w:rsid w:val="00836FFE"/>
    <w:rsid w:val="00837273"/>
    <w:rsid w:val="0083732D"/>
    <w:rsid w:val="00837490"/>
    <w:rsid w:val="008375D1"/>
    <w:rsid w:val="00837724"/>
    <w:rsid w:val="008377D1"/>
    <w:rsid w:val="008378AD"/>
    <w:rsid w:val="00837931"/>
    <w:rsid w:val="00837963"/>
    <w:rsid w:val="00837981"/>
    <w:rsid w:val="00837AB0"/>
    <w:rsid w:val="00837B60"/>
    <w:rsid w:val="00837C2B"/>
    <w:rsid w:val="00837ED6"/>
    <w:rsid w:val="00840161"/>
    <w:rsid w:val="008401F9"/>
    <w:rsid w:val="008401FC"/>
    <w:rsid w:val="00840435"/>
    <w:rsid w:val="0084052F"/>
    <w:rsid w:val="00840A17"/>
    <w:rsid w:val="00840C34"/>
    <w:rsid w:val="00840C69"/>
    <w:rsid w:val="00840DAB"/>
    <w:rsid w:val="008410A8"/>
    <w:rsid w:val="0084142D"/>
    <w:rsid w:val="008415FB"/>
    <w:rsid w:val="00841681"/>
    <w:rsid w:val="008417B0"/>
    <w:rsid w:val="00841823"/>
    <w:rsid w:val="00841AE5"/>
    <w:rsid w:val="00841C15"/>
    <w:rsid w:val="00841D69"/>
    <w:rsid w:val="00841E25"/>
    <w:rsid w:val="00841E99"/>
    <w:rsid w:val="00841FD7"/>
    <w:rsid w:val="0084204D"/>
    <w:rsid w:val="00842131"/>
    <w:rsid w:val="00842140"/>
    <w:rsid w:val="0084214E"/>
    <w:rsid w:val="00842156"/>
    <w:rsid w:val="00842241"/>
    <w:rsid w:val="008422F7"/>
    <w:rsid w:val="008424B5"/>
    <w:rsid w:val="008429B3"/>
    <w:rsid w:val="008429FD"/>
    <w:rsid w:val="00842AAA"/>
    <w:rsid w:val="00842C4B"/>
    <w:rsid w:val="00842F54"/>
    <w:rsid w:val="008431A7"/>
    <w:rsid w:val="00843542"/>
    <w:rsid w:val="0084359D"/>
    <w:rsid w:val="00843794"/>
    <w:rsid w:val="00843A29"/>
    <w:rsid w:val="00843C02"/>
    <w:rsid w:val="00843D2F"/>
    <w:rsid w:val="00843F11"/>
    <w:rsid w:val="0084403E"/>
    <w:rsid w:val="0084406F"/>
    <w:rsid w:val="008440FC"/>
    <w:rsid w:val="00844168"/>
    <w:rsid w:val="00844231"/>
    <w:rsid w:val="00844272"/>
    <w:rsid w:val="008442D6"/>
    <w:rsid w:val="00844452"/>
    <w:rsid w:val="00844554"/>
    <w:rsid w:val="0084463D"/>
    <w:rsid w:val="00844665"/>
    <w:rsid w:val="00844740"/>
    <w:rsid w:val="008448F9"/>
    <w:rsid w:val="00844A53"/>
    <w:rsid w:val="00844C42"/>
    <w:rsid w:val="00844D7C"/>
    <w:rsid w:val="00844FC6"/>
    <w:rsid w:val="00845022"/>
    <w:rsid w:val="0084512B"/>
    <w:rsid w:val="0084522D"/>
    <w:rsid w:val="0084529C"/>
    <w:rsid w:val="0084537A"/>
    <w:rsid w:val="00845431"/>
    <w:rsid w:val="00845652"/>
    <w:rsid w:val="00845673"/>
    <w:rsid w:val="00845674"/>
    <w:rsid w:val="00845924"/>
    <w:rsid w:val="00845B7F"/>
    <w:rsid w:val="00845B90"/>
    <w:rsid w:val="00845E67"/>
    <w:rsid w:val="00845E6E"/>
    <w:rsid w:val="00845E96"/>
    <w:rsid w:val="00846014"/>
    <w:rsid w:val="0084614F"/>
    <w:rsid w:val="00846174"/>
    <w:rsid w:val="008463D1"/>
    <w:rsid w:val="00846466"/>
    <w:rsid w:val="008464DD"/>
    <w:rsid w:val="0084665E"/>
    <w:rsid w:val="008466B3"/>
    <w:rsid w:val="008467C1"/>
    <w:rsid w:val="008468B5"/>
    <w:rsid w:val="0084692A"/>
    <w:rsid w:val="0084698E"/>
    <w:rsid w:val="008469D0"/>
    <w:rsid w:val="00846C11"/>
    <w:rsid w:val="00846CE5"/>
    <w:rsid w:val="00846DAE"/>
    <w:rsid w:val="00846E6D"/>
    <w:rsid w:val="00846F9F"/>
    <w:rsid w:val="00846FAB"/>
    <w:rsid w:val="00847008"/>
    <w:rsid w:val="00847104"/>
    <w:rsid w:val="008471A9"/>
    <w:rsid w:val="0084731F"/>
    <w:rsid w:val="008473E2"/>
    <w:rsid w:val="00847577"/>
    <w:rsid w:val="008478F3"/>
    <w:rsid w:val="00847960"/>
    <w:rsid w:val="00847B1C"/>
    <w:rsid w:val="00847BAB"/>
    <w:rsid w:val="00847EB6"/>
    <w:rsid w:val="00847F05"/>
    <w:rsid w:val="0085000E"/>
    <w:rsid w:val="008500C3"/>
    <w:rsid w:val="008501CD"/>
    <w:rsid w:val="00850374"/>
    <w:rsid w:val="00850544"/>
    <w:rsid w:val="0085067A"/>
    <w:rsid w:val="0085071E"/>
    <w:rsid w:val="0085079F"/>
    <w:rsid w:val="00850826"/>
    <w:rsid w:val="00850B1D"/>
    <w:rsid w:val="00850B22"/>
    <w:rsid w:val="00850D00"/>
    <w:rsid w:val="00850D34"/>
    <w:rsid w:val="00850EF4"/>
    <w:rsid w:val="00850FC5"/>
    <w:rsid w:val="0085105B"/>
    <w:rsid w:val="0085107A"/>
    <w:rsid w:val="008510E4"/>
    <w:rsid w:val="00851175"/>
    <w:rsid w:val="008511A3"/>
    <w:rsid w:val="0085131A"/>
    <w:rsid w:val="0085159A"/>
    <w:rsid w:val="008517D5"/>
    <w:rsid w:val="00851915"/>
    <w:rsid w:val="00851BF9"/>
    <w:rsid w:val="00851E24"/>
    <w:rsid w:val="008524F4"/>
    <w:rsid w:val="008525BA"/>
    <w:rsid w:val="008525EE"/>
    <w:rsid w:val="0085277F"/>
    <w:rsid w:val="0085281D"/>
    <w:rsid w:val="00852A00"/>
    <w:rsid w:val="00852AAC"/>
    <w:rsid w:val="00852ABE"/>
    <w:rsid w:val="00852AC2"/>
    <w:rsid w:val="00852D48"/>
    <w:rsid w:val="00852D76"/>
    <w:rsid w:val="00852D91"/>
    <w:rsid w:val="00852DA6"/>
    <w:rsid w:val="008530CC"/>
    <w:rsid w:val="008531AF"/>
    <w:rsid w:val="008531EE"/>
    <w:rsid w:val="008533D4"/>
    <w:rsid w:val="0085356C"/>
    <w:rsid w:val="008535F9"/>
    <w:rsid w:val="008536D4"/>
    <w:rsid w:val="00853721"/>
    <w:rsid w:val="00853805"/>
    <w:rsid w:val="00853861"/>
    <w:rsid w:val="008538D1"/>
    <w:rsid w:val="00853927"/>
    <w:rsid w:val="008539AB"/>
    <w:rsid w:val="008539DA"/>
    <w:rsid w:val="00853AA1"/>
    <w:rsid w:val="00853AFD"/>
    <w:rsid w:val="00853B7B"/>
    <w:rsid w:val="00853C3C"/>
    <w:rsid w:val="00853EA1"/>
    <w:rsid w:val="00853F0A"/>
    <w:rsid w:val="0085405C"/>
    <w:rsid w:val="008541E7"/>
    <w:rsid w:val="00854271"/>
    <w:rsid w:val="0085429C"/>
    <w:rsid w:val="008542D8"/>
    <w:rsid w:val="0085444F"/>
    <w:rsid w:val="008545EE"/>
    <w:rsid w:val="00854653"/>
    <w:rsid w:val="00854686"/>
    <w:rsid w:val="008546B2"/>
    <w:rsid w:val="008546E5"/>
    <w:rsid w:val="0085470C"/>
    <w:rsid w:val="0085490F"/>
    <w:rsid w:val="00854D3B"/>
    <w:rsid w:val="0085505C"/>
    <w:rsid w:val="00855202"/>
    <w:rsid w:val="0085520C"/>
    <w:rsid w:val="00855431"/>
    <w:rsid w:val="0085545A"/>
    <w:rsid w:val="008554EE"/>
    <w:rsid w:val="00855763"/>
    <w:rsid w:val="00855AC9"/>
    <w:rsid w:val="00855E03"/>
    <w:rsid w:val="00855F2A"/>
    <w:rsid w:val="00856007"/>
    <w:rsid w:val="0085622D"/>
    <w:rsid w:val="00856481"/>
    <w:rsid w:val="0085677D"/>
    <w:rsid w:val="0085692B"/>
    <w:rsid w:val="008569DC"/>
    <w:rsid w:val="00856A31"/>
    <w:rsid w:val="00856AAE"/>
    <w:rsid w:val="00856AD5"/>
    <w:rsid w:val="00856CCA"/>
    <w:rsid w:val="00856D5F"/>
    <w:rsid w:val="00856D75"/>
    <w:rsid w:val="00856F19"/>
    <w:rsid w:val="0085702E"/>
    <w:rsid w:val="008571CF"/>
    <w:rsid w:val="008573BF"/>
    <w:rsid w:val="008575B8"/>
    <w:rsid w:val="008575D5"/>
    <w:rsid w:val="008575F7"/>
    <w:rsid w:val="00857767"/>
    <w:rsid w:val="008578F9"/>
    <w:rsid w:val="00857987"/>
    <w:rsid w:val="00857B58"/>
    <w:rsid w:val="00857BD2"/>
    <w:rsid w:val="00857BFA"/>
    <w:rsid w:val="00857CDB"/>
    <w:rsid w:val="00857DF6"/>
    <w:rsid w:val="00857E00"/>
    <w:rsid w:val="00857E47"/>
    <w:rsid w:val="00857E5C"/>
    <w:rsid w:val="00857F1F"/>
    <w:rsid w:val="00857F52"/>
    <w:rsid w:val="00860494"/>
    <w:rsid w:val="008604D4"/>
    <w:rsid w:val="0086061E"/>
    <w:rsid w:val="0086077C"/>
    <w:rsid w:val="008608CF"/>
    <w:rsid w:val="008608FA"/>
    <w:rsid w:val="0086098C"/>
    <w:rsid w:val="00860BA3"/>
    <w:rsid w:val="00860D63"/>
    <w:rsid w:val="00860E44"/>
    <w:rsid w:val="00860E84"/>
    <w:rsid w:val="00860F7C"/>
    <w:rsid w:val="00861009"/>
    <w:rsid w:val="00861040"/>
    <w:rsid w:val="00861065"/>
    <w:rsid w:val="00861092"/>
    <w:rsid w:val="008611C2"/>
    <w:rsid w:val="0086123F"/>
    <w:rsid w:val="008614C9"/>
    <w:rsid w:val="0086169C"/>
    <w:rsid w:val="00861724"/>
    <w:rsid w:val="00861813"/>
    <w:rsid w:val="00861C03"/>
    <w:rsid w:val="00861C21"/>
    <w:rsid w:val="008620DA"/>
    <w:rsid w:val="008620DD"/>
    <w:rsid w:val="00862157"/>
    <w:rsid w:val="0086215B"/>
    <w:rsid w:val="00862461"/>
    <w:rsid w:val="0086253D"/>
    <w:rsid w:val="0086255E"/>
    <w:rsid w:val="00862599"/>
    <w:rsid w:val="008625AB"/>
    <w:rsid w:val="0086263D"/>
    <w:rsid w:val="0086268F"/>
    <w:rsid w:val="00862800"/>
    <w:rsid w:val="00862ACF"/>
    <w:rsid w:val="00862B43"/>
    <w:rsid w:val="00862BC4"/>
    <w:rsid w:val="00862C99"/>
    <w:rsid w:val="00862E8C"/>
    <w:rsid w:val="00863062"/>
    <w:rsid w:val="00863151"/>
    <w:rsid w:val="00863301"/>
    <w:rsid w:val="008633D1"/>
    <w:rsid w:val="008638AF"/>
    <w:rsid w:val="00863956"/>
    <w:rsid w:val="008639EC"/>
    <w:rsid w:val="00863BB1"/>
    <w:rsid w:val="00863CEB"/>
    <w:rsid w:val="00863D3F"/>
    <w:rsid w:val="00864320"/>
    <w:rsid w:val="00864361"/>
    <w:rsid w:val="008644FF"/>
    <w:rsid w:val="0086459C"/>
    <w:rsid w:val="0086460F"/>
    <w:rsid w:val="00864612"/>
    <w:rsid w:val="008648DC"/>
    <w:rsid w:val="008649F1"/>
    <w:rsid w:val="00864AA8"/>
    <w:rsid w:val="00864DF4"/>
    <w:rsid w:val="00864EFA"/>
    <w:rsid w:val="00864F4E"/>
    <w:rsid w:val="0086515C"/>
    <w:rsid w:val="00865239"/>
    <w:rsid w:val="00865354"/>
    <w:rsid w:val="00865418"/>
    <w:rsid w:val="00865510"/>
    <w:rsid w:val="008655E7"/>
    <w:rsid w:val="00865666"/>
    <w:rsid w:val="00865677"/>
    <w:rsid w:val="008656CE"/>
    <w:rsid w:val="00865750"/>
    <w:rsid w:val="008657E5"/>
    <w:rsid w:val="008658BC"/>
    <w:rsid w:val="00865942"/>
    <w:rsid w:val="00865A36"/>
    <w:rsid w:val="00865B4C"/>
    <w:rsid w:val="00865D9A"/>
    <w:rsid w:val="00865DAA"/>
    <w:rsid w:val="00865E23"/>
    <w:rsid w:val="00865F3B"/>
    <w:rsid w:val="00865FEA"/>
    <w:rsid w:val="008662B7"/>
    <w:rsid w:val="008664AA"/>
    <w:rsid w:val="00866542"/>
    <w:rsid w:val="00866767"/>
    <w:rsid w:val="008667E9"/>
    <w:rsid w:val="00866956"/>
    <w:rsid w:val="00866A73"/>
    <w:rsid w:val="00866B5D"/>
    <w:rsid w:val="00866FB1"/>
    <w:rsid w:val="0086716F"/>
    <w:rsid w:val="008671AE"/>
    <w:rsid w:val="008672DB"/>
    <w:rsid w:val="008673DF"/>
    <w:rsid w:val="008674CD"/>
    <w:rsid w:val="00867553"/>
    <w:rsid w:val="00867628"/>
    <w:rsid w:val="00867A57"/>
    <w:rsid w:val="00867AD5"/>
    <w:rsid w:val="00867B6C"/>
    <w:rsid w:val="00867D74"/>
    <w:rsid w:val="00867F19"/>
    <w:rsid w:val="00867F6F"/>
    <w:rsid w:val="00870067"/>
    <w:rsid w:val="0087013B"/>
    <w:rsid w:val="00870141"/>
    <w:rsid w:val="0087026E"/>
    <w:rsid w:val="008702E4"/>
    <w:rsid w:val="00870480"/>
    <w:rsid w:val="008704B4"/>
    <w:rsid w:val="00870749"/>
    <w:rsid w:val="0087081B"/>
    <w:rsid w:val="008709F0"/>
    <w:rsid w:val="00870AEA"/>
    <w:rsid w:val="00870B60"/>
    <w:rsid w:val="00870D36"/>
    <w:rsid w:val="00870E47"/>
    <w:rsid w:val="00870F0C"/>
    <w:rsid w:val="00870FBE"/>
    <w:rsid w:val="008710B6"/>
    <w:rsid w:val="008713CB"/>
    <w:rsid w:val="0087146E"/>
    <w:rsid w:val="008714D1"/>
    <w:rsid w:val="008714D5"/>
    <w:rsid w:val="00871573"/>
    <w:rsid w:val="008715E3"/>
    <w:rsid w:val="008716C8"/>
    <w:rsid w:val="008718A7"/>
    <w:rsid w:val="00871AAC"/>
    <w:rsid w:val="00871B3A"/>
    <w:rsid w:val="00871B80"/>
    <w:rsid w:val="00871DA9"/>
    <w:rsid w:val="00871E5C"/>
    <w:rsid w:val="0087211C"/>
    <w:rsid w:val="008722B4"/>
    <w:rsid w:val="00872368"/>
    <w:rsid w:val="008724CA"/>
    <w:rsid w:val="008726BC"/>
    <w:rsid w:val="008726D3"/>
    <w:rsid w:val="0087280B"/>
    <w:rsid w:val="00872878"/>
    <w:rsid w:val="00872C01"/>
    <w:rsid w:val="00872C4F"/>
    <w:rsid w:val="00872D4C"/>
    <w:rsid w:val="00872D56"/>
    <w:rsid w:val="00873013"/>
    <w:rsid w:val="00873069"/>
    <w:rsid w:val="00873335"/>
    <w:rsid w:val="008733C0"/>
    <w:rsid w:val="0087341D"/>
    <w:rsid w:val="0087379B"/>
    <w:rsid w:val="00873988"/>
    <w:rsid w:val="00873A0A"/>
    <w:rsid w:val="00873BD4"/>
    <w:rsid w:val="00873CDB"/>
    <w:rsid w:val="00873E3D"/>
    <w:rsid w:val="00873F46"/>
    <w:rsid w:val="0087405F"/>
    <w:rsid w:val="00874086"/>
    <w:rsid w:val="008740F6"/>
    <w:rsid w:val="0087412C"/>
    <w:rsid w:val="008744F1"/>
    <w:rsid w:val="00874809"/>
    <w:rsid w:val="0087485D"/>
    <w:rsid w:val="00874874"/>
    <w:rsid w:val="008748A4"/>
    <w:rsid w:val="00874900"/>
    <w:rsid w:val="00874AB2"/>
    <w:rsid w:val="00874ADF"/>
    <w:rsid w:val="00874AE5"/>
    <w:rsid w:val="00874B09"/>
    <w:rsid w:val="00874B8B"/>
    <w:rsid w:val="00874C83"/>
    <w:rsid w:val="00874CD8"/>
    <w:rsid w:val="00874F54"/>
    <w:rsid w:val="00874F9D"/>
    <w:rsid w:val="008750AD"/>
    <w:rsid w:val="00875391"/>
    <w:rsid w:val="00875528"/>
    <w:rsid w:val="008758D3"/>
    <w:rsid w:val="0087597D"/>
    <w:rsid w:val="008759AF"/>
    <w:rsid w:val="00875CA4"/>
    <w:rsid w:val="00875EA5"/>
    <w:rsid w:val="008761B1"/>
    <w:rsid w:val="00876236"/>
    <w:rsid w:val="008762C6"/>
    <w:rsid w:val="00876428"/>
    <w:rsid w:val="00876443"/>
    <w:rsid w:val="008768E2"/>
    <w:rsid w:val="0087695A"/>
    <w:rsid w:val="008769E6"/>
    <w:rsid w:val="00876A14"/>
    <w:rsid w:val="00876B03"/>
    <w:rsid w:val="00876B2D"/>
    <w:rsid w:val="00876C55"/>
    <w:rsid w:val="00876CD9"/>
    <w:rsid w:val="00876D29"/>
    <w:rsid w:val="00876F49"/>
    <w:rsid w:val="0087702C"/>
    <w:rsid w:val="00877125"/>
    <w:rsid w:val="008771AE"/>
    <w:rsid w:val="008771B7"/>
    <w:rsid w:val="0087723F"/>
    <w:rsid w:val="008772F6"/>
    <w:rsid w:val="008773F9"/>
    <w:rsid w:val="00877435"/>
    <w:rsid w:val="0087744B"/>
    <w:rsid w:val="008774A3"/>
    <w:rsid w:val="00877507"/>
    <w:rsid w:val="008776A7"/>
    <w:rsid w:val="008777BC"/>
    <w:rsid w:val="008779BA"/>
    <w:rsid w:val="00877A4F"/>
    <w:rsid w:val="00877C74"/>
    <w:rsid w:val="00877CE2"/>
    <w:rsid w:val="00877DDA"/>
    <w:rsid w:val="00877E45"/>
    <w:rsid w:val="00877EBE"/>
    <w:rsid w:val="00877ED5"/>
    <w:rsid w:val="00877EE4"/>
    <w:rsid w:val="0088000E"/>
    <w:rsid w:val="00880025"/>
    <w:rsid w:val="00880062"/>
    <w:rsid w:val="008800C4"/>
    <w:rsid w:val="008802D9"/>
    <w:rsid w:val="0088033E"/>
    <w:rsid w:val="008803C9"/>
    <w:rsid w:val="0088051B"/>
    <w:rsid w:val="00880601"/>
    <w:rsid w:val="008807F3"/>
    <w:rsid w:val="0088096B"/>
    <w:rsid w:val="00880974"/>
    <w:rsid w:val="00880A57"/>
    <w:rsid w:val="00880C01"/>
    <w:rsid w:val="00880C66"/>
    <w:rsid w:val="00880D4E"/>
    <w:rsid w:val="00880D82"/>
    <w:rsid w:val="00880EC8"/>
    <w:rsid w:val="008810A5"/>
    <w:rsid w:val="0088116C"/>
    <w:rsid w:val="00881188"/>
    <w:rsid w:val="0088138E"/>
    <w:rsid w:val="0088147C"/>
    <w:rsid w:val="00881A41"/>
    <w:rsid w:val="00881A67"/>
    <w:rsid w:val="00881A90"/>
    <w:rsid w:val="00881AD9"/>
    <w:rsid w:val="00881AE7"/>
    <w:rsid w:val="00881B05"/>
    <w:rsid w:val="00881B21"/>
    <w:rsid w:val="00881B58"/>
    <w:rsid w:val="00881B90"/>
    <w:rsid w:val="00881DAA"/>
    <w:rsid w:val="00881E05"/>
    <w:rsid w:val="00881EFC"/>
    <w:rsid w:val="00881F03"/>
    <w:rsid w:val="0088221C"/>
    <w:rsid w:val="0088234B"/>
    <w:rsid w:val="008823A8"/>
    <w:rsid w:val="008823DA"/>
    <w:rsid w:val="0088247A"/>
    <w:rsid w:val="008824F3"/>
    <w:rsid w:val="00882936"/>
    <w:rsid w:val="00882954"/>
    <w:rsid w:val="00882A86"/>
    <w:rsid w:val="00882D98"/>
    <w:rsid w:val="00882EE1"/>
    <w:rsid w:val="00882F6C"/>
    <w:rsid w:val="00882FEB"/>
    <w:rsid w:val="008830F9"/>
    <w:rsid w:val="008831A5"/>
    <w:rsid w:val="00883450"/>
    <w:rsid w:val="00883459"/>
    <w:rsid w:val="008834E1"/>
    <w:rsid w:val="008836FE"/>
    <w:rsid w:val="00883711"/>
    <w:rsid w:val="0088373D"/>
    <w:rsid w:val="0088394D"/>
    <w:rsid w:val="00883AB2"/>
    <w:rsid w:val="00883CC9"/>
    <w:rsid w:val="00883F10"/>
    <w:rsid w:val="00883F7D"/>
    <w:rsid w:val="008840A4"/>
    <w:rsid w:val="00884154"/>
    <w:rsid w:val="0088423F"/>
    <w:rsid w:val="008844B8"/>
    <w:rsid w:val="0088450A"/>
    <w:rsid w:val="0088452F"/>
    <w:rsid w:val="00884643"/>
    <w:rsid w:val="0088465E"/>
    <w:rsid w:val="00884677"/>
    <w:rsid w:val="008846EF"/>
    <w:rsid w:val="00884704"/>
    <w:rsid w:val="00884828"/>
    <w:rsid w:val="00884836"/>
    <w:rsid w:val="00884A4D"/>
    <w:rsid w:val="00884A7E"/>
    <w:rsid w:val="00884A91"/>
    <w:rsid w:val="00884C41"/>
    <w:rsid w:val="00884C53"/>
    <w:rsid w:val="00884D2D"/>
    <w:rsid w:val="00884DF9"/>
    <w:rsid w:val="00884E85"/>
    <w:rsid w:val="0088505C"/>
    <w:rsid w:val="008854AB"/>
    <w:rsid w:val="0088552D"/>
    <w:rsid w:val="00885587"/>
    <w:rsid w:val="00885755"/>
    <w:rsid w:val="0088579D"/>
    <w:rsid w:val="008859C5"/>
    <w:rsid w:val="00885B9C"/>
    <w:rsid w:val="00885BFB"/>
    <w:rsid w:val="00885CF2"/>
    <w:rsid w:val="00885D1A"/>
    <w:rsid w:val="00885D59"/>
    <w:rsid w:val="00885DFD"/>
    <w:rsid w:val="00885ED7"/>
    <w:rsid w:val="00885EF9"/>
    <w:rsid w:val="00885F82"/>
    <w:rsid w:val="00886096"/>
    <w:rsid w:val="0088619C"/>
    <w:rsid w:val="0088619D"/>
    <w:rsid w:val="008861A7"/>
    <w:rsid w:val="00886244"/>
    <w:rsid w:val="0088627B"/>
    <w:rsid w:val="008862AB"/>
    <w:rsid w:val="00886388"/>
    <w:rsid w:val="0088638F"/>
    <w:rsid w:val="00886601"/>
    <w:rsid w:val="00886714"/>
    <w:rsid w:val="00886840"/>
    <w:rsid w:val="00886C45"/>
    <w:rsid w:val="00886CAC"/>
    <w:rsid w:val="00886CAE"/>
    <w:rsid w:val="00886E92"/>
    <w:rsid w:val="00886ED3"/>
    <w:rsid w:val="00886EFC"/>
    <w:rsid w:val="00886F5A"/>
    <w:rsid w:val="00886FF0"/>
    <w:rsid w:val="008872FC"/>
    <w:rsid w:val="008873B6"/>
    <w:rsid w:val="0088745C"/>
    <w:rsid w:val="008876B8"/>
    <w:rsid w:val="00887A0A"/>
    <w:rsid w:val="00887BCB"/>
    <w:rsid w:val="00887FDF"/>
    <w:rsid w:val="0089028B"/>
    <w:rsid w:val="00890323"/>
    <w:rsid w:val="00890338"/>
    <w:rsid w:val="00890415"/>
    <w:rsid w:val="008905CC"/>
    <w:rsid w:val="00890643"/>
    <w:rsid w:val="0089074B"/>
    <w:rsid w:val="0089077F"/>
    <w:rsid w:val="008907CC"/>
    <w:rsid w:val="00890CC0"/>
    <w:rsid w:val="00891385"/>
    <w:rsid w:val="008913AC"/>
    <w:rsid w:val="00891785"/>
    <w:rsid w:val="008918B8"/>
    <w:rsid w:val="00891A46"/>
    <w:rsid w:val="00891E10"/>
    <w:rsid w:val="00891EF8"/>
    <w:rsid w:val="00891F23"/>
    <w:rsid w:val="00891F50"/>
    <w:rsid w:val="008920A6"/>
    <w:rsid w:val="008922FB"/>
    <w:rsid w:val="008923D6"/>
    <w:rsid w:val="008923DC"/>
    <w:rsid w:val="008924D7"/>
    <w:rsid w:val="0089259D"/>
    <w:rsid w:val="00892788"/>
    <w:rsid w:val="008929ED"/>
    <w:rsid w:val="00892A4F"/>
    <w:rsid w:val="00892B07"/>
    <w:rsid w:val="00892BFC"/>
    <w:rsid w:val="00892D91"/>
    <w:rsid w:val="008930BE"/>
    <w:rsid w:val="00893490"/>
    <w:rsid w:val="0089360E"/>
    <w:rsid w:val="00893722"/>
    <w:rsid w:val="008937BB"/>
    <w:rsid w:val="008937D5"/>
    <w:rsid w:val="008938FF"/>
    <w:rsid w:val="00893A10"/>
    <w:rsid w:val="00893AB8"/>
    <w:rsid w:val="00893C2A"/>
    <w:rsid w:val="00893C3F"/>
    <w:rsid w:val="00893EE1"/>
    <w:rsid w:val="00893FCF"/>
    <w:rsid w:val="008940A9"/>
    <w:rsid w:val="00894742"/>
    <w:rsid w:val="00894781"/>
    <w:rsid w:val="0089493E"/>
    <w:rsid w:val="00894A25"/>
    <w:rsid w:val="00894C52"/>
    <w:rsid w:val="00894D2A"/>
    <w:rsid w:val="00894DCE"/>
    <w:rsid w:val="00894DDB"/>
    <w:rsid w:val="00894E9A"/>
    <w:rsid w:val="00894F44"/>
    <w:rsid w:val="008950E5"/>
    <w:rsid w:val="00895434"/>
    <w:rsid w:val="0089544F"/>
    <w:rsid w:val="0089546B"/>
    <w:rsid w:val="008954F7"/>
    <w:rsid w:val="00895676"/>
    <w:rsid w:val="00895710"/>
    <w:rsid w:val="00895780"/>
    <w:rsid w:val="0089588C"/>
    <w:rsid w:val="008959FB"/>
    <w:rsid w:val="00895A22"/>
    <w:rsid w:val="00895C35"/>
    <w:rsid w:val="00895E2F"/>
    <w:rsid w:val="00895FA4"/>
    <w:rsid w:val="008960A8"/>
    <w:rsid w:val="00896343"/>
    <w:rsid w:val="008963BB"/>
    <w:rsid w:val="008964B8"/>
    <w:rsid w:val="008966D0"/>
    <w:rsid w:val="00896730"/>
    <w:rsid w:val="008967C9"/>
    <w:rsid w:val="0089684A"/>
    <w:rsid w:val="008969BE"/>
    <w:rsid w:val="00896A55"/>
    <w:rsid w:val="00896C1F"/>
    <w:rsid w:val="00896C28"/>
    <w:rsid w:val="00896D4B"/>
    <w:rsid w:val="00897075"/>
    <w:rsid w:val="00897294"/>
    <w:rsid w:val="008972AD"/>
    <w:rsid w:val="00897326"/>
    <w:rsid w:val="00897530"/>
    <w:rsid w:val="00897616"/>
    <w:rsid w:val="0089767A"/>
    <w:rsid w:val="0089768A"/>
    <w:rsid w:val="008976A8"/>
    <w:rsid w:val="00897946"/>
    <w:rsid w:val="00897A17"/>
    <w:rsid w:val="00897AA7"/>
    <w:rsid w:val="00897B72"/>
    <w:rsid w:val="00897CAB"/>
    <w:rsid w:val="00897D51"/>
    <w:rsid w:val="00897DC9"/>
    <w:rsid w:val="00897E42"/>
    <w:rsid w:val="00897F4E"/>
    <w:rsid w:val="00897F7B"/>
    <w:rsid w:val="00897FE3"/>
    <w:rsid w:val="008A0038"/>
    <w:rsid w:val="008A0039"/>
    <w:rsid w:val="008A00AE"/>
    <w:rsid w:val="008A0102"/>
    <w:rsid w:val="008A0106"/>
    <w:rsid w:val="008A01A1"/>
    <w:rsid w:val="008A020B"/>
    <w:rsid w:val="008A024C"/>
    <w:rsid w:val="008A03B9"/>
    <w:rsid w:val="008A05A8"/>
    <w:rsid w:val="008A0736"/>
    <w:rsid w:val="008A08D6"/>
    <w:rsid w:val="008A08D8"/>
    <w:rsid w:val="008A094D"/>
    <w:rsid w:val="008A0AEF"/>
    <w:rsid w:val="008A0CF6"/>
    <w:rsid w:val="008A0D4F"/>
    <w:rsid w:val="008A0E9F"/>
    <w:rsid w:val="008A0F79"/>
    <w:rsid w:val="008A15E3"/>
    <w:rsid w:val="008A1724"/>
    <w:rsid w:val="008A196F"/>
    <w:rsid w:val="008A1A78"/>
    <w:rsid w:val="008A1CA0"/>
    <w:rsid w:val="008A1CC8"/>
    <w:rsid w:val="008A1CEA"/>
    <w:rsid w:val="008A1CF0"/>
    <w:rsid w:val="008A1FCF"/>
    <w:rsid w:val="008A2210"/>
    <w:rsid w:val="008A2240"/>
    <w:rsid w:val="008A22CD"/>
    <w:rsid w:val="008A23B3"/>
    <w:rsid w:val="008A24D7"/>
    <w:rsid w:val="008A25D0"/>
    <w:rsid w:val="008A2659"/>
    <w:rsid w:val="008A28BA"/>
    <w:rsid w:val="008A2906"/>
    <w:rsid w:val="008A29D4"/>
    <w:rsid w:val="008A2C04"/>
    <w:rsid w:val="008A2C7D"/>
    <w:rsid w:val="008A2C8E"/>
    <w:rsid w:val="008A2CE3"/>
    <w:rsid w:val="008A2D20"/>
    <w:rsid w:val="008A2DF0"/>
    <w:rsid w:val="008A2DF8"/>
    <w:rsid w:val="008A2E83"/>
    <w:rsid w:val="008A2F25"/>
    <w:rsid w:val="008A2FC2"/>
    <w:rsid w:val="008A302F"/>
    <w:rsid w:val="008A3033"/>
    <w:rsid w:val="008A3105"/>
    <w:rsid w:val="008A345A"/>
    <w:rsid w:val="008A3C01"/>
    <w:rsid w:val="008A3E10"/>
    <w:rsid w:val="008A42AE"/>
    <w:rsid w:val="008A4348"/>
    <w:rsid w:val="008A4386"/>
    <w:rsid w:val="008A43D7"/>
    <w:rsid w:val="008A43EF"/>
    <w:rsid w:val="008A452E"/>
    <w:rsid w:val="008A455F"/>
    <w:rsid w:val="008A4872"/>
    <w:rsid w:val="008A487C"/>
    <w:rsid w:val="008A489E"/>
    <w:rsid w:val="008A4D9D"/>
    <w:rsid w:val="008A4DD3"/>
    <w:rsid w:val="008A4FB4"/>
    <w:rsid w:val="008A50BF"/>
    <w:rsid w:val="008A517D"/>
    <w:rsid w:val="008A51D0"/>
    <w:rsid w:val="008A5366"/>
    <w:rsid w:val="008A56AD"/>
    <w:rsid w:val="008A579A"/>
    <w:rsid w:val="008A580B"/>
    <w:rsid w:val="008A58AF"/>
    <w:rsid w:val="008A58D7"/>
    <w:rsid w:val="008A5A4D"/>
    <w:rsid w:val="008A5A61"/>
    <w:rsid w:val="008A5B34"/>
    <w:rsid w:val="008A5E78"/>
    <w:rsid w:val="008A5F23"/>
    <w:rsid w:val="008A6029"/>
    <w:rsid w:val="008A6063"/>
    <w:rsid w:val="008A651A"/>
    <w:rsid w:val="008A652C"/>
    <w:rsid w:val="008A6626"/>
    <w:rsid w:val="008A6931"/>
    <w:rsid w:val="008A6AA2"/>
    <w:rsid w:val="008A6AAB"/>
    <w:rsid w:val="008A6AC1"/>
    <w:rsid w:val="008A6B9A"/>
    <w:rsid w:val="008A6B9B"/>
    <w:rsid w:val="008A6CDF"/>
    <w:rsid w:val="008A6D93"/>
    <w:rsid w:val="008A6E55"/>
    <w:rsid w:val="008A6E76"/>
    <w:rsid w:val="008A6ED7"/>
    <w:rsid w:val="008A6F20"/>
    <w:rsid w:val="008A7167"/>
    <w:rsid w:val="008A722A"/>
    <w:rsid w:val="008A735E"/>
    <w:rsid w:val="008A751A"/>
    <w:rsid w:val="008A773E"/>
    <w:rsid w:val="008A7750"/>
    <w:rsid w:val="008A785C"/>
    <w:rsid w:val="008A7B74"/>
    <w:rsid w:val="008A7C0D"/>
    <w:rsid w:val="008A7CFB"/>
    <w:rsid w:val="008B013F"/>
    <w:rsid w:val="008B0335"/>
    <w:rsid w:val="008B0359"/>
    <w:rsid w:val="008B04F4"/>
    <w:rsid w:val="008B054D"/>
    <w:rsid w:val="008B064F"/>
    <w:rsid w:val="008B0713"/>
    <w:rsid w:val="008B0965"/>
    <w:rsid w:val="008B099F"/>
    <w:rsid w:val="008B09A6"/>
    <w:rsid w:val="008B0AAC"/>
    <w:rsid w:val="008B0B98"/>
    <w:rsid w:val="008B0CCD"/>
    <w:rsid w:val="008B0D69"/>
    <w:rsid w:val="008B0D93"/>
    <w:rsid w:val="008B0DFF"/>
    <w:rsid w:val="008B0E9A"/>
    <w:rsid w:val="008B1056"/>
    <w:rsid w:val="008B1065"/>
    <w:rsid w:val="008B12CE"/>
    <w:rsid w:val="008B13A5"/>
    <w:rsid w:val="008B144B"/>
    <w:rsid w:val="008B14F4"/>
    <w:rsid w:val="008B155C"/>
    <w:rsid w:val="008B15BF"/>
    <w:rsid w:val="008B16E2"/>
    <w:rsid w:val="008B172A"/>
    <w:rsid w:val="008B1C34"/>
    <w:rsid w:val="008B1D11"/>
    <w:rsid w:val="008B1E12"/>
    <w:rsid w:val="008B1EB5"/>
    <w:rsid w:val="008B1F6F"/>
    <w:rsid w:val="008B1F84"/>
    <w:rsid w:val="008B204E"/>
    <w:rsid w:val="008B20FC"/>
    <w:rsid w:val="008B21B1"/>
    <w:rsid w:val="008B2518"/>
    <w:rsid w:val="008B2684"/>
    <w:rsid w:val="008B281A"/>
    <w:rsid w:val="008B2833"/>
    <w:rsid w:val="008B2A3F"/>
    <w:rsid w:val="008B2CCB"/>
    <w:rsid w:val="008B3246"/>
    <w:rsid w:val="008B3542"/>
    <w:rsid w:val="008B36A1"/>
    <w:rsid w:val="008B379F"/>
    <w:rsid w:val="008B3947"/>
    <w:rsid w:val="008B397C"/>
    <w:rsid w:val="008B3A9D"/>
    <w:rsid w:val="008B3E50"/>
    <w:rsid w:val="008B41D9"/>
    <w:rsid w:val="008B42BD"/>
    <w:rsid w:val="008B430A"/>
    <w:rsid w:val="008B44C2"/>
    <w:rsid w:val="008B45AE"/>
    <w:rsid w:val="008B45F8"/>
    <w:rsid w:val="008B46E0"/>
    <w:rsid w:val="008B4791"/>
    <w:rsid w:val="008B4A36"/>
    <w:rsid w:val="008B4A3A"/>
    <w:rsid w:val="008B4B7F"/>
    <w:rsid w:val="008B4BD1"/>
    <w:rsid w:val="008B4CC1"/>
    <w:rsid w:val="008B4FE6"/>
    <w:rsid w:val="008B5300"/>
    <w:rsid w:val="008B549D"/>
    <w:rsid w:val="008B5717"/>
    <w:rsid w:val="008B5789"/>
    <w:rsid w:val="008B5937"/>
    <w:rsid w:val="008B59B6"/>
    <w:rsid w:val="008B5AB3"/>
    <w:rsid w:val="008B5C0D"/>
    <w:rsid w:val="008B5DBE"/>
    <w:rsid w:val="008B5EC0"/>
    <w:rsid w:val="008B5ED2"/>
    <w:rsid w:val="008B609E"/>
    <w:rsid w:val="008B60D9"/>
    <w:rsid w:val="008B6464"/>
    <w:rsid w:val="008B64FC"/>
    <w:rsid w:val="008B653D"/>
    <w:rsid w:val="008B65E5"/>
    <w:rsid w:val="008B6608"/>
    <w:rsid w:val="008B664B"/>
    <w:rsid w:val="008B66DB"/>
    <w:rsid w:val="008B66FE"/>
    <w:rsid w:val="008B6731"/>
    <w:rsid w:val="008B679B"/>
    <w:rsid w:val="008B67D2"/>
    <w:rsid w:val="008B6959"/>
    <w:rsid w:val="008B6A36"/>
    <w:rsid w:val="008B6A4B"/>
    <w:rsid w:val="008B6A50"/>
    <w:rsid w:val="008B6B57"/>
    <w:rsid w:val="008B6C06"/>
    <w:rsid w:val="008B6C23"/>
    <w:rsid w:val="008B6C2C"/>
    <w:rsid w:val="008B6C94"/>
    <w:rsid w:val="008B6CAA"/>
    <w:rsid w:val="008B6EA5"/>
    <w:rsid w:val="008B6F79"/>
    <w:rsid w:val="008B70F9"/>
    <w:rsid w:val="008B72DB"/>
    <w:rsid w:val="008B73AE"/>
    <w:rsid w:val="008B74AE"/>
    <w:rsid w:val="008B759D"/>
    <w:rsid w:val="008B75AB"/>
    <w:rsid w:val="008B7671"/>
    <w:rsid w:val="008B7697"/>
    <w:rsid w:val="008B776C"/>
    <w:rsid w:val="008B7773"/>
    <w:rsid w:val="008B782B"/>
    <w:rsid w:val="008B7863"/>
    <w:rsid w:val="008B798A"/>
    <w:rsid w:val="008B7B09"/>
    <w:rsid w:val="008B7B0C"/>
    <w:rsid w:val="008B7CA3"/>
    <w:rsid w:val="008B7DB3"/>
    <w:rsid w:val="008B7E09"/>
    <w:rsid w:val="008B7F69"/>
    <w:rsid w:val="008C0196"/>
    <w:rsid w:val="008C0405"/>
    <w:rsid w:val="008C059E"/>
    <w:rsid w:val="008C05D7"/>
    <w:rsid w:val="008C0665"/>
    <w:rsid w:val="008C0693"/>
    <w:rsid w:val="008C0780"/>
    <w:rsid w:val="008C079C"/>
    <w:rsid w:val="008C0833"/>
    <w:rsid w:val="008C09F1"/>
    <w:rsid w:val="008C09FE"/>
    <w:rsid w:val="008C0E60"/>
    <w:rsid w:val="008C0F00"/>
    <w:rsid w:val="008C0F84"/>
    <w:rsid w:val="008C10A0"/>
    <w:rsid w:val="008C10EA"/>
    <w:rsid w:val="008C1171"/>
    <w:rsid w:val="008C14FD"/>
    <w:rsid w:val="008C1542"/>
    <w:rsid w:val="008C1593"/>
    <w:rsid w:val="008C15D7"/>
    <w:rsid w:val="008C170B"/>
    <w:rsid w:val="008C1866"/>
    <w:rsid w:val="008C1879"/>
    <w:rsid w:val="008C1A59"/>
    <w:rsid w:val="008C1C13"/>
    <w:rsid w:val="008C1DEF"/>
    <w:rsid w:val="008C1EFC"/>
    <w:rsid w:val="008C1F45"/>
    <w:rsid w:val="008C205B"/>
    <w:rsid w:val="008C2112"/>
    <w:rsid w:val="008C22EE"/>
    <w:rsid w:val="008C237A"/>
    <w:rsid w:val="008C2471"/>
    <w:rsid w:val="008C2640"/>
    <w:rsid w:val="008C26CA"/>
    <w:rsid w:val="008C274B"/>
    <w:rsid w:val="008C28EF"/>
    <w:rsid w:val="008C2B68"/>
    <w:rsid w:val="008C2BB1"/>
    <w:rsid w:val="008C2C50"/>
    <w:rsid w:val="008C2D1C"/>
    <w:rsid w:val="008C2DC0"/>
    <w:rsid w:val="008C2F1C"/>
    <w:rsid w:val="008C3011"/>
    <w:rsid w:val="008C328D"/>
    <w:rsid w:val="008C3431"/>
    <w:rsid w:val="008C344E"/>
    <w:rsid w:val="008C34E4"/>
    <w:rsid w:val="008C35BB"/>
    <w:rsid w:val="008C36F3"/>
    <w:rsid w:val="008C3882"/>
    <w:rsid w:val="008C3B37"/>
    <w:rsid w:val="008C3C55"/>
    <w:rsid w:val="008C3C75"/>
    <w:rsid w:val="008C3D0A"/>
    <w:rsid w:val="008C43AA"/>
    <w:rsid w:val="008C4486"/>
    <w:rsid w:val="008C454E"/>
    <w:rsid w:val="008C4845"/>
    <w:rsid w:val="008C48C5"/>
    <w:rsid w:val="008C4B75"/>
    <w:rsid w:val="008C4F49"/>
    <w:rsid w:val="008C5031"/>
    <w:rsid w:val="008C549D"/>
    <w:rsid w:val="008C57BD"/>
    <w:rsid w:val="008C57D5"/>
    <w:rsid w:val="008C5803"/>
    <w:rsid w:val="008C5838"/>
    <w:rsid w:val="008C598C"/>
    <w:rsid w:val="008C5AAB"/>
    <w:rsid w:val="008C5B0F"/>
    <w:rsid w:val="008C5EB6"/>
    <w:rsid w:val="008C5EBA"/>
    <w:rsid w:val="008C5FB0"/>
    <w:rsid w:val="008C6057"/>
    <w:rsid w:val="008C6146"/>
    <w:rsid w:val="008C6411"/>
    <w:rsid w:val="008C6541"/>
    <w:rsid w:val="008C6646"/>
    <w:rsid w:val="008C6794"/>
    <w:rsid w:val="008C67BC"/>
    <w:rsid w:val="008C67D3"/>
    <w:rsid w:val="008C6A2F"/>
    <w:rsid w:val="008C7081"/>
    <w:rsid w:val="008C71B8"/>
    <w:rsid w:val="008C7321"/>
    <w:rsid w:val="008C76E8"/>
    <w:rsid w:val="008C77A7"/>
    <w:rsid w:val="008C7DCB"/>
    <w:rsid w:val="008C7E3A"/>
    <w:rsid w:val="008C7ED3"/>
    <w:rsid w:val="008D0009"/>
    <w:rsid w:val="008D0047"/>
    <w:rsid w:val="008D008B"/>
    <w:rsid w:val="008D02A3"/>
    <w:rsid w:val="008D03D6"/>
    <w:rsid w:val="008D04A5"/>
    <w:rsid w:val="008D072F"/>
    <w:rsid w:val="008D07FB"/>
    <w:rsid w:val="008D0C13"/>
    <w:rsid w:val="008D0D56"/>
    <w:rsid w:val="008D0DE2"/>
    <w:rsid w:val="008D0F47"/>
    <w:rsid w:val="008D1425"/>
    <w:rsid w:val="008D17E2"/>
    <w:rsid w:val="008D18AE"/>
    <w:rsid w:val="008D1A20"/>
    <w:rsid w:val="008D1B4E"/>
    <w:rsid w:val="008D1BE8"/>
    <w:rsid w:val="008D1C50"/>
    <w:rsid w:val="008D1DA1"/>
    <w:rsid w:val="008D1FF5"/>
    <w:rsid w:val="008D20D8"/>
    <w:rsid w:val="008D220E"/>
    <w:rsid w:val="008D2217"/>
    <w:rsid w:val="008D2306"/>
    <w:rsid w:val="008D234E"/>
    <w:rsid w:val="008D2395"/>
    <w:rsid w:val="008D271F"/>
    <w:rsid w:val="008D27F7"/>
    <w:rsid w:val="008D2848"/>
    <w:rsid w:val="008D28F8"/>
    <w:rsid w:val="008D2A5E"/>
    <w:rsid w:val="008D2BD5"/>
    <w:rsid w:val="008D2D0A"/>
    <w:rsid w:val="008D2DBE"/>
    <w:rsid w:val="008D2E90"/>
    <w:rsid w:val="008D3033"/>
    <w:rsid w:val="008D30BF"/>
    <w:rsid w:val="008D31D0"/>
    <w:rsid w:val="008D31E6"/>
    <w:rsid w:val="008D323B"/>
    <w:rsid w:val="008D33BE"/>
    <w:rsid w:val="008D34CA"/>
    <w:rsid w:val="008D3554"/>
    <w:rsid w:val="008D3595"/>
    <w:rsid w:val="008D36C4"/>
    <w:rsid w:val="008D36D5"/>
    <w:rsid w:val="008D384D"/>
    <w:rsid w:val="008D38FA"/>
    <w:rsid w:val="008D3904"/>
    <w:rsid w:val="008D397F"/>
    <w:rsid w:val="008D3992"/>
    <w:rsid w:val="008D3AD6"/>
    <w:rsid w:val="008D3B05"/>
    <w:rsid w:val="008D3B57"/>
    <w:rsid w:val="008D3DF8"/>
    <w:rsid w:val="008D3E47"/>
    <w:rsid w:val="008D3F0A"/>
    <w:rsid w:val="008D3F19"/>
    <w:rsid w:val="008D3FDA"/>
    <w:rsid w:val="008D40A8"/>
    <w:rsid w:val="008D42C0"/>
    <w:rsid w:val="008D42CF"/>
    <w:rsid w:val="008D4745"/>
    <w:rsid w:val="008D494F"/>
    <w:rsid w:val="008D4AB7"/>
    <w:rsid w:val="008D4AC8"/>
    <w:rsid w:val="008D4AF7"/>
    <w:rsid w:val="008D4B50"/>
    <w:rsid w:val="008D4C5E"/>
    <w:rsid w:val="008D4DA0"/>
    <w:rsid w:val="008D4F0D"/>
    <w:rsid w:val="008D4F8C"/>
    <w:rsid w:val="008D4FDA"/>
    <w:rsid w:val="008D502F"/>
    <w:rsid w:val="008D510E"/>
    <w:rsid w:val="008D52D2"/>
    <w:rsid w:val="008D52EB"/>
    <w:rsid w:val="008D52EF"/>
    <w:rsid w:val="008D5658"/>
    <w:rsid w:val="008D5729"/>
    <w:rsid w:val="008D57FC"/>
    <w:rsid w:val="008D5849"/>
    <w:rsid w:val="008D5AD1"/>
    <w:rsid w:val="008D5AFD"/>
    <w:rsid w:val="008D5B07"/>
    <w:rsid w:val="008D5C28"/>
    <w:rsid w:val="008D5C52"/>
    <w:rsid w:val="008D5CFA"/>
    <w:rsid w:val="008D5D7C"/>
    <w:rsid w:val="008D5DA8"/>
    <w:rsid w:val="008D5E56"/>
    <w:rsid w:val="008D5E8B"/>
    <w:rsid w:val="008D5EC6"/>
    <w:rsid w:val="008D5ED0"/>
    <w:rsid w:val="008D5EFA"/>
    <w:rsid w:val="008D5F22"/>
    <w:rsid w:val="008D600E"/>
    <w:rsid w:val="008D604C"/>
    <w:rsid w:val="008D628D"/>
    <w:rsid w:val="008D62E3"/>
    <w:rsid w:val="008D631F"/>
    <w:rsid w:val="008D6328"/>
    <w:rsid w:val="008D63D7"/>
    <w:rsid w:val="008D63D8"/>
    <w:rsid w:val="008D63F0"/>
    <w:rsid w:val="008D64B9"/>
    <w:rsid w:val="008D64EF"/>
    <w:rsid w:val="008D652D"/>
    <w:rsid w:val="008D66BD"/>
    <w:rsid w:val="008D66C3"/>
    <w:rsid w:val="008D66FB"/>
    <w:rsid w:val="008D68E7"/>
    <w:rsid w:val="008D6B71"/>
    <w:rsid w:val="008D6BC0"/>
    <w:rsid w:val="008D6C6A"/>
    <w:rsid w:val="008D6E69"/>
    <w:rsid w:val="008D72BD"/>
    <w:rsid w:val="008D7461"/>
    <w:rsid w:val="008D76E6"/>
    <w:rsid w:val="008D798E"/>
    <w:rsid w:val="008D79EA"/>
    <w:rsid w:val="008D7A8B"/>
    <w:rsid w:val="008D7B6F"/>
    <w:rsid w:val="008D7C30"/>
    <w:rsid w:val="008D7D4E"/>
    <w:rsid w:val="008D7D7E"/>
    <w:rsid w:val="008D7DAF"/>
    <w:rsid w:val="008D7FD8"/>
    <w:rsid w:val="008E000E"/>
    <w:rsid w:val="008E0049"/>
    <w:rsid w:val="008E007F"/>
    <w:rsid w:val="008E034F"/>
    <w:rsid w:val="008E04ED"/>
    <w:rsid w:val="008E07A7"/>
    <w:rsid w:val="008E08E2"/>
    <w:rsid w:val="008E09E7"/>
    <w:rsid w:val="008E0C07"/>
    <w:rsid w:val="008E0C35"/>
    <w:rsid w:val="008E0E40"/>
    <w:rsid w:val="008E10CC"/>
    <w:rsid w:val="008E133F"/>
    <w:rsid w:val="008E13B0"/>
    <w:rsid w:val="008E1629"/>
    <w:rsid w:val="008E177E"/>
    <w:rsid w:val="008E179A"/>
    <w:rsid w:val="008E1821"/>
    <w:rsid w:val="008E1A46"/>
    <w:rsid w:val="008E1AE1"/>
    <w:rsid w:val="008E1C90"/>
    <w:rsid w:val="008E1CAA"/>
    <w:rsid w:val="008E1DE4"/>
    <w:rsid w:val="008E1F3E"/>
    <w:rsid w:val="008E1FBB"/>
    <w:rsid w:val="008E2000"/>
    <w:rsid w:val="008E2248"/>
    <w:rsid w:val="008E2484"/>
    <w:rsid w:val="008E25AD"/>
    <w:rsid w:val="008E2637"/>
    <w:rsid w:val="008E29AA"/>
    <w:rsid w:val="008E2A8B"/>
    <w:rsid w:val="008E2A92"/>
    <w:rsid w:val="008E2B7F"/>
    <w:rsid w:val="008E31B0"/>
    <w:rsid w:val="008E32D5"/>
    <w:rsid w:val="008E33E7"/>
    <w:rsid w:val="008E34C4"/>
    <w:rsid w:val="008E3636"/>
    <w:rsid w:val="008E3713"/>
    <w:rsid w:val="008E38B3"/>
    <w:rsid w:val="008E38F6"/>
    <w:rsid w:val="008E3964"/>
    <w:rsid w:val="008E3A8A"/>
    <w:rsid w:val="008E3AA1"/>
    <w:rsid w:val="008E3D5E"/>
    <w:rsid w:val="008E3FCF"/>
    <w:rsid w:val="008E4124"/>
    <w:rsid w:val="008E413A"/>
    <w:rsid w:val="008E41CD"/>
    <w:rsid w:val="008E4253"/>
    <w:rsid w:val="008E44D3"/>
    <w:rsid w:val="008E46A0"/>
    <w:rsid w:val="008E4803"/>
    <w:rsid w:val="008E493C"/>
    <w:rsid w:val="008E49A3"/>
    <w:rsid w:val="008E4AF4"/>
    <w:rsid w:val="008E4B0D"/>
    <w:rsid w:val="008E4D87"/>
    <w:rsid w:val="008E4E60"/>
    <w:rsid w:val="008E4E6F"/>
    <w:rsid w:val="008E4E9B"/>
    <w:rsid w:val="008E50F7"/>
    <w:rsid w:val="008E529F"/>
    <w:rsid w:val="008E5354"/>
    <w:rsid w:val="008E5651"/>
    <w:rsid w:val="008E565C"/>
    <w:rsid w:val="008E56CE"/>
    <w:rsid w:val="008E5803"/>
    <w:rsid w:val="008E586B"/>
    <w:rsid w:val="008E5B3E"/>
    <w:rsid w:val="008E5B74"/>
    <w:rsid w:val="008E5C60"/>
    <w:rsid w:val="008E5D72"/>
    <w:rsid w:val="008E5EB8"/>
    <w:rsid w:val="008E5F80"/>
    <w:rsid w:val="008E60CF"/>
    <w:rsid w:val="008E6223"/>
    <w:rsid w:val="008E637B"/>
    <w:rsid w:val="008E63CF"/>
    <w:rsid w:val="008E68BC"/>
    <w:rsid w:val="008E69DA"/>
    <w:rsid w:val="008E6A76"/>
    <w:rsid w:val="008E6BCE"/>
    <w:rsid w:val="008E6BD5"/>
    <w:rsid w:val="008E6CA9"/>
    <w:rsid w:val="008E6E1F"/>
    <w:rsid w:val="008E6F8A"/>
    <w:rsid w:val="008E7555"/>
    <w:rsid w:val="008E76E8"/>
    <w:rsid w:val="008E7754"/>
    <w:rsid w:val="008E7793"/>
    <w:rsid w:val="008E78A2"/>
    <w:rsid w:val="008E79A1"/>
    <w:rsid w:val="008E7A6B"/>
    <w:rsid w:val="008E7AC2"/>
    <w:rsid w:val="008E7B36"/>
    <w:rsid w:val="008E7BA7"/>
    <w:rsid w:val="008E7C60"/>
    <w:rsid w:val="008E7C81"/>
    <w:rsid w:val="008E7E4A"/>
    <w:rsid w:val="008E7EE0"/>
    <w:rsid w:val="008E7EE9"/>
    <w:rsid w:val="008F005B"/>
    <w:rsid w:val="008F00F6"/>
    <w:rsid w:val="008F02AE"/>
    <w:rsid w:val="008F02BC"/>
    <w:rsid w:val="008F0352"/>
    <w:rsid w:val="008F0390"/>
    <w:rsid w:val="008F03CF"/>
    <w:rsid w:val="008F051D"/>
    <w:rsid w:val="008F054A"/>
    <w:rsid w:val="008F054D"/>
    <w:rsid w:val="008F0559"/>
    <w:rsid w:val="008F06D1"/>
    <w:rsid w:val="008F06E4"/>
    <w:rsid w:val="008F08AC"/>
    <w:rsid w:val="008F08FA"/>
    <w:rsid w:val="008F0A83"/>
    <w:rsid w:val="008F0B91"/>
    <w:rsid w:val="008F0BC9"/>
    <w:rsid w:val="008F0BE0"/>
    <w:rsid w:val="008F0D23"/>
    <w:rsid w:val="008F0D4C"/>
    <w:rsid w:val="008F0E7F"/>
    <w:rsid w:val="008F0EF6"/>
    <w:rsid w:val="008F0F68"/>
    <w:rsid w:val="008F0FFC"/>
    <w:rsid w:val="008F1047"/>
    <w:rsid w:val="008F109B"/>
    <w:rsid w:val="008F12DB"/>
    <w:rsid w:val="008F1342"/>
    <w:rsid w:val="008F13AE"/>
    <w:rsid w:val="008F1509"/>
    <w:rsid w:val="008F1675"/>
    <w:rsid w:val="008F16F6"/>
    <w:rsid w:val="008F176B"/>
    <w:rsid w:val="008F195A"/>
    <w:rsid w:val="008F1B77"/>
    <w:rsid w:val="008F1F13"/>
    <w:rsid w:val="008F202A"/>
    <w:rsid w:val="008F2030"/>
    <w:rsid w:val="008F2045"/>
    <w:rsid w:val="008F2092"/>
    <w:rsid w:val="008F222F"/>
    <w:rsid w:val="008F2242"/>
    <w:rsid w:val="008F23FA"/>
    <w:rsid w:val="008F2688"/>
    <w:rsid w:val="008F270E"/>
    <w:rsid w:val="008F2792"/>
    <w:rsid w:val="008F27C4"/>
    <w:rsid w:val="008F27EF"/>
    <w:rsid w:val="008F2A7C"/>
    <w:rsid w:val="008F2AB6"/>
    <w:rsid w:val="008F2C3E"/>
    <w:rsid w:val="008F2E66"/>
    <w:rsid w:val="008F2FD5"/>
    <w:rsid w:val="008F30BB"/>
    <w:rsid w:val="008F31C9"/>
    <w:rsid w:val="008F3206"/>
    <w:rsid w:val="008F350D"/>
    <w:rsid w:val="008F3A1F"/>
    <w:rsid w:val="008F3A9D"/>
    <w:rsid w:val="008F3AFB"/>
    <w:rsid w:val="008F3BE2"/>
    <w:rsid w:val="008F40C7"/>
    <w:rsid w:val="008F42FC"/>
    <w:rsid w:val="008F43BF"/>
    <w:rsid w:val="008F43D8"/>
    <w:rsid w:val="008F44CF"/>
    <w:rsid w:val="008F45FE"/>
    <w:rsid w:val="008F48D2"/>
    <w:rsid w:val="008F4C43"/>
    <w:rsid w:val="008F4C61"/>
    <w:rsid w:val="008F4D82"/>
    <w:rsid w:val="008F4E6C"/>
    <w:rsid w:val="008F4EAE"/>
    <w:rsid w:val="008F4EB9"/>
    <w:rsid w:val="008F5021"/>
    <w:rsid w:val="008F511E"/>
    <w:rsid w:val="008F5127"/>
    <w:rsid w:val="008F5163"/>
    <w:rsid w:val="008F52A7"/>
    <w:rsid w:val="008F53CF"/>
    <w:rsid w:val="008F548D"/>
    <w:rsid w:val="008F556E"/>
    <w:rsid w:val="008F59DA"/>
    <w:rsid w:val="008F5A0C"/>
    <w:rsid w:val="008F5BD8"/>
    <w:rsid w:val="008F5D11"/>
    <w:rsid w:val="008F5D20"/>
    <w:rsid w:val="008F5F2E"/>
    <w:rsid w:val="008F603E"/>
    <w:rsid w:val="008F60EF"/>
    <w:rsid w:val="008F6208"/>
    <w:rsid w:val="008F62C1"/>
    <w:rsid w:val="008F640F"/>
    <w:rsid w:val="008F6551"/>
    <w:rsid w:val="008F6587"/>
    <w:rsid w:val="008F6676"/>
    <w:rsid w:val="008F6786"/>
    <w:rsid w:val="008F6926"/>
    <w:rsid w:val="008F6959"/>
    <w:rsid w:val="008F6A76"/>
    <w:rsid w:val="008F6BF0"/>
    <w:rsid w:val="008F6C3E"/>
    <w:rsid w:val="008F6CC1"/>
    <w:rsid w:val="008F6CC5"/>
    <w:rsid w:val="008F6CD0"/>
    <w:rsid w:val="008F70BB"/>
    <w:rsid w:val="008F71A5"/>
    <w:rsid w:val="008F7316"/>
    <w:rsid w:val="008F7396"/>
    <w:rsid w:val="008F73F4"/>
    <w:rsid w:val="008F760F"/>
    <w:rsid w:val="008F76A4"/>
    <w:rsid w:val="008F781E"/>
    <w:rsid w:val="008F787E"/>
    <w:rsid w:val="008F790F"/>
    <w:rsid w:val="008F7C4A"/>
    <w:rsid w:val="008F7E05"/>
    <w:rsid w:val="008F7EBA"/>
    <w:rsid w:val="008F7F56"/>
    <w:rsid w:val="008F7F6A"/>
    <w:rsid w:val="009002E1"/>
    <w:rsid w:val="0090031C"/>
    <w:rsid w:val="00900412"/>
    <w:rsid w:val="00900501"/>
    <w:rsid w:val="00900605"/>
    <w:rsid w:val="0090062F"/>
    <w:rsid w:val="00900668"/>
    <w:rsid w:val="0090078A"/>
    <w:rsid w:val="00900844"/>
    <w:rsid w:val="00900925"/>
    <w:rsid w:val="0090097D"/>
    <w:rsid w:val="009009B6"/>
    <w:rsid w:val="009009C0"/>
    <w:rsid w:val="00900BC9"/>
    <w:rsid w:val="00900D65"/>
    <w:rsid w:val="00900E8B"/>
    <w:rsid w:val="0090103C"/>
    <w:rsid w:val="009010CB"/>
    <w:rsid w:val="009010EE"/>
    <w:rsid w:val="00901562"/>
    <w:rsid w:val="009015FC"/>
    <w:rsid w:val="00901615"/>
    <w:rsid w:val="00901624"/>
    <w:rsid w:val="009016D1"/>
    <w:rsid w:val="0090173A"/>
    <w:rsid w:val="0090187E"/>
    <w:rsid w:val="0090195C"/>
    <w:rsid w:val="00901987"/>
    <w:rsid w:val="009019CA"/>
    <w:rsid w:val="00901A09"/>
    <w:rsid w:val="00901A65"/>
    <w:rsid w:val="00901B68"/>
    <w:rsid w:val="00901BCA"/>
    <w:rsid w:val="00901C83"/>
    <w:rsid w:val="00901DAB"/>
    <w:rsid w:val="00901E01"/>
    <w:rsid w:val="00901E3A"/>
    <w:rsid w:val="00901E73"/>
    <w:rsid w:val="0090219D"/>
    <w:rsid w:val="009022CC"/>
    <w:rsid w:val="009022F9"/>
    <w:rsid w:val="009024AE"/>
    <w:rsid w:val="009024FB"/>
    <w:rsid w:val="00902595"/>
    <w:rsid w:val="009025E6"/>
    <w:rsid w:val="00902803"/>
    <w:rsid w:val="00902DF3"/>
    <w:rsid w:val="009032C9"/>
    <w:rsid w:val="00903379"/>
    <w:rsid w:val="009033DE"/>
    <w:rsid w:val="009033F1"/>
    <w:rsid w:val="009034F7"/>
    <w:rsid w:val="009035E4"/>
    <w:rsid w:val="00903674"/>
    <w:rsid w:val="00903843"/>
    <w:rsid w:val="00903852"/>
    <w:rsid w:val="009038CE"/>
    <w:rsid w:val="00903A0F"/>
    <w:rsid w:val="00903D1F"/>
    <w:rsid w:val="00904175"/>
    <w:rsid w:val="0090446F"/>
    <w:rsid w:val="00904498"/>
    <w:rsid w:val="0090473E"/>
    <w:rsid w:val="0090479A"/>
    <w:rsid w:val="00904B35"/>
    <w:rsid w:val="00904B54"/>
    <w:rsid w:val="00904C8C"/>
    <w:rsid w:val="00904CCF"/>
    <w:rsid w:val="00904D37"/>
    <w:rsid w:val="00904D91"/>
    <w:rsid w:val="00904D93"/>
    <w:rsid w:val="00905134"/>
    <w:rsid w:val="0090513E"/>
    <w:rsid w:val="009051AF"/>
    <w:rsid w:val="00905202"/>
    <w:rsid w:val="0090545C"/>
    <w:rsid w:val="0090546D"/>
    <w:rsid w:val="00905570"/>
    <w:rsid w:val="009055E0"/>
    <w:rsid w:val="009055E8"/>
    <w:rsid w:val="00905B66"/>
    <w:rsid w:val="00905C64"/>
    <w:rsid w:val="00905FD1"/>
    <w:rsid w:val="00906002"/>
    <w:rsid w:val="0090622E"/>
    <w:rsid w:val="00906569"/>
    <w:rsid w:val="00906641"/>
    <w:rsid w:val="00906985"/>
    <w:rsid w:val="00906A67"/>
    <w:rsid w:val="00906B5C"/>
    <w:rsid w:val="00906BA0"/>
    <w:rsid w:val="00906D4C"/>
    <w:rsid w:val="00906E3E"/>
    <w:rsid w:val="00906F64"/>
    <w:rsid w:val="00906F82"/>
    <w:rsid w:val="009072C4"/>
    <w:rsid w:val="009073C6"/>
    <w:rsid w:val="00907472"/>
    <w:rsid w:val="009074C4"/>
    <w:rsid w:val="00907574"/>
    <w:rsid w:val="009079B4"/>
    <w:rsid w:val="00907A51"/>
    <w:rsid w:val="00907A93"/>
    <w:rsid w:val="00907B15"/>
    <w:rsid w:val="00907B4A"/>
    <w:rsid w:val="00907C5D"/>
    <w:rsid w:val="0091020E"/>
    <w:rsid w:val="00910333"/>
    <w:rsid w:val="0091034A"/>
    <w:rsid w:val="00910399"/>
    <w:rsid w:val="0091039F"/>
    <w:rsid w:val="009106BD"/>
    <w:rsid w:val="009109B4"/>
    <w:rsid w:val="00910A57"/>
    <w:rsid w:val="00910C4E"/>
    <w:rsid w:val="00910C55"/>
    <w:rsid w:val="00910C91"/>
    <w:rsid w:val="00910CC7"/>
    <w:rsid w:val="00910DB5"/>
    <w:rsid w:val="00910F8C"/>
    <w:rsid w:val="00911038"/>
    <w:rsid w:val="00911121"/>
    <w:rsid w:val="0091118E"/>
    <w:rsid w:val="00911674"/>
    <w:rsid w:val="009118ED"/>
    <w:rsid w:val="0091197E"/>
    <w:rsid w:val="009119CD"/>
    <w:rsid w:val="00911B06"/>
    <w:rsid w:val="00911B10"/>
    <w:rsid w:val="00911B34"/>
    <w:rsid w:val="00911BAD"/>
    <w:rsid w:val="00911BE8"/>
    <w:rsid w:val="00911CBE"/>
    <w:rsid w:val="00911CFC"/>
    <w:rsid w:val="00911D68"/>
    <w:rsid w:val="00911EB1"/>
    <w:rsid w:val="00911F5C"/>
    <w:rsid w:val="00911F9E"/>
    <w:rsid w:val="00912025"/>
    <w:rsid w:val="0091223A"/>
    <w:rsid w:val="009123A4"/>
    <w:rsid w:val="009123BE"/>
    <w:rsid w:val="00912657"/>
    <w:rsid w:val="0091269C"/>
    <w:rsid w:val="0091284C"/>
    <w:rsid w:val="009128E0"/>
    <w:rsid w:val="00912AA3"/>
    <w:rsid w:val="00912DE9"/>
    <w:rsid w:val="00912E64"/>
    <w:rsid w:val="00912E71"/>
    <w:rsid w:val="00912FC4"/>
    <w:rsid w:val="0091319E"/>
    <w:rsid w:val="009131AB"/>
    <w:rsid w:val="009133B1"/>
    <w:rsid w:val="00913453"/>
    <w:rsid w:val="009134AE"/>
    <w:rsid w:val="00913589"/>
    <w:rsid w:val="009138B4"/>
    <w:rsid w:val="00913A62"/>
    <w:rsid w:val="00913C6A"/>
    <w:rsid w:val="00913CD6"/>
    <w:rsid w:val="00913FB7"/>
    <w:rsid w:val="009140E5"/>
    <w:rsid w:val="00914164"/>
    <w:rsid w:val="0091436C"/>
    <w:rsid w:val="00914481"/>
    <w:rsid w:val="00914582"/>
    <w:rsid w:val="00914796"/>
    <w:rsid w:val="009148A0"/>
    <w:rsid w:val="00914907"/>
    <w:rsid w:val="00914B9E"/>
    <w:rsid w:val="00914BA6"/>
    <w:rsid w:val="00914BDF"/>
    <w:rsid w:val="00914BF8"/>
    <w:rsid w:val="00914C30"/>
    <w:rsid w:val="00914CBE"/>
    <w:rsid w:val="00914E01"/>
    <w:rsid w:val="00914E27"/>
    <w:rsid w:val="0091502B"/>
    <w:rsid w:val="00915174"/>
    <w:rsid w:val="009153EE"/>
    <w:rsid w:val="00915479"/>
    <w:rsid w:val="00915626"/>
    <w:rsid w:val="0091565D"/>
    <w:rsid w:val="009156E0"/>
    <w:rsid w:val="00915713"/>
    <w:rsid w:val="00915833"/>
    <w:rsid w:val="00915856"/>
    <w:rsid w:val="0091602A"/>
    <w:rsid w:val="0091605C"/>
    <w:rsid w:val="00916077"/>
    <w:rsid w:val="0091659A"/>
    <w:rsid w:val="009169B8"/>
    <w:rsid w:val="00916A33"/>
    <w:rsid w:val="00916A69"/>
    <w:rsid w:val="00916AFD"/>
    <w:rsid w:val="00916BC9"/>
    <w:rsid w:val="00916CC7"/>
    <w:rsid w:val="00916F2E"/>
    <w:rsid w:val="00916F97"/>
    <w:rsid w:val="00916FF8"/>
    <w:rsid w:val="00917134"/>
    <w:rsid w:val="009171F4"/>
    <w:rsid w:val="0091721D"/>
    <w:rsid w:val="009176F3"/>
    <w:rsid w:val="00917742"/>
    <w:rsid w:val="009178AF"/>
    <w:rsid w:val="009178FA"/>
    <w:rsid w:val="00917923"/>
    <w:rsid w:val="00917B4E"/>
    <w:rsid w:val="00917BC0"/>
    <w:rsid w:val="00917EBD"/>
    <w:rsid w:val="00917F64"/>
    <w:rsid w:val="00920003"/>
    <w:rsid w:val="0092019B"/>
    <w:rsid w:val="00920366"/>
    <w:rsid w:val="00920387"/>
    <w:rsid w:val="009203DF"/>
    <w:rsid w:val="0092053F"/>
    <w:rsid w:val="0092086F"/>
    <w:rsid w:val="00920935"/>
    <w:rsid w:val="00920A7A"/>
    <w:rsid w:val="00920BF2"/>
    <w:rsid w:val="00920C09"/>
    <w:rsid w:val="00920E39"/>
    <w:rsid w:val="00920F24"/>
    <w:rsid w:val="0092130A"/>
    <w:rsid w:val="0092133E"/>
    <w:rsid w:val="00921478"/>
    <w:rsid w:val="0092178B"/>
    <w:rsid w:val="009217C8"/>
    <w:rsid w:val="0092186F"/>
    <w:rsid w:val="00921995"/>
    <w:rsid w:val="00922130"/>
    <w:rsid w:val="00922303"/>
    <w:rsid w:val="0092261C"/>
    <w:rsid w:val="009226C3"/>
    <w:rsid w:val="009226D0"/>
    <w:rsid w:val="00922700"/>
    <w:rsid w:val="00922890"/>
    <w:rsid w:val="00922A9B"/>
    <w:rsid w:val="00922C25"/>
    <w:rsid w:val="00922CB7"/>
    <w:rsid w:val="00922DEE"/>
    <w:rsid w:val="00923111"/>
    <w:rsid w:val="0092364C"/>
    <w:rsid w:val="00923941"/>
    <w:rsid w:val="00923A9D"/>
    <w:rsid w:val="00923AA2"/>
    <w:rsid w:val="00923B3A"/>
    <w:rsid w:val="00923C7C"/>
    <w:rsid w:val="00923F32"/>
    <w:rsid w:val="00924494"/>
    <w:rsid w:val="009244FE"/>
    <w:rsid w:val="009246B2"/>
    <w:rsid w:val="00924AC8"/>
    <w:rsid w:val="00924C4A"/>
    <w:rsid w:val="00924DD1"/>
    <w:rsid w:val="009250EB"/>
    <w:rsid w:val="00925137"/>
    <w:rsid w:val="009251C4"/>
    <w:rsid w:val="00925212"/>
    <w:rsid w:val="009252A3"/>
    <w:rsid w:val="0092536D"/>
    <w:rsid w:val="00925394"/>
    <w:rsid w:val="00925426"/>
    <w:rsid w:val="00925487"/>
    <w:rsid w:val="009254DF"/>
    <w:rsid w:val="009254EB"/>
    <w:rsid w:val="00925514"/>
    <w:rsid w:val="00925537"/>
    <w:rsid w:val="009258C7"/>
    <w:rsid w:val="00925906"/>
    <w:rsid w:val="00925934"/>
    <w:rsid w:val="0092599D"/>
    <w:rsid w:val="00925AF9"/>
    <w:rsid w:val="00925B14"/>
    <w:rsid w:val="00925B7E"/>
    <w:rsid w:val="00925BA4"/>
    <w:rsid w:val="00925D69"/>
    <w:rsid w:val="00925F5A"/>
    <w:rsid w:val="0092600E"/>
    <w:rsid w:val="009261C7"/>
    <w:rsid w:val="009262FD"/>
    <w:rsid w:val="009263D2"/>
    <w:rsid w:val="009263FF"/>
    <w:rsid w:val="0092643B"/>
    <w:rsid w:val="00926454"/>
    <w:rsid w:val="0092647D"/>
    <w:rsid w:val="009264D2"/>
    <w:rsid w:val="009265D9"/>
    <w:rsid w:val="00926840"/>
    <w:rsid w:val="00926A9F"/>
    <w:rsid w:val="00926B47"/>
    <w:rsid w:val="00926C6A"/>
    <w:rsid w:val="00926DD2"/>
    <w:rsid w:val="00926DDE"/>
    <w:rsid w:val="00926EA9"/>
    <w:rsid w:val="00926F11"/>
    <w:rsid w:val="00926F5A"/>
    <w:rsid w:val="00927015"/>
    <w:rsid w:val="009270F1"/>
    <w:rsid w:val="00927149"/>
    <w:rsid w:val="00927244"/>
    <w:rsid w:val="009272FA"/>
    <w:rsid w:val="009273AE"/>
    <w:rsid w:val="0092798D"/>
    <w:rsid w:val="00927ABA"/>
    <w:rsid w:val="00927B50"/>
    <w:rsid w:val="00927C1F"/>
    <w:rsid w:val="00927C51"/>
    <w:rsid w:val="00927EE6"/>
    <w:rsid w:val="00927F5F"/>
    <w:rsid w:val="00927FB4"/>
    <w:rsid w:val="009300BB"/>
    <w:rsid w:val="0093011A"/>
    <w:rsid w:val="0093018F"/>
    <w:rsid w:val="009302AF"/>
    <w:rsid w:val="009303FF"/>
    <w:rsid w:val="0093041E"/>
    <w:rsid w:val="00930586"/>
    <w:rsid w:val="00930662"/>
    <w:rsid w:val="009309C5"/>
    <w:rsid w:val="009309CC"/>
    <w:rsid w:val="00930AE4"/>
    <w:rsid w:val="00930CFB"/>
    <w:rsid w:val="00930F40"/>
    <w:rsid w:val="00930F47"/>
    <w:rsid w:val="00931236"/>
    <w:rsid w:val="0093123F"/>
    <w:rsid w:val="009314E9"/>
    <w:rsid w:val="0093187D"/>
    <w:rsid w:val="009318F9"/>
    <w:rsid w:val="00931A2B"/>
    <w:rsid w:val="00931A3A"/>
    <w:rsid w:val="00931BA5"/>
    <w:rsid w:val="00931C27"/>
    <w:rsid w:val="00931C32"/>
    <w:rsid w:val="00931DA5"/>
    <w:rsid w:val="00931E57"/>
    <w:rsid w:val="0093214B"/>
    <w:rsid w:val="0093224D"/>
    <w:rsid w:val="009322A8"/>
    <w:rsid w:val="009322C6"/>
    <w:rsid w:val="00932309"/>
    <w:rsid w:val="00932591"/>
    <w:rsid w:val="009325D5"/>
    <w:rsid w:val="00932697"/>
    <w:rsid w:val="00932742"/>
    <w:rsid w:val="0093276F"/>
    <w:rsid w:val="00932961"/>
    <w:rsid w:val="009329D7"/>
    <w:rsid w:val="00932AA6"/>
    <w:rsid w:val="00932B6B"/>
    <w:rsid w:val="00932C03"/>
    <w:rsid w:val="00932C40"/>
    <w:rsid w:val="00932EC4"/>
    <w:rsid w:val="00932F45"/>
    <w:rsid w:val="00933008"/>
    <w:rsid w:val="00933129"/>
    <w:rsid w:val="009331AF"/>
    <w:rsid w:val="009331DB"/>
    <w:rsid w:val="00933303"/>
    <w:rsid w:val="0093333C"/>
    <w:rsid w:val="0093333D"/>
    <w:rsid w:val="00933443"/>
    <w:rsid w:val="00933577"/>
    <w:rsid w:val="0093397F"/>
    <w:rsid w:val="00933BDC"/>
    <w:rsid w:val="00933D9F"/>
    <w:rsid w:val="00933DE7"/>
    <w:rsid w:val="00933F37"/>
    <w:rsid w:val="0093410E"/>
    <w:rsid w:val="0093421D"/>
    <w:rsid w:val="0093443B"/>
    <w:rsid w:val="0093448A"/>
    <w:rsid w:val="00934563"/>
    <w:rsid w:val="00934609"/>
    <w:rsid w:val="0093463B"/>
    <w:rsid w:val="0093465F"/>
    <w:rsid w:val="009346AD"/>
    <w:rsid w:val="00934720"/>
    <w:rsid w:val="00934A95"/>
    <w:rsid w:val="00934BAE"/>
    <w:rsid w:val="00934C89"/>
    <w:rsid w:val="00934CB0"/>
    <w:rsid w:val="00934D9A"/>
    <w:rsid w:val="00934D9F"/>
    <w:rsid w:val="00934F9E"/>
    <w:rsid w:val="009350C8"/>
    <w:rsid w:val="00935120"/>
    <w:rsid w:val="0093517F"/>
    <w:rsid w:val="009352A4"/>
    <w:rsid w:val="00935304"/>
    <w:rsid w:val="0093538E"/>
    <w:rsid w:val="009353ED"/>
    <w:rsid w:val="009354DB"/>
    <w:rsid w:val="00935782"/>
    <w:rsid w:val="00935936"/>
    <w:rsid w:val="0093593F"/>
    <w:rsid w:val="009359D3"/>
    <w:rsid w:val="009359D6"/>
    <w:rsid w:val="00935A41"/>
    <w:rsid w:val="00935C2C"/>
    <w:rsid w:val="00935D3B"/>
    <w:rsid w:val="009360A4"/>
    <w:rsid w:val="0093618C"/>
    <w:rsid w:val="00936190"/>
    <w:rsid w:val="009361C9"/>
    <w:rsid w:val="00936206"/>
    <w:rsid w:val="00936249"/>
    <w:rsid w:val="00936317"/>
    <w:rsid w:val="0093643B"/>
    <w:rsid w:val="00936743"/>
    <w:rsid w:val="00936817"/>
    <w:rsid w:val="0093681F"/>
    <w:rsid w:val="009368CA"/>
    <w:rsid w:val="0093690E"/>
    <w:rsid w:val="0093692D"/>
    <w:rsid w:val="00936AA7"/>
    <w:rsid w:val="00936AF3"/>
    <w:rsid w:val="00936D57"/>
    <w:rsid w:val="00936FD8"/>
    <w:rsid w:val="0093706B"/>
    <w:rsid w:val="009371A3"/>
    <w:rsid w:val="0093720F"/>
    <w:rsid w:val="00937534"/>
    <w:rsid w:val="00937770"/>
    <w:rsid w:val="00937811"/>
    <w:rsid w:val="009379C8"/>
    <w:rsid w:val="00937BAA"/>
    <w:rsid w:val="00937CC1"/>
    <w:rsid w:val="00937FA3"/>
    <w:rsid w:val="00937FB3"/>
    <w:rsid w:val="009402CE"/>
    <w:rsid w:val="00940381"/>
    <w:rsid w:val="00940A8A"/>
    <w:rsid w:val="00940B99"/>
    <w:rsid w:val="00940CA2"/>
    <w:rsid w:val="00940FAF"/>
    <w:rsid w:val="0094107A"/>
    <w:rsid w:val="009410A1"/>
    <w:rsid w:val="009410CC"/>
    <w:rsid w:val="00941435"/>
    <w:rsid w:val="00941454"/>
    <w:rsid w:val="0094146A"/>
    <w:rsid w:val="009415A5"/>
    <w:rsid w:val="009417C9"/>
    <w:rsid w:val="00941910"/>
    <w:rsid w:val="00941A35"/>
    <w:rsid w:val="00941D15"/>
    <w:rsid w:val="00941DFD"/>
    <w:rsid w:val="00941EC5"/>
    <w:rsid w:val="00941FE6"/>
    <w:rsid w:val="00942073"/>
    <w:rsid w:val="009420A8"/>
    <w:rsid w:val="00942385"/>
    <w:rsid w:val="00942433"/>
    <w:rsid w:val="00942458"/>
    <w:rsid w:val="009425F4"/>
    <w:rsid w:val="0094260A"/>
    <w:rsid w:val="00942612"/>
    <w:rsid w:val="009427AC"/>
    <w:rsid w:val="009427ED"/>
    <w:rsid w:val="0094281A"/>
    <w:rsid w:val="00942854"/>
    <w:rsid w:val="00942857"/>
    <w:rsid w:val="009429DD"/>
    <w:rsid w:val="00942AF3"/>
    <w:rsid w:val="00942B5B"/>
    <w:rsid w:val="00942CB0"/>
    <w:rsid w:val="00942CBE"/>
    <w:rsid w:val="00942E4E"/>
    <w:rsid w:val="00942E7B"/>
    <w:rsid w:val="00943119"/>
    <w:rsid w:val="009433A7"/>
    <w:rsid w:val="00943453"/>
    <w:rsid w:val="009439F6"/>
    <w:rsid w:val="00943D78"/>
    <w:rsid w:val="00943D88"/>
    <w:rsid w:val="00943F3D"/>
    <w:rsid w:val="00943F50"/>
    <w:rsid w:val="009441FB"/>
    <w:rsid w:val="009443C1"/>
    <w:rsid w:val="00944406"/>
    <w:rsid w:val="00944419"/>
    <w:rsid w:val="00944491"/>
    <w:rsid w:val="00944495"/>
    <w:rsid w:val="009444C4"/>
    <w:rsid w:val="0094456B"/>
    <w:rsid w:val="009445FB"/>
    <w:rsid w:val="00944644"/>
    <w:rsid w:val="0094471A"/>
    <w:rsid w:val="00944753"/>
    <w:rsid w:val="009447A4"/>
    <w:rsid w:val="009447DF"/>
    <w:rsid w:val="00944899"/>
    <w:rsid w:val="00944998"/>
    <w:rsid w:val="00944A17"/>
    <w:rsid w:val="00944D1F"/>
    <w:rsid w:val="00944EBE"/>
    <w:rsid w:val="00944FC3"/>
    <w:rsid w:val="009452A2"/>
    <w:rsid w:val="00945334"/>
    <w:rsid w:val="00945556"/>
    <w:rsid w:val="009456B2"/>
    <w:rsid w:val="009457D9"/>
    <w:rsid w:val="00945AC6"/>
    <w:rsid w:val="00945D8A"/>
    <w:rsid w:val="00945DB3"/>
    <w:rsid w:val="00945FE3"/>
    <w:rsid w:val="009460ED"/>
    <w:rsid w:val="009461F9"/>
    <w:rsid w:val="00946235"/>
    <w:rsid w:val="00946405"/>
    <w:rsid w:val="009464A2"/>
    <w:rsid w:val="009465AD"/>
    <w:rsid w:val="0094662D"/>
    <w:rsid w:val="00946678"/>
    <w:rsid w:val="009466AD"/>
    <w:rsid w:val="009468A5"/>
    <w:rsid w:val="00946942"/>
    <w:rsid w:val="00946A51"/>
    <w:rsid w:val="00946B29"/>
    <w:rsid w:val="00946B37"/>
    <w:rsid w:val="00946DC3"/>
    <w:rsid w:val="00946DC6"/>
    <w:rsid w:val="00946E28"/>
    <w:rsid w:val="00946E76"/>
    <w:rsid w:val="00946F9C"/>
    <w:rsid w:val="009470CB"/>
    <w:rsid w:val="00947157"/>
    <w:rsid w:val="0094724C"/>
    <w:rsid w:val="00947417"/>
    <w:rsid w:val="009475FA"/>
    <w:rsid w:val="00947A08"/>
    <w:rsid w:val="00947AF7"/>
    <w:rsid w:val="00947BA7"/>
    <w:rsid w:val="00947CA8"/>
    <w:rsid w:val="00947ECD"/>
    <w:rsid w:val="00950700"/>
    <w:rsid w:val="00950720"/>
    <w:rsid w:val="009507C0"/>
    <w:rsid w:val="00950AA4"/>
    <w:rsid w:val="00950BC7"/>
    <w:rsid w:val="00950C26"/>
    <w:rsid w:val="00950C67"/>
    <w:rsid w:val="00950F72"/>
    <w:rsid w:val="00951013"/>
    <w:rsid w:val="0095102E"/>
    <w:rsid w:val="0095107E"/>
    <w:rsid w:val="009510A8"/>
    <w:rsid w:val="009511AE"/>
    <w:rsid w:val="00951295"/>
    <w:rsid w:val="00951675"/>
    <w:rsid w:val="00951EDF"/>
    <w:rsid w:val="00951F13"/>
    <w:rsid w:val="00951F1E"/>
    <w:rsid w:val="00952100"/>
    <w:rsid w:val="00952232"/>
    <w:rsid w:val="00952796"/>
    <w:rsid w:val="00952A0D"/>
    <w:rsid w:val="00952B57"/>
    <w:rsid w:val="00952B65"/>
    <w:rsid w:val="00952CEF"/>
    <w:rsid w:val="00952D5A"/>
    <w:rsid w:val="00952D98"/>
    <w:rsid w:val="00952FCE"/>
    <w:rsid w:val="0095311F"/>
    <w:rsid w:val="0095316D"/>
    <w:rsid w:val="00953198"/>
    <w:rsid w:val="00953246"/>
    <w:rsid w:val="0095341A"/>
    <w:rsid w:val="00953455"/>
    <w:rsid w:val="00953465"/>
    <w:rsid w:val="009534A1"/>
    <w:rsid w:val="0095357E"/>
    <w:rsid w:val="00953621"/>
    <w:rsid w:val="00953740"/>
    <w:rsid w:val="00953A82"/>
    <w:rsid w:val="00953B32"/>
    <w:rsid w:val="00953BCA"/>
    <w:rsid w:val="00953D05"/>
    <w:rsid w:val="00953D4A"/>
    <w:rsid w:val="00953DFB"/>
    <w:rsid w:val="00953E64"/>
    <w:rsid w:val="009543B5"/>
    <w:rsid w:val="009543FA"/>
    <w:rsid w:val="009545E2"/>
    <w:rsid w:val="009548BB"/>
    <w:rsid w:val="009549D2"/>
    <w:rsid w:val="00954B0E"/>
    <w:rsid w:val="00954B19"/>
    <w:rsid w:val="00954B2B"/>
    <w:rsid w:val="00954D80"/>
    <w:rsid w:val="00954DE6"/>
    <w:rsid w:val="00954DEF"/>
    <w:rsid w:val="00954FE9"/>
    <w:rsid w:val="00955293"/>
    <w:rsid w:val="00955304"/>
    <w:rsid w:val="00955320"/>
    <w:rsid w:val="0095535D"/>
    <w:rsid w:val="00955392"/>
    <w:rsid w:val="00955F01"/>
    <w:rsid w:val="0095620C"/>
    <w:rsid w:val="0095644D"/>
    <w:rsid w:val="00956524"/>
    <w:rsid w:val="00956538"/>
    <w:rsid w:val="009565BF"/>
    <w:rsid w:val="009565DA"/>
    <w:rsid w:val="00956837"/>
    <w:rsid w:val="00956845"/>
    <w:rsid w:val="00956ACB"/>
    <w:rsid w:val="00956DA0"/>
    <w:rsid w:val="00956F77"/>
    <w:rsid w:val="00956F92"/>
    <w:rsid w:val="00957133"/>
    <w:rsid w:val="00957142"/>
    <w:rsid w:val="009571FE"/>
    <w:rsid w:val="00957255"/>
    <w:rsid w:val="00957753"/>
    <w:rsid w:val="009577DC"/>
    <w:rsid w:val="009577E6"/>
    <w:rsid w:val="00957B4F"/>
    <w:rsid w:val="00957B8C"/>
    <w:rsid w:val="00957D67"/>
    <w:rsid w:val="00960010"/>
    <w:rsid w:val="009600B6"/>
    <w:rsid w:val="009602E8"/>
    <w:rsid w:val="009603A6"/>
    <w:rsid w:val="009605A2"/>
    <w:rsid w:val="00960655"/>
    <w:rsid w:val="00960667"/>
    <w:rsid w:val="009606BA"/>
    <w:rsid w:val="009606CD"/>
    <w:rsid w:val="009606EA"/>
    <w:rsid w:val="00960877"/>
    <w:rsid w:val="00960914"/>
    <w:rsid w:val="00960962"/>
    <w:rsid w:val="00960979"/>
    <w:rsid w:val="00960AC6"/>
    <w:rsid w:val="00960C06"/>
    <w:rsid w:val="00960D6C"/>
    <w:rsid w:val="00960E29"/>
    <w:rsid w:val="0096111D"/>
    <w:rsid w:val="00961279"/>
    <w:rsid w:val="009612CB"/>
    <w:rsid w:val="009613E7"/>
    <w:rsid w:val="0096143C"/>
    <w:rsid w:val="0096150B"/>
    <w:rsid w:val="0096153F"/>
    <w:rsid w:val="0096159B"/>
    <w:rsid w:val="00961607"/>
    <w:rsid w:val="00961793"/>
    <w:rsid w:val="00961882"/>
    <w:rsid w:val="009619CD"/>
    <w:rsid w:val="00961BA2"/>
    <w:rsid w:val="00961BB2"/>
    <w:rsid w:val="00961CB1"/>
    <w:rsid w:val="00961CC2"/>
    <w:rsid w:val="00961D3B"/>
    <w:rsid w:val="00961D44"/>
    <w:rsid w:val="00961D5D"/>
    <w:rsid w:val="00961D77"/>
    <w:rsid w:val="00961D89"/>
    <w:rsid w:val="00961EC3"/>
    <w:rsid w:val="00961F12"/>
    <w:rsid w:val="00961F8A"/>
    <w:rsid w:val="009621AA"/>
    <w:rsid w:val="009623EE"/>
    <w:rsid w:val="00962757"/>
    <w:rsid w:val="0096287F"/>
    <w:rsid w:val="0096288F"/>
    <w:rsid w:val="00962B2E"/>
    <w:rsid w:val="00962BA2"/>
    <w:rsid w:val="00962D34"/>
    <w:rsid w:val="00962FB2"/>
    <w:rsid w:val="009630C1"/>
    <w:rsid w:val="0096316F"/>
    <w:rsid w:val="00963193"/>
    <w:rsid w:val="0096328A"/>
    <w:rsid w:val="0096329F"/>
    <w:rsid w:val="009633EB"/>
    <w:rsid w:val="0096356E"/>
    <w:rsid w:val="0096367C"/>
    <w:rsid w:val="009636F1"/>
    <w:rsid w:val="00963851"/>
    <w:rsid w:val="009638AE"/>
    <w:rsid w:val="009638D2"/>
    <w:rsid w:val="009639BF"/>
    <w:rsid w:val="00963B0B"/>
    <w:rsid w:val="00963BF3"/>
    <w:rsid w:val="00963EE7"/>
    <w:rsid w:val="009641BF"/>
    <w:rsid w:val="00964373"/>
    <w:rsid w:val="009644F2"/>
    <w:rsid w:val="009645E5"/>
    <w:rsid w:val="009646AC"/>
    <w:rsid w:val="009647C1"/>
    <w:rsid w:val="00964862"/>
    <w:rsid w:val="00964A9D"/>
    <w:rsid w:val="00964B48"/>
    <w:rsid w:val="00964DF3"/>
    <w:rsid w:val="00964FA5"/>
    <w:rsid w:val="009652C6"/>
    <w:rsid w:val="009653C0"/>
    <w:rsid w:val="00965413"/>
    <w:rsid w:val="0096544A"/>
    <w:rsid w:val="00965590"/>
    <w:rsid w:val="00965620"/>
    <w:rsid w:val="00965681"/>
    <w:rsid w:val="0096568F"/>
    <w:rsid w:val="009656AC"/>
    <w:rsid w:val="009656C8"/>
    <w:rsid w:val="0096578A"/>
    <w:rsid w:val="009658B3"/>
    <w:rsid w:val="00965936"/>
    <w:rsid w:val="00965A49"/>
    <w:rsid w:val="00965AC5"/>
    <w:rsid w:val="00965B02"/>
    <w:rsid w:val="00965DF8"/>
    <w:rsid w:val="00965F11"/>
    <w:rsid w:val="00966071"/>
    <w:rsid w:val="0096629E"/>
    <w:rsid w:val="00966360"/>
    <w:rsid w:val="009663D8"/>
    <w:rsid w:val="0096640F"/>
    <w:rsid w:val="0096661B"/>
    <w:rsid w:val="00966756"/>
    <w:rsid w:val="009667FB"/>
    <w:rsid w:val="00966829"/>
    <w:rsid w:val="0096683B"/>
    <w:rsid w:val="00966AE9"/>
    <w:rsid w:val="00966F30"/>
    <w:rsid w:val="00967050"/>
    <w:rsid w:val="00967089"/>
    <w:rsid w:val="00967228"/>
    <w:rsid w:val="00967296"/>
    <w:rsid w:val="009675BE"/>
    <w:rsid w:val="0096779B"/>
    <w:rsid w:val="00967962"/>
    <w:rsid w:val="00967A8E"/>
    <w:rsid w:val="00967D0B"/>
    <w:rsid w:val="009700A7"/>
    <w:rsid w:val="00970197"/>
    <w:rsid w:val="0097026D"/>
    <w:rsid w:val="009702A0"/>
    <w:rsid w:val="009702FE"/>
    <w:rsid w:val="00970434"/>
    <w:rsid w:val="00970568"/>
    <w:rsid w:val="0097060E"/>
    <w:rsid w:val="00970A8E"/>
    <w:rsid w:val="00970C53"/>
    <w:rsid w:val="00970DCF"/>
    <w:rsid w:val="00970EA0"/>
    <w:rsid w:val="00970EC3"/>
    <w:rsid w:val="00970EDC"/>
    <w:rsid w:val="00970EE3"/>
    <w:rsid w:val="00970FA2"/>
    <w:rsid w:val="009710F1"/>
    <w:rsid w:val="00971190"/>
    <w:rsid w:val="009713EA"/>
    <w:rsid w:val="009714B6"/>
    <w:rsid w:val="00971676"/>
    <w:rsid w:val="00971681"/>
    <w:rsid w:val="00971826"/>
    <w:rsid w:val="00971AC7"/>
    <w:rsid w:val="00971CEF"/>
    <w:rsid w:val="00971CF9"/>
    <w:rsid w:val="00971E4D"/>
    <w:rsid w:val="00971F7A"/>
    <w:rsid w:val="00971FF7"/>
    <w:rsid w:val="0097205C"/>
    <w:rsid w:val="00972149"/>
    <w:rsid w:val="00972236"/>
    <w:rsid w:val="00972266"/>
    <w:rsid w:val="00972284"/>
    <w:rsid w:val="00972617"/>
    <w:rsid w:val="00972B23"/>
    <w:rsid w:val="00972C33"/>
    <w:rsid w:val="00972FDF"/>
    <w:rsid w:val="009730C1"/>
    <w:rsid w:val="0097317D"/>
    <w:rsid w:val="00973180"/>
    <w:rsid w:val="009732FF"/>
    <w:rsid w:val="009734BF"/>
    <w:rsid w:val="0097371B"/>
    <w:rsid w:val="009737F0"/>
    <w:rsid w:val="00973879"/>
    <w:rsid w:val="009738FD"/>
    <w:rsid w:val="00973B7A"/>
    <w:rsid w:val="00973CEE"/>
    <w:rsid w:val="00973CF6"/>
    <w:rsid w:val="00973D80"/>
    <w:rsid w:val="00973DE9"/>
    <w:rsid w:val="00974043"/>
    <w:rsid w:val="00974073"/>
    <w:rsid w:val="009741E1"/>
    <w:rsid w:val="00974249"/>
    <w:rsid w:val="009742AF"/>
    <w:rsid w:val="009742D7"/>
    <w:rsid w:val="009743A3"/>
    <w:rsid w:val="009743D4"/>
    <w:rsid w:val="009743DF"/>
    <w:rsid w:val="009743E0"/>
    <w:rsid w:val="00974481"/>
    <w:rsid w:val="009745A7"/>
    <w:rsid w:val="00974661"/>
    <w:rsid w:val="009746AB"/>
    <w:rsid w:val="00974B25"/>
    <w:rsid w:val="00974B5D"/>
    <w:rsid w:val="00974C5B"/>
    <w:rsid w:val="00974CCD"/>
    <w:rsid w:val="00974DD0"/>
    <w:rsid w:val="00974F72"/>
    <w:rsid w:val="0097500E"/>
    <w:rsid w:val="00975080"/>
    <w:rsid w:val="009750FE"/>
    <w:rsid w:val="00975477"/>
    <w:rsid w:val="00975788"/>
    <w:rsid w:val="00975B6A"/>
    <w:rsid w:val="00975C22"/>
    <w:rsid w:val="00975FA3"/>
    <w:rsid w:val="00975FE4"/>
    <w:rsid w:val="0097605D"/>
    <w:rsid w:val="0097608D"/>
    <w:rsid w:val="009762C9"/>
    <w:rsid w:val="009762DB"/>
    <w:rsid w:val="00976373"/>
    <w:rsid w:val="00976457"/>
    <w:rsid w:val="00976467"/>
    <w:rsid w:val="00976689"/>
    <w:rsid w:val="00976752"/>
    <w:rsid w:val="0097678B"/>
    <w:rsid w:val="00976833"/>
    <w:rsid w:val="00976A71"/>
    <w:rsid w:val="00976BA5"/>
    <w:rsid w:val="00976C38"/>
    <w:rsid w:val="00976D25"/>
    <w:rsid w:val="00977180"/>
    <w:rsid w:val="009771D8"/>
    <w:rsid w:val="009772E7"/>
    <w:rsid w:val="009772EC"/>
    <w:rsid w:val="009772FE"/>
    <w:rsid w:val="00977632"/>
    <w:rsid w:val="00977767"/>
    <w:rsid w:val="00977AB1"/>
    <w:rsid w:val="00977ACA"/>
    <w:rsid w:val="00977E5A"/>
    <w:rsid w:val="00980056"/>
    <w:rsid w:val="0098012A"/>
    <w:rsid w:val="00980245"/>
    <w:rsid w:val="00980376"/>
    <w:rsid w:val="009804E8"/>
    <w:rsid w:val="00980797"/>
    <w:rsid w:val="009807BA"/>
    <w:rsid w:val="0098088F"/>
    <w:rsid w:val="00980963"/>
    <w:rsid w:val="00980ACD"/>
    <w:rsid w:val="00980B79"/>
    <w:rsid w:val="00980FAC"/>
    <w:rsid w:val="0098109E"/>
    <w:rsid w:val="00981383"/>
    <w:rsid w:val="009813CA"/>
    <w:rsid w:val="0098151D"/>
    <w:rsid w:val="00981624"/>
    <w:rsid w:val="009816EF"/>
    <w:rsid w:val="00981771"/>
    <w:rsid w:val="0098183C"/>
    <w:rsid w:val="00981ABB"/>
    <w:rsid w:val="00981C8A"/>
    <w:rsid w:val="00981CC9"/>
    <w:rsid w:val="00981D0D"/>
    <w:rsid w:val="00981F57"/>
    <w:rsid w:val="00982221"/>
    <w:rsid w:val="009823DA"/>
    <w:rsid w:val="0098241F"/>
    <w:rsid w:val="009824CC"/>
    <w:rsid w:val="00982539"/>
    <w:rsid w:val="0098266D"/>
    <w:rsid w:val="00982676"/>
    <w:rsid w:val="009826C0"/>
    <w:rsid w:val="00982976"/>
    <w:rsid w:val="00982BBC"/>
    <w:rsid w:val="00982CE0"/>
    <w:rsid w:val="00982DBE"/>
    <w:rsid w:val="00982E3C"/>
    <w:rsid w:val="00982F15"/>
    <w:rsid w:val="00982FBC"/>
    <w:rsid w:val="00982FD4"/>
    <w:rsid w:val="00982FE2"/>
    <w:rsid w:val="00982FED"/>
    <w:rsid w:val="0098300B"/>
    <w:rsid w:val="009830D7"/>
    <w:rsid w:val="00983477"/>
    <w:rsid w:val="009834BC"/>
    <w:rsid w:val="00983573"/>
    <w:rsid w:val="009835B9"/>
    <w:rsid w:val="00983858"/>
    <w:rsid w:val="00983AB7"/>
    <w:rsid w:val="00983B2E"/>
    <w:rsid w:val="00983D34"/>
    <w:rsid w:val="00983DB1"/>
    <w:rsid w:val="00984062"/>
    <w:rsid w:val="0098412B"/>
    <w:rsid w:val="0098417F"/>
    <w:rsid w:val="00984290"/>
    <w:rsid w:val="009842DE"/>
    <w:rsid w:val="00984321"/>
    <w:rsid w:val="0098442A"/>
    <w:rsid w:val="0098448D"/>
    <w:rsid w:val="0098454B"/>
    <w:rsid w:val="0098462C"/>
    <w:rsid w:val="00984679"/>
    <w:rsid w:val="00984773"/>
    <w:rsid w:val="00984800"/>
    <w:rsid w:val="00984879"/>
    <w:rsid w:val="009849ED"/>
    <w:rsid w:val="00984A0C"/>
    <w:rsid w:val="00984AA9"/>
    <w:rsid w:val="00984D24"/>
    <w:rsid w:val="00984E3D"/>
    <w:rsid w:val="00984ED2"/>
    <w:rsid w:val="00984F44"/>
    <w:rsid w:val="009850E7"/>
    <w:rsid w:val="00985101"/>
    <w:rsid w:val="009851DB"/>
    <w:rsid w:val="009852AC"/>
    <w:rsid w:val="00985362"/>
    <w:rsid w:val="0098582A"/>
    <w:rsid w:val="009858C0"/>
    <w:rsid w:val="00985CEA"/>
    <w:rsid w:val="00985F5E"/>
    <w:rsid w:val="00985FEB"/>
    <w:rsid w:val="00986190"/>
    <w:rsid w:val="0098640E"/>
    <w:rsid w:val="00986430"/>
    <w:rsid w:val="009864E6"/>
    <w:rsid w:val="00986780"/>
    <w:rsid w:val="009867E8"/>
    <w:rsid w:val="009869A7"/>
    <w:rsid w:val="009869FC"/>
    <w:rsid w:val="00986D21"/>
    <w:rsid w:val="00986EA4"/>
    <w:rsid w:val="00987078"/>
    <w:rsid w:val="009872C3"/>
    <w:rsid w:val="009872E4"/>
    <w:rsid w:val="0098762F"/>
    <w:rsid w:val="009877B6"/>
    <w:rsid w:val="00987931"/>
    <w:rsid w:val="009879F2"/>
    <w:rsid w:val="00987B5B"/>
    <w:rsid w:val="00987BAC"/>
    <w:rsid w:val="00987C66"/>
    <w:rsid w:val="00987C7D"/>
    <w:rsid w:val="00987D82"/>
    <w:rsid w:val="00987EAF"/>
    <w:rsid w:val="009900C5"/>
    <w:rsid w:val="00990175"/>
    <w:rsid w:val="009903DF"/>
    <w:rsid w:val="0099058C"/>
    <w:rsid w:val="00990708"/>
    <w:rsid w:val="00990717"/>
    <w:rsid w:val="0099075D"/>
    <w:rsid w:val="009908CD"/>
    <w:rsid w:val="00990917"/>
    <w:rsid w:val="00990A40"/>
    <w:rsid w:val="00990C31"/>
    <w:rsid w:val="00990D0E"/>
    <w:rsid w:val="00990F10"/>
    <w:rsid w:val="00990FB1"/>
    <w:rsid w:val="00991098"/>
    <w:rsid w:val="0099117D"/>
    <w:rsid w:val="0099145F"/>
    <w:rsid w:val="0099149F"/>
    <w:rsid w:val="00991667"/>
    <w:rsid w:val="0099167E"/>
    <w:rsid w:val="009919A1"/>
    <w:rsid w:val="00991B92"/>
    <w:rsid w:val="00991C11"/>
    <w:rsid w:val="00991C35"/>
    <w:rsid w:val="00991CBE"/>
    <w:rsid w:val="00991D6E"/>
    <w:rsid w:val="00991E10"/>
    <w:rsid w:val="00991FCC"/>
    <w:rsid w:val="009920DD"/>
    <w:rsid w:val="00992184"/>
    <w:rsid w:val="0099219C"/>
    <w:rsid w:val="00992392"/>
    <w:rsid w:val="009925A2"/>
    <w:rsid w:val="009925DC"/>
    <w:rsid w:val="00992909"/>
    <w:rsid w:val="0099298B"/>
    <w:rsid w:val="00992DFD"/>
    <w:rsid w:val="00992F77"/>
    <w:rsid w:val="00993252"/>
    <w:rsid w:val="009934AC"/>
    <w:rsid w:val="00993506"/>
    <w:rsid w:val="00993638"/>
    <w:rsid w:val="009936B7"/>
    <w:rsid w:val="009937B3"/>
    <w:rsid w:val="009937DA"/>
    <w:rsid w:val="00993868"/>
    <w:rsid w:val="00993ABC"/>
    <w:rsid w:val="00993FA6"/>
    <w:rsid w:val="0099415D"/>
    <w:rsid w:val="009943F3"/>
    <w:rsid w:val="0099451E"/>
    <w:rsid w:val="009945DB"/>
    <w:rsid w:val="0099490F"/>
    <w:rsid w:val="00994B8B"/>
    <w:rsid w:val="00994C87"/>
    <w:rsid w:val="00995152"/>
    <w:rsid w:val="009951CC"/>
    <w:rsid w:val="00995475"/>
    <w:rsid w:val="009954B5"/>
    <w:rsid w:val="0099564B"/>
    <w:rsid w:val="009956F4"/>
    <w:rsid w:val="0099571D"/>
    <w:rsid w:val="00995792"/>
    <w:rsid w:val="00995952"/>
    <w:rsid w:val="00995982"/>
    <w:rsid w:val="00995BA2"/>
    <w:rsid w:val="00995D4F"/>
    <w:rsid w:val="00995D79"/>
    <w:rsid w:val="00995D8B"/>
    <w:rsid w:val="00996189"/>
    <w:rsid w:val="00996210"/>
    <w:rsid w:val="0099624B"/>
    <w:rsid w:val="009963F7"/>
    <w:rsid w:val="009964B7"/>
    <w:rsid w:val="00996752"/>
    <w:rsid w:val="0099681B"/>
    <w:rsid w:val="009968E6"/>
    <w:rsid w:val="00996C93"/>
    <w:rsid w:val="00996E48"/>
    <w:rsid w:val="00996F14"/>
    <w:rsid w:val="00997034"/>
    <w:rsid w:val="0099713E"/>
    <w:rsid w:val="009972E8"/>
    <w:rsid w:val="00997474"/>
    <w:rsid w:val="00997676"/>
    <w:rsid w:val="009978A3"/>
    <w:rsid w:val="00997983"/>
    <w:rsid w:val="00997A08"/>
    <w:rsid w:val="00997AA3"/>
    <w:rsid w:val="00997B26"/>
    <w:rsid w:val="00997B9A"/>
    <w:rsid w:val="00997C13"/>
    <w:rsid w:val="00997D56"/>
    <w:rsid w:val="00997DDC"/>
    <w:rsid w:val="00997EC7"/>
    <w:rsid w:val="00997EF6"/>
    <w:rsid w:val="009A0168"/>
    <w:rsid w:val="009A0176"/>
    <w:rsid w:val="009A01B1"/>
    <w:rsid w:val="009A0357"/>
    <w:rsid w:val="009A0453"/>
    <w:rsid w:val="009A070A"/>
    <w:rsid w:val="009A092A"/>
    <w:rsid w:val="009A0C51"/>
    <w:rsid w:val="009A0CFF"/>
    <w:rsid w:val="009A0D06"/>
    <w:rsid w:val="009A1076"/>
    <w:rsid w:val="009A152D"/>
    <w:rsid w:val="009A1669"/>
    <w:rsid w:val="009A16D3"/>
    <w:rsid w:val="009A1764"/>
    <w:rsid w:val="009A178C"/>
    <w:rsid w:val="009A17D2"/>
    <w:rsid w:val="009A1A5D"/>
    <w:rsid w:val="009A1B3B"/>
    <w:rsid w:val="009A1BEB"/>
    <w:rsid w:val="009A1C6D"/>
    <w:rsid w:val="009A1D13"/>
    <w:rsid w:val="009A1D6D"/>
    <w:rsid w:val="009A1E41"/>
    <w:rsid w:val="009A1F57"/>
    <w:rsid w:val="009A2072"/>
    <w:rsid w:val="009A215C"/>
    <w:rsid w:val="009A25DA"/>
    <w:rsid w:val="009A284D"/>
    <w:rsid w:val="009A2855"/>
    <w:rsid w:val="009A2A53"/>
    <w:rsid w:val="009A2A9B"/>
    <w:rsid w:val="009A2B64"/>
    <w:rsid w:val="009A2C3D"/>
    <w:rsid w:val="009A2CCA"/>
    <w:rsid w:val="009A2D59"/>
    <w:rsid w:val="009A2F92"/>
    <w:rsid w:val="009A3200"/>
    <w:rsid w:val="009A34EF"/>
    <w:rsid w:val="009A3546"/>
    <w:rsid w:val="009A36B9"/>
    <w:rsid w:val="009A38DE"/>
    <w:rsid w:val="009A39E4"/>
    <w:rsid w:val="009A3A5C"/>
    <w:rsid w:val="009A3A66"/>
    <w:rsid w:val="009A3BAB"/>
    <w:rsid w:val="009A3BC3"/>
    <w:rsid w:val="009A3C69"/>
    <w:rsid w:val="009A3CC5"/>
    <w:rsid w:val="009A41D5"/>
    <w:rsid w:val="009A42D2"/>
    <w:rsid w:val="009A42F5"/>
    <w:rsid w:val="009A43E4"/>
    <w:rsid w:val="009A444F"/>
    <w:rsid w:val="009A4692"/>
    <w:rsid w:val="009A46F8"/>
    <w:rsid w:val="009A4722"/>
    <w:rsid w:val="009A476A"/>
    <w:rsid w:val="009A47B3"/>
    <w:rsid w:val="009A485F"/>
    <w:rsid w:val="009A48C9"/>
    <w:rsid w:val="009A491F"/>
    <w:rsid w:val="009A4ABC"/>
    <w:rsid w:val="009A4AE1"/>
    <w:rsid w:val="009A4C6D"/>
    <w:rsid w:val="009A4D06"/>
    <w:rsid w:val="009A4D1F"/>
    <w:rsid w:val="009A4DB3"/>
    <w:rsid w:val="009A4FB7"/>
    <w:rsid w:val="009A5208"/>
    <w:rsid w:val="009A5357"/>
    <w:rsid w:val="009A539A"/>
    <w:rsid w:val="009A5476"/>
    <w:rsid w:val="009A54E5"/>
    <w:rsid w:val="009A570D"/>
    <w:rsid w:val="009A5724"/>
    <w:rsid w:val="009A580B"/>
    <w:rsid w:val="009A586C"/>
    <w:rsid w:val="009A588A"/>
    <w:rsid w:val="009A5A34"/>
    <w:rsid w:val="009A5CA9"/>
    <w:rsid w:val="009A5CD9"/>
    <w:rsid w:val="009A5D95"/>
    <w:rsid w:val="009A6009"/>
    <w:rsid w:val="009A6062"/>
    <w:rsid w:val="009A608F"/>
    <w:rsid w:val="009A6103"/>
    <w:rsid w:val="009A6348"/>
    <w:rsid w:val="009A6402"/>
    <w:rsid w:val="009A66B4"/>
    <w:rsid w:val="009A6777"/>
    <w:rsid w:val="009A67A0"/>
    <w:rsid w:val="009A698A"/>
    <w:rsid w:val="009A69FE"/>
    <w:rsid w:val="009A6A84"/>
    <w:rsid w:val="009A6B70"/>
    <w:rsid w:val="009A6C76"/>
    <w:rsid w:val="009A6C86"/>
    <w:rsid w:val="009A6C98"/>
    <w:rsid w:val="009A6D5E"/>
    <w:rsid w:val="009A6F56"/>
    <w:rsid w:val="009A6FF3"/>
    <w:rsid w:val="009A70D7"/>
    <w:rsid w:val="009A71F2"/>
    <w:rsid w:val="009A72F8"/>
    <w:rsid w:val="009A765D"/>
    <w:rsid w:val="009A788E"/>
    <w:rsid w:val="009A7966"/>
    <w:rsid w:val="009A7C5B"/>
    <w:rsid w:val="009A7CF2"/>
    <w:rsid w:val="009A7E6D"/>
    <w:rsid w:val="009A7EAB"/>
    <w:rsid w:val="009A7F96"/>
    <w:rsid w:val="009B00DE"/>
    <w:rsid w:val="009B03A7"/>
    <w:rsid w:val="009B03D0"/>
    <w:rsid w:val="009B050A"/>
    <w:rsid w:val="009B055B"/>
    <w:rsid w:val="009B0680"/>
    <w:rsid w:val="009B073F"/>
    <w:rsid w:val="009B0942"/>
    <w:rsid w:val="009B0970"/>
    <w:rsid w:val="009B0A07"/>
    <w:rsid w:val="009B0D84"/>
    <w:rsid w:val="009B0E1C"/>
    <w:rsid w:val="009B0EE3"/>
    <w:rsid w:val="009B119E"/>
    <w:rsid w:val="009B12B2"/>
    <w:rsid w:val="009B12CA"/>
    <w:rsid w:val="009B1400"/>
    <w:rsid w:val="009B1475"/>
    <w:rsid w:val="009B156B"/>
    <w:rsid w:val="009B188E"/>
    <w:rsid w:val="009B1A80"/>
    <w:rsid w:val="009B1B68"/>
    <w:rsid w:val="009B1C3C"/>
    <w:rsid w:val="009B1E63"/>
    <w:rsid w:val="009B20C0"/>
    <w:rsid w:val="009B219F"/>
    <w:rsid w:val="009B21C1"/>
    <w:rsid w:val="009B2205"/>
    <w:rsid w:val="009B2412"/>
    <w:rsid w:val="009B26B8"/>
    <w:rsid w:val="009B26BD"/>
    <w:rsid w:val="009B26D9"/>
    <w:rsid w:val="009B2703"/>
    <w:rsid w:val="009B2763"/>
    <w:rsid w:val="009B288E"/>
    <w:rsid w:val="009B28F4"/>
    <w:rsid w:val="009B2A26"/>
    <w:rsid w:val="009B2AB4"/>
    <w:rsid w:val="009B2ABD"/>
    <w:rsid w:val="009B2CAF"/>
    <w:rsid w:val="009B2D0D"/>
    <w:rsid w:val="009B2DAC"/>
    <w:rsid w:val="009B2ECE"/>
    <w:rsid w:val="009B2FE9"/>
    <w:rsid w:val="009B3007"/>
    <w:rsid w:val="009B30DE"/>
    <w:rsid w:val="009B317D"/>
    <w:rsid w:val="009B3659"/>
    <w:rsid w:val="009B36A0"/>
    <w:rsid w:val="009B38C1"/>
    <w:rsid w:val="009B3918"/>
    <w:rsid w:val="009B3BA2"/>
    <w:rsid w:val="009B3C38"/>
    <w:rsid w:val="009B3D6D"/>
    <w:rsid w:val="009B3E72"/>
    <w:rsid w:val="009B3E7D"/>
    <w:rsid w:val="009B3E89"/>
    <w:rsid w:val="009B3F5B"/>
    <w:rsid w:val="009B3FB8"/>
    <w:rsid w:val="009B3FF2"/>
    <w:rsid w:val="009B42C7"/>
    <w:rsid w:val="009B43BE"/>
    <w:rsid w:val="009B43FC"/>
    <w:rsid w:val="009B4AAF"/>
    <w:rsid w:val="009B4B4D"/>
    <w:rsid w:val="009B4C1D"/>
    <w:rsid w:val="009B4C3C"/>
    <w:rsid w:val="009B4EFB"/>
    <w:rsid w:val="009B50B0"/>
    <w:rsid w:val="009B5198"/>
    <w:rsid w:val="009B51E9"/>
    <w:rsid w:val="009B52D0"/>
    <w:rsid w:val="009B5488"/>
    <w:rsid w:val="009B54AB"/>
    <w:rsid w:val="009B5553"/>
    <w:rsid w:val="009B565E"/>
    <w:rsid w:val="009B571B"/>
    <w:rsid w:val="009B58CB"/>
    <w:rsid w:val="009B5952"/>
    <w:rsid w:val="009B59D7"/>
    <w:rsid w:val="009B5B73"/>
    <w:rsid w:val="009B5C69"/>
    <w:rsid w:val="009B5DC8"/>
    <w:rsid w:val="009B5E37"/>
    <w:rsid w:val="009B5E56"/>
    <w:rsid w:val="009B5E9B"/>
    <w:rsid w:val="009B5F36"/>
    <w:rsid w:val="009B5FBC"/>
    <w:rsid w:val="009B6157"/>
    <w:rsid w:val="009B6277"/>
    <w:rsid w:val="009B62E2"/>
    <w:rsid w:val="009B65D3"/>
    <w:rsid w:val="009B664E"/>
    <w:rsid w:val="009B66CD"/>
    <w:rsid w:val="009B66E5"/>
    <w:rsid w:val="009B6766"/>
    <w:rsid w:val="009B677A"/>
    <w:rsid w:val="009B689F"/>
    <w:rsid w:val="009B6AB4"/>
    <w:rsid w:val="009B6C29"/>
    <w:rsid w:val="009B6C9D"/>
    <w:rsid w:val="009B6F65"/>
    <w:rsid w:val="009B6FB5"/>
    <w:rsid w:val="009B715F"/>
    <w:rsid w:val="009B72C2"/>
    <w:rsid w:val="009B7373"/>
    <w:rsid w:val="009B752A"/>
    <w:rsid w:val="009B75C0"/>
    <w:rsid w:val="009B7A8B"/>
    <w:rsid w:val="009B7BA0"/>
    <w:rsid w:val="009B7BBA"/>
    <w:rsid w:val="009B7E7B"/>
    <w:rsid w:val="009B7EA9"/>
    <w:rsid w:val="009B7ED0"/>
    <w:rsid w:val="009B7F08"/>
    <w:rsid w:val="009B7FF5"/>
    <w:rsid w:val="009C02BD"/>
    <w:rsid w:val="009C03B6"/>
    <w:rsid w:val="009C0527"/>
    <w:rsid w:val="009C064D"/>
    <w:rsid w:val="009C0678"/>
    <w:rsid w:val="009C0761"/>
    <w:rsid w:val="009C07BC"/>
    <w:rsid w:val="009C07C7"/>
    <w:rsid w:val="009C0910"/>
    <w:rsid w:val="009C0BBF"/>
    <w:rsid w:val="009C0BEA"/>
    <w:rsid w:val="009C0E04"/>
    <w:rsid w:val="009C1010"/>
    <w:rsid w:val="009C10F2"/>
    <w:rsid w:val="009C126A"/>
    <w:rsid w:val="009C1276"/>
    <w:rsid w:val="009C1367"/>
    <w:rsid w:val="009C1F17"/>
    <w:rsid w:val="009C1F5A"/>
    <w:rsid w:val="009C204D"/>
    <w:rsid w:val="009C2176"/>
    <w:rsid w:val="009C2422"/>
    <w:rsid w:val="009C246B"/>
    <w:rsid w:val="009C2483"/>
    <w:rsid w:val="009C2B24"/>
    <w:rsid w:val="009C2C28"/>
    <w:rsid w:val="009C2CA0"/>
    <w:rsid w:val="009C2CBF"/>
    <w:rsid w:val="009C2D65"/>
    <w:rsid w:val="009C2E7B"/>
    <w:rsid w:val="009C2F6A"/>
    <w:rsid w:val="009C2FF9"/>
    <w:rsid w:val="009C305B"/>
    <w:rsid w:val="009C327E"/>
    <w:rsid w:val="009C3380"/>
    <w:rsid w:val="009C34FD"/>
    <w:rsid w:val="009C358B"/>
    <w:rsid w:val="009C35FA"/>
    <w:rsid w:val="009C365F"/>
    <w:rsid w:val="009C37BA"/>
    <w:rsid w:val="009C3800"/>
    <w:rsid w:val="009C380D"/>
    <w:rsid w:val="009C3D45"/>
    <w:rsid w:val="009C3EDD"/>
    <w:rsid w:val="009C4106"/>
    <w:rsid w:val="009C4200"/>
    <w:rsid w:val="009C42A1"/>
    <w:rsid w:val="009C430A"/>
    <w:rsid w:val="009C4697"/>
    <w:rsid w:val="009C484C"/>
    <w:rsid w:val="009C492E"/>
    <w:rsid w:val="009C4A62"/>
    <w:rsid w:val="009C4ADA"/>
    <w:rsid w:val="009C4AF8"/>
    <w:rsid w:val="009C4CE3"/>
    <w:rsid w:val="009C4EEA"/>
    <w:rsid w:val="009C53E6"/>
    <w:rsid w:val="009C540A"/>
    <w:rsid w:val="009C54E0"/>
    <w:rsid w:val="009C59EF"/>
    <w:rsid w:val="009C5AB6"/>
    <w:rsid w:val="009C5D0D"/>
    <w:rsid w:val="009C5E40"/>
    <w:rsid w:val="009C5E8D"/>
    <w:rsid w:val="009C5FDC"/>
    <w:rsid w:val="009C61E2"/>
    <w:rsid w:val="009C6492"/>
    <w:rsid w:val="009C660C"/>
    <w:rsid w:val="009C697A"/>
    <w:rsid w:val="009C6990"/>
    <w:rsid w:val="009C69CB"/>
    <w:rsid w:val="009C6C65"/>
    <w:rsid w:val="009C6DB5"/>
    <w:rsid w:val="009C6E01"/>
    <w:rsid w:val="009C6EC7"/>
    <w:rsid w:val="009C6ECA"/>
    <w:rsid w:val="009C6F77"/>
    <w:rsid w:val="009C7027"/>
    <w:rsid w:val="009C72E9"/>
    <w:rsid w:val="009C7672"/>
    <w:rsid w:val="009C773D"/>
    <w:rsid w:val="009C775D"/>
    <w:rsid w:val="009C77EB"/>
    <w:rsid w:val="009C7831"/>
    <w:rsid w:val="009C78B5"/>
    <w:rsid w:val="009C7933"/>
    <w:rsid w:val="009C7A13"/>
    <w:rsid w:val="009C7A2B"/>
    <w:rsid w:val="009C7B2B"/>
    <w:rsid w:val="009C7C13"/>
    <w:rsid w:val="009C7E59"/>
    <w:rsid w:val="009C7FE4"/>
    <w:rsid w:val="009D0177"/>
    <w:rsid w:val="009D025B"/>
    <w:rsid w:val="009D043D"/>
    <w:rsid w:val="009D049A"/>
    <w:rsid w:val="009D05A5"/>
    <w:rsid w:val="009D05A8"/>
    <w:rsid w:val="009D0843"/>
    <w:rsid w:val="009D091A"/>
    <w:rsid w:val="009D0A68"/>
    <w:rsid w:val="009D0A72"/>
    <w:rsid w:val="009D0B64"/>
    <w:rsid w:val="009D0D35"/>
    <w:rsid w:val="009D0EB6"/>
    <w:rsid w:val="009D10F9"/>
    <w:rsid w:val="009D1136"/>
    <w:rsid w:val="009D1185"/>
    <w:rsid w:val="009D1230"/>
    <w:rsid w:val="009D13D7"/>
    <w:rsid w:val="009D140B"/>
    <w:rsid w:val="009D1578"/>
    <w:rsid w:val="009D1871"/>
    <w:rsid w:val="009D195B"/>
    <w:rsid w:val="009D196D"/>
    <w:rsid w:val="009D1981"/>
    <w:rsid w:val="009D1BA3"/>
    <w:rsid w:val="009D1D8B"/>
    <w:rsid w:val="009D1FA7"/>
    <w:rsid w:val="009D1FB5"/>
    <w:rsid w:val="009D200A"/>
    <w:rsid w:val="009D20D0"/>
    <w:rsid w:val="009D2377"/>
    <w:rsid w:val="009D24A6"/>
    <w:rsid w:val="009D24EF"/>
    <w:rsid w:val="009D2654"/>
    <w:rsid w:val="009D27DD"/>
    <w:rsid w:val="009D28CF"/>
    <w:rsid w:val="009D2975"/>
    <w:rsid w:val="009D2988"/>
    <w:rsid w:val="009D2AE1"/>
    <w:rsid w:val="009D2B07"/>
    <w:rsid w:val="009D2BE5"/>
    <w:rsid w:val="009D2DF5"/>
    <w:rsid w:val="009D2E43"/>
    <w:rsid w:val="009D2EE4"/>
    <w:rsid w:val="009D308A"/>
    <w:rsid w:val="009D3091"/>
    <w:rsid w:val="009D30EB"/>
    <w:rsid w:val="009D3161"/>
    <w:rsid w:val="009D3290"/>
    <w:rsid w:val="009D3432"/>
    <w:rsid w:val="009D3516"/>
    <w:rsid w:val="009D354C"/>
    <w:rsid w:val="009D35F9"/>
    <w:rsid w:val="009D3812"/>
    <w:rsid w:val="009D383E"/>
    <w:rsid w:val="009D3943"/>
    <w:rsid w:val="009D39AC"/>
    <w:rsid w:val="009D3A17"/>
    <w:rsid w:val="009D3A8A"/>
    <w:rsid w:val="009D3BD0"/>
    <w:rsid w:val="009D3BF1"/>
    <w:rsid w:val="009D3C17"/>
    <w:rsid w:val="009D3F18"/>
    <w:rsid w:val="009D4012"/>
    <w:rsid w:val="009D4214"/>
    <w:rsid w:val="009D441F"/>
    <w:rsid w:val="009D44A8"/>
    <w:rsid w:val="009D4542"/>
    <w:rsid w:val="009D4543"/>
    <w:rsid w:val="009D4555"/>
    <w:rsid w:val="009D45E2"/>
    <w:rsid w:val="009D47C9"/>
    <w:rsid w:val="009D4823"/>
    <w:rsid w:val="009D4C35"/>
    <w:rsid w:val="009D4C4B"/>
    <w:rsid w:val="009D4C92"/>
    <w:rsid w:val="009D4FB0"/>
    <w:rsid w:val="009D4FFF"/>
    <w:rsid w:val="009D507B"/>
    <w:rsid w:val="009D5201"/>
    <w:rsid w:val="009D5309"/>
    <w:rsid w:val="009D545E"/>
    <w:rsid w:val="009D5473"/>
    <w:rsid w:val="009D5611"/>
    <w:rsid w:val="009D561D"/>
    <w:rsid w:val="009D5633"/>
    <w:rsid w:val="009D5895"/>
    <w:rsid w:val="009D58E1"/>
    <w:rsid w:val="009D594B"/>
    <w:rsid w:val="009D598A"/>
    <w:rsid w:val="009D5ABC"/>
    <w:rsid w:val="009D5AF8"/>
    <w:rsid w:val="009D5BB3"/>
    <w:rsid w:val="009D5F65"/>
    <w:rsid w:val="009D5F91"/>
    <w:rsid w:val="009D6337"/>
    <w:rsid w:val="009D6785"/>
    <w:rsid w:val="009D6898"/>
    <w:rsid w:val="009D6B49"/>
    <w:rsid w:val="009D6C29"/>
    <w:rsid w:val="009D6D3E"/>
    <w:rsid w:val="009D6DA5"/>
    <w:rsid w:val="009D6FD9"/>
    <w:rsid w:val="009D7137"/>
    <w:rsid w:val="009D7369"/>
    <w:rsid w:val="009D7705"/>
    <w:rsid w:val="009D7838"/>
    <w:rsid w:val="009D798D"/>
    <w:rsid w:val="009D7AA0"/>
    <w:rsid w:val="009D7B59"/>
    <w:rsid w:val="009D7FF6"/>
    <w:rsid w:val="009E0798"/>
    <w:rsid w:val="009E09D5"/>
    <w:rsid w:val="009E0A5D"/>
    <w:rsid w:val="009E0D95"/>
    <w:rsid w:val="009E0F97"/>
    <w:rsid w:val="009E101A"/>
    <w:rsid w:val="009E10BF"/>
    <w:rsid w:val="009E110E"/>
    <w:rsid w:val="009E1225"/>
    <w:rsid w:val="009E1354"/>
    <w:rsid w:val="009E1404"/>
    <w:rsid w:val="009E1501"/>
    <w:rsid w:val="009E1581"/>
    <w:rsid w:val="009E15A3"/>
    <w:rsid w:val="009E1630"/>
    <w:rsid w:val="009E16C3"/>
    <w:rsid w:val="009E1755"/>
    <w:rsid w:val="009E17BA"/>
    <w:rsid w:val="009E1900"/>
    <w:rsid w:val="009E1D35"/>
    <w:rsid w:val="009E1D65"/>
    <w:rsid w:val="009E1E93"/>
    <w:rsid w:val="009E1F98"/>
    <w:rsid w:val="009E1FD8"/>
    <w:rsid w:val="009E2095"/>
    <w:rsid w:val="009E2359"/>
    <w:rsid w:val="009E236A"/>
    <w:rsid w:val="009E25C6"/>
    <w:rsid w:val="009E2625"/>
    <w:rsid w:val="009E26AE"/>
    <w:rsid w:val="009E2872"/>
    <w:rsid w:val="009E2973"/>
    <w:rsid w:val="009E2BDB"/>
    <w:rsid w:val="009E2C61"/>
    <w:rsid w:val="009E2C85"/>
    <w:rsid w:val="009E2CB0"/>
    <w:rsid w:val="009E2D53"/>
    <w:rsid w:val="009E3190"/>
    <w:rsid w:val="009E31A3"/>
    <w:rsid w:val="009E32DA"/>
    <w:rsid w:val="009E32E8"/>
    <w:rsid w:val="009E334C"/>
    <w:rsid w:val="009E340F"/>
    <w:rsid w:val="009E364F"/>
    <w:rsid w:val="009E3686"/>
    <w:rsid w:val="009E3863"/>
    <w:rsid w:val="009E3867"/>
    <w:rsid w:val="009E39DB"/>
    <w:rsid w:val="009E3C70"/>
    <w:rsid w:val="009E3D30"/>
    <w:rsid w:val="009E3D4A"/>
    <w:rsid w:val="009E3DBD"/>
    <w:rsid w:val="009E3F9A"/>
    <w:rsid w:val="009E3FC1"/>
    <w:rsid w:val="009E412F"/>
    <w:rsid w:val="009E422A"/>
    <w:rsid w:val="009E42B6"/>
    <w:rsid w:val="009E43D0"/>
    <w:rsid w:val="009E460C"/>
    <w:rsid w:val="009E47A2"/>
    <w:rsid w:val="009E48C2"/>
    <w:rsid w:val="009E4988"/>
    <w:rsid w:val="009E4A98"/>
    <w:rsid w:val="009E4AB3"/>
    <w:rsid w:val="009E4B47"/>
    <w:rsid w:val="009E4DD6"/>
    <w:rsid w:val="009E4EB8"/>
    <w:rsid w:val="009E502E"/>
    <w:rsid w:val="009E5235"/>
    <w:rsid w:val="009E5318"/>
    <w:rsid w:val="009E5386"/>
    <w:rsid w:val="009E53C4"/>
    <w:rsid w:val="009E55A9"/>
    <w:rsid w:val="009E5632"/>
    <w:rsid w:val="009E577C"/>
    <w:rsid w:val="009E577D"/>
    <w:rsid w:val="009E5866"/>
    <w:rsid w:val="009E5A56"/>
    <w:rsid w:val="009E5E0F"/>
    <w:rsid w:val="009E5EF8"/>
    <w:rsid w:val="009E60DA"/>
    <w:rsid w:val="009E61C5"/>
    <w:rsid w:val="009E6206"/>
    <w:rsid w:val="009E6234"/>
    <w:rsid w:val="009E6305"/>
    <w:rsid w:val="009E631C"/>
    <w:rsid w:val="009E64AC"/>
    <w:rsid w:val="009E64D4"/>
    <w:rsid w:val="009E67A9"/>
    <w:rsid w:val="009E688E"/>
    <w:rsid w:val="009E6A2C"/>
    <w:rsid w:val="009E6A87"/>
    <w:rsid w:val="009E6B01"/>
    <w:rsid w:val="009E6BAB"/>
    <w:rsid w:val="009E6C2E"/>
    <w:rsid w:val="009E6CE3"/>
    <w:rsid w:val="009E6FE1"/>
    <w:rsid w:val="009E72FD"/>
    <w:rsid w:val="009E7855"/>
    <w:rsid w:val="009E7918"/>
    <w:rsid w:val="009E7A72"/>
    <w:rsid w:val="009E7AA3"/>
    <w:rsid w:val="009E7AD9"/>
    <w:rsid w:val="009E7ADC"/>
    <w:rsid w:val="009E7E26"/>
    <w:rsid w:val="009E7EE9"/>
    <w:rsid w:val="009E7F2D"/>
    <w:rsid w:val="009F01FC"/>
    <w:rsid w:val="009F032D"/>
    <w:rsid w:val="009F04C9"/>
    <w:rsid w:val="009F0579"/>
    <w:rsid w:val="009F05E7"/>
    <w:rsid w:val="009F074D"/>
    <w:rsid w:val="009F0787"/>
    <w:rsid w:val="009F0837"/>
    <w:rsid w:val="009F0C93"/>
    <w:rsid w:val="009F0CC3"/>
    <w:rsid w:val="009F0D16"/>
    <w:rsid w:val="009F0F42"/>
    <w:rsid w:val="009F0F68"/>
    <w:rsid w:val="009F1034"/>
    <w:rsid w:val="009F10D1"/>
    <w:rsid w:val="009F1107"/>
    <w:rsid w:val="009F1308"/>
    <w:rsid w:val="009F14E0"/>
    <w:rsid w:val="009F18EA"/>
    <w:rsid w:val="009F1B6D"/>
    <w:rsid w:val="009F1D11"/>
    <w:rsid w:val="009F1D33"/>
    <w:rsid w:val="009F1DB3"/>
    <w:rsid w:val="009F1FF6"/>
    <w:rsid w:val="009F202B"/>
    <w:rsid w:val="009F2495"/>
    <w:rsid w:val="009F24AC"/>
    <w:rsid w:val="009F2BB1"/>
    <w:rsid w:val="009F2C4D"/>
    <w:rsid w:val="009F2CF4"/>
    <w:rsid w:val="009F2DA2"/>
    <w:rsid w:val="009F2DF2"/>
    <w:rsid w:val="009F2EAA"/>
    <w:rsid w:val="009F2ED0"/>
    <w:rsid w:val="009F2EDB"/>
    <w:rsid w:val="009F2FAA"/>
    <w:rsid w:val="009F30B4"/>
    <w:rsid w:val="009F310A"/>
    <w:rsid w:val="009F3478"/>
    <w:rsid w:val="009F37BF"/>
    <w:rsid w:val="009F3A7F"/>
    <w:rsid w:val="009F3AC2"/>
    <w:rsid w:val="009F3ACD"/>
    <w:rsid w:val="009F3BC7"/>
    <w:rsid w:val="009F3BCD"/>
    <w:rsid w:val="009F3D59"/>
    <w:rsid w:val="009F3EFE"/>
    <w:rsid w:val="009F40EB"/>
    <w:rsid w:val="009F4130"/>
    <w:rsid w:val="009F41C2"/>
    <w:rsid w:val="009F433B"/>
    <w:rsid w:val="009F443E"/>
    <w:rsid w:val="009F4514"/>
    <w:rsid w:val="009F45DE"/>
    <w:rsid w:val="009F46A7"/>
    <w:rsid w:val="009F4833"/>
    <w:rsid w:val="009F4868"/>
    <w:rsid w:val="009F4A55"/>
    <w:rsid w:val="009F4A95"/>
    <w:rsid w:val="009F4CC7"/>
    <w:rsid w:val="009F4DEC"/>
    <w:rsid w:val="009F4F42"/>
    <w:rsid w:val="009F5007"/>
    <w:rsid w:val="009F5389"/>
    <w:rsid w:val="009F548D"/>
    <w:rsid w:val="009F5493"/>
    <w:rsid w:val="009F552A"/>
    <w:rsid w:val="009F559E"/>
    <w:rsid w:val="009F55CF"/>
    <w:rsid w:val="009F5797"/>
    <w:rsid w:val="009F57D0"/>
    <w:rsid w:val="009F57FE"/>
    <w:rsid w:val="009F5801"/>
    <w:rsid w:val="009F5842"/>
    <w:rsid w:val="009F591D"/>
    <w:rsid w:val="009F5D15"/>
    <w:rsid w:val="009F5EB7"/>
    <w:rsid w:val="009F5F03"/>
    <w:rsid w:val="009F5F91"/>
    <w:rsid w:val="009F62B2"/>
    <w:rsid w:val="009F6559"/>
    <w:rsid w:val="009F6699"/>
    <w:rsid w:val="009F6845"/>
    <w:rsid w:val="009F684B"/>
    <w:rsid w:val="009F68A4"/>
    <w:rsid w:val="009F68A8"/>
    <w:rsid w:val="009F6A53"/>
    <w:rsid w:val="009F6C00"/>
    <w:rsid w:val="009F6D62"/>
    <w:rsid w:val="009F6EA1"/>
    <w:rsid w:val="009F6EB1"/>
    <w:rsid w:val="009F7058"/>
    <w:rsid w:val="009F709F"/>
    <w:rsid w:val="009F70F8"/>
    <w:rsid w:val="009F71AB"/>
    <w:rsid w:val="009F7324"/>
    <w:rsid w:val="009F757F"/>
    <w:rsid w:val="009F759F"/>
    <w:rsid w:val="009F775C"/>
    <w:rsid w:val="009F7A1E"/>
    <w:rsid w:val="009F7B42"/>
    <w:rsid w:val="009F7C72"/>
    <w:rsid w:val="009F7EFA"/>
    <w:rsid w:val="009F7FB7"/>
    <w:rsid w:val="00A000AD"/>
    <w:rsid w:val="00A000F3"/>
    <w:rsid w:val="00A001C5"/>
    <w:rsid w:val="00A002A4"/>
    <w:rsid w:val="00A0057C"/>
    <w:rsid w:val="00A00721"/>
    <w:rsid w:val="00A0079C"/>
    <w:rsid w:val="00A007FB"/>
    <w:rsid w:val="00A007FF"/>
    <w:rsid w:val="00A00A8B"/>
    <w:rsid w:val="00A00B87"/>
    <w:rsid w:val="00A00B9E"/>
    <w:rsid w:val="00A00BA7"/>
    <w:rsid w:val="00A00F39"/>
    <w:rsid w:val="00A012CE"/>
    <w:rsid w:val="00A0186B"/>
    <w:rsid w:val="00A01A73"/>
    <w:rsid w:val="00A01C7B"/>
    <w:rsid w:val="00A02161"/>
    <w:rsid w:val="00A02166"/>
    <w:rsid w:val="00A02377"/>
    <w:rsid w:val="00A025FA"/>
    <w:rsid w:val="00A0266D"/>
    <w:rsid w:val="00A02752"/>
    <w:rsid w:val="00A027D4"/>
    <w:rsid w:val="00A02888"/>
    <w:rsid w:val="00A028FB"/>
    <w:rsid w:val="00A0298B"/>
    <w:rsid w:val="00A02B07"/>
    <w:rsid w:val="00A02BE6"/>
    <w:rsid w:val="00A02CE4"/>
    <w:rsid w:val="00A030BD"/>
    <w:rsid w:val="00A0312A"/>
    <w:rsid w:val="00A03240"/>
    <w:rsid w:val="00A03370"/>
    <w:rsid w:val="00A036F7"/>
    <w:rsid w:val="00A037DF"/>
    <w:rsid w:val="00A03835"/>
    <w:rsid w:val="00A03976"/>
    <w:rsid w:val="00A03A85"/>
    <w:rsid w:val="00A03E43"/>
    <w:rsid w:val="00A04202"/>
    <w:rsid w:val="00A0437B"/>
    <w:rsid w:val="00A043E3"/>
    <w:rsid w:val="00A0472C"/>
    <w:rsid w:val="00A0482E"/>
    <w:rsid w:val="00A0483B"/>
    <w:rsid w:val="00A049F9"/>
    <w:rsid w:val="00A04A6B"/>
    <w:rsid w:val="00A04AC9"/>
    <w:rsid w:val="00A04B98"/>
    <w:rsid w:val="00A04D6D"/>
    <w:rsid w:val="00A05007"/>
    <w:rsid w:val="00A050D3"/>
    <w:rsid w:val="00A05189"/>
    <w:rsid w:val="00A0527C"/>
    <w:rsid w:val="00A0527D"/>
    <w:rsid w:val="00A05291"/>
    <w:rsid w:val="00A052D5"/>
    <w:rsid w:val="00A053CD"/>
    <w:rsid w:val="00A055B6"/>
    <w:rsid w:val="00A055DF"/>
    <w:rsid w:val="00A0561D"/>
    <w:rsid w:val="00A0570B"/>
    <w:rsid w:val="00A05751"/>
    <w:rsid w:val="00A05773"/>
    <w:rsid w:val="00A0590E"/>
    <w:rsid w:val="00A059D7"/>
    <w:rsid w:val="00A05A51"/>
    <w:rsid w:val="00A05B00"/>
    <w:rsid w:val="00A05B08"/>
    <w:rsid w:val="00A05CDD"/>
    <w:rsid w:val="00A05D61"/>
    <w:rsid w:val="00A05F7E"/>
    <w:rsid w:val="00A0605A"/>
    <w:rsid w:val="00A0609C"/>
    <w:rsid w:val="00A060E0"/>
    <w:rsid w:val="00A06152"/>
    <w:rsid w:val="00A06225"/>
    <w:rsid w:val="00A06670"/>
    <w:rsid w:val="00A0668C"/>
    <w:rsid w:val="00A0688A"/>
    <w:rsid w:val="00A06966"/>
    <w:rsid w:val="00A069F0"/>
    <w:rsid w:val="00A06AA4"/>
    <w:rsid w:val="00A06AB8"/>
    <w:rsid w:val="00A06C31"/>
    <w:rsid w:val="00A06C52"/>
    <w:rsid w:val="00A06C96"/>
    <w:rsid w:val="00A0706E"/>
    <w:rsid w:val="00A070E0"/>
    <w:rsid w:val="00A071D0"/>
    <w:rsid w:val="00A0728D"/>
    <w:rsid w:val="00A07317"/>
    <w:rsid w:val="00A0731E"/>
    <w:rsid w:val="00A075E4"/>
    <w:rsid w:val="00A07726"/>
    <w:rsid w:val="00A0773E"/>
    <w:rsid w:val="00A0774D"/>
    <w:rsid w:val="00A077C5"/>
    <w:rsid w:val="00A0784F"/>
    <w:rsid w:val="00A079D3"/>
    <w:rsid w:val="00A079FC"/>
    <w:rsid w:val="00A07A21"/>
    <w:rsid w:val="00A07A99"/>
    <w:rsid w:val="00A07CB4"/>
    <w:rsid w:val="00A07DC4"/>
    <w:rsid w:val="00A07DFE"/>
    <w:rsid w:val="00A07ECF"/>
    <w:rsid w:val="00A07F21"/>
    <w:rsid w:val="00A07FB9"/>
    <w:rsid w:val="00A07FCA"/>
    <w:rsid w:val="00A10266"/>
    <w:rsid w:val="00A1031D"/>
    <w:rsid w:val="00A1034D"/>
    <w:rsid w:val="00A10392"/>
    <w:rsid w:val="00A10641"/>
    <w:rsid w:val="00A10691"/>
    <w:rsid w:val="00A107C2"/>
    <w:rsid w:val="00A1092F"/>
    <w:rsid w:val="00A10A1F"/>
    <w:rsid w:val="00A10A88"/>
    <w:rsid w:val="00A10B00"/>
    <w:rsid w:val="00A10B3C"/>
    <w:rsid w:val="00A10E57"/>
    <w:rsid w:val="00A10EF4"/>
    <w:rsid w:val="00A111D9"/>
    <w:rsid w:val="00A1151E"/>
    <w:rsid w:val="00A117AE"/>
    <w:rsid w:val="00A1188E"/>
    <w:rsid w:val="00A12147"/>
    <w:rsid w:val="00A1261D"/>
    <w:rsid w:val="00A1271F"/>
    <w:rsid w:val="00A12766"/>
    <w:rsid w:val="00A1285B"/>
    <w:rsid w:val="00A1287F"/>
    <w:rsid w:val="00A129F4"/>
    <w:rsid w:val="00A12B88"/>
    <w:rsid w:val="00A12D0D"/>
    <w:rsid w:val="00A12DD0"/>
    <w:rsid w:val="00A1324E"/>
    <w:rsid w:val="00A13282"/>
    <w:rsid w:val="00A132C4"/>
    <w:rsid w:val="00A134D5"/>
    <w:rsid w:val="00A135B6"/>
    <w:rsid w:val="00A1375C"/>
    <w:rsid w:val="00A13860"/>
    <w:rsid w:val="00A139F2"/>
    <w:rsid w:val="00A13AA3"/>
    <w:rsid w:val="00A13DE3"/>
    <w:rsid w:val="00A140B1"/>
    <w:rsid w:val="00A14154"/>
    <w:rsid w:val="00A141C0"/>
    <w:rsid w:val="00A1425C"/>
    <w:rsid w:val="00A143F5"/>
    <w:rsid w:val="00A145B9"/>
    <w:rsid w:val="00A147F3"/>
    <w:rsid w:val="00A148CA"/>
    <w:rsid w:val="00A14A17"/>
    <w:rsid w:val="00A14A2B"/>
    <w:rsid w:val="00A14AB7"/>
    <w:rsid w:val="00A14D43"/>
    <w:rsid w:val="00A14E76"/>
    <w:rsid w:val="00A14ED5"/>
    <w:rsid w:val="00A150F9"/>
    <w:rsid w:val="00A15148"/>
    <w:rsid w:val="00A1520B"/>
    <w:rsid w:val="00A15255"/>
    <w:rsid w:val="00A1527D"/>
    <w:rsid w:val="00A153CA"/>
    <w:rsid w:val="00A153FD"/>
    <w:rsid w:val="00A15446"/>
    <w:rsid w:val="00A154BC"/>
    <w:rsid w:val="00A155DD"/>
    <w:rsid w:val="00A15623"/>
    <w:rsid w:val="00A15638"/>
    <w:rsid w:val="00A15650"/>
    <w:rsid w:val="00A15684"/>
    <w:rsid w:val="00A156DF"/>
    <w:rsid w:val="00A15737"/>
    <w:rsid w:val="00A15840"/>
    <w:rsid w:val="00A1591E"/>
    <w:rsid w:val="00A1594F"/>
    <w:rsid w:val="00A15A50"/>
    <w:rsid w:val="00A15B03"/>
    <w:rsid w:val="00A15B83"/>
    <w:rsid w:val="00A15DB9"/>
    <w:rsid w:val="00A16219"/>
    <w:rsid w:val="00A162AD"/>
    <w:rsid w:val="00A163FB"/>
    <w:rsid w:val="00A16464"/>
    <w:rsid w:val="00A1646F"/>
    <w:rsid w:val="00A164B3"/>
    <w:rsid w:val="00A1654A"/>
    <w:rsid w:val="00A166EB"/>
    <w:rsid w:val="00A16972"/>
    <w:rsid w:val="00A16ABF"/>
    <w:rsid w:val="00A16AE1"/>
    <w:rsid w:val="00A16BB5"/>
    <w:rsid w:val="00A16C4C"/>
    <w:rsid w:val="00A16CF9"/>
    <w:rsid w:val="00A16E1C"/>
    <w:rsid w:val="00A16E7F"/>
    <w:rsid w:val="00A17066"/>
    <w:rsid w:val="00A17321"/>
    <w:rsid w:val="00A17544"/>
    <w:rsid w:val="00A176AC"/>
    <w:rsid w:val="00A176D9"/>
    <w:rsid w:val="00A17778"/>
    <w:rsid w:val="00A178C1"/>
    <w:rsid w:val="00A17905"/>
    <w:rsid w:val="00A17992"/>
    <w:rsid w:val="00A179CA"/>
    <w:rsid w:val="00A17A26"/>
    <w:rsid w:val="00A17D37"/>
    <w:rsid w:val="00A17D5E"/>
    <w:rsid w:val="00A17FAA"/>
    <w:rsid w:val="00A201B0"/>
    <w:rsid w:val="00A201D8"/>
    <w:rsid w:val="00A202C2"/>
    <w:rsid w:val="00A20307"/>
    <w:rsid w:val="00A2050D"/>
    <w:rsid w:val="00A2068A"/>
    <w:rsid w:val="00A206BF"/>
    <w:rsid w:val="00A207C0"/>
    <w:rsid w:val="00A20919"/>
    <w:rsid w:val="00A2097F"/>
    <w:rsid w:val="00A20B84"/>
    <w:rsid w:val="00A20C21"/>
    <w:rsid w:val="00A20DB1"/>
    <w:rsid w:val="00A2128B"/>
    <w:rsid w:val="00A2149E"/>
    <w:rsid w:val="00A2168D"/>
    <w:rsid w:val="00A21716"/>
    <w:rsid w:val="00A21765"/>
    <w:rsid w:val="00A2187E"/>
    <w:rsid w:val="00A21966"/>
    <w:rsid w:val="00A21976"/>
    <w:rsid w:val="00A21A2A"/>
    <w:rsid w:val="00A21A85"/>
    <w:rsid w:val="00A21BE8"/>
    <w:rsid w:val="00A21DFF"/>
    <w:rsid w:val="00A21FC4"/>
    <w:rsid w:val="00A220D2"/>
    <w:rsid w:val="00A2239E"/>
    <w:rsid w:val="00A22567"/>
    <w:rsid w:val="00A225E9"/>
    <w:rsid w:val="00A227A2"/>
    <w:rsid w:val="00A227B7"/>
    <w:rsid w:val="00A228F1"/>
    <w:rsid w:val="00A22906"/>
    <w:rsid w:val="00A2298F"/>
    <w:rsid w:val="00A22C04"/>
    <w:rsid w:val="00A22CF2"/>
    <w:rsid w:val="00A22D54"/>
    <w:rsid w:val="00A230E6"/>
    <w:rsid w:val="00A23392"/>
    <w:rsid w:val="00A2369B"/>
    <w:rsid w:val="00A236A5"/>
    <w:rsid w:val="00A236DB"/>
    <w:rsid w:val="00A2382C"/>
    <w:rsid w:val="00A239A3"/>
    <w:rsid w:val="00A23B7E"/>
    <w:rsid w:val="00A23C5D"/>
    <w:rsid w:val="00A23E1B"/>
    <w:rsid w:val="00A23E80"/>
    <w:rsid w:val="00A23E8B"/>
    <w:rsid w:val="00A23EB6"/>
    <w:rsid w:val="00A23EF5"/>
    <w:rsid w:val="00A23FE8"/>
    <w:rsid w:val="00A2411B"/>
    <w:rsid w:val="00A24132"/>
    <w:rsid w:val="00A2416F"/>
    <w:rsid w:val="00A241E0"/>
    <w:rsid w:val="00A2439F"/>
    <w:rsid w:val="00A244D1"/>
    <w:rsid w:val="00A245FA"/>
    <w:rsid w:val="00A24684"/>
    <w:rsid w:val="00A246F7"/>
    <w:rsid w:val="00A2486D"/>
    <w:rsid w:val="00A24917"/>
    <w:rsid w:val="00A24996"/>
    <w:rsid w:val="00A24A28"/>
    <w:rsid w:val="00A24A30"/>
    <w:rsid w:val="00A24CDA"/>
    <w:rsid w:val="00A24CFD"/>
    <w:rsid w:val="00A24D02"/>
    <w:rsid w:val="00A24DAF"/>
    <w:rsid w:val="00A24DBE"/>
    <w:rsid w:val="00A24EE8"/>
    <w:rsid w:val="00A24FD8"/>
    <w:rsid w:val="00A25034"/>
    <w:rsid w:val="00A2522F"/>
    <w:rsid w:val="00A252D8"/>
    <w:rsid w:val="00A2533E"/>
    <w:rsid w:val="00A25378"/>
    <w:rsid w:val="00A25381"/>
    <w:rsid w:val="00A2555A"/>
    <w:rsid w:val="00A2565E"/>
    <w:rsid w:val="00A25701"/>
    <w:rsid w:val="00A257BC"/>
    <w:rsid w:val="00A257D7"/>
    <w:rsid w:val="00A257FA"/>
    <w:rsid w:val="00A257FC"/>
    <w:rsid w:val="00A258AC"/>
    <w:rsid w:val="00A258FA"/>
    <w:rsid w:val="00A2592A"/>
    <w:rsid w:val="00A25977"/>
    <w:rsid w:val="00A259F9"/>
    <w:rsid w:val="00A25A1C"/>
    <w:rsid w:val="00A25AB5"/>
    <w:rsid w:val="00A25B5E"/>
    <w:rsid w:val="00A25CDA"/>
    <w:rsid w:val="00A25CDF"/>
    <w:rsid w:val="00A25E06"/>
    <w:rsid w:val="00A25F99"/>
    <w:rsid w:val="00A266DB"/>
    <w:rsid w:val="00A26741"/>
    <w:rsid w:val="00A2678E"/>
    <w:rsid w:val="00A26A0B"/>
    <w:rsid w:val="00A26A0C"/>
    <w:rsid w:val="00A26B08"/>
    <w:rsid w:val="00A270F4"/>
    <w:rsid w:val="00A271AA"/>
    <w:rsid w:val="00A271DF"/>
    <w:rsid w:val="00A27200"/>
    <w:rsid w:val="00A27288"/>
    <w:rsid w:val="00A2736E"/>
    <w:rsid w:val="00A273C3"/>
    <w:rsid w:val="00A27681"/>
    <w:rsid w:val="00A27752"/>
    <w:rsid w:val="00A27B79"/>
    <w:rsid w:val="00A27D91"/>
    <w:rsid w:val="00A27FE7"/>
    <w:rsid w:val="00A301A1"/>
    <w:rsid w:val="00A3021A"/>
    <w:rsid w:val="00A30402"/>
    <w:rsid w:val="00A30634"/>
    <w:rsid w:val="00A30711"/>
    <w:rsid w:val="00A3073A"/>
    <w:rsid w:val="00A30783"/>
    <w:rsid w:val="00A308A0"/>
    <w:rsid w:val="00A308E4"/>
    <w:rsid w:val="00A30972"/>
    <w:rsid w:val="00A309CB"/>
    <w:rsid w:val="00A30A87"/>
    <w:rsid w:val="00A30BFF"/>
    <w:rsid w:val="00A31044"/>
    <w:rsid w:val="00A31072"/>
    <w:rsid w:val="00A31159"/>
    <w:rsid w:val="00A3120C"/>
    <w:rsid w:val="00A3127D"/>
    <w:rsid w:val="00A31293"/>
    <w:rsid w:val="00A3146E"/>
    <w:rsid w:val="00A31681"/>
    <w:rsid w:val="00A317A6"/>
    <w:rsid w:val="00A31854"/>
    <w:rsid w:val="00A31A0E"/>
    <w:rsid w:val="00A31A2F"/>
    <w:rsid w:val="00A31A7A"/>
    <w:rsid w:val="00A31AC9"/>
    <w:rsid w:val="00A31B97"/>
    <w:rsid w:val="00A31C72"/>
    <w:rsid w:val="00A31CB5"/>
    <w:rsid w:val="00A31D46"/>
    <w:rsid w:val="00A31EC9"/>
    <w:rsid w:val="00A320D3"/>
    <w:rsid w:val="00A320F3"/>
    <w:rsid w:val="00A3215E"/>
    <w:rsid w:val="00A32294"/>
    <w:rsid w:val="00A322DF"/>
    <w:rsid w:val="00A32634"/>
    <w:rsid w:val="00A32785"/>
    <w:rsid w:val="00A32983"/>
    <w:rsid w:val="00A32A97"/>
    <w:rsid w:val="00A32C20"/>
    <w:rsid w:val="00A32D12"/>
    <w:rsid w:val="00A32E66"/>
    <w:rsid w:val="00A33034"/>
    <w:rsid w:val="00A330F7"/>
    <w:rsid w:val="00A33172"/>
    <w:rsid w:val="00A33233"/>
    <w:rsid w:val="00A33277"/>
    <w:rsid w:val="00A332AD"/>
    <w:rsid w:val="00A332ED"/>
    <w:rsid w:val="00A33655"/>
    <w:rsid w:val="00A33684"/>
    <w:rsid w:val="00A336AD"/>
    <w:rsid w:val="00A337AA"/>
    <w:rsid w:val="00A33829"/>
    <w:rsid w:val="00A33851"/>
    <w:rsid w:val="00A33B5C"/>
    <w:rsid w:val="00A33BDF"/>
    <w:rsid w:val="00A33DD0"/>
    <w:rsid w:val="00A33DF7"/>
    <w:rsid w:val="00A33E0B"/>
    <w:rsid w:val="00A33FC1"/>
    <w:rsid w:val="00A340A1"/>
    <w:rsid w:val="00A34180"/>
    <w:rsid w:val="00A34230"/>
    <w:rsid w:val="00A342B1"/>
    <w:rsid w:val="00A3443E"/>
    <w:rsid w:val="00A34685"/>
    <w:rsid w:val="00A346CA"/>
    <w:rsid w:val="00A34712"/>
    <w:rsid w:val="00A34762"/>
    <w:rsid w:val="00A347AB"/>
    <w:rsid w:val="00A3485D"/>
    <w:rsid w:val="00A348A4"/>
    <w:rsid w:val="00A348E2"/>
    <w:rsid w:val="00A34A35"/>
    <w:rsid w:val="00A34A3E"/>
    <w:rsid w:val="00A34BD3"/>
    <w:rsid w:val="00A34DE2"/>
    <w:rsid w:val="00A35097"/>
    <w:rsid w:val="00A3540C"/>
    <w:rsid w:val="00A356A3"/>
    <w:rsid w:val="00A358AB"/>
    <w:rsid w:val="00A35B82"/>
    <w:rsid w:val="00A35BAD"/>
    <w:rsid w:val="00A360FC"/>
    <w:rsid w:val="00A36161"/>
    <w:rsid w:val="00A3625A"/>
    <w:rsid w:val="00A364AC"/>
    <w:rsid w:val="00A36588"/>
    <w:rsid w:val="00A366B5"/>
    <w:rsid w:val="00A366B8"/>
    <w:rsid w:val="00A3678A"/>
    <w:rsid w:val="00A3687B"/>
    <w:rsid w:val="00A36941"/>
    <w:rsid w:val="00A3695A"/>
    <w:rsid w:val="00A369C4"/>
    <w:rsid w:val="00A36B71"/>
    <w:rsid w:val="00A36FCD"/>
    <w:rsid w:val="00A36FEF"/>
    <w:rsid w:val="00A37069"/>
    <w:rsid w:val="00A3708E"/>
    <w:rsid w:val="00A37141"/>
    <w:rsid w:val="00A373F4"/>
    <w:rsid w:val="00A37515"/>
    <w:rsid w:val="00A37B31"/>
    <w:rsid w:val="00A37C98"/>
    <w:rsid w:val="00A37EAB"/>
    <w:rsid w:val="00A400E7"/>
    <w:rsid w:val="00A401D7"/>
    <w:rsid w:val="00A402D4"/>
    <w:rsid w:val="00A40300"/>
    <w:rsid w:val="00A403AF"/>
    <w:rsid w:val="00A406AB"/>
    <w:rsid w:val="00A408DA"/>
    <w:rsid w:val="00A4091D"/>
    <w:rsid w:val="00A40A98"/>
    <w:rsid w:val="00A40ACC"/>
    <w:rsid w:val="00A40ADC"/>
    <w:rsid w:val="00A40C65"/>
    <w:rsid w:val="00A40C90"/>
    <w:rsid w:val="00A40DAB"/>
    <w:rsid w:val="00A40E47"/>
    <w:rsid w:val="00A410CD"/>
    <w:rsid w:val="00A412DB"/>
    <w:rsid w:val="00A412FA"/>
    <w:rsid w:val="00A4130C"/>
    <w:rsid w:val="00A416A1"/>
    <w:rsid w:val="00A416BA"/>
    <w:rsid w:val="00A416F7"/>
    <w:rsid w:val="00A417E4"/>
    <w:rsid w:val="00A41C6F"/>
    <w:rsid w:val="00A41D05"/>
    <w:rsid w:val="00A41D32"/>
    <w:rsid w:val="00A41DAC"/>
    <w:rsid w:val="00A41E0D"/>
    <w:rsid w:val="00A4208D"/>
    <w:rsid w:val="00A426A1"/>
    <w:rsid w:val="00A42757"/>
    <w:rsid w:val="00A427F7"/>
    <w:rsid w:val="00A428FD"/>
    <w:rsid w:val="00A4292E"/>
    <w:rsid w:val="00A429ED"/>
    <w:rsid w:val="00A42A40"/>
    <w:rsid w:val="00A42B2A"/>
    <w:rsid w:val="00A42E14"/>
    <w:rsid w:val="00A42E1A"/>
    <w:rsid w:val="00A42F07"/>
    <w:rsid w:val="00A43113"/>
    <w:rsid w:val="00A4319A"/>
    <w:rsid w:val="00A4331B"/>
    <w:rsid w:val="00A4333E"/>
    <w:rsid w:val="00A433B8"/>
    <w:rsid w:val="00A433DF"/>
    <w:rsid w:val="00A43523"/>
    <w:rsid w:val="00A4369E"/>
    <w:rsid w:val="00A436F8"/>
    <w:rsid w:val="00A43719"/>
    <w:rsid w:val="00A437A8"/>
    <w:rsid w:val="00A43B44"/>
    <w:rsid w:val="00A43C2E"/>
    <w:rsid w:val="00A441C2"/>
    <w:rsid w:val="00A44716"/>
    <w:rsid w:val="00A44740"/>
    <w:rsid w:val="00A448D7"/>
    <w:rsid w:val="00A4497F"/>
    <w:rsid w:val="00A4499F"/>
    <w:rsid w:val="00A44B6C"/>
    <w:rsid w:val="00A44B93"/>
    <w:rsid w:val="00A44DA1"/>
    <w:rsid w:val="00A44EC6"/>
    <w:rsid w:val="00A44FC9"/>
    <w:rsid w:val="00A4508D"/>
    <w:rsid w:val="00A45753"/>
    <w:rsid w:val="00A45968"/>
    <w:rsid w:val="00A45CF8"/>
    <w:rsid w:val="00A45F67"/>
    <w:rsid w:val="00A46246"/>
    <w:rsid w:val="00A463AB"/>
    <w:rsid w:val="00A4643D"/>
    <w:rsid w:val="00A467AA"/>
    <w:rsid w:val="00A46BA0"/>
    <w:rsid w:val="00A470BA"/>
    <w:rsid w:val="00A4766D"/>
    <w:rsid w:val="00A4768A"/>
    <w:rsid w:val="00A4777A"/>
    <w:rsid w:val="00A477D1"/>
    <w:rsid w:val="00A479A1"/>
    <w:rsid w:val="00A479AF"/>
    <w:rsid w:val="00A47A75"/>
    <w:rsid w:val="00A47DC5"/>
    <w:rsid w:val="00A47FF0"/>
    <w:rsid w:val="00A500C8"/>
    <w:rsid w:val="00A500E0"/>
    <w:rsid w:val="00A50118"/>
    <w:rsid w:val="00A5022A"/>
    <w:rsid w:val="00A50386"/>
    <w:rsid w:val="00A505D5"/>
    <w:rsid w:val="00A5067E"/>
    <w:rsid w:val="00A507E7"/>
    <w:rsid w:val="00A50836"/>
    <w:rsid w:val="00A50AFA"/>
    <w:rsid w:val="00A50D03"/>
    <w:rsid w:val="00A50D07"/>
    <w:rsid w:val="00A50E20"/>
    <w:rsid w:val="00A51463"/>
    <w:rsid w:val="00A51556"/>
    <w:rsid w:val="00A517DA"/>
    <w:rsid w:val="00A51813"/>
    <w:rsid w:val="00A5191C"/>
    <w:rsid w:val="00A51A35"/>
    <w:rsid w:val="00A51ACC"/>
    <w:rsid w:val="00A51C90"/>
    <w:rsid w:val="00A51D40"/>
    <w:rsid w:val="00A51D91"/>
    <w:rsid w:val="00A52036"/>
    <w:rsid w:val="00A52375"/>
    <w:rsid w:val="00A523CF"/>
    <w:rsid w:val="00A52634"/>
    <w:rsid w:val="00A52805"/>
    <w:rsid w:val="00A5283B"/>
    <w:rsid w:val="00A52891"/>
    <w:rsid w:val="00A528F3"/>
    <w:rsid w:val="00A52A00"/>
    <w:rsid w:val="00A52AA8"/>
    <w:rsid w:val="00A52C25"/>
    <w:rsid w:val="00A52CAF"/>
    <w:rsid w:val="00A52CB4"/>
    <w:rsid w:val="00A52CEB"/>
    <w:rsid w:val="00A52E6A"/>
    <w:rsid w:val="00A52E72"/>
    <w:rsid w:val="00A52F7F"/>
    <w:rsid w:val="00A52FC5"/>
    <w:rsid w:val="00A53044"/>
    <w:rsid w:val="00A53051"/>
    <w:rsid w:val="00A5306E"/>
    <w:rsid w:val="00A53192"/>
    <w:rsid w:val="00A532CF"/>
    <w:rsid w:val="00A533A4"/>
    <w:rsid w:val="00A53480"/>
    <w:rsid w:val="00A534F4"/>
    <w:rsid w:val="00A53571"/>
    <w:rsid w:val="00A535D2"/>
    <w:rsid w:val="00A53854"/>
    <w:rsid w:val="00A53932"/>
    <w:rsid w:val="00A53AB3"/>
    <w:rsid w:val="00A53B85"/>
    <w:rsid w:val="00A53BEA"/>
    <w:rsid w:val="00A53EAC"/>
    <w:rsid w:val="00A53F3C"/>
    <w:rsid w:val="00A53F7D"/>
    <w:rsid w:val="00A54098"/>
    <w:rsid w:val="00A540E1"/>
    <w:rsid w:val="00A542AC"/>
    <w:rsid w:val="00A544FC"/>
    <w:rsid w:val="00A545AD"/>
    <w:rsid w:val="00A54639"/>
    <w:rsid w:val="00A547FB"/>
    <w:rsid w:val="00A54928"/>
    <w:rsid w:val="00A549F8"/>
    <w:rsid w:val="00A54D16"/>
    <w:rsid w:val="00A54D98"/>
    <w:rsid w:val="00A54E20"/>
    <w:rsid w:val="00A54ECF"/>
    <w:rsid w:val="00A5500D"/>
    <w:rsid w:val="00A5506D"/>
    <w:rsid w:val="00A55174"/>
    <w:rsid w:val="00A551BB"/>
    <w:rsid w:val="00A553BF"/>
    <w:rsid w:val="00A5555F"/>
    <w:rsid w:val="00A556BD"/>
    <w:rsid w:val="00A556F4"/>
    <w:rsid w:val="00A55769"/>
    <w:rsid w:val="00A55A62"/>
    <w:rsid w:val="00A55ADB"/>
    <w:rsid w:val="00A55BC3"/>
    <w:rsid w:val="00A55F89"/>
    <w:rsid w:val="00A55F8A"/>
    <w:rsid w:val="00A56016"/>
    <w:rsid w:val="00A56214"/>
    <w:rsid w:val="00A56601"/>
    <w:rsid w:val="00A5677B"/>
    <w:rsid w:val="00A567A3"/>
    <w:rsid w:val="00A56859"/>
    <w:rsid w:val="00A568FF"/>
    <w:rsid w:val="00A56BEA"/>
    <w:rsid w:val="00A56CAB"/>
    <w:rsid w:val="00A56D0A"/>
    <w:rsid w:val="00A56EEF"/>
    <w:rsid w:val="00A56F02"/>
    <w:rsid w:val="00A56F52"/>
    <w:rsid w:val="00A56F79"/>
    <w:rsid w:val="00A5703E"/>
    <w:rsid w:val="00A57070"/>
    <w:rsid w:val="00A570CE"/>
    <w:rsid w:val="00A571F6"/>
    <w:rsid w:val="00A57329"/>
    <w:rsid w:val="00A57387"/>
    <w:rsid w:val="00A5741E"/>
    <w:rsid w:val="00A57566"/>
    <w:rsid w:val="00A57A04"/>
    <w:rsid w:val="00A57B37"/>
    <w:rsid w:val="00A57E98"/>
    <w:rsid w:val="00A57EE4"/>
    <w:rsid w:val="00A60292"/>
    <w:rsid w:val="00A603A5"/>
    <w:rsid w:val="00A60658"/>
    <w:rsid w:val="00A6090A"/>
    <w:rsid w:val="00A60BDB"/>
    <w:rsid w:val="00A60C18"/>
    <w:rsid w:val="00A60E51"/>
    <w:rsid w:val="00A60EB2"/>
    <w:rsid w:val="00A61043"/>
    <w:rsid w:val="00A61210"/>
    <w:rsid w:val="00A61354"/>
    <w:rsid w:val="00A61360"/>
    <w:rsid w:val="00A6177D"/>
    <w:rsid w:val="00A6187A"/>
    <w:rsid w:val="00A6190D"/>
    <w:rsid w:val="00A61B66"/>
    <w:rsid w:val="00A61C17"/>
    <w:rsid w:val="00A61E40"/>
    <w:rsid w:val="00A61E79"/>
    <w:rsid w:val="00A61FD8"/>
    <w:rsid w:val="00A62100"/>
    <w:rsid w:val="00A621D6"/>
    <w:rsid w:val="00A622D4"/>
    <w:rsid w:val="00A6230B"/>
    <w:rsid w:val="00A6263B"/>
    <w:rsid w:val="00A62714"/>
    <w:rsid w:val="00A627AB"/>
    <w:rsid w:val="00A6290C"/>
    <w:rsid w:val="00A62979"/>
    <w:rsid w:val="00A629B0"/>
    <w:rsid w:val="00A62A3D"/>
    <w:rsid w:val="00A62A84"/>
    <w:rsid w:val="00A62D24"/>
    <w:rsid w:val="00A62DD6"/>
    <w:rsid w:val="00A62E1D"/>
    <w:rsid w:val="00A632D6"/>
    <w:rsid w:val="00A632EE"/>
    <w:rsid w:val="00A63302"/>
    <w:rsid w:val="00A63674"/>
    <w:rsid w:val="00A63718"/>
    <w:rsid w:val="00A6387E"/>
    <w:rsid w:val="00A638AF"/>
    <w:rsid w:val="00A63AFF"/>
    <w:rsid w:val="00A63BEC"/>
    <w:rsid w:val="00A63CB2"/>
    <w:rsid w:val="00A63D2C"/>
    <w:rsid w:val="00A63E07"/>
    <w:rsid w:val="00A63E22"/>
    <w:rsid w:val="00A63FD4"/>
    <w:rsid w:val="00A6413E"/>
    <w:rsid w:val="00A64168"/>
    <w:rsid w:val="00A64377"/>
    <w:rsid w:val="00A64533"/>
    <w:rsid w:val="00A64695"/>
    <w:rsid w:val="00A647FC"/>
    <w:rsid w:val="00A64D0C"/>
    <w:rsid w:val="00A64D26"/>
    <w:rsid w:val="00A651C4"/>
    <w:rsid w:val="00A6533D"/>
    <w:rsid w:val="00A6535B"/>
    <w:rsid w:val="00A6540B"/>
    <w:rsid w:val="00A65445"/>
    <w:rsid w:val="00A655AA"/>
    <w:rsid w:val="00A65A4C"/>
    <w:rsid w:val="00A65E59"/>
    <w:rsid w:val="00A6633B"/>
    <w:rsid w:val="00A664A9"/>
    <w:rsid w:val="00A66579"/>
    <w:rsid w:val="00A6661D"/>
    <w:rsid w:val="00A667F2"/>
    <w:rsid w:val="00A669C1"/>
    <w:rsid w:val="00A66AC1"/>
    <w:rsid w:val="00A66E18"/>
    <w:rsid w:val="00A66E88"/>
    <w:rsid w:val="00A66E9D"/>
    <w:rsid w:val="00A66EF0"/>
    <w:rsid w:val="00A67074"/>
    <w:rsid w:val="00A67190"/>
    <w:rsid w:val="00A672F1"/>
    <w:rsid w:val="00A67440"/>
    <w:rsid w:val="00A67560"/>
    <w:rsid w:val="00A67775"/>
    <w:rsid w:val="00A6783A"/>
    <w:rsid w:val="00A679A4"/>
    <w:rsid w:val="00A67AA8"/>
    <w:rsid w:val="00A67B00"/>
    <w:rsid w:val="00A67C2E"/>
    <w:rsid w:val="00A67C76"/>
    <w:rsid w:val="00A67DEF"/>
    <w:rsid w:val="00A6CC44"/>
    <w:rsid w:val="00A700C1"/>
    <w:rsid w:val="00A7016E"/>
    <w:rsid w:val="00A70240"/>
    <w:rsid w:val="00A7035A"/>
    <w:rsid w:val="00A7037A"/>
    <w:rsid w:val="00A705C8"/>
    <w:rsid w:val="00A705F7"/>
    <w:rsid w:val="00A7062D"/>
    <w:rsid w:val="00A706BC"/>
    <w:rsid w:val="00A707CF"/>
    <w:rsid w:val="00A709F0"/>
    <w:rsid w:val="00A70B24"/>
    <w:rsid w:val="00A70C07"/>
    <w:rsid w:val="00A70C88"/>
    <w:rsid w:val="00A70D7C"/>
    <w:rsid w:val="00A70DCB"/>
    <w:rsid w:val="00A70E37"/>
    <w:rsid w:val="00A70ECD"/>
    <w:rsid w:val="00A70EE3"/>
    <w:rsid w:val="00A70EE9"/>
    <w:rsid w:val="00A70F20"/>
    <w:rsid w:val="00A7164E"/>
    <w:rsid w:val="00A7184F"/>
    <w:rsid w:val="00A71997"/>
    <w:rsid w:val="00A71A06"/>
    <w:rsid w:val="00A71AB8"/>
    <w:rsid w:val="00A71C65"/>
    <w:rsid w:val="00A71CB4"/>
    <w:rsid w:val="00A71DC5"/>
    <w:rsid w:val="00A71E64"/>
    <w:rsid w:val="00A72162"/>
    <w:rsid w:val="00A722BE"/>
    <w:rsid w:val="00A7234A"/>
    <w:rsid w:val="00A723F8"/>
    <w:rsid w:val="00A723FE"/>
    <w:rsid w:val="00A72712"/>
    <w:rsid w:val="00A728F9"/>
    <w:rsid w:val="00A72B4A"/>
    <w:rsid w:val="00A72BCD"/>
    <w:rsid w:val="00A72EF7"/>
    <w:rsid w:val="00A72F35"/>
    <w:rsid w:val="00A72F5B"/>
    <w:rsid w:val="00A73026"/>
    <w:rsid w:val="00A73229"/>
    <w:rsid w:val="00A732C2"/>
    <w:rsid w:val="00A73395"/>
    <w:rsid w:val="00A733AE"/>
    <w:rsid w:val="00A7345E"/>
    <w:rsid w:val="00A73491"/>
    <w:rsid w:val="00A734B3"/>
    <w:rsid w:val="00A734EC"/>
    <w:rsid w:val="00A73683"/>
    <w:rsid w:val="00A737F3"/>
    <w:rsid w:val="00A73A0F"/>
    <w:rsid w:val="00A73A66"/>
    <w:rsid w:val="00A73A84"/>
    <w:rsid w:val="00A73AD7"/>
    <w:rsid w:val="00A73AFE"/>
    <w:rsid w:val="00A73B1E"/>
    <w:rsid w:val="00A73B6D"/>
    <w:rsid w:val="00A73C3F"/>
    <w:rsid w:val="00A74055"/>
    <w:rsid w:val="00A74193"/>
    <w:rsid w:val="00A744A4"/>
    <w:rsid w:val="00A744EB"/>
    <w:rsid w:val="00A747EE"/>
    <w:rsid w:val="00A74834"/>
    <w:rsid w:val="00A74843"/>
    <w:rsid w:val="00A74B65"/>
    <w:rsid w:val="00A74C5B"/>
    <w:rsid w:val="00A74E6C"/>
    <w:rsid w:val="00A74F12"/>
    <w:rsid w:val="00A74FBC"/>
    <w:rsid w:val="00A75326"/>
    <w:rsid w:val="00A75338"/>
    <w:rsid w:val="00A753BF"/>
    <w:rsid w:val="00A753F8"/>
    <w:rsid w:val="00A75468"/>
    <w:rsid w:val="00A755E8"/>
    <w:rsid w:val="00A758AC"/>
    <w:rsid w:val="00A75901"/>
    <w:rsid w:val="00A759EE"/>
    <w:rsid w:val="00A75A72"/>
    <w:rsid w:val="00A75ACF"/>
    <w:rsid w:val="00A75B33"/>
    <w:rsid w:val="00A75CFC"/>
    <w:rsid w:val="00A75D1B"/>
    <w:rsid w:val="00A75D22"/>
    <w:rsid w:val="00A75E30"/>
    <w:rsid w:val="00A7612A"/>
    <w:rsid w:val="00A763FD"/>
    <w:rsid w:val="00A764AA"/>
    <w:rsid w:val="00A764BF"/>
    <w:rsid w:val="00A767DD"/>
    <w:rsid w:val="00A768DE"/>
    <w:rsid w:val="00A769E5"/>
    <w:rsid w:val="00A76AB4"/>
    <w:rsid w:val="00A76B00"/>
    <w:rsid w:val="00A76C3A"/>
    <w:rsid w:val="00A76D2C"/>
    <w:rsid w:val="00A76DBF"/>
    <w:rsid w:val="00A76E90"/>
    <w:rsid w:val="00A76EBD"/>
    <w:rsid w:val="00A76ED5"/>
    <w:rsid w:val="00A76FC6"/>
    <w:rsid w:val="00A76FD4"/>
    <w:rsid w:val="00A770BA"/>
    <w:rsid w:val="00A770CE"/>
    <w:rsid w:val="00A77483"/>
    <w:rsid w:val="00A77553"/>
    <w:rsid w:val="00A776B5"/>
    <w:rsid w:val="00A77782"/>
    <w:rsid w:val="00A77812"/>
    <w:rsid w:val="00A7793C"/>
    <w:rsid w:val="00A779A1"/>
    <w:rsid w:val="00A77ACB"/>
    <w:rsid w:val="00A77B55"/>
    <w:rsid w:val="00A77BBB"/>
    <w:rsid w:val="00A77D08"/>
    <w:rsid w:val="00A77D35"/>
    <w:rsid w:val="00A77D99"/>
    <w:rsid w:val="00A77EE8"/>
    <w:rsid w:val="00A80311"/>
    <w:rsid w:val="00A803CE"/>
    <w:rsid w:val="00A80651"/>
    <w:rsid w:val="00A80716"/>
    <w:rsid w:val="00A807CE"/>
    <w:rsid w:val="00A808E8"/>
    <w:rsid w:val="00A80983"/>
    <w:rsid w:val="00A80B7F"/>
    <w:rsid w:val="00A80B93"/>
    <w:rsid w:val="00A80BC5"/>
    <w:rsid w:val="00A80C63"/>
    <w:rsid w:val="00A80CE6"/>
    <w:rsid w:val="00A80D34"/>
    <w:rsid w:val="00A80D9B"/>
    <w:rsid w:val="00A80ED1"/>
    <w:rsid w:val="00A80F90"/>
    <w:rsid w:val="00A81023"/>
    <w:rsid w:val="00A810A2"/>
    <w:rsid w:val="00A814F5"/>
    <w:rsid w:val="00A81539"/>
    <w:rsid w:val="00A815B5"/>
    <w:rsid w:val="00A816C3"/>
    <w:rsid w:val="00A817BE"/>
    <w:rsid w:val="00A81822"/>
    <w:rsid w:val="00A818A5"/>
    <w:rsid w:val="00A81911"/>
    <w:rsid w:val="00A81D6C"/>
    <w:rsid w:val="00A81DCF"/>
    <w:rsid w:val="00A81FB1"/>
    <w:rsid w:val="00A8207D"/>
    <w:rsid w:val="00A820ED"/>
    <w:rsid w:val="00A8236C"/>
    <w:rsid w:val="00A82389"/>
    <w:rsid w:val="00A823CD"/>
    <w:rsid w:val="00A82417"/>
    <w:rsid w:val="00A826BC"/>
    <w:rsid w:val="00A827E7"/>
    <w:rsid w:val="00A82906"/>
    <w:rsid w:val="00A82A2B"/>
    <w:rsid w:val="00A82A4F"/>
    <w:rsid w:val="00A82DD6"/>
    <w:rsid w:val="00A8362C"/>
    <w:rsid w:val="00A836BB"/>
    <w:rsid w:val="00A83759"/>
    <w:rsid w:val="00A837DF"/>
    <w:rsid w:val="00A8397E"/>
    <w:rsid w:val="00A83A0B"/>
    <w:rsid w:val="00A83B08"/>
    <w:rsid w:val="00A83D46"/>
    <w:rsid w:val="00A83DD7"/>
    <w:rsid w:val="00A83E36"/>
    <w:rsid w:val="00A84669"/>
    <w:rsid w:val="00A84708"/>
    <w:rsid w:val="00A849D9"/>
    <w:rsid w:val="00A84AF0"/>
    <w:rsid w:val="00A84BEE"/>
    <w:rsid w:val="00A84EA5"/>
    <w:rsid w:val="00A84FD6"/>
    <w:rsid w:val="00A84FFB"/>
    <w:rsid w:val="00A85162"/>
    <w:rsid w:val="00A85207"/>
    <w:rsid w:val="00A8524B"/>
    <w:rsid w:val="00A852D3"/>
    <w:rsid w:val="00A852E3"/>
    <w:rsid w:val="00A852FE"/>
    <w:rsid w:val="00A85473"/>
    <w:rsid w:val="00A85521"/>
    <w:rsid w:val="00A85712"/>
    <w:rsid w:val="00A85721"/>
    <w:rsid w:val="00A8572C"/>
    <w:rsid w:val="00A85916"/>
    <w:rsid w:val="00A85945"/>
    <w:rsid w:val="00A85B93"/>
    <w:rsid w:val="00A85D92"/>
    <w:rsid w:val="00A85E77"/>
    <w:rsid w:val="00A85EA5"/>
    <w:rsid w:val="00A85F19"/>
    <w:rsid w:val="00A860C4"/>
    <w:rsid w:val="00A860CE"/>
    <w:rsid w:val="00A860EF"/>
    <w:rsid w:val="00A86131"/>
    <w:rsid w:val="00A861A7"/>
    <w:rsid w:val="00A86232"/>
    <w:rsid w:val="00A864A4"/>
    <w:rsid w:val="00A864AB"/>
    <w:rsid w:val="00A86653"/>
    <w:rsid w:val="00A86799"/>
    <w:rsid w:val="00A86FBA"/>
    <w:rsid w:val="00A870A7"/>
    <w:rsid w:val="00A872DA"/>
    <w:rsid w:val="00A87385"/>
    <w:rsid w:val="00A8763C"/>
    <w:rsid w:val="00A8765E"/>
    <w:rsid w:val="00A87729"/>
    <w:rsid w:val="00A87790"/>
    <w:rsid w:val="00A87883"/>
    <w:rsid w:val="00A879F0"/>
    <w:rsid w:val="00A87A40"/>
    <w:rsid w:val="00A87B50"/>
    <w:rsid w:val="00A87BA1"/>
    <w:rsid w:val="00A87CCF"/>
    <w:rsid w:val="00A87D53"/>
    <w:rsid w:val="00A87D8D"/>
    <w:rsid w:val="00A87ED8"/>
    <w:rsid w:val="00A87F0E"/>
    <w:rsid w:val="00A900CF"/>
    <w:rsid w:val="00A90320"/>
    <w:rsid w:val="00A904AB"/>
    <w:rsid w:val="00A904B2"/>
    <w:rsid w:val="00A904C4"/>
    <w:rsid w:val="00A904EF"/>
    <w:rsid w:val="00A9052E"/>
    <w:rsid w:val="00A90571"/>
    <w:rsid w:val="00A9072D"/>
    <w:rsid w:val="00A909DF"/>
    <w:rsid w:val="00A90D8B"/>
    <w:rsid w:val="00A90E81"/>
    <w:rsid w:val="00A910DF"/>
    <w:rsid w:val="00A911D6"/>
    <w:rsid w:val="00A91506"/>
    <w:rsid w:val="00A91510"/>
    <w:rsid w:val="00A91635"/>
    <w:rsid w:val="00A917F1"/>
    <w:rsid w:val="00A917F9"/>
    <w:rsid w:val="00A91853"/>
    <w:rsid w:val="00A9198B"/>
    <w:rsid w:val="00A919C3"/>
    <w:rsid w:val="00A919DB"/>
    <w:rsid w:val="00A91BCD"/>
    <w:rsid w:val="00A91C38"/>
    <w:rsid w:val="00A92244"/>
    <w:rsid w:val="00A92262"/>
    <w:rsid w:val="00A927FF"/>
    <w:rsid w:val="00A92891"/>
    <w:rsid w:val="00A92B89"/>
    <w:rsid w:val="00A92CAC"/>
    <w:rsid w:val="00A92DE2"/>
    <w:rsid w:val="00A92E81"/>
    <w:rsid w:val="00A92FC1"/>
    <w:rsid w:val="00A930B9"/>
    <w:rsid w:val="00A9313E"/>
    <w:rsid w:val="00A931CE"/>
    <w:rsid w:val="00A9335F"/>
    <w:rsid w:val="00A937FE"/>
    <w:rsid w:val="00A93811"/>
    <w:rsid w:val="00A93840"/>
    <w:rsid w:val="00A9397B"/>
    <w:rsid w:val="00A939CD"/>
    <w:rsid w:val="00A93B17"/>
    <w:rsid w:val="00A93CFE"/>
    <w:rsid w:val="00A93DF3"/>
    <w:rsid w:val="00A93DFD"/>
    <w:rsid w:val="00A93E64"/>
    <w:rsid w:val="00A93E6D"/>
    <w:rsid w:val="00A93F25"/>
    <w:rsid w:val="00A93F4D"/>
    <w:rsid w:val="00A93FA7"/>
    <w:rsid w:val="00A94076"/>
    <w:rsid w:val="00A940C4"/>
    <w:rsid w:val="00A941CA"/>
    <w:rsid w:val="00A94290"/>
    <w:rsid w:val="00A942F0"/>
    <w:rsid w:val="00A94360"/>
    <w:rsid w:val="00A94490"/>
    <w:rsid w:val="00A9461B"/>
    <w:rsid w:val="00A947E0"/>
    <w:rsid w:val="00A94A37"/>
    <w:rsid w:val="00A94ABD"/>
    <w:rsid w:val="00A94ACA"/>
    <w:rsid w:val="00A94F3A"/>
    <w:rsid w:val="00A94F6E"/>
    <w:rsid w:val="00A950C7"/>
    <w:rsid w:val="00A951D0"/>
    <w:rsid w:val="00A95216"/>
    <w:rsid w:val="00A95238"/>
    <w:rsid w:val="00A952CD"/>
    <w:rsid w:val="00A9532A"/>
    <w:rsid w:val="00A95339"/>
    <w:rsid w:val="00A95410"/>
    <w:rsid w:val="00A9561C"/>
    <w:rsid w:val="00A957EE"/>
    <w:rsid w:val="00A9595A"/>
    <w:rsid w:val="00A95C2B"/>
    <w:rsid w:val="00A95DB0"/>
    <w:rsid w:val="00A96084"/>
    <w:rsid w:val="00A960B6"/>
    <w:rsid w:val="00A9627B"/>
    <w:rsid w:val="00A96423"/>
    <w:rsid w:val="00A9643D"/>
    <w:rsid w:val="00A966E7"/>
    <w:rsid w:val="00A96858"/>
    <w:rsid w:val="00A969C3"/>
    <w:rsid w:val="00A96D65"/>
    <w:rsid w:val="00A96E7D"/>
    <w:rsid w:val="00A96F13"/>
    <w:rsid w:val="00A96FCB"/>
    <w:rsid w:val="00A96FCE"/>
    <w:rsid w:val="00A97126"/>
    <w:rsid w:val="00A97187"/>
    <w:rsid w:val="00A97252"/>
    <w:rsid w:val="00A973FD"/>
    <w:rsid w:val="00A974A3"/>
    <w:rsid w:val="00A974C9"/>
    <w:rsid w:val="00A97559"/>
    <w:rsid w:val="00A9758B"/>
    <w:rsid w:val="00A978BD"/>
    <w:rsid w:val="00A979CD"/>
    <w:rsid w:val="00A979EC"/>
    <w:rsid w:val="00A97AFE"/>
    <w:rsid w:val="00A97C6E"/>
    <w:rsid w:val="00A97E3C"/>
    <w:rsid w:val="00A97F65"/>
    <w:rsid w:val="00AA0007"/>
    <w:rsid w:val="00AA0264"/>
    <w:rsid w:val="00AA03BA"/>
    <w:rsid w:val="00AA054A"/>
    <w:rsid w:val="00AA06F4"/>
    <w:rsid w:val="00AA08B4"/>
    <w:rsid w:val="00AA0B1D"/>
    <w:rsid w:val="00AA0DAD"/>
    <w:rsid w:val="00AA0DBE"/>
    <w:rsid w:val="00AA0E2D"/>
    <w:rsid w:val="00AA0E80"/>
    <w:rsid w:val="00AA0EB7"/>
    <w:rsid w:val="00AA0F4F"/>
    <w:rsid w:val="00AA0F79"/>
    <w:rsid w:val="00AA1072"/>
    <w:rsid w:val="00AA1405"/>
    <w:rsid w:val="00AA143E"/>
    <w:rsid w:val="00AA155E"/>
    <w:rsid w:val="00AA159C"/>
    <w:rsid w:val="00AA19AF"/>
    <w:rsid w:val="00AA19FC"/>
    <w:rsid w:val="00AA1CB1"/>
    <w:rsid w:val="00AA1E38"/>
    <w:rsid w:val="00AA1E9F"/>
    <w:rsid w:val="00AA203F"/>
    <w:rsid w:val="00AA24C3"/>
    <w:rsid w:val="00AA259D"/>
    <w:rsid w:val="00AA27D3"/>
    <w:rsid w:val="00AA2998"/>
    <w:rsid w:val="00AA29F1"/>
    <w:rsid w:val="00AA2A17"/>
    <w:rsid w:val="00AA2A2E"/>
    <w:rsid w:val="00AA2B13"/>
    <w:rsid w:val="00AA2D04"/>
    <w:rsid w:val="00AA2D62"/>
    <w:rsid w:val="00AA31B6"/>
    <w:rsid w:val="00AA3319"/>
    <w:rsid w:val="00AA33E2"/>
    <w:rsid w:val="00AA33FA"/>
    <w:rsid w:val="00AA3463"/>
    <w:rsid w:val="00AA34C2"/>
    <w:rsid w:val="00AA3539"/>
    <w:rsid w:val="00AA3634"/>
    <w:rsid w:val="00AA37D8"/>
    <w:rsid w:val="00AA3808"/>
    <w:rsid w:val="00AA382A"/>
    <w:rsid w:val="00AA3866"/>
    <w:rsid w:val="00AA3874"/>
    <w:rsid w:val="00AA3ACC"/>
    <w:rsid w:val="00AA3AF5"/>
    <w:rsid w:val="00AA3B35"/>
    <w:rsid w:val="00AA3B46"/>
    <w:rsid w:val="00AA3BE0"/>
    <w:rsid w:val="00AA3F37"/>
    <w:rsid w:val="00AA4158"/>
    <w:rsid w:val="00AA4282"/>
    <w:rsid w:val="00AA497B"/>
    <w:rsid w:val="00AA49A2"/>
    <w:rsid w:val="00AA4A9B"/>
    <w:rsid w:val="00AA4B5F"/>
    <w:rsid w:val="00AA4CE8"/>
    <w:rsid w:val="00AA4ED4"/>
    <w:rsid w:val="00AA50EA"/>
    <w:rsid w:val="00AA5241"/>
    <w:rsid w:val="00AA5272"/>
    <w:rsid w:val="00AA52BF"/>
    <w:rsid w:val="00AA5397"/>
    <w:rsid w:val="00AA5591"/>
    <w:rsid w:val="00AA55B7"/>
    <w:rsid w:val="00AA5709"/>
    <w:rsid w:val="00AA5829"/>
    <w:rsid w:val="00AA5DC7"/>
    <w:rsid w:val="00AA5E74"/>
    <w:rsid w:val="00AA5EC2"/>
    <w:rsid w:val="00AA5F06"/>
    <w:rsid w:val="00AA602D"/>
    <w:rsid w:val="00AA6101"/>
    <w:rsid w:val="00AA6149"/>
    <w:rsid w:val="00AA6181"/>
    <w:rsid w:val="00AA625B"/>
    <w:rsid w:val="00AA6444"/>
    <w:rsid w:val="00AA647C"/>
    <w:rsid w:val="00AA65CE"/>
    <w:rsid w:val="00AA65ED"/>
    <w:rsid w:val="00AA6677"/>
    <w:rsid w:val="00AA677F"/>
    <w:rsid w:val="00AA6796"/>
    <w:rsid w:val="00AA6933"/>
    <w:rsid w:val="00AA6943"/>
    <w:rsid w:val="00AA69FA"/>
    <w:rsid w:val="00AA6B4A"/>
    <w:rsid w:val="00AA6CE6"/>
    <w:rsid w:val="00AA6D05"/>
    <w:rsid w:val="00AA6D25"/>
    <w:rsid w:val="00AA6E0E"/>
    <w:rsid w:val="00AA6E24"/>
    <w:rsid w:val="00AA7229"/>
    <w:rsid w:val="00AA7288"/>
    <w:rsid w:val="00AA73D8"/>
    <w:rsid w:val="00AA75CA"/>
    <w:rsid w:val="00AA764E"/>
    <w:rsid w:val="00AA7738"/>
    <w:rsid w:val="00AA7776"/>
    <w:rsid w:val="00AA7A8D"/>
    <w:rsid w:val="00AA7AB9"/>
    <w:rsid w:val="00AA7DDB"/>
    <w:rsid w:val="00AA7EE2"/>
    <w:rsid w:val="00AB016B"/>
    <w:rsid w:val="00AB031F"/>
    <w:rsid w:val="00AB035F"/>
    <w:rsid w:val="00AB0436"/>
    <w:rsid w:val="00AB044D"/>
    <w:rsid w:val="00AB06F3"/>
    <w:rsid w:val="00AB076F"/>
    <w:rsid w:val="00AB0782"/>
    <w:rsid w:val="00AB08A2"/>
    <w:rsid w:val="00AB08C8"/>
    <w:rsid w:val="00AB0CFB"/>
    <w:rsid w:val="00AB0FC4"/>
    <w:rsid w:val="00AB1364"/>
    <w:rsid w:val="00AB1461"/>
    <w:rsid w:val="00AB16C2"/>
    <w:rsid w:val="00AB1850"/>
    <w:rsid w:val="00AB190E"/>
    <w:rsid w:val="00AB1A2B"/>
    <w:rsid w:val="00AB1C90"/>
    <w:rsid w:val="00AB1FC7"/>
    <w:rsid w:val="00AB2062"/>
    <w:rsid w:val="00AB20E6"/>
    <w:rsid w:val="00AB224D"/>
    <w:rsid w:val="00AB233E"/>
    <w:rsid w:val="00AB23ED"/>
    <w:rsid w:val="00AB2786"/>
    <w:rsid w:val="00AB280F"/>
    <w:rsid w:val="00AB2847"/>
    <w:rsid w:val="00AB29F7"/>
    <w:rsid w:val="00AB2A08"/>
    <w:rsid w:val="00AB2B04"/>
    <w:rsid w:val="00AB2BFC"/>
    <w:rsid w:val="00AB2F55"/>
    <w:rsid w:val="00AB2F92"/>
    <w:rsid w:val="00AB30B0"/>
    <w:rsid w:val="00AB3299"/>
    <w:rsid w:val="00AB32F3"/>
    <w:rsid w:val="00AB33D1"/>
    <w:rsid w:val="00AB354A"/>
    <w:rsid w:val="00AB35D1"/>
    <w:rsid w:val="00AB365E"/>
    <w:rsid w:val="00AB3752"/>
    <w:rsid w:val="00AB38A7"/>
    <w:rsid w:val="00AB38CA"/>
    <w:rsid w:val="00AB3933"/>
    <w:rsid w:val="00AB395E"/>
    <w:rsid w:val="00AB3AE9"/>
    <w:rsid w:val="00AB3B05"/>
    <w:rsid w:val="00AB3FC4"/>
    <w:rsid w:val="00AB4093"/>
    <w:rsid w:val="00AB40CA"/>
    <w:rsid w:val="00AB4110"/>
    <w:rsid w:val="00AB4318"/>
    <w:rsid w:val="00AB444B"/>
    <w:rsid w:val="00AB456D"/>
    <w:rsid w:val="00AB4591"/>
    <w:rsid w:val="00AB47C0"/>
    <w:rsid w:val="00AB47EF"/>
    <w:rsid w:val="00AB4887"/>
    <w:rsid w:val="00AB48EA"/>
    <w:rsid w:val="00AB4904"/>
    <w:rsid w:val="00AB49F9"/>
    <w:rsid w:val="00AB4B29"/>
    <w:rsid w:val="00AB4B8F"/>
    <w:rsid w:val="00AB4F89"/>
    <w:rsid w:val="00AB4FD2"/>
    <w:rsid w:val="00AB5093"/>
    <w:rsid w:val="00AB522E"/>
    <w:rsid w:val="00AB562C"/>
    <w:rsid w:val="00AB5635"/>
    <w:rsid w:val="00AB56C3"/>
    <w:rsid w:val="00AB56E4"/>
    <w:rsid w:val="00AB5825"/>
    <w:rsid w:val="00AB5865"/>
    <w:rsid w:val="00AB599A"/>
    <w:rsid w:val="00AB5BDD"/>
    <w:rsid w:val="00AB5C9F"/>
    <w:rsid w:val="00AB5CF8"/>
    <w:rsid w:val="00AB5DDE"/>
    <w:rsid w:val="00AB5FE3"/>
    <w:rsid w:val="00AB60A6"/>
    <w:rsid w:val="00AB6331"/>
    <w:rsid w:val="00AB6361"/>
    <w:rsid w:val="00AB648D"/>
    <w:rsid w:val="00AB65A3"/>
    <w:rsid w:val="00AB6740"/>
    <w:rsid w:val="00AB6AAB"/>
    <w:rsid w:val="00AB6AD5"/>
    <w:rsid w:val="00AB6B0F"/>
    <w:rsid w:val="00AB6C59"/>
    <w:rsid w:val="00AB6CB3"/>
    <w:rsid w:val="00AB6DB6"/>
    <w:rsid w:val="00AB6E47"/>
    <w:rsid w:val="00AB6E85"/>
    <w:rsid w:val="00AB6F16"/>
    <w:rsid w:val="00AB70A1"/>
    <w:rsid w:val="00AB7152"/>
    <w:rsid w:val="00AB715D"/>
    <w:rsid w:val="00AB724D"/>
    <w:rsid w:val="00AB72D8"/>
    <w:rsid w:val="00AB7688"/>
    <w:rsid w:val="00AB76D2"/>
    <w:rsid w:val="00AB76DE"/>
    <w:rsid w:val="00AB775F"/>
    <w:rsid w:val="00AB77A8"/>
    <w:rsid w:val="00AB77AD"/>
    <w:rsid w:val="00AB77F6"/>
    <w:rsid w:val="00AB790D"/>
    <w:rsid w:val="00AB7ABD"/>
    <w:rsid w:val="00AB7B13"/>
    <w:rsid w:val="00AB7B69"/>
    <w:rsid w:val="00AB7BB1"/>
    <w:rsid w:val="00AB7C70"/>
    <w:rsid w:val="00AB7C81"/>
    <w:rsid w:val="00AB7D7A"/>
    <w:rsid w:val="00AC006D"/>
    <w:rsid w:val="00AC01BB"/>
    <w:rsid w:val="00AC01BD"/>
    <w:rsid w:val="00AC0346"/>
    <w:rsid w:val="00AC03D6"/>
    <w:rsid w:val="00AC060F"/>
    <w:rsid w:val="00AC061C"/>
    <w:rsid w:val="00AC062F"/>
    <w:rsid w:val="00AC0666"/>
    <w:rsid w:val="00AC0770"/>
    <w:rsid w:val="00AC0797"/>
    <w:rsid w:val="00AC07BF"/>
    <w:rsid w:val="00AC08F8"/>
    <w:rsid w:val="00AC0A40"/>
    <w:rsid w:val="00AC0A5D"/>
    <w:rsid w:val="00AC0C7E"/>
    <w:rsid w:val="00AC0E07"/>
    <w:rsid w:val="00AC104A"/>
    <w:rsid w:val="00AC110A"/>
    <w:rsid w:val="00AC110F"/>
    <w:rsid w:val="00AC1309"/>
    <w:rsid w:val="00AC1312"/>
    <w:rsid w:val="00AC1605"/>
    <w:rsid w:val="00AC1659"/>
    <w:rsid w:val="00AC16DA"/>
    <w:rsid w:val="00AC17A4"/>
    <w:rsid w:val="00AC1CC4"/>
    <w:rsid w:val="00AC1D48"/>
    <w:rsid w:val="00AC2163"/>
    <w:rsid w:val="00AC21C1"/>
    <w:rsid w:val="00AC245D"/>
    <w:rsid w:val="00AC252E"/>
    <w:rsid w:val="00AC2599"/>
    <w:rsid w:val="00AC26D9"/>
    <w:rsid w:val="00AC270A"/>
    <w:rsid w:val="00AC279B"/>
    <w:rsid w:val="00AC27AF"/>
    <w:rsid w:val="00AC2B07"/>
    <w:rsid w:val="00AC2DE2"/>
    <w:rsid w:val="00AC2E81"/>
    <w:rsid w:val="00AC2F87"/>
    <w:rsid w:val="00AC3057"/>
    <w:rsid w:val="00AC3235"/>
    <w:rsid w:val="00AC34AB"/>
    <w:rsid w:val="00AC3533"/>
    <w:rsid w:val="00AC354F"/>
    <w:rsid w:val="00AC35E9"/>
    <w:rsid w:val="00AC3639"/>
    <w:rsid w:val="00AC3713"/>
    <w:rsid w:val="00AC382D"/>
    <w:rsid w:val="00AC3BFE"/>
    <w:rsid w:val="00AC3C4B"/>
    <w:rsid w:val="00AC3CA7"/>
    <w:rsid w:val="00AC3CF7"/>
    <w:rsid w:val="00AC3DFD"/>
    <w:rsid w:val="00AC3E3E"/>
    <w:rsid w:val="00AC3E76"/>
    <w:rsid w:val="00AC3EE0"/>
    <w:rsid w:val="00AC3F18"/>
    <w:rsid w:val="00AC407B"/>
    <w:rsid w:val="00AC43C2"/>
    <w:rsid w:val="00AC43D1"/>
    <w:rsid w:val="00AC44C4"/>
    <w:rsid w:val="00AC451E"/>
    <w:rsid w:val="00AC4594"/>
    <w:rsid w:val="00AC4832"/>
    <w:rsid w:val="00AC4893"/>
    <w:rsid w:val="00AC4A0F"/>
    <w:rsid w:val="00AC4A2C"/>
    <w:rsid w:val="00AC4A8C"/>
    <w:rsid w:val="00AC4AFF"/>
    <w:rsid w:val="00AC4BA2"/>
    <w:rsid w:val="00AC4C2A"/>
    <w:rsid w:val="00AC4CAC"/>
    <w:rsid w:val="00AC4D28"/>
    <w:rsid w:val="00AC4DE0"/>
    <w:rsid w:val="00AC500A"/>
    <w:rsid w:val="00AC50A8"/>
    <w:rsid w:val="00AC521D"/>
    <w:rsid w:val="00AC5460"/>
    <w:rsid w:val="00AC54ED"/>
    <w:rsid w:val="00AC558B"/>
    <w:rsid w:val="00AC56E2"/>
    <w:rsid w:val="00AC57B7"/>
    <w:rsid w:val="00AC5AB4"/>
    <w:rsid w:val="00AC5B7A"/>
    <w:rsid w:val="00AC5CBD"/>
    <w:rsid w:val="00AC62E1"/>
    <w:rsid w:val="00AC635A"/>
    <w:rsid w:val="00AC63B8"/>
    <w:rsid w:val="00AC63FF"/>
    <w:rsid w:val="00AC641A"/>
    <w:rsid w:val="00AC655E"/>
    <w:rsid w:val="00AC65C4"/>
    <w:rsid w:val="00AC662E"/>
    <w:rsid w:val="00AC6D2F"/>
    <w:rsid w:val="00AC6D52"/>
    <w:rsid w:val="00AC6DA5"/>
    <w:rsid w:val="00AC6ECB"/>
    <w:rsid w:val="00AC70D7"/>
    <w:rsid w:val="00AC73A9"/>
    <w:rsid w:val="00AC73E4"/>
    <w:rsid w:val="00AC7449"/>
    <w:rsid w:val="00AC7770"/>
    <w:rsid w:val="00AC782A"/>
    <w:rsid w:val="00AC7AE3"/>
    <w:rsid w:val="00AC7C00"/>
    <w:rsid w:val="00AC7E13"/>
    <w:rsid w:val="00AC7F8F"/>
    <w:rsid w:val="00AD02D6"/>
    <w:rsid w:val="00AD0376"/>
    <w:rsid w:val="00AD03B5"/>
    <w:rsid w:val="00AD044A"/>
    <w:rsid w:val="00AD0500"/>
    <w:rsid w:val="00AD052B"/>
    <w:rsid w:val="00AD0567"/>
    <w:rsid w:val="00AD0572"/>
    <w:rsid w:val="00AD0595"/>
    <w:rsid w:val="00AD0766"/>
    <w:rsid w:val="00AD07DD"/>
    <w:rsid w:val="00AD0A01"/>
    <w:rsid w:val="00AD0C4A"/>
    <w:rsid w:val="00AD0D38"/>
    <w:rsid w:val="00AD1041"/>
    <w:rsid w:val="00AD1070"/>
    <w:rsid w:val="00AD10DA"/>
    <w:rsid w:val="00AD1167"/>
    <w:rsid w:val="00AD1372"/>
    <w:rsid w:val="00AD1677"/>
    <w:rsid w:val="00AD16CF"/>
    <w:rsid w:val="00AD17CF"/>
    <w:rsid w:val="00AD1984"/>
    <w:rsid w:val="00AD1D1C"/>
    <w:rsid w:val="00AD1E75"/>
    <w:rsid w:val="00AD1F0F"/>
    <w:rsid w:val="00AD1F49"/>
    <w:rsid w:val="00AD2027"/>
    <w:rsid w:val="00AD2072"/>
    <w:rsid w:val="00AD214A"/>
    <w:rsid w:val="00AD2259"/>
    <w:rsid w:val="00AD235C"/>
    <w:rsid w:val="00AD26FD"/>
    <w:rsid w:val="00AD275D"/>
    <w:rsid w:val="00AD2819"/>
    <w:rsid w:val="00AD28FE"/>
    <w:rsid w:val="00AD2B47"/>
    <w:rsid w:val="00AD2ECA"/>
    <w:rsid w:val="00AD3013"/>
    <w:rsid w:val="00AD3388"/>
    <w:rsid w:val="00AD353C"/>
    <w:rsid w:val="00AD35B7"/>
    <w:rsid w:val="00AD37F7"/>
    <w:rsid w:val="00AD3838"/>
    <w:rsid w:val="00AD3C67"/>
    <w:rsid w:val="00AD3D64"/>
    <w:rsid w:val="00AD444B"/>
    <w:rsid w:val="00AD4460"/>
    <w:rsid w:val="00AD4699"/>
    <w:rsid w:val="00AD46E1"/>
    <w:rsid w:val="00AD475A"/>
    <w:rsid w:val="00AD478E"/>
    <w:rsid w:val="00AD4847"/>
    <w:rsid w:val="00AD485E"/>
    <w:rsid w:val="00AD496F"/>
    <w:rsid w:val="00AD4A1D"/>
    <w:rsid w:val="00AD4E94"/>
    <w:rsid w:val="00AD4F74"/>
    <w:rsid w:val="00AD5130"/>
    <w:rsid w:val="00AD5233"/>
    <w:rsid w:val="00AD5244"/>
    <w:rsid w:val="00AD55BA"/>
    <w:rsid w:val="00AD59CA"/>
    <w:rsid w:val="00AD5B70"/>
    <w:rsid w:val="00AD5BAC"/>
    <w:rsid w:val="00AD5BB4"/>
    <w:rsid w:val="00AD5C6F"/>
    <w:rsid w:val="00AD5D0D"/>
    <w:rsid w:val="00AD5FC7"/>
    <w:rsid w:val="00AD61D8"/>
    <w:rsid w:val="00AD6262"/>
    <w:rsid w:val="00AD6306"/>
    <w:rsid w:val="00AD6570"/>
    <w:rsid w:val="00AD66D1"/>
    <w:rsid w:val="00AD6735"/>
    <w:rsid w:val="00AD688F"/>
    <w:rsid w:val="00AD6984"/>
    <w:rsid w:val="00AD6A79"/>
    <w:rsid w:val="00AD6C34"/>
    <w:rsid w:val="00AD6E91"/>
    <w:rsid w:val="00AD703E"/>
    <w:rsid w:val="00AD7203"/>
    <w:rsid w:val="00AD7290"/>
    <w:rsid w:val="00AD72CE"/>
    <w:rsid w:val="00AD730D"/>
    <w:rsid w:val="00AD732F"/>
    <w:rsid w:val="00AD7524"/>
    <w:rsid w:val="00AD75F6"/>
    <w:rsid w:val="00AD77C7"/>
    <w:rsid w:val="00AD7921"/>
    <w:rsid w:val="00AD794A"/>
    <w:rsid w:val="00AD7D68"/>
    <w:rsid w:val="00AD7E02"/>
    <w:rsid w:val="00AD7E4A"/>
    <w:rsid w:val="00AD7EA9"/>
    <w:rsid w:val="00AD7EE0"/>
    <w:rsid w:val="00AE00EC"/>
    <w:rsid w:val="00AE01A5"/>
    <w:rsid w:val="00AE01ED"/>
    <w:rsid w:val="00AE0414"/>
    <w:rsid w:val="00AE0460"/>
    <w:rsid w:val="00AE04A7"/>
    <w:rsid w:val="00AE0507"/>
    <w:rsid w:val="00AE05CF"/>
    <w:rsid w:val="00AE06BC"/>
    <w:rsid w:val="00AE06D2"/>
    <w:rsid w:val="00AE0CEC"/>
    <w:rsid w:val="00AE0DF4"/>
    <w:rsid w:val="00AE0E15"/>
    <w:rsid w:val="00AE108A"/>
    <w:rsid w:val="00AE116F"/>
    <w:rsid w:val="00AE14CD"/>
    <w:rsid w:val="00AE1516"/>
    <w:rsid w:val="00AE17C0"/>
    <w:rsid w:val="00AE180D"/>
    <w:rsid w:val="00AE1913"/>
    <w:rsid w:val="00AE193F"/>
    <w:rsid w:val="00AE1B19"/>
    <w:rsid w:val="00AE1D3B"/>
    <w:rsid w:val="00AE1F95"/>
    <w:rsid w:val="00AE2365"/>
    <w:rsid w:val="00AE255B"/>
    <w:rsid w:val="00AE2599"/>
    <w:rsid w:val="00AE2638"/>
    <w:rsid w:val="00AE2695"/>
    <w:rsid w:val="00AE26E5"/>
    <w:rsid w:val="00AE26F7"/>
    <w:rsid w:val="00AE28F2"/>
    <w:rsid w:val="00AE2990"/>
    <w:rsid w:val="00AE29AA"/>
    <w:rsid w:val="00AE29B0"/>
    <w:rsid w:val="00AE29B9"/>
    <w:rsid w:val="00AE2A7A"/>
    <w:rsid w:val="00AE2A7B"/>
    <w:rsid w:val="00AE2B25"/>
    <w:rsid w:val="00AE2BAF"/>
    <w:rsid w:val="00AE2F40"/>
    <w:rsid w:val="00AE30D7"/>
    <w:rsid w:val="00AE31E7"/>
    <w:rsid w:val="00AE3321"/>
    <w:rsid w:val="00AE3360"/>
    <w:rsid w:val="00AE35D9"/>
    <w:rsid w:val="00AE3624"/>
    <w:rsid w:val="00AE39CF"/>
    <w:rsid w:val="00AE3C95"/>
    <w:rsid w:val="00AE3E94"/>
    <w:rsid w:val="00AE40B2"/>
    <w:rsid w:val="00AE4342"/>
    <w:rsid w:val="00AE43A0"/>
    <w:rsid w:val="00AE43FD"/>
    <w:rsid w:val="00AE4475"/>
    <w:rsid w:val="00AE4502"/>
    <w:rsid w:val="00AE4712"/>
    <w:rsid w:val="00AE477F"/>
    <w:rsid w:val="00AE4816"/>
    <w:rsid w:val="00AE4DA6"/>
    <w:rsid w:val="00AE4F59"/>
    <w:rsid w:val="00AE4FEF"/>
    <w:rsid w:val="00AE5025"/>
    <w:rsid w:val="00AE5082"/>
    <w:rsid w:val="00AE5443"/>
    <w:rsid w:val="00AE573B"/>
    <w:rsid w:val="00AE5765"/>
    <w:rsid w:val="00AE57A0"/>
    <w:rsid w:val="00AE57AC"/>
    <w:rsid w:val="00AE5866"/>
    <w:rsid w:val="00AE5A76"/>
    <w:rsid w:val="00AE5DFC"/>
    <w:rsid w:val="00AE5E8E"/>
    <w:rsid w:val="00AE6002"/>
    <w:rsid w:val="00AE60A8"/>
    <w:rsid w:val="00AE6206"/>
    <w:rsid w:val="00AE626F"/>
    <w:rsid w:val="00AE62DD"/>
    <w:rsid w:val="00AE6468"/>
    <w:rsid w:val="00AE64E6"/>
    <w:rsid w:val="00AE6532"/>
    <w:rsid w:val="00AE6612"/>
    <w:rsid w:val="00AE672A"/>
    <w:rsid w:val="00AE6744"/>
    <w:rsid w:val="00AE6841"/>
    <w:rsid w:val="00AE685A"/>
    <w:rsid w:val="00AE6956"/>
    <w:rsid w:val="00AE695D"/>
    <w:rsid w:val="00AE74BF"/>
    <w:rsid w:val="00AE750D"/>
    <w:rsid w:val="00AE7688"/>
    <w:rsid w:val="00AE7713"/>
    <w:rsid w:val="00AE77E4"/>
    <w:rsid w:val="00AE781A"/>
    <w:rsid w:val="00AE7822"/>
    <w:rsid w:val="00AE78D2"/>
    <w:rsid w:val="00AE7AE6"/>
    <w:rsid w:val="00AE7B3E"/>
    <w:rsid w:val="00AE7D53"/>
    <w:rsid w:val="00AE7D90"/>
    <w:rsid w:val="00AE7F1A"/>
    <w:rsid w:val="00AF0146"/>
    <w:rsid w:val="00AF0188"/>
    <w:rsid w:val="00AF024C"/>
    <w:rsid w:val="00AF02A8"/>
    <w:rsid w:val="00AF02B1"/>
    <w:rsid w:val="00AF0511"/>
    <w:rsid w:val="00AF052B"/>
    <w:rsid w:val="00AF0576"/>
    <w:rsid w:val="00AF06BD"/>
    <w:rsid w:val="00AF06FE"/>
    <w:rsid w:val="00AF089F"/>
    <w:rsid w:val="00AF098F"/>
    <w:rsid w:val="00AF0B97"/>
    <w:rsid w:val="00AF0DE1"/>
    <w:rsid w:val="00AF10F1"/>
    <w:rsid w:val="00AF12AC"/>
    <w:rsid w:val="00AF147A"/>
    <w:rsid w:val="00AF14C5"/>
    <w:rsid w:val="00AF151D"/>
    <w:rsid w:val="00AF1678"/>
    <w:rsid w:val="00AF16C6"/>
    <w:rsid w:val="00AF16DB"/>
    <w:rsid w:val="00AF197A"/>
    <w:rsid w:val="00AF1A07"/>
    <w:rsid w:val="00AF1A8E"/>
    <w:rsid w:val="00AF1A95"/>
    <w:rsid w:val="00AF1BE3"/>
    <w:rsid w:val="00AF1EAF"/>
    <w:rsid w:val="00AF1F11"/>
    <w:rsid w:val="00AF20A7"/>
    <w:rsid w:val="00AF217B"/>
    <w:rsid w:val="00AF22AB"/>
    <w:rsid w:val="00AF23F0"/>
    <w:rsid w:val="00AF242D"/>
    <w:rsid w:val="00AF2496"/>
    <w:rsid w:val="00AF280E"/>
    <w:rsid w:val="00AF288E"/>
    <w:rsid w:val="00AF2A92"/>
    <w:rsid w:val="00AF2AE2"/>
    <w:rsid w:val="00AF2B49"/>
    <w:rsid w:val="00AF2B76"/>
    <w:rsid w:val="00AF2B99"/>
    <w:rsid w:val="00AF2C1D"/>
    <w:rsid w:val="00AF2CE3"/>
    <w:rsid w:val="00AF2D86"/>
    <w:rsid w:val="00AF2EC2"/>
    <w:rsid w:val="00AF2EEC"/>
    <w:rsid w:val="00AF2F0C"/>
    <w:rsid w:val="00AF3274"/>
    <w:rsid w:val="00AF343A"/>
    <w:rsid w:val="00AF34EB"/>
    <w:rsid w:val="00AF35DF"/>
    <w:rsid w:val="00AF3613"/>
    <w:rsid w:val="00AF3658"/>
    <w:rsid w:val="00AF366B"/>
    <w:rsid w:val="00AF36C3"/>
    <w:rsid w:val="00AF3726"/>
    <w:rsid w:val="00AF3ACA"/>
    <w:rsid w:val="00AF4000"/>
    <w:rsid w:val="00AF40A2"/>
    <w:rsid w:val="00AF40CB"/>
    <w:rsid w:val="00AF411E"/>
    <w:rsid w:val="00AF42BF"/>
    <w:rsid w:val="00AF42F6"/>
    <w:rsid w:val="00AF4328"/>
    <w:rsid w:val="00AF4470"/>
    <w:rsid w:val="00AF45C6"/>
    <w:rsid w:val="00AF47A2"/>
    <w:rsid w:val="00AF4882"/>
    <w:rsid w:val="00AF491D"/>
    <w:rsid w:val="00AF4A84"/>
    <w:rsid w:val="00AF4CBD"/>
    <w:rsid w:val="00AF4D80"/>
    <w:rsid w:val="00AF4D90"/>
    <w:rsid w:val="00AF4D9A"/>
    <w:rsid w:val="00AF5021"/>
    <w:rsid w:val="00AF50A1"/>
    <w:rsid w:val="00AF521C"/>
    <w:rsid w:val="00AF5285"/>
    <w:rsid w:val="00AF5595"/>
    <w:rsid w:val="00AF55EC"/>
    <w:rsid w:val="00AF5ABA"/>
    <w:rsid w:val="00AF5C52"/>
    <w:rsid w:val="00AF6119"/>
    <w:rsid w:val="00AF6219"/>
    <w:rsid w:val="00AF6263"/>
    <w:rsid w:val="00AF6386"/>
    <w:rsid w:val="00AF6578"/>
    <w:rsid w:val="00AF6840"/>
    <w:rsid w:val="00AF6A22"/>
    <w:rsid w:val="00AF6A28"/>
    <w:rsid w:val="00AF6A9D"/>
    <w:rsid w:val="00AF6ABC"/>
    <w:rsid w:val="00AF6BC5"/>
    <w:rsid w:val="00AF6BD3"/>
    <w:rsid w:val="00AF6C28"/>
    <w:rsid w:val="00AF6C8E"/>
    <w:rsid w:val="00AF6D08"/>
    <w:rsid w:val="00AF6FD1"/>
    <w:rsid w:val="00AF7010"/>
    <w:rsid w:val="00AF7094"/>
    <w:rsid w:val="00AF71DB"/>
    <w:rsid w:val="00AF7446"/>
    <w:rsid w:val="00AF74FF"/>
    <w:rsid w:val="00AF7565"/>
    <w:rsid w:val="00AF7608"/>
    <w:rsid w:val="00AF7710"/>
    <w:rsid w:val="00AF78F8"/>
    <w:rsid w:val="00AF7A18"/>
    <w:rsid w:val="00AF7B19"/>
    <w:rsid w:val="00AF7BEA"/>
    <w:rsid w:val="00AF7D44"/>
    <w:rsid w:val="00AF7D9D"/>
    <w:rsid w:val="00AF7E58"/>
    <w:rsid w:val="00B00231"/>
    <w:rsid w:val="00B003C8"/>
    <w:rsid w:val="00B00560"/>
    <w:rsid w:val="00B0056C"/>
    <w:rsid w:val="00B005C5"/>
    <w:rsid w:val="00B008A8"/>
    <w:rsid w:val="00B00AC6"/>
    <w:rsid w:val="00B00AE2"/>
    <w:rsid w:val="00B00DBE"/>
    <w:rsid w:val="00B0112A"/>
    <w:rsid w:val="00B01292"/>
    <w:rsid w:val="00B0132B"/>
    <w:rsid w:val="00B01610"/>
    <w:rsid w:val="00B01666"/>
    <w:rsid w:val="00B0192C"/>
    <w:rsid w:val="00B01983"/>
    <w:rsid w:val="00B01B2C"/>
    <w:rsid w:val="00B01B52"/>
    <w:rsid w:val="00B01B64"/>
    <w:rsid w:val="00B01BCD"/>
    <w:rsid w:val="00B01D8C"/>
    <w:rsid w:val="00B01E57"/>
    <w:rsid w:val="00B01E70"/>
    <w:rsid w:val="00B01EEE"/>
    <w:rsid w:val="00B020A8"/>
    <w:rsid w:val="00B020F3"/>
    <w:rsid w:val="00B02254"/>
    <w:rsid w:val="00B022B9"/>
    <w:rsid w:val="00B022E9"/>
    <w:rsid w:val="00B02386"/>
    <w:rsid w:val="00B023C7"/>
    <w:rsid w:val="00B024E4"/>
    <w:rsid w:val="00B02575"/>
    <w:rsid w:val="00B0260D"/>
    <w:rsid w:val="00B027AA"/>
    <w:rsid w:val="00B02823"/>
    <w:rsid w:val="00B028D3"/>
    <w:rsid w:val="00B02FE1"/>
    <w:rsid w:val="00B03229"/>
    <w:rsid w:val="00B0327E"/>
    <w:rsid w:val="00B03397"/>
    <w:rsid w:val="00B035FD"/>
    <w:rsid w:val="00B03799"/>
    <w:rsid w:val="00B0382B"/>
    <w:rsid w:val="00B0384A"/>
    <w:rsid w:val="00B039A3"/>
    <w:rsid w:val="00B03AA3"/>
    <w:rsid w:val="00B03B33"/>
    <w:rsid w:val="00B03BF6"/>
    <w:rsid w:val="00B03C53"/>
    <w:rsid w:val="00B03C89"/>
    <w:rsid w:val="00B03D0D"/>
    <w:rsid w:val="00B03DCE"/>
    <w:rsid w:val="00B03EBD"/>
    <w:rsid w:val="00B04092"/>
    <w:rsid w:val="00B04163"/>
    <w:rsid w:val="00B042EB"/>
    <w:rsid w:val="00B043AC"/>
    <w:rsid w:val="00B044F3"/>
    <w:rsid w:val="00B04502"/>
    <w:rsid w:val="00B04574"/>
    <w:rsid w:val="00B046D8"/>
    <w:rsid w:val="00B04872"/>
    <w:rsid w:val="00B04A70"/>
    <w:rsid w:val="00B04AE8"/>
    <w:rsid w:val="00B04B76"/>
    <w:rsid w:val="00B04DD1"/>
    <w:rsid w:val="00B04F23"/>
    <w:rsid w:val="00B05313"/>
    <w:rsid w:val="00B055FA"/>
    <w:rsid w:val="00B056BA"/>
    <w:rsid w:val="00B05834"/>
    <w:rsid w:val="00B059BC"/>
    <w:rsid w:val="00B05B44"/>
    <w:rsid w:val="00B05BD1"/>
    <w:rsid w:val="00B05C7F"/>
    <w:rsid w:val="00B05F6E"/>
    <w:rsid w:val="00B0606A"/>
    <w:rsid w:val="00B060A7"/>
    <w:rsid w:val="00B060D3"/>
    <w:rsid w:val="00B060F2"/>
    <w:rsid w:val="00B06240"/>
    <w:rsid w:val="00B062D6"/>
    <w:rsid w:val="00B063D6"/>
    <w:rsid w:val="00B0660C"/>
    <w:rsid w:val="00B0667E"/>
    <w:rsid w:val="00B066AB"/>
    <w:rsid w:val="00B06783"/>
    <w:rsid w:val="00B067BE"/>
    <w:rsid w:val="00B06903"/>
    <w:rsid w:val="00B0694E"/>
    <w:rsid w:val="00B0694F"/>
    <w:rsid w:val="00B069DB"/>
    <w:rsid w:val="00B06A08"/>
    <w:rsid w:val="00B06A12"/>
    <w:rsid w:val="00B06CDA"/>
    <w:rsid w:val="00B06D80"/>
    <w:rsid w:val="00B071ED"/>
    <w:rsid w:val="00B072FD"/>
    <w:rsid w:val="00B0732E"/>
    <w:rsid w:val="00B0741D"/>
    <w:rsid w:val="00B07496"/>
    <w:rsid w:val="00B075EE"/>
    <w:rsid w:val="00B07675"/>
    <w:rsid w:val="00B07755"/>
    <w:rsid w:val="00B07D95"/>
    <w:rsid w:val="00B07EF9"/>
    <w:rsid w:val="00B07F3D"/>
    <w:rsid w:val="00B1000A"/>
    <w:rsid w:val="00B1008D"/>
    <w:rsid w:val="00B100FE"/>
    <w:rsid w:val="00B103BF"/>
    <w:rsid w:val="00B10521"/>
    <w:rsid w:val="00B1083E"/>
    <w:rsid w:val="00B109A6"/>
    <w:rsid w:val="00B10A0D"/>
    <w:rsid w:val="00B10A5A"/>
    <w:rsid w:val="00B10BDA"/>
    <w:rsid w:val="00B10CE5"/>
    <w:rsid w:val="00B10F91"/>
    <w:rsid w:val="00B11081"/>
    <w:rsid w:val="00B11171"/>
    <w:rsid w:val="00B1128F"/>
    <w:rsid w:val="00B112B4"/>
    <w:rsid w:val="00B1146C"/>
    <w:rsid w:val="00B115DA"/>
    <w:rsid w:val="00B11778"/>
    <w:rsid w:val="00B119B1"/>
    <w:rsid w:val="00B11ACC"/>
    <w:rsid w:val="00B11AFF"/>
    <w:rsid w:val="00B12073"/>
    <w:rsid w:val="00B1230A"/>
    <w:rsid w:val="00B12499"/>
    <w:rsid w:val="00B12642"/>
    <w:rsid w:val="00B126A3"/>
    <w:rsid w:val="00B1284C"/>
    <w:rsid w:val="00B128CD"/>
    <w:rsid w:val="00B12930"/>
    <w:rsid w:val="00B12B78"/>
    <w:rsid w:val="00B12BD8"/>
    <w:rsid w:val="00B12CC8"/>
    <w:rsid w:val="00B12DCF"/>
    <w:rsid w:val="00B12DE2"/>
    <w:rsid w:val="00B12F5D"/>
    <w:rsid w:val="00B12F6A"/>
    <w:rsid w:val="00B1303E"/>
    <w:rsid w:val="00B1338E"/>
    <w:rsid w:val="00B133E8"/>
    <w:rsid w:val="00B134CD"/>
    <w:rsid w:val="00B13872"/>
    <w:rsid w:val="00B1395E"/>
    <w:rsid w:val="00B139D5"/>
    <w:rsid w:val="00B13B54"/>
    <w:rsid w:val="00B13BA4"/>
    <w:rsid w:val="00B13C0B"/>
    <w:rsid w:val="00B13DCD"/>
    <w:rsid w:val="00B13ED7"/>
    <w:rsid w:val="00B13F3F"/>
    <w:rsid w:val="00B13FEA"/>
    <w:rsid w:val="00B14043"/>
    <w:rsid w:val="00B14072"/>
    <w:rsid w:val="00B1489E"/>
    <w:rsid w:val="00B14B89"/>
    <w:rsid w:val="00B14CD2"/>
    <w:rsid w:val="00B14DF3"/>
    <w:rsid w:val="00B14E7F"/>
    <w:rsid w:val="00B151D8"/>
    <w:rsid w:val="00B15288"/>
    <w:rsid w:val="00B154BB"/>
    <w:rsid w:val="00B1560F"/>
    <w:rsid w:val="00B15692"/>
    <w:rsid w:val="00B15793"/>
    <w:rsid w:val="00B15ABA"/>
    <w:rsid w:val="00B15C4C"/>
    <w:rsid w:val="00B15C92"/>
    <w:rsid w:val="00B15DAD"/>
    <w:rsid w:val="00B15F3D"/>
    <w:rsid w:val="00B15F70"/>
    <w:rsid w:val="00B15F82"/>
    <w:rsid w:val="00B1626C"/>
    <w:rsid w:val="00B16651"/>
    <w:rsid w:val="00B16749"/>
    <w:rsid w:val="00B1689C"/>
    <w:rsid w:val="00B16960"/>
    <w:rsid w:val="00B16B0B"/>
    <w:rsid w:val="00B16DEF"/>
    <w:rsid w:val="00B1701E"/>
    <w:rsid w:val="00B17167"/>
    <w:rsid w:val="00B17260"/>
    <w:rsid w:val="00B172AB"/>
    <w:rsid w:val="00B173C3"/>
    <w:rsid w:val="00B17493"/>
    <w:rsid w:val="00B1750F"/>
    <w:rsid w:val="00B175A5"/>
    <w:rsid w:val="00B1761D"/>
    <w:rsid w:val="00B177EA"/>
    <w:rsid w:val="00B17819"/>
    <w:rsid w:val="00B179C3"/>
    <w:rsid w:val="00B17C2C"/>
    <w:rsid w:val="00B17D6A"/>
    <w:rsid w:val="00B17DB3"/>
    <w:rsid w:val="00B17DF9"/>
    <w:rsid w:val="00B17EE4"/>
    <w:rsid w:val="00B20174"/>
    <w:rsid w:val="00B201D6"/>
    <w:rsid w:val="00B2030C"/>
    <w:rsid w:val="00B203E3"/>
    <w:rsid w:val="00B203F2"/>
    <w:rsid w:val="00B20407"/>
    <w:rsid w:val="00B20517"/>
    <w:rsid w:val="00B206B3"/>
    <w:rsid w:val="00B20795"/>
    <w:rsid w:val="00B20824"/>
    <w:rsid w:val="00B2095D"/>
    <w:rsid w:val="00B2097F"/>
    <w:rsid w:val="00B20A36"/>
    <w:rsid w:val="00B20AD8"/>
    <w:rsid w:val="00B20B3B"/>
    <w:rsid w:val="00B20C93"/>
    <w:rsid w:val="00B20DF8"/>
    <w:rsid w:val="00B20E6C"/>
    <w:rsid w:val="00B20FAD"/>
    <w:rsid w:val="00B21078"/>
    <w:rsid w:val="00B212F9"/>
    <w:rsid w:val="00B21519"/>
    <w:rsid w:val="00B2155D"/>
    <w:rsid w:val="00B216D2"/>
    <w:rsid w:val="00B216F3"/>
    <w:rsid w:val="00B2187F"/>
    <w:rsid w:val="00B21A27"/>
    <w:rsid w:val="00B21BCD"/>
    <w:rsid w:val="00B21C2C"/>
    <w:rsid w:val="00B21D46"/>
    <w:rsid w:val="00B22579"/>
    <w:rsid w:val="00B2274C"/>
    <w:rsid w:val="00B22A2A"/>
    <w:rsid w:val="00B22A62"/>
    <w:rsid w:val="00B22A6B"/>
    <w:rsid w:val="00B22DFD"/>
    <w:rsid w:val="00B22F07"/>
    <w:rsid w:val="00B2304C"/>
    <w:rsid w:val="00B2312A"/>
    <w:rsid w:val="00B23132"/>
    <w:rsid w:val="00B2356E"/>
    <w:rsid w:val="00B236B9"/>
    <w:rsid w:val="00B237E7"/>
    <w:rsid w:val="00B23EA5"/>
    <w:rsid w:val="00B2402E"/>
    <w:rsid w:val="00B24302"/>
    <w:rsid w:val="00B24328"/>
    <w:rsid w:val="00B24413"/>
    <w:rsid w:val="00B2444B"/>
    <w:rsid w:val="00B24731"/>
    <w:rsid w:val="00B248DF"/>
    <w:rsid w:val="00B249E9"/>
    <w:rsid w:val="00B24C5A"/>
    <w:rsid w:val="00B24E69"/>
    <w:rsid w:val="00B24ECF"/>
    <w:rsid w:val="00B24FF4"/>
    <w:rsid w:val="00B25018"/>
    <w:rsid w:val="00B250BE"/>
    <w:rsid w:val="00B25312"/>
    <w:rsid w:val="00B2535C"/>
    <w:rsid w:val="00B25398"/>
    <w:rsid w:val="00B253F0"/>
    <w:rsid w:val="00B2580E"/>
    <w:rsid w:val="00B2599F"/>
    <w:rsid w:val="00B25A3D"/>
    <w:rsid w:val="00B25ADF"/>
    <w:rsid w:val="00B25C1F"/>
    <w:rsid w:val="00B25C58"/>
    <w:rsid w:val="00B25E26"/>
    <w:rsid w:val="00B25EB0"/>
    <w:rsid w:val="00B25F23"/>
    <w:rsid w:val="00B25F73"/>
    <w:rsid w:val="00B26009"/>
    <w:rsid w:val="00B26158"/>
    <w:rsid w:val="00B2630F"/>
    <w:rsid w:val="00B2640D"/>
    <w:rsid w:val="00B264F0"/>
    <w:rsid w:val="00B2655E"/>
    <w:rsid w:val="00B26768"/>
    <w:rsid w:val="00B26835"/>
    <w:rsid w:val="00B26877"/>
    <w:rsid w:val="00B2689D"/>
    <w:rsid w:val="00B26F7C"/>
    <w:rsid w:val="00B27005"/>
    <w:rsid w:val="00B27264"/>
    <w:rsid w:val="00B275C3"/>
    <w:rsid w:val="00B275C7"/>
    <w:rsid w:val="00B2768A"/>
    <w:rsid w:val="00B27760"/>
    <w:rsid w:val="00B27784"/>
    <w:rsid w:val="00B279F7"/>
    <w:rsid w:val="00B27B67"/>
    <w:rsid w:val="00B27BFC"/>
    <w:rsid w:val="00B27C18"/>
    <w:rsid w:val="00B27FA2"/>
    <w:rsid w:val="00B27FF0"/>
    <w:rsid w:val="00B300BE"/>
    <w:rsid w:val="00B305A3"/>
    <w:rsid w:val="00B3084D"/>
    <w:rsid w:val="00B3088E"/>
    <w:rsid w:val="00B30A37"/>
    <w:rsid w:val="00B30B72"/>
    <w:rsid w:val="00B30CA1"/>
    <w:rsid w:val="00B30D1E"/>
    <w:rsid w:val="00B30E68"/>
    <w:rsid w:val="00B30F26"/>
    <w:rsid w:val="00B30F2B"/>
    <w:rsid w:val="00B3129F"/>
    <w:rsid w:val="00B31353"/>
    <w:rsid w:val="00B314F3"/>
    <w:rsid w:val="00B316B1"/>
    <w:rsid w:val="00B317A8"/>
    <w:rsid w:val="00B31BA0"/>
    <w:rsid w:val="00B31DD8"/>
    <w:rsid w:val="00B31DE2"/>
    <w:rsid w:val="00B31DFF"/>
    <w:rsid w:val="00B31E4B"/>
    <w:rsid w:val="00B31EAC"/>
    <w:rsid w:val="00B32109"/>
    <w:rsid w:val="00B32233"/>
    <w:rsid w:val="00B32250"/>
    <w:rsid w:val="00B323CD"/>
    <w:rsid w:val="00B323FE"/>
    <w:rsid w:val="00B32510"/>
    <w:rsid w:val="00B325DB"/>
    <w:rsid w:val="00B32714"/>
    <w:rsid w:val="00B32721"/>
    <w:rsid w:val="00B32879"/>
    <w:rsid w:val="00B32ABF"/>
    <w:rsid w:val="00B32CA8"/>
    <w:rsid w:val="00B32ECD"/>
    <w:rsid w:val="00B3308F"/>
    <w:rsid w:val="00B330E3"/>
    <w:rsid w:val="00B33433"/>
    <w:rsid w:val="00B33477"/>
    <w:rsid w:val="00B3374C"/>
    <w:rsid w:val="00B3376F"/>
    <w:rsid w:val="00B33CA2"/>
    <w:rsid w:val="00B33CEB"/>
    <w:rsid w:val="00B33CF1"/>
    <w:rsid w:val="00B33E1C"/>
    <w:rsid w:val="00B3409C"/>
    <w:rsid w:val="00B341EF"/>
    <w:rsid w:val="00B342E7"/>
    <w:rsid w:val="00B34430"/>
    <w:rsid w:val="00B344FA"/>
    <w:rsid w:val="00B34604"/>
    <w:rsid w:val="00B3481A"/>
    <w:rsid w:val="00B349A9"/>
    <w:rsid w:val="00B34A9D"/>
    <w:rsid w:val="00B34BAD"/>
    <w:rsid w:val="00B34D8A"/>
    <w:rsid w:val="00B34E2A"/>
    <w:rsid w:val="00B34ED0"/>
    <w:rsid w:val="00B34F2C"/>
    <w:rsid w:val="00B34F57"/>
    <w:rsid w:val="00B34F63"/>
    <w:rsid w:val="00B3507B"/>
    <w:rsid w:val="00B351AA"/>
    <w:rsid w:val="00B35304"/>
    <w:rsid w:val="00B353B4"/>
    <w:rsid w:val="00B35463"/>
    <w:rsid w:val="00B3548A"/>
    <w:rsid w:val="00B354FF"/>
    <w:rsid w:val="00B3551D"/>
    <w:rsid w:val="00B355AF"/>
    <w:rsid w:val="00B3571F"/>
    <w:rsid w:val="00B357FA"/>
    <w:rsid w:val="00B3592F"/>
    <w:rsid w:val="00B35AB9"/>
    <w:rsid w:val="00B35C33"/>
    <w:rsid w:val="00B362E6"/>
    <w:rsid w:val="00B364AF"/>
    <w:rsid w:val="00B3661A"/>
    <w:rsid w:val="00B366ED"/>
    <w:rsid w:val="00B367AB"/>
    <w:rsid w:val="00B3693D"/>
    <w:rsid w:val="00B369E6"/>
    <w:rsid w:val="00B36A94"/>
    <w:rsid w:val="00B36BE3"/>
    <w:rsid w:val="00B36C2D"/>
    <w:rsid w:val="00B36D34"/>
    <w:rsid w:val="00B36ED6"/>
    <w:rsid w:val="00B36FBC"/>
    <w:rsid w:val="00B372F7"/>
    <w:rsid w:val="00B37376"/>
    <w:rsid w:val="00B373D5"/>
    <w:rsid w:val="00B373FD"/>
    <w:rsid w:val="00B37487"/>
    <w:rsid w:val="00B376F9"/>
    <w:rsid w:val="00B377AA"/>
    <w:rsid w:val="00B37818"/>
    <w:rsid w:val="00B37871"/>
    <w:rsid w:val="00B37AF1"/>
    <w:rsid w:val="00B37B4F"/>
    <w:rsid w:val="00B37EEB"/>
    <w:rsid w:val="00B37F20"/>
    <w:rsid w:val="00B405CA"/>
    <w:rsid w:val="00B40605"/>
    <w:rsid w:val="00B406B4"/>
    <w:rsid w:val="00B40796"/>
    <w:rsid w:val="00B40799"/>
    <w:rsid w:val="00B407BB"/>
    <w:rsid w:val="00B4094F"/>
    <w:rsid w:val="00B409F8"/>
    <w:rsid w:val="00B40A9C"/>
    <w:rsid w:val="00B40AC3"/>
    <w:rsid w:val="00B40D0A"/>
    <w:rsid w:val="00B40D9B"/>
    <w:rsid w:val="00B40E16"/>
    <w:rsid w:val="00B40EC3"/>
    <w:rsid w:val="00B41051"/>
    <w:rsid w:val="00B4114B"/>
    <w:rsid w:val="00B4119A"/>
    <w:rsid w:val="00B41387"/>
    <w:rsid w:val="00B41571"/>
    <w:rsid w:val="00B41592"/>
    <w:rsid w:val="00B415EF"/>
    <w:rsid w:val="00B4165B"/>
    <w:rsid w:val="00B41849"/>
    <w:rsid w:val="00B41C82"/>
    <w:rsid w:val="00B41CA8"/>
    <w:rsid w:val="00B41E7D"/>
    <w:rsid w:val="00B41F59"/>
    <w:rsid w:val="00B42132"/>
    <w:rsid w:val="00B423CE"/>
    <w:rsid w:val="00B42887"/>
    <w:rsid w:val="00B4292A"/>
    <w:rsid w:val="00B429F2"/>
    <w:rsid w:val="00B42A50"/>
    <w:rsid w:val="00B42A6F"/>
    <w:rsid w:val="00B42AA4"/>
    <w:rsid w:val="00B42CF3"/>
    <w:rsid w:val="00B42F81"/>
    <w:rsid w:val="00B42F94"/>
    <w:rsid w:val="00B42FD7"/>
    <w:rsid w:val="00B4310D"/>
    <w:rsid w:val="00B43291"/>
    <w:rsid w:val="00B4335A"/>
    <w:rsid w:val="00B436E7"/>
    <w:rsid w:val="00B4376A"/>
    <w:rsid w:val="00B437DE"/>
    <w:rsid w:val="00B43B2D"/>
    <w:rsid w:val="00B43BB3"/>
    <w:rsid w:val="00B43BCE"/>
    <w:rsid w:val="00B43C3D"/>
    <w:rsid w:val="00B43C54"/>
    <w:rsid w:val="00B43E02"/>
    <w:rsid w:val="00B43EFB"/>
    <w:rsid w:val="00B43F71"/>
    <w:rsid w:val="00B44156"/>
    <w:rsid w:val="00B44206"/>
    <w:rsid w:val="00B44218"/>
    <w:rsid w:val="00B4435E"/>
    <w:rsid w:val="00B4460E"/>
    <w:rsid w:val="00B447E2"/>
    <w:rsid w:val="00B448E2"/>
    <w:rsid w:val="00B44A8A"/>
    <w:rsid w:val="00B44B5C"/>
    <w:rsid w:val="00B44D5D"/>
    <w:rsid w:val="00B450A0"/>
    <w:rsid w:val="00B454CE"/>
    <w:rsid w:val="00B45538"/>
    <w:rsid w:val="00B45614"/>
    <w:rsid w:val="00B45813"/>
    <w:rsid w:val="00B4586D"/>
    <w:rsid w:val="00B4595D"/>
    <w:rsid w:val="00B45B0B"/>
    <w:rsid w:val="00B45C1E"/>
    <w:rsid w:val="00B45CCA"/>
    <w:rsid w:val="00B45EA9"/>
    <w:rsid w:val="00B45F35"/>
    <w:rsid w:val="00B46062"/>
    <w:rsid w:val="00B4610E"/>
    <w:rsid w:val="00B4642F"/>
    <w:rsid w:val="00B465DB"/>
    <w:rsid w:val="00B46736"/>
    <w:rsid w:val="00B467E8"/>
    <w:rsid w:val="00B46FD7"/>
    <w:rsid w:val="00B46FE1"/>
    <w:rsid w:val="00B47041"/>
    <w:rsid w:val="00B470B4"/>
    <w:rsid w:val="00B47403"/>
    <w:rsid w:val="00B47513"/>
    <w:rsid w:val="00B4773B"/>
    <w:rsid w:val="00B47885"/>
    <w:rsid w:val="00B478E5"/>
    <w:rsid w:val="00B47A97"/>
    <w:rsid w:val="00B47CA5"/>
    <w:rsid w:val="00B47D1B"/>
    <w:rsid w:val="00B47E24"/>
    <w:rsid w:val="00B47F05"/>
    <w:rsid w:val="00B47F2F"/>
    <w:rsid w:val="00B47FBE"/>
    <w:rsid w:val="00B5018E"/>
    <w:rsid w:val="00B501C3"/>
    <w:rsid w:val="00B501F1"/>
    <w:rsid w:val="00B502FE"/>
    <w:rsid w:val="00B503ED"/>
    <w:rsid w:val="00B5045D"/>
    <w:rsid w:val="00B504C2"/>
    <w:rsid w:val="00B5063D"/>
    <w:rsid w:val="00B5071C"/>
    <w:rsid w:val="00B50D62"/>
    <w:rsid w:val="00B50E2A"/>
    <w:rsid w:val="00B50E67"/>
    <w:rsid w:val="00B51238"/>
    <w:rsid w:val="00B51288"/>
    <w:rsid w:val="00B5148E"/>
    <w:rsid w:val="00B515E4"/>
    <w:rsid w:val="00B5191F"/>
    <w:rsid w:val="00B51BB6"/>
    <w:rsid w:val="00B51D80"/>
    <w:rsid w:val="00B51DDB"/>
    <w:rsid w:val="00B51E84"/>
    <w:rsid w:val="00B51FA6"/>
    <w:rsid w:val="00B52007"/>
    <w:rsid w:val="00B5208B"/>
    <w:rsid w:val="00B520CB"/>
    <w:rsid w:val="00B5220D"/>
    <w:rsid w:val="00B522AD"/>
    <w:rsid w:val="00B522F6"/>
    <w:rsid w:val="00B5280F"/>
    <w:rsid w:val="00B52887"/>
    <w:rsid w:val="00B52924"/>
    <w:rsid w:val="00B529A1"/>
    <w:rsid w:val="00B52AF6"/>
    <w:rsid w:val="00B52B33"/>
    <w:rsid w:val="00B52B8A"/>
    <w:rsid w:val="00B52B95"/>
    <w:rsid w:val="00B52BDB"/>
    <w:rsid w:val="00B52D05"/>
    <w:rsid w:val="00B52DD9"/>
    <w:rsid w:val="00B52EAA"/>
    <w:rsid w:val="00B52EE4"/>
    <w:rsid w:val="00B52EE8"/>
    <w:rsid w:val="00B52F04"/>
    <w:rsid w:val="00B52F5C"/>
    <w:rsid w:val="00B530ED"/>
    <w:rsid w:val="00B53120"/>
    <w:rsid w:val="00B53122"/>
    <w:rsid w:val="00B53130"/>
    <w:rsid w:val="00B531DF"/>
    <w:rsid w:val="00B53231"/>
    <w:rsid w:val="00B5326A"/>
    <w:rsid w:val="00B5329C"/>
    <w:rsid w:val="00B532B6"/>
    <w:rsid w:val="00B53485"/>
    <w:rsid w:val="00B5348F"/>
    <w:rsid w:val="00B534F1"/>
    <w:rsid w:val="00B53653"/>
    <w:rsid w:val="00B537C0"/>
    <w:rsid w:val="00B53817"/>
    <w:rsid w:val="00B53987"/>
    <w:rsid w:val="00B539A6"/>
    <w:rsid w:val="00B53BAF"/>
    <w:rsid w:val="00B53BCC"/>
    <w:rsid w:val="00B53C49"/>
    <w:rsid w:val="00B53D3F"/>
    <w:rsid w:val="00B53E57"/>
    <w:rsid w:val="00B53F97"/>
    <w:rsid w:val="00B54007"/>
    <w:rsid w:val="00B5403E"/>
    <w:rsid w:val="00B54094"/>
    <w:rsid w:val="00B54173"/>
    <w:rsid w:val="00B543A5"/>
    <w:rsid w:val="00B54420"/>
    <w:rsid w:val="00B5447B"/>
    <w:rsid w:val="00B54537"/>
    <w:rsid w:val="00B54670"/>
    <w:rsid w:val="00B54759"/>
    <w:rsid w:val="00B5479A"/>
    <w:rsid w:val="00B54976"/>
    <w:rsid w:val="00B54A3B"/>
    <w:rsid w:val="00B54CAE"/>
    <w:rsid w:val="00B54DE0"/>
    <w:rsid w:val="00B54E09"/>
    <w:rsid w:val="00B55096"/>
    <w:rsid w:val="00B550C2"/>
    <w:rsid w:val="00B5510E"/>
    <w:rsid w:val="00B55168"/>
    <w:rsid w:val="00B55235"/>
    <w:rsid w:val="00B55293"/>
    <w:rsid w:val="00B555DE"/>
    <w:rsid w:val="00B556A7"/>
    <w:rsid w:val="00B5578B"/>
    <w:rsid w:val="00B55AE4"/>
    <w:rsid w:val="00B55B3F"/>
    <w:rsid w:val="00B55C0A"/>
    <w:rsid w:val="00B55C8B"/>
    <w:rsid w:val="00B55DB6"/>
    <w:rsid w:val="00B55F61"/>
    <w:rsid w:val="00B560F5"/>
    <w:rsid w:val="00B56302"/>
    <w:rsid w:val="00B5632C"/>
    <w:rsid w:val="00B56345"/>
    <w:rsid w:val="00B5640B"/>
    <w:rsid w:val="00B56455"/>
    <w:rsid w:val="00B5646D"/>
    <w:rsid w:val="00B564B0"/>
    <w:rsid w:val="00B56584"/>
    <w:rsid w:val="00B5662B"/>
    <w:rsid w:val="00B5671F"/>
    <w:rsid w:val="00B56BA3"/>
    <w:rsid w:val="00B56D3F"/>
    <w:rsid w:val="00B56D6B"/>
    <w:rsid w:val="00B56F98"/>
    <w:rsid w:val="00B5711C"/>
    <w:rsid w:val="00B5715F"/>
    <w:rsid w:val="00B5736F"/>
    <w:rsid w:val="00B576C1"/>
    <w:rsid w:val="00B576E0"/>
    <w:rsid w:val="00B57829"/>
    <w:rsid w:val="00B5788E"/>
    <w:rsid w:val="00B57BE9"/>
    <w:rsid w:val="00B57E5D"/>
    <w:rsid w:val="00B601E1"/>
    <w:rsid w:val="00B6026D"/>
    <w:rsid w:val="00B60342"/>
    <w:rsid w:val="00B605E4"/>
    <w:rsid w:val="00B60772"/>
    <w:rsid w:val="00B607A8"/>
    <w:rsid w:val="00B6083E"/>
    <w:rsid w:val="00B608FE"/>
    <w:rsid w:val="00B609E2"/>
    <w:rsid w:val="00B60A09"/>
    <w:rsid w:val="00B60A53"/>
    <w:rsid w:val="00B60C3C"/>
    <w:rsid w:val="00B60E1E"/>
    <w:rsid w:val="00B60E76"/>
    <w:rsid w:val="00B60E87"/>
    <w:rsid w:val="00B610D7"/>
    <w:rsid w:val="00B616EB"/>
    <w:rsid w:val="00B61723"/>
    <w:rsid w:val="00B6176D"/>
    <w:rsid w:val="00B61853"/>
    <w:rsid w:val="00B618DB"/>
    <w:rsid w:val="00B6190B"/>
    <w:rsid w:val="00B61918"/>
    <w:rsid w:val="00B61972"/>
    <w:rsid w:val="00B61A33"/>
    <w:rsid w:val="00B61A9C"/>
    <w:rsid w:val="00B61BEF"/>
    <w:rsid w:val="00B61D80"/>
    <w:rsid w:val="00B61E67"/>
    <w:rsid w:val="00B61EC9"/>
    <w:rsid w:val="00B62193"/>
    <w:rsid w:val="00B6220B"/>
    <w:rsid w:val="00B62260"/>
    <w:rsid w:val="00B625ED"/>
    <w:rsid w:val="00B627D9"/>
    <w:rsid w:val="00B62A76"/>
    <w:rsid w:val="00B62E25"/>
    <w:rsid w:val="00B62F8E"/>
    <w:rsid w:val="00B62FD1"/>
    <w:rsid w:val="00B630A9"/>
    <w:rsid w:val="00B630AB"/>
    <w:rsid w:val="00B6313A"/>
    <w:rsid w:val="00B631E1"/>
    <w:rsid w:val="00B633D5"/>
    <w:rsid w:val="00B633E1"/>
    <w:rsid w:val="00B6374D"/>
    <w:rsid w:val="00B637FE"/>
    <w:rsid w:val="00B638BC"/>
    <w:rsid w:val="00B63BD2"/>
    <w:rsid w:val="00B63C40"/>
    <w:rsid w:val="00B63C56"/>
    <w:rsid w:val="00B63E7B"/>
    <w:rsid w:val="00B6401D"/>
    <w:rsid w:val="00B64125"/>
    <w:rsid w:val="00B643FF"/>
    <w:rsid w:val="00B646FF"/>
    <w:rsid w:val="00B64797"/>
    <w:rsid w:val="00B64989"/>
    <w:rsid w:val="00B64AE5"/>
    <w:rsid w:val="00B64BB3"/>
    <w:rsid w:val="00B64E68"/>
    <w:rsid w:val="00B64FDC"/>
    <w:rsid w:val="00B65274"/>
    <w:rsid w:val="00B652BA"/>
    <w:rsid w:val="00B65394"/>
    <w:rsid w:val="00B65396"/>
    <w:rsid w:val="00B65A15"/>
    <w:rsid w:val="00B65A17"/>
    <w:rsid w:val="00B65A43"/>
    <w:rsid w:val="00B65AB7"/>
    <w:rsid w:val="00B65D03"/>
    <w:rsid w:val="00B65DB0"/>
    <w:rsid w:val="00B65DFC"/>
    <w:rsid w:val="00B66296"/>
    <w:rsid w:val="00B663A0"/>
    <w:rsid w:val="00B66881"/>
    <w:rsid w:val="00B66943"/>
    <w:rsid w:val="00B66970"/>
    <w:rsid w:val="00B6699F"/>
    <w:rsid w:val="00B66ADE"/>
    <w:rsid w:val="00B66E69"/>
    <w:rsid w:val="00B66F63"/>
    <w:rsid w:val="00B67084"/>
    <w:rsid w:val="00B670B2"/>
    <w:rsid w:val="00B67241"/>
    <w:rsid w:val="00B67532"/>
    <w:rsid w:val="00B6774A"/>
    <w:rsid w:val="00B67847"/>
    <w:rsid w:val="00B67B72"/>
    <w:rsid w:val="00B67D0E"/>
    <w:rsid w:val="00B67EC6"/>
    <w:rsid w:val="00B67EF4"/>
    <w:rsid w:val="00B700E0"/>
    <w:rsid w:val="00B70571"/>
    <w:rsid w:val="00B706FE"/>
    <w:rsid w:val="00B70729"/>
    <w:rsid w:val="00B70847"/>
    <w:rsid w:val="00B70BA7"/>
    <w:rsid w:val="00B70C11"/>
    <w:rsid w:val="00B70E1D"/>
    <w:rsid w:val="00B711A9"/>
    <w:rsid w:val="00B71248"/>
    <w:rsid w:val="00B71259"/>
    <w:rsid w:val="00B7132F"/>
    <w:rsid w:val="00B7144F"/>
    <w:rsid w:val="00B714C3"/>
    <w:rsid w:val="00B714F6"/>
    <w:rsid w:val="00B7155A"/>
    <w:rsid w:val="00B715BE"/>
    <w:rsid w:val="00B717CE"/>
    <w:rsid w:val="00B719FB"/>
    <w:rsid w:val="00B71A07"/>
    <w:rsid w:val="00B71AB9"/>
    <w:rsid w:val="00B71B01"/>
    <w:rsid w:val="00B71B87"/>
    <w:rsid w:val="00B71DF9"/>
    <w:rsid w:val="00B71F2C"/>
    <w:rsid w:val="00B71F39"/>
    <w:rsid w:val="00B71F6A"/>
    <w:rsid w:val="00B72161"/>
    <w:rsid w:val="00B72278"/>
    <w:rsid w:val="00B72327"/>
    <w:rsid w:val="00B72382"/>
    <w:rsid w:val="00B726AF"/>
    <w:rsid w:val="00B72738"/>
    <w:rsid w:val="00B72773"/>
    <w:rsid w:val="00B72A30"/>
    <w:rsid w:val="00B72A5A"/>
    <w:rsid w:val="00B72AA5"/>
    <w:rsid w:val="00B72ABE"/>
    <w:rsid w:val="00B72B1B"/>
    <w:rsid w:val="00B72BD1"/>
    <w:rsid w:val="00B72D87"/>
    <w:rsid w:val="00B72E16"/>
    <w:rsid w:val="00B73090"/>
    <w:rsid w:val="00B7312F"/>
    <w:rsid w:val="00B73156"/>
    <w:rsid w:val="00B7371A"/>
    <w:rsid w:val="00B738B7"/>
    <w:rsid w:val="00B73A0A"/>
    <w:rsid w:val="00B73A4B"/>
    <w:rsid w:val="00B73AB4"/>
    <w:rsid w:val="00B73BAC"/>
    <w:rsid w:val="00B741FB"/>
    <w:rsid w:val="00B744F5"/>
    <w:rsid w:val="00B745F5"/>
    <w:rsid w:val="00B746E8"/>
    <w:rsid w:val="00B7470C"/>
    <w:rsid w:val="00B74866"/>
    <w:rsid w:val="00B74879"/>
    <w:rsid w:val="00B748F5"/>
    <w:rsid w:val="00B74CB5"/>
    <w:rsid w:val="00B74D04"/>
    <w:rsid w:val="00B74D17"/>
    <w:rsid w:val="00B74E4C"/>
    <w:rsid w:val="00B7511C"/>
    <w:rsid w:val="00B7518D"/>
    <w:rsid w:val="00B7524B"/>
    <w:rsid w:val="00B7526A"/>
    <w:rsid w:val="00B755DE"/>
    <w:rsid w:val="00B75644"/>
    <w:rsid w:val="00B7599F"/>
    <w:rsid w:val="00B75DC3"/>
    <w:rsid w:val="00B75F19"/>
    <w:rsid w:val="00B75F22"/>
    <w:rsid w:val="00B75FC1"/>
    <w:rsid w:val="00B761EB"/>
    <w:rsid w:val="00B76204"/>
    <w:rsid w:val="00B7628F"/>
    <w:rsid w:val="00B76575"/>
    <w:rsid w:val="00B76588"/>
    <w:rsid w:val="00B76596"/>
    <w:rsid w:val="00B76990"/>
    <w:rsid w:val="00B769EF"/>
    <w:rsid w:val="00B76A36"/>
    <w:rsid w:val="00B76BDB"/>
    <w:rsid w:val="00B76BDC"/>
    <w:rsid w:val="00B76D06"/>
    <w:rsid w:val="00B76E31"/>
    <w:rsid w:val="00B770D5"/>
    <w:rsid w:val="00B77122"/>
    <w:rsid w:val="00B7723B"/>
    <w:rsid w:val="00B77329"/>
    <w:rsid w:val="00B773F6"/>
    <w:rsid w:val="00B774BC"/>
    <w:rsid w:val="00B774BE"/>
    <w:rsid w:val="00B774EC"/>
    <w:rsid w:val="00B77605"/>
    <w:rsid w:val="00B776A8"/>
    <w:rsid w:val="00B778EC"/>
    <w:rsid w:val="00B7792A"/>
    <w:rsid w:val="00B77A63"/>
    <w:rsid w:val="00B77AE8"/>
    <w:rsid w:val="00B77B67"/>
    <w:rsid w:val="00B77BE7"/>
    <w:rsid w:val="00B77EF0"/>
    <w:rsid w:val="00B77F85"/>
    <w:rsid w:val="00B800EF"/>
    <w:rsid w:val="00B801CB"/>
    <w:rsid w:val="00B804FC"/>
    <w:rsid w:val="00B806A5"/>
    <w:rsid w:val="00B8097F"/>
    <w:rsid w:val="00B80B26"/>
    <w:rsid w:val="00B8111C"/>
    <w:rsid w:val="00B81199"/>
    <w:rsid w:val="00B811E3"/>
    <w:rsid w:val="00B812BE"/>
    <w:rsid w:val="00B812C1"/>
    <w:rsid w:val="00B813F6"/>
    <w:rsid w:val="00B81423"/>
    <w:rsid w:val="00B8146D"/>
    <w:rsid w:val="00B814DD"/>
    <w:rsid w:val="00B815F2"/>
    <w:rsid w:val="00B8180F"/>
    <w:rsid w:val="00B819A9"/>
    <w:rsid w:val="00B81A24"/>
    <w:rsid w:val="00B81DE1"/>
    <w:rsid w:val="00B81DEE"/>
    <w:rsid w:val="00B81E26"/>
    <w:rsid w:val="00B81F57"/>
    <w:rsid w:val="00B82174"/>
    <w:rsid w:val="00B8223D"/>
    <w:rsid w:val="00B822E2"/>
    <w:rsid w:val="00B825F6"/>
    <w:rsid w:val="00B828B7"/>
    <w:rsid w:val="00B82AB2"/>
    <w:rsid w:val="00B82AE4"/>
    <w:rsid w:val="00B82B0D"/>
    <w:rsid w:val="00B82CBF"/>
    <w:rsid w:val="00B82CF3"/>
    <w:rsid w:val="00B82DFC"/>
    <w:rsid w:val="00B830D3"/>
    <w:rsid w:val="00B83103"/>
    <w:rsid w:val="00B832CA"/>
    <w:rsid w:val="00B834B9"/>
    <w:rsid w:val="00B8359A"/>
    <w:rsid w:val="00B8366C"/>
    <w:rsid w:val="00B836AA"/>
    <w:rsid w:val="00B836CC"/>
    <w:rsid w:val="00B83763"/>
    <w:rsid w:val="00B83773"/>
    <w:rsid w:val="00B838CE"/>
    <w:rsid w:val="00B83BD9"/>
    <w:rsid w:val="00B83D9B"/>
    <w:rsid w:val="00B83F8B"/>
    <w:rsid w:val="00B83FA7"/>
    <w:rsid w:val="00B84350"/>
    <w:rsid w:val="00B84947"/>
    <w:rsid w:val="00B849FC"/>
    <w:rsid w:val="00B84B3E"/>
    <w:rsid w:val="00B84B76"/>
    <w:rsid w:val="00B84D5C"/>
    <w:rsid w:val="00B84D62"/>
    <w:rsid w:val="00B84DCE"/>
    <w:rsid w:val="00B84DD2"/>
    <w:rsid w:val="00B84ED1"/>
    <w:rsid w:val="00B84F26"/>
    <w:rsid w:val="00B84F6A"/>
    <w:rsid w:val="00B8524E"/>
    <w:rsid w:val="00B853E6"/>
    <w:rsid w:val="00B8541F"/>
    <w:rsid w:val="00B85562"/>
    <w:rsid w:val="00B858A3"/>
    <w:rsid w:val="00B858A9"/>
    <w:rsid w:val="00B859D8"/>
    <w:rsid w:val="00B859E9"/>
    <w:rsid w:val="00B85C76"/>
    <w:rsid w:val="00B85CFC"/>
    <w:rsid w:val="00B85E04"/>
    <w:rsid w:val="00B85F03"/>
    <w:rsid w:val="00B86234"/>
    <w:rsid w:val="00B8628F"/>
    <w:rsid w:val="00B862A4"/>
    <w:rsid w:val="00B86425"/>
    <w:rsid w:val="00B86502"/>
    <w:rsid w:val="00B865DD"/>
    <w:rsid w:val="00B865EC"/>
    <w:rsid w:val="00B86A09"/>
    <w:rsid w:val="00B86A56"/>
    <w:rsid w:val="00B86AE3"/>
    <w:rsid w:val="00B86C26"/>
    <w:rsid w:val="00B86C2F"/>
    <w:rsid w:val="00B86C84"/>
    <w:rsid w:val="00B86F90"/>
    <w:rsid w:val="00B87167"/>
    <w:rsid w:val="00B872B0"/>
    <w:rsid w:val="00B873CA"/>
    <w:rsid w:val="00B875B8"/>
    <w:rsid w:val="00B8760E"/>
    <w:rsid w:val="00B87620"/>
    <w:rsid w:val="00B877D4"/>
    <w:rsid w:val="00B8780C"/>
    <w:rsid w:val="00B87981"/>
    <w:rsid w:val="00B87A85"/>
    <w:rsid w:val="00B87B47"/>
    <w:rsid w:val="00B87C02"/>
    <w:rsid w:val="00B87E7D"/>
    <w:rsid w:val="00B87F89"/>
    <w:rsid w:val="00B87FBB"/>
    <w:rsid w:val="00B900F1"/>
    <w:rsid w:val="00B90115"/>
    <w:rsid w:val="00B901A8"/>
    <w:rsid w:val="00B90217"/>
    <w:rsid w:val="00B9025B"/>
    <w:rsid w:val="00B9026B"/>
    <w:rsid w:val="00B90526"/>
    <w:rsid w:val="00B905EE"/>
    <w:rsid w:val="00B9064D"/>
    <w:rsid w:val="00B9069B"/>
    <w:rsid w:val="00B907C6"/>
    <w:rsid w:val="00B9088E"/>
    <w:rsid w:val="00B909CA"/>
    <w:rsid w:val="00B90BCB"/>
    <w:rsid w:val="00B90BEF"/>
    <w:rsid w:val="00B90CFB"/>
    <w:rsid w:val="00B90DBF"/>
    <w:rsid w:val="00B90E0E"/>
    <w:rsid w:val="00B90E72"/>
    <w:rsid w:val="00B90FA3"/>
    <w:rsid w:val="00B90FDD"/>
    <w:rsid w:val="00B913C4"/>
    <w:rsid w:val="00B91453"/>
    <w:rsid w:val="00B916CD"/>
    <w:rsid w:val="00B9170B"/>
    <w:rsid w:val="00B91807"/>
    <w:rsid w:val="00B91809"/>
    <w:rsid w:val="00B91A12"/>
    <w:rsid w:val="00B91A1D"/>
    <w:rsid w:val="00B91B45"/>
    <w:rsid w:val="00B91FC5"/>
    <w:rsid w:val="00B92068"/>
    <w:rsid w:val="00B92217"/>
    <w:rsid w:val="00B922A7"/>
    <w:rsid w:val="00B922CA"/>
    <w:rsid w:val="00B922EB"/>
    <w:rsid w:val="00B92766"/>
    <w:rsid w:val="00B92842"/>
    <w:rsid w:val="00B929BE"/>
    <w:rsid w:val="00B92C2A"/>
    <w:rsid w:val="00B92F64"/>
    <w:rsid w:val="00B92F7E"/>
    <w:rsid w:val="00B92FAA"/>
    <w:rsid w:val="00B93206"/>
    <w:rsid w:val="00B935BC"/>
    <w:rsid w:val="00B938EB"/>
    <w:rsid w:val="00B93922"/>
    <w:rsid w:val="00B939C5"/>
    <w:rsid w:val="00B93A29"/>
    <w:rsid w:val="00B93B96"/>
    <w:rsid w:val="00B93BAE"/>
    <w:rsid w:val="00B93BEE"/>
    <w:rsid w:val="00B93F22"/>
    <w:rsid w:val="00B94095"/>
    <w:rsid w:val="00B9411C"/>
    <w:rsid w:val="00B94219"/>
    <w:rsid w:val="00B94633"/>
    <w:rsid w:val="00B9494F"/>
    <w:rsid w:val="00B94980"/>
    <w:rsid w:val="00B94B0C"/>
    <w:rsid w:val="00B94B43"/>
    <w:rsid w:val="00B94BC4"/>
    <w:rsid w:val="00B94D41"/>
    <w:rsid w:val="00B94D6B"/>
    <w:rsid w:val="00B94FA8"/>
    <w:rsid w:val="00B95109"/>
    <w:rsid w:val="00B95178"/>
    <w:rsid w:val="00B954CE"/>
    <w:rsid w:val="00B9574E"/>
    <w:rsid w:val="00B95754"/>
    <w:rsid w:val="00B9582C"/>
    <w:rsid w:val="00B958A4"/>
    <w:rsid w:val="00B95939"/>
    <w:rsid w:val="00B95B4F"/>
    <w:rsid w:val="00B95D73"/>
    <w:rsid w:val="00B96193"/>
    <w:rsid w:val="00B96265"/>
    <w:rsid w:val="00B965FC"/>
    <w:rsid w:val="00B96912"/>
    <w:rsid w:val="00B96917"/>
    <w:rsid w:val="00B9695D"/>
    <w:rsid w:val="00B96B5C"/>
    <w:rsid w:val="00B96C4D"/>
    <w:rsid w:val="00B96C60"/>
    <w:rsid w:val="00B96C84"/>
    <w:rsid w:val="00B96CAC"/>
    <w:rsid w:val="00B96CC9"/>
    <w:rsid w:val="00B96EB5"/>
    <w:rsid w:val="00B97223"/>
    <w:rsid w:val="00B97324"/>
    <w:rsid w:val="00B97427"/>
    <w:rsid w:val="00B97524"/>
    <w:rsid w:val="00B9752D"/>
    <w:rsid w:val="00B9781A"/>
    <w:rsid w:val="00B979D9"/>
    <w:rsid w:val="00B97A6A"/>
    <w:rsid w:val="00B97AA4"/>
    <w:rsid w:val="00B97CF0"/>
    <w:rsid w:val="00B97D5A"/>
    <w:rsid w:val="00B97DF2"/>
    <w:rsid w:val="00BA0179"/>
    <w:rsid w:val="00BA01A8"/>
    <w:rsid w:val="00BA027E"/>
    <w:rsid w:val="00BA05BC"/>
    <w:rsid w:val="00BA05DC"/>
    <w:rsid w:val="00BA06D0"/>
    <w:rsid w:val="00BA092A"/>
    <w:rsid w:val="00BA0A21"/>
    <w:rsid w:val="00BA0A73"/>
    <w:rsid w:val="00BA0AF6"/>
    <w:rsid w:val="00BA0B10"/>
    <w:rsid w:val="00BA0B62"/>
    <w:rsid w:val="00BA0CAD"/>
    <w:rsid w:val="00BA0E19"/>
    <w:rsid w:val="00BA0E2C"/>
    <w:rsid w:val="00BA0E2F"/>
    <w:rsid w:val="00BA0EB6"/>
    <w:rsid w:val="00BA0F50"/>
    <w:rsid w:val="00BA1274"/>
    <w:rsid w:val="00BA13A1"/>
    <w:rsid w:val="00BA14CA"/>
    <w:rsid w:val="00BA16AB"/>
    <w:rsid w:val="00BA18BE"/>
    <w:rsid w:val="00BA1A06"/>
    <w:rsid w:val="00BA1AB6"/>
    <w:rsid w:val="00BA1AD9"/>
    <w:rsid w:val="00BA1B60"/>
    <w:rsid w:val="00BA1BAE"/>
    <w:rsid w:val="00BA1E31"/>
    <w:rsid w:val="00BA1EB7"/>
    <w:rsid w:val="00BA200B"/>
    <w:rsid w:val="00BA2061"/>
    <w:rsid w:val="00BA209E"/>
    <w:rsid w:val="00BA214E"/>
    <w:rsid w:val="00BA22AF"/>
    <w:rsid w:val="00BA2433"/>
    <w:rsid w:val="00BA24A5"/>
    <w:rsid w:val="00BA2606"/>
    <w:rsid w:val="00BA285A"/>
    <w:rsid w:val="00BA2928"/>
    <w:rsid w:val="00BA297A"/>
    <w:rsid w:val="00BA29A7"/>
    <w:rsid w:val="00BA2A7F"/>
    <w:rsid w:val="00BA2B48"/>
    <w:rsid w:val="00BA2C19"/>
    <w:rsid w:val="00BA2CED"/>
    <w:rsid w:val="00BA2D35"/>
    <w:rsid w:val="00BA2D5C"/>
    <w:rsid w:val="00BA2D9A"/>
    <w:rsid w:val="00BA2DC5"/>
    <w:rsid w:val="00BA304F"/>
    <w:rsid w:val="00BA31D0"/>
    <w:rsid w:val="00BA3307"/>
    <w:rsid w:val="00BA3360"/>
    <w:rsid w:val="00BA34E0"/>
    <w:rsid w:val="00BA3A36"/>
    <w:rsid w:val="00BA3A5F"/>
    <w:rsid w:val="00BA3A99"/>
    <w:rsid w:val="00BA3B31"/>
    <w:rsid w:val="00BA3B7D"/>
    <w:rsid w:val="00BA3BC9"/>
    <w:rsid w:val="00BA3C30"/>
    <w:rsid w:val="00BA3D5A"/>
    <w:rsid w:val="00BA4439"/>
    <w:rsid w:val="00BA4542"/>
    <w:rsid w:val="00BA4574"/>
    <w:rsid w:val="00BA45FC"/>
    <w:rsid w:val="00BA4708"/>
    <w:rsid w:val="00BA48E3"/>
    <w:rsid w:val="00BA4B67"/>
    <w:rsid w:val="00BA4D37"/>
    <w:rsid w:val="00BA4DE1"/>
    <w:rsid w:val="00BA4DFA"/>
    <w:rsid w:val="00BA4E49"/>
    <w:rsid w:val="00BA4EA4"/>
    <w:rsid w:val="00BA5104"/>
    <w:rsid w:val="00BA52A8"/>
    <w:rsid w:val="00BA5339"/>
    <w:rsid w:val="00BA55AB"/>
    <w:rsid w:val="00BA55C3"/>
    <w:rsid w:val="00BA573A"/>
    <w:rsid w:val="00BA5B9B"/>
    <w:rsid w:val="00BA5C1E"/>
    <w:rsid w:val="00BA5D73"/>
    <w:rsid w:val="00BA5D76"/>
    <w:rsid w:val="00BA5D9A"/>
    <w:rsid w:val="00BA5F10"/>
    <w:rsid w:val="00BA603B"/>
    <w:rsid w:val="00BA6068"/>
    <w:rsid w:val="00BA639B"/>
    <w:rsid w:val="00BA65C6"/>
    <w:rsid w:val="00BA6604"/>
    <w:rsid w:val="00BA6624"/>
    <w:rsid w:val="00BA6748"/>
    <w:rsid w:val="00BA6838"/>
    <w:rsid w:val="00BA68A4"/>
    <w:rsid w:val="00BA6967"/>
    <w:rsid w:val="00BA69E1"/>
    <w:rsid w:val="00BA6AB7"/>
    <w:rsid w:val="00BA6BBE"/>
    <w:rsid w:val="00BA7005"/>
    <w:rsid w:val="00BA7010"/>
    <w:rsid w:val="00BA7057"/>
    <w:rsid w:val="00BA7069"/>
    <w:rsid w:val="00BA71F1"/>
    <w:rsid w:val="00BA7290"/>
    <w:rsid w:val="00BA7475"/>
    <w:rsid w:val="00BA7500"/>
    <w:rsid w:val="00BA760F"/>
    <w:rsid w:val="00BA77AB"/>
    <w:rsid w:val="00BA7829"/>
    <w:rsid w:val="00BA7840"/>
    <w:rsid w:val="00BA7881"/>
    <w:rsid w:val="00BA79D5"/>
    <w:rsid w:val="00BA7B12"/>
    <w:rsid w:val="00BA7B2A"/>
    <w:rsid w:val="00BA7D53"/>
    <w:rsid w:val="00BA7DCF"/>
    <w:rsid w:val="00BA7F67"/>
    <w:rsid w:val="00BB01CD"/>
    <w:rsid w:val="00BB030B"/>
    <w:rsid w:val="00BB0334"/>
    <w:rsid w:val="00BB066D"/>
    <w:rsid w:val="00BB0678"/>
    <w:rsid w:val="00BB0844"/>
    <w:rsid w:val="00BB0877"/>
    <w:rsid w:val="00BB0A7A"/>
    <w:rsid w:val="00BB0DF2"/>
    <w:rsid w:val="00BB0E43"/>
    <w:rsid w:val="00BB0E8C"/>
    <w:rsid w:val="00BB10FC"/>
    <w:rsid w:val="00BB1166"/>
    <w:rsid w:val="00BB12EF"/>
    <w:rsid w:val="00BB156C"/>
    <w:rsid w:val="00BB191B"/>
    <w:rsid w:val="00BB2002"/>
    <w:rsid w:val="00BB2018"/>
    <w:rsid w:val="00BB2063"/>
    <w:rsid w:val="00BB226C"/>
    <w:rsid w:val="00BB2618"/>
    <w:rsid w:val="00BB2C81"/>
    <w:rsid w:val="00BB2CBB"/>
    <w:rsid w:val="00BB2D6F"/>
    <w:rsid w:val="00BB2D9B"/>
    <w:rsid w:val="00BB30AF"/>
    <w:rsid w:val="00BB321D"/>
    <w:rsid w:val="00BB32DF"/>
    <w:rsid w:val="00BB3334"/>
    <w:rsid w:val="00BB33AA"/>
    <w:rsid w:val="00BB34DF"/>
    <w:rsid w:val="00BB35F2"/>
    <w:rsid w:val="00BB385D"/>
    <w:rsid w:val="00BB38FE"/>
    <w:rsid w:val="00BB397E"/>
    <w:rsid w:val="00BB3AE8"/>
    <w:rsid w:val="00BB3C0E"/>
    <w:rsid w:val="00BB3C1F"/>
    <w:rsid w:val="00BB3D18"/>
    <w:rsid w:val="00BB3E78"/>
    <w:rsid w:val="00BB3EF1"/>
    <w:rsid w:val="00BB3F76"/>
    <w:rsid w:val="00BB415D"/>
    <w:rsid w:val="00BB4197"/>
    <w:rsid w:val="00BB46E6"/>
    <w:rsid w:val="00BB47C3"/>
    <w:rsid w:val="00BB49BA"/>
    <w:rsid w:val="00BB4A0C"/>
    <w:rsid w:val="00BB4B3D"/>
    <w:rsid w:val="00BB4B60"/>
    <w:rsid w:val="00BB4C25"/>
    <w:rsid w:val="00BB4C80"/>
    <w:rsid w:val="00BB4CE3"/>
    <w:rsid w:val="00BB4DB5"/>
    <w:rsid w:val="00BB4E3B"/>
    <w:rsid w:val="00BB4F26"/>
    <w:rsid w:val="00BB4F3E"/>
    <w:rsid w:val="00BB512E"/>
    <w:rsid w:val="00BB51E6"/>
    <w:rsid w:val="00BB51F0"/>
    <w:rsid w:val="00BB52DF"/>
    <w:rsid w:val="00BB5470"/>
    <w:rsid w:val="00BB5553"/>
    <w:rsid w:val="00BB5590"/>
    <w:rsid w:val="00BB5706"/>
    <w:rsid w:val="00BB5760"/>
    <w:rsid w:val="00BB57C2"/>
    <w:rsid w:val="00BB5888"/>
    <w:rsid w:val="00BB596E"/>
    <w:rsid w:val="00BB59BA"/>
    <w:rsid w:val="00BB59E6"/>
    <w:rsid w:val="00BB5A15"/>
    <w:rsid w:val="00BB5C54"/>
    <w:rsid w:val="00BB5DDF"/>
    <w:rsid w:val="00BB6006"/>
    <w:rsid w:val="00BB6059"/>
    <w:rsid w:val="00BB625E"/>
    <w:rsid w:val="00BB66A0"/>
    <w:rsid w:val="00BB688D"/>
    <w:rsid w:val="00BB6968"/>
    <w:rsid w:val="00BB6B5B"/>
    <w:rsid w:val="00BB6BC2"/>
    <w:rsid w:val="00BB6BC9"/>
    <w:rsid w:val="00BB6CD0"/>
    <w:rsid w:val="00BB6E1B"/>
    <w:rsid w:val="00BB6F2E"/>
    <w:rsid w:val="00BB6FB1"/>
    <w:rsid w:val="00BB7191"/>
    <w:rsid w:val="00BB7337"/>
    <w:rsid w:val="00BB7413"/>
    <w:rsid w:val="00BB74C7"/>
    <w:rsid w:val="00BB75B3"/>
    <w:rsid w:val="00BB767F"/>
    <w:rsid w:val="00BB7689"/>
    <w:rsid w:val="00BB76D7"/>
    <w:rsid w:val="00BB76E6"/>
    <w:rsid w:val="00BB7737"/>
    <w:rsid w:val="00BB7899"/>
    <w:rsid w:val="00BB7B18"/>
    <w:rsid w:val="00BB7CA8"/>
    <w:rsid w:val="00BB7D34"/>
    <w:rsid w:val="00BB7D3A"/>
    <w:rsid w:val="00BB7EF4"/>
    <w:rsid w:val="00BC041D"/>
    <w:rsid w:val="00BC0633"/>
    <w:rsid w:val="00BC0666"/>
    <w:rsid w:val="00BC07D2"/>
    <w:rsid w:val="00BC08C5"/>
    <w:rsid w:val="00BC0AA2"/>
    <w:rsid w:val="00BC0CD4"/>
    <w:rsid w:val="00BC0DE0"/>
    <w:rsid w:val="00BC0F56"/>
    <w:rsid w:val="00BC1113"/>
    <w:rsid w:val="00BC114C"/>
    <w:rsid w:val="00BC11C8"/>
    <w:rsid w:val="00BC1271"/>
    <w:rsid w:val="00BC1318"/>
    <w:rsid w:val="00BC1441"/>
    <w:rsid w:val="00BC16A9"/>
    <w:rsid w:val="00BC1718"/>
    <w:rsid w:val="00BC1737"/>
    <w:rsid w:val="00BC175D"/>
    <w:rsid w:val="00BC17C9"/>
    <w:rsid w:val="00BC1ABE"/>
    <w:rsid w:val="00BC1E15"/>
    <w:rsid w:val="00BC24FE"/>
    <w:rsid w:val="00BC2524"/>
    <w:rsid w:val="00BC25CB"/>
    <w:rsid w:val="00BC2667"/>
    <w:rsid w:val="00BC272B"/>
    <w:rsid w:val="00BC2815"/>
    <w:rsid w:val="00BC28E6"/>
    <w:rsid w:val="00BC2BC0"/>
    <w:rsid w:val="00BC2C05"/>
    <w:rsid w:val="00BC2C06"/>
    <w:rsid w:val="00BC2C08"/>
    <w:rsid w:val="00BC2D8D"/>
    <w:rsid w:val="00BC2E21"/>
    <w:rsid w:val="00BC2FB7"/>
    <w:rsid w:val="00BC3224"/>
    <w:rsid w:val="00BC3292"/>
    <w:rsid w:val="00BC363A"/>
    <w:rsid w:val="00BC36D3"/>
    <w:rsid w:val="00BC36DF"/>
    <w:rsid w:val="00BC3737"/>
    <w:rsid w:val="00BC3839"/>
    <w:rsid w:val="00BC386D"/>
    <w:rsid w:val="00BC3AFF"/>
    <w:rsid w:val="00BC3B86"/>
    <w:rsid w:val="00BC3CC5"/>
    <w:rsid w:val="00BC3D6E"/>
    <w:rsid w:val="00BC3FE3"/>
    <w:rsid w:val="00BC4219"/>
    <w:rsid w:val="00BC423B"/>
    <w:rsid w:val="00BC44C1"/>
    <w:rsid w:val="00BC46DD"/>
    <w:rsid w:val="00BC485B"/>
    <w:rsid w:val="00BC4A11"/>
    <w:rsid w:val="00BC4AA8"/>
    <w:rsid w:val="00BC4ADE"/>
    <w:rsid w:val="00BC4B86"/>
    <w:rsid w:val="00BC4BB7"/>
    <w:rsid w:val="00BC4D90"/>
    <w:rsid w:val="00BC4DC7"/>
    <w:rsid w:val="00BC4EC4"/>
    <w:rsid w:val="00BC5018"/>
    <w:rsid w:val="00BC505C"/>
    <w:rsid w:val="00BC5104"/>
    <w:rsid w:val="00BC5225"/>
    <w:rsid w:val="00BC5235"/>
    <w:rsid w:val="00BC5247"/>
    <w:rsid w:val="00BC550F"/>
    <w:rsid w:val="00BC5616"/>
    <w:rsid w:val="00BC56A0"/>
    <w:rsid w:val="00BC5823"/>
    <w:rsid w:val="00BC61B6"/>
    <w:rsid w:val="00BC620B"/>
    <w:rsid w:val="00BC6273"/>
    <w:rsid w:val="00BC63A6"/>
    <w:rsid w:val="00BC65E1"/>
    <w:rsid w:val="00BC6732"/>
    <w:rsid w:val="00BC6998"/>
    <w:rsid w:val="00BC6A6A"/>
    <w:rsid w:val="00BC6B13"/>
    <w:rsid w:val="00BC6B47"/>
    <w:rsid w:val="00BC6EA8"/>
    <w:rsid w:val="00BC6F5B"/>
    <w:rsid w:val="00BC6F8C"/>
    <w:rsid w:val="00BC6F8E"/>
    <w:rsid w:val="00BC7003"/>
    <w:rsid w:val="00BC7100"/>
    <w:rsid w:val="00BC7160"/>
    <w:rsid w:val="00BC7256"/>
    <w:rsid w:val="00BC742C"/>
    <w:rsid w:val="00BC7704"/>
    <w:rsid w:val="00BC7859"/>
    <w:rsid w:val="00BC7B62"/>
    <w:rsid w:val="00BC7B9E"/>
    <w:rsid w:val="00BC7B9F"/>
    <w:rsid w:val="00BC7BD0"/>
    <w:rsid w:val="00BD004C"/>
    <w:rsid w:val="00BD0146"/>
    <w:rsid w:val="00BD05EE"/>
    <w:rsid w:val="00BD06E2"/>
    <w:rsid w:val="00BD071B"/>
    <w:rsid w:val="00BD081C"/>
    <w:rsid w:val="00BD0849"/>
    <w:rsid w:val="00BD08A8"/>
    <w:rsid w:val="00BD0B2A"/>
    <w:rsid w:val="00BD0B93"/>
    <w:rsid w:val="00BD0CFE"/>
    <w:rsid w:val="00BD0E9E"/>
    <w:rsid w:val="00BD0EC3"/>
    <w:rsid w:val="00BD0FF7"/>
    <w:rsid w:val="00BD15FF"/>
    <w:rsid w:val="00BD1628"/>
    <w:rsid w:val="00BD1670"/>
    <w:rsid w:val="00BD1721"/>
    <w:rsid w:val="00BD18A3"/>
    <w:rsid w:val="00BD1ACB"/>
    <w:rsid w:val="00BD1E77"/>
    <w:rsid w:val="00BD1ECA"/>
    <w:rsid w:val="00BD1EE5"/>
    <w:rsid w:val="00BD2201"/>
    <w:rsid w:val="00BD22DB"/>
    <w:rsid w:val="00BD2405"/>
    <w:rsid w:val="00BD2436"/>
    <w:rsid w:val="00BD26A1"/>
    <w:rsid w:val="00BD26DB"/>
    <w:rsid w:val="00BD2804"/>
    <w:rsid w:val="00BD2836"/>
    <w:rsid w:val="00BD2938"/>
    <w:rsid w:val="00BD2ACD"/>
    <w:rsid w:val="00BD2B04"/>
    <w:rsid w:val="00BD2D56"/>
    <w:rsid w:val="00BD2F3F"/>
    <w:rsid w:val="00BD32B3"/>
    <w:rsid w:val="00BD32F2"/>
    <w:rsid w:val="00BD344B"/>
    <w:rsid w:val="00BD35B8"/>
    <w:rsid w:val="00BD3636"/>
    <w:rsid w:val="00BD3AA5"/>
    <w:rsid w:val="00BD3B0A"/>
    <w:rsid w:val="00BD3B43"/>
    <w:rsid w:val="00BD3CAF"/>
    <w:rsid w:val="00BD3CD4"/>
    <w:rsid w:val="00BD3D10"/>
    <w:rsid w:val="00BD3DF8"/>
    <w:rsid w:val="00BD3E9E"/>
    <w:rsid w:val="00BD3EF9"/>
    <w:rsid w:val="00BD4313"/>
    <w:rsid w:val="00BD444B"/>
    <w:rsid w:val="00BD46BA"/>
    <w:rsid w:val="00BD4854"/>
    <w:rsid w:val="00BD4880"/>
    <w:rsid w:val="00BD4996"/>
    <w:rsid w:val="00BD49A1"/>
    <w:rsid w:val="00BD4C40"/>
    <w:rsid w:val="00BD4DC4"/>
    <w:rsid w:val="00BD5065"/>
    <w:rsid w:val="00BD510D"/>
    <w:rsid w:val="00BD5418"/>
    <w:rsid w:val="00BD5652"/>
    <w:rsid w:val="00BD5A9B"/>
    <w:rsid w:val="00BD5C80"/>
    <w:rsid w:val="00BD5D01"/>
    <w:rsid w:val="00BD6236"/>
    <w:rsid w:val="00BD6573"/>
    <w:rsid w:val="00BD65B0"/>
    <w:rsid w:val="00BD68B7"/>
    <w:rsid w:val="00BD68D1"/>
    <w:rsid w:val="00BD6BC4"/>
    <w:rsid w:val="00BD6C06"/>
    <w:rsid w:val="00BD6C85"/>
    <w:rsid w:val="00BD6D0D"/>
    <w:rsid w:val="00BD6E10"/>
    <w:rsid w:val="00BD6F8C"/>
    <w:rsid w:val="00BD7026"/>
    <w:rsid w:val="00BD70C2"/>
    <w:rsid w:val="00BD713D"/>
    <w:rsid w:val="00BD7157"/>
    <w:rsid w:val="00BD72FC"/>
    <w:rsid w:val="00BD7312"/>
    <w:rsid w:val="00BD733C"/>
    <w:rsid w:val="00BD735A"/>
    <w:rsid w:val="00BD74ED"/>
    <w:rsid w:val="00BD74F4"/>
    <w:rsid w:val="00BD7526"/>
    <w:rsid w:val="00BD76B7"/>
    <w:rsid w:val="00BD781A"/>
    <w:rsid w:val="00BD7A68"/>
    <w:rsid w:val="00BD7C2C"/>
    <w:rsid w:val="00BD7D91"/>
    <w:rsid w:val="00BD7E99"/>
    <w:rsid w:val="00BD7EA1"/>
    <w:rsid w:val="00BD7F1F"/>
    <w:rsid w:val="00BD7F97"/>
    <w:rsid w:val="00BE0285"/>
    <w:rsid w:val="00BE0333"/>
    <w:rsid w:val="00BE06C3"/>
    <w:rsid w:val="00BE071B"/>
    <w:rsid w:val="00BE0745"/>
    <w:rsid w:val="00BE095C"/>
    <w:rsid w:val="00BE0D0E"/>
    <w:rsid w:val="00BE0E0E"/>
    <w:rsid w:val="00BE0F0E"/>
    <w:rsid w:val="00BE0FDF"/>
    <w:rsid w:val="00BE1179"/>
    <w:rsid w:val="00BE11B1"/>
    <w:rsid w:val="00BE12EB"/>
    <w:rsid w:val="00BE1333"/>
    <w:rsid w:val="00BE15B5"/>
    <w:rsid w:val="00BE16ED"/>
    <w:rsid w:val="00BE18BF"/>
    <w:rsid w:val="00BE18C4"/>
    <w:rsid w:val="00BE1924"/>
    <w:rsid w:val="00BE1AAF"/>
    <w:rsid w:val="00BE1CA5"/>
    <w:rsid w:val="00BE1E88"/>
    <w:rsid w:val="00BE20C6"/>
    <w:rsid w:val="00BE217F"/>
    <w:rsid w:val="00BE227D"/>
    <w:rsid w:val="00BE23B3"/>
    <w:rsid w:val="00BE242D"/>
    <w:rsid w:val="00BE252D"/>
    <w:rsid w:val="00BE25A7"/>
    <w:rsid w:val="00BE27CF"/>
    <w:rsid w:val="00BE2A22"/>
    <w:rsid w:val="00BE2B4D"/>
    <w:rsid w:val="00BE2CF9"/>
    <w:rsid w:val="00BE2F9C"/>
    <w:rsid w:val="00BE30E9"/>
    <w:rsid w:val="00BE3294"/>
    <w:rsid w:val="00BE33C2"/>
    <w:rsid w:val="00BE356A"/>
    <w:rsid w:val="00BE35D8"/>
    <w:rsid w:val="00BE3662"/>
    <w:rsid w:val="00BE36C6"/>
    <w:rsid w:val="00BE377D"/>
    <w:rsid w:val="00BE3787"/>
    <w:rsid w:val="00BE3893"/>
    <w:rsid w:val="00BE3AFC"/>
    <w:rsid w:val="00BE3BAD"/>
    <w:rsid w:val="00BE3E8E"/>
    <w:rsid w:val="00BE405E"/>
    <w:rsid w:val="00BE4254"/>
    <w:rsid w:val="00BE42B8"/>
    <w:rsid w:val="00BE441D"/>
    <w:rsid w:val="00BE4443"/>
    <w:rsid w:val="00BE453E"/>
    <w:rsid w:val="00BE4885"/>
    <w:rsid w:val="00BE49B5"/>
    <w:rsid w:val="00BE4C42"/>
    <w:rsid w:val="00BE4F7E"/>
    <w:rsid w:val="00BE508E"/>
    <w:rsid w:val="00BE525D"/>
    <w:rsid w:val="00BE5330"/>
    <w:rsid w:val="00BE53A1"/>
    <w:rsid w:val="00BE5670"/>
    <w:rsid w:val="00BE5704"/>
    <w:rsid w:val="00BE58E5"/>
    <w:rsid w:val="00BE5C4A"/>
    <w:rsid w:val="00BE5F8C"/>
    <w:rsid w:val="00BE6029"/>
    <w:rsid w:val="00BE604A"/>
    <w:rsid w:val="00BE60D9"/>
    <w:rsid w:val="00BE610F"/>
    <w:rsid w:val="00BE6164"/>
    <w:rsid w:val="00BE62F2"/>
    <w:rsid w:val="00BE63FE"/>
    <w:rsid w:val="00BE671C"/>
    <w:rsid w:val="00BE6790"/>
    <w:rsid w:val="00BE691A"/>
    <w:rsid w:val="00BE69D7"/>
    <w:rsid w:val="00BE69E6"/>
    <w:rsid w:val="00BE6A84"/>
    <w:rsid w:val="00BE6B24"/>
    <w:rsid w:val="00BE6CFD"/>
    <w:rsid w:val="00BE6D66"/>
    <w:rsid w:val="00BE6F31"/>
    <w:rsid w:val="00BE6F4C"/>
    <w:rsid w:val="00BE7199"/>
    <w:rsid w:val="00BE736B"/>
    <w:rsid w:val="00BE74A8"/>
    <w:rsid w:val="00BE7631"/>
    <w:rsid w:val="00BE7660"/>
    <w:rsid w:val="00BE76A4"/>
    <w:rsid w:val="00BE76B5"/>
    <w:rsid w:val="00BE79C5"/>
    <w:rsid w:val="00BE7A27"/>
    <w:rsid w:val="00BE7ABE"/>
    <w:rsid w:val="00BE7BE9"/>
    <w:rsid w:val="00BE7C60"/>
    <w:rsid w:val="00BE7E45"/>
    <w:rsid w:val="00BE7E48"/>
    <w:rsid w:val="00BE7E4A"/>
    <w:rsid w:val="00BF024A"/>
    <w:rsid w:val="00BF02B5"/>
    <w:rsid w:val="00BF040E"/>
    <w:rsid w:val="00BF04D9"/>
    <w:rsid w:val="00BF04EC"/>
    <w:rsid w:val="00BF05A6"/>
    <w:rsid w:val="00BF07C9"/>
    <w:rsid w:val="00BF0954"/>
    <w:rsid w:val="00BF0A4A"/>
    <w:rsid w:val="00BF0DB3"/>
    <w:rsid w:val="00BF0E3E"/>
    <w:rsid w:val="00BF0E5D"/>
    <w:rsid w:val="00BF0E73"/>
    <w:rsid w:val="00BF0EFD"/>
    <w:rsid w:val="00BF1394"/>
    <w:rsid w:val="00BF15B0"/>
    <w:rsid w:val="00BF15B3"/>
    <w:rsid w:val="00BF16BE"/>
    <w:rsid w:val="00BF18AA"/>
    <w:rsid w:val="00BF1ABD"/>
    <w:rsid w:val="00BF1B5D"/>
    <w:rsid w:val="00BF1BB1"/>
    <w:rsid w:val="00BF1D95"/>
    <w:rsid w:val="00BF1FCA"/>
    <w:rsid w:val="00BF1FF2"/>
    <w:rsid w:val="00BF2484"/>
    <w:rsid w:val="00BF25D3"/>
    <w:rsid w:val="00BF25E0"/>
    <w:rsid w:val="00BF26E2"/>
    <w:rsid w:val="00BF26EA"/>
    <w:rsid w:val="00BF286E"/>
    <w:rsid w:val="00BF2A75"/>
    <w:rsid w:val="00BF2C2E"/>
    <w:rsid w:val="00BF2CB2"/>
    <w:rsid w:val="00BF2D30"/>
    <w:rsid w:val="00BF306D"/>
    <w:rsid w:val="00BF3109"/>
    <w:rsid w:val="00BF318D"/>
    <w:rsid w:val="00BF3463"/>
    <w:rsid w:val="00BF36C5"/>
    <w:rsid w:val="00BF380E"/>
    <w:rsid w:val="00BF3BFB"/>
    <w:rsid w:val="00BF3CB3"/>
    <w:rsid w:val="00BF3DC0"/>
    <w:rsid w:val="00BF3DE9"/>
    <w:rsid w:val="00BF3E03"/>
    <w:rsid w:val="00BF3E4A"/>
    <w:rsid w:val="00BF3FC5"/>
    <w:rsid w:val="00BF4277"/>
    <w:rsid w:val="00BF44FE"/>
    <w:rsid w:val="00BF487B"/>
    <w:rsid w:val="00BF48A6"/>
    <w:rsid w:val="00BF4953"/>
    <w:rsid w:val="00BF4963"/>
    <w:rsid w:val="00BF49AF"/>
    <w:rsid w:val="00BF4A7B"/>
    <w:rsid w:val="00BF4ADE"/>
    <w:rsid w:val="00BF4C36"/>
    <w:rsid w:val="00BF4E1A"/>
    <w:rsid w:val="00BF4F71"/>
    <w:rsid w:val="00BF52EA"/>
    <w:rsid w:val="00BF532A"/>
    <w:rsid w:val="00BF5407"/>
    <w:rsid w:val="00BF569E"/>
    <w:rsid w:val="00BF56BF"/>
    <w:rsid w:val="00BF58F5"/>
    <w:rsid w:val="00BF5A5D"/>
    <w:rsid w:val="00BF5C2D"/>
    <w:rsid w:val="00BF5E1B"/>
    <w:rsid w:val="00BF5E91"/>
    <w:rsid w:val="00BF5F2D"/>
    <w:rsid w:val="00BF6099"/>
    <w:rsid w:val="00BF6339"/>
    <w:rsid w:val="00BF63E3"/>
    <w:rsid w:val="00BF653E"/>
    <w:rsid w:val="00BF6789"/>
    <w:rsid w:val="00BF67C2"/>
    <w:rsid w:val="00BF6A83"/>
    <w:rsid w:val="00BF6A8D"/>
    <w:rsid w:val="00BF6D6D"/>
    <w:rsid w:val="00BF6F32"/>
    <w:rsid w:val="00BF706C"/>
    <w:rsid w:val="00BF739B"/>
    <w:rsid w:val="00BF73A9"/>
    <w:rsid w:val="00BF73BF"/>
    <w:rsid w:val="00BF73DD"/>
    <w:rsid w:val="00BF74E9"/>
    <w:rsid w:val="00BF7526"/>
    <w:rsid w:val="00BF7798"/>
    <w:rsid w:val="00BF7880"/>
    <w:rsid w:val="00BF7B3F"/>
    <w:rsid w:val="00BF7D18"/>
    <w:rsid w:val="00BF7D81"/>
    <w:rsid w:val="00BF7DA8"/>
    <w:rsid w:val="00BF7FF1"/>
    <w:rsid w:val="00C0003C"/>
    <w:rsid w:val="00C00073"/>
    <w:rsid w:val="00C00076"/>
    <w:rsid w:val="00C001EA"/>
    <w:rsid w:val="00C0022D"/>
    <w:rsid w:val="00C00377"/>
    <w:rsid w:val="00C00635"/>
    <w:rsid w:val="00C00903"/>
    <w:rsid w:val="00C00A35"/>
    <w:rsid w:val="00C00AFA"/>
    <w:rsid w:val="00C00BD7"/>
    <w:rsid w:val="00C00C80"/>
    <w:rsid w:val="00C00D8E"/>
    <w:rsid w:val="00C01197"/>
    <w:rsid w:val="00C0125E"/>
    <w:rsid w:val="00C012B1"/>
    <w:rsid w:val="00C013A3"/>
    <w:rsid w:val="00C013D5"/>
    <w:rsid w:val="00C015A8"/>
    <w:rsid w:val="00C0194B"/>
    <w:rsid w:val="00C01A2F"/>
    <w:rsid w:val="00C01C51"/>
    <w:rsid w:val="00C01C81"/>
    <w:rsid w:val="00C01D79"/>
    <w:rsid w:val="00C01FD9"/>
    <w:rsid w:val="00C01FF0"/>
    <w:rsid w:val="00C02409"/>
    <w:rsid w:val="00C024C0"/>
    <w:rsid w:val="00C02512"/>
    <w:rsid w:val="00C0265D"/>
    <w:rsid w:val="00C026CA"/>
    <w:rsid w:val="00C027F2"/>
    <w:rsid w:val="00C02801"/>
    <w:rsid w:val="00C028A9"/>
    <w:rsid w:val="00C0292A"/>
    <w:rsid w:val="00C029DE"/>
    <w:rsid w:val="00C02AFE"/>
    <w:rsid w:val="00C02BB1"/>
    <w:rsid w:val="00C032D8"/>
    <w:rsid w:val="00C0353D"/>
    <w:rsid w:val="00C03549"/>
    <w:rsid w:val="00C0358A"/>
    <w:rsid w:val="00C03667"/>
    <w:rsid w:val="00C03694"/>
    <w:rsid w:val="00C0377B"/>
    <w:rsid w:val="00C03845"/>
    <w:rsid w:val="00C03893"/>
    <w:rsid w:val="00C039D4"/>
    <w:rsid w:val="00C03DD9"/>
    <w:rsid w:val="00C03E2C"/>
    <w:rsid w:val="00C03E5F"/>
    <w:rsid w:val="00C03FE3"/>
    <w:rsid w:val="00C0407D"/>
    <w:rsid w:val="00C040DE"/>
    <w:rsid w:val="00C04451"/>
    <w:rsid w:val="00C044D7"/>
    <w:rsid w:val="00C044F0"/>
    <w:rsid w:val="00C0452C"/>
    <w:rsid w:val="00C045DF"/>
    <w:rsid w:val="00C04931"/>
    <w:rsid w:val="00C04950"/>
    <w:rsid w:val="00C04A53"/>
    <w:rsid w:val="00C04BC8"/>
    <w:rsid w:val="00C04C38"/>
    <w:rsid w:val="00C04DDC"/>
    <w:rsid w:val="00C04F19"/>
    <w:rsid w:val="00C050B0"/>
    <w:rsid w:val="00C05143"/>
    <w:rsid w:val="00C051E6"/>
    <w:rsid w:val="00C0559E"/>
    <w:rsid w:val="00C05645"/>
    <w:rsid w:val="00C0588D"/>
    <w:rsid w:val="00C058C8"/>
    <w:rsid w:val="00C058DD"/>
    <w:rsid w:val="00C0593E"/>
    <w:rsid w:val="00C0597E"/>
    <w:rsid w:val="00C05984"/>
    <w:rsid w:val="00C05CBE"/>
    <w:rsid w:val="00C05EC8"/>
    <w:rsid w:val="00C05ECB"/>
    <w:rsid w:val="00C06087"/>
    <w:rsid w:val="00C060AC"/>
    <w:rsid w:val="00C061AB"/>
    <w:rsid w:val="00C0623C"/>
    <w:rsid w:val="00C06339"/>
    <w:rsid w:val="00C06467"/>
    <w:rsid w:val="00C06678"/>
    <w:rsid w:val="00C066B5"/>
    <w:rsid w:val="00C06747"/>
    <w:rsid w:val="00C0680B"/>
    <w:rsid w:val="00C069B9"/>
    <w:rsid w:val="00C06A73"/>
    <w:rsid w:val="00C06AEE"/>
    <w:rsid w:val="00C06B5C"/>
    <w:rsid w:val="00C06D5B"/>
    <w:rsid w:val="00C06DBE"/>
    <w:rsid w:val="00C06E4C"/>
    <w:rsid w:val="00C06E56"/>
    <w:rsid w:val="00C06EF7"/>
    <w:rsid w:val="00C0706E"/>
    <w:rsid w:val="00C07147"/>
    <w:rsid w:val="00C07304"/>
    <w:rsid w:val="00C073E7"/>
    <w:rsid w:val="00C075C7"/>
    <w:rsid w:val="00C076BB"/>
    <w:rsid w:val="00C0779E"/>
    <w:rsid w:val="00C077BE"/>
    <w:rsid w:val="00C0784D"/>
    <w:rsid w:val="00C079C4"/>
    <w:rsid w:val="00C07A31"/>
    <w:rsid w:val="00C07BF2"/>
    <w:rsid w:val="00C07C60"/>
    <w:rsid w:val="00C07DB7"/>
    <w:rsid w:val="00C07EC5"/>
    <w:rsid w:val="00C07F05"/>
    <w:rsid w:val="00C07F33"/>
    <w:rsid w:val="00C101BA"/>
    <w:rsid w:val="00C10206"/>
    <w:rsid w:val="00C102C5"/>
    <w:rsid w:val="00C10416"/>
    <w:rsid w:val="00C1050B"/>
    <w:rsid w:val="00C105CF"/>
    <w:rsid w:val="00C106DC"/>
    <w:rsid w:val="00C108AE"/>
    <w:rsid w:val="00C109AB"/>
    <w:rsid w:val="00C10C78"/>
    <w:rsid w:val="00C10E6B"/>
    <w:rsid w:val="00C10F0D"/>
    <w:rsid w:val="00C110D2"/>
    <w:rsid w:val="00C110EA"/>
    <w:rsid w:val="00C112B1"/>
    <w:rsid w:val="00C11348"/>
    <w:rsid w:val="00C11377"/>
    <w:rsid w:val="00C1141F"/>
    <w:rsid w:val="00C1160F"/>
    <w:rsid w:val="00C11754"/>
    <w:rsid w:val="00C117CD"/>
    <w:rsid w:val="00C1190F"/>
    <w:rsid w:val="00C11A3D"/>
    <w:rsid w:val="00C11A7B"/>
    <w:rsid w:val="00C11ADB"/>
    <w:rsid w:val="00C11C88"/>
    <w:rsid w:val="00C11D70"/>
    <w:rsid w:val="00C11E93"/>
    <w:rsid w:val="00C120B9"/>
    <w:rsid w:val="00C12396"/>
    <w:rsid w:val="00C123A0"/>
    <w:rsid w:val="00C12591"/>
    <w:rsid w:val="00C125B2"/>
    <w:rsid w:val="00C1268E"/>
    <w:rsid w:val="00C126F1"/>
    <w:rsid w:val="00C12814"/>
    <w:rsid w:val="00C129F6"/>
    <w:rsid w:val="00C12AE8"/>
    <w:rsid w:val="00C12B00"/>
    <w:rsid w:val="00C12BD4"/>
    <w:rsid w:val="00C12DF0"/>
    <w:rsid w:val="00C12E1C"/>
    <w:rsid w:val="00C12E58"/>
    <w:rsid w:val="00C12FAE"/>
    <w:rsid w:val="00C13198"/>
    <w:rsid w:val="00C131FF"/>
    <w:rsid w:val="00C132B4"/>
    <w:rsid w:val="00C132E5"/>
    <w:rsid w:val="00C133CA"/>
    <w:rsid w:val="00C13445"/>
    <w:rsid w:val="00C13515"/>
    <w:rsid w:val="00C135CF"/>
    <w:rsid w:val="00C13805"/>
    <w:rsid w:val="00C13824"/>
    <w:rsid w:val="00C138EB"/>
    <w:rsid w:val="00C1390E"/>
    <w:rsid w:val="00C13A65"/>
    <w:rsid w:val="00C1402A"/>
    <w:rsid w:val="00C14158"/>
    <w:rsid w:val="00C1417D"/>
    <w:rsid w:val="00C14441"/>
    <w:rsid w:val="00C1459E"/>
    <w:rsid w:val="00C14696"/>
    <w:rsid w:val="00C14833"/>
    <w:rsid w:val="00C14B04"/>
    <w:rsid w:val="00C14B51"/>
    <w:rsid w:val="00C14CAB"/>
    <w:rsid w:val="00C14CEE"/>
    <w:rsid w:val="00C14D1A"/>
    <w:rsid w:val="00C14D37"/>
    <w:rsid w:val="00C14D63"/>
    <w:rsid w:val="00C14D87"/>
    <w:rsid w:val="00C14F1E"/>
    <w:rsid w:val="00C15067"/>
    <w:rsid w:val="00C1529E"/>
    <w:rsid w:val="00C152FB"/>
    <w:rsid w:val="00C15313"/>
    <w:rsid w:val="00C1539B"/>
    <w:rsid w:val="00C15448"/>
    <w:rsid w:val="00C15499"/>
    <w:rsid w:val="00C15517"/>
    <w:rsid w:val="00C155B4"/>
    <w:rsid w:val="00C156BB"/>
    <w:rsid w:val="00C15858"/>
    <w:rsid w:val="00C15B81"/>
    <w:rsid w:val="00C15D92"/>
    <w:rsid w:val="00C15E12"/>
    <w:rsid w:val="00C15FB8"/>
    <w:rsid w:val="00C16096"/>
    <w:rsid w:val="00C1618D"/>
    <w:rsid w:val="00C16393"/>
    <w:rsid w:val="00C164AF"/>
    <w:rsid w:val="00C164C9"/>
    <w:rsid w:val="00C165C1"/>
    <w:rsid w:val="00C16691"/>
    <w:rsid w:val="00C166EB"/>
    <w:rsid w:val="00C1682F"/>
    <w:rsid w:val="00C16955"/>
    <w:rsid w:val="00C16DD9"/>
    <w:rsid w:val="00C16E24"/>
    <w:rsid w:val="00C16E7B"/>
    <w:rsid w:val="00C16EED"/>
    <w:rsid w:val="00C171C5"/>
    <w:rsid w:val="00C173CF"/>
    <w:rsid w:val="00C17561"/>
    <w:rsid w:val="00C17671"/>
    <w:rsid w:val="00C1767C"/>
    <w:rsid w:val="00C17848"/>
    <w:rsid w:val="00C17923"/>
    <w:rsid w:val="00C179C0"/>
    <w:rsid w:val="00C17A82"/>
    <w:rsid w:val="00C17AF7"/>
    <w:rsid w:val="00C17BF6"/>
    <w:rsid w:val="00C17D15"/>
    <w:rsid w:val="00C17D28"/>
    <w:rsid w:val="00C17D4A"/>
    <w:rsid w:val="00C17E8D"/>
    <w:rsid w:val="00C17FA4"/>
    <w:rsid w:val="00C17FAF"/>
    <w:rsid w:val="00C17FBA"/>
    <w:rsid w:val="00C17FE6"/>
    <w:rsid w:val="00C2001E"/>
    <w:rsid w:val="00C200AF"/>
    <w:rsid w:val="00C20524"/>
    <w:rsid w:val="00C20750"/>
    <w:rsid w:val="00C20812"/>
    <w:rsid w:val="00C209BE"/>
    <w:rsid w:val="00C20B9B"/>
    <w:rsid w:val="00C20BB3"/>
    <w:rsid w:val="00C20D7D"/>
    <w:rsid w:val="00C20DDE"/>
    <w:rsid w:val="00C216F1"/>
    <w:rsid w:val="00C2178B"/>
    <w:rsid w:val="00C217B5"/>
    <w:rsid w:val="00C21966"/>
    <w:rsid w:val="00C21A8F"/>
    <w:rsid w:val="00C21B66"/>
    <w:rsid w:val="00C21D20"/>
    <w:rsid w:val="00C21D58"/>
    <w:rsid w:val="00C21ED6"/>
    <w:rsid w:val="00C21F06"/>
    <w:rsid w:val="00C222D3"/>
    <w:rsid w:val="00C22459"/>
    <w:rsid w:val="00C224A1"/>
    <w:rsid w:val="00C224BF"/>
    <w:rsid w:val="00C224FA"/>
    <w:rsid w:val="00C22519"/>
    <w:rsid w:val="00C22711"/>
    <w:rsid w:val="00C22858"/>
    <w:rsid w:val="00C228B9"/>
    <w:rsid w:val="00C22B43"/>
    <w:rsid w:val="00C22EE8"/>
    <w:rsid w:val="00C22F8C"/>
    <w:rsid w:val="00C23139"/>
    <w:rsid w:val="00C23289"/>
    <w:rsid w:val="00C23322"/>
    <w:rsid w:val="00C233B2"/>
    <w:rsid w:val="00C2362A"/>
    <w:rsid w:val="00C236D2"/>
    <w:rsid w:val="00C2372C"/>
    <w:rsid w:val="00C237CD"/>
    <w:rsid w:val="00C2381A"/>
    <w:rsid w:val="00C2381C"/>
    <w:rsid w:val="00C23926"/>
    <w:rsid w:val="00C23B0E"/>
    <w:rsid w:val="00C23B5A"/>
    <w:rsid w:val="00C23B7E"/>
    <w:rsid w:val="00C23DF1"/>
    <w:rsid w:val="00C23EB4"/>
    <w:rsid w:val="00C23EBF"/>
    <w:rsid w:val="00C23EEB"/>
    <w:rsid w:val="00C240C6"/>
    <w:rsid w:val="00C2418A"/>
    <w:rsid w:val="00C2445C"/>
    <w:rsid w:val="00C24579"/>
    <w:rsid w:val="00C2469D"/>
    <w:rsid w:val="00C24769"/>
    <w:rsid w:val="00C24879"/>
    <w:rsid w:val="00C24943"/>
    <w:rsid w:val="00C24A26"/>
    <w:rsid w:val="00C24C5D"/>
    <w:rsid w:val="00C24C68"/>
    <w:rsid w:val="00C24EE3"/>
    <w:rsid w:val="00C25059"/>
    <w:rsid w:val="00C25187"/>
    <w:rsid w:val="00C251A4"/>
    <w:rsid w:val="00C251F3"/>
    <w:rsid w:val="00C252F2"/>
    <w:rsid w:val="00C253D8"/>
    <w:rsid w:val="00C253DF"/>
    <w:rsid w:val="00C255BD"/>
    <w:rsid w:val="00C25615"/>
    <w:rsid w:val="00C25815"/>
    <w:rsid w:val="00C25842"/>
    <w:rsid w:val="00C25A05"/>
    <w:rsid w:val="00C25AA0"/>
    <w:rsid w:val="00C25B76"/>
    <w:rsid w:val="00C25D49"/>
    <w:rsid w:val="00C25DAC"/>
    <w:rsid w:val="00C25E4F"/>
    <w:rsid w:val="00C25F56"/>
    <w:rsid w:val="00C25FE9"/>
    <w:rsid w:val="00C261B1"/>
    <w:rsid w:val="00C26309"/>
    <w:rsid w:val="00C26349"/>
    <w:rsid w:val="00C26413"/>
    <w:rsid w:val="00C2661A"/>
    <w:rsid w:val="00C2677A"/>
    <w:rsid w:val="00C26967"/>
    <w:rsid w:val="00C26C96"/>
    <w:rsid w:val="00C26E35"/>
    <w:rsid w:val="00C270AF"/>
    <w:rsid w:val="00C27119"/>
    <w:rsid w:val="00C27140"/>
    <w:rsid w:val="00C2714F"/>
    <w:rsid w:val="00C27240"/>
    <w:rsid w:val="00C27322"/>
    <w:rsid w:val="00C273F8"/>
    <w:rsid w:val="00C2748B"/>
    <w:rsid w:val="00C2748D"/>
    <w:rsid w:val="00C275D6"/>
    <w:rsid w:val="00C275F5"/>
    <w:rsid w:val="00C27691"/>
    <w:rsid w:val="00C27694"/>
    <w:rsid w:val="00C27708"/>
    <w:rsid w:val="00C2771B"/>
    <w:rsid w:val="00C27917"/>
    <w:rsid w:val="00C27B62"/>
    <w:rsid w:val="00C27E1B"/>
    <w:rsid w:val="00C27F8A"/>
    <w:rsid w:val="00C3001E"/>
    <w:rsid w:val="00C30050"/>
    <w:rsid w:val="00C3009F"/>
    <w:rsid w:val="00C300AE"/>
    <w:rsid w:val="00C30226"/>
    <w:rsid w:val="00C3030B"/>
    <w:rsid w:val="00C30354"/>
    <w:rsid w:val="00C30397"/>
    <w:rsid w:val="00C30578"/>
    <w:rsid w:val="00C30765"/>
    <w:rsid w:val="00C3087A"/>
    <w:rsid w:val="00C308C4"/>
    <w:rsid w:val="00C30AF9"/>
    <w:rsid w:val="00C30C33"/>
    <w:rsid w:val="00C30C5B"/>
    <w:rsid w:val="00C30E6E"/>
    <w:rsid w:val="00C31177"/>
    <w:rsid w:val="00C311A6"/>
    <w:rsid w:val="00C311BA"/>
    <w:rsid w:val="00C31222"/>
    <w:rsid w:val="00C31276"/>
    <w:rsid w:val="00C31326"/>
    <w:rsid w:val="00C316E5"/>
    <w:rsid w:val="00C317F8"/>
    <w:rsid w:val="00C31887"/>
    <w:rsid w:val="00C319D2"/>
    <w:rsid w:val="00C31B08"/>
    <w:rsid w:val="00C31DC1"/>
    <w:rsid w:val="00C31DC7"/>
    <w:rsid w:val="00C31E4B"/>
    <w:rsid w:val="00C31F91"/>
    <w:rsid w:val="00C3204B"/>
    <w:rsid w:val="00C32053"/>
    <w:rsid w:val="00C321CD"/>
    <w:rsid w:val="00C32484"/>
    <w:rsid w:val="00C32598"/>
    <w:rsid w:val="00C325FC"/>
    <w:rsid w:val="00C32910"/>
    <w:rsid w:val="00C32A0F"/>
    <w:rsid w:val="00C32C06"/>
    <w:rsid w:val="00C32C76"/>
    <w:rsid w:val="00C32CE1"/>
    <w:rsid w:val="00C32D9E"/>
    <w:rsid w:val="00C32E9C"/>
    <w:rsid w:val="00C32FC4"/>
    <w:rsid w:val="00C33152"/>
    <w:rsid w:val="00C3319D"/>
    <w:rsid w:val="00C331F2"/>
    <w:rsid w:val="00C3347D"/>
    <w:rsid w:val="00C335C3"/>
    <w:rsid w:val="00C336E3"/>
    <w:rsid w:val="00C33A76"/>
    <w:rsid w:val="00C33A83"/>
    <w:rsid w:val="00C33A92"/>
    <w:rsid w:val="00C33AA9"/>
    <w:rsid w:val="00C3422B"/>
    <w:rsid w:val="00C34433"/>
    <w:rsid w:val="00C34449"/>
    <w:rsid w:val="00C34558"/>
    <w:rsid w:val="00C346CB"/>
    <w:rsid w:val="00C34724"/>
    <w:rsid w:val="00C34725"/>
    <w:rsid w:val="00C347D1"/>
    <w:rsid w:val="00C347F1"/>
    <w:rsid w:val="00C34A19"/>
    <w:rsid w:val="00C34A7D"/>
    <w:rsid w:val="00C34AA3"/>
    <w:rsid w:val="00C34ABC"/>
    <w:rsid w:val="00C34C89"/>
    <w:rsid w:val="00C34D10"/>
    <w:rsid w:val="00C35230"/>
    <w:rsid w:val="00C352BD"/>
    <w:rsid w:val="00C3530F"/>
    <w:rsid w:val="00C35447"/>
    <w:rsid w:val="00C35591"/>
    <w:rsid w:val="00C35650"/>
    <w:rsid w:val="00C356C6"/>
    <w:rsid w:val="00C35717"/>
    <w:rsid w:val="00C35766"/>
    <w:rsid w:val="00C35A32"/>
    <w:rsid w:val="00C35ABC"/>
    <w:rsid w:val="00C35D30"/>
    <w:rsid w:val="00C35DAF"/>
    <w:rsid w:val="00C361B0"/>
    <w:rsid w:val="00C362E4"/>
    <w:rsid w:val="00C36482"/>
    <w:rsid w:val="00C36509"/>
    <w:rsid w:val="00C3657C"/>
    <w:rsid w:val="00C368A8"/>
    <w:rsid w:val="00C369D6"/>
    <w:rsid w:val="00C36AB1"/>
    <w:rsid w:val="00C36AFE"/>
    <w:rsid w:val="00C36B03"/>
    <w:rsid w:val="00C36B2C"/>
    <w:rsid w:val="00C36C82"/>
    <w:rsid w:val="00C36E82"/>
    <w:rsid w:val="00C36FC9"/>
    <w:rsid w:val="00C370BA"/>
    <w:rsid w:val="00C37301"/>
    <w:rsid w:val="00C37328"/>
    <w:rsid w:val="00C373FC"/>
    <w:rsid w:val="00C3740C"/>
    <w:rsid w:val="00C37571"/>
    <w:rsid w:val="00C376CB"/>
    <w:rsid w:val="00C376F1"/>
    <w:rsid w:val="00C37755"/>
    <w:rsid w:val="00C3777E"/>
    <w:rsid w:val="00C37867"/>
    <w:rsid w:val="00C3790F"/>
    <w:rsid w:val="00C37D0B"/>
    <w:rsid w:val="00C37F37"/>
    <w:rsid w:val="00C37FB9"/>
    <w:rsid w:val="00C40022"/>
    <w:rsid w:val="00C4003B"/>
    <w:rsid w:val="00C402F0"/>
    <w:rsid w:val="00C405C1"/>
    <w:rsid w:val="00C4060B"/>
    <w:rsid w:val="00C4098C"/>
    <w:rsid w:val="00C40B5B"/>
    <w:rsid w:val="00C40D47"/>
    <w:rsid w:val="00C40F26"/>
    <w:rsid w:val="00C41085"/>
    <w:rsid w:val="00C410DE"/>
    <w:rsid w:val="00C4123F"/>
    <w:rsid w:val="00C412E9"/>
    <w:rsid w:val="00C4158F"/>
    <w:rsid w:val="00C415A1"/>
    <w:rsid w:val="00C4166F"/>
    <w:rsid w:val="00C416BD"/>
    <w:rsid w:val="00C416F4"/>
    <w:rsid w:val="00C41986"/>
    <w:rsid w:val="00C419F7"/>
    <w:rsid w:val="00C41A22"/>
    <w:rsid w:val="00C41A90"/>
    <w:rsid w:val="00C41BF0"/>
    <w:rsid w:val="00C42034"/>
    <w:rsid w:val="00C420FC"/>
    <w:rsid w:val="00C4229C"/>
    <w:rsid w:val="00C42582"/>
    <w:rsid w:val="00C42721"/>
    <w:rsid w:val="00C42894"/>
    <w:rsid w:val="00C42A9B"/>
    <w:rsid w:val="00C42BE5"/>
    <w:rsid w:val="00C42CA9"/>
    <w:rsid w:val="00C42D9B"/>
    <w:rsid w:val="00C42E53"/>
    <w:rsid w:val="00C4305C"/>
    <w:rsid w:val="00C43089"/>
    <w:rsid w:val="00C43596"/>
    <w:rsid w:val="00C43601"/>
    <w:rsid w:val="00C43924"/>
    <w:rsid w:val="00C43A0E"/>
    <w:rsid w:val="00C43BA8"/>
    <w:rsid w:val="00C43C58"/>
    <w:rsid w:val="00C43D8E"/>
    <w:rsid w:val="00C43F60"/>
    <w:rsid w:val="00C43FA8"/>
    <w:rsid w:val="00C44260"/>
    <w:rsid w:val="00C443A6"/>
    <w:rsid w:val="00C4443A"/>
    <w:rsid w:val="00C4459D"/>
    <w:rsid w:val="00C447E1"/>
    <w:rsid w:val="00C449F1"/>
    <w:rsid w:val="00C44B0C"/>
    <w:rsid w:val="00C44EE0"/>
    <w:rsid w:val="00C44F11"/>
    <w:rsid w:val="00C44F41"/>
    <w:rsid w:val="00C44F4A"/>
    <w:rsid w:val="00C44FD3"/>
    <w:rsid w:val="00C4503F"/>
    <w:rsid w:val="00C45058"/>
    <w:rsid w:val="00C45088"/>
    <w:rsid w:val="00C450F0"/>
    <w:rsid w:val="00C45137"/>
    <w:rsid w:val="00C451AC"/>
    <w:rsid w:val="00C451D1"/>
    <w:rsid w:val="00C45216"/>
    <w:rsid w:val="00C4521A"/>
    <w:rsid w:val="00C452C9"/>
    <w:rsid w:val="00C45645"/>
    <w:rsid w:val="00C4591E"/>
    <w:rsid w:val="00C45B19"/>
    <w:rsid w:val="00C45BAD"/>
    <w:rsid w:val="00C45C39"/>
    <w:rsid w:val="00C45CA3"/>
    <w:rsid w:val="00C45D25"/>
    <w:rsid w:val="00C45F52"/>
    <w:rsid w:val="00C4632D"/>
    <w:rsid w:val="00C46399"/>
    <w:rsid w:val="00C4661A"/>
    <w:rsid w:val="00C46734"/>
    <w:rsid w:val="00C469D8"/>
    <w:rsid w:val="00C46A3C"/>
    <w:rsid w:val="00C46B04"/>
    <w:rsid w:val="00C46B72"/>
    <w:rsid w:val="00C46C1E"/>
    <w:rsid w:val="00C46CB2"/>
    <w:rsid w:val="00C46D0D"/>
    <w:rsid w:val="00C46DCE"/>
    <w:rsid w:val="00C46E1A"/>
    <w:rsid w:val="00C46F45"/>
    <w:rsid w:val="00C4709A"/>
    <w:rsid w:val="00C470A4"/>
    <w:rsid w:val="00C47187"/>
    <w:rsid w:val="00C47191"/>
    <w:rsid w:val="00C471F1"/>
    <w:rsid w:val="00C472DA"/>
    <w:rsid w:val="00C47404"/>
    <w:rsid w:val="00C47434"/>
    <w:rsid w:val="00C474A6"/>
    <w:rsid w:val="00C4758E"/>
    <w:rsid w:val="00C478C8"/>
    <w:rsid w:val="00C47A0C"/>
    <w:rsid w:val="00C47A7A"/>
    <w:rsid w:val="00C47B5E"/>
    <w:rsid w:val="00C47B83"/>
    <w:rsid w:val="00C47C5A"/>
    <w:rsid w:val="00C47DBB"/>
    <w:rsid w:val="00C47F95"/>
    <w:rsid w:val="00C47FDD"/>
    <w:rsid w:val="00C502F0"/>
    <w:rsid w:val="00C503DB"/>
    <w:rsid w:val="00C503F4"/>
    <w:rsid w:val="00C503F8"/>
    <w:rsid w:val="00C504F0"/>
    <w:rsid w:val="00C505ED"/>
    <w:rsid w:val="00C50A46"/>
    <w:rsid w:val="00C50AF5"/>
    <w:rsid w:val="00C50BC4"/>
    <w:rsid w:val="00C50FC1"/>
    <w:rsid w:val="00C50FE1"/>
    <w:rsid w:val="00C51165"/>
    <w:rsid w:val="00C51174"/>
    <w:rsid w:val="00C51327"/>
    <w:rsid w:val="00C5153E"/>
    <w:rsid w:val="00C516DF"/>
    <w:rsid w:val="00C51767"/>
    <w:rsid w:val="00C51819"/>
    <w:rsid w:val="00C51BBA"/>
    <w:rsid w:val="00C51E6A"/>
    <w:rsid w:val="00C51F40"/>
    <w:rsid w:val="00C51F65"/>
    <w:rsid w:val="00C51FD4"/>
    <w:rsid w:val="00C5217A"/>
    <w:rsid w:val="00C52232"/>
    <w:rsid w:val="00C52265"/>
    <w:rsid w:val="00C52284"/>
    <w:rsid w:val="00C52421"/>
    <w:rsid w:val="00C52520"/>
    <w:rsid w:val="00C52562"/>
    <w:rsid w:val="00C52734"/>
    <w:rsid w:val="00C52B5F"/>
    <w:rsid w:val="00C52C15"/>
    <w:rsid w:val="00C52C56"/>
    <w:rsid w:val="00C52CFE"/>
    <w:rsid w:val="00C52E6D"/>
    <w:rsid w:val="00C52EF7"/>
    <w:rsid w:val="00C5322A"/>
    <w:rsid w:val="00C532AC"/>
    <w:rsid w:val="00C532E4"/>
    <w:rsid w:val="00C5333F"/>
    <w:rsid w:val="00C53359"/>
    <w:rsid w:val="00C53414"/>
    <w:rsid w:val="00C534F0"/>
    <w:rsid w:val="00C536D3"/>
    <w:rsid w:val="00C53737"/>
    <w:rsid w:val="00C53742"/>
    <w:rsid w:val="00C538A6"/>
    <w:rsid w:val="00C53999"/>
    <w:rsid w:val="00C53A64"/>
    <w:rsid w:val="00C53B5A"/>
    <w:rsid w:val="00C53C43"/>
    <w:rsid w:val="00C53EAF"/>
    <w:rsid w:val="00C54076"/>
    <w:rsid w:val="00C54246"/>
    <w:rsid w:val="00C545D1"/>
    <w:rsid w:val="00C545E4"/>
    <w:rsid w:val="00C5467C"/>
    <w:rsid w:val="00C54852"/>
    <w:rsid w:val="00C5499F"/>
    <w:rsid w:val="00C54C56"/>
    <w:rsid w:val="00C54C65"/>
    <w:rsid w:val="00C54D8D"/>
    <w:rsid w:val="00C54D9F"/>
    <w:rsid w:val="00C54F82"/>
    <w:rsid w:val="00C5507E"/>
    <w:rsid w:val="00C550B9"/>
    <w:rsid w:val="00C554CC"/>
    <w:rsid w:val="00C554D7"/>
    <w:rsid w:val="00C55642"/>
    <w:rsid w:val="00C5592C"/>
    <w:rsid w:val="00C55B52"/>
    <w:rsid w:val="00C55BD1"/>
    <w:rsid w:val="00C55D62"/>
    <w:rsid w:val="00C55E0B"/>
    <w:rsid w:val="00C55F6F"/>
    <w:rsid w:val="00C55F8D"/>
    <w:rsid w:val="00C56190"/>
    <w:rsid w:val="00C56745"/>
    <w:rsid w:val="00C56CA5"/>
    <w:rsid w:val="00C56EB9"/>
    <w:rsid w:val="00C56F17"/>
    <w:rsid w:val="00C56F38"/>
    <w:rsid w:val="00C57055"/>
    <w:rsid w:val="00C570AC"/>
    <w:rsid w:val="00C570EA"/>
    <w:rsid w:val="00C57467"/>
    <w:rsid w:val="00C57482"/>
    <w:rsid w:val="00C57485"/>
    <w:rsid w:val="00C574DE"/>
    <w:rsid w:val="00C574EC"/>
    <w:rsid w:val="00C57705"/>
    <w:rsid w:val="00C577CD"/>
    <w:rsid w:val="00C577CE"/>
    <w:rsid w:val="00C57B0D"/>
    <w:rsid w:val="00C57B7C"/>
    <w:rsid w:val="00C57BE3"/>
    <w:rsid w:val="00C57DF3"/>
    <w:rsid w:val="00C601F5"/>
    <w:rsid w:val="00C60334"/>
    <w:rsid w:val="00C603DC"/>
    <w:rsid w:val="00C60410"/>
    <w:rsid w:val="00C605BD"/>
    <w:rsid w:val="00C60621"/>
    <w:rsid w:val="00C60649"/>
    <w:rsid w:val="00C60662"/>
    <w:rsid w:val="00C60663"/>
    <w:rsid w:val="00C60803"/>
    <w:rsid w:val="00C60972"/>
    <w:rsid w:val="00C6098B"/>
    <w:rsid w:val="00C60C70"/>
    <w:rsid w:val="00C60C92"/>
    <w:rsid w:val="00C60CD4"/>
    <w:rsid w:val="00C60D59"/>
    <w:rsid w:val="00C60DB5"/>
    <w:rsid w:val="00C60DB8"/>
    <w:rsid w:val="00C60E01"/>
    <w:rsid w:val="00C60E91"/>
    <w:rsid w:val="00C610EF"/>
    <w:rsid w:val="00C61745"/>
    <w:rsid w:val="00C6187E"/>
    <w:rsid w:val="00C61AF7"/>
    <w:rsid w:val="00C61B9F"/>
    <w:rsid w:val="00C61BFF"/>
    <w:rsid w:val="00C61C4F"/>
    <w:rsid w:val="00C61D48"/>
    <w:rsid w:val="00C61D95"/>
    <w:rsid w:val="00C61DF5"/>
    <w:rsid w:val="00C61E6D"/>
    <w:rsid w:val="00C61F06"/>
    <w:rsid w:val="00C6207C"/>
    <w:rsid w:val="00C620FA"/>
    <w:rsid w:val="00C622CC"/>
    <w:rsid w:val="00C622FB"/>
    <w:rsid w:val="00C62363"/>
    <w:rsid w:val="00C6238D"/>
    <w:rsid w:val="00C623B0"/>
    <w:rsid w:val="00C623D6"/>
    <w:rsid w:val="00C6244C"/>
    <w:rsid w:val="00C62795"/>
    <w:rsid w:val="00C6289C"/>
    <w:rsid w:val="00C62F32"/>
    <w:rsid w:val="00C62F9B"/>
    <w:rsid w:val="00C631BF"/>
    <w:rsid w:val="00C63518"/>
    <w:rsid w:val="00C63654"/>
    <w:rsid w:val="00C638E2"/>
    <w:rsid w:val="00C63B2A"/>
    <w:rsid w:val="00C63C96"/>
    <w:rsid w:val="00C63EFD"/>
    <w:rsid w:val="00C63F1B"/>
    <w:rsid w:val="00C64104"/>
    <w:rsid w:val="00C64133"/>
    <w:rsid w:val="00C6425E"/>
    <w:rsid w:val="00C6426B"/>
    <w:rsid w:val="00C64273"/>
    <w:rsid w:val="00C64293"/>
    <w:rsid w:val="00C642FA"/>
    <w:rsid w:val="00C6437B"/>
    <w:rsid w:val="00C645EC"/>
    <w:rsid w:val="00C646CC"/>
    <w:rsid w:val="00C64798"/>
    <w:rsid w:val="00C64ACA"/>
    <w:rsid w:val="00C64AD6"/>
    <w:rsid w:val="00C64BDB"/>
    <w:rsid w:val="00C64D3D"/>
    <w:rsid w:val="00C64DD4"/>
    <w:rsid w:val="00C64EEA"/>
    <w:rsid w:val="00C65103"/>
    <w:rsid w:val="00C65153"/>
    <w:rsid w:val="00C65175"/>
    <w:rsid w:val="00C65249"/>
    <w:rsid w:val="00C6556E"/>
    <w:rsid w:val="00C655CB"/>
    <w:rsid w:val="00C65731"/>
    <w:rsid w:val="00C6574B"/>
    <w:rsid w:val="00C657EE"/>
    <w:rsid w:val="00C659E8"/>
    <w:rsid w:val="00C65A9B"/>
    <w:rsid w:val="00C65AAE"/>
    <w:rsid w:val="00C65C59"/>
    <w:rsid w:val="00C65CC1"/>
    <w:rsid w:val="00C65CE3"/>
    <w:rsid w:val="00C65D43"/>
    <w:rsid w:val="00C6601B"/>
    <w:rsid w:val="00C66021"/>
    <w:rsid w:val="00C660BB"/>
    <w:rsid w:val="00C660DA"/>
    <w:rsid w:val="00C66179"/>
    <w:rsid w:val="00C661AD"/>
    <w:rsid w:val="00C662C2"/>
    <w:rsid w:val="00C66341"/>
    <w:rsid w:val="00C663BF"/>
    <w:rsid w:val="00C66416"/>
    <w:rsid w:val="00C6646F"/>
    <w:rsid w:val="00C6675B"/>
    <w:rsid w:val="00C66833"/>
    <w:rsid w:val="00C66B00"/>
    <w:rsid w:val="00C66C59"/>
    <w:rsid w:val="00C66F3E"/>
    <w:rsid w:val="00C66FF6"/>
    <w:rsid w:val="00C6758A"/>
    <w:rsid w:val="00C67798"/>
    <w:rsid w:val="00C67947"/>
    <w:rsid w:val="00C67A22"/>
    <w:rsid w:val="00C67A53"/>
    <w:rsid w:val="00C67B04"/>
    <w:rsid w:val="00C67B64"/>
    <w:rsid w:val="00C67BA0"/>
    <w:rsid w:val="00C67BA1"/>
    <w:rsid w:val="00C67F21"/>
    <w:rsid w:val="00C67F5C"/>
    <w:rsid w:val="00C7013F"/>
    <w:rsid w:val="00C70237"/>
    <w:rsid w:val="00C703E2"/>
    <w:rsid w:val="00C705BC"/>
    <w:rsid w:val="00C70643"/>
    <w:rsid w:val="00C706C1"/>
    <w:rsid w:val="00C7076D"/>
    <w:rsid w:val="00C70837"/>
    <w:rsid w:val="00C7090C"/>
    <w:rsid w:val="00C70BA7"/>
    <w:rsid w:val="00C70BD8"/>
    <w:rsid w:val="00C70BFF"/>
    <w:rsid w:val="00C70D22"/>
    <w:rsid w:val="00C70F2E"/>
    <w:rsid w:val="00C7102D"/>
    <w:rsid w:val="00C71032"/>
    <w:rsid w:val="00C71042"/>
    <w:rsid w:val="00C71136"/>
    <w:rsid w:val="00C714BC"/>
    <w:rsid w:val="00C71648"/>
    <w:rsid w:val="00C716D0"/>
    <w:rsid w:val="00C71A0F"/>
    <w:rsid w:val="00C71B9C"/>
    <w:rsid w:val="00C71BB5"/>
    <w:rsid w:val="00C71D27"/>
    <w:rsid w:val="00C71F2E"/>
    <w:rsid w:val="00C71FDE"/>
    <w:rsid w:val="00C723D3"/>
    <w:rsid w:val="00C725F3"/>
    <w:rsid w:val="00C7262C"/>
    <w:rsid w:val="00C727F3"/>
    <w:rsid w:val="00C72EB9"/>
    <w:rsid w:val="00C730BC"/>
    <w:rsid w:val="00C7343A"/>
    <w:rsid w:val="00C73905"/>
    <w:rsid w:val="00C73A80"/>
    <w:rsid w:val="00C73CA6"/>
    <w:rsid w:val="00C73CE0"/>
    <w:rsid w:val="00C73D70"/>
    <w:rsid w:val="00C73DB6"/>
    <w:rsid w:val="00C73EAE"/>
    <w:rsid w:val="00C73ECB"/>
    <w:rsid w:val="00C73F35"/>
    <w:rsid w:val="00C73FC9"/>
    <w:rsid w:val="00C742D6"/>
    <w:rsid w:val="00C7435F"/>
    <w:rsid w:val="00C74418"/>
    <w:rsid w:val="00C74447"/>
    <w:rsid w:val="00C7457D"/>
    <w:rsid w:val="00C747BF"/>
    <w:rsid w:val="00C74801"/>
    <w:rsid w:val="00C74E17"/>
    <w:rsid w:val="00C74E67"/>
    <w:rsid w:val="00C74F02"/>
    <w:rsid w:val="00C74F67"/>
    <w:rsid w:val="00C7568F"/>
    <w:rsid w:val="00C756E8"/>
    <w:rsid w:val="00C75702"/>
    <w:rsid w:val="00C7586E"/>
    <w:rsid w:val="00C75C0D"/>
    <w:rsid w:val="00C75FB6"/>
    <w:rsid w:val="00C76271"/>
    <w:rsid w:val="00C76340"/>
    <w:rsid w:val="00C7634E"/>
    <w:rsid w:val="00C7646A"/>
    <w:rsid w:val="00C764B4"/>
    <w:rsid w:val="00C76523"/>
    <w:rsid w:val="00C76894"/>
    <w:rsid w:val="00C7699A"/>
    <w:rsid w:val="00C76BB3"/>
    <w:rsid w:val="00C76C0B"/>
    <w:rsid w:val="00C76D8F"/>
    <w:rsid w:val="00C76F17"/>
    <w:rsid w:val="00C76FE0"/>
    <w:rsid w:val="00C76FF3"/>
    <w:rsid w:val="00C771AE"/>
    <w:rsid w:val="00C77223"/>
    <w:rsid w:val="00C77314"/>
    <w:rsid w:val="00C77460"/>
    <w:rsid w:val="00C7750C"/>
    <w:rsid w:val="00C776CA"/>
    <w:rsid w:val="00C77719"/>
    <w:rsid w:val="00C779C0"/>
    <w:rsid w:val="00C77A50"/>
    <w:rsid w:val="00C77B73"/>
    <w:rsid w:val="00C77B89"/>
    <w:rsid w:val="00C77C15"/>
    <w:rsid w:val="00C77C16"/>
    <w:rsid w:val="00C77C81"/>
    <w:rsid w:val="00C77E91"/>
    <w:rsid w:val="00C800EB"/>
    <w:rsid w:val="00C800F1"/>
    <w:rsid w:val="00C802AA"/>
    <w:rsid w:val="00C80765"/>
    <w:rsid w:val="00C80807"/>
    <w:rsid w:val="00C80862"/>
    <w:rsid w:val="00C80BB0"/>
    <w:rsid w:val="00C80C09"/>
    <w:rsid w:val="00C80C45"/>
    <w:rsid w:val="00C80DB0"/>
    <w:rsid w:val="00C80F80"/>
    <w:rsid w:val="00C80FB7"/>
    <w:rsid w:val="00C8101D"/>
    <w:rsid w:val="00C811DC"/>
    <w:rsid w:val="00C81232"/>
    <w:rsid w:val="00C8124A"/>
    <w:rsid w:val="00C81464"/>
    <w:rsid w:val="00C8158F"/>
    <w:rsid w:val="00C815C2"/>
    <w:rsid w:val="00C81835"/>
    <w:rsid w:val="00C818DB"/>
    <w:rsid w:val="00C819D7"/>
    <w:rsid w:val="00C81AAC"/>
    <w:rsid w:val="00C81B71"/>
    <w:rsid w:val="00C81C1E"/>
    <w:rsid w:val="00C81CA6"/>
    <w:rsid w:val="00C81ED4"/>
    <w:rsid w:val="00C820D1"/>
    <w:rsid w:val="00C821FF"/>
    <w:rsid w:val="00C822FD"/>
    <w:rsid w:val="00C8250E"/>
    <w:rsid w:val="00C82AD7"/>
    <w:rsid w:val="00C82CB6"/>
    <w:rsid w:val="00C82CD0"/>
    <w:rsid w:val="00C82E08"/>
    <w:rsid w:val="00C82E68"/>
    <w:rsid w:val="00C82F35"/>
    <w:rsid w:val="00C8343C"/>
    <w:rsid w:val="00C835CD"/>
    <w:rsid w:val="00C83823"/>
    <w:rsid w:val="00C838A9"/>
    <w:rsid w:val="00C83A25"/>
    <w:rsid w:val="00C83A92"/>
    <w:rsid w:val="00C83BD8"/>
    <w:rsid w:val="00C83DFF"/>
    <w:rsid w:val="00C83F3C"/>
    <w:rsid w:val="00C842CC"/>
    <w:rsid w:val="00C844D1"/>
    <w:rsid w:val="00C845C0"/>
    <w:rsid w:val="00C846D2"/>
    <w:rsid w:val="00C848CC"/>
    <w:rsid w:val="00C84DD3"/>
    <w:rsid w:val="00C84EB1"/>
    <w:rsid w:val="00C84F87"/>
    <w:rsid w:val="00C84F88"/>
    <w:rsid w:val="00C84FFB"/>
    <w:rsid w:val="00C85122"/>
    <w:rsid w:val="00C8529E"/>
    <w:rsid w:val="00C85409"/>
    <w:rsid w:val="00C85414"/>
    <w:rsid w:val="00C856D9"/>
    <w:rsid w:val="00C85D4B"/>
    <w:rsid w:val="00C85EAC"/>
    <w:rsid w:val="00C85EBD"/>
    <w:rsid w:val="00C85F0F"/>
    <w:rsid w:val="00C85F41"/>
    <w:rsid w:val="00C86029"/>
    <w:rsid w:val="00C8619A"/>
    <w:rsid w:val="00C865D7"/>
    <w:rsid w:val="00C8678C"/>
    <w:rsid w:val="00C86983"/>
    <w:rsid w:val="00C86D0C"/>
    <w:rsid w:val="00C86D2B"/>
    <w:rsid w:val="00C86D5D"/>
    <w:rsid w:val="00C86DB9"/>
    <w:rsid w:val="00C86E49"/>
    <w:rsid w:val="00C86F4C"/>
    <w:rsid w:val="00C86F7E"/>
    <w:rsid w:val="00C87041"/>
    <w:rsid w:val="00C870CA"/>
    <w:rsid w:val="00C871A3"/>
    <w:rsid w:val="00C8721F"/>
    <w:rsid w:val="00C8730D"/>
    <w:rsid w:val="00C8739D"/>
    <w:rsid w:val="00C873B2"/>
    <w:rsid w:val="00C87563"/>
    <w:rsid w:val="00C875B7"/>
    <w:rsid w:val="00C876CE"/>
    <w:rsid w:val="00C87730"/>
    <w:rsid w:val="00C877F1"/>
    <w:rsid w:val="00C8780E"/>
    <w:rsid w:val="00C87886"/>
    <w:rsid w:val="00C878D6"/>
    <w:rsid w:val="00C878DB"/>
    <w:rsid w:val="00C8793E"/>
    <w:rsid w:val="00C87B29"/>
    <w:rsid w:val="00C87C6F"/>
    <w:rsid w:val="00C87D27"/>
    <w:rsid w:val="00C87DC5"/>
    <w:rsid w:val="00C87DE7"/>
    <w:rsid w:val="00C87FB6"/>
    <w:rsid w:val="00C90038"/>
    <w:rsid w:val="00C9008F"/>
    <w:rsid w:val="00C901E7"/>
    <w:rsid w:val="00C901F6"/>
    <w:rsid w:val="00C90223"/>
    <w:rsid w:val="00C903BC"/>
    <w:rsid w:val="00C9046A"/>
    <w:rsid w:val="00C90918"/>
    <w:rsid w:val="00C90982"/>
    <w:rsid w:val="00C90F1F"/>
    <w:rsid w:val="00C90FA3"/>
    <w:rsid w:val="00C90FC4"/>
    <w:rsid w:val="00C91034"/>
    <w:rsid w:val="00C91061"/>
    <w:rsid w:val="00C910E1"/>
    <w:rsid w:val="00C912A7"/>
    <w:rsid w:val="00C912FC"/>
    <w:rsid w:val="00C91369"/>
    <w:rsid w:val="00C91599"/>
    <w:rsid w:val="00C918BF"/>
    <w:rsid w:val="00C918C3"/>
    <w:rsid w:val="00C919CF"/>
    <w:rsid w:val="00C91A85"/>
    <w:rsid w:val="00C91AAA"/>
    <w:rsid w:val="00C91B4F"/>
    <w:rsid w:val="00C91BCC"/>
    <w:rsid w:val="00C91C33"/>
    <w:rsid w:val="00C91DC1"/>
    <w:rsid w:val="00C91DD8"/>
    <w:rsid w:val="00C91DEE"/>
    <w:rsid w:val="00C91E03"/>
    <w:rsid w:val="00C92018"/>
    <w:rsid w:val="00C922B4"/>
    <w:rsid w:val="00C922D1"/>
    <w:rsid w:val="00C922E9"/>
    <w:rsid w:val="00C92403"/>
    <w:rsid w:val="00C927BF"/>
    <w:rsid w:val="00C92847"/>
    <w:rsid w:val="00C928CD"/>
    <w:rsid w:val="00C928D9"/>
    <w:rsid w:val="00C929C2"/>
    <w:rsid w:val="00C929EA"/>
    <w:rsid w:val="00C929F4"/>
    <w:rsid w:val="00C92A33"/>
    <w:rsid w:val="00C92A43"/>
    <w:rsid w:val="00C92A4A"/>
    <w:rsid w:val="00C92B6A"/>
    <w:rsid w:val="00C92D7F"/>
    <w:rsid w:val="00C92E9F"/>
    <w:rsid w:val="00C92EA4"/>
    <w:rsid w:val="00C92F9B"/>
    <w:rsid w:val="00C92FD2"/>
    <w:rsid w:val="00C93056"/>
    <w:rsid w:val="00C9308D"/>
    <w:rsid w:val="00C931FC"/>
    <w:rsid w:val="00C93485"/>
    <w:rsid w:val="00C93562"/>
    <w:rsid w:val="00C93681"/>
    <w:rsid w:val="00C9373C"/>
    <w:rsid w:val="00C93AB4"/>
    <w:rsid w:val="00C93B29"/>
    <w:rsid w:val="00C93D2B"/>
    <w:rsid w:val="00C93E9E"/>
    <w:rsid w:val="00C93F64"/>
    <w:rsid w:val="00C93FF9"/>
    <w:rsid w:val="00C94227"/>
    <w:rsid w:val="00C9430C"/>
    <w:rsid w:val="00C94338"/>
    <w:rsid w:val="00C943CE"/>
    <w:rsid w:val="00C943D4"/>
    <w:rsid w:val="00C944C8"/>
    <w:rsid w:val="00C944FC"/>
    <w:rsid w:val="00C94611"/>
    <w:rsid w:val="00C946AE"/>
    <w:rsid w:val="00C94905"/>
    <w:rsid w:val="00C94955"/>
    <w:rsid w:val="00C94983"/>
    <w:rsid w:val="00C9498C"/>
    <w:rsid w:val="00C94E73"/>
    <w:rsid w:val="00C95648"/>
    <w:rsid w:val="00C95696"/>
    <w:rsid w:val="00C9573F"/>
    <w:rsid w:val="00C95742"/>
    <w:rsid w:val="00C957F2"/>
    <w:rsid w:val="00C95C31"/>
    <w:rsid w:val="00C95FC0"/>
    <w:rsid w:val="00C960C8"/>
    <w:rsid w:val="00C9623B"/>
    <w:rsid w:val="00C964F3"/>
    <w:rsid w:val="00C96621"/>
    <w:rsid w:val="00C967A0"/>
    <w:rsid w:val="00C96AF4"/>
    <w:rsid w:val="00C96B8D"/>
    <w:rsid w:val="00C96C22"/>
    <w:rsid w:val="00C96CED"/>
    <w:rsid w:val="00C96E34"/>
    <w:rsid w:val="00C96EAE"/>
    <w:rsid w:val="00C96FAD"/>
    <w:rsid w:val="00C96FAE"/>
    <w:rsid w:val="00C9705F"/>
    <w:rsid w:val="00C97130"/>
    <w:rsid w:val="00C972A1"/>
    <w:rsid w:val="00C97431"/>
    <w:rsid w:val="00C975CE"/>
    <w:rsid w:val="00C976F6"/>
    <w:rsid w:val="00C97803"/>
    <w:rsid w:val="00C97911"/>
    <w:rsid w:val="00C97B83"/>
    <w:rsid w:val="00C97C67"/>
    <w:rsid w:val="00C97D9C"/>
    <w:rsid w:val="00C97F9F"/>
    <w:rsid w:val="00C97FA5"/>
    <w:rsid w:val="00CA005C"/>
    <w:rsid w:val="00CA030E"/>
    <w:rsid w:val="00CA0630"/>
    <w:rsid w:val="00CA06D9"/>
    <w:rsid w:val="00CA075A"/>
    <w:rsid w:val="00CA0818"/>
    <w:rsid w:val="00CA0900"/>
    <w:rsid w:val="00CA0DCA"/>
    <w:rsid w:val="00CA0DE6"/>
    <w:rsid w:val="00CA10D7"/>
    <w:rsid w:val="00CA1150"/>
    <w:rsid w:val="00CA14CA"/>
    <w:rsid w:val="00CA1665"/>
    <w:rsid w:val="00CA1AD3"/>
    <w:rsid w:val="00CA1AFA"/>
    <w:rsid w:val="00CA1B27"/>
    <w:rsid w:val="00CA1B5E"/>
    <w:rsid w:val="00CA1B6F"/>
    <w:rsid w:val="00CA1C1A"/>
    <w:rsid w:val="00CA1C24"/>
    <w:rsid w:val="00CA1DE2"/>
    <w:rsid w:val="00CA1E27"/>
    <w:rsid w:val="00CA2064"/>
    <w:rsid w:val="00CA2354"/>
    <w:rsid w:val="00CA24BC"/>
    <w:rsid w:val="00CA2521"/>
    <w:rsid w:val="00CA2670"/>
    <w:rsid w:val="00CA2754"/>
    <w:rsid w:val="00CA2784"/>
    <w:rsid w:val="00CA2984"/>
    <w:rsid w:val="00CA2A1E"/>
    <w:rsid w:val="00CA2B2E"/>
    <w:rsid w:val="00CA2B3F"/>
    <w:rsid w:val="00CA2D62"/>
    <w:rsid w:val="00CA2D94"/>
    <w:rsid w:val="00CA2F6E"/>
    <w:rsid w:val="00CA3339"/>
    <w:rsid w:val="00CA333C"/>
    <w:rsid w:val="00CA3386"/>
    <w:rsid w:val="00CA35BA"/>
    <w:rsid w:val="00CA362C"/>
    <w:rsid w:val="00CA363A"/>
    <w:rsid w:val="00CA377F"/>
    <w:rsid w:val="00CA3918"/>
    <w:rsid w:val="00CA39E1"/>
    <w:rsid w:val="00CA3AFC"/>
    <w:rsid w:val="00CA3B04"/>
    <w:rsid w:val="00CA3B77"/>
    <w:rsid w:val="00CA3B9F"/>
    <w:rsid w:val="00CA3DC2"/>
    <w:rsid w:val="00CA3DD6"/>
    <w:rsid w:val="00CA3DD9"/>
    <w:rsid w:val="00CA3EE0"/>
    <w:rsid w:val="00CA40DE"/>
    <w:rsid w:val="00CA41FA"/>
    <w:rsid w:val="00CA42C2"/>
    <w:rsid w:val="00CA42D0"/>
    <w:rsid w:val="00CA459E"/>
    <w:rsid w:val="00CA45A2"/>
    <w:rsid w:val="00CA47E3"/>
    <w:rsid w:val="00CA48CD"/>
    <w:rsid w:val="00CA493C"/>
    <w:rsid w:val="00CA4B99"/>
    <w:rsid w:val="00CA4D89"/>
    <w:rsid w:val="00CA4EEE"/>
    <w:rsid w:val="00CA509A"/>
    <w:rsid w:val="00CA50A0"/>
    <w:rsid w:val="00CA50A3"/>
    <w:rsid w:val="00CA50F6"/>
    <w:rsid w:val="00CA51B6"/>
    <w:rsid w:val="00CA52E1"/>
    <w:rsid w:val="00CA5338"/>
    <w:rsid w:val="00CA5356"/>
    <w:rsid w:val="00CA54D2"/>
    <w:rsid w:val="00CA55C3"/>
    <w:rsid w:val="00CA56EC"/>
    <w:rsid w:val="00CA590C"/>
    <w:rsid w:val="00CA5BE7"/>
    <w:rsid w:val="00CA5C60"/>
    <w:rsid w:val="00CA5D79"/>
    <w:rsid w:val="00CA5D9A"/>
    <w:rsid w:val="00CA5FF3"/>
    <w:rsid w:val="00CA60C0"/>
    <w:rsid w:val="00CA6156"/>
    <w:rsid w:val="00CA6162"/>
    <w:rsid w:val="00CA6255"/>
    <w:rsid w:val="00CA62A4"/>
    <w:rsid w:val="00CA62D6"/>
    <w:rsid w:val="00CA6530"/>
    <w:rsid w:val="00CA6553"/>
    <w:rsid w:val="00CA65CC"/>
    <w:rsid w:val="00CA662D"/>
    <w:rsid w:val="00CA67B8"/>
    <w:rsid w:val="00CA67EF"/>
    <w:rsid w:val="00CA69AC"/>
    <w:rsid w:val="00CA6AED"/>
    <w:rsid w:val="00CA6C35"/>
    <w:rsid w:val="00CA6DDC"/>
    <w:rsid w:val="00CA6E5C"/>
    <w:rsid w:val="00CA6F1B"/>
    <w:rsid w:val="00CA6FA6"/>
    <w:rsid w:val="00CA715B"/>
    <w:rsid w:val="00CA71D5"/>
    <w:rsid w:val="00CA72B1"/>
    <w:rsid w:val="00CA76C5"/>
    <w:rsid w:val="00CA78A1"/>
    <w:rsid w:val="00CA7C51"/>
    <w:rsid w:val="00CA7DBE"/>
    <w:rsid w:val="00CB0026"/>
    <w:rsid w:val="00CB0132"/>
    <w:rsid w:val="00CB025D"/>
    <w:rsid w:val="00CB0A6A"/>
    <w:rsid w:val="00CB0C95"/>
    <w:rsid w:val="00CB0FAB"/>
    <w:rsid w:val="00CB1105"/>
    <w:rsid w:val="00CB11F9"/>
    <w:rsid w:val="00CB12B8"/>
    <w:rsid w:val="00CB12FF"/>
    <w:rsid w:val="00CB13E0"/>
    <w:rsid w:val="00CB1457"/>
    <w:rsid w:val="00CB149E"/>
    <w:rsid w:val="00CB14B8"/>
    <w:rsid w:val="00CB1521"/>
    <w:rsid w:val="00CB15FA"/>
    <w:rsid w:val="00CB16F3"/>
    <w:rsid w:val="00CB172C"/>
    <w:rsid w:val="00CB1949"/>
    <w:rsid w:val="00CB1978"/>
    <w:rsid w:val="00CB19BB"/>
    <w:rsid w:val="00CB1BA3"/>
    <w:rsid w:val="00CB1F0F"/>
    <w:rsid w:val="00CB2070"/>
    <w:rsid w:val="00CB23FD"/>
    <w:rsid w:val="00CB242C"/>
    <w:rsid w:val="00CB262E"/>
    <w:rsid w:val="00CB2710"/>
    <w:rsid w:val="00CB274D"/>
    <w:rsid w:val="00CB2761"/>
    <w:rsid w:val="00CB27BB"/>
    <w:rsid w:val="00CB2841"/>
    <w:rsid w:val="00CB28AB"/>
    <w:rsid w:val="00CB2B23"/>
    <w:rsid w:val="00CB2E31"/>
    <w:rsid w:val="00CB2F43"/>
    <w:rsid w:val="00CB327D"/>
    <w:rsid w:val="00CB3427"/>
    <w:rsid w:val="00CB344A"/>
    <w:rsid w:val="00CB3526"/>
    <w:rsid w:val="00CB39EA"/>
    <w:rsid w:val="00CB3A3C"/>
    <w:rsid w:val="00CB3CF1"/>
    <w:rsid w:val="00CB3CF3"/>
    <w:rsid w:val="00CB3D56"/>
    <w:rsid w:val="00CB3DB9"/>
    <w:rsid w:val="00CB3F0E"/>
    <w:rsid w:val="00CB3F10"/>
    <w:rsid w:val="00CB3FE6"/>
    <w:rsid w:val="00CB42F6"/>
    <w:rsid w:val="00CB4452"/>
    <w:rsid w:val="00CB4454"/>
    <w:rsid w:val="00CB4524"/>
    <w:rsid w:val="00CB4546"/>
    <w:rsid w:val="00CB45E2"/>
    <w:rsid w:val="00CB467C"/>
    <w:rsid w:val="00CB481B"/>
    <w:rsid w:val="00CB49C0"/>
    <w:rsid w:val="00CB4ACB"/>
    <w:rsid w:val="00CB4D50"/>
    <w:rsid w:val="00CB4FDF"/>
    <w:rsid w:val="00CB51A5"/>
    <w:rsid w:val="00CB53E3"/>
    <w:rsid w:val="00CB53F6"/>
    <w:rsid w:val="00CB5619"/>
    <w:rsid w:val="00CB56D2"/>
    <w:rsid w:val="00CB5A41"/>
    <w:rsid w:val="00CB5AB0"/>
    <w:rsid w:val="00CB5DE8"/>
    <w:rsid w:val="00CB5F57"/>
    <w:rsid w:val="00CB5F61"/>
    <w:rsid w:val="00CB61E3"/>
    <w:rsid w:val="00CB6274"/>
    <w:rsid w:val="00CB629C"/>
    <w:rsid w:val="00CB6398"/>
    <w:rsid w:val="00CB658A"/>
    <w:rsid w:val="00CB6681"/>
    <w:rsid w:val="00CB66C5"/>
    <w:rsid w:val="00CB67A5"/>
    <w:rsid w:val="00CB67B6"/>
    <w:rsid w:val="00CB68DF"/>
    <w:rsid w:val="00CB6900"/>
    <w:rsid w:val="00CB69F2"/>
    <w:rsid w:val="00CB69F5"/>
    <w:rsid w:val="00CB6A8A"/>
    <w:rsid w:val="00CB6C18"/>
    <w:rsid w:val="00CB6CAC"/>
    <w:rsid w:val="00CB6E93"/>
    <w:rsid w:val="00CB7013"/>
    <w:rsid w:val="00CB7061"/>
    <w:rsid w:val="00CB70BA"/>
    <w:rsid w:val="00CB70CF"/>
    <w:rsid w:val="00CB7120"/>
    <w:rsid w:val="00CB718D"/>
    <w:rsid w:val="00CB7763"/>
    <w:rsid w:val="00CB7871"/>
    <w:rsid w:val="00CB78C6"/>
    <w:rsid w:val="00CB78CE"/>
    <w:rsid w:val="00CB7AE1"/>
    <w:rsid w:val="00CB7AFF"/>
    <w:rsid w:val="00CB7B8A"/>
    <w:rsid w:val="00CB7C94"/>
    <w:rsid w:val="00CC00A1"/>
    <w:rsid w:val="00CC014C"/>
    <w:rsid w:val="00CC0284"/>
    <w:rsid w:val="00CC05A9"/>
    <w:rsid w:val="00CC06F1"/>
    <w:rsid w:val="00CC0788"/>
    <w:rsid w:val="00CC079B"/>
    <w:rsid w:val="00CC0999"/>
    <w:rsid w:val="00CC09DD"/>
    <w:rsid w:val="00CC0A89"/>
    <w:rsid w:val="00CC0AA8"/>
    <w:rsid w:val="00CC0AD9"/>
    <w:rsid w:val="00CC0AEC"/>
    <w:rsid w:val="00CC0BC7"/>
    <w:rsid w:val="00CC0DD8"/>
    <w:rsid w:val="00CC0EBF"/>
    <w:rsid w:val="00CC0F70"/>
    <w:rsid w:val="00CC0F90"/>
    <w:rsid w:val="00CC0FC5"/>
    <w:rsid w:val="00CC117C"/>
    <w:rsid w:val="00CC11DF"/>
    <w:rsid w:val="00CC14D0"/>
    <w:rsid w:val="00CC151A"/>
    <w:rsid w:val="00CC15A1"/>
    <w:rsid w:val="00CC169D"/>
    <w:rsid w:val="00CC1734"/>
    <w:rsid w:val="00CC173F"/>
    <w:rsid w:val="00CC18CF"/>
    <w:rsid w:val="00CC1D81"/>
    <w:rsid w:val="00CC1DDF"/>
    <w:rsid w:val="00CC1FC6"/>
    <w:rsid w:val="00CC22F4"/>
    <w:rsid w:val="00CC247B"/>
    <w:rsid w:val="00CC250C"/>
    <w:rsid w:val="00CC2535"/>
    <w:rsid w:val="00CC276D"/>
    <w:rsid w:val="00CC2825"/>
    <w:rsid w:val="00CC288B"/>
    <w:rsid w:val="00CC28D4"/>
    <w:rsid w:val="00CC2907"/>
    <w:rsid w:val="00CC291E"/>
    <w:rsid w:val="00CC2BB9"/>
    <w:rsid w:val="00CC2C76"/>
    <w:rsid w:val="00CC30C4"/>
    <w:rsid w:val="00CC30F7"/>
    <w:rsid w:val="00CC3204"/>
    <w:rsid w:val="00CC331B"/>
    <w:rsid w:val="00CC352E"/>
    <w:rsid w:val="00CC3745"/>
    <w:rsid w:val="00CC3796"/>
    <w:rsid w:val="00CC381F"/>
    <w:rsid w:val="00CC3AC2"/>
    <w:rsid w:val="00CC3D18"/>
    <w:rsid w:val="00CC3E88"/>
    <w:rsid w:val="00CC3ECC"/>
    <w:rsid w:val="00CC3F47"/>
    <w:rsid w:val="00CC406C"/>
    <w:rsid w:val="00CC40B5"/>
    <w:rsid w:val="00CC423B"/>
    <w:rsid w:val="00CC4286"/>
    <w:rsid w:val="00CC43AB"/>
    <w:rsid w:val="00CC43CA"/>
    <w:rsid w:val="00CC45E5"/>
    <w:rsid w:val="00CC4825"/>
    <w:rsid w:val="00CC499F"/>
    <w:rsid w:val="00CC4B16"/>
    <w:rsid w:val="00CC4E85"/>
    <w:rsid w:val="00CC4EFC"/>
    <w:rsid w:val="00CC4F06"/>
    <w:rsid w:val="00CC4F9C"/>
    <w:rsid w:val="00CC5152"/>
    <w:rsid w:val="00CC521E"/>
    <w:rsid w:val="00CC5285"/>
    <w:rsid w:val="00CC52D5"/>
    <w:rsid w:val="00CC5729"/>
    <w:rsid w:val="00CC5750"/>
    <w:rsid w:val="00CC5782"/>
    <w:rsid w:val="00CC597C"/>
    <w:rsid w:val="00CC5986"/>
    <w:rsid w:val="00CC59F9"/>
    <w:rsid w:val="00CC5E41"/>
    <w:rsid w:val="00CC614A"/>
    <w:rsid w:val="00CC61FA"/>
    <w:rsid w:val="00CC63BA"/>
    <w:rsid w:val="00CC63CF"/>
    <w:rsid w:val="00CC6409"/>
    <w:rsid w:val="00CC6508"/>
    <w:rsid w:val="00CC65BE"/>
    <w:rsid w:val="00CC67D3"/>
    <w:rsid w:val="00CC686E"/>
    <w:rsid w:val="00CC690B"/>
    <w:rsid w:val="00CC69AE"/>
    <w:rsid w:val="00CC6A1F"/>
    <w:rsid w:val="00CC6B09"/>
    <w:rsid w:val="00CC6B7F"/>
    <w:rsid w:val="00CC6C16"/>
    <w:rsid w:val="00CC6C7C"/>
    <w:rsid w:val="00CC6F0B"/>
    <w:rsid w:val="00CC71D5"/>
    <w:rsid w:val="00CC739C"/>
    <w:rsid w:val="00CC75BA"/>
    <w:rsid w:val="00CC78B9"/>
    <w:rsid w:val="00CC7A2B"/>
    <w:rsid w:val="00CC7AD7"/>
    <w:rsid w:val="00CC7D45"/>
    <w:rsid w:val="00CC7DC3"/>
    <w:rsid w:val="00CC7E0F"/>
    <w:rsid w:val="00CD00DB"/>
    <w:rsid w:val="00CD01BF"/>
    <w:rsid w:val="00CD08C6"/>
    <w:rsid w:val="00CD095A"/>
    <w:rsid w:val="00CD095B"/>
    <w:rsid w:val="00CD0B51"/>
    <w:rsid w:val="00CD0BA2"/>
    <w:rsid w:val="00CD0CCF"/>
    <w:rsid w:val="00CD0E85"/>
    <w:rsid w:val="00CD0EFA"/>
    <w:rsid w:val="00CD0FDE"/>
    <w:rsid w:val="00CD116D"/>
    <w:rsid w:val="00CD132E"/>
    <w:rsid w:val="00CD1471"/>
    <w:rsid w:val="00CD14AC"/>
    <w:rsid w:val="00CD1640"/>
    <w:rsid w:val="00CD187D"/>
    <w:rsid w:val="00CD1BD5"/>
    <w:rsid w:val="00CD1D55"/>
    <w:rsid w:val="00CD1E2F"/>
    <w:rsid w:val="00CD1FDD"/>
    <w:rsid w:val="00CD205D"/>
    <w:rsid w:val="00CD210D"/>
    <w:rsid w:val="00CD2164"/>
    <w:rsid w:val="00CD22CB"/>
    <w:rsid w:val="00CD25D6"/>
    <w:rsid w:val="00CD25F3"/>
    <w:rsid w:val="00CD2905"/>
    <w:rsid w:val="00CD2962"/>
    <w:rsid w:val="00CD2AB0"/>
    <w:rsid w:val="00CD2B2A"/>
    <w:rsid w:val="00CD2B46"/>
    <w:rsid w:val="00CD2FD3"/>
    <w:rsid w:val="00CD31FA"/>
    <w:rsid w:val="00CD3303"/>
    <w:rsid w:val="00CD334B"/>
    <w:rsid w:val="00CD3454"/>
    <w:rsid w:val="00CD349F"/>
    <w:rsid w:val="00CD3592"/>
    <w:rsid w:val="00CD359B"/>
    <w:rsid w:val="00CD35A4"/>
    <w:rsid w:val="00CD37D1"/>
    <w:rsid w:val="00CD393B"/>
    <w:rsid w:val="00CD39CE"/>
    <w:rsid w:val="00CD41E4"/>
    <w:rsid w:val="00CD425C"/>
    <w:rsid w:val="00CD42AF"/>
    <w:rsid w:val="00CD4301"/>
    <w:rsid w:val="00CD433F"/>
    <w:rsid w:val="00CD43F7"/>
    <w:rsid w:val="00CD443A"/>
    <w:rsid w:val="00CD47FD"/>
    <w:rsid w:val="00CD498E"/>
    <w:rsid w:val="00CD4C70"/>
    <w:rsid w:val="00CD4D02"/>
    <w:rsid w:val="00CD4D98"/>
    <w:rsid w:val="00CD5056"/>
    <w:rsid w:val="00CD50D4"/>
    <w:rsid w:val="00CD515A"/>
    <w:rsid w:val="00CD51E4"/>
    <w:rsid w:val="00CD5202"/>
    <w:rsid w:val="00CD5213"/>
    <w:rsid w:val="00CD5251"/>
    <w:rsid w:val="00CD5267"/>
    <w:rsid w:val="00CD5330"/>
    <w:rsid w:val="00CD53DE"/>
    <w:rsid w:val="00CD5423"/>
    <w:rsid w:val="00CD555E"/>
    <w:rsid w:val="00CD555F"/>
    <w:rsid w:val="00CD5786"/>
    <w:rsid w:val="00CD5AB3"/>
    <w:rsid w:val="00CD5B59"/>
    <w:rsid w:val="00CD5CF1"/>
    <w:rsid w:val="00CD6478"/>
    <w:rsid w:val="00CD66B7"/>
    <w:rsid w:val="00CD6765"/>
    <w:rsid w:val="00CD6970"/>
    <w:rsid w:val="00CD6A42"/>
    <w:rsid w:val="00CD6BA5"/>
    <w:rsid w:val="00CD6E8F"/>
    <w:rsid w:val="00CD6F36"/>
    <w:rsid w:val="00CD70A9"/>
    <w:rsid w:val="00CD710C"/>
    <w:rsid w:val="00CD7151"/>
    <w:rsid w:val="00CD7200"/>
    <w:rsid w:val="00CD72FA"/>
    <w:rsid w:val="00CD76AA"/>
    <w:rsid w:val="00CD792A"/>
    <w:rsid w:val="00CD7A4A"/>
    <w:rsid w:val="00CD7C37"/>
    <w:rsid w:val="00CD7C4E"/>
    <w:rsid w:val="00CD7CC5"/>
    <w:rsid w:val="00CD7E0C"/>
    <w:rsid w:val="00CE000E"/>
    <w:rsid w:val="00CE001B"/>
    <w:rsid w:val="00CE036D"/>
    <w:rsid w:val="00CE04CE"/>
    <w:rsid w:val="00CE052C"/>
    <w:rsid w:val="00CE0600"/>
    <w:rsid w:val="00CE09F7"/>
    <w:rsid w:val="00CE0AC3"/>
    <w:rsid w:val="00CE0AF6"/>
    <w:rsid w:val="00CE0BDB"/>
    <w:rsid w:val="00CE0CB5"/>
    <w:rsid w:val="00CE0E33"/>
    <w:rsid w:val="00CE12E6"/>
    <w:rsid w:val="00CE1399"/>
    <w:rsid w:val="00CE1414"/>
    <w:rsid w:val="00CE1479"/>
    <w:rsid w:val="00CE15B0"/>
    <w:rsid w:val="00CE15C8"/>
    <w:rsid w:val="00CE16CE"/>
    <w:rsid w:val="00CE1883"/>
    <w:rsid w:val="00CE1DE3"/>
    <w:rsid w:val="00CE1E0D"/>
    <w:rsid w:val="00CE1E99"/>
    <w:rsid w:val="00CE207E"/>
    <w:rsid w:val="00CE20D3"/>
    <w:rsid w:val="00CE2171"/>
    <w:rsid w:val="00CE21D3"/>
    <w:rsid w:val="00CE2465"/>
    <w:rsid w:val="00CE25B4"/>
    <w:rsid w:val="00CE25EA"/>
    <w:rsid w:val="00CE2620"/>
    <w:rsid w:val="00CE2663"/>
    <w:rsid w:val="00CE2A07"/>
    <w:rsid w:val="00CE2A45"/>
    <w:rsid w:val="00CE2BF2"/>
    <w:rsid w:val="00CE2FAC"/>
    <w:rsid w:val="00CE3036"/>
    <w:rsid w:val="00CE3479"/>
    <w:rsid w:val="00CE35CD"/>
    <w:rsid w:val="00CE3A2E"/>
    <w:rsid w:val="00CE3F54"/>
    <w:rsid w:val="00CE431A"/>
    <w:rsid w:val="00CE4419"/>
    <w:rsid w:val="00CE4493"/>
    <w:rsid w:val="00CE45C3"/>
    <w:rsid w:val="00CE4696"/>
    <w:rsid w:val="00CE47E9"/>
    <w:rsid w:val="00CE4A3B"/>
    <w:rsid w:val="00CE4AC0"/>
    <w:rsid w:val="00CE4BFE"/>
    <w:rsid w:val="00CE4DB4"/>
    <w:rsid w:val="00CE4E43"/>
    <w:rsid w:val="00CE4EC4"/>
    <w:rsid w:val="00CE5027"/>
    <w:rsid w:val="00CE534D"/>
    <w:rsid w:val="00CE5403"/>
    <w:rsid w:val="00CE5427"/>
    <w:rsid w:val="00CE57F3"/>
    <w:rsid w:val="00CE59B9"/>
    <w:rsid w:val="00CE59BB"/>
    <w:rsid w:val="00CE5AF2"/>
    <w:rsid w:val="00CE5B92"/>
    <w:rsid w:val="00CE5C1D"/>
    <w:rsid w:val="00CE5C26"/>
    <w:rsid w:val="00CE5C5D"/>
    <w:rsid w:val="00CE5D56"/>
    <w:rsid w:val="00CE5D6A"/>
    <w:rsid w:val="00CE606E"/>
    <w:rsid w:val="00CE6387"/>
    <w:rsid w:val="00CE64C7"/>
    <w:rsid w:val="00CE64FA"/>
    <w:rsid w:val="00CE663A"/>
    <w:rsid w:val="00CE6761"/>
    <w:rsid w:val="00CE6937"/>
    <w:rsid w:val="00CE69F1"/>
    <w:rsid w:val="00CE6DD4"/>
    <w:rsid w:val="00CE6DDC"/>
    <w:rsid w:val="00CE6F33"/>
    <w:rsid w:val="00CE6F34"/>
    <w:rsid w:val="00CE71F1"/>
    <w:rsid w:val="00CE72EF"/>
    <w:rsid w:val="00CE7386"/>
    <w:rsid w:val="00CE73D3"/>
    <w:rsid w:val="00CE75AD"/>
    <w:rsid w:val="00CE7682"/>
    <w:rsid w:val="00CE7907"/>
    <w:rsid w:val="00CE794B"/>
    <w:rsid w:val="00CE7AB7"/>
    <w:rsid w:val="00CE7C98"/>
    <w:rsid w:val="00CE7DE9"/>
    <w:rsid w:val="00CE7E23"/>
    <w:rsid w:val="00CE7E76"/>
    <w:rsid w:val="00CE7F03"/>
    <w:rsid w:val="00CE7FCC"/>
    <w:rsid w:val="00CF0032"/>
    <w:rsid w:val="00CF0132"/>
    <w:rsid w:val="00CF02D0"/>
    <w:rsid w:val="00CF050F"/>
    <w:rsid w:val="00CF069C"/>
    <w:rsid w:val="00CF075F"/>
    <w:rsid w:val="00CF09BC"/>
    <w:rsid w:val="00CF0A16"/>
    <w:rsid w:val="00CF0A55"/>
    <w:rsid w:val="00CF0EDD"/>
    <w:rsid w:val="00CF109E"/>
    <w:rsid w:val="00CF1299"/>
    <w:rsid w:val="00CF133D"/>
    <w:rsid w:val="00CF14D7"/>
    <w:rsid w:val="00CF16C9"/>
    <w:rsid w:val="00CF19D1"/>
    <w:rsid w:val="00CF1A54"/>
    <w:rsid w:val="00CF1C47"/>
    <w:rsid w:val="00CF1E6E"/>
    <w:rsid w:val="00CF1ECE"/>
    <w:rsid w:val="00CF1F19"/>
    <w:rsid w:val="00CF200D"/>
    <w:rsid w:val="00CF20A5"/>
    <w:rsid w:val="00CF2485"/>
    <w:rsid w:val="00CF2619"/>
    <w:rsid w:val="00CF270E"/>
    <w:rsid w:val="00CF27A0"/>
    <w:rsid w:val="00CF2AEB"/>
    <w:rsid w:val="00CF2B24"/>
    <w:rsid w:val="00CF2B33"/>
    <w:rsid w:val="00CF2F84"/>
    <w:rsid w:val="00CF3105"/>
    <w:rsid w:val="00CF3288"/>
    <w:rsid w:val="00CF3335"/>
    <w:rsid w:val="00CF352D"/>
    <w:rsid w:val="00CF3931"/>
    <w:rsid w:val="00CF3A48"/>
    <w:rsid w:val="00CF3B67"/>
    <w:rsid w:val="00CF3C6C"/>
    <w:rsid w:val="00CF4002"/>
    <w:rsid w:val="00CF4373"/>
    <w:rsid w:val="00CF4745"/>
    <w:rsid w:val="00CF4A2F"/>
    <w:rsid w:val="00CF4A4F"/>
    <w:rsid w:val="00CF4C49"/>
    <w:rsid w:val="00CF4C58"/>
    <w:rsid w:val="00CF4D21"/>
    <w:rsid w:val="00CF4D39"/>
    <w:rsid w:val="00CF4F9F"/>
    <w:rsid w:val="00CF4FD9"/>
    <w:rsid w:val="00CF50D0"/>
    <w:rsid w:val="00CF51D4"/>
    <w:rsid w:val="00CF5277"/>
    <w:rsid w:val="00CF559B"/>
    <w:rsid w:val="00CF57AD"/>
    <w:rsid w:val="00CF58B7"/>
    <w:rsid w:val="00CF5B27"/>
    <w:rsid w:val="00CF5B87"/>
    <w:rsid w:val="00CF5CF7"/>
    <w:rsid w:val="00CF5D47"/>
    <w:rsid w:val="00CF5D81"/>
    <w:rsid w:val="00CF5F68"/>
    <w:rsid w:val="00CF5FEF"/>
    <w:rsid w:val="00CF618E"/>
    <w:rsid w:val="00CF621B"/>
    <w:rsid w:val="00CF62F1"/>
    <w:rsid w:val="00CF63DC"/>
    <w:rsid w:val="00CF686D"/>
    <w:rsid w:val="00CF68AD"/>
    <w:rsid w:val="00CF6982"/>
    <w:rsid w:val="00CF6A36"/>
    <w:rsid w:val="00CF6A93"/>
    <w:rsid w:val="00CF6B83"/>
    <w:rsid w:val="00CF6BA4"/>
    <w:rsid w:val="00CF6CEE"/>
    <w:rsid w:val="00CF6D83"/>
    <w:rsid w:val="00CF6DDA"/>
    <w:rsid w:val="00CF6E9E"/>
    <w:rsid w:val="00CF6EEE"/>
    <w:rsid w:val="00CF6F07"/>
    <w:rsid w:val="00CF6FBE"/>
    <w:rsid w:val="00CF7086"/>
    <w:rsid w:val="00CF713E"/>
    <w:rsid w:val="00CF71B9"/>
    <w:rsid w:val="00CF726E"/>
    <w:rsid w:val="00CF730D"/>
    <w:rsid w:val="00CF743E"/>
    <w:rsid w:val="00CF744A"/>
    <w:rsid w:val="00CF7498"/>
    <w:rsid w:val="00CF74C2"/>
    <w:rsid w:val="00CF7674"/>
    <w:rsid w:val="00CF76A7"/>
    <w:rsid w:val="00CF779B"/>
    <w:rsid w:val="00CF77A9"/>
    <w:rsid w:val="00CF786B"/>
    <w:rsid w:val="00CF7A8A"/>
    <w:rsid w:val="00CF7BED"/>
    <w:rsid w:val="00CF7C3B"/>
    <w:rsid w:val="00CF7D95"/>
    <w:rsid w:val="00CF7F2B"/>
    <w:rsid w:val="00CF7FDB"/>
    <w:rsid w:val="00CF7FFC"/>
    <w:rsid w:val="00D001B5"/>
    <w:rsid w:val="00D004C6"/>
    <w:rsid w:val="00D004E8"/>
    <w:rsid w:val="00D00538"/>
    <w:rsid w:val="00D005DF"/>
    <w:rsid w:val="00D008AF"/>
    <w:rsid w:val="00D009CE"/>
    <w:rsid w:val="00D00B25"/>
    <w:rsid w:val="00D00C50"/>
    <w:rsid w:val="00D00D21"/>
    <w:rsid w:val="00D00D35"/>
    <w:rsid w:val="00D00E38"/>
    <w:rsid w:val="00D00F7F"/>
    <w:rsid w:val="00D01269"/>
    <w:rsid w:val="00D0135D"/>
    <w:rsid w:val="00D01396"/>
    <w:rsid w:val="00D0154D"/>
    <w:rsid w:val="00D0197B"/>
    <w:rsid w:val="00D01B61"/>
    <w:rsid w:val="00D01D21"/>
    <w:rsid w:val="00D01E09"/>
    <w:rsid w:val="00D01E4D"/>
    <w:rsid w:val="00D01F4E"/>
    <w:rsid w:val="00D02107"/>
    <w:rsid w:val="00D0230D"/>
    <w:rsid w:val="00D0231F"/>
    <w:rsid w:val="00D0237E"/>
    <w:rsid w:val="00D024D5"/>
    <w:rsid w:val="00D025CB"/>
    <w:rsid w:val="00D025CD"/>
    <w:rsid w:val="00D02766"/>
    <w:rsid w:val="00D02A66"/>
    <w:rsid w:val="00D02C79"/>
    <w:rsid w:val="00D02CF6"/>
    <w:rsid w:val="00D02E3C"/>
    <w:rsid w:val="00D02E86"/>
    <w:rsid w:val="00D02F04"/>
    <w:rsid w:val="00D02FB6"/>
    <w:rsid w:val="00D0310C"/>
    <w:rsid w:val="00D031A1"/>
    <w:rsid w:val="00D032AA"/>
    <w:rsid w:val="00D033BC"/>
    <w:rsid w:val="00D03448"/>
    <w:rsid w:val="00D03788"/>
    <w:rsid w:val="00D03841"/>
    <w:rsid w:val="00D03A92"/>
    <w:rsid w:val="00D03AC4"/>
    <w:rsid w:val="00D03BC6"/>
    <w:rsid w:val="00D03CE9"/>
    <w:rsid w:val="00D03F93"/>
    <w:rsid w:val="00D03FE1"/>
    <w:rsid w:val="00D040C0"/>
    <w:rsid w:val="00D0419E"/>
    <w:rsid w:val="00D0429C"/>
    <w:rsid w:val="00D043A8"/>
    <w:rsid w:val="00D043BC"/>
    <w:rsid w:val="00D044A9"/>
    <w:rsid w:val="00D04689"/>
    <w:rsid w:val="00D0479D"/>
    <w:rsid w:val="00D049AD"/>
    <w:rsid w:val="00D04AAE"/>
    <w:rsid w:val="00D04AF7"/>
    <w:rsid w:val="00D04B04"/>
    <w:rsid w:val="00D04B5E"/>
    <w:rsid w:val="00D04BB7"/>
    <w:rsid w:val="00D04D46"/>
    <w:rsid w:val="00D04D80"/>
    <w:rsid w:val="00D04DC7"/>
    <w:rsid w:val="00D04F95"/>
    <w:rsid w:val="00D0500B"/>
    <w:rsid w:val="00D050EE"/>
    <w:rsid w:val="00D05233"/>
    <w:rsid w:val="00D05244"/>
    <w:rsid w:val="00D05422"/>
    <w:rsid w:val="00D054D7"/>
    <w:rsid w:val="00D056B6"/>
    <w:rsid w:val="00D0589B"/>
    <w:rsid w:val="00D058A7"/>
    <w:rsid w:val="00D05B82"/>
    <w:rsid w:val="00D05BAD"/>
    <w:rsid w:val="00D05BED"/>
    <w:rsid w:val="00D05DE8"/>
    <w:rsid w:val="00D06008"/>
    <w:rsid w:val="00D06065"/>
    <w:rsid w:val="00D060FD"/>
    <w:rsid w:val="00D061AD"/>
    <w:rsid w:val="00D061DA"/>
    <w:rsid w:val="00D06306"/>
    <w:rsid w:val="00D0634E"/>
    <w:rsid w:val="00D063DB"/>
    <w:rsid w:val="00D064CE"/>
    <w:rsid w:val="00D064E2"/>
    <w:rsid w:val="00D064F7"/>
    <w:rsid w:val="00D0659E"/>
    <w:rsid w:val="00D066D6"/>
    <w:rsid w:val="00D066FA"/>
    <w:rsid w:val="00D067C9"/>
    <w:rsid w:val="00D069A3"/>
    <w:rsid w:val="00D069AB"/>
    <w:rsid w:val="00D06AA2"/>
    <w:rsid w:val="00D06AF3"/>
    <w:rsid w:val="00D06C08"/>
    <w:rsid w:val="00D06F9D"/>
    <w:rsid w:val="00D07037"/>
    <w:rsid w:val="00D073B1"/>
    <w:rsid w:val="00D07581"/>
    <w:rsid w:val="00D07630"/>
    <w:rsid w:val="00D076D0"/>
    <w:rsid w:val="00D07789"/>
    <w:rsid w:val="00D07841"/>
    <w:rsid w:val="00D07885"/>
    <w:rsid w:val="00D07BA5"/>
    <w:rsid w:val="00D07BEA"/>
    <w:rsid w:val="00D07C30"/>
    <w:rsid w:val="00D07CAA"/>
    <w:rsid w:val="00D07D29"/>
    <w:rsid w:val="00D07EE5"/>
    <w:rsid w:val="00D1002F"/>
    <w:rsid w:val="00D1019C"/>
    <w:rsid w:val="00D10238"/>
    <w:rsid w:val="00D10286"/>
    <w:rsid w:val="00D1042B"/>
    <w:rsid w:val="00D10537"/>
    <w:rsid w:val="00D1087D"/>
    <w:rsid w:val="00D1097D"/>
    <w:rsid w:val="00D10BA8"/>
    <w:rsid w:val="00D10BF7"/>
    <w:rsid w:val="00D10DB1"/>
    <w:rsid w:val="00D10F4B"/>
    <w:rsid w:val="00D10F55"/>
    <w:rsid w:val="00D10FAC"/>
    <w:rsid w:val="00D11166"/>
    <w:rsid w:val="00D11206"/>
    <w:rsid w:val="00D11231"/>
    <w:rsid w:val="00D11240"/>
    <w:rsid w:val="00D113AF"/>
    <w:rsid w:val="00D11414"/>
    <w:rsid w:val="00D11427"/>
    <w:rsid w:val="00D1151E"/>
    <w:rsid w:val="00D11669"/>
    <w:rsid w:val="00D11677"/>
    <w:rsid w:val="00D11680"/>
    <w:rsid w:val="00D116DE"/>
    <w:rsid w:val="00D11917"/>
    <w:rsid w:val="00D1196E"/>
    <w:rsid w:val="00D119FD"/>
    <w:rsid w:val="00D11AE3"/>
    <w:rsid w:val="00D11B25"/>
    <w:rsid w:val="00D11C22"/>
    <w:rsid w:val="00D11D3C"/>
    <w:rsid w:val="00D11E87"/>
    <w:rsid w:val="00D11FB0"/>
    <w:rsid w:val="00D1209A"/>
    <w:rsid w:val="00D123C3"/>
    <w:rsid w:val="00D12615"/>
    <w:rsid w:val="00D12638"/>
    <w:rsid w:val="00D127CB"/>
    <w:rsid w:val="00D12B1A"/>
    <w:rsid w:val="00D12B1C"/>
    <w:rsid w:val="00D12C4A"/>
    <w:rsid w:val="00D12D5E"/>
    <w:rsid w:val="00D130D7"/>
    <w:rsid w:val="00D133E5"/>
    <w:rsid w:val="00D13402"/>
    <w:rsid w:val="00D134DC"/>
    <w:rsid w:val="00D1365B"/>
    <w:rsid w:val="00D13699"/>
    <w:rsid w:val="00D136DD"/>
    <w:rsid w:val="00D137A4"/>
    <w:rsid w:val="00D13915"/>
    <w:rsid w:val="00D139D9"/>
    <w:rsid w:val="00D13A2D"/>
    <w:rsid w:val="00D13B66"/>
    <w:rsid w:val="00D13BAF"/>
    <w:rsid w:val="00D13C71"/>
    <w:rsid w:val="00D13E60"/>
    <w:rsid w:val="00D13F07"/>
    <w:rsid w:val="00D13F5B"/>
    <w:rsid w:val="00D14063"/>
    <w:rsid w:val="00D14252"/>
    <w:rsid w:val="00D14544"/>
    <w:rsid w:val="00D1468B"/>
    <w:rsid w:val="00D148EE"/>
    <w:rsid w:val="00D14910"/>
    <w:rsid w:val="00D1496D"/>
    <w:rsid w:val="00D14D2C"/>
    <w:rsid w:val="00D14D73"/>
    <w:rsid w:val="00D14DFB"/>
    <w:rsid w:val="00D14E47"/>
    <w:rsid w:val="00D151C8"/>
    <w:rsid w:val="00D15661"/>
    <w:rsid w:val="00D156AF"/>
    <w:rsid w:val="00D157D8"/>
    <w:rsid w:val="00D15930"/>
    <w:rsid w:val="00D15AF8"/>
    <w:rsid w:val="00D15B59"/>
    <w:rsid w:val="00D15C28"/>
    <w:rsid w:val="00D15D3A"/>
    <w:rsid w:val="00D15E2A"/>
    <w:rsid w:val="00D15F2C"/>
    <w:rsid w:val="00D16049"/>
    <w:rsid w:val="00D160AA"/>
    <w:rsid w:val="00D16445"/>
    <w:rsid w:val="00D1644C"/>
    <w:rsid w:val="00D164AC"/>
    <w:rsid w:val="00D1691D"/>
    <w:rsid w:val="00D16925"/>
    <w:rsid w:val="00D169B5"/>
    <w:rsid w:val="00D169D7"/>
    <w:rsid w:val="00D16EBB"/>
    <w:rsid w:val="00D16FDC"/>
    <w:rsid w:val="00D17026"/>
    <w:rsid w:val="00D17315"/>
    <w:rsid w:val="00D17580"/>
    <w:rsid w:val="00D17672"/>
    <w:rsid w:val="00D176CC"/>
    <w:rsid w:val="00D177A2"/>
    <w:rsid w:val="00D1787F"/>
    <w:rsid w:val="00D17DED"/>
    <w:rsid w:val="00D17FD3"/>
    <w:rsid w:val="00D20022"/>
    <w:rsid w:val="00D20051"/>
    <w:rsid w:val="00D200A9"/>
    <w:rsid w:val="00D200AE"/>
    <w:rsid w:val="00D2021E"/>
    <w:rsid w:val="00D202AD"/>
    <w:rsid w:val="00D203E4"/>
    <w:rsid w:val="00D20515"/>
    <w:rsid w:val="00D2057F"/>
    <w:rsid w:val="00D2068A"/>
    <w:rsid w:val="00D20698"/>
    <w:rsid w:val="00D20781"/>
    <w:rsid w:val="00D2095E"/>
    <w:rsid w:val="00D20968"/>
    <w:rsid w:val="00D2099C"/>
    <w:rsid w:val="00D20C50"/>
    <w:rsid w:val="00D20C7D"/>
    <w:rsid w:val="00D21034"/>
    <w:rsid w:val="00D2105E"/>
    <w:rsid w:val="00D21272"/>
    <w:rsid w:val="00D2127A"/>
    <w:rsid w:val="00D215BD"/>
    <w:rsid w:val="00D2195C"/>
    <w:rsid w:val="00D21D2F"/>
    <w:rsid w:val="00D21E25"/>
    <w:rsid w:val="00D21F88"/>
    <w:rsid w:val="00D22074"/>
    <w:rsid w:val="00D220E6"/>
    <w:rsid w:val="00D22133"/>
    <w:rsid w:val="00D2231C"/>
    <w:rsid w:val="00D2247B"/>
    <w:rsid w:val="00D226C9"/>
    <w:rsid w:val="00D2274D"/>
    <w:rsid w:val="00D22751"/>
    <w:rsid w:val="00D227E7"/>
    <w:rsid w:val="00D227FC"/>
    <w:rsid w:val="00D2290C"/>
    <w:rsid w:val="00D229AC"/>
    <w:rsid w:val="00D22ADA"/>
    <w:rsid w:val="00D22B0D"/>
    <w:rsid w:val="00D22B7D"/>
    <w:rsid w:val="00D233BC"/>
    <w:rsid w:val="00D236E4"/>
    <w:rsid w:val="00D2371A"/>
    <w:rsid w:val="00D2375D"/>
    <w:rsid w:val="00D2379C"/>
    <w:rsid w:val="00D2390B"/>
    <w:rsid w:val="00D2392C"/>
    <w:rsid w:val="00D23C9F"/>
    <w:rsid w:val="00D23CEF"/>
    <w:rsid w:val="00D23D90"/>
    <w:rsid w:val="00D23E1E"/>
    <w:rsid w:val="00D23F7A"/>
    <w:rsid w:val="00D2417A"/>
    <w:rsid w:val="00D2424A"/>
    <w:rsid w:val="00D24493"/>
    <w:rsid w:val="00D24831"/>
    <w:rsid w:val="00D2483A"/>
    <w:rsid w:val="00D248A9"/>
    <w:rsid w:val="00D249BB"/>
    <w:rsid w:val="00D24FB9"/>
    <w:rsid w:val="00D2504D"/>
    <w:rsid w:val="00D2506E"/>
    <w:rsid w:val="00D250AA"/>
    <w:rsid w:val="00D250DC"/>
    <w:rsid w:val="00D251B1"/>
    <w:rsid w:val="00D254AE"/>
    <w:rsid w:val="00D25775"/>
    <w:rsid w:val="00D25815"/>
    <w:rsid w:val="00D25845"/>
    <w:rsid w:val="00D258E0"/>
    <w:rsid w:val="00D25AEB"/>
    <w:rsid w:val="00D25BC0"/>
    <w:rsid w:val="00D25C17"/>
    <w:rsid w:val="00D25F5A"/>
    <w:rsid w:val="00D2600A"/>
    <w:rsid w:val="00D2659C"/>
    <w:rsid w:val="00D26831"/>
    <w:rsid w:val="00D26863"/>
    <w:rsid w:val="00D26933"/>
    <w:rsid w:val="00D26A16"/>
    <w:rsid w:val="00D26A53"/>
    <w:rsid w:val="00D26B21"/>
    <w:rsid w:val="00D26BDA"/>
    <w:rsid w:val="00D26CA8"/>
    <w:rsid w:val="00D26D66"/>
    <w:rsid w:val="00D26F2B"/>
    <w:rsid w:val="00D272E7"/>
    <w:rsid w:val="00D27350"/>
    <w:rsid w:val="00D273B4"/>
    <w:rsid w:val="00D273D9"/>
    <w:rsid w:val="00D27529"/>
    <w:rsid w:val="00D27549"/>
    <w:rsid w:val="00D27732"/>
    <w:rsid w:val="00D27830"/>
    <w:rsid w:val="00D27B20"/>
    <w:rsid w:val="00D27BC0"/>
    <w:rsid w:val="00D27F0F"/>
    <w:rsid w:val="00D3001B"/>
    <w:rsid w:val="00D302B4"/>
    <w:rsid w:val="00D3031F"/>
    <w:rsid w:val="00D303DE"/>
    <w:rsid w:val="00D3040A"/>
    <w:rsid w:val="00D30435"/>
    <w:rsid w:val="00D304A2"/>
    <w:rsid w:val="00D3053A"/>
    <w:rsid w:val="00D30597"/>
    <w:rsid w:val="00D305E9"/>
    <w:rsid w:val="00D30667"/>
    <w:rsid w:val="00D30759"/>
    <w:rsid w:val="00D307C9"/>
    <w:rsid w:val="00D309C4"/>
    <w:rsid w:val="00D30A53"/>
    <w:rsid w:val="00D30ADC"/>
    <w:rsid w:val="00D30BB5"/>
    <w:rsid w:val="00D30BD0"/>
    <w:rsid w:val="00D30ED7"/>
    <w:rsid w:val="00D31216"/>
    <w:rsid w:val="00D31360"/>
    <w:rsid w:val="00D31502"/>
    <w:rsid w:val="00D315A9"/>
    <w:rsid w:val="00D316B2"/>
    <w:rsid w:val="00D31ADA"/>
    <w:rsid w:val="00D31B90"/>
    <w:rsid w:val="00D31CBE"/>
    <w:rsid w:val="00D31D05"/>
    <w:rsid w:val="00D31D56"/>
    <w:rsid w:val="00D31DDE"/>
    <w:rsid w:val="00D31F14"/>
    <w:rsid w:val="00D31F66"/>
    <w:rsid w:val="00D32016"/>
    <w:rsid w:val="00D32088"/>
    <w:rsid w:val="00D32387"/>
    <w:rsid w:val="00D3249A"/>
    <w:rsid w:val="00D324C8"/>
    <w:rsid w:val="00D3251B"/>
    <w:rsid w:val="00D32608"/>
    <w:rsid w:val="00D3272A"/>
    <w:rsid w:val="00D32928"/>
    <w:rsid w:val="00D32930"/>
    <w:rsid w:val="00D32A48"/>
    <w:rsid w:val="00D32D95"/>
    <w:rsid w:val="00D32FAE"/>
    <w:rsid w:val="00D33002"/>
    <w:rsid w:val="00D330D1"/>
    <w:rsid w:val="00D3334D"/>
    <w:rsid w:val="00D337AC"/>
    <w:rsid w:val="00D337D3"/>
    <w:rsid w:val="00D33896"/>
    <w:rsid w:val="00D338F3"/>
    <w:rsid w:val="00D339BD"/>
    <w:rsid w:val="00D33B29"/>
    <w:rsid w:val="00D33C9C"/>
    <w:rsid w:val="00D33CC9"/>
    <w:rsid w:val="00D33E64"/>
    <w:rsid w:val="00D33E95"/>
    <w:rsid w:val="00D33EFC"/>
    <w:rsid w:val="00D33FAF"/>
    <w:rsid w:val="00D34016"/>
    <w:rsid w:val="00D34026"/>
    <w:rsid w:val="00D340C9"/>
    <w:rsid w:val="00D341BF"/>
    <w:rsid w:val="00D3421E"/>
    <w:rsid w:val="00D342F6"/>
    <w:rsid w:val="00D34464"/>
    <w:rsid w:val="00D344AD"/>
    <w:rsid w:val="00D344E1"/>
    <w:rsid w:val="00D3451F"/>
    <w:rsid w:val="00D34649"/>
    <w:rsid w:val="00D34690"/>
    <w:rsid w:val="00D34AAE"/>
    <w:rsid w:val="00D34B3B"/>
    <w:rsid w:val="00D34CE2"/>
    <w:rsid w:val="00D34E46"/>
    <w:rsid w:val="00D34F3F"/>
    <w:rsid w:val="00D3518C"/>
    <w:rsid w:val="00D354EB"/>
    <w:rsid w:val="00D3559B"/>
    <w:rsid w:val="00D35898"/>
    <w:rsid w:val="00D358E2"/>
    <w:rsid w:val="00D35A2F"/>
    <w:rsid w:val="00D35B07"/>
    <w:rsid w:val="00D35BCF"/>
    <w:rsid w:val="00D35C7D"/>
    <w:rsid w:val="00D35D35"/>
    <w:rsid w:val="00D35E58"/>
    <w:rsid w:val="00D36190"/>
    <w:rsid w:val="00D36257"/>
    <w:rsid w:val="00D362A4"/>
    <w:rsid w:val="00D365A8"/>
    <w:rsid w:val="00D36650"/>
    <w:rsid w:val="00D36687"/>
    <w:rsid w:val="00D36756"/>
    <w:rsid w:val="00D36B32"/>
    <w:rsid w:val="00D36C0C"/>
    <w:rsid w:val="00D36EA1"/>
    <w:rsid w:val="00D3731A"/>
    <w:rsid w:val="00D374ED"/>
    <w:rsid w:val="00D376E6"/>
    <w:rsid w:val="00D378D4"/>
    <w:rsid w:val="00D378F9"/>
    <w:rsid w:val="00D37948"/>
    <w:rsid w:val="00D37AFC"/>
    <w:rsid w:val="00D37B83"/>
    <w:rsid w:val="00D37B89"/>
    <w:rsid w:val="00D37C59"/>
    <w:rsid w:val="00D37F16"/>
    <w:rsid w:val="00D4008A"/>
    <w:rsid w:val="00D4009A"/>
    <w:rsid w:val="00D4014F"/>
    <w:rsid w:val="00D40349"/>
    <w:rsid w:val="00D403D6"/>
    <w:rsid w:val="00D40635"/>
    <w:rsid w:val="00D4070D"/>
    <w:rsid w:val="00D40EBC"/>
    <w:rsid w:val="00D40F21"/>
    <w:rsid w:val="00D4105A"/>
    <w:rsid w:val="00D4110C"/>
    <w:rsid w:val="00D41200"/>
    <w:rsid w:val="00D412FA"/>
    <w:rsid w:val="00D4140A"/>
    <w:rsid w:val="00D4149F"/>
    <w:rsid w:val="00D414B0"/>
    <w:rsid w:val="00D41513"/>
    <w:rsid w:val="00D415A2"/>
    <w:rsid w:val="00D416B5"/>
    <w:rsid w:val="00D4189F"/>
    <w:rsid w:val="00D4197D"/>
    <w:rsid w:val="00D41A3A"/>
    <w:rsid w:val="00D41A4F"/>
    <w:rsid w:val="00D41B30"/>
    <w:rsid w:val="00D41B47"/>
    <w:rsid w:val="00D41BBE"/>
    <w:rsid w:val="00D41C65"/>
    <w:rsid w:val="00D41CFB"/>
    <w:rsid w:val="00D41CFF"/>
    <w:rsid w:val="00D4209B"/>
    <w:rsid w:val="00D421B5"/>
    <w:rsid w:val="00D421F9"/>
    <w:rsid w:val="00D4260B"/>
    <w:rsid w:val="00D42620"/>
    <w:rsid w:val="00D4266A"/>
    <w:rsid w:val="00D42734"/>
    <w:rsid w:val="00D427C8"/>
    <w:rsid w:val="00D42AEA"/>
    <w:rsid w:val="00D42AF8"/>
    <w:rsid w:val="00D42B9C"/>
    <w:rsid w:val="00D42D07"/>
    <w:rsid w:val="00D43117"/>
    <w:rsid w:val="00D432BA"/>
    <w:rsid w:val="00D43487"/>
    <w:rsid w:val="00D436EA"/>
    <w:rsid w:val="00D437D8"/>
    <w:rsid w:val="00D4388B"/>
    <w:rsid w:val="00D43D20"/>
    <w:rsid w:val="00D43E6A"/>
    <w:rsid w:val="00D43E8B"/>
    <w:rsid w:val="00D43EA3"/>
    <w:rsid w:val="00D4413E"/>
    <w:rsid w:val="00D4439D"/>
    <w:rsid w:val="00D444D8"/>
    <w:rsid w:val="00D44635"/>
    <w:rsid w:val="00D4484D"/>
    <w:rsid w:val="00D44AF5"/>
    <w:rsid w:val="00D44B46"/>
    <w:rsid w:val="00D44B52"/>
    <w:rsid w:val="00D44C72"/>
    <w:rsid w:val="00D44D45"/>
    <w:rsid w:val="00D44E88"/>
    <w:rsid w:val="00D44FA5"/>
    <w:rsid w:val="00D45083"/>
    <w:rsid w:val="00D450DC"/>
    <w:rsid w:val="00D45128"/>
    <w:rsid w:val="00D4514A"/>
    <w:rsid w:val="00D4514C"/>
    <w:rsid w:val="00D45187"/>
    <w:rsid w:val="00D45224"/>
    <w:rsid w:val="00D45360"/>
    <w:rsid w:val="00D45462"/>
    <w:rsid w:val="00D4547A"/>
    <w:rsid w:val="00D4554B"/>
    <w:rsid w:val="00D45870"/>
    <w:rsid w:val="00D45A14"/>
    <w:rsid w:val="00D45B55"/>
    <w:rsid w:val="00D45B73"/>
    <w:rsid w:val="00D45C4B"/>
    <w:rsid w:val="00D4613B"/>
    <w:rsid w:val="00D46153"/>
    <w:rsid w:val="00D461A0"/>
    <w:rsid w:val="00D46369"/>
    <w:rsid w:val="00D4650B"/>
    <w:rsid w:val="00D465E5"/>
    <w:rsid w:val="00D466AD"/>
    <w:rsid w:val="00D4670C"/>
    <w:rsid w:val="00D4674D"/>
    <w:rsid w:val="00D4688F"/>
    <w:rsid w:val="00D46A37"/>
    <w:rsid w:val="00D46D12"/>
    <w:rsid w:val="00D46D9A"/>
    <w:rsid w:val="00D46EBE"/>
    <w:rsid w:val="00D46F61"/>
    <w:rsid w:val="00D46FF0"/>
    <w:rsid w:val="00D470EB"/>
    <w:rsid w:val="00D47274"/>
    <w:rsid w:val="00D473DC"/>
    <w:rsid w:val="00D473DE"/>
    <w:rsid w:val="00D4760B"/>
    <w:rsid w:val="00D4766B"/>
    <w:rsid w:val="00D47700"/>
    <w:rsid w:val="00D4772E"/>
    <w:rsid w:val="00D47808"/>
    <w:rsid w:val="00D47946"/>
    <w:rsid w:val="00D47999"/>
    <w:rsid w:val="00D479AE"/>
    <w:rsid w:val="00D47A88"/>
    <w:rsid w:val="00D47AAF"/>
    <w:rsid w:val="00D47B60"/>
    <w:rsid w:val="00D47BA2"/>
    <w:rsid w:val="00D47CDF"/>
    <w:rsid w:val="00D47DE8"/>
    <w:rsid w:val="00D47DF7"/>
    <w:rsid w:val="00D47E96"/>
    <w:rsid w:val="00D47FF7"/>
    <w:rsid w:val="00D503F3"/>
    <w:rsid w:val="00D5052A"/>
    <w:rsid w:val="00D506CD"/>
    <w:rsid w:val="00D50796"/>
    <w:rsid w:val="00D509D0"/>
    <w:rsid w:val="00D50BB1"/>
    <w:rsid w:val="00D50E8F"/>
    <w:rsid w:val="00D510C4"/>
    <w:rsid w:val="00D51634"/>
    <w:rsid w:val="00D5167B"/>
    <w:rsid w:val="00D517BF"/>
    <w:rsid w:val="00D51BCA"/>
    <w:rsid w:val="00D51E59"/>
    <w:rsid w:val="00D51E6C"/>
    <w:rsid w:val="00D51F64"/>
    <w:rsid w:val="00D52023"/>
    <w:rsid w:val="00D52072"/>
    <w:rsid w:val="00D522EB"/>
    <w:rsid w:val="00D52305"/>
    <w:rsid w:val="00D52358"/>
    <w:rsid w:val="00D52426"/>
    <w:rsid w:val="00D52460"/>
    <w:rsid w:val="00D524AA"/>
    <w:rsid w:val="00D52591"/>
    <w:rsid w:val="00D52615"/>
    <w:rsid w:val="00D52808"/>
    <w:rsid w:val="00D5290E"/>
    <w:rsid w:val="00D52CBF"/>
    <w:rsid w:val="00D52D23"/>
    <w:rsid w:val="00D52D44"/>
    <w:rsid w:val="00D52D67"/>
    <w:rsid w:val="00D52EA6"/>
    <w:rsid w:val="00D52EF6"/>
    <w:rsid w:val="00D530E3"/>
    <w:rsid w:val="00D53216"/>
    <w:rsid w:val="00D53291"/>
    <w:rsid w:val="00D533B7"/>
    <w:rsid w:val="00D533CF"/>
    <w:rsid w:val="00D53458"/>
    <w:rsid w:val="00D5350D"/>
    <w:rsid w:val="00D53622"/>
    <w:rsid w:val="00D537F5"/>
    <w:rsid w:val="00D537FF"/>
    <w:rsid w:val="00D53902"/>
    <w:rsid w:val="00D54059"/>
    <w:rsid w:val="00D540B9"/>
    <w:rsid w:val="00D541F7"/>
    <w:rsid w:val="00D544A4"/>
    <w:rsid w:val="00D546DD"/>
    <w:rsid w:val="00D5484D"/>
    <w:rsid w:val="00D54972"/>
    <w:rsid w:val="00D54989"/>
    <w:rsid w:val="00D5498F"/>
    <w:rsid w:val="00D54A4C"/>
    <w:rsid w:val="00D54AE1"/>
    <w:rsid w:val="00D54C48"/>
    <w:rsid w:val="00D54F1D"/>
    <w:rsid w:val="00D5502D"/>
    <w:rsid w:val="00D550A9"/>
    <w:rsid w:val="00D5526F"/>
    <w:rsid w:val="00D554C8"/>
    <w:rsid w:val="00D55550"/>
    <w:rsid w:val="00D5569D"/>
    <w:rsid w:val="00D5597D"/>
    <w:rsid w:val="00D55D52"/>
    <w:rsid w:val="00D55E12"/>
    <w:rsid w:val="00D55EE5"/>
    <w:rsid w:val="00D55FBA"/>
    <w:rsid w:val="00D56006"/>
    <w:rsid w:val="00D56192"/>
    <w:rsid w:val="00D5664C"/>
    <w:rsid w:val="00D56835"/>
    <w:rsid w:val="00D568A4"/>
    <w:rsid w:val="00D568CD"/>
    <w:rsid w:val="00D56960"/>
    <w:rsid w:val="00D56A3D"/>
    <w:rsid w:val="00D56B1F"/>
    <w:rsid w:val="00D56B2B"/>
    <w:rsid w:val="00D56BCC"/>
    <w:rsid w:val="00D56CD6"/>
    <w:rsid w:val="00D56D9B"/>
    <w:rsid w:val="00D56E3C"/>
    <w:rsid w:val="00D56F42"/>
    <w:rsid w:val="00D57101"/>
    <w:rsid w:val="00D5711C"/>
    <w:rsid w:val="00D571AD"/>
    <w:rsid w:val="00D573CA"/>
    <w:rsid w:val="00D57474"/>
    <w:rsid w:val="00D575C9"/>
    <w:rsid w:val="00D575FE"/>
    <w:rsid w:val="00D5767B"/>
    <w:rsid w:val="00D576F9"/>
    <w:rsid w:val="00D577C3"/>
    <w:rsid w:val="00D57C1D"/>
    <w:rsid w:val="00D57D41"/>
    <w:rsid w:val="00D57D79"/>
    <w:rsid w:val="00D57DA2"/>
    <w:rsid w:val="00D57F0E"/>
    <w:rsid w:val="00D57F43"/>
    <w:rsid w:val="00D57F66"/>
    <w:rsid w:val="00D57FE2"/>
    <w:rsid w:val="00D6006D"/>
    <w:rsid w:val="00D602CE"/>
    <w:rsid w:val="00D60476"/>
    <w:rsid w:val="00D60537"/>
    <w:rsid w:val="00D6065A"/>
    <w:rsid w:val="00D6088D"/>
    <w:rsid w:val="00D608A1"/>
    <w:rsid w:val="00D60950"/>
    <w:rsid w:val="00D609A2"/>
    <w:rsid w:val="00D609AB"/>
    <w:rsid w:val="00D60AA6"/>
    <w:rsid w:val="00D60BB6"/>
    <w:rsid w:val="00D60BC6"/>
    <w:rsid w:val="00D60E10"/>
    <w:rsid w:val="00D60EB4"/>
    <w:rsid w:val="00D60FBC"/>
    <w:rsid w:val="00D61105"/>
    <w:rsid w:val="00D6141B"/>
    <w:rsid w:val="00D614CA"/>
    <w:rsid w:val="00D615D6"/>
    <w:rsid w:val="00D6162A"/>
    <w:rsid w:val="00D61696"/>
    <w:rsid w:val="00D61B00"/>
    <w:rsid w:val="00D61DD0"/>
    <w:rsid w:val="00D61E1F"/>
    <w:rsid w:val="00D61E84"/>
    <w:rsid w:val="00D61F14"/>
    <w:rsid w:val="00D62030"/>
    <w:rsid w:val="00D62184"/>
    <w:rsid w:val="00D62202"/>
    <w:rsid w:val="00D6226A"/>
    <w:rsid w:val="00D623E4"/>
    <w:rsid w:val="00D624D3"/>
    <w:rsid w:val="00D624D6"/>
    <w:rsid w:val="00D6282F"/>
    <w:rsid w:val="00D62979"/>
    <w:rsid w:val="00D629B4"/>
    <w:rsid w:val="00D629CA"/>
    <w:rsid w:val="00D629FA"/>
    <w:rsid w:val="00D62D3F"/>
    <w:rsid w:val="00D62E4B"/>
    <w:rsid w:val="00D62E60"/>
    <w:rsid w:val="00D63065"/>
    <w:rsid w:val="00D63192"/>
    <w:rsid w:val="00D631EB"/>
    <w:rsid w:val="00D633BC"/>
    <w:rsid w:val="00D633CF"/>
    <w:rsid w:val="00D63477"/>
    <w:rsid w:val="00D634FE"/>
    <w:rsid w:val="00D636F0"/>
    <w:rsid w:val="00D636F9"/>
    <w:rsid w:val="00D63822"/>
    <w:rsid w:val="00D63C4F"/>
    <w:rsid w:val="00D63D05"/>
    <w:rsid w:val="00D63D55"/>
    <w:rsid w:val="00D63D99"/>
    <w:rsid w:val="00D63E0E"/>
    <w:rsid w:val="00D63FD9"/>
    <w:rsid w:val="00D64146"/>
    <w:rsid w:val="00D6426A"/>
    <w:rsid w:val="00D64277"/>
    <w:rsid w:val="00D6435D"/>
    <w:rsid w:val="00D64765"/>
    <w:rsid w:val="00D648DF"/>
    <w:rsid w:val="00D64A23"/>
    <w:rsid w:val="00D64A2E"/>
    <w:rsid w:val="00D64B27"/>
    <w:rsid w:val="00D64F42"/>
    <w:rsid w:val="00D650EA"/>
    <w:rsid w:val="00D65158"/>
    <w:rsid w:val="00D65296"/>
    <w:rsid w:val="00D6534F"/>
    <w:rsid w:val="00D6548C"/>
    <w:rsid w:val="00D654F1"/>
    <w:rsid w:val="00D65675"/>
    <w:rsid w:val="00D656FB"/>
    <w:rsid w:val="00D659FD"/>
    <w:rsid w:val="00D65A5B"/>
    <w:rsid w:val="00D65A65"/>
    <w:rsid w:val="00D65C28"/>
    <w:rsid w:val="00D65CFB"/>
    <w:rsid w:val="00D65D1C"/>
    <w:rsid w:val="00D65F85"/>
    <w:rsid w:val="00D65FAD"/>
    <w:rsid w:val="00D65FD4"/>
    <w:rsid w:val="00D661E4"/>
    <w:rsid w:val="00D662D0"/>
    <w:rsid w:val="00D66407"/>
    <w:rsid w:val="00D66769"/>
    <w:rsid w:val="00D668F8"/>
    <w:rsid w:val="00D669F8"/>
    <w:rsid w:val="00D66B33"/>
    <w:rsid w:val="00D66BA6"/>
    <w:rsid w:val="00D66BA8"/>
    <w:rsid w:val="00D66C5D"/>
    <w:rsid w:val="00D66E90"/>
    <w:rsid w:val="00D670F9"/>
    <w:rsid w:val="00D6713C"/>
    <w:rsid w:val="00D671CC"/>
    <w:rsid w:val="00D671E2"/>
    <w:rsid w:val="00D6725C"/>
    <w:rsid w:val="00D67390"/>
    <w:rsid w:val="00D6743B"/>
    <w:rsid w:val="00D675C5"/>
    <w:rsid w:val="00D67721"/>
    <w:rsid w:val="00D67781"/>
    <w:rsid w:val="00D679D5"/>
    <w:rsid w:val="00D679D9"/>
    <w:rsid w:val="00D67A12"/>
    <w:rsid w:val="00D67A33"/>
    <w:rsid w:val="00D67CF6"/>
    <w:rsid w:val="00D67D11"/>
    <w:rsid w:val="00D67E17"/>
    <w:rsid w:val="00D70159"/>
    <w:rsid w:val="00D7018A"/>
    <w:rsid w:val="00D702AA"/>
    <w:rsid w:val="00D702E2"/>
    <w:rsid w:val="00D70445"/>
    <w:rsid w:val="00D70505"/>
    <w:rsid w:val="00D70608"/>
    <w:rsid w:val="00D70748"/>
    <w:rsid w:val="00D70967"/>
    <w:rsid w:val="00D70C97"/>
    <w:rsid w:val="00D70EB6"/>
    <w:rsid w:val="00D70ECD"/>
    <w:rsid w:val="00D70FCB"/>
    <w:rsid w:val="00D70FCD"/>
    <w:rsid w:val="00D716C6"/>
    <w:rsid w:val="00D71847"/>
    <w:rsid w:val="00D7185F"/>
    <w:rsid w:val="00D71A45"/>
    <w:rsid w:val="00D71B8B"/>
    <w:rsid w:val="00D71BC0"/>
    <w:rsid w:val="00D71DD0"/>
    <w:rsid w:val="00D71E7E"/>
    <w:rsid w:val="00D71EC7"/>
    <w:rsid w:val="00D71EED"/>
    <w:rsid w:val="00D71FB0"/>
    <w:rsid w:val="00D72062"/>
    <w:rsid w:val="00D722C0"/>
    <w:rsid w:val="00D723D6"/>
    <w:rsid w:val="00D723FF"/>
    <w:rsid w:val="00D7263A"/>
    <w:rsid w:val="00D726B0"/>
    <w:rsid w:val="00D72801"/>
    <w:rsid w:val="00D728D5"/>
    <w:rsid w:val="00D72A29"/>
    <w:rsid w:val="00D72B1D"/>
    <w:rsid w:val="00D72B41"/>
    <w:rsid w:val="00D72CAA"/>
    <w:rsid w:val="00D72DC4"/>
    <w:rsid w:val="00D72EBB"/>
    <w:rsid w:val="00D72FD5"/>
    <w:rsid w:val="00D7307A"/>
    <w:rsid w:val="00D7307F"/>
    <w:rsid w:val="00D730FB"/>
    <w:rsid w:val="00D73163"/>
    <w:rsid w:val="00D734BF"/>
    <w:rsid w:val="00D735E4"/>
    <w:rsid w:val="00D73690"/>
    <w:rsid w:val="00D736E0"/>
    <w:rsid w:val="00D73991"/>
    <w:rsid w:val="00D73C64"/>
    <w:rsid w:val="00D73D88"/>
    <w:rsid w:val="00D73EAC"/>
    <w:rsid w:val="00D73F97"/>
    <w:rsid w:val="00D73FA6"/>
    <w:rsid w:val="00D740F9"/>
    <w:rsid w:val="00D741CE"/>
    <w:rsid w:val="00D74401"/>
    <w:rsid w:val="00D74406"/>
    <w:rsid w:val="00D74443"/>
    <w:rsid w:val="00D7486A"/>
    <w:rsid w:val="00D74A8E"/>
    <w:rsid w:val="00D74CCA"/>
    <w:rsid w:val="00D74D9B"/>
    <w:rsid w:val="00D74E22"/>
    <w:rsid w:val="00D75139"/>
    <w:rsid w:val="00D75322"/>
    <w:rsid w:val="00D755CF"/>
    <w:rsid w:val="00D75773"/>
    <w:rsid w:val="00D75807"/>
    <w:rsid w:val="00D759CD"/>
    <w:rsid w:val="00D75BB1"/>
    <w:rsid w:val="00D75D94"/>
    <w:rsid w:val="00D75F09"/>
    <w:rsid w:val="00D7608E"/>
    <w:rsid w:val="00D7627D"/>
    <w:rsid w:val="00D7633A"/>
    <w:rsid w:val="00D763B9"/>
    <w:rsid w:val="00D7660C"/>
    <w:rsid w:val="00D76722"/>
    <w:rsid w:val="00D7672E"/>
    <w:rsid w:val="00D76910"/>
    <w:rsid w:val="00D76957"/>
    <w:rsid w:val="00D76A84"/>
    <w:rsid w:val="00D76B3D"/>
    <w:rsid w:val="00D76CFD"/>
    <w:rsid w:val="00D76D14"/>
    <w:rsid w:val="00D76E0E"/>
    <w:rsid w:val="00D76E5B"/>
    <w:rsid w:val="00D76E86"/>
    <w:rsid w:val="00D7707A"/>
    <w:rsid w:val="00D77086"/>
    <w:rsid w:val="00D770DC"/>
    <w:rsid w:val="00D770F3"/>
    <w:rsid w:val="00D773F0"/>
    <w:rsid w:val="00D773F5"/>
    <w:rsid w:val="00D77462"/>
    <w:rsid w:val="00D77520"/>
    <w:rsid w:val="00D7752B"/>
    <w:rsid w:val="00D77761"/>
    <w:rsid w:val="00D779F3"/>
    <w:rsid w:val="00D77BA7"/>
    <w:rsid w:val="00D77FB0"/>
    <w:rsid w:val="00D80015"/>
    <w:rsid w:val="00D8004E"/>
    <w:rsid w:val="00D800AE"/>
    <w:rsid w:val="00D80163"/>
    <w:rsid w:val="00D8017E"/>
    <w:rsid w:val="00D80214"/>
    <w:rsid w:val="00D802BA"/>
    <w:rsid w:val="00D8032B"/>
    <w:rsid w:val="00D80776"/>
    <w:rsid w:val="00D8081E"/>
    <w:rsid w:val="00D80965"/>
    <w:rsid w:val="00D80F04"/>
    <w:rsid w:val="00D81074"/>
    <w:rsid w:val="00D81170"/>
    <w:rsid w:val="00D8180D"/>
    <w:rsid w:val="00D81811"/>
    <w:rsid w:val="00D81AFD"/>
    <w:rsid w:val="00D81E58"/>
    <w:rsid w:val="00D81F84"/>
    <w:rsid w:val="00D81FB4"/>
    <w:rsid w:val="00D821A9"/>
    <w:rsid w:val="00D8236B"/>
    <w:rsid w:val="00D824DC"/>
    <w:rsid w:val="00D82592"/>
    <w:rsid w:val="00D82728"/>
    <w:rsid w:val="00D82761"/>
    <w:rsid w:val="00D82778"/>
    <w:rsid w:val="00D829CB"/>
    <w:rsid w:val="00D829D6"/>
    <w:rsid w:val="00D82A7A"/>
    <w:rsid w:val="00D82B0A"/>
    <w:rsid w:val="00D82E4A"/>
    <w:rsid w:val="00D82F37"/>
    <w:rsid w:val="00D82F3E"/>
    <w:rsid w:val="00D82FE0"/>
    <w:rsid w:val="00D83125"/>
    <w:rsid w:val="00D83309"/>
    <w:rsid w:val="00D8338E"/>
    <w:rsid w:val="00D833DC"/>
    <w:rsid w:val="00D83690"/>
    <w:rsid w:val="00D8379E"/>
    <w:rsid w:val="00D837BB"/>
    <w:rsid w:val="00D83813"/>
    <w:rsid w:val="00D83A5C"/>
    <w:rsid w:val="00D83E66"/>
    <w:rsid w:val="00D83E98"/>
    <w:rsid w:val="00D84306"/>
    <w:rsid w:val="00D8453F"/>
    <w:rsid w:val="00D8468C"/>
    <w:rsid w:val="00D846A5"/>
    <w:rsid w:val="00D84860"/>
    <w:rsid w:val="00D84AF8"/>
    <w:rsid w:val="00D84EA7"/>
    <w:rsid w:val="00D84F0D"/>
    <w:rsid w:val="00D851AC"/>
    <w:rsid w:val="00D8543C"/>
    <w:rsid w:val="00D85444"/>
    <w:rsid w:val="00D854EA"/>
    <w:rsid w:val="00D85666"/>
    <w:rsid w:val="00D856E1"/>
    <w:rsid w:val="00D8570C"/>
    <w:rsid w:val="00D8585E"/>
    <w:rsid w:val="00D85C05"/>
    <w:rsid w:val="00D85C47"/>
    <w:rsid w:val="00D85CD4"/>
    <w:rsid w:val="00D85D0E"/>
    <w:rsid w:val="00D85E6D"/>
    <w:rsid w:val="00D85E84"/>
    <w:rsid w:val="00D85EE0"/>
    <w:rsid w:val="00D85F32"/>
    <w:rsid w:val="00D8608C"/>
    <w:rsid w:val="00D861E6"/>
    <w:rsid w:val="00D86201"/>
    <w:rsid w:val="00D86352"/>
    <w:rsid w:val="00D864D2"/>
    <w:rsid w:val="00D86900"/>
    <w:rsid w:val="00D869B5"/>
    <w:rsid w:val="00D86A82"/>
    <w:rsid w:val="00D86B51"/>
    <w:rsid w:val="00D86B8A"/>
    <w:rsid w:val="00D86BB2"/>
    <w:rsid w:val="00D86C95"/>
    <w:rsid w:val="00D86EEC"/>
    <w:rsid w:val="00D86F50"/>
    <w:rsid w:val="00D86F51"/>
    <w:rsid w:val="00D870C3"/>
    <w:rsid w:val="00D87193"/>
    <w:rsid w:val="00D871AB"/>
    <w:rsid w:val="00D87468"/>
    <w:rsid w:val="00D874B6"/>
    <w:rsid w:val="00D87517"/>
    <w:rsid w:val="00D87705"/>
    <w:rsid w:val="00D87749"/>
    <w:rsid w:val="00D877D1"/>
    <w:rsid w:val="00D87983"/>
    <w:rsid w:val="00D87C43"/>
    <w:rsid w:val="00D87C5F"/>
    <w:rsid w:val="00D87F33"/>
    <w:rsid w:val="00D87F9B"/>
    <w:rsid w:val="00D9007B"/>
    <w:rsid w:val="00D900E1"/>
    <w:rsid w:val="00D90592"/>
    <w:rsid w:val="00D905A1"/>
    <w:rsid w:val="00D907E0"/>
    <w:rsid w:val="00D90832"/>
    <w:rsid w:val="00D909A4"/>
    <w:rsid w:val="00D90B73"/>
    <w:rsid w:val="00D90BE7"/>
    <w:rsid w:val="00D90CC8"/>
    <w:rsid w:val="00D90D05"/>
    <w:rsid w:val="00D90DED"/>
    <w:rsid w:val="00D90EF3"/>
    <w:rsid w:val="00D9152F"/>
    <w:rsid w:val="00D916DF"/>
    <w:rsid w:val="00D9173F"/>
    <w:rsid w:val="00D9175C"/>
    <w:rsid w:val="00D91824"/>
    <w:rsid w:val="00D918D9"/>
    <w:rsid w:val="00D91A3D"/>
    <w:rsid w:val="00D91B97"/>
    <w:rsid w:val="00D91BDC"/>
    <w:rsid w:val="00D91DB4"/>
    <w:rsid w:val="00D92009"/>
    <w:rsid w:val="00D9201B"/>
    <w:rsid w:val="00D92076"/>
    <w:rsid w:val="00D92103"/>
    <w:rsid w:val="00D92104"/>
    <w:rsid w:val="00D92193"/>
    <w:rsid w:val="00D92254"/>
    <w:rsid w:val="00D9226A"/>
    <w:rsid w:val="00D92286"/>
    <w:rsid w:val="00D92693"/>
    <w:rsid w:val="00D92815"/>
    <w:rsid w:val="00D928EC"/>
    <w:rsid w:val="00D92986"/>
    <w:rsid w:val="00D92A87"/>
    <w:rsid w:val="00D92B74"/>
    <w:rsid w:val="00D92CAB"/>
    <w:rsid w:val="00D92DF6"/>
    <w:rsid w:val="00D92F5D"/>
    <w:rsid w:val="00D93098"/>
    <w:rsid w:val="00D931D0"/>
    <w:rsid w:val="00D931EA"/>
    <w:rsid w:val="00D932D7"/>
    <w:rsid w:val="00D9333A"/>
    <w:rsid w:val="00D934B8"/>
    <w:rsid w:val="00D93565"/>
    <w:rsid w:val="00D935B0"/>
    <w:rsid w:val="00D938A5"/>
    <w:rsid w:val="00D93A51"/>
    <w:rsid w:val="00D93BBA"/>
    <w:rsid w:val="00D93CC0"/>
    <w:rsid w:val="00D93DEF"/>
    <w:rsid w:val="00D93E01"/>
    <w:rsid w:val="00D94082"/>
    <w:rsid w:val="00D94159"/>
    <w:rsid w:val="00D94341"/>
    <w:rsid w:val="00D944D2"/>
    <w:rsid w:val="00D9452B"/>
    <w:rsid w:val="00D94797"/>
    <w:rsid w:val="00D947DE"/>
    <w:rsid w:val="00D9499B"/>
    <w:rsid w:val="00D94B85"/>
    <w:rsid w:val="00D94BBD"/>
    <w:rsid w:val="00D950D7"/>
    <w:rsid w:val="00D952CE"/>
    <w:rsid w:val="00D95318"/>
    <w:rsid w:val="00D95693"/>
    <w:rsid w:val="00D959F1"/>
    <w:rsid w:val="00D95BC1"/>
    <w:rsid w:val="00D95C8F"/>
    <w:rsid w:val="00D95F5A"/>
    <w:rsid w:val="00D95F7A"/>
    <w:rsid w:val="00D95FCE"/>
    <w:rsid w:val="00D960B7"/>
    <w:rsid w:val="00D96117"/>
    <w:rsid w:val="00D961E0"/>
    <w:rsid w:val="00D9624F"/>
    <w:rsid w:val="00D96367"/>
    <w:rsid w:val="00D9638C"/>
    <w:rsid w:val="00D96456"/>
    <w:rsid w:val="00D9654F"/>
    <w:rsid w:val="00D96777"/>
    <w:rsid w:val="00D9677A"/>
    <w:rsid w:val="00D9678D"/>
    <w:rsid w:val="00D967E3"/>
    <w:rsid w:val="00D96AFC"/>
    <w:rsid w:val="00D96B3D"/>
    <w:rsid w:val="00D96B7D"/>
    <w:rsid w:val="00D96B89"/>
    <w:rsid w:val="00D96D98"/>
    <w:rsid w:val="00D96F31"/>
    <w:rsid w:val="00D970C3"/>
    <w:rsid w:val="00D97241"/>
    <w:rsid w:val="00D9725A"/>
    <w:rsid w:val="00D973C6"/>
    <w:rsid w:val="00D97537"/>
    <w:rsid w:val="00D975B7"/>
    <w:rsid w:val="00D975D1"/>
    <w:rsid w:val="00D9761C"/>
    <w:rsid w:val="00D9783C"/>
    <w:rsid w:val="00D97AC7"/>
    <w:rsid w:val="00D97B09"/>
    <w:rsid w:val="00D97D20"/>
    <w:rsid w:val="00D97E13"/>
    <w:rsid w:val="00D97EA1"/>
    <w:rsid w:val="00D97ED8"/>
    <w:rsid w:val="00D97FD8"/>
    <w:rsid w:val="00DA0142"/>
    <w:rsid w:val="00DA0201"/>
    <w:rsid w:val="00DA02E9"/>
    <w:rsid w:val="00DA04BD"/>
    <w:rsid w:val="00DA080D"/>
    <w:rsid w:val="00DA0930"/>
    <w:rsid w:val="00DA096C"/>
    <w:rsid w:val="00DA09A5"/>
    <w:rsid w:val="00DA0BCA"/>
    <w:rsid w:val="00DA0C9C"/>
    <w:rsid w:val="00DA1085"/>
    <w:rsid w:val="00DA1169"/>
    <w:rsid w:val="00DA11A3"/>
    <w:rsid w:val="00DA125E"/>
    <w:rsid w:val="00DA137C"/>
    <w:rsid w:val="00DA1469"/>
    <w:rsid w:val="00DA1764"/>
    <w:rsid w:val="00DA1962"/>
    <w:rsid w:val="00DA19AA"/>
    <w:rsid w:val="00DA1A63"/>
    <w:rsid w:val="00DA1B08"/>
    <w:rsid w:val="00DA1C91"/>
    <w:rsid w:val="00DA1DA4"/>
    <w:rsid w:val="00DA1EDC"/>
    <w:rsid w:val="00DA1F22"/>
    <w:rsid w:val="00DA1F47"/>
    <w:rsid w:val="00DA2056"/>
    <w:rsid w:val="00DA209B"/>
    <w:rsid w:val="00DA2282"/>
    <w:rsid w:val="00DA2329"/>
    <w:rsid w:val="00DA25BB"/>
    <w:rsid w:val="00DA2748"/>
    <w:rsid w:val="00DA27D7"/>
    <w:rsid w:val="00DA2993"/>
    <w:rsid w:val="00DA2D14"/>
    <w:rsid w:val="00DA3170"/>
    <w:rsid w:val="00DA3228"/>
    <w:rsid w:val="00DA335D"/>
    <w:rsid w:val="00DA3463"/>
    <w:rsid w:val="00DA356F"/>
    <w:rsid w:val="00DA36F8"/>
    <w:rsid w:val="00DA36F9"/>
    <w:rsid w:val="00DA371D"/>
    <w:rsid w:val="00DA3855"/>
    <w:rsid w:val="00DA38E1"/>
    <w:rsid w:val="00DA38F6"/>
    <w:rsid w:val="00DA3C48"/>
    <w:rsid w:val="00DA3DCE"/>
    <w:rsid w:val="00DA3DE6"/>
    <w:rsid w:val="00DA3E8F"/>
    <w:rsid w:val="00DA3F22"/>
    <w:rsid w:val="00DA40E8"/>
    <w:rsid w:val="00DA4187"/>
    <w:rsid w:val="00DA42C8"/>
    <w:rsid w:val="00DA4366"/>
    <w:rsid w:val="00DA43FD"/>
    <w:rsid w:val="00DA4441"/>
    <w:rsid w:val="00DA4460"/>
    <w:rsid w:val="00DA46D9"/>
    <w:rsid w:val="00DA47A8"/>
    <w:rsid w:val="00DA4831"/>
    <w:rsid w:val="00DA49B7"/>
    <w:rsid w:val="00DA49F0"/>
    <w:rsid w:val="00DA4A89"/>
    <w:rsid w:val="00DA4B09"/>
    <w:rsid w:val="00DA4BB0"/>
    <w:rsid w:val="00DA4C1D"/>
    <w:rsid w:val="00DA4C82"/>
    <w:rsid w:val="00DA4EBC"/>
    <w:rsid w:val="00DA4F37"/>
    <w:rsid w:val="00DA4FDA"/>
    <w:rsid w:val="00DA5148"/>
    <w:rsid w:val="00DA55F1"/>
    <w:rsid w:val="00DA562F"/>
    <w:rsid w:val="00DA575A"/>
    <w:rsid w:val="00DA5770"/>
    <w:rsid w:val="00DA5867"/>
    <w:rsid w:val="00DA58CB"/>
    <w:rsid w:val="00DA59B0"/>
    <w:rsid w:val="00DA5ADD"/>
    <w:rsid w:val="00DA5B34"/>
    <w:rsid w:val="00DA5B80"/>
    <w:rsid w:val="00DA5DDC"/>
    <w:rsid w:val="00DA5ECB"/>
    <w:rsid w:val="00DA5F49"/>
    <w:rsid w:val="00DA5FB1"/>
    <w:rsid w:val="00DA6143"/>
    <w:rsid w:val="00DA6170"/>
    <w:rsid w:val="00DA618F"/>
    <w:rsid w:val="00DA630E"/>
    <w:rsid w:val="00DA6510"/>
    <w:rsid w:val="00DA65A5"/>
    <w:rsid w:val="00DA660B"/>
    <w:rsid w:val="00DA6694"/>
    <w:rsid w:val="00DA6816"/>
    <w:rsid w:val="00DA68AC"/>
    <w:rsid w:val="00DA68D1"/>
    <w:rsid w:val="00DA6906"/>
    <w:rsid w:val="00DA6BD8"/>
    <w:rsid w:val="00DA6CD6"/>
    <w:rsid w:val="00DA6D2F"/>
    <w:rsid w:val="00DA6D75"/>
    <w:rsid w:val="00DA6E06"/>
    <w:rsid w:val="00DA6E94"/>
    <w:rsid w:val="00DA708A"/>
    <w:rsid w:val="00DA7114"/>
    <w:rsid w:val="00DA75EB"/>
    <w:rsid w:val="00DA769E"/>
    <w:rsid w:val="00DA775C"/>
    <w:rsid w:val="00DA7CF7"/>
    <w:rsid w:val="00DA7D6D"/>
    <w:rsid w:val="00DA7E7C"/>
    <w:rsid w:val="00DA7F25"/>
    <w:rsid w:val="00DAB615"/>
    <w:rsid w:val="00DB00C9"/>
    <w:rsid w:val="00DB04B8"/>
    <w:rsid w:val="00DB09E2"/>
    <w:rsid w:val="00DB09EE"/>
    <w:rsid w:val="00DB0CC8"/>
    <w:rsid w:val="00DB0DB8"/>
    <w:rsid w:val="00DB0F3E"/>
    <w:rsid w:val="00DB1096"/>
    <w:rsid w:val="00DB10F7"/>
    <w:rsid w:val="00DB11D8"/>
    <w:rsid w:val="00DB1230"/>
    <w:rsid w:val="00DB13E4"/>
    <w:rsid w:val="00DB1771"/>
    <w:rsid w:val="00DB1926"/>
    <w:rsid w:val="00DB1951"/>
    <w:rsid w:val="00DB1CBE"/>
    <w:rsid w:val="00DB1DAF"/>
    <w:rsid w:val="00DB20B5"/>
    <w:rsid w:val="00DB21C6"/>
    <w:rsid w:val="00DB2830"/>
    <w:rsid w:val="00DB2860"/>
    <w:rsid w:val="00DB29D0"/>
    <w:rsid w:val="00DB2AAD"/>
    <w:rsid w:val="00DB2B00"/>
    <w:rsid w:val="00DB2B71"/>
    <w:rsid w:val="00DB2C44"/>
    <w:rsid w:val="00DB2C94"/>
    <w:rsid w:val="00DB2D0C"/>
    <w:rsid w:val="00DB2DB2"/>
    <w:rsid w:val="00DB2DF1"/>
    <w:rsid w:val="00DB2E7F"/>
    <w:rsid w:val="00DB2E80"/>
    <w:rsid w:val="00DB2F6E"/>
    <w:rsid w:val="00DB31B6"/>
    <w:rsid w:val="00DB32DF"/>
    <w:rsid w:val="00DB362B"/>
    <w:rsid w:val="00DB3698"/>
    <w:rsid w:val="00DB376C"/>
    <w:rsid w:val="00DB39F3"/>
    <w:rsid w:val="00DB3A0A"/>
    <w:rsid w:val="00DB3B35"/>
    <w:rsid w:val="00DB3CEC"/>
    <w:rsid w:val="00DB3DC2"/>
    <w:rsid w:val="00DB3EE8"/>
    <w:rsid w:val="00DB4031"/>
    <w:rsid w:val="00DB41DA"/>
    <w:rsid w:val="00DB432E"/>
    <w:rsid w:val="00DB446E"/>
    <w:rsid w:val="00DB469C"/>
    <w:rsid w:val="00DB4717"/>
    <w:rsid w:val="00DB49FC"/>
    <w:rsid w:val="00DB4AA5"/>
    <w:rsid w:val="00DB4D34"/>
    <w:rsid w:val="00DB4D95"/>
    <w:rsid w:val="00DB4F3C"/>
    <w:rsid w:val="00DB4F76"/>
    <w:rsid w:val="00DB5266"/>
    <w:rsid w:val="00DB53EB"/>
    <w:rsid w:val="00DB5489"/>
    <w:rsid w:val="00DB5599"/>
    <w:rsid w:val="00DB56B4"/>
    <w:rsid w:val="00DB5706"/>
    <w:rsid w:val="00DB57CB"/>
    <w:rsid w:val="00DB58BA"/>
    <w:rsid w:val="00DB58DF"/>
    <w:rsid w:val="00DB5C93"/>
    <w:rsid w:val="00DB5D60"/>
    <w:rsid w:val="00DB5EBD"/>
    <w:rsid w:val="00DB61C1"/>
    <w:rsid w:val="00DB637C"/>
    <w:rsid w:val="00DB6431"/>
    <w:rsid w:val="00DB6657"/>
    <w:rsid w:val="00DB6B01"/>
    <w:rsid w:val="00DB6C0A"/>
    <w:rsid w:val="00DB6C1F"/>
    <w:rsid w:val="00DB6E37"/>
    <w:rsid w:val="00DB6E86"/>
    <w:rsid w:val="00DB6EB4"/>
    <w:rsid w:val="00DB6F7C"/>
    <w:rsid w:val="00DB6FDD"/>
    <w:rsid w:val="00DB725D"/>
    <w:rsid w:val="00DB7288"/>
    <w:rsid w:val="00DB7695"/>
    <w:rsid w:val="00DB76C1"/>
    <w:rsid w:val="00DB76F3"/>
    <w:rsid w:val="00DB78ED"/>
    <w:rsid w:val="00DB7AFF"/>
    <w:rsid w:val="00DB7CAC"/>
    <w:rsid w:val="00DB7CB9"/>
    <w:rsid w:val="00DB7E9C"/>
    <w:rsid w:val="00DC013C"/>
    <w:rsid w:val="00DC032A"/>
    <w:rsid w:val="00DC0354"/>
    <w:rsid w:val="00DC039D"/>
    <w:rsid w:val="00DC057E"/>
    <w:rsid w:val="00DC05A8"/>
    <w:rsid w:val="00DC067C"/>
    <w:rsid w:val="00DC0740"/>
    <w:rsid w:val="00DC0945"/>
    <w:rsid w:val="00DC0A23"/>
    <w:rsid w:val="00DC0BB8"/>
    <w:rsid w:val="00DC0BD2"/>
    <w:rsid w:val="00DC0F81"/>
    <w:rsid w:val="00DC0FC3"/>
    <w:rsid w:val="00DC0FC9"/>
    <w:rsid w:val="00DC128E"/>
    <w:rsid w:val="00DC138F"/>
    <w:rsid w:val="00DC13D3"/>
    <w:rsid w:val="00DC1468"/>
    <w:rsid w:val="00DC148C"/>
    <w:rsid w:val="00DC1499"/>
    <w:rsid w:val="00DC14EE"/>
    <w:rsid w:val="00DC15D8"/>
    <w:rsid w:val="00DC1618"/>
    <w:rsid w:val="00DC180D"/>
    <w:rsid w:val="00DC1F9B"/>
    <w:rsid w:val="00DC1FCB"/>
    <w:rsid w:val="00DC20FC"/>
    <w:rsid w:val="00DC22CF"/>
    <w:rsid w:val="00DC2342"/>
    <w:rsid w:val="00DC247D"/>
    <w:rsid w:val="00DC247F"/>
    <w:rsid w:val="00DC26C0"/>
    <w:rsid w:val="00DC270E"/>
    <w:rsid w:val="00DC289D"/>
    <w:rsid w:val="00DC293F"/>
    <w:rsid w:val="00DC3194"/>
    <w:rsid w:val="00DC330D"/>
    <w:rsid w:val="00DC352B"/>
    <w:rsid w:val="00DC3584"/>
    <w:rsid w:val="00DC3686"/>
    <w:rsid w:val="00DC371E"/>
    <w:rsid w:val="00DC39C9"/>
    <w:rsid w:val="00DC3B6B"/>
    <w:rsid w:val="00DC3CD9"/>
    <w:rsid w:val="00DC3D66"/>
    <w:rsid w:val="00DC3E05"/>
    <w:rsid w:val="00DC3E6E"/>
    <w:rsid w:val="00DC3EAA"/>
    <w:rsid w:val="00DC3F4A"/>
    <w:rsid w:val="00DC3FCF"/>
    <w:rsid w:val="00DC4170"/>
    <w:rsid w:val="00DC41A2"/>
    <w:rsid w:val="00DC44E5"/>
    <w:rsid w:val="00DC450D"/>
    <w:rsid w:val="00DC473A"/>
    <w:rsid w:val="00DC4841"/>
    <w:rsid w:val="00DC4A2B"/>
    <w:rsid w:val="00DC4AD1"/>
    <w:rsid w:val="00DC4E12"/>
    <w:rsid w:val="00DC4E20"/>
    <w:rsid w:val="00DC4E49"/>
    <w:rsid w:val="00DC4F79"/>
    <w:rsid w:val="00DC5189"/>
    <w:rsid w:val="00DC52D9"/>
    <w:rsid w:val="00DC5480"/>
    <w:rsid w:val="00DC54EA"/>
    <w:rsid w:val="00DC55A6"/>
    <w:rsid w:val="00DC5678"/>
    <w:rsid w:val="00DC5686"/>
    <w:rsid w:val="00DC580C"/>
    <w:rsid w:val="00DC598B"/>
    <w:rsid w:val="00DC5B0F"/>
    <w:rsid w:val="00DC5E53"/>
    <w:rsid w:val="00DC5F57"/>
    <w:rsid w:val="00DC603B"/>
    <w:rsid w:val="00DC6113"/>
    <w:rsid w:val="00DC6266"/>
    <w:rsid w:val="00DC6295"/>
    <w:rsid w:val="00DC629C"/>
    <w:rsid w:val="00DC636F"/>
    <w:rsid w:val="00DC64CF"/>
    <w:rsid w:val="00DC64F9"/>
    <w:rsid w:val="00DC659C"/>
    <w:rsid w:val="00DC660D"/>
    <w:rsid w:val="00DC6640"/>
    <w:rsid w:val="00DC6947"/>
    <w:rsid w:val="00DC6BE7"/>
    <w:rsid w:val="00DC6EC5"/>
    <w:rsid w:val="00DC6F7E"/>
    <w:rsid w:val="00DC6FD6"/>
    <w:rsid w:val="00DC71A0"/>
    <w:rsid w:val="00DC71AE"/>
    <w:rsid w:val="00DC71F4"/>
    <w:rsid w:val="00DC73BE"/>
    <w:rsid w:val="00DC75D6"/>
    <w:rsid w:val="00DC75E2"/>
    <w:rsid w:val="00DC764E"/>
    <w:rsid w:val="00DC7927"/>
    <w:rsid w:val="00DC7A4A"/>
    <w:rsid w:val="00DC7AFA"/>
    <w:rsid w:val="00DC7B20"/>
    <w:rsid w:val="00DC7B54"/>
    <w:rsid w:val="00DC7D60"/>
    <w:rsid w:val="00DC7F88"/>
    <w:rsid w:val="00DD0395"/>
    <w:rsid w:val="00DD03AF"/>
    <w:rsid w:val="00DD05B1"/>
    <w:rsid w:val="00DD05C7"/>
    <w:rsid w:val="00DD0766"/>
    <w:rsid w:val="00DD0A0F"/>
    <w:rsid w:val="00DD0A17"/>
    <w:rsid w:val="00DD0A77"/>
    <w:rsid w:val="00DD0B70"/>
    <w:rsid w:val="00DD0D30"/>
    <w:rsid w:val="00DD0D5E"/>
    <w:rsid w:val="00DD0DF9"/>
    <w:rsid w:val="00DD0F02"/>
    <w:rsid w:val="00DD0F4D"/>
    <w:rsid w:val="00DD1230"/>
    <w:rsid w:val="00DD12F3"/>
    <w:rsid w:val="00DD1354"/>
    <w:rsid w:val="00DD1576"/>
    <w:rsid w:val="00DD160B"/>
    <w:rsid w:val="00DD167D"/>
    <w:rsid w:val="00DD16CD"/>
    <w:rsid w:val="00DD16CE"/>
    <w:rsid w:val="00DD170C"/>
    <w:rsid w:val="00DD1959"/>
    <w:rsid w:val="00DD19A0"/>
    <w:rsid w:val="00DD1BA3"/>
    <w:rsid w:val="00DD1BC2"/>
    <w:rsid w:val="00DD1C44"/>
    <w:rsid w:val="00DD1C75"/>
    <w:rsid w:val="00DD1D11"/>
    <w:rsid w:val="00DD1F64"/>
    <w:rsid w:val="00DD205B"/>
    <w:rsid w:val="00DD21D7"/>
    <w:rsid w:val="00DD22FB"/>
    <w:rsid w:val="00DD230B"/>
    <w:rsid w:val="00DD2635"/>
    <w:rsid w:val="00DD2A77"/>
    <w:rsid w:val="00DD2BDB"/>
    <w:rsid w:val="00DD2D91"/>
    <w:rsid w:val="00DD2DF8"/>
    <w:rsid w:val="00DD2F35"/>
    <w:rsid w:val="00DD2FBC"/>
    <w:rsid w:val="00DD2FCB"/>
    <w:rsid w:val="00DD2FDF"/>
    <w:rsid w:val="00DD3636"/>
    <w:rsid w:val="00DD3656"/>
    <w:rsid w:val="00DD36E8"/>
    <w:rsid w:val="00DD3874"/>
    <w:rsid w:val="00DD3887"/>
    <w:rsid w:val="00DD3994"/>
    <w:rsid w:val="00DD3A7C"/>
    <w:rsid w:val="00DD3A90"/>
    <w:rsid w:val="00DD3CEB"/>
    <w:rsid w:val="00DD3CF1"/>
    <w:rsid w:val="00DD3E14"/>
    <w:rsid w:val="00DD3F22"/>
    <w:rsid w:val="00DD3F41"/>
    <w:rsid w:val="00DD3F68"/>
    <w:rsid w:val="00DD4043"/>
    <w:rsid w:val="00DD414C"/>
    <w:rsid w:val="00DD415B"/>
    <w:rsid w:val="00DD41BD"/>
    <w:rsid w:val="00DD41D2"/>
    <w:rsid w:val="00DD4552"/>
    <w:rsid w:val="00DD45AA"/>
    <w:rsid w:val="00DD4671"/>
    <w:rsid w:val="00DD47E1"/>
    <w:rsid w:val="00DD4815"/>
    <w:rsid w:val="00DD488A"/>
    <w:rsid w:val="00DD4B5A"/>
    <w:rsid w:val="00DD4D6C"/>
    <w:rsid w:val="00DD4E81"/>
    <w:rsid w:val="00DD4EE3"/>
    <w:rsid w:val="00DD50E7"/>
    <w:rsid w:val="00DD5192"/>
    <w:rsid w:val="00DD51AA"/>
    <w:rsid w:val="00DD55B2"/>
    <w:rsid w:val="00DD55BF"/>
    <w:rsid w:val="00DD55C4"/>
    <w:rsid w:val="00DD57BD"/>
    <w:rsid w:val="00DD57D6"/>
    <w:rsid w:val="00DD5801"/>
    <w:rsid w:val="00DD58CC"/>
    <w:rsid w:val="00DD5BEA"/>
    <w:rsid w:val="00DD5E17"/>
    <w:rsid w:val="00DD5EE5"/>
    <w:rsid w:val="00DD5F6C"/>
    <w:rsid w:val="00DD603C"/>
    <w:rsid w:val="00DD6057"/>
    <w:rsid w:val="00DD6168"/>
    <w:rsid w:val="00DD6638"/>
    <w:rsid w:val="00DD6646"/>
    <w:rsid w:val="00DD6733"/>
    <w:rsid w:val="00DD6C78"/>
    <w:rsid w:val="00DD6CA4"/>
    <w:rsid w:val="00DD6D48"/>
    <w:rsid w:val="00DD6E48"/>
    <w:rsid w:val="00DD718D"/>
    <w:rsid w:val="00DD7228"/>
    <w:rsid w:val="00DD7617"/>
    <w:rsid w:val="00DD7729"/>
    <w:rsid w:val="00DD79FE"/>
    <w:rsid w:val="00DD7B46"/>
    <w:rsid w:val="00DD7B54"/>
    <w:rsid w:val="00DD7D13"/>
    <w:rsid w:val="00DD7D35"/>
    <w:rsid w:val="00DD7DA3"/>
    <w:rsid w:val="00DD7DDC"/>
    <w:rsid w:val="00DD7E18"/>
    <w:rsid w:val="00DE0308"/>
    <w:rsid w:val="00DE0447"/>
    <w:rsid w:val="00DE0470"/>
    <w:rsid w:val="00DE04C8"/>
    <w:rsid w:val="00DE064A"/>
    <w:rsid w:val="00DE068B"/>
    <w:rsid w:val="00DE06A8"/>
    <w:rsid w:val="00DE07E9"/>
    <w:rsid w:val="00DE0C00"/>
    <w:rsid w:val="00DE0D9A"/>
    <w:rsid w:val="00DE0DBD"/>
    <w:rsid w:val="00DE0E07"/>
    <w:rsid w:val="00DE0F76"/>
    <w:rsid w:val="00DE0FA3"/>
    <w:rsid w:val="00DE12AD"/>
    <w:rsid w:val="00DE12D6"/>
    <w:rsid w:val="00DE12D7"/>
    <w:rsid w:val="00DE13CF"/>
    <w:rsid w:val="00DE1458"/>
    <w:rsid w:val="00DE14B7"/>
    <w:rsid w:val="00DE1699"/>
    <w:rsid w:val="00DE16AA"/>
    <w:rsid w:val="00DE1755"/>
    <w:rsid w:val="00DE19C3"/>
    <w:rsid w:val="00DE1B78"/>
    <w:rsid w:val="00DE1C11"/>
    <w:rsid w:val="00DE1CFD"/>
    <w:rsid w:val="00DE1D16"/>
    <w:rsid w:val="00DE1DEF"/>
    <w:rsid w:val="00DE1ED5"/>
    <w:rsid w:val="00DE206F"/>
    <w:rsid w:val="00DE2093"/>
    <w:rsid w:val="00DE20FE"/>
    <w:rsid w:val="00DE21D8"/>
    <w:rsid w:val="00DE23C1"/>
    <w:rsid w:val="00DE2469"/>
    <w:rsid w:val="00DE2538"/>
    <w:rsid w:val="00DE2610"/>
    <w:rsid w:val="00DE273A"/>
    <w:rsid w:val="00DE28A3"/>
    <w:rsid w:val="00DE2B49"/>
    <w:rsid w:val="00DE2CC6"/>
    <w:rsid w:val="00DE2D8B"/>
    <w:rsid w:val="00DE2D95"/>
    <w:rsid w:val="00DE2F06"/>
    <w:rsid w:val="00DE30B3"/>
    <w:rsid w:val="00DE30D1"/>
    <w:rsid w:val="00DE3154"/>
    <w:rsid w:val="00DE31C2"/>
    <w:rsid w:val="00DE32B0"/>
    <w:rsid w:val="00DE3683"/>
    <w:rsid w:val="00DE36AA"/>
    <w:rsid w:val="00DE37C8"/>
    <w:rsid w:val="00DE38DE"/>
    <w:rsid w:val="00DE3CC5"/>
    <w:rsid w:val="00DE3EB9"/>
    <w:rsid w:val="00DE40B0"/>
    <w:rsid w:val="00DE40D6"/>
    <w:rsid w:val="00DE41F4"/>
    <w:rsid w:val="00DE424E"/>
    <w:rsid w:val="00DE4255"/>
    <w:rsid w:val="00DE4321"/>
    <w:rsid w:val="00DE45AA"/>
    <w:rsid w:val="00DE4645"/>
    <w:rsid w:val="00DE494B"/>
    <w:rsid w:val="00DE4F1F"/>
    <w:rsid w:val="00DE5271"/>
    <w:rsid w:val="00DE52B6"/>
    <w:rsid w:val="00DE5320"/>
    <w:rsid w:val="00DE5345"/>
    <w:rsid w:val="00DE5367"/>
    <w:rsid w:val="00DE5451"/>
    <w:rsid w:val="00DE56C1"/>
    <w:rsid w:val="00DE57AB"/>
    <w:rsid w:val="00DE57EC"/>
    <w:rsid w:val="00DE591E"/>
    <w:rsid w:val="00DE5A38"/>
    <w:rsid w:val="00DE5B08"/>
    <w:rsid w:val="00DE5B35"/>
    <w:rsid w:val="00DE5BD8"/>
    <w:rsid w:val="00DE5BEF"/>
    <w:rsid w:val="00DE5C9B"/>
    <w:rsid w:val="00DE5EF8"/>
    <w:rsid w:val="00DE5F60"/>
    <w:rsid w:val="00DE6107"/>
    <w:rsid w:val="00DE643B"/>
    <w:rsid w:val="00DE64DB"/>
    <w:rsid w:val="00DE6570"/>
    <w:rsid w:val="00DE6585"/>
    <w:rsid w:val="00DE6634"/>
    <w:rsid w:val="00DE6713"/>
    <w:rsid w:val="00DE6937"/>
    <w:rsid w:val="00DE694A"/>
    <w:rsid w:val="00DE69DB"/>
    <w:rsid w:val="00DE6AFA"/>
    <w:rsid w:val="00DE6BAB"/>
    <w:rsid w:val="00DE6BAC"/>
    <w:rsid w:val="00DE6C41"/>
    <w:rsid w:val="00DE6D2F"/>
    <w:rsid w:val="00DE6DBD"/>
    <w:rsid w:val="00DE6DD3"/>
    <w:rsid w:val="00DE6F1C"/>
    <w:rsid w:val="00DE70A1"/>
    <w:rsid w:val="00DE717F"/>
    <w:rsid w:val="00DE74F4"/>
    <w:rsid w:val="00DE7509"/>
    <w:rsid w:val="00DE771D"/>
    <w:rsid w:val="00DE7787"/>
    <w:rsid w:val="00DE7A95"/>
    <w:rsid w:val="00DE7B3D"/>
    <w:rsid w:val="00DE7B45"/>
    <w:rsid w:val="00DE7D3E"/>
    <w:rsid w:val="00DE7F94"/>
    <w:rsid w:val="00DE7FAC"/>
    <w:rsid w:val="00DF00FA"/>
    <w:rsid w:val="00DF0162"/>
    <w:rsid w:val="00DF0165"/>
    <w:rsid w:val="00DF025B"/>
    <w:rsid w:val="00DF03A1"/>
    <w:rsid w:val="00DF0472"/>
    <w:rsid w:val="00DF0576"/>
    <w:rsid w:val="00DF06A5"/>
    <w:rsid w:val="00DF0817"/>
    <w:rsid w:val="00DF0869"/>
    <w:rsid w:val="00DF0904"/>
    <w:rsid w:val="00DF092C"/>
    <w:rsid w:val="00DF0CBF"/>
    <w:rsid w:val="00DF0CC7"/>
    <w:rsid w:val="00DF0E01"/>
    <w:rsid w:val="00DF0FF6"/>
    <w:rsid w:val="00DF104A"/>
    <w:rsid w:val="00DF10FD"/>
    <w:rsid w:val="00DF11B0"/>
    <w:rsid w:val="00DF1218"/>
    <w:rsid w:val="00DF126C"/>
    <w:rsid w:val="00DF12C7"/>
    <w:rsid w:val="00DF1460"/>
    <w:rsid w:val="00DF16A4"/>
    <w:rsid w:val="00DF16A6"/>
    <w:rsid w:val="00DF170D"/>
    <w:rsid w:val="00DF1735"/>
    <w:rsid w:val="00DF1928"/>
    <w:rsid w:val="00DF1CB2"/>
    <w:rsid w:val="00DF1DCE"/>
    <w:rsid w:val="00DF1F5F"/>
    <w:rsid w:val="00DF1FF8"/>
    <w:rsid w:val="00DF21B2"/>
    <w:rsid w:val="00DF21CB"/>
    <w:rsid w:val="00DF230E"/>
    <w:rsid w:val="00DF2357"/>
    <w:rsid w:val="00DF248C"/>
    <w:rsid w:val="00DF24AB"/>
    <w:rsid w:val="00DF2527"/>
    <w:rsid w:val="00DF2886"/>
    <w:rsid w:val="00DF28AC"/>
    <w:rsid w:val="00DF2A90"/>
    <w:rsid w:val="00DF2E5F"/>
    <w:rsid w:val="00DF2EF0"/>
    <w:rsid w:val="00DF30AE"/>
    <w:rsid w:val="00DF30D2"/>
    <w:rsid w:val="00DF3263"/>
    <w:rsid w:val="00DF3480"/>
    <w:rsid w:val="00DF35FB"/>
    <w:rsid w:val="00DF373D"/>
    <w:rsid w:val="00DF3985"/>
    <w:rsid w:val="00DF4600"/>
    <w:rsid w:val="00DF4732"/>
    <w:rsid w:val="00DF4850"/>
    <w:rsid w:val="00DF485D"/>
    <w:rsid w:val="00DF4B69"/>
    <w:rsid w:val="00DF4C60"/>
    <w:rsid w:val="00DF4DAE"/>
    <w:rsid w:val="00DF4DE3"/>
    <w:rsid w:val="00DF4EA1"/>
    <w:rsid w:val="00DF5292"/>
    <w:rsid w:val="00DF5295"/>
    <w:rsid w:val="00DF52A6"/>
    <w:rsid w:val="00DF56D3"/>
    <w:rsid w:val="00DF5A53"/>
    <w:rsid w:val="00DF5E54"/>
    <w:rsid w:val="00DF5EEB"/>
    <w:rsid w:val="00DF5F0B"/>
    <w:rsid w:val="00DF6022"/>
    <w:rsid w:val="00DF61DE"/>
    <w:rsid w:val="00DF61F1"/>
    <w:rsid w:val="00DF63C5"/>
    <w:rsid w:val="00DF6968"/>
    <w:rsid w:val="00DF6A9E"/>
    <w:rsid w:val="00DF6AD0"/>
    <w:rsid w:val="00DF6DE8"/>
    <w:rsid w:val="00DF6DEA"/>
    <w:rsid w:val="00DF6E23"/>
    <w:rsid w:val="00DF6E47"/>
    <w:rsid w:val="00DF6FF9"/>
    <w:rsid w:val="00DF7034"/>
    <w:rsid w:val="00DF720B"/>
    <w:rsid w:val="00DF72A0"/>
    <w:rsid w:val="00DF7354"/>
    <w:rsid w:val="00DF7396"/>
    <w:rsid w:val="00DF73F5"/>
    <w:rsid w:val="00DF7574"/>
    <w:rsid w:val="00DF76D7"/>
    <w:rsid w:val="00DF7827"/>
    <w:rsid w:val="00DF792C"/>
    <w:rsid w:val="00DF7EDD"/>
    <w:rsid w:val="00DF7EF4"/>
    <w:rsid w:val="00E00180"/>
    <w:rsid w:val="00E00238"/>
    <w:rsid w:val="00E0028B"/>
    <w:rsid w:val="00E0047B"/>
    <w:rsid w:val="00E00518"/>
    <w:rsid w:val="00E0056E"/>
    <w:rsid w:val="00E00577"/>
    <w:rsid w:val="00E006D5"/>
    <w:rsid w:val="00E0075C"/>
    <w:rsid w:val="00E00891"/>
    <w:rsid w:val="00E008FD"/>
    <w:rsid w:val="00E00A14"/>
    <w:rsid w:val="00E00A9C"/>
    <w:rsid w:val="00E00C2D"/>
    <w:rsid w:val="00E00D05"/>
    <w:rsid w:val="00E00D9C"/>
    <w:rsid w:val="00E01099"/>
    <w:rsid w:val="00E012FA"/>
    <w:rsid w:val="00E01319"/>
    <w:rsid w:val="00E01369"/>
    <w:rsid w:val="00E013BD"/>
    <w:rsid w:val="00E013CD"/>
    <w:rsid w:val="00E0171E"/>
    <w:rsid w:val="00E01765"/>
    <w:rsid w:val="00E01851"/>
    <w:rsid w:val="00E0195C"/>
    <w:rsid w:val="00E01B49"/>
    <w:rsid w:val="00E01D64"/>
    <w:rsid w:val="00E01D87"/>
    <w:rsid w:val="00E01E98"/>
    <w:rsid w:val="00E01F21"/>
    <w:rsid w:val="00E020AF"/>
    <w:rsid w:val="00E02348"/>
    <w:rsid w:val="00E023D4"/>
    <w:rsid w:val="00E0240A"/>
    <w:rsid w:val="00E025FA"/>
    <w:rsid w:val="00E026F9"/>
    <w:rsid w:val="00E02739"/>
    <w:rsid w:val="00E027D1"/>
    <w:rsid w:val="00E027DE"/>
    <w:rsid w:val="00E029F3"/>
    <w:rsid w:val="00E02C75"/>
    <w:rsid w:val="00E02D9E"/>
    <w:rsid w:val="00E02DE4"/>
    <w:rsid w:val="00E02FE9"/>
    <w:rsid w:val="00E02FEC"/>
    <w:rsid w:val="00E03030"/>
    <w:rsid w:val="00E03178"/>
    <w:rsid w:val="00E03241"/>
    <w:rsid w:val="00E0334C"/>
    <w:rsid w:val="00E0341F"/>
    <w:rsid w:val="00E03513"/>
    <w:rsid w:val="00E03776"/>
    <w:rsid w:val="00E03780"/>
    <w:rsid w:val="00E03789"/>
    <w:rsid w:val="00E037BE"/>
    <w:rsid w:val="00E037C2"/>
    <w:rsid w:val="00E03837"/>
    <w:rsid w:val="00E03843"/>
    <w:rsid w:val="00E03965"/>
    <w:rsid w:val="00E03A16"/>
    <w:rsid w:val="00E03D89"/>
    <w:rsid w:val="00E03DFD"/>
    <w:rsid w:val="00E03E7A"/>
    <w:rsid w:val="00E03EC9"/>
    <w:rsid w:val="00E03F3B"/>
    <w:rsid w:val="00E03F5A"/>
    <w:rsid w:val="00E03FDD"/>
    <w:rsid w:val="00E04187"/>
    <w:rsid w:val="00E04349"/>
    <w:rsid w:val="00E04408"/>
    <w:rsid w:val="00E044A3"/>
    <w:rsid w:val="00E0457F"/>
    <w:rsid w:val="00E04590"/>
    <w:rsid w:val="00E046DE"/>
    <w:rsid w:val="00E046E2"/>
    <w:rsid w:val="00E047A7"/>
    <w:rsid w:val="00E04A7C"/>
    <w:rsid w:val="00E04C00"/>
    <w:rsid w:val="00E04DDD"/>
    <w:rsid w:val="00E04EEB"/>
    <w:rsid w:val="00E0540A"/>
    <w:rsid w:val="00E055A3"/>
    <w:rsid w:val="00E05612"/>
    <w:rsid w:val="00E056F7"/>
    <w:rsid w:val="00E056FB"/>
    <w:rsid w:val="00E05AA3"/>
    <w:rsid w:val="00E06000"/>
    <w:rsid w:val="00E0601D"/>
    <w:rsid w:val="00E06057"/>
    <w:rsid w:val="00E06069"/>
    <w:rsid w:val="00E06177"/>
    <w:rsid w:val="00E061CF"/>
    <w:rsid w:val="00E061F6"/>
    <w:rsid w:val="00E06277"/>
    <w:rsid w:val="00E06486"/>
    <w:rsid w:val="00E068A9"/>
    <w:rsid w:val="00E06A3C"/>
    <w:rsid w:val="00E06C9C"/>
    <w:rsid w:val="00E06CF2"/>
    <w:rsid w:val="00E06DBC"/>
    <w:rsid w:val="00E06E33"/>
    <w:rsid w:val="00E06E34"/>
    <w:rsid w:val="00E06FF1"/>
    <w:rsid w:val="00E071AB"/>
    <w:rsid w:val="00E071C7"/>
    <w:rsid w:val="00E0741D"/>
    <w:rsid w:val="00E077FF"/>
    <w:rsid w:val="00E07B40"/>
    <w:rsid w:val="00E07C0E"/>
    <w:rsid w:val="00E07C7D"/>
    <w:rsid w:val="00E07C86"/>
    <w:rsid w:val="00E07F9D"/>
    <w:rsid w:val="00E10163"/>
    <w:rsid w:val="00E1024F"/>
    <w:rsid w:val="00E10256"/>
    <w:rsid w:val="00E102FA"/>
    <w:rsid w:val="00E10485"/>
    <w:rsid w:val="00E104A7"/>
    <w:rsid w:val="00E104C0"/>
    <w:rsid w:val="00E104E6"/>
    <w:rsid w:val="00E104FB"/>
    <w:rsid w:val="00E105A3"/>
    <w:rsid w:val="00E105C2"/>
    <w:rsid w:val="00E105C8"/>
    <w:rsid w:val="00E106BB"/>
    <w:rsid w:val="00E1081E"/>
    <w:rsid w:val="00E1084F"/>
    <w:rsid w:val="00E10ABF"/>
    <w:rsid w:val="00E10BBD"/>
    <w:rsid w:val="00E10BF6"/>
    <w:rsid w:val="00E10D86"/>
    <w:rsid w:val="00E10DF5"/>
    <w:rsid w:val="00E10E70"/>
    <w:rsid w:val="00E10FC0"/>
    <w:rsid w:val="00E11200"/>
    <w:rsid w:val="00E11466"/>
    <w:rsid w:val="00E11662"/>
    <w:rsid w:val="00E11705"/>
    <w:rsid w:val="00E118E6"/>
    <w:rsid w:val="00E1195E"/>
    <w:rsid w:val="00E11AB7"/>
    <w:rsid w:val="00E11B35"/>
    <w:rsid w:val="00E11D94"/>
    <w:rsid w:val="00E12053"/>
    <w:rsid w:val="00E122FD"/>
    <w:rsid w:val="00E12496"/>
    <w:rsid w:val="00E1262C"/>
    <w:rsid w:val="00E1274E"/>
    <w:rsid w:val="00E128F6"/>
    <w:rsid w:val="00E12A67"/>
    <w:rsid w:val="00E12B5B"/>
    <w:rsid w:val="00E12C9B"/>
    <w:rsid w:val="00E12D45"/>
    <w:rsid w:val="00E12FBE"/>
    <w:rsid w:val="00E13018"/>
    <w:rsid w:val="00E1319B"/>
    <w:rsid w:val="00E131D6"/>
    <w:rsid w:val="00E131DE"/>
    <w:rsid w:val="00E1332F"/>
    <w:rsid w:val="00E1359C"/>
    <w:rsid w:val="00E13658"/>
    <w:rsid w:val="00E13698"/>
    <w:rsid w:val="00E13877"/>
    <w:rsid w:val="00E13AB8"/>
    <w:rsid w:val="00E13C14"/>
    <w:rsid w:val="00E13C45"/>
    <w:rsid w:val="00E13D5A"/>
    <w:rsid w:val="00E13E3E"/>
    <w:rsid w:val="00E14095"/>
    <w:rsid w:val="00E14132"/>
    <w:rsid w:val="00E1413C"/>
    <w:rsid w:val="00E141B1"/>
    <w:rsid w:val="00E144A2"/>
    <w:rsid w:val="00E144D1"/>
    <w:rsid w:val="00E14642"/>
    <w:rsid w:val="00E14794"/>
    <w:rsid w:val="00E147A5"/>
    <w:rsid w:val="00E14926"/>
    <w:rsid w:val="00E1499E"/>
    <w:rsid w:val="00E14A29"/>
    <w:rsid w:val="00E14AA2"/>
    <w:rsid w:val="00E14B37"/>
    <w:rsid w:val="00E14B84"/>
    <w:rsid w:val="00E14BE1"/>
    <w:rsid w:val="00E14E87"/>
    <w:rsid w:val="00E14F45"/>
    <w:rsid w:val="00E1529B"/>
    <w:rsid w:val="00E1535B"/>
    <w:rsid w:val="00E1551E"/>
    <w:rsid w:val="00E15528"/>
    <w:rsid w:val="00E15565"/>
    <w:rsid w:val="00E1572B"/>
    <w:rsid w:val="00E15833"/>
    <w:rsid w:val="00E158E3"/>
    <w:rsid w:val="00E15918"/>
    <w:rsid w:val="00E159BE"/>
    <w:rsid w:val="00E159C8"/>
    <w:rsid w:val="00E15B49"/>
    <w:rsid w:val="00E15BB5"/>
    <w:rsid w:val="00E15C91"/>
    <w:rsid w:val="00E15CA9"/>
    <w:rsid w:val="00E15D66"/>
    <w:rsid w:val="00E15F83"/>
    <w:rsid w:val="00E15F9C"/>
    <w:rsid w:val="00E15FC7"/>
    <w:rsid w:val="00E16078"/>
    <w:rsid w:val="00E161FC"/>
    <w:rsid w:val="00E162FB"/>
    <w:rsid w:val="00E16375"/>
    <w:rsid w:val="00E1648A"/>
    <w:rsid w:val="00E164BA"/>
    <w:rsid w:val="00E165E3"/>
    <w:rsid w:val="00E166F2"/>
    <w:rsid w:val="00E16793"/>
    <w:rsid w:val="00E167B2"/>
    <w:rsid w:val="00E169A8"/>
    <w:rsid w:val="00E16E7B"/>
    <w:rsid w:val="00E17013"/>
    <w:rsid w:val="00E17061"/>
    <w:rsid w:val="00E1709F"/>
    <w:rsid w:val="00E1710E"/>
    <w:rsid w:val="00E17118"/>
    <w:rsid w:val="00E1797E"/>
    <w:rsid w:val="00E17B0C"/>
    <w:rsid w:val="00E17B43"/>
    <w:rsid w:val="00E17D08"/>
    <w:rsid w:val="00E17D38"/>
    <w:rsid w:val="00E17E6F"/>
    <w:rsid w:val="00E20056"/>
    <w:rsid w:val="00E2006E"/>
    <w:rsid w:val="00E200F4"/>
    <w:rsid w:val="00E201CB"/>
    <w:rsid w:val="00E203D0"/>
    <w:rsid w:val="00E203DE"/>
    <w:rsid w:val="00E20512"/>
    <w:rsid w:val="00E20925"/>
    <w:rsid w:val="00E20A4D"/>
    <w:rsid w:val="00E20AFD"/>
    <w:rsid w:val="00E20B6B"/>
    <w:rsid w:val="00E20BCE"/>
    <w:rsid w:val="00E20C1E"/>
    <w:rsid w:val="00E20C29"/>
    <w:rsid w:val="00E20DC2"/>
    <w:rsid w:val="00E20E98"/>
    <w:rsid w:val="00E20F3E"/>
    <w:rsid w:val="00E20F87"/>
    <w:rsid w:val="00E211B4"/>
    <w:rsid w:val="00E2120B"/>
    <w:rsid w:val="00E212BA"/>
    <w:rsid w:val="00E21309"/>
    <w:rsid w:val="00E21346"/>
    <w:rsid w:val="00E21399"/>
    <w:rsid w:val="00E213AD"/>
    <w:rsid w:val="00E21411"/>
    <w:rsid w:val="00E214CB"/>
    <w:rsid w:val="00E215C1"/>
    <w:rsid w:val="00E215D1"/>
    <w:rsid w:val="00E216E4"/>
    <w:rsid w:val="00E218FB"/>
    <w:rsid w:val="00E21975"/>
    <w:rsid w:val="00E21A74"/>
    <w:rsid w:val="00E21DB6"/>
    <w:rsid w:val="00E21E78"/>
    <w:rsid w:val="00E2206E"/>
    <w:rsid w:val="00E2208A"/>
    <w:rsid w:val="00E221D7"/>
    <w:rsid w:val="00E2225B"/>
    <w:rsid w:val="00E223EF"/>
    <w:rsid w:val="00E22460"/>
    <w:rsid w:val="00E224AA"/>
    <w:rsid w:val="00E2286A"/>
    <w:rsid w:val="00E228B9"/>
    <w:rsid w:val="00E2298B"/>
    <w:rsid w:val="00E22C24"/>
    <w:rsid w:val="00E22DA4"/>
    <w:rsid w:val="00E22EC4"/>
    <w:rsid w:val="00E22F21"/>
    <w:rsid w:val="00E2300D"/>
    <w:rsid w:val="00E23068"/>
    <w:rsid w:val="00E23184"/>
    <w:rsid w:val="00E2319B"/>
    <w:rsid w:val="00E2319C"/>
    <w:rsid w:val="00E2346B"/>
    <w:rsid w:val="00E23471"/>
    <w:rsid w:val="00E234F0"/>
    <w:rsid w:val="00E234FB"/>
    <w:rsid w:val="00E23548"/>
    <w:rsid w:val="00E23731"/>
    <w:rsid w:val="00E237EC"/>
    <w:rsid w:val="00E23960"/>
    <w:rsid w:val="00E2397E"/>
    <w:rsid w:val="00E23997"/>
    <w:rsid w:val="00E23A9E"/>
    <w:rsid w:val="00E23AC7"/>
    <w:rsid w:val="00E23AED"/>
    <w:rsid w:val="00E23BE4"/>
    <w:rsid w:val="00E23E1B"/>
    <w:rsid w:val="00E23E23"/>
    <w:rsid w:val="00E23E3C"/>
    <w:rsid w:val="00E23E6E"/>
    <w:rsid w:val="00E23EDA"/>
    <w:rsid w:val="00E23F16"/>
    <w:rsid w:val="00E24154"/>
    <w:rsid w:val="00E24259"/>
    <w:rsid w:val="00E24321"/>
    <w:rsid w:val="00E24459"/>
    <w:rsid w:val="00E244F9"/>
    <w:rsid w:val="00E245BE"/>
    <w:rsid w:val="00E24624"/>
    <w:rsid w:val="00E24770"/>
    <w:rsid w:val="00E247A7"/>
    <w:rsid w:val="00E24AA5"/>
    <w:rsid w:val="00E24AD0"/>
    <w:rsid w:val="00E24B14"/>
    <w:rsid w:val="00E24B97"/>
    <w:rsid w:val="00E24BE3"/>
    <w:rsid w:val="00E24D01"/>
    <w:rsid w:val="00E24D67"/>
    <w:rsid w:val="00E24ED2"/>
    <w:rsid w:val="00E24FF5"/>
    <w:rsid w:val="00E25015"/>
    <w:rsid w:val="00E25049"/>
    <w:rsid w:val="00E2509A"/>
    <w:rsid w:val="00E250BB"/>
    <w:rsid w:val="00E252F3"/>
    <w:rsid w:val="00E254BE"/>
    <w:rsid w:val="00E25512"/>
    <w:rsid w:val="00E255A0"/>
    <w:rsid w:val="00E25833"/>
    <w:rsid w:val="00E25849"/>
    <w:rsid w:val="00E2591B"/>
    <w:rsid w:val="00E259A3"/>
    <w:rsid w:val="00E25A20"/>
    <w:rsid w:val="00E25F2D"/>
    <w:rsid w:val="00E2605B"/>
    <w:rsid w:val="00E2619D"/>
    <w:rsid w:val="00E261A1"/>
    <w:rsid w:val="00E26476"/>
    <w:rsid w:val="00E264E5"/>
    <w:rsid w:val="00E2666C"/>
    <w:rsid w:val="00E26670"/>
    <w:rsid w:val="00E266B6"/>
    <w:rsid w:val="00E2690E"/>
    <w:rsid w:val="00E269DE"/>
    <w:rsid w:val="00E26A37"/>
    <w:rsid w:val="00E26B26"/>
    <w:rsid w:val="00E26C56"/>
    <w:rsid w:val="00E26D05"/>
    <w:rsid w:val="00E26D1C"/>
    <w:rsid w:val="00E26FBF"/>
    <w:rsid w:val="00E270BF"/>
    <w:rsid w:val="00E2723A"/>
    <w:rsid w:val="00E27354"/>
    <w:rsid w:val="00E2740B"/>
    <w:rsid w:val="00E279F6"/>
    <w:rsid w:val="00E27B50"/>
    <w:rsid w:val="00E27CA5"/>
    <w:rsid w:val="00E27CE9"/>
    <w:rsid w:val="00E27E87"/>
    <w:rsid w:val="00E27F33"/>
    <w:rsid w:val="00E300B3"/>
    <w:rsid w:val="00E3013D"/>
    <w:rsid w:val="00E301F7"/>
    <w:rsid w:val="00E3034A"/>
    <w:rsid w:val="00E30377"/>
    <w:rsid w:val="00E3042A"/>
    <w:rsid w:val="00E304F8"/>
    <w:rsid w:val="00E306CB"/>
    <w:rsid w:val="00E30724"/>
    <w:rsid w:val="00E30949"/>
    <w:rsid w:val="00E30980"/>
    <w:rsid w:val="00E309D0"/>
    <w:rsid w:val="00E30C00"/>
    <w:rsid w:val="00E30C53"/>
    <w:rsid w:val="00E30D37"/>
    <w:rsid w:val="00E30DAC"/>
    <w:rsid w:val="00E30EA5"/>
    <w:rsid w:val="00E30FA0"/>
    <w:rsid w:val="00E31169"/>
    <w:rsid w:val="00E31232"/>
    <w:rsid w:val="00E313A6"/>
    <w:rsid w:val="00E31400"/>
    <w:rsid w:val="00E314A5"/>
    <w:rsid w:val="00E3151B"/>
    <w:rsid w:val="00E3174C"/>
    <w:rsid w:val="00E31B38"/>
    <w:rsid w:val="00E31CA1"/>
    <w:rsid w:val="00E31CB2"/>
    <w:rsid w:val="00E31CDB"/>
    <w:rsid w:val="00E31D51"/>
    <w:rsid w:val="00E31E5B"/>
    <w:rsid w:val="00E31F3A"/>
    <w:rsid w:val="00E320E3"/>
    <w:rsid w:val="00E320F4"/>
    <w:rsid w:val="00E3211B"/>
    <w:rsid w:val="00E322B7"/>
    <w:rsid w:val="00E32496"/>
    <w:rsid w:val="00E3258E"/>
    <w:rsid w:val="00E325BA"/>
    <w:rsid w:val="00E3287D"/>
    <w:rsid w:val="00E328B1"/>
    <w:rsid w:val="00E3299C"/>
    <w:rsid w:val="00E32A34"/>
    <w:rsid w:val="00E32A64"/>
    <w:rsid w:val="00E32AD5"/>
    <w:rsid w:val="00E32AF9"/>
    <w:rsid w:val="00E32CA1"/>
    <w:rsid w:val="00E32CF1"/>
    <w:rsid w:val="00E32D73"/>
    <w:rsid w:val="00E32DBB"/>
    <w:rsid w:val="00E32DDC"/>
    <w:rsid w:val="00E32F4B"/>
    <w:rsid w:val="00E32FB3"/>
    <w:rsid w:val="00E3303D"/>
    <w:rsid w:val="00E3327D"/>
    <w:rsid w:val="00E332AD"/>
    <w:rsid w:val="00E3361F"/>
    <w:rsid w:val="00E33644"/>
    <w:rsid w:val="00E33716"/>
    <w:rsid w:val="00E33718"/>
    <w:rsid w:val="00E33724"/>
    <w:rsid w:val="00E3376C"/>
    <w:rsid w:val="00E33795"/>
    <w:rsid w:val="00E3392E"/>
    <w:rsid w:val="00E339C1"/>
    <w:rsid w:val="00E339CC"/>
    <w:rsid w:val="00E33AC0"/>
    <w:rsid w:val="00E33DB8"/>
    <w:rsid w:val="00E33DCE"/>
    <w:rsid w:val="00E34180"/>
    <w:rsid w:val="00E3453C"/>
    <w:rsid w:val="00E345C4"/>
    <w:rsid w:val="00E34615"/>
    <w:rsid w:val="00E34672"/>
    <w:rsid w:val="00E3485D"/>
    <w:rsid w:val="00E34894"/>
    <w:rsid w:val="00E34950"/>
    <w:rsid w:val="00E34A04"/>
    <w:rsid w:val="00E34A27"/>
    <w:rsid w:val="00E34B79"/>
    <w:rsid w:val="00E34CE7"/>
    <w:rsid w:val="00E34D92"/>
    <w:rsid w:val="00E35175"/>
    <w:rsid w:val="00E352ED"/>
    <w:rsid w:val="00E3548E"/>
    <w:rsid w:val="00E35627"/>
    <w:rsid w:val="00E35690"/>
    <w:rsid w:val="00E356BF"/>
    <w:rsid w:val="00E35805"/>
    <w:rsid w:val="00E35A08"/>
    <w:rsid w:val="00E35B0C"/>
    <w:rsid w:val="00E35CFE"/>
    <w:rsid w:val="00E35D3B"/>
    <w:rsid w:val="00E35E8F"/>
    <w:rsid w:val="00E35E94"/>
    <w:rsid w:val="00E35EC7"/>
    <w:rsid w:val="00E35F01"/>
    <w:rsid w:val="00E360C4"/>
    <w:rsid w:val="00E360CD"/>
    <w:rsid w:val="00E36152"/>
    <w:rsid w:val="00E36155"/>
    <w:rsid w:val="00E361D4"/>
    <w:rsid w:val="00E363BA"/>
    <w:rsid w:val="00E36478"/>
    <w:rsid w:val="00E3651A"/>
    <w:rsid w:val="00E3697F"/>
    <w:rsid w:val="00E36A2A"/>
    <w:rsid w:val="00E36AF9"/>
    <w:rsid w:val="00E36B53"/>
    <w:rsid w:val="00E36C75"/>
    <w:rsid w:val="00E36EFB"/>
    <w:rsid w:val="00E36FB5"/>
    <w:rsid w:val="00E371E6"/>
    <w:rsid w:val="00E373BF"/>
    <w:rsid w:val="00E37411"/>
    <w:rsid w:val="00E375EE"/>
    <w:rsid w:val="00E376CD"/>
    <w:rsid w:val="00E37746"/>
    <w:rsid w:val="00E37806"/>
    <w:rsid w:val="00E379C1"/>
    <w:rsid w:val="00E37A77"/>
    <w:rsid w:val="00E37AF4"/>
    <w:rsid w:val="00E37B26"/>
    <w:rsid w:val="00E37C06"/>
    <w:rsid w:val="00E37D1D"/>
    <w:rsid w:val="00E37D24"/>
    <w:rsid w:val="00E37EB6"/>
    <w:rsid w:val="00E37EBE"/>
    <w:rsid w:val="00E37EE6"/>
    <w:rsid w:val="00E40140"/>
    <w:rsid w:val="00E404CB"/>
    <w:rsid w:val="00E40653"/>
    <w:rsid w:val="00E406E8"/>
    <w:rsid w:val="00E40989"/>
    <w:rsid w:val="00E40992"/>
    <w:rsid w:val="00E409F0"/>
    <w:rsid w:val="00E40AF0"/>
    <w:rsid w:val="00E40D35"/>
    <w:rsid w:val="00E40E39"/>
    <w:rsid w:val="00E40E5F"/>
    <w:rsid w:val="00E40ED7"/>
    <w:rsid w:val="00E410CA"/>
    <w:rsid w:val="00E41100"/>
    <w:rsid w:val="00E4116A"/>
    <w:rsid w:val="00E411C9"/>
    <w:rsid w:val="00E411EE"/>
    <w:rsid w:val="00E4128A"/>
    <w:rsid w:val="00E412D7"/>
    <w:rsid w:val="00E41316"/>
    <w:rsid w:val="00E4139F"/>
    <w:rsid w:val="00E414DC"/>
    <w:rsid w:val="00E414E3"/>
    <w:rsid w:val="00E41596"/>
    <w:rsid w:val="00E41779"/>
    <w:rsid w:val="00E41A59"/>
    <w:rsid w:val="00E41AE9"/>
    <w:rsid w:val="00E41B3C"/>
    <w:rsid w:val="00E41D06"/>
    <w:rsid w:val="00E41D3C"/>
    <w:rsid w:val="00E42101"/>
    <w:rsid w:val="00E421F9"/>
    <w:rsid w:val="00E42207"/>
    <w:rsid w:val="00E422AE"/>
    <w:rsid w:val="00E42329"/>
    <w:rsid w:val="00E42452"/>
    <w:rsid w:val="00E425EF"/>
    <w:rsid w:val="00E42A66"/>
    <w:rsid w:val="00E42B73"/>
    <w:rsid w:val="00E42C0D"/>
    <w:rsid w:val="00E42C47"/>
    <w:rsid w:val="00E42D0F"/>
    <w:rsid w:val="00E42E62"/>
    <w:rsid w:val="00E42FBB"/>
    <w:rsid w:val="00E43025"/>
    <w:rsid w:val="00E43036"/>
    <w:rsid w:val="00E430B0"/>
    <w:rsid w:val="00E430B7"/>
    <w:rsid w:val="00E431AD"/>
    <w:rsid w:val="00E43256"/>
    <w:rsid w:val="00E43855"/>
    <w:rsid w:val="00E438C3"/>
    <w:rsid w:val="00E43C4A"/>
    <w:rsid w:val="00E442E7"/>
    <w:rsid w:val="00E443D7"/>
    <w:rsid w:val="00E4440E"/>
    <w:rsid w:val="00E445A7"/>
    <w:rsid w:val="00E44713"/>
    <w:rsid w:val="00E44902"/>
    <w:rsid w:val="00E44B62"/>
    <w:rsid w:val="00E44D27"/>
    <w:rsid w:val="00E44E5B"/>
    <w:rsid w:val="00E44FE7"/>
    <w:rsid w:val="00E4508F"/>
    <w:rsid w:val="00E451E0"/>
    <w:rsid w:val="00E4534C"/>
    <w:rsid w:val="00E4542B"/>
    <w:rsid w:val="00E45482"/>
    <w:rsid w:val="00E45584"/>
    <w:rsid w:val="00E456AD"/>
    <w:rsid w:val="00E45737"/>
    <w:rsid w:val="00E45C2D"/>
    <w:rsid w:val="00E45EBA"/>
    <w:rsid w:val="00E45FCF"/>
    <w:rsid w:val="00E460EB"/>
    <w:rsid w:val="00E4645F"/>
    <w:rsid w:val="00E464A2"/>
    <w:rsid w:val="00E465E2"/>
    <w:rsid w:val="00E46979"/>
    <w:rsid w:val="00E46A13"/>
    <w:rsid w:val="00E46A34"/>
    <w:rsid w:val="00E46ACA"/>
    <w:rsid w:val="00E46C97"/>
    <w:rsid w:val="00E46CC8"/>
    <w:rsid w:val="00E46FB3"/>
    <w:rsid w:val="00E4714C"/>
    <w:rsid w:val="00E471ED"/>
    <w:rsid w:val="00E472B3"/>
    <w:rsid w:val="00E4733E"/>
    <w:rsid w:val="00E47396"/>
    <w:rsid w:val="00E4767D"/>
    <w:rsid w:val="00E476E0"/>
    <w:rsid w:val="00E477AA"/>
    <w:rsid w:val="00E4794C"/>
    <w:rsid w:val="00E479AC"/>
    <w:rsid w:val="00E47B9E"/>
    <w:rsid w:val="00E47BFC"/>
    <w:rsid w:val="00E47C2B"/>
    <w:rsid w:val="00E47D82"/>
    <w:rsid w:val="00E47F1B"/>
    <w:rsid w:val="00E50130"/>
    <w:rsid w:val="00E5069D"/>
    <w:rsid w:val="00E50720"/>
    <w:rsid w:val="00E507A9"/>
    <w:rsid w:val="00E507D9"/>
    <w:rsid w:val="00E50869"/>
    <w:rsid w:val="00E50EFA"/>
    <w:rsid w:val="00E50F11"/>
    <w:rsid w:val="00E510EA"/>
    <w:rsid w:val="00E5111B"/>
    <w:rsid w:val="00E51132"/>
    <w:rsid w:val="00E512BD"/>
    <w:rsid w:val="00E512FD"/>
    <w:rsid w:val="00E5140F"/>
    <w:rsid w:val="00E514E9"/>
    <w:rsid w:val="00E51673"/>
    <w:rsid w:val="00E516BB"/>
    <w:rsid w:val="00E517ED"/>
    <w:rsid w:val="00E51961"/>
    <w:rsid w:val="00E51B3E"/>
    <w:rsid w:val="00E51DC9"/>
    <w:rsid w:val="00E51E2F"/>
    <w:rsid w:val="00E51F88"/>
    <w:rsid w:val="00E520E5"/>
    <w:rsid w:val="00E52229"/>
    <w:rsid w:val="00E52261"/>
    <w:rsid w:val="00E522FF"/>
    <w:rsid w:val="00E52501"/>
    <w:rsid w:val="00E52741"/>
    <w:rsid w:val="00E52997"/>
    <w:rsid w:val="00E52B5A"/>
    <w:rsid w:val="00E52C30"/>
    <w:rsid w:val="00E52CD0"/>
    <w:rsid w:val="00E52D81"/>
    <w:rsid w:val="00E52FA0"/>
    <w:rsid w:val="00E52FFC"/>
    <w:rsid w:val="00E5310B"/>
    <w:rsid w:val="00E531A6"/>
    <w:rsid w:val="00E532D7"/>
    <w:rsid w:val="00E5340D"/>
    <w:rsid w:val="00E53444"/>
    <w:rsid w:val="00E534C5"/>
    <w:rsid w:val="00E53698"/>
    <w:rsid w:val="00E539CD"/>
    <w:rsid w:val="00E53BB6"/>
    <w:rsid w:val="00E53D4E"/>
    <w:rsid w:val="00E53E49"/>
    <w:rsid w:val="00E53E7A"/>
    <w:rsid w:val="00E5428D"/>
    <w:rsid w:val="00E5433E"/>
    <w:rsid w:val="00E54412"/>
    <w:rsid w:val="00E54533"/>
    <w:rsid w:val="00E54599"/>
    <w:rsid w:val="00E5464C"/>
    <w:rsid w:val="00E54808"/>
    <w:rsid w:val="00E54865"/>
    <w:rsid w:val="00E54A00"/>
    <w:rsid w:val="00E54AFB"/>
    <w:rsid w:val="00E54CA2"/>
    <w:rsid w:val="00E54DBA"/>
    <w:rsid w:val="00E553B7"/>
    <w:rsid w:val="00E554A1"/>
    <w:rsid w:val="00E55588"/>
    <w:rsid w:val="00E555B7"/>
    <w:rsid w:val="00E55761"/>
    <w:rsid w:val="00E557B5"/>
    <w:rsid w:val="00E557E5"/>
    <w:rsid w:val="00E5599F"/>
    <w:rsid w:val="00E55A01"/>
    <w:rsid w:val="00E55A96"/>
    <w:rsid w:val="00E55BF1"/>
    <w:rsid w:val="00E55E19"/>
    <w:rsid w:val="00E55F99"/>
    <w:rsid w:val="00E5617E"/>
    <w:rsid w:val="00E562D3"/>
    <w:rsid w:val="00E5646A"/>
    <w:rsid w:val="00E56549"/>
    <w:rsid w:val="00E5655E"/>
    <w:rsid w:val="00E56771"/>
    <w:rsid w:val="00E5682E"/>
    <w:rsid w:val="00E56997"/>
    <w:rsid w:val="00E569E4"/>
    <w:rsid w:val="00E56CF9"/>
    <w:rsid w:val="00E56E93"/>
    <w:rsid w:val="00E56FD5"/>
    <w:rsid w:val="00E5734A"/>
    <w:rsid w:val="00E573EB"/>
    <w:rsid w:val="00E57558"/>
    <w:rsid w:val="00E576A4"/>
    <w:rsid w:val="00E5779C"/>
    <w:rsid w:val="00E57945"/>
    <w:rsid w:val="00E579FB"/>
    <w:rsid w:val="00E57D82"/>
    <w:rsid w:val="00E57EBD"/>
    <w:rsid w:val="00E58F5F"/>
    <w:rsid w:val="00E601F5"/>
    <w:rsid w:val="00E60319"/>
    <w:rsid w:val="00E606C9"/>
    <w:rsid w:val="00E607D0"/>
    <w:rsid w:val="00E6097F"/>
    <w:rsid w:val="00E60982"/>
    <w:rsid w:val="00E609D2"/>
    <w:rsid w:val="00E609F2"/>
    <w:rsid w:val="00E60A28"/>
    <w:rsid w:val="00E60A66"/>
    <w:rsid w:val="00E60BB3"/>
    <w:rsid w:val="00E60F11"/>
    <w:rsid w:val="00E610F3"/>
    <w:rsid w:val="00E61186"/>
    <w:rsid w:val="00E61498"/>
    <w:rsid w:val="00E61560"/>
    <w:rsid w:val="00E61644"/>
    <w:rsid w:val="00E616C9"/>
    <w:rsid w:val="00E616FA"/>
    <w:rsid w:val="00E61727"/>
    <w:rsid w:val="00E6194E"/>
    <w:rsid w:val="00E61A2C"/>
    <w:rsid w:val="00E61A49"/>
    <w:rsid w:val="00E61C09"/>
    <w:rsid w:val="00E61D7F"/>
    <w:rsid w:val="00E61D96"/>
    <w:rsid w:val="00E61F2D"/>
    <w:rsid w:val="00E61FA0"/>
    <w:rsid w:val="00E620C2"/>
    <w:rsid w:val="00E6212A"/>
    <w:rsid w:val="00E62205"/>
    <w:rsid w:val="00E624B1"/>
    <w:rsid w:val="00E62749"/>
    <w:rsid w:val="00E6282A"/>
    <w:rsid w:val="00E629A8"/>
    <w:rsid w:val="00E62AF0"/>
    <w:rsid w:val="00E62E7F"/>
    <w:rsid w:val="00E62E9A"/>
    <w:rsid w:val="00E62EAE"/>
    <w:rsid w:val="00E62ED9"/>
    <w:rsid w:val="00E632D5"/>
    <w:rsid w:val="00E637A7"/>
    <w:rsid w:val="00E6381B"/>
    <w:rsid w:val="00E63936"/>
    <w:rsid w:val="00E6399B"/>
    <w:rsid w:val="00E639B7"/>
    <w:rsid w:val="00E63B3A"/>
    <w:rsid w:val="00E63CEC"/>
    <w:rsid w:val="00E63D07"/>
    <w:rsid w:val="00E63ECA"/>
    <w:rsid w:val="00E63F63"/>
    <w:rsid w:val="00E63F89"/>
    <w:rsid w:val="00E6401E"/>
    <w:rsid w:val="00E64033"/>
    <w:rsid w:val="00E641E6"/>
    <w:rsid w:val="00E64249"/>
    <w:rsid w:val="00E64546"/>
    <w:rsid w:val="00E645B9"/>
    <w:rsid w:val="00E6480A"/>
    <w:rsid w:val="00E64952"/>
    <w:rsid w:val="00E64FD9"/>
    <w:rsid w:val="00E64FF5"/>
    <w:rsid w:val="00E65012"/>
    <w:rsid w:val="00E650B1"/>
    <w:rsid w:val="00E65178"/>
    <w:rsid w:val="00E652A1"/>
    <w:rsid w:val="00E65348"/>
    <w:rsid w:val="00E6535D"/>
    <w:rsid w:val="00E653AF"/>
    <w:rsid w:val="00E653C9"/>
    <w:rsid w:val="00E65660"/>
    <w:rsid w:val="00E657A2"/>
    <w:rsid w:val="00E657C5"/>
    <w:rsid w:val="00E6581E"/>
    <w:rsid w:val="00E65820"/>
    <w:rsid w:val="00E65846"/>
    <w:rsid w:val="00E65E7C"/>
    <w:rsid w:val="00E662E6"/>
    <w:rsid w:val="00E6645E"/>
    <w:rsid w:val="00E66D61"/>
    <w:rsid w:val="00E66EC2"/>
    <w:rsid w:val="00E670DB"/>
    <w:rsid w:val="00E6710C"/>
    <w:rsid w:val="00E672AD"/>
    <w:rsid w:val="00E672C3"/>
    <w:rsid w:val="00E672F4"/>
    <w:rsid w:val="00E674B2"/>
    <w:rsid w:val="00E674EB"/>
    <w:rsid w:val="00E67546"/>
    <w:rsid w:val="00E6775F"/>
    <w:rsid w:val="00E67996"/>
    <w:rsid w:val="00E67B74"/>
    <w:rsid w:val="00E67B7B"/>
    <w:rsid w:val="00E67C50"/>
    <w:rsid w:val="00E67F5E"/>
    <w:rsid w:val="00E700A4"/>
    <w:rsid w:val="00E701A8"/>
    <w:rsid w:val="00E702DD"/>
    <w:rsid w:val="00E70389"/>
    <w:rsid w:val="00E705D4"/>
    <w:rsid w:val="00E707AA"/>
    <w:rsid w:val="00E7081B"/>
    <w:rsid w:val="00E70996"/>
    <w:rsid w:val="00E709C7"/>
    <w:rsid w:val="00E70C02"/>
    <w:rsid w:val="00E70D41"/>
    <w:rsid w:val="00E71012"/>
    <w:rsid w:val="00E7112B"/>
    <w:rsid w:val="00E71356"/>
    <w:rsid w:val="00E7157A"/>
    <w:rsid w:val="00E715DD"/>
    <w:rsid w:val="00E7160A"/>
    <w:rsid w:val="00E7164E"/>
    <w:rsid w:val="00E718AD"/>
    <w:rsid w:val="00E71A4D"/>
    <w:rsid w:val="00E71AA5"/>
    <w:rsid w:val="00E71B4A"/>
    <w:rsid w:val="00E71BE7"/>
    <w:rsid w:val="00E71F80"/>
    <w:rsid w:val="00E72038"/>
    <w:rsid w:val="00E72060"/>
    <w:rsid w:val="00E720AB"/>
    <w:rsid w:val="00E720AC"/>
    <w:rsid w:val="00E721A6"/>
    <w:rsid w:val="00E721E8"/>
    <w:rsid w:val="00E72253"/>
    <w:rsid w:val="00E722EE"/>
    <w:rsid w:val="00E723C1"/>
    <w:rsid w:val="00E7242B"/>
    <w:rsid w:val="00E72488"/>
    <w:rsid w:val="00E724FD"/>
    <w:rsid w:val="00E7260C"/>
    <w:rsid w:val="00E726EE"/>
    <w:rsid w:val="00E7271D"/>
    <w:rsid w:val="00E729A0"/>
    <w:rsid w:val="00E72C50"/>
    <w:rsid w:val="00E72C9E"/>
    <w:rsid w:val="00E72CB6"/>
    <w:rsid w:val="00E72D2F"/>
    <w:rsid w:val="00E72DCE"/>
    <w:rsid w:val="00E72ECA"/>
    <w:rsid w:val="00E72F34"/>
    <w:rsid w:val="00E73026"/>
    <w:rsid w:val="00E73057"/>
    <w:rsid w:val="00E739B0"/>
    <w:rsid w:val="00E73A61"/>
    <w:rsid w:val="00E73CC5"/>
    <w:rsid w:val="00E73CD8"/>
    <w:rsid w:val="00E73CDB"/>
    <w:rsid w:val="00E74435"/>
    <w:rsid w:val="00E74460"/>
    <w:rsid w:val="00E7451E"/>
    <w:rsid w:val="00E745B1"/>
    <w:rsid w:val="00E7468E"/>
    <w:rsid w:val="00E7478D"/>
    <w:rsid w:val="00E74950"/>
    <w:rsid w:val="00E749DC"/>
    <w:rsid w:val="00E74A91"/>
    <w:rsid w:val="00E74AA9"/>
    <w:rsid w:val="00E74C4B"/>
    <w:rsid w:val="00E74C89"/>
    <w:rsid w:val="00E74D0B"/>
    <w:rsid w:val="00E74D52"/>
    <w:rsid w:val="00E7501E"/>
    <w:rsid w:val="00E750EB"/>
    <w:rsid w:val="00E7511C"/>
    <w:rsid w:val="00E75183"/>
    <w:rsid w:val="00E75468"/>
    <w:rsid w:val="00E75542"/>
    <w:rsid w:val="00E75549"/>
    <w:rsid w:val="00E756A5"/>
    <w:rsid w:val="00E7573A"/>
    <w:rsid w:val="00E7573C"/>
    <w:rsid w:val="00E757A2"/>
    <w:rsid w:val="00E757BC"/>
    <w:rsid w:val="00E75875"/>
    <w:rsid w:val="00E75957"/>
    <w:rsid w:val="00E75BA3"/>
    <w:rsid w:val="00E75C78"/>
    <w:rsid w:val="00E75D05"/>
    <w:rsid w:val="00E75E4C"/>
    <w:rsid w:val="00E75EA4"/>
    <w:rsid w:val="00E75EB4"/>
    <w:rsid w:val="00E75F45"/>
    <w:rsid w:val="00E761D3"/>
    <w:rsid w:val="00E76215"/>
    <w:rsid w:val="00E7628E"/>
    <w:rsid w:val="00E7633F"/>
    <w:rsid w:val="00E7663D"/>
    <w:rsid w:val="00E76682"/>
    <w:rsid w:val="00E76CB6"/>
    <w:rsid w:val="00E76CCD"/>
    <w:rsid w:val="00E76E97"/>
    <w:rsid w:val="00E77184"/>
    <w:rsid w:val="00E772B1"/>
    <w:rsid w:val="00E77326"/>
    <w:rsid w:val="00E777CA"/>
    <w:rsid w:val="00E7788B"/>
    <w:rsid w:val="00E77A1D"/>
    <w:rsid w:val="00E77BBF"/>
    <w:rsid w:val="00E77C28"/>
    <w:rsid w:val="00E77D9F"/>
    <w:rsid w:val="00E77DBA"/>
    <w:rsid w:val="00E77DF1"/>
    <w:rsid w:val="00E77E23"/>
    <w:rsid w:val="00E80197"/>
    <w:rsid w:val="00E80203"/>
    <w:rsid w:val="00E80234"/>
    <w:rsid w:val="00E80235"/>
    <w:rsid w:val="00E80291"/>
    <w:rsid w:val="00E803EE"/>
    <w:rsid w:val="00E80443"/>
    <w:rsid w:val="00E8063E"/>
    <w:rsid w:val="00E80713"/>
    <w:rsid w:val="00E807E9"/>
    <w:rsid w:val="00E8080D"/>
    <w:rsid w:val="00E808A4"/>
    <w:rsid w:val="00E808D9"/>
    <w:rsid w:val="00E80AFC"/>
    <w:rsid w:val="00E80C58"/>
    <w:rsid w:val="00E80C9A"/>
    <w:rsid w:val="00E80CBA"/>
    <w:rsid w:val="00E80DE9"/>
    <w:rsid w:val="00E80FDC"/>
    <w:rsid w:val="00E811D3"/>
    <w:rsid w:val="00E811F0"/>
    <w:rsid w:val="00E81227"/>
    <w:rsid w:val="00E812AD"/>
    <w:rsid w:val="00E81421"/>
    <w:rsid w:val="00E814B0"/>
    <w:rsid w:val="00E81684"/>
    <w:rsid w:val="00E8168D"/>
    <w:rsid w:val="00E8175D"/>
    <w:rsid w:val="00E81A7E"/>
    <w:rsid w:val="00E81AD8"/>
    <w:rsid w:val="00E81D10"/>
    <w:rsid w:val="00E81F24"/>
    <w:rsid w:val="00E81F64"/>
    <w:rsid w:val="00E82143"/>
    <w:rsid w:val="00E821C1"/>
    <w:rsid w:val="00E82346"/>
    <w:rsid w:val="00E82516"/>
    <w:rsid w:val="00E82564"/>
    <w:rsid w:val="00E825D0"/>
    <w:rsid w:val="00E8273C"/>
    <w:rsid w:val="00E827C3"/>
    <w:rsid w:val="00E8291A"/>
    <w:rsid w:val="00E829FC"/>
    <w:rsid w:val="00E82A7B"/>
    <w:rsid w:val="00E82B50"/>
    <w:rsid w:val="00E82C71"/>
    <w:rsid w:val="00E832A6"/>
    <w:rsid w:val="00E832F1"/>
    <w:rsid w:val="00E833C3"/>
    <w:rsid w:val="00E833F6"/>
    <w:rsid w:val="00E834A5"/>
    <w:rsid w:val="00E834D3"/>
    <w:rsid w:val="00E834E2"/>
    <w:rsid w:val="00E83538"/>
    <w:rsid w:val="00E8354C"/>
    <w:rsid w:val="00E836BD"/>
    <w:rsid w:val="00E8383E"/>
    <w:rsid w:val="00E838F4"/>
    <w:rsid w:val="00E8392F"/>
    <w:rsid w:val="00E839A9"/>
    <w:rsid w:val="00E83A60"/>
    <w:rsid w:val="00E83BFF"/>
    <w:rsid w:val="00E83C44"/>
    <w:rsid w:val="00E83DA1"/>
    <w:rsid w:val="00E83E2C"/>
    <w:rsid w:val="00E83E35"/>
    <w:rsid w:val="00E84179"/>
    <w:rsid w:val="00E8420B"/>
    <w:rsid w:val="00E845E8"/>
    <w:rsid w:val="00E846D7"/>
    <w:rsid w:val="00E847D2"/>
    <w:rsid w:val="00E8481A"/>
    <w:rsid w:val="00E8497D"/>
    <w:rsid w:val="00E849B0"/>
    <w:rsid w:val="00E84D20"/>
    <w:rsid w:val="00E84D62"/>
    <w:rsid w:val="00E8540A"/>
    <w:rsid w:val="00E8546F"/>
    <w:rsid w:val="00E854D2"/>
    <w:rsid w:val="00E8558E"/>
    <w:rsid w:val="00E856B0"/>
    <w:rsid w:val="00E85838"/>
    <w:rsid w:val="00E85A9F"/>
    <w:rsid w:val="00E85AB6"/>
    <w:rsid w:val="00E85B5D"/>
    <w:rsid w:val="00E85B8C"/>
    <w:rsid w:val="00E85C33"/>
    <w:rsid w:val="00E85C5A"/>
    <w:rsid w:val="00E85DA1"/>
    <w:rsid w:val="00E85DA5"/>
    <w:rsid w:val="00E85DF8"/>
    <w:rsid w:val="00E85E38"/>
    <w:rsid w:val="00E86018"/>
    <w:rsid w:val="00E864AF"/>
    <w:rsid w:val="00E8650F"/>
    <w:rsid w:val="00E86AD1"/>
    <w:rsid w:val="00E86BB4"/>
    <w:rsid w:val="00E8705F"/>
    <w:rsid w:val="00E872D8"/>
    <w:rsid w:val="00E872EC"/>
    <w:rsid w:val="00E87354"/>
    <w:rsid w:val="00E8750D"/>
    <w:rsid w:val="00E8779A"/>
    <w:rsid w:val="00E87AE5"/>
    <w:rsid w:val="00E87B83"/>
    <w:rsid w:val="00E87BFD"/>
    <w:rsid w:val="00E87DDD"/>
    <w:rsid w:val="00E90603"/>
    <w:rsid w:val="00E906B7"/>
    <w:rsid w:val="00E9071E"/>
    <w:rsid w:val="00E90720"/>
    <w:rsid w:val="00E90794"/>
    <w:rsid w:val="00E907D0"/>
    <w:rsid w:val="00E9086D"/>
    <w:rsid w:val="00E9095D"/>
    <w:rsid w:val="00E90A1B"/>
    <w:rsid w:val="00E90A69"/>
    <w:rsid w:val="00E90A7A"/>
    <w:rsid w:val="00E90AA5"/>
    <w:rsid w:val="00E90B29"/>
    <w:rsid w:val="00E90BEC"/>
    <w:rsid w:val="00E90FD4"/>
    <w:rsid w:val="00E91478"/>
    <w:rsid w:val="00E9151F"/>
    <w:rsid w:val="00E91681"/>
    <w:rsid w:val="00E91682"/>
    <w:rsid w:val="00E91730"/>
    <w:rsid w:val="00E91B05"/>
    <w:rsid w:val="00E91C10"/>
    <w:rsid w:val="00E91D20"/>
    <w:rsid w:val="00E92011"/>
    <w:rsid w:val="00E920E9"/>
    <w:rsid w:val="00E9224D"/>
    <w:rsid w:val="00E92270"/>
    <w:rsid w:val="00E92353"/>
    <w:rsid w:val="00E9278B"/>
    <w:rsid w:val="00E9292A"/>
    <w:rsid w:val="00E92C4B"/>
    <w:rsid w:val="00E92DF3"/>
    <w:rsid w:val="00E92FA0"/>
    <w:rsid w:val="00E93057"/>
    <w:rsid w:val="00E930E8"/>
    <w:rsid w:val="00E93244"/>
    <w:rsid w:val="00E93820"/>
    <w:rsid w:val="00E9388D"/>
    <w:rsid w:val="00E938B9"/>
    <w:rsid w:val="00E93A06"/>
    <w:rsid w:val="00E93B0C"/>
    <w:rsid w:val="00E93C62"/>
    <w:rsid w:val="00E93C6F"/>
    <w:rsid w:val="00E93C8E"/>
    <w:rsid w:val="00E93CA8"/>
    <w:rsid w:val="00E93CBA"/>
    <w:rsid w:val="00E93DE9"/>
    <w:rsid w:val="00E93DF4"/>
    <w:rsid w:val="00E93EB4"/>
    <w:rsid w:val="00E93F0D"/>
    <w:rsid w:val="00E93FC9"/>
    <w:rsid w:val="00E9443F"/>
    <w:rsid w:val="00E94743"/>
    <w:rsid w:val="00E947B8"/>
    <w:rsid w:val="00E94A95"/>
    <w:rsid w:val="00E94B4B"/>
    <w:rsid w:val="00E94B67"/>
    <w:rsid w:val="00E94B92"/>
    <w:rsid w:val="00E94D8D"/>
    <w:rsid w:val="00E94FAF"/>
    <w:rsid w:val="00E9522A"/>
    <w:rsid w:val="00E95303"/>
    <w:rsid w:val="00E9545F"/>
    <w:rsid w:val="00E958F7"/>
    <w:rsid w:val="00E95A67"/>
    <w:rsid w:val="00E95B5E"/>
    <w:rsid w:val="00E95B91"/>
    <w:rsid w:val="00E95B9A"/>
    <w:rsid w:val="00E95BA1"/>
    <w:rsid w:val="00E95BAC"/>
    <w:rsid w:val="00E95BD0"/>
    <w:rsid w:val="00E95C42"/>
    <w:rsid w:val="00E95D02"/>
    <w:rsid w:val="00E95DC1"/>
    <w:rsid w:val="00E95E3E"/>
    <w:rsid w:val="00E95F94"/>
    <w:rsid w:val="00E960C9"/>
    <w:rsid w:val="00E960E3"/>
    <w:rsid w:val="00E96175"/>
    <w:rsid w:val="00E961E1"/>
    <w:rsid w:val="00E962E2"/>
    <w:rsid w:val="00E9644B"/>
    <w:rsid w:val="00E964E0"/>
    <w:rsid w:val="00E9689A"/>
    <w:rsid w:val="00E96C6C"/>
    <w:rsid w:val="00E96DB2"/>
    <w:rsid w:val="00E96F58"/>
    <w:rsid w:val="00E96F7F"/>
    <w:rsid w:val="00E970A3"/>
    <w:rsid w:val="00E9719D"/>
    <w:rsid w:val="00E972A9"/>
    <w:rsid w:val="00E97310"/>
    <w:rsid w:val="00E976C6"/>
    <w:rsid w:val="00E976CC"/>
    <w:rsid w:val="00E977D9"/>
    <w:rsid w:val="00E97A5E"/>
    <w:rsid w:val="00E97A7B"/>
    <w:rsid w:val="00E97B30"/>
    <w:rsid w:val="00E97D96"/>
    <w:rsid w:val="00E97E26"/>
    <w:rsid w:val="00E97F58"/>
    <w:rsid w:val="00EA00BC"/>
    <w:rsid w:val="00EA00F3"/>
    <w:rsid w:val="00EA0496"/>
    <w:rsid w:val="00EA07C5"/>
    <w:rsid w:val="00EA096F"/>
    <w:rsid w:val="00EA0B7C"/>
    <w:rsid w:val="00EA0E50"/>
    <w:rsid w:val="00EA1100"/>
    <w:rsid w:val="00EA11C9"/>
    <w:rsid w:val="00EA15ED"/>
    <w:rsid w:val="00EA1708"/>
    <w:rsid w:val="00EA17D6"/>
    <w:rsid w:val="00EA1873"/>
    <w:rsid w:val="00EA1958"/>
    <w:rsid w:val="00EA1A54"/>
    <w:rsid w:val="00EA1C56"/>
    <w:rsid w:val="00EA1D99"/>
    <w:rsid w:val="00EA1E3A"/>
    <w:rsid w:val="00EA1F2F"/>
    <w:rsid w:val="00EA213A"/>
    <w:rsid w:val="00EA2161"/>
    <w:rsid w:val="00EA21C7"/>
    <w:rsid w:val="00EA223D"/>
    <w:rsid w:val="00EA22EA"/>
    <w:rsid w:val="00EA2351"/>
    <w:rsid w:val="00EA239E"/>
    <w:rsid w:val="00EA244B"/>
    <w:rsid w:val="00EA24BB"/>
    <w:rsid w:val="00EA24CA"/>
    <w:rsid w:val="00EA2650"/>
    <w:rsid w:val="00EA2698"/>
    <w:rsid w:val="00EA26F7"/>
    <w:rsid w:val="00EA2768"/>
    <w:rsid w:val="00EA27D9"/>
    <w:rsid w:val="00EA27F2"/>
    <w:rsid w:val="00EA284A"/>
    <w:rsid w:val="00EA29BB"/>
    <w:rsid w:val="00EA2A19"/>
    <w:rsid w:val="00EA2A9D"/>
    <w:rsid w:val="00EA2B7F"/>
    <w:rsid w:val="00EA2CB4"/>
    <w:rsid w:val="00EA2EEB"/>
    <w:rsid w:val="00EA2EFC"/>
    <w:rsid w:val="00EA2FBB"/>
    <w:rsid w:val="00EA3166"/>
    <w:rsid w:val="00EA319F"/>
    <w:rsid w:val="00EA322E"/>
    <w:rsid w:val="00EA32FC"/>
    <w:rsid w:val="00EA3384"/>
    <w:rsid w:val="00EA3635"/>
    <w:rsid w:val="00EA37FC"/>
    <w:rsid w:val="00EA3E53"/>
    <w:rsid w:val="00EA4069"/>
    <w:rsid w:val="00EA4350"/>
    <w:rsid w:val="00EA4781"/>
    <w:rsid w:val="00EA479A"/>
    <w:rsid w:val="00EA4951"/>
    <w:rsid w:val="00EA4A21"/>
    <w:rsid w:val="00EA4CDD"/>
    <w:rsid w:val="00EA4F25"/>
    <w:rsid w:val="00EA50FC"/>
    <w:rsid w:val="00EA50FF"/>
    <w:rsid w:val="00EA51F4"/>
    <w:rsid w:val="00EA5207"/>
    <w:rsid w:val="00EA5288"/>
    <w:rsid w:val="00EA537D"/>
    <w:rsid w:val="00EA5782"/>
    <w:rsid w:val="00EA59F6"/>
    <w:rsid w:val="00EA5AA0"/>
    <w:rsid w:val="00EA5AF1"/>
    <w:rsid w:val="00EA5C57"/>
    <w:rsid w:val="00EA5E6A"/>
    <w:rsid w:val="00EA5FFD"/>
    <w:rsid w:val="00EA61DA"/>
    <w:rsid w:val="00EA63C8"/>
    <w:rsid w:val="00EA6446"/>
    <w:rsid w:val="00EA658E"/>
    <w:rsid w:val="00EA67DC"/>
    <w:rsid w:val="00EA682A"/>
    <w:rsid w:val="00EA68BA"/>
    <w:rsid w:val="00EA6A68"/>
    <w:rsid w:val="00EA6AE4"/>
    <w:rsid w:val="00EA6B21"/>
    <w:rsid w:val="00EA6C02"/>
    <w:rsid w:val="00EA6C2B"/>
    <w:rsid w:val="00EA6D4B"/>
    <w:rsid w:val="00EA6D57"/>
    <w:rsid w:val="00EA6EAA"/>
    <w:rsid w:val="00EA6F20"/>
    <w:rsid w:val="00EA7041"/>
    <w:rsid w:val="00EA7069"/>
    <w:rsid w:val="00EA7165"/>
    <w:rsid w:val="00EA718F"/>
    <w:rsid w:val="00EA722F"/>
    <w:rsid w:val="00EA73AA"/>
    <w:rsid w:val="00EA75CF"/>
    <w:rsid w:val="00EA75FB"/>
    <w:rsid w:val="00EA76E6"/>
    <w:rsid w:val="00EA771F"/>
    <w:rsid w:val="00EA772F"/>
    <w:rsid w:val="00EA7937"/>
    <w:rsid w:val="00EB0441"/>
    <w:rsid w:val="00EB0490"/>
    <w:rsid w:val="00EB0565"/>
    <w:rsid w:val="00EB0807"/>
    <w:rsid w:val="00EB089C"/>
    <w:rsid w:val="00EB08ED"/>
    <w:rsid w:val="00EB0962"/>
    <w:rsid w:val="00EB0B63"/>
    <w:rsid w:val="00EB0BCE"/>
    <w:rsid w:val="00EB0BD1"/>
    <w:rsid w:val="00EB0FCB"/>
    <w:rsid w:val="00EB1288"/>
    <w:rsid w:val="00EB137E"/>
    <w:rsid w:val="00EB16DD"/>
    <w:rsid w:val="00EB17B2"/>
    <w:rsid w:val="00EB1A7E"/>
    <w:rsid w:val="00EB1B4D"/>
    <w:rsid w:val="00EB1B85"/>
    <w:rsid w:val="00EB1C4D"/>
    <w:rsid w:val="00EB1D25"/>
    <w:rsid w:val="00EB1D54"/>
    <w:rsid w:val="00EB1E00"/>
    <w:rsid w:val="00EB200D"/>
    <w:rsid w:val="00EB22D9"/>
    <w:rsid w:val="00EB22EC"/>
    <w:rsid w:val="00EB27C3"/>
    <w:rsid w:val="00EB2825"/>
    <w:rsid w:val="00EB2946"/>
    <w:rsid w:val="00EB2C5A"/>
    <w:rsid w:val="00EB2C95"/>
    <w:rsid w:val="00EB2CA0"/>
    <w:rsid w:val="00EB2D2E"/>
    <w:rsid w:val="00EB2E5F"/>
    <w:rsid w:val="00EB2ECB"/>
    <w:rsid w:val="00EB2FDD"/>
    <w:rsid w:val="00EB30D7"/>
    <w:rsid w:val="00EB330F"/>
    <w:rsid w:val="00EB3337"/>
    <w:rsid w:val="00EB338D"/>
    <w:rsid w:val="00EB3507"/>
    <w:rsid w:val="00EB3762"/>
    <w:rsid w:val="00EB39B8"/>
    <w:rsid w:val="00EB3C40"/>
    <w:rsid w:val="00EB3D72"/>
    <w:rsid w:val="00EB3E3D"/>
    <w:rsid w:val="00EB412A"/>
    <w:rsid w:val="00EB4171"/>
    <w:rsid w:val="00EB4199"/>
    <w:rsid w:val="00EB4275"/>
    <w:rsid w:val="00EB447E"/>
    <w:rsid w:val="00EB46D4"/>
    <w:rsid w:val="00EB46FD"/>
    <w:rsid w:val="00EB4748"/>
    <w:rsid w:val="00EB4839"/>
    <w:rsid w:val="00EB487B"/>
    <w:rsid w:val="00EB4A94"/>
    <w:rsid w:val="00EB4B0F"/>
    <w:rsid w:val="00EB4B58"/>
    <w:rsid w:val="00EB4B6A"/>
    <w:rsid w:val="00EB4DC1"/>
    <w:rsid w:val="00EB4ED6"/>
    <w:rsid w:val="00EB5028"/>
    <w:rsid w:val="00EB5376"/>
    <w:rsid w:val="00EB5418"/>
    <w:rsid w:val="00EB55A3"/>
    <w:rsid w:val="00EB585F"/>
    <w:rsid w:val="00EB5963"/>
    <w:rsid w:val="00EB5D75"/>
    <w:rsid w:val="00EB5FEF"/>
    <w:rsid w:val="00EB60AE"/>
    <w:rsid w:val="00EB62BA"/>
    <w:rsid w:val="00EB62C7"/>
    <w:rsid w:val="00EB62E0"/>
    <w:rsid w:val="00EB688D"/>
    <w:rsid w:val="00EB68E8"/>
    <w:rsid w:val="00EB698D"/>
    <w:rsid w:val="00EB69B5"/>
    <w:rsid w:val="00EB6A4B"/>
    <w:rsid w:val="00EB6C30"/>
    <w:rsid w:val="00EB6CE7"/>
    <w:rsid w:val="00EB6E33"/>
    <w:rsid w:val="00EB7018"/>
    <w:rsid w:val="00EB712E"/>
    <w:rsid w:val="00EB7156"/>
    <w:rsid w:val="00EB7502"/>
    <w:rsid w:val="00EB7582"/>
    <w:rsid w:val="00EB7963"/>
    <w:rsid w:val="00EB7A11"/>
    <w:rsid w:val="00EB7C06"/>
    <w:rsid w:val="00EB7C17"/>
    <w:rsid w:val="00EB7C74"/>
    <w:rsid w:val="00EB7FA0"/>
    <w:rsid w:val="00EB7FBC"/>
    <w:rsid w:val="00EB7FFA"/>
    <w:rsid w:val="00EC006C"/>
    <w:rsid w:val="00EC00A9"/>
    <w:rsid w:val="00EC00F4"/>
    <w:rsid w:val="00EC0303"/>
    <w:rsid w:val="00EC0304"/>
    <w:rsid w:val="00EC0483"/>
    <w:rsid w:val="00EC0573"/>
    <w:rsid w:val="00EC07A3"/>
    <w:rsid w:val="00EC0AD1"/>
    <w:rsid w:val="00EC0D4A"/>
    <w:rsid w:val="00EC0DB6"/>
    <w:rsid w:val="00EC0EC7"/>
    <w:rsid w:val="00EC118A"/>
    <w:rsid w:val="00EC11B0"/>
    <w:rsid w:val="00EC1261"/>
    <w:rsid w:val="00EC1306"/>
    <w:rsid w:val="00EC13F9"/>
    <w:rsid w:val="00EC1540"/>
    <w:rsid w:val="00EC15C2"/>
    <w:rsid w:val="00EC169D"/>
    <w:rsid w:val="00EC176A"/>
    <w:rsid w:val="00EC1776"/>
    <w:rsid w:val="00EC1924"/>
    <w:rsid w:val="00EC199A"/>
    <w:rsid w:val="00EC1B28"/>
    <w:rsid w:val="00EC1CDE"/>
    <w:rsid w:val="00EC1D03"/>
    <w:rsid w:val="00EC1DEC"/>
    <w:rsid w:val="00EC1EB5"/>
    <w:rsid w:val="00EC204C"/>
    <w:rsid w:val="00EC2070"/>
    <w:rsid w:val="00EC23D5"/>
    <w:rsid w:val="00EC25CC"/>
    <w:rsid w:val="00EC268B"/>
    <w:rsid w:val="00EC270F"/>
    <w:rsid w:val="00EC2BAA"/>
    <w:rsid w:val="00EC2BD7"/>
    <w:rsid w:val="00EC2ED2"/>
    <w:rsid w:val="00EC30EC"/>
    <w:rsid w:val="00EC3299"/>
    <w:rsid w:val="00EC3452"/>
    <w:rsid w:val="00EC36DD"/>
    <w:rsid w:val="00EC3898"/>
    <w:rsid w:val="00EC38FB"/>
    <w:rsid w:val="00EC3DF8"/>
    <w:rsid w:val="00EC3E68"/>
    <w:rsid w:val="00EC4041"/>
    <w:rsid w:val="00EC40FA"/>
    <w:rsid w:val="00EC4123"/>
    <w:rsid w:val="00EC41B9"/>
    <w:rsid w:val="00EC4400"/>
    <w:rsid w:val="00EC441A"/>
    <w:rsid w:val="00EC4582"/>
    <w:rsid w:val="00EC45CE"/>
    <w:rsid w:val="00EC48B1"/>
    <w:rsid w:val="00EC48CC"/>
    <w:rsid w:val="00EC4B1F"/>
    <w:rsid w:val="00EC4CD0"/>
    <w:rsid w:val="00EC4CD8"/>
    <w:rsid w:val="00EC4EE4"/>
    <w:rsid w:val="00EC5064"/>
    <w:rsid w:val="00EC5095"/>
    <w:rsid w:val="00EC5124"/>
    <w:rsid w:val="00EC5216"/>
    <w:rsid w:val="00EC5223"/>
    <w:rsid w:val="00EC5248"/>
    <w:rsid w:val="00EC5596"/>
    <w:rsid w:val="00EC56F4"/>
    <w:rsid w:val="00EC587F"/>
    <w:rsid w:val="00EC58AB"/>
    <w:rsid w:val="00EC596D"/>
    <w:rsid w:val="00EC5CD0"/>
    <w:rsid w:val="00EC6036"/>
    <w:rsid w:val="00EC61AD"/>
    <w:rsid w:val="00EC61C2"/>
    <w:rsid w:val="00EC637D"/>
    <w:rsid w:val="00EC641E"/>
    <w:rsid w:val="00EC647D"/>
    <w:rsid w:val="00EC663E"/>
    <w:rsid w:val="00EC6887"/>
    <w:rsid w:val="00EC6C61"/>
    <w:rsid w:val="00EC6C62"/>
    <w:rsid w:val="00EC7076"/>
    <w:rsid w:val="00EC7105"/>
    <w:rsid w:val="00EC7241"/>
    <w:rsid w:val="00EC7298"/>
    <w:rsid w:val="00EC7364"/>
    <w:rsid w:val="00EC7422"/>
    <w:rsid w:val="00EC7495"/>
    <w:rsid w:val="00EC756C"/>
    <w:rsid w:val="00EC7697"/>
    <w:rsid w:val="00EC76D3"/>
    <w:rsid w:val="00EC7763"/>
    <w:rsid w:val="00EC777F"/>
    <w:rsid w:val="00EC787C"/>
    <w:rsid w:val="00EC79BC"/>
    <w:rsid w:val="00EC7BAA"/>
    <w:rsid w:val="00EC7C63"/>
    <w:rsid w:val="00EC7D6D"/>
    <w:rsid w:val="00EC7ED0"/>
    <w:rsid w:val="00ED0015"/>
    <w:rsid w:val="00ED02F2"/>
    <w:rsid w:val="00ED0337"/>
    <w:rsid w:val="00ED05E7"/>
    <w:rsid w:val="00ED060D"/>
    <w:rsid w:val="00ED0765"/>
    <w:rsid w:val="00ED07BC"/>
    <w:rsid w:val="00ED081B"/>
    <w:rsid w:val="00ED09F8"/>
    <w:rsid w:val="00ED0A4D"/>
    <w:rsid w:val="00ED0C56"/>
    <w:rsid w:val="00ED0D9A"/>
    <w:rsid w:val="00ED0E33"/>
    <w:rsid w:val="00ED0E41"/>
    <w:rsid w:val="00ED0EBA"/>
    <w:rsid w:val="00ED0ED7"/>
    <w:rsid w:val="00ED0F4F"/>
    <w:rsid w:val="00ED10D5"/>
    <w:rsid w:val="00ED114D"/>
    <w:rsid w:val="00ED1575"/>
    <w:rsid w:val="00ED1841"/>
    <w:rsid w:val="00ED1941"/>
    <w:rsid w:val="00ED1A6F"/>
    <w:rsid w:val="00ED1AC4"/>
    <w:rsid w:val="00ED1C2C"/>
    <w:rsid w:val="00ED1EAA"/>
    <w:rsid w:val="00ED1FA4"/>
    <w:rsid w:val="00ED21C2"/>
    <w:rsid w:val="00ED2235"/>
    <w:rsid w:val="00ED2253"/>
    <w:rsid w:val="00ED2338"/>
    <w:rsid w:val="00ED2370"/>
    <w:rsid w:val="00ED23D0"/>
    <w:rsid w:val="00ED2433"/>
    <w:rsid w:val="00ED24DC"/>
    <w:rsid w:val="00ED2554"/>
    <w:rsid w:val="00ED25F8"/>
    <w:rsid w:val="00ED263B"/>
    <w:rsid w:val="00ED26A2"/>
    <w:rsid w:val="00ED27A2"/>
    <w:rsid w:val="00ED2BB7"/>
    <w:rsid w:val="00ED2BF6"/>
    <w:rsid w:val="00ED2EAF"/>
    <w:rsid w:val="00ED2F23"/>
    <w:rsid w:val="00ED31DC"/>
    <w:rsid w:val="00ED32C3"/>
    <w:rsid w:val="00ED3314"/>
    <w:rsid w:val="00ED3529"/>
    <w:rsid w:val="00ED368B"/>
    <w:rsid w:val="00ED36F5"/>
    <w:rsid w:val="00ED3806"/>
    <w:rsid w:val="00ED386C"/>
    <w:rsid w:val="00ED3936"/>
    <w:rsid w:val="00ED3BF8"/>
    <w:rsid w:val="00ED3C7E"/>
    <w:rsid w:val="00ED3FCD"/>
    <w:rsid w:val="00ED4175"/>
    <w:rsid w:val="00ED420B"/>
    <w:rsid w:val="00ED42DB"/>
    <w:rsid w:val="00ED4407"/>
    <w:rsid w:val="00ED4463"/>
    <w:rsid w:val="00ED4515"/>
    <w:rsid w:val="00ED4540"/>
    <w:rsid w:val="00ED458D"/>
    <w:rsid w:val="00ED4663"/>
    <w:rsid w:val="00ED492A"/>
    <w:rsid w:val="00ED4AC9"/>
    <w:rsid w:val="00ED4AEC"/>
    <w:rsid w:val="00ED4BF0"/>
    <w:rsid w:val="00ED4DAD"/>
    <w:rsid w:val="00ED50D8"/>
    <w:rsid w:val="00ED560C"/>
    <w:rsid w:val="00ED56DA"/>
    <w:rsid w:val="00ED5738"/>
    <w:rsid w:val="00ED5A28"/>
    <w:rsid w:val="00ED5B90"/>
    <w:rsid w:val="00ED5C06"/>
    <w:rsid w:val="00ED5D66"/>
    <w:rsid w:val="00ED5EC3"/>
    <w:rsid w:val="00ED5F3C"/>
    <w:rsid w:val="00ED6020"/>
    <w:rsid w:val="00ED6172"/>
    <w:rsid w:val="00ED64BC"/>
    <w:rsid w:val="00ED6718"/>
    <w:rsid w:val="00ED67EE"/>
    <w:rsid w:val="00ED6A34"/>
    <w:rsid w:val="00ED6A93"/>
    <w:rsid w:val="00ED6F90"/>
    <w:rsid w:val="00ED6FB4"/>
    <w:rsid w:val="00ED7128"/>
    <w:rsid w:val="00ED735A"/>
    <w:rsid w:val="00ED766F"/>
    <w:rsid w:val="00ED769B"/>
    <w:rsid w:val="00ED7706"/>
    <w:rsid w:val="00ED7760"/>
    <w:rsid w:val="00ED783E"/>
    <w:rsid w:val="00ED7BF1"/>
    <w:rsid w:val="00ED7D1C"/>
    <w:rsid w:val="00ED7DC2"/>
    <w:rsid w:val="00ED7DC9"/>
    <w:rsid w:val="00ED7FD1"/>
    <w:rsid w:val="00ED7FEF"/>
    <w:rsid w:val="00EE09E7"/>
    <w:rsid w:val="00EE0C00"/>
    <w:rsid w:val="00EE0CC8"/>
    <w:rsid w:val="00EE0CDD"/>
    <w:rsid w:val="00EE0E67"/>
    <w:rsid w:val="00EE0F8B"/>
    <w:rsid w:val="00EE0F95"/>
    <w:rsid w:val="00EE102E"/>
    <w:rsid w:val="00EE1067"/>
    <w:rsid w:val="00EE139F"/>
    <w:rsid w:val="00EE15BE"/>
    <w:rsid w:val="00EE1640"/>
    <w:rsid w:val="00EE1873"/>
    <w:rsid w:val="00EE1929"/>
    <w:rsid w:val="00EE195D"/>
    <w:rsid w:val="00EE1961"/>
    <w:rsid w:val="00EE19C7"/>
    <w:rsid w:val="00EE19E3"/>
    <w:rsid w:val="00EE1BE8"/>
    <w:rsid w:val="00EE1C9E"/>
    <w:rsid w:val="00EE1D09"/>
    <w:rsid w:val="00EE1ED9"/>
    <w:rsid w:val="00EE1FBD"/>
    <w:rsid w:val="00EE20AB"/>
    <w:rsid w:val="00EE2183"/>
    <w:rsid w:val="00EE21B5"/>
    <w:rsid w:val="00EE25AE"/>
    <w:rsid w:val="00EE275A"/>
    <w:rsid w:val="00EE293F"/>
    <w:rsid w:val="00EE295C"/>
    <w:rsid w:val="00EE2A7F"/>
    <w:rsid w:val="00EE2AA3"/>
    <w:rsid w:val="00EE2B7C"/>
    <w:rsid w:val="00EE2C12"/>
    <w:rsid w:val="00EE2C55"/>
    <w:rsid w:val="00EE2EC0"/>
    <w:rsid w:val="00EE2F2B"/>
    <w:rsid w:val="00EE2F90"/>
    <w:rsid w:val="00EE32CD"/>
    <w:rsid w:val="00EE3403"/>
    <w:rsid w:val="00EE34C7"/>
    <w:rsid w:val="00EE35B3"/>
    <w:rsid w:val="00EE3601"/>
    <w:rsid w:val="00EE39F6"/>
    <w:rsid w:val="00EE3A13"/>
    <w:rsid w:val="00EE3A6C"/>
    <w:rsid w:val="00EE3B24"/>
    <w:rsid w:val="00EE3C7A"/>
    <w:rsid w:val="00EE3CF0"/>
    <w:rsid w:val="00EE419C"/>
    <w:rsid w:val="00EE42B0"/>
    <w:rsid w:val="00EE42CD"/>
    <w:rsid w:val="00EE4365"/>
    <w:rsid w:val="00EE446A"/>
    <w:rsid w:val="00EE44DA"/>
    <w:rsid w:val="00EE4656"/>
    <w:rsid w:val="00EE4932"/>
    <w:rsid w:val="00EE49D2"/>
    <w:rsid w:val="00EE4A01"/>
    <w:rsid w:val="00EE4C53"/>
    <w:rsid w:val="00EE4D85"/>
    <w:rsid w:val="00EE4DD8"/>
    <w:rsid w:val="00EE4ED0"/>
    <w:rsid w:val="00EE4F1C"/>
    <w:rsid w:val="00EE4FC1"/>
    <w:rsid w:val="00EE540F"/>
    <w:rsid w:val="00EE54CB"/>
    <w:rsid w:val="00EE55AF"/>
    <w:rsid w:val="00EE55F2"/>
    <w:rsid w:val="00EE56AD"/>
    <w:rsid w:val="00EE583E"/>
    <w:rsid w:val="00EE58BF"/>
    <w:rsid w:val="00EE5BD1"/>
    <w:rsid w:val="00EE5C9B"/>
    <w:rsid w:val="00EE5DF3"/>
    <w:rsid w:val="00EE5ED5"/>
    <w:rsid w:val="00EE60AF"/>
    <w:rsid w:val="00EE6520"/>
    <w:rsid w:val="00EE6524"/>
    <w:rsid w:val="00EE66C1"/>
    <w:rsid w:val="00EE6836"/>
    <w:rsid w:val="00EE68F6"/>
    <w:rsid w:val="00EE6969"/>
    <w:rsid w:val="00EE6999"/>
    <w:rsid w:val="00EE6A5A"/>
    <w:rsid w:val="00EE6B55"/>
    <w:rsid w:val="00EE6DAC"/>
    <w:rsid w:val="00EE709F"/>
    <w:rsid w:val="00EE7130"/>
    <w:rsid w:val="00EE716B"/>
    <w:rsid w:val="00EE71AC"/>
    <w:rsid w:val="00EE720D"/>
    <w:rsid w:val="00EE723D"/>
    <w:rsid w:val="00EE729A"/>
    <w:rsid w:val="00EE72C7"/>
    <w:rsid w:val="00EE730D"/>
    <w:rsid w:val="00EE75FA"/>
    <w:rsid w:val="00EE77D6"/>
    <w:rsid w:val="00EE7AE1"/>
    <w:rsid w:val="00EE7D42"/>
    <w:rsid w:val="00EE7D45"/>
    <w:rsid w:val="00EF0062"/>
    <w:rsid w:val="00EF00E5"/>
    <w:rsid w:val="00EF018F"/>
    <w:rsid w:val="00EF0199"/>
    <w:rsid w:val="00EF01FF"/>
    <w:rsid w:val="00EF023E"/>
    <w:rsid w:val="00EF0259"/>
    <w:rsid w:val="00EF02EA"/>
    <w:rsid w:val="00EF0307"/>
    <w:rsid w:val="00EF032C"/>
    <w:rsid w:val="00EF04CD"/>
    <w:rsid w:val="00EF04DC"/>
    <w:rsid w:val="00EF0909"/>
    <w:rsid w:val="00EF0933"/>
    <w:rsid w:val="00EF0B17"/>
    <w:rsid w:val="00EF0CA4"/>
    <w:rsid w:val="00EF0CCD"/>
    <w:rsid w:val="00EF0CFF"/>
    <w:rsid w:val="00EF0D2F"/>
    <w:rsid w:val="00EF0D30"/>
    <w:rsid w:val="00EF0DFB"/>
    <w:rsid w:val="00EF0E81"/>
    <w:rsid w:val="00EF0E9D"/>
    <w:rsid w:val="00EF0F0F"/>
    <w:rsid w:val="00EF1012"/>
    <w:rsid w:val="00EF117F"/>
    <w:rsid w:val="00EF1227"/>
    <w:rsid w:val="00EF1257"/>
    <w:rsid w:val="00EF1291"/>
    <w:rsid w:val="00EF138C"/>
    <w:rsid w:val="00EF139F"/>
    <w:rsid w:val="00EF13B0"/>
    <w:rsid w:val="00EF147F"/>
    <w:rsid w:val="00EF1567"/>
    <w:rsid w:val="00EF163F"/>
    <w:rsid w:val="00EF1755"/>
    <w:rsid w:val="00EF1816"/>
    <w:rsid w:val="00EF19F5"/>
    <w:rsid w:val="00EF1AC0"/>
    <w:rsid w:val="00EF1CC5"/>
    <w:rsid w:val="00EF1E10"/>
    <w:rsid w:val="00EF234A"/>
    <w:rsid w:val="00EF249C"/>
    <w:rsid w:val="00EF251C"/>
    <w:rsid w:val="00EF25BE"/>
    <w:rsid w:val="00EF263F"/>
    <w:rsid w:val="00EF2852"/>
    <w:rsid w:val="00EF285D"/>
    <w:rsid w:val="00EF286C"/>
    <w:rsid w:val="00EF2932"/>
    <w:rsid w:val="00EF2C9B"/>
    <w:rsid w:val="00EF2D7B"/>
    <w:rsid w:val="00EF2E20"/>
    <w:rsid w:val="00EF2FD0"/>
    <w:rsid w:val="00EF30DC"/>
    <w:rsid w:val="00EF30E1"/>
    <w:rsid w:val="00EF317B"/>
    <w:rsid w:val="00EF31F2"/>
    <w:rsid w:val="00EF3241"/>
    <w:rsid w:val="00EF3266"/>
    <w:rsid w:val="00EF331F"/>
    <w:rsid w:val="00EF33CE"/>
    <w:rsid w:val="00EF33D7"/>
    <w:rsid w:val="00EF35D7"/>
    <w:rsid w:val="00EF368A"/>
    <w:rsid w:val="00EF36B7"/>
    <w:rsid w:val="00EF37A3"/>
    <w:rsid w:val="00EF3804"/>
    <w:rsid w:val="00EF381E"/>
    <w:rsid w:val="00EF383D"/>
    <w:rsid w:val="00EF3995"/>
    <w:rsid w:val="00EF3999"/>
    <w:rsid w:val="00EF3AFA"/>
    <w:rsid w:val="00EF3E4E"/>
    <w:rsid w:val="00EF4123"/>
    <w:rsid w:val="00EF43FB"/>
    <w:rsid w:val="00EF46FD"/>
    <w:rsid w:val="00EF4760"/>
    <w:rsid w:val="00EF4789"/>
    <w:rsid w:val="00EF4827"/>
    <w:rsid w:val="00EF483C"/>
    <w:rsid w:val="00EF498E"/>
    <w:rsid w:val="00EF4C2D"/>
    <w:rsid w:val="00EF4D02"/>
    <w:rsid w:val="00EF4EAA"/>
    <w:rsid w:val="00EF50D4"/>
    <w:rsid w:val="00EF5561"/>
    <w:rsid w:val="00EF5629"/>
    <w:rsid w:val="00EF5697"/>
    <w:rsid w:val="00EF577D"/>
    <w:rsid w:val="00EF584C"/>
    <w:rsid w:val="00EF587F"/>
    <w:rsid w:val="00EF5880"/>
    <w:rsid w:val="00EF5988"/>
    <w:rsid w:val="00EF5AA6"/>
    <w:rsid w:val="00EF5C79"/>
    <w:rsid w:val="00EF5CA6"/>
    <w:rsid w:val="00EF5D1B"/>
    <w:rsid w:val="00EF5E47"/>
    <w:rsid w:val="00EF6084"/>
    <w:rsid w:val="00EF6122"/>
    <w:rsid w:val="00EF6241"/>
    <w:rsid w:val="00EF6343"/>
    <w:rsid w:val="00EF63CC"/>
    <w:rsid w:val="00EF664C"/>
    <w:rsid w:val="00EF6703"/>
    <w:rsid w:val="00EF67CE"/>
    <w:rsid w:val="00EF68B4"/>
    <w:rsid w:val="00EF68B8"/>
    <w:rsid w:val="00EF68CF"/>
    <w:rsid w:val="00EF69A9"/>
    <w:rsid w:val="00EF69D0"/>
    <w:rsid w:val="00EF6ABE"/>
    <w:rsid w:val="00EF6B14"/>
    <w:rsid w:val="00EF6C0F"/>
    <w:rsid w:val="00EF6C42"/>
    <w:rsid w:val="00EF6CF8"/>
    <w:rsid w:val="00EF6F15"/>
    <w:rsid w:val="00EF6F4D"/>
    <w:rsid w:val="00EF7115"/>
    <w:rsid w:val="00EF71D4"/>
    <w:rsid w:val="00EF752C"/>
    <w:rsid w:val="00EF75B1"/>
    <w:rsid w:val="00EF760C"/>
    <w:rsid w:val="00EF7654"/>
    <w:rsid w:val="00EF771E"/>
    <w:rsid w:val="00EF772A"/>
    <w:rsid w:val="00EF7A46"/>
    <w:rsid w:val="00EF7B69"/>
    <w:rsid w:val="00EF7B8E"/>
    <w:rsid w:val="00EF7C74"/>
    <w:rsid w:val="00EF7EFD"/>
    <w:rsid w:val="00F00078"/>
    <w:rsid w:val="00F000E5"/>
    <w:rsid w:val="00F0018E"/>
    <w:rsid w:val="00F0026A"/>
    <w:rsid w:val="00F0028E"/>
    <w:rsid w:val="00F0033F"/>
    <w:rsid w:val="00F003D3"/>
    <w:rsid w:val="00F0042C"/>
    <w:rsid w:val="00F00472"/>
    <w:rsid w:val="00F005C4"/>
    <w:rsid w:val="00F006F2"/>
    <w:rsid w:val="00F00704"/>
    <w:rsid w:val="00F00854"/>
    <w:rsid w:val="00F008FB"/>
    <w:rsid w:val="00F0090C"/>
    <w:rsid w:val="00F009BF"/>
    <w:rsid w:val="00F00AAD"/>
    <w:rsid w:val="00F00BF5"/>
    <w:rsid w:val="00F00C1B"/>
    <w:rsid w:val="00F00D7E"/>
    <w:rsid w:val="00F00F91"/>
    <w:rsid w:val="00F00FF1"/>
    <w:rsid w:val="00F01191"/>
    <w:rsid w:val="00F01420"/>
    <w:rsid w:val="00F015C6"/>
    <w:rsid w:val="00F016C8"/>
    <w:rsid w:val="00F018CF"/>
    <w:rsid w:val="00F01927"/>
    <w:rsid w:val="00F019CE"/>
    <w:rsid w:val="00F019DA"/>
    <w:rsid w:val="00F01AA1"/>
    <w:rsid w:val="00F01CE8"/>
    <w:rsid w:val="00F01E29"/>
    <w:rsid w:val="00F01E43"/>
    <w:rsid w:val="00F01EC8"/>
    <w:rsid w:val="00F02612"/>
    <w:rsid w:val="00F0282C"/>
    <w:rsid w:val="00F02A95"/>
    <w:rsid w:val="00F02B95"/>
    <w:rsid w:val="00F02C82"/>
    <w:rsid w:val="00F02CFB"/>
    <w:rsid w:val="00F03122"/>
    <w:rsid w:val="00F03169"/>
    <w:rsid w:val="00F0318C"/>
    <w:rsid w:val="00F03195"/>
    <w:rsid w:val="00F031FD"/>
    <w:rsid w:val="00F03521"/>
    <w:rsid w:val="00F037B2"/>
    <w:rsid w:val="00F0397F"/>
    <w:rsid w:val="00F03AB6"/>
    <w:rsid w:val="00F03BBD"/>
    <w:rsid w:val="00F03E26"/>
    <w:rsid w:val="00F03F29"/>
    <w:rsid w:val="00F041B9"/>
    <w:rsid w:val="00F04225"/>
    <w:rsid w:val="00F0428B"/>
    <w:rsid w:val="00F043F6"/>
    <w:rsid w:val="00F0470C"/>
    <w:rsid w:val="00F0475C"/>
    <w:rsid w:val="00F047B1"/>
    <w:rsid w:val="00F04819"/>
    <w:rsid w:val="00F04850"/>
    <w:rsid w:val="00F04860"/>
    <w:rsid w:val="00F0486E"/>
    <w:rsid w:val="00F049BD"/>
    <w:rsid w:val="00F04D99"/>
    <w:rsid w:val="00F04EB4"/>
    <w:rsid w:val="00F04ECD"/>
    <w:rsid w:val="00F04FBC"/>
    <w:rsid w:val="00F051AE"/>
    <w:rsid w:val="00F05251"/>
    <w:rsid w:val="00F053F5"/>
    <w:rsid w:val="00F055E3"/>
    <w:rsid w:val="00F0576F"/>
    <w:rsid w:val="00F05961"/>
    <w:rsid w:val="00F0597F"/>
    <w:rsid w:val="00F05AD7"/>
    <w:rsid w:val="00F05B92"/>
    <w:rsid w:val="00F05D51"/>
    <w:rsid w:val="00F05E9F"/>
    <w:rsid w:val="00F05F8E"/>
    <w:rsid w:val="00F063FC"/>
    <w:rsid w:val="00F06542"/>
    <w:rsid w:val="00F066EB"/>
    <w:rsid w:val="00F06827"/>
    <w:rsid w:val="00F069F0"/>
    <w:rsid w:val="00F06A77"/>
    <w:rsid w:val="00F06AC0"/>
    <w:rsid w:val="00F06C59"/>
    <w:rsid w:val="00F06D8C"/>
    <w:rsid w:val="00F06F78"/>
    <w:rsid w:val="00F06FAB"/>
    <w:rsid w:val="00F070E5"/>
    <w:rsid w:val="00F07194"/>
    <w:rsid w:val="00F071C2"/>
    <w:rsid w:val="00F071D4"/>
    <w:rsid w:val="00F0725E"/>
    <w:rsid w:val="00F072B4"/>
    <w:rsid w:val="00F072F6"/>
    <w:rsid w:val="00F073B5"/>
    <w:rsid w:val="00F073CD"/>
    <w:rsid w:val="00F07488"/>
    <w:rsid w:val="00F074C2"/>
    <w:rsid w:val="00F075AF"/>
    <w:rsid w:val="00F07976"/>
    <w:rsid w:val="00F07A7C"/>
    <w:rsid w:val="00F07BA0"/>
    <w:rsid w:val="00F07CD0"/>
    <w:rsid w:val="00F07D46"/>
    <w:rsid w:val="00F07EDE"/>
    <w:rsid w:val="00F07FC9"/>
    <w:rsid w:val="00F1012C"/>
    <w:rsid w:val="00F104DD"/>
    <w:rsid w:val="00F1063D"/>
    <w:rsid w:val="00F10689"/>
    <w:rsid w:val="00F106C5"/>
    <w:rsid w:val="00F10796"/>
    <w:rsid w:val="00F107C5"/>
    <w:rsid w:val="00F107DF"/>
    <w:rsid w:val="00F10AB3"/>
    <w:rsid w:val="00F10AB9"/>
    <w:rsid w:val="00F10CE2"/>
    <w:rsid w:val="00F10EFA"/>
    <w:rsid w:val="00F10F52"/>
    <w:rsid w:val="00F10F7A"/>
    <w:rsid w:val="00F10FA1"/>
    <w:rsid w:val="00F1111F"/>
    <w:rsid w:val="00F111AB"/>
    <w:rsid w:val="00F114DA"/>
    <w:rsid w:val="00F115FD"/>
    <w:rsid w:val="00F116E9"/>
    <w:rsid w:val="00F116FC"/>
    <w:rsid w:val="00F118E3"/>
    <w:rsid w:val="00F11915"/>
    <w:rsid w:val="00F11921"/>
    <w:rsid w:val="00F11BA7"/>
    <w:rsid w:val="00F11DE9"/>
    <w:rsid w:val="00F1209B"/>
    <w:rsid w:val="00F121EC"/>
    <w:rsid w:val="00F12407"/>
    <w:rsid w:val="00F12492"/>
    <w:rsid w:val="00F125E4"/>
    <w:rsid w:val="00F12801"/>
    <w:rsid w:val="00F12834"/>
    <w:rsid w:val="00F128C8"/>
    <w:rsid w:val="00F12C73"/>
    <w:rsid w:val="00F12D9F"/>
    <w:rsid w:val="00F12FC5"/>
    <w:rsid w:val="00F1304F"/>
    <w:rsid w:val="00F130C2"/>
    <w:rsid w:val="00F130C3"/>
    <w:rsid w:val="00F13124"/>
    <w:rsid w:val="00F13152"/>
    <w:rsid w:val="00F13224"/>
    <w:rsid w:val="00F13294"/>
    <w:rsid w:val="00F135B6"/>
    <w:rsid w:val="00F135C2"/>
    <w:rsid w:val="00F13604"/>
    <w:rsid w:val="00F138D5"/>
    <w:rsid w:val="00F138DE"/>
    <w:rsid w:val="00F13978"/>
    <w:rsid w:val="00F13BD5"/>
    <w:rsid w:val="00F13EE5"/>
    <w:rsid w:val="00F13F1D"/>
    <w:rsid w:val="00F14194"/>
    <w:rsid w:val="00F14203"/>
    <w:rsid w:val="00F144CE"/>
    <w:rsid w:val="00F145F3"/>
    <w:rsid w:val="00F14627"/>
    <w:rsid w:val="00F146BD"/>
    <w:rsid w:val="00F1472F"/>
    <w:rsid w:val="00F14A1B"/>
    <w:rsid w:val="00F14A62"/>
    <w:rsid w:val="00F14A6C"/>
    <w:rsid w:val="00F14B6B"/>
    <w:rsid w:val="00F14BC2"/>
    <w:rsid w:val="00F14CD7"/>
    <w:rsid w:val="00F14EFE"/>
    <w:rsid w:val="00F14FE5"/>
    <w:rsid w:val="00F150A8"/>
    <w:rsid w:val="00F152E6"/>
    <w:rsid w:val="00F154E1"/>
    <w:rsid w:val="00F155D9"/>
    <w:rsid w:val="00F1574A"/>
    <w:rsid w:val="00F15777"/>
    <w:rsid w:val="00F15998"/>
    <w:rsid w:val="00F15A01"/>
    <w:rsid w:val="00F15C7D"/>
    <w:rsid w:val="00F15FDA"/>
    <w:rsid w:val="00F164B9"/>
    <w:rsid w:val="00F16734"/>
    <w:rsid w:val="00F168A5"/>
    <w:rsid w:val="00F16935"/>
    <w:rsid w:val="00F16A79"/>
    <w:rsid w:val="00F16AE6"/>
    <w:rsid w:val="00F16B66"/>
    <w:rsid w:val="00F16B97"/>
    <w:rsid w:val="00F16C90"/>
    <w:rsid w:val="00F16C92"/>
    <w:rsid w:val="00F16F23"/>
    <w:rsid w:val="00F1700E"/>
    <w:rsid w:val="00F170A3"/>
    <w:rsid w:val="00F1714B"/>
    <w:rsid w:val="00F1728A"/>
    <w:rsid w:val="00F17365"/>
    <w:rsid w:val="00F173D9"/>
    <w:rsid w:val="00F174BE"/>
    <w:rsid w:val="00F17566"/>
    <w:rsid w:val="00F1790B"/>
    <w:rsid w:val="00F17AA9"/>
    <w:rsid w:val="00F17B92"/>
    <w:rsid w:val="00F17BD7"/>
    <w:rsid w:val="00F17DE0"/>
    <w:rsid w:val="00F17F40"/>
    <w:rsid w:val="00F20095"/>
    <w:rsid w:val="00F201DB"/>
    <w:rsid w:val="00F2021F"/>
    <w:rsid w:val="00F20233"/>
    <w:rsid w:val="00F20257"/>
    <w:rsid w:val="00F207B8"/>
    <w:rsid w:val="00F20D8F"/>
    <w:rsid w:val="00F20E59"/>
    <w:rsid w:val="00F21187"/>
    <w:rsid w:val="00F21266"/>
    <w:rsid w:val="00F21277"/>
    <w:rsid w:val="00F21298"/>
    <w:rsid w:val="00F2130A"/>
    <w:rsid w:val="00F21326"/>
    <w:rsid w:val="00F2139A"/>
    <w:rsid w:val="00F21440"/>
    <w:rsid w:val="00F216E9"/>
    <w:rsid w:val="00F2172C"/>
    <w:rsid w:val="00F21831"/>
    <w:rsid w:val="00F2190D"/>
    <w:rsid w:val="00F219CA"/>
    <w:rsid w:val="00F21C6B"/>
    <w:rsid w:val="00F21CC8"/>
    <w:rsid w:val="00F21F09"/>
    <w:rsid w:val="00F21F6A"/>
    <w:rsid w:val="00F221C9"/>
    <w:rsid w:val="00F22226"/>
    <w:rsid w:val="00F22241"/>
    <w:rsid w:val="00F22370"/>
    <w:rsid w:val="00F22502"/>
    <w:rsid w:val="00F22533"/>
    <w:rsid w:val="00F22605"/>
    <w:rsid w:val="00F226A4"/>
    <w:rsid w:val="00F227B3"/>
    <w:rsid w:val="00F2299E"/>
    <w:rsid w:val="00F22CC3"/>
    <w:rsid w:val="00F22E2B"/>
    <w:rsid w:val="00F22EAD"/>
    <w:rsid w:val="00F22F20"/>
    <w:rsid w:val="00F2303E"/>
    <w:rsid w:val="00F230E0"/>
    <w:rsid w:val="00F230FB"/>
    <w:rsid w:val="00F232C8"/>
    <w:rsid w:val="00F232E6"/>
    <w:rsid w:val="00F234B8"/>
    <w:rsid w:val="00F2360C"/>
    <w:rsid w:val="00F238F8"/>
    <w:rsid w:val="00F2391B"/>
    <w:rsid w:val="00F23980"/>
    <w:rsid w:val="00F239F2"/>
    <w:rsid w:val="00F23C4A"/>
    <w:rsid w:val="00F23D4A"/>
    <w:rsid w:val="00F23FC1"/>
    <w:rsid w:val="00F24181"/>
    <w:rsid w:val="00F2424A"/>
    <w:rsid w:val="00F242A8"/>
    <w:rsid w:val="00F24541"/>
    <w:rsid w:val="00F24860"/>
    <w:rsid w:val="00F24872"/>
    <w:rsid w:val="00F248EA"/>
    <w:rsid w:val="00F24A13"/>
    <w:rsid w:val="00F24A1A"/>
    <w:rsid w:val="00F24A39"/>
    <w:rsid w:val="00F24A81"/>
    <w:rsid w:val="00F24ABB"/>
    <w:rsid w:val="00F24BFC"/>
    <w:rsid w:val="00F24C57"/>
    <w:rsid w:val="00F24C89"/>
    <w:rsid w:val="00F24DAA"/>
    <w:rsid w:val="00F25069"/>
    <w:rsid w:val="00F2517A"/>
    <w:rsid w:val="00F25182"/>
    <w:rsid w:val="00F25395"/>
    <w:rsid w:val="00F25534"/>
    <w:rsid w:val="00F25541"/>
    <w:rsid w:val="00F2565D"/>
    <w:rsid w:val="00F25660"/>
    <w:rsid w:val="00F25692"/>
    <w:rsid w:val="00F25768"/>
    <w:rsid w:val="00F25898"/>
    <w:rsid w:val="00F258D2"/>
    <w:rsid w:val="00F25A12"/>
    <w:rsid w:val="00F25AA3"/>
    <w:rsid w:val="00F25AB6"/>
    <w:rsid w:val="00F25B9C"/>
    <w:rsid w:val="00F25C04"/>
    <w:rsid w:val="00F25C15"/>
    <w:rsid w:val="00F25E3C"/>
    <w:rsid w:val="00F25F79"/>
    <w:rsid w:val="00F25FBD"/>
    <w:rsid w:val="00F26110"/>
    <w:rsid w:val="00F2614F"/>
    <w:rsid w:val="00F26569"/>
    <w:rsid w:val="00F2680B"/>
    <w:rsid w:val="00F2681E"/>
    <w:rsid w:val="00F26A25"/>
    <w:rsid w:val="00F26A7B"/>
    <w:rsid w:val="00F26A9B"/>
    <w:rsid w:val="00F26B85"/>
    <w:rsid w:val="00F26ED0"/>
    <w:rsid w:val="00F270E8"/>
    <w:rsid w:val="00F271BC"/>
    <w:rsid w:val="00F27269"/>
    <w:rsid w:val="00F277DC"/>
    <w:rsid w:val="00F278B7"/>
    <w:rsid w:val="00F27993"/>
    <w:rsid w:val="00F27A4A"/>
    <w:rsid w:val="00F27B69"/>
    <w:rsid w:val="00F27BBC"/>
    <w:rsid w:val="00F27D5D"/>
    <w:rsid w:val="00F27F79"/>
    <w:rsid w:val="00F27FFC"/>
    <w:rsid w:val="00F30067"/>
    <w:rsid w:val="00F300CB"/>
    <w:rsid w:val="00F303BE"/>
    <w:rsid w:val="00F30417"/>
    <w:rsid w:val="00F30464"/>
    <w:rsid w:val="00F304AF"/>
    <w:rsid w:val="00F30501"/>
    <w:rsid w:val="00F3050D"/>
    <w:rsid w:val="00F305C0"/>
    <w:rsid w:val="00F305C2"/>
    <w:rsid w:val="00F305DA"/>
    <w:rsid w:val="00F30764"/>
    <w:rsid w:val="00F30799"/>
    <w:rsid w:val="00F307BA"/>
    <w:rsid w:val="00F30A58"/>
    <w:rsid w:val="00F30C5A"/>
    <w:rsid w:val="00F30D9D"/>
    <w:rsid w:val="00F3102B"/>
    <w:rsid w:val="00F3127B"/>
    <w:rsid w:val="00F3129A"/>
    <w:rsid w:val="00F3135A"/>
    <w:rsid w:val="00F31554"/>
    <w:rsid w:val="00F3185D"/>
    <w:rsid w:val="00F31B29"/>
    <w:rsid w:val="00F31BF2"/>
    <w:rsid w:val="00F31CDF"/>
    <w:rsid w:val="00F31D97"/>
    <w:rsid w:val="00F31DF2"/>
    <w:rsid w:val="00F31E95"/>
    <w:rsid w:val="00F31F63"/>
    <w:rsid w:val="00F32244"/>
    <w:rsid w:val="00F322C6"/>
    <w:rsid w:val="00F322DB"/>
    <w:rsid w:val="00F3240B"/>
    <w:rsid w:val="00F32650"/>
    <w:rsid w:val="00F327CE"/>
    <w:rsid w:val="00F3289E"/>
    <w:rsid w:val="00F32A7D"/>
    <w:rsid w:val="00F32BA4"/>
    <w:rsid w:val="00F32E8A"/>
    <w:rsid w:val="00F32EBA"/>
    <w:rsid w:val="00F32F17"/>
    <w:rsid w:val="00F33004"/>
    <w:rsid w:val="00F33006"/>
    <w:rsid w:val="00F33082"/>
    <w:rsid w:val="00F33155"/>
    <w:rsid w:val="00F333BF"/>
    <w:rsid w:val="00F33467"/>
    <w:rsid w:val="00F334F4"/>
    <w:rsid w:val="00F33517"/>
    <w:rsid w:val="00F33769"/>
    <w:rsid w:val="00F339F7"/>
    <w:rsid w:val="00F33ABC"/>
    <w:rsid w:val="00F33BAF"/>
    <w:rsid w:val="00F33D2F"/>
    <w:rsid w:val="00F33D61"/>
    <w:rsid w:val="00F33EE0"/>
    <w:rsid w:val="00F34017"/>
    <w:rsid w:val="00F34049"/>
    <w:rsid w:val="00F3411D"/>
    <w:rsid w:val="00F3420C"/>
    <w:rsid w:val="00F343C2"/>
    <w:rsid w:val="00F344E1"/>
    <w:rsid w:val="00F3455F"/>
    <w:rsid w:val="00F345C1"/>
    <w:rsid w:val="00F347F6"/>
    <w:rsid w:val="00F34B5F"/>
    <w:rsid w:val="00F34BEA"/>
    <w:rsid w:val="00F34F6F"/>
    <w:rsid w:val="00F350EE"/>
    <w:rsid w:val="00F3518A"/>
    <w:rsid w:val="00F351AD"/>
    <w:rsid w:val="00F351CB"/>
    <w:rsid w:val="00F35201"/>
    <w:rsid w:val="00F352C7"/>
    <w:rsid w:val="00F35358"/>
    <w:rsid w:val="00F3567D"/>
    <w:rsid w:val="00F356AD"/>
    <w:rsid w:val="00F35846"/>
    <w:rsid w:val="00F3589D"/>
    <w:rsid w:val="00F3597E"/>
    <w:rsid w:val="00F359FD"/>
    <w:rsid w:val="00F35A21"/>
    <w:rsid w:val="00F35A2B"/>
    <w:rsid w:val="00F35A60"/>
    <w:rsid w:val="00F35C4B"/>
    <w:rsid w:val="00F35E26"/>
    <w:rsid w:val="00F3609C"/>
    <w:rsid w:val="00F36267"/>
    <w:rsid w:val="00F36316"/>
    <w:rsid w:val="00F365EF"/>
    <w:rsid w:val="00F366C4"/>
    <w:rsid w:val="00F366F3"/>
    <w:rsid w:val="00F3686C"/>
    <w:rsid w:val="00F369EE"/>
    <w:rsid w:val="00F36A5D"/>
    <w:rsid w:val="00F36A83"/>
    <w:rsid w:val="00F36EC8"/>
    <w:rsid w:val="00F36F24"/>
    <w:rsid w:val="00F36F39"/>
    <w:rsid w:val="00F370DD"/>
    <w:rsid w:val="00F3714B"/>
    <w:rsid w:val="00F371E0"/>
    <w:rsid w:val="00F3726B"/>
    <w:rsid w:val="00F37347"/>
    <w:rsid w:val="00F373D7"/>
    <w:rsid w:val="00F3757C"/>
    <w:rsid w:val="00F375D3"/>
    <w:rsid w:val="00F376CF"/>
    <w:rsid w:val="00F37745"/>
    <w:rsid w:val="00F377DF"/>
    <w:rsid w:val="00F37A2F"/>
    <w:rsid w:val="00F37AFB"/>
    <w:rsid w:val="00F37F04"/>
    <w:rsid w:val="00F37F93"/>
    <w:rsid w:val="00F37FF8"/>
    <w:rsid w:val="00F4005E"/>
    <w:rsid w:val="00F40063"/>
    <w:rsid w:val="00F400C8"/>
    <w:rsid w:val="00F4020E"/>
    <w:rsid w:val="00F4025F"/>
    <w:rsid w:val="00F4054B"/>
    <w:rsid w:val="00F4067D"/>
    <w:rsid w:val="00F406BF"/>
    <w:rsid w:val="00F408E7"/>
    <w:rsid w:val="00F4094E"/>
    <w:rsid w:val="00F40AE4"/>
    <w:rsid w:val="00F40B78"/>
    <w:rsid w:val="00F40C2E"/>
    <w:rsid w:val="00F40F11"/>
    <w:rsid w:val="00F4106B"/>
    <w:rsid w:val="00F41151"/>
    <w:rsid w:val="00F4131C"/>
    <w:rsid w:val="00F41541"/>
    <w:rsid w:val="00F4154B"/>
    <w:rsid w:val="00F41A13"/>
    <w:rsid w:val="00F41ACA"/>
    <w:rsid w:val="00F41B0B"/>
    <w:rsid w:val="00F41BCB"/>
    <w:rsid w:val="00F41C2A"/>
    <w:rsid w:val="00F41C37"/>
    <w:rsid w:val="00F41C52"/>
    <w:rsid w:val="00F41E77"/>
    <w:rsid w:val="00F41FDF"/>
    <w:rsid w:val="00F42037"/>
    <w:rsid w:val="00F420E7"/>
    <w:rsid w:val="00F4228A"/>
    <w:rsid w:val="00F42624"/>
    <w:rsid w:val="00F42649"/>
    <w:rsid w:val="00F42897"/>
    <w:rsid w:val="00F42A6D"/>
    <w:rsid w:val="00F42B06"/>
    <w:rsid w:val="00F42B23"/>
    <w:rsid w:val="00F42B27"/>
    <w:rsid w:val="00F42C7D"/>
    <w:rsid w:val="00F42D3B"/>
    <w:rsid w:val="00F42D45"/>
    <w:rsid w:val="00F42F8F"/>
    <w:rsid w:val="00F42F9C"/>
    <w:rsid w:val="00F431DC"/>
    <w:rsid w:val="00F431EA"/>
    <w:rsid w:val="00F4320F"/>
    <w:rsid w:val="00F4329B"/>
    <w:rsid w:val="00F43515"/>
    <w:rsid w:val="00F43660"/>
    <w:rsid w:val="00F43943"/>
    <w:rsid w:val="00F439A7"/>
    <w:rsid w:val="00F43BC2"/>
    <w:rsid w:val="00F43D71"/>
    <w:rsid w:val="00F43EBB"/>
    <w:rsid w:val="00F440A9"/>
    <w:rsid w:val="00F4414B"/>
    <w:rsid w:val="00F441E0"/>
    <w:rsid w:val="00F44215"/>
    <w:rsid w:val="00F44304"/>
    <w:rsid w:val="00F4432F"/>
    <w:rsid w:val="00F44405"/>
    <w:rsid w:val="00F44440"/>
    <w:rsid w:val="00F4450E"/>
    <w:rsid w:val="00F44728"/>
    <w:rsid w:val="00F447BA"/>
    <w:rsid w:val="00F447F5"/>
    <w:rsid w:val="00F44959"/>
    <w:rsid w:val="00F44E2D"/>
    <w:rsid w:val="00F44EC5"/>
    <w:rsid w:val="00F45787"/>
    <w:rsid w:val="00F457CA"/>
    <w:rsid w:val="00F45A17"/>
    <w:rsid w:val="00F45B0C"/>
    <w:rsid w:val="00F45BA7"/>
    <w:rsid w:val="00F45BFE"/>
    <w:rsid w:val="00F45C71"/>
    <w:rsid w:val="00F45C8E"/>
    <w:rsid w:val="00F462BD"/>
    <w:rsid w:val="00F4631E"/>
    <w:rsid w:val="00F465DE"/>
    <w:rsid w:val="00F46631"/>
    <w:rsid w:val="00F46689"/>
    <w:rsid w:val="00F467A1"/>
    <w:rsid w:val="00F46811"/>
    <w:rsid w:val="00F46924"/>
    <w:rsid w:val="00F46A3A"/>
    <w:rsid w:val="00F46B8A"/>
    <w:rsid w:val="00F46CF0"/>
    <w:rsid w:val="00F46D26"/>
    <w:rsid w:val="00F47539"/>
    <w:rsid w:val="00F4765F"/>
    <w:rsid w:val="00F476E9"/>
    <w:rsid w:val="00F47895"/>
    <w:rsid w:val="00F47994"/>
    <w:rsid w:val="00F479F6"/>
    <w:rsid w:val="00F47A91"/>
    <w:rsid w:val="00F47AA7"/>
    <w:rsid w:val="00F47E7B"/>
    <w:rsid w:val="00F47EC5"/>
    <w:rsid w:val="00F47FE6"/>
    <w:rsid w:val="00F50001"/>
    <w:rsid w:val="00F50038"/>
    <w:rsid w:val="00F501CC"/>
    <w:rsid w:val="00F50225"/>
    <w:rsid w:val="00F50400"/>
    <w:rsid w:val="00F50410"/>
    <w:rsid w:val="00F504BF"/>
    <w:rsid w:val="00F5063D"/>
    <w:rsid w:val="00F506EA"/>
    <w:rsid w:val="00F50700"/>
    <w:rsid w:val="00F508CF"/>
    <w:rsid w:val="00F509CC"/>
    <w:rsid w:val="00F50ADE"/>
    <w:rsid w:val="00F50B41"/>
    <w:rsid w:val="00F50C51"/>
    <w:rsid w:val="00F50C7F"/>
    <w:rsid w:val="00F50CCB"/>
    <w:rsid w:val="00F50D46"/>
    <w:rsid w:val="00F50DDA"/>
    <w:rsid w:val="00F50E2C"/>
    <w:rsid w:val="00F50FD6"/>
    <w:rsid w:val="00F51004"/>
    <w:rsid w:val="00F51225"/>
    <w:rsid w:val="00F513A6"/>
    <w:rsid w:val="00F513C7"/>
    <w:rsid w:val="00F5196D"/>
    <w:rsid w:val="00F51974"/>
    <w:rsid w:val="00F51AEF"/>
    <w:rsid w:val="00F51BC6"/>
    <w:rsid w:val="00F51C00"/>
    <w:rsid w:val="00F51F13"/>
    <w:rsid w:val="00F51F9F"/>
    <w:rsid w:val="00F51FF5"/>
    <w:rsid w:val="00F520CF"/>
    <w:rsid w:val="00F52117"/>
    <w:rsid w:val="00F5231A"/>
    <w:rsid w:val="00F5235E"/>
    <w:rsid w:val="00F523C8"/>
    <w:rsid w:val="00F52690"/>
    <w:rsid w:val="00F527D9"/>
    <w:rsid w:val="00F528AD"/>
    <w:rsid w:val="00F52911"/>
    <w:rsid w:val="00F52AA7"/>
    <w:rsid w:val="00F52B3F"/>
    <w:rsid w:val="00F52D34"/>
    <w:rsid w:val="00F52E7F"/>
    <w:rsid w:val="00F531C3"/>
    <w:rsid w:val="00F5321E"/>
    <w:rsid w:val="00F532F6"/>
    <w:rsid w:val="00F535B0"/>
    <w:rsid w:val="00F53939"/>
    <w:rsid w:val="00F53ACD"/>
    <w:rsid w:val="00F53BA1"/>
    <w:rsid w:val="00F53BD4"/>
    <w:rsid w:val="00F53CD5"/>
    <w:rsid w:val="00F53D18"/>
    <w:rsid w:val="00F53E80"/>
    <w:rsid w:val="00F54005"/>
    <w:rsid w:val="00F54044"/>
    <w:rsid w:val="00F5415C"/>
    <w:rsid w:val="00F54408"/>
    <w:rsid w:val="00F544C9"/>
    <w:rsid w:val="00F545F1"/>
    <w:rsid w:val="00F54754"/>
    <w:rsid w:val="00F54765"/>
    <w:rsid w:val="00F54890"/>
    <w:rsid w:val="00F548E2"/>
    <w:rsid w:val="00F54C10"/>
    <w:rsid w:val="00F54CB5"/>
    <w:rsid w:val="00F54DCD"/>
    <w:rsid w:val="00F54F13"/>
    <w:rsid w:val="00F55160"/>
    <w:rsid w:val="00F552CD"/>
    <w:rsid w:val="00F552FF"/>
    <w:rsid w:val="00F556D2"/>
    <w:rsid w:val="00F558AC"/>
    <w:rsid w:val="00F55A99"/>
    <w:rsid w:val="00F55BD1"/>
    <w:rsid w:val="00F55FE0"/>
    <w:rsid w:val="00F5620C"/>
    <w:rsid w:val="00F5623F"/>
    <w:rsid w:val="00F562D9"/>
    <w:rsid w:val="00F563E6"/>
    <w:rsid w:val="00F5644C"/>
    <w:rsid w:val="00F56533"/>
    <w:rsid w:val="00F56692"/>
    <w:rsid w:val="00F5670D"/>
    <w:rsid w:val="00F56728"/>
    <w:rsid w:val="00F56813"/>
    <w:rsid w:val="00F56AC5"/>
    <w:rsid w:val="00F56B8F"/>
    <w:rsid w:val="00F56CD4"/>
    <w:rsid w:val="00F56F12"/>
    <w:rsid w:val="00F56F83"/>
    <w:rsid w:val="00F56FC9"/>
    <w:rsid w:val="00F570B4"/>
    <w:rsid w:val="00F57133"/>
    <w:rsid w:val="00F575D7"/>
    <w:rsid w:val="00F576C3"/>
    <w:rsid w:val="00F57725"/>
    <w:rsid w:val="00F57775"/>
    <w:rsid w:val="00F577FF"/>
    <w:rsid w:val="00F57926"/>
    <w:rsid w:val="00F5792B"/>
    <w:rsid w:val="00F57AF6"/>
    <w:rsid w:val="00F57C35"/>
    <w:rsid w:val="00F57C89"/>
    <w:rsid w:val="00F57CC5"/>
    <w:rsid w:val="00F57D05"/>
    <w:rsid w:val="00F57D9D"/>
    <w:rsid w:val="00F57EF4"/>
    <w:rsid w:val="00F57FB6"/>
    <w:rsid w:val="00F601A1"/>
    <w:rsid w:val="00F604DC"/>
    <w:rsid w:val="00F604F8"/>
    <w:rsid w:val="00F60584"/>
    <w:rsid w:val="00F605B1"/>
    <w:rsid w:val="00F605E5"/>
    <w:rsid w:val="00F60681"/>
    <w:rsid w:val="00F606E7"/>
    <w:rsid w:val="00F606EE"/>
    <w:rsid w:val="00F60818"/>
    <w:rsid w:val="00F6098D"/>
    <w:rsid w:val="00F60BD5"/>
    <w:rsid w:val="00F60F31"/>
    <w:rsid w:val="00F61010"/>
    <w:rsid w:val="00F61084"/>
    <w:rsid w:val="00F61175"/>
    <w:rsid w:val="00F614E3"/>
    <w:rsid w:val="00F61539"/>
    <w:rsid w:val="00F615D6"/>
    <w:rsid w:val="00F6162D"/>
    <w:rsid w:val="00F6185E"/>
    <w:rsid w:val="00F61B4B"/>
    <w:rsid w:val="00F61C14"/>
    <w:rsid w:val="00F61CB7"/>
    <w:rsid w:val="00F61ED1"/>
    <w:rsid w:val="00F61F03"/>
    <w:rsid w:val="00F61FFF"/>
    <w:rsid w:val="00F620C5"/>
    <w:rsid w:val="00F62449"/>
    <w:rsid w:val="00F6258E"/>
    <w:rsid w:val="00F62594"/>
    <w:rsid w:val="00F6263B"/>
    <w:rsid w:val="00F62781"/>
    <w:rsid w:val="00F6298E"/>
    <w:rsid w:val="00F62A27"/>
    <w:rsid w:val="00F62A7C"/>
    <w:rsid w:val="00F62B6E"/>
    <w:rsid w:val="00F62C49"/>
    <w:rsid w:val="00F62F06"/>
    <w:rsid w:val="00F6309F"/>
    <w:rsid w:val="00F6316D"/>
    <w:rsid w:val="00F63192"/>
    <w:rsid w:val="00F63360"/>
    <w:rsid w:val="00F633CA"/>
    <w:rsid w:val="00F63590"/>
    <w:rsid w:val="00F63683"/>
    <w:rsid w:val="00F637FF"/>
    <w:rsid w:val="00F63909"/>
    <w:rsid w:val="00F63C36"/>
    <w:rsid w:val="00F63E6A"/>
    <w:rsid w:val="00F63F00"/>
    <w:rsid w:val="00F63F5B"/>
    <w:rsid w:val="00F63FAD"/>
    <w:rsid w:val="00F64009"/>
    <w:rsid w:val="00F640E8"/>
    <w:rsid w:val="00F647F6"/>
    <w:rsid w:val="00F648D2"/>
    <w:rsid w:val="00F6497A"/>
    <w:rsid w:val="00F649E9"/>
    <w:rsid w:val="00F64AA9"/>
    <w:rsid w:val="00F64C83"/>
    <w:rsid w:val="00F64DBE"/>
    <w:rsid w:val="00F64F44"/>
    <w:rsid w:val="00F64F58"/>
    <w:rsid w:val="00F65059"/>
    <w:rsid w:val="00F65331"/>
    <w:rsid w:val="00F65356"/>
    <w:rsid w:val="00F6555D"/>
    <w:rsid w:val="00F656C1"/>
    <w:rsid w:val="00F656E6"/>
    <w:rsid w:val="00F65AA1"/>
    <w:rsid w:val="00F65AA5"/>
    <w:rsid w:val="00F65AAF"/>
    <w:rsid w:val="00F65B50"/>
    <w:rsid w:val="00F65D21"/>
    <w:rsid w:val="00F65D92"/>
    <w:rsid w:val="00F65FC8"/>
    <w:rsid w:val="00F66008"/>
    <w:rsid w:val="00F66082"/>
    <w:rsid w:val="00F66163"/>
    <w:rsid w:val="00F662AD"/>
    <w:rsid w:val="00F662C3"/>
    <w:rsid w:val="00F6640D"/>
    <w:rsid w:val="00F66410"/>
    <w:rsid w:val="00F66751"/>
    <w:rsid w:val="00F66765"/>
    <w:rsid w:val="00F66A35"/>
    <w:rsid w:val="00F66A5D"/>
    <w:rsid w:val="00F66B03"/>
    <w:rsid w:val="00F66C17"/>
    <w:rsid w:val="00F67073"/>
    <w:rsid w:val="00F67092"/>
    <w:rsid w:val="00F67139"/>
    <w:rsid w:val="00F67169"/>
    <w:rsid w:val="00F6734E"/>
    <w:rsid w:val="00F67354"/>
    <w:rsid w:val="00F6741A"/>
    <w:rsid w:val="00F67444"/>
    <w:rsid w:val="00F6765B"/>
    <w:rsid w:val="00F67767"/>
    <w:rsid w:val="00F677E0"/>
    <w:rsid w:val="00F67845"/>
    <w:rsid w:val="00F679D8"/>
    <w:rsid w:val="00F67A39"/>
    <w:rsid w:val="00F67ADE"/>
    <w:rsid w:val="00F67AFF"/>
    <w:rsid w:val="00F67BE3"/>
    <w:rsid w:val="00F67BF9"/>
    <w:rsid w:val="00F67E40"/>
    <w:rsid w:val="00F700F6"/>
    <w:rsid w:val="00F70148"/>
    <w:rsid w:val="00F7025A"/>
    <w:rsid w:val="00F702A7"/>
    <w:rsid w:val="00F70906"/>
    <w:rsid w:val="00F70969"/>
    <w:rsid w:val="00F70B68"/>
    <w:rsid w:val="00F70CA1"/>
    <w:rsid w:val="00F70CA3"/>
    <w:rsid w:val="00F70D39"/>
    <w:rsid w:val="00F70DFA"/>
    <w:rsid w:val="00F70E0C"/>
    <w:rsid w:val="00F70E58"/>
    <w:rsid w:val="00F70FB1"/>
    <w:rsid w:val="00F71163"/>
    <w:rsid w:val="00F71244"/>
    <w:rsid w:val="00F71A1A"/>
    <w:rsid w:val="00F71C0E"/>
    <w:rsid w:val="00F71E22"/>
    <w:rsid w:val="00F71EFB"/>
    <w:rsid w:val="00F721C6"/>
    <w:rsid w:val="00F72227"/>
    <w:rsid w:val="00F7272B"/>
    <w:rsid w:val="00F7288D"/>
    <w:rsid w:val="00F728AC"/>
    <w:rsid w:val="00F72A88"/>
    <w:rsid w:val="00F72D4F"/>
    <w:rsid w:val="00F72DA6"/>
    <w:rsid w:val="00F72DFF"/>
    <w:rsid w:val="00F72EAB"/>
    <w:rsid w:val="00F72F99"/>
    <w:rsid w:val="00F73280"/>
    <w:rsid w:val="00F7328E"/>
    <w:rsid w:val="00F732EF"/>
    <w:rsid w:val="00F7346B"/>
    <w:rsid w:val="00F73547"/>
    <w:rsid w:val="00F735F6"/>
    <w:rsid w:val="00F736D9"/>
    <w:rsid w:val="00F738C5"/>
    <w:rsid w:val="00F73973"/>
    <w:rsid w:val="00F73B50"/>
    <w:rsid w:val="00F73C6C"/>
    <w:rsid w:val="00F73EBB"/>
    <w:rsid w:val="00F73F67"/>
    <w:rsid w:val="00F74035"/>
    <w:rsid w:val="00F740DB"/>
    <w:rsid w:val="00F740F7"/>
    <w:rsid w:val="00F7414C"/>
    <w:rsid w:val="00F74245"/>
    <w:rsid w:val="00F7447F"/>
    <w:rsid w:val="00F74531"/>
    <w:rsid w:val="00F74831"/>
    <w:rsid w:val="00F74A3C"/>
    <w:rsid w:val="00F74A9C"/>
    <w:rsid w:val="00F74B85"/>
    <w:rsid w:val="00F74BD6"/>
    <w:rsid w:val="00F74D22"/>
    <w:rsid w:val="00F74D2F"/>
    <w:rsid w:val="00F74E6E"/>
    <w:rsid w:val="00F75089"/>
    <w:rsid w:val="00F75136"/>
    <w:rsid w:val="00F7522B"/>
    <w:rsid w:val="00F75373"/>
    <w:rsid w:val="00F75924"/>
    <w:rsid w:val="00F75A2A"/>
    <w:rsid w:val="00F75C32"/>
    <w:rsid w:val="00F75D0D"/>
    <w:rsid w:val="00F75F20"/>
    <w:rsid w:val="00F76212"/>
    <w:rsid w:val="00F765BA"/>
    <w:rsid w:val="00F76761"/>
    <w:rsid w:val="00F76789"/>
    <w:rsid w:val="00F76B1D"/>
    <w:rsid w:val="00F76B91"/>
    <w:rsid w:val="00F76D3C"/>
    <w:rsid w:val="00F76D47"/>
    <w:rsid w:val="00F76E2C"/>
    <w:rsid w:val="00F76E78"/>
    <w:rsid w:val="00F7717C"/>
    <w:rsid w:val="00F774CA"/>
    <w:rsid w:val="00F7772A"/>
    <w:rsid w:val="00F777C7"/>
    <w:rsid w:val="00F77AEE"/>
    <w:rsid w:val="00F77BB8"/>
    <w:rsid w:val="00F77CA5"/>
    <w:rsid w:val="00F77EBE"/>
    <w:rsid w:val="00F8022A"/>
    <w:rsid w:val="00F8025B"/>
    <w:rsid w:val="00F80321"/>
    <w:rsid w:val="00F80424"/>
    <w:rsid w:val="00F80483"/>
    <w:rsid w:val="00F80499"/>
    <w:rsid w:val="00F804B9"/>
    <w:rsid w:val="00F8066B"/>
    <w:rsid w:val="00F806C6"/>
    <w:rsid w:val="00F8078F"/>
    <w:rsid w:val="00F8086D"/>
    <w:rsid w:val="00F808D1"/>
    <w:rsid w:val="00F80949"/>
    <w:rsid w:val="00F8094D"/>
    <w:rsid w:val="00F80B66"/>
    <w:rsid w:val="00F80BB3"/>
    <w:rsid w:val="00F80D50"/>
    <w:rsid w:val="00F80E60"/>
    <w:rsid w:val="00F80F23"/>
    <w:rsid w:val="00F8115C"/>
    <w:rsid w:val="00F81206"/>
    <w:rsid w:val="00F8120B"/>
    <w:rsid w:val="00F81294"/>
    <w:rsid w:val="00F814F3"/>
    <w:rsid w:val="00F814FF"/>
    <w:rsid w:val="00F81585"/>
    <w:rsid w:val="00F81592"/>
    <w:rsid w:val="00F816B8"/>
    <w:rsid w:val="00F8181C"/>
    <w:rsid w:val="00F819F2"/>
    <w:rsid w:val="00F81DDC"/>
    <w:rsid w:val="00F81E37"/>
    <w:rsid w:val="00F81FE8"/>
    <w:rsid w:val="00F82033"/>
    <w:rsid w:val="00F82039"/>
    <w:rsid w:val="00F82050"/>
    <w:rsid w:val="00F8213A"/>
    <w:rsid w:val="00F821DF"/>
    <w:rsid w:val="00F8227F"/>
    <w:rsid w:val="00F825C2"/>
    <w:rsid w:val="00F82744"/>
    <w:rsid w:val="00F829EB"/>
    <w:rsid w:val="00F82BD9"/>
    <w:rsid w:val="00F82D11"/>
    <w:rsid w:val="00F82D8B"/>
    <w:rsid w:val="00F82F55"/>
    <w:rsid w:val="00F8301A"/>
    <w:rsid w:val="00F833C9"/>
    <w:rsid w:val="00F833F8"/>
    <w:rsid w:val="00F83447"/>
    <w:rsid w:val="00F8359D"/>
    <w:rsid w:val="00F83624"/>
    <w:rsid w:val="00F83675"/>
    <w:rsid w:val="00F83744"/>
    <w:rsid w:val="00F83A7A"/>
    <w:rsid w:val="00F83CE0"/>
    <w:rsid w:val="00F83E60"/>
    <w:rsid w:val="00F83F68"/>
    <w:rsid w:val="00F8400D"/>
    <w:rsid w:val="00F841C3"/>
    <w:rsid w:val="00F8421E"/>
    <w:rsid w:val="00F84265"/>
    <w:rsid w:val="00F844B6"/>
    <w:rsid w:val="00F846FC"/>
    <w:rsid w:val="00F8478B"/>
    <w:rsid w:val="00F8489D"/>
    <w:rsid w:val="00F84943"/>
    <w:rsid w:val="00F84A20"/>
    <w:rsid w:val="00F84AF3"/>
    <w:rsid w:val="00F84CA7"/>
    <w:rsid w:val="00F84CC2"/>
    <w:rsid w:val="00F84E41"/>
    <w:rsid w:val="00F84F60"/>
    <w:rsid w:val="00F85392"/>
    <w:rsid w:val="00F85436"/>
    <w:rsid w:val="00F85440"/>
    <w:rsid w:val="00F85584"/>
    <w:rsid w:val="00F85686"/>
    <w:rsid w:val="00F8581E"/>
    <w:rsid w:val="00F858D3"/>
    <w:rsid w:val="00F8590D"/>
    <w:rsid w:val="00F8598D"/>
    <w:rsid w:val="00F85C4B"/>
    <w:rsid w:val="00F86030"/>
    <w:rsid w:val="00F86044"/>
    <w:rsid w:val="00F860A4"/>
    <w:rsid w:val="00F86275"/>
    <w:rsid w:val="00F86535"/>
    <w:rsid w:val="00F8674A"/>
    <w:rsid w:val="00F867AA"/>
    <w:rsid w:val="00F86A1D"/>
    <w:rsid w:val="00F86BC3"/>
    <w:rsid w:val="00F86E82"/>
    <w:rsid w:val="00F870A8"/>
    <w:rsid w:val="00F87260"/>
    <w:rsid w:val="00F873FB"/>
    <w:rsid w:val="00F87595"/>
    <w:rsid w:val="00F8774A"/>
    <w:rsid w:val="00F87922"/>
    <w:rsid w:val="00F879C4"/>
    <w:rsid w:val="00F87B4F"/>
    <w:rsid w:val="00F87BB3"/>
    <w:rsid w:val="00F87C36"/>
    <w:rsid w:val="00F87D36"/>
    <w:rsid w:val="00F87EC0"/>
    <w:rsid w:val="00F87FD2"/>
    <w:rsid w:val="00F90168"/>
    <w:rsid w:val="00F90533"/>
    <w:rsid w:val="00F90575"/>
    <w:rsid w:val="00F9089D"/>
    <w:rsid w:val="00F90A17"/>
    <w:rsid w:val="00F90C49"/>
    <w:rsid w:val="00F90C90"/>
    <w:rsid w:val="00F90D97"/>
    <w:rsid w:val="00F90E02"/>
    <w:rsid w:val="00F90E8A"/>
    <w:rsid w:val="00F90EF3"/>
    <w:rsid w:val="00F90FD0"/>
    <w:rsid w:val="00F910CB"/>
    <w:rsid w:val="00F91580"/>
    <w:rsid w:val="00F915A4"/>
    <w:rsid w:val="00F91660"/>
    <w:rsid w:val="00F9174F"/>
    <w:rsid w:val="00F9188D"/>
    <w:rsid w:val="00F918FA"/>
    <w:rsid w:val="00F91A11"/>
    <w:rsid w:val="00F91B3D"/>
    <w:rsid w:val="00F91C5B"/>
    <w:rsid w:val="00F91D4F"/>
    <w:rsid w:val="00F91DA5"/>
    <w:rsid w:val="00F91DB2"/>
    <w:rsid w:val="00F91E26"/>
    <w:rsid w:val="00F91E68"/>
    <w:rsid w:val="00F92048"/>
    <w:rsid w:val="00F920C0"/>
    <w:rsid w:val="00F9214D"/>
    <w:rsid w:val="00F92181"/>
    <w:rsid w:val="00F921CF"/>
    <w:rsid w:val="00F925A8"/>
    <w:rsid w:val="00F9264A"/>
    <w:rsid w:val="00F92700"/>
    <w:rsid w:val="00F927CF"/>
    <w:rsid w:val="00F927DC"/>
    <w:rsid w:val="00F9294C"/>
    <w:rsid w:val="00F92BC9"/>
    <w:rsid w:val="00F92BCA"/>
    <w:rsid w:val="00F92CCF"/>
    <w:rsid w:val="00F92FA5"/>
    <w:rsid w:val="00F9308C"/>
    <w:rsid w:val="00F93188"/>
    <w:rsid w:val="00F9328E"/>
    <w:rsid w:val="00F933B2"/>
    <w:rsid w:val="00F934F5"/>
    <w:rsid w:val="00F93620"/>
    <w:rsid w:val="00F93721"/>
    <w:rsid w:val="00F93786"/>
    <w:rsid w:val="00F93939"/>
    <w:rsid w:val="00F93979"/>
    <w:rsid w:val="00F939EE"/>
    <w:rsid w:val="00F93A02"/>
    <w:rsid w:val="00F93A17"/>
    <w:rsid w:val="00F93A71"/>
    <w:rsid w:val="00F93B20"/>
    <w:rsid w:val="00F9453B"/>
    <w:rsid w:val="00F9463E"/>
    <w:rsid w:val="00F94729"/>
    <w:rsid w:val="00F9478D"/>
    <w:rsid w:val="00F94833"/>
    <w:rsid w:val="00F948B0"/>
    <w:rsid w:val="00F94945"/>
    <w:rsid w:val="00F94A3B"/>
    <w:rsid w:val="00F94C14"/>
    <w:rsid w:val="00F94EC5"/>
    <w:rsid w:val="00F94F75"/>
    <w:rsid w:val="00F951DC"/>
    <w:rsid w:val="00F9528F"/>
    <w:rsid w:val="00F952D4"/>
    <w:rsid w:val="00F9530A"/>
    <w:rsid w:val="00F95473"/>
    <w:rsid w:val="00F95812"/>
    <w:rsid w:val="00F9581C"/>
    <w:rsid w:val="00F958EF"/>
    <w:rsid w:val="00F95922"/>
    <w:rsid w:val="00F95995"/>
    <w:rsid w:val="00F959ED"/>
    <w:rsid w:val="00F95AE9"/>
    <w:rsid w:val="00F95D1E"/>
    <w:rsid w:val="00F96125"/>
    <w:rsid w:val="00F965D1"/>
    <w:rsid w:val="00F965F4"/>
    <w:rsid w:val="00F96615"/>
    <w:rsid w:val="00F96694"/>
    <w:rsid w:val="00F96732"/>
    <w:rsid w:val="00F96858"/>
    <w:rsid w:val="00F968A2"/>
    <w:rsid w:val="00F968BD"/>
    <w:rsid w:val="00F96A14"/>
    <w:rsid w:val="00F96A88"/>
    <w:rsid w:val="00F96C5D"/>
    <w:rsid w:val="00F9700D"/>
    <w:rsid w:val="00F9705A"/>
    <w:rsid w:val="00F970BC"/>
    <w:rsid w:val="00F970F3"/>
    <w:rsid w:val="00F97257"/>
    <w:rsid w:val="00F972CA"/>
    <w:rsid w:val="00F9731E"/>
    <w:rsid w:val="00F97535"/>
    <w:rsid w:val="00F97571"/>
    <w:rsid w:val="00F97722"/>
    <w:rsid w:val="00F979D5"/>
    <w:rsid w:val="00F97AA9"/>
    <w:rsid w:val="00F97C99"/>
    <w:rsid w:val="00FA0084"/>
    <w:rsid w:val="00FA00B8"/>
    <w:rsid w:val="00FA01D3"/>
    <w:rsid w:val="00FA0285"/>
    <w:rsid w:val="00FA03A8"/>
    <w:rsid w:val="00FA03F6"/>
    <w:rsid w:val="00FA0526"/>
    <w:rsid w:val="00FA060F"/>
    <w:rsid w:val="00FA0627"/>
    <w:rsid w:val="00FA07BD"/>
    <w:rsid w:val="00FA0978"/>
    <w:rsid w:val="00FA0ACE"/>
    <w:rsid w:val="00FA0CD3"/>
    <w:rsid w:val="00FA0E6C"/>
    <w:rsid w:val="00FA0EA9"/>
    <w:rsid w:val="00FA10A0"/>
    <w:rsid w:val="00FA1217"/>
    <w:rsid w:val="00FA1252"/>
    <w:rsid w:val="00FA12C8"/>
    <w:rsid w:val="00FA12CD"/>
    <w:rsid w:val="00FA16B2"/>
    <w:rsid w:val="00FA1A04"/>
    <w:rsid w:val="00FA1D7A"/>
    <w:rsid w:val="00FA1E12"/>
    <w:rsid w:val="00FA1E4A"/>
    <w:rsid w:val="00FA1EFB"/>
    <w:rsid w:val="00FA1F13"/>
    <w:rsid w:val="00FA1FB3"/>
    <w:rsid w:val="00FA238D"/>
    <w:rsid w:val="00FA23F7"/>
    <w:rsid w:val="00FA2418"/>
    <w:rsid w:val="00FA253D"/>
    <w:rsid w:val="00FA262B"/>
    <w:rsid w:val="00FA266D"/>
    <w:rsid w:val="00FA269D"/>
    <w:rsid w:val="00FA282B"/>
    <w:rsid w:val="00FA2BF0"/>
    <w:rsid w:val="00FA2CF7"/>
    <w:rsid w:val="00FA2DE3"/>
    <w:rsid w:val="00FA2F25"/>
    <w:rsid w:val="00FA3108"/>
    <w:rsid w:val="00FA3155"/>
    <w:rsid w:val="00FA316E"/>
    <w:rsid w:val="00FA32B7"/>
    <w:rsid w:val="00FA33EA"/>
    <w:rsid w:val="00FA3499"/>
    <w:rsid w:val="00FA384E"/>
    <w:rsid w:val="00FA384F"/>
    <w:rsid w:val="00FA387C"/>
    <w:rsid w:val="00FA38C8"/>
    <w:rsid w:val="00FA38FF"/>
    <w:rsid w:val="00FA3B68"/>
    <w:rsid w:val="00FA3D57"/>
    <w:rsid w:val="00FA3E64"/>
    <w:rsid w:val="00FA3F07"/>
    <w:rsid w:val="00FA422E"/>
    <w:rsid w:val="00FA42F3"/>
    <w:rsid w:val="00FA4346"/>
    <w:rsid w:val="00FA457B"/>
    <w:rsid w:val="00FA45BE"/>
    <w:rsid w:val="00FA45CC"/>
    <w:rsid w:val="00FA464D"/>
    <w:rsid w:val="00FA46AE"/>
    <w:rsid w:val="00FA48F2"/>
    <w:rsid w:val="00FA491A"/>
    <w:rsid w:val="00FA4AA9"/>
    <w:rsid w:val="00FA509E"/>
    <w:rsid w:val="00FA52F7"/>
    <w:rsid w:val="00FA5723"/>
    <w:rsid w:val="00FA596C"/>
    <w:rsid w:val="00FA5A78"/>
    <w:rsid w:val="00FA5BF3"/>
    <w:rsid w:val="00FA5C28"/>
    <w:rsid w:val="00FA5DD6"/>
    <w:rsid w:val="00FA614A"/>
    <w:rsid w:val="00FA6356"/>
    <w:rsid w:val="00FA663B"/>
    <w:rsid w:val="00FA6928"/>
    <w:rsid w:val="00FA6938"/>
    <w:rsid w:val="00FA69C4"/>
    <w:rsid w:val="00FA6A49"/>
    <w:rsid w:val="00FA6A84"/>
    <w:rsid w:val="00FA6C44"/>
    <w:rsid w:val="00FA70EB"/>
    <w:rsid w:val="00FA7168"/>
    <w:rsid w:val="00FA7186"/>
    <w:rsid w:val="00FA735E"/>
    <w:rsid w:val="00FA73E7"/>
    <w:rsid w:val="00FA7638"/>
    <w:rsid w:val="00FA7654"/>
    <w:rsid w:val="00FA79A8"/>
    <w:rsid w:val="00FA7F22"/>
    <w:rsid w:val="00FB0106"/>
    <w:rsid w:val="00FB0112"/>
    <w:rsid w:val="00FB0522"/>
    <w:rsid w:val="00FB0806"/>
    <w:rsid w:val="00FB0AE2"/>
    <w:rsid w:val="00FB0C34"/>
    <w:rsid w:val="00FB0C5C"/>
    <w:rsid w:val="00FB0DCB"/>
    <w:rsid w:val="00FB0E83"/>
    <w:rsid w:val="00FB105F"/>
    <w:rsid w:val="00FB107C"/>
    <w:rsid w:val="00FB1107"/>
    <w:rsid w:val="00FB11EC"/>
    <w:rsid w:val="00FB12A3"/>
    <w:rsid w:val="00FB13A1"/>
    <w:rsid w:val="00FB14A9"/>
    <w:rsid w:val="00FB14FE"/>
    <w:rsid w:val="00FB15DA"/>
    <w:rsid w:val="00FB1601"/>
    <w:rsid w:val="00FB16FF"/>
    <w:rsid w:val="00FB1738"/>
    <w:rsid w:val="00FB17B0"/>
    <w:rsid w:val="00FB186A"/>
    <w:rsid w:val="00FB1890"/>
    <w:rsid w:val="00FB19BD"/>
    <w:rsid w:val="00FB1F28"/>
    <w:rsid w:val="00FB1F53"/>
    <w:rsid w:val="00FB1F6F"/>
    <w:rsid w:val="00FB1F89"/>
    <w:rsid w:val="00FB21AC"/>
    <w:rsid w:val="00FB21F2"/>
    <w:rsid w:val="00FB223D"/>
    <w:rsid w:val="00FB24A5"/>
    <w:rsid w:val="00FB26F6"/>
    <w:rsid w:val="00FB279E"/>
    <w:rsid w:val="00FB2830"/>
    <w:rsid w:val="00FB294F"/>
    <w:rsid w:val="00FB2C2A"/>
    <w:rsid w:val="00FB2D53"/>
    <w:rsid w:val="00FB2DEE"/>
    <w:rsid w:val="00FB2F86"/>
    <w:rsid w:val="00FB2FF4"/>
    <w:rsid w:val="00FB3515"/>
    <w:rsid w:val="00FB3583"/>
    <w:rsid w:val="00FB3694"/>
    <w:rsid w:val="00FB36C3"/>
    <w:rsid w:val="00FB36EB"/>
    <w:rsid w:val="00FB37BC"/>
    <w:rsid w:val="00FB39CC"/>
    <w:rsid w:val="00FB3A86"/>
    <w:rsid w:val="00FB3B61"/>
    <w:rsid w:val="00FB3CD4"/>
    <w:rsid w:val="00FB3DC7"/>
    <w:rsid w:val="00FB3EBB"/>
    <w:rsid w:val="00FB3F43"/>
    <w:rsid w:val="00FB4063"/>
    <w:rsid w:val="00FB428D"/>
    <w:rsid w:val="00FB4343"/>
    <w:rsid w:val="00FB4583"/>
    <w:rsid w:val="00FB4708"/>
    <w:rsid w:val="00FB48EF"/>
    <w:rsid w:val="00FB4CAB"/>
    <w:rsid w:val="00FB506D"/>
    <w:rsid w:val="00FB50A2"/>
    <w:rsid w:val="00FB510F"/>
    <w:rsid w:val="00FB52C6"/>
    <w:rsid w:val="00FB532E"/>
    <w:rsid w:val="00FB53E4"/>
    <w:rsid w:val="00FB5407"/>
    <w:rsid w:val="00FB55B9"/>
    <w:rsid w:val="00FB5689"/>
    <w:rsid w:val="00FB56AE"/>
    <w:rsid w:val="00FB5994"/>
    <w:rsid w:val="00FB5A04"/>
    <w:rsid w:val="00FB5A3C"/>
    <w:rsid w:val="00FB5C55"/>
    <w:rsid w:val="00FB5CDE"/>
    <w:rsid w:val="00FB5D0F"/>
    <w:rsid w:val="00FB5DBB"/>
    <w:rsid w:val="00FB5E7D"/>
    <w:rsid w:val="00FB5F34"/>
    <w:rsid w:val="00FB60AB"/>
    <w:rsid w:val="00FB61BF"/>
    <w:rsid w:val="00FB6222"/>
    <w:rsid w:val="00FB628B"/>
    <w:rsid w:val="00FB6431"/>
    <w:rsid w:val="00FB6436"/>
    <w:rsid w:val="00FB6459"/>
    <w:rsid w:val="00FB6787"/>
    <w:rsid w:val="00FB6C1D"/>
    <w:rsid w:val="00FB6CDC"/>
    <w:rsid w:val="00FB70B6"/>
    <w:rsid w:val="00FB70C5"/>
    <w:rsid w:val="00FB721A"/>
    <w:rsid w:val="00FB7271"/>
    <w:rsid w:val="00FB73EA"/>
    <w:rsid w:val="00FB743A"/>
    <w:rsid w:val="00FB74DF"/>
    <w:rsid w:val="00FB754C"/>
    <w:rsid w:val="00FB75EC"/>
    <w:rsid w:val="00FB7653"/>
    <w:rsid w:val="00FB7B4B"/>
    <w:rsid w:val="00FB7BF6"/>
    <w:rsid w:val="00FB7BF9"/>
    <w:rsid w:val="00FB7D27"/>
    <w:rsid w:val="00FB7D2A"/>
    <w:rsid w:val="00FB7EAA"/>
    <w:rsid w:val="00FB7F87"/>
    <w:rsid w:val="00FB7F9C"/>
    <w:rsid w:val="00FC039B"/>
    <w:rsid w:val="00FC0423"/>
    <w:rsid w:val="00FC04B4"/>
    <w:rsid w:val="00FC051F"/>
    <w:rsid w:val="00FC0737"/>
    <w:rsid w:val="00FC0741"/>
    <w:rsid w:val="00FC09CA"/>
    <w:rsid w:val="00FC09FC"/>
    <w:rsid w:val="00FC0B1C"/>
    <w:rsid w:val="00FC0B4F"/>
    <w:rsid w:val="00FC0B6E"/>
    <w:rsid w:val="00FC0B73"/>
    <w:rsid w:val="00FC0F1E"/>
    <w:rsid w:val="00FC1365"/>
    <w:rsid w:val="00FC1620"/>
    <w:rsid w:val="00FC1749"/>
    <w:rsid w:val="00FC174B"/>
    <w:rsid w:val="00FC1795"/>
    <w:rsid w:val="00FC186A"/>
    <w:rsid w:val="00FC1B40"/>
    <w:rsid w:val="00FC1C58"/>
    <w:rsid w:val="00FC1C61"/>
    <w:rsid w:val="00FC1E30"/>
    <w:rsid w:val="00FC1E87"/>
    <w:rsid w:val="00FC1E8D"/>
    <w:rsid w:val="00FC1EB0"/>
    <w:rsid w:val="00FC1F2F"/>
    <w:rsid w:val="00FC1F6A"/>
    <w:rsid w:val="00FC1FF0"/>
    <w:rsid w:val="00FC20C2"/>
    <w:rsid w:val="00FC21B9"/>
    <w:rsid w:val="00FC21FF"/>
    <w:rsid w:val="00FC25C3"/>
    <w:rsid w:val="00FC28F8"/>
    <w:rsid w:val="00FC2978"/>
    <w:rsid w:val="00FC29D3"/>
    <w:rsid w:val="00FC2B4C"/>
    <w:rsid w:val="00FC2B5D"/>
    <w:rsid w:val="00FC2DFC"/>
    <w:rsid w:val="00FC2E8A"/>
    <w:rsid w:val="00FC2EE3"/>
    <w:rsid w:val="00FC2F7E"/>
    <w:rsid w:val="00FC3012"/>
    <w:rsid w:val="00FC31B3"/>
    <w:rsid w:val="00FC3261"/>
    <w:rsid w:val="00FC34F6"/>
    <w:rsid w:val="00FC361D"/>
    <w:rsid w:val="00FC3842"/>
    <w:rsid w:val="00FC387F"/>
    <w:rsid w:val="00FC389D"/>
    <w:rsid w:val="00FC3A76"/>
    <w:rsid w:val="00FC3B6E"/>
    <w:rsid w:val="00FC3C9F"/>
    <w:rsid w:val="00FC3D7D"/>
    <w:rsid w:val="00FC3DC7"/>
    <w:rsid w:val="00FC3EAD"/>
    <w:rsid w:val="00FC3F86"/>
    <w:rsid w:val="00FC3FE2"/>
    <w:rsid w:val="00FC4277"/>
    <w:rsid w:val="00FC42B1"/>
    <w:rsid w:val="00FC4358"/>
    <w:rsid w:val="00FC45DB"/>
    <w:rsid w:val="00FC4676"/>
    <w:rsid w:val="00FC48AB"/>
    <w:rsid w:val="00FC49B6"/>
    <w:rsid w:val="00FC4A28"/>
    <w:rsid w:val="00FC4A52"/>
    <w:rsid w:val="00FC4B12"/>
    <w:rsid w:val="00FC4BCB"/>
    <w:rsid w:val="00FC4FD6"/>
    <w:rsid w:val="00FC5033"/>
    <w:rsid w:val="00FC51AE"/>
    <w:rsid w:val="00FC521D"/>
    <w:rsid w:val="00FC53AA"/>
    <w:rsid w:val="00FC557B"/>
    <w:rsid w:val="00FC5621"/>
    <w:rsid w:val="00FC573D"/>
    <w:rsid w:val="00FC5910"/>
    <w:rsid w:val="00FC59A8"/>
    <w:rsid w:val="00FC5EEF"/>
    <w:rsid w:val="00FC5F45"/>
    <w:rsid w:val="00FC5F96"/>
    <w:rsid w:val="00FC6214"/>
    <w:rsid w:val="00FC6447"/>
    <w:rsid w:val="00FC644F"/>
    <w:rsid w:val="00FC6516"/>
    <w:rsid w:val="00FC655E"/>
    <w:rsid w:val="00FC67A1"/>
    <w:rsid w:val="00FC68D8"/>
    <w:rsid w:val="00FC6A34"/>
    <w:rsid w:val="00FC6AD4"/>
    <w:rsid w:val="00FC6BD2"/>
    <w:rsid w:val="00FC6C11"/>
    <w:rsid w:val="00FC6D26"/>
    <w:rsid w:val="00FC6F46"/>
    <w:rsid w:val="00FC6F5D"/>
    <w:rsid w:val="00FC6FAA"/>
    <w:rsid w:val="00FC6FEE"/>
    <w:rsid w:val="00FC71E8"/>
    <w:rsid w:val="00FC7209"/>
    <w:rsid w:val="00FC72A6"/>
    <w:rsid w:val="00FC72CE"/>
    <w:rsid w:val="00FC72FE"/>
    <w:rsid w:val="00FC7580"/>
    <w:rsid w:val="00FC777A"/>
    <w:rsid w:val="00FC77C7"/>
    <w:rsid w:val="00FC7887"/>
    <w:rsid w:val="00FC79BE"/>
    <w:rsid w:val="00FC7BBC"/>
    <w:rsid w:val="00FC7C25"/>
    <w:rsid w:val="00FC7CE8"/>
    <w:rsid w:val="00FC7D1C"/>
    <w:rsid w:val="00FC7DEB"/>
    <w:rsid w:val="00FD0154"/>
    <w:rsid w:val="00FD027B"/>
    <w:rsid w:val="00FD02FF"/>
    <w:rsid w:val="00FD0307"/>
    <w:rsid w:val="00FD0594"/>
    <w:rsid w:val="00FD0758"/>
    <w:rsid w:val="00FD0781"/>
    <w:rsid w:val="00FD0825"/>
    <w:rsid w:val="00FD0985"/>
    <w:rsid w:val="00FD0BF6"/>
    <w:rsid w:val="00FD0C29"/>
    <w:rsid w:val="00FD0C84"/>
    <w:rsid w:val="00FD0C86"/>
    <w:rsid w:val="00FD0E5C"/>
    <w:rsid w:val="00FD0F1D"/>
    <w:rsid w:val="00FD10B3"/>
    <w:rsid w:val="00FD115B"/>
    <w:rsid w:val="00FD11DF"/>
    <w:rsid w:val="00FD122C"/>
    <w:rsid w:val="00FD1312"/>
    <w:rsid w:val="00FD1361"/>
    <w:rsid w:val="00FD15C3"/>
    <w:rsid w:val="00FD15E6"/>
    <w:rsid w:val="00FD189D"/>
    <w:rsid w:val="00FD1BB6"/>
    <w:rsid w:val="00FD1CB8"/>
    <w:rsid w:val="00FD2074"/>
    <w:rsid w:val="00FD2096"/>
    <w:rsid w:val="00FD2135"/>
    <w:rsid w:val="00FD2230"/>
    <w:rsid w:val="00FD22C7"/>
    <w:rsid w:val="00FD22FA"/>
    <w:rsid w:val="00FD235E"/>
    <w:rsid w:val="00FD2570"/>
    <w:rsid w:val="00FD26A4"/>
    <w:rsid w:val="00FD2858"/>
    <w:rsid w:val="00FD29C5"/>
    <w:rsid w:val="00FD2A37"/>
    <w:rsid w:val="00FD2ACF"/>
    <w:rsid w:val="00FD2B26"/>
    <w:rsid w:val="00FD2B2B"/>
    <w:rsid w:val="00FD2D2F"/>
    <w:rsid w:val="00FD2EDB"/>
    <w:rsid w:val="00FD306F"/>
    <w:rsid w:val="00FD3275"/>
    <w:rsid w:val="00FD33FC"/>
    <w:rsid w:val="00FD35A3"/>
    <w:rsid w:val="00FD35C6"/>
    <w:rsid w:val="00FD3798"/>
    <w:rsid w:val="00FD3AEE"/>
    <w:rsid w:val="00FD3B56"/>
    <w:rsid w:val="00FD3FAF"/>
    <w:rsid w:val="00FD40B5"/>
    <w:rsid w:val="00FD412B"/>
    <w:rsid w:val="00FD4162"/>
    <w:rsid w:val="00FD42FB"/>
    <w:rsid w:val="00FD43BF"/>
    <w:rsid w:val="00FD453E"/>
    <w:rsid w:val="00FD45AA"/>
    <w:rsid w:val="00FD48FA"/>
    <w:rsid w:val="00FD4901"/>
    <w:rsid w:val="00FD497A"/>
    <w:rsid w:val="00FD4A18"/>
    <w:rsid w:val="00FD4BE7"/>
    <w:rsid w:val="00FD4C59"/>
    <w:rsid w:val="00FD4EEB"/>
    <w:rsid w:val="00FD4FC3"/>
    <w:rsid w:val="00FD5055"/>
    <w:rsid w:val="00FD50B6"/>
    <w:rsid w:val="00FD517B"/>
    <w:rsid w:val="00FD519C"/>
    <w:rsid w:val="00FD5689"/>
    <w:rsid w:val="00FD5C8F"/>
    <w:rsid w:val="00FD5D3A"/>
    <w:rsid w:val="00FD5E06"/>
    <w:rsid w:val="00FD5F82"/>
    <w:rsid w:val="00FD63BC"/>
    <w:rsid w:val="00FD6453"/>
    <w:rsid w:val="00FD646D"/>
    <w:rsid w:val="00FD6531"/>
    <w:rsid w:val="00FD65C0"/>
    <w:rsid w:val="00FD672C"/>
    <w:rsid w:val="00FD68E2"/>
    <w:rsid w:val="00FD6958"/>
    <w:rsid w:val="00FD6CAA"/>
    <w:rsid w:val="00FD6E20"/>
    <w:rsid w:val="00FD6FF2"/>
    <w:rsid w:val="00FD707B"/>
    <w:rsid w:val="00FD7081"/>
    <w:rsid w:val="00FD709C"/>
    <w:rsid w:val="00FD70FF"/>
    <w:rsid w:val="00FD7142"/>
    <w:rsid w:val="00FD721E"/>
    <w:rsid w:val="00FD74B6"/>
    <w:rsid w:val="00FD75C6"/>
    <w:rsid w:val="00FD76E1"/>
    <w:rsid w:val="00FD77EA"/>
    <w:rsid w:val="00FD780F"/>
    <w:rsid w:val="00FD790C"/>
    <w:rsid w:val="00FD79D1"/>
    <w:rsid w:val="00FD7A15"/>
    <w:rsid w:val="00FD7A28"/>
    <w:rsid w:val="00FD7AAC"/>
    <w:rsid w:val="00FD7ACC"/>
    <w:rsid w:val="00FD7AF9"/>
    <w:rsid w:val="00FD7BF7"/>
    <w:rsid w:val="00FD7CF4"/>
    <w:rsid w:val="00FD7D1A"/>
    <w:rsid w:val="00FD7DFC"/>
    <w:rsid w:val="00FE0062"/>
    <w:rsid w:val="00FE007E"/>
    <w:rsid w:val="00FE01AB"/>
    <w:rsid w:val="00FE0204"/>
    <w:rsid w:val="00FE0368"/>
    <w:rsid w:val="00FE054F"/>
    <w:rsid w:val="00FE05C3"/>
    <w:rsid w:val="00FE0B45"/>
    <w:rsid w:val="00FE0CCF"/>
    <w:rsid w:val="00FE0CE7"/>
    <w:rsid w:val="00FE0E83"/>
    <w:rsid w:val="00FE1013"/>
    <w:rsid w:val="00FE118B"/>
    <w:rsid w:val="00FE138B"/>
    <w:rsid w:val="00FE179C"/>
    <w:rsid w:val="00FE1A12"/>
    <w:rsid w:val="00FE1A88"/>
    <w:rsid w:val="00FE1C14"/>
    <w:rsid w:val="00FE1DA5"/>
    <w:rsid w:val="00FE2162"/>
    <w:rsid w:val="00FE22B3"/>
    <w:rsid w:val="00FE242F"/>
    <w:rsid w:val="00FE243D"/>
    <w:rsid w:val="00FE2446"/>
    <w:rsid w:val="00FE24DD"/>
    <w:rsid w:val="00FE2527"/>
    <w:rsid w:val="00FE25A6"/>
    <w:rsid w:val="00FE269D"/>
    <w:rsid w:val="00FE26E4"/>
    <w:rsid w:val="00FE2858"/>
    <w:rsid w:val="00FE2940"/>
    <w:rsid w:val="00FE2AD8"/>
    <w:rsid w:val="00FE2B8F"/>
    <w:rsid w:val="00FE2DF7"/>
    <w:rsid w:val="00FE2E47"/>
    <w:rsid w:val="00FE2F0C"/>
    <w:rsid w:val="00FE30B2"/>
    <w:rsid w:val="00FE31FD"/>
    <w:rsid w:val="00FE341A"/>
    <w:rsid w:val="00FE35C3"/>
    <w:rsid w:val="00FE362B"/>
    <w:rsid w:val="00FE3829"/>
    <w:rsid w:val="00FE38ED"/>
    <w:rsid w:val="00FE38FF"/>
    <w:rsid w:val="00FE3A2C"/>
    <w:rsid w:val="00FE3A3C"/>
    <w:rsid w:val="00FE3A62"/>
    <w:rsid w:val="00FE3ADE"/>
    <w:rsid w:val="00FE3BBA"/>
    <w:rsid w:val="00FE3DA6"/>
    <w:rsid w:val="00FE3DCE"/>
    <w:rsid w:val="00FE3FEE"/>
    <w:rsid w:val="00FE41BB"/>
    <w:rsid w:val="00FE460A"/>
    <w:rsid w:val="00FE47E2"/>
    <w:rsid w:val="00FE48CF"/>
    <w:rsid w:val="00FE4AE6"/>
    <w:rsid w:val="00FE4B04"/>
    <w:rsid w:val="00FE4B75"/>
    <w:rsid w:val="00FE4BA8"/>
    <w:rsid w:val="00FE4F28"/>
    <w:rsid w:val="00FE4FA6"/>
    <w:rsid w:val="00FE50CE"/>
    <w:rsid w:val="00FE5199"/>
    <w:rsid w:val="00FE5287"/>
    <w:rsid w:val="00FE52CB"/>
    <w:rsid w:val="00FE5507"/>
    <w:rsid w:val="00FE556F"/>
    <w:rsid w:val="00FE56CA"/>
    <w:rsid w:val="00FE56E4"/>
    <w:rsid w:val="00FE575D"/>
    <w:rsid w:val="00FE576A"/>
    <w:rsid w:val="00FE585F"/>
    <w:rsid w:val="00FE58B0"/>
    <w:rsid w:val="00FE594B"/>
    <w:rsid w:val="00FE5972"/>
    <w:rsid w:val="00FE5A34"/>
    <w:rsid w:val="00FE5ACB"/>
    <w:rsid w:val="00FE5AE7"/>
    <w:rsid w:val="00FE5CC5"/>
    <w:rsid w:val="00FE5DBB"/>
    <w:rsid w:val="00FE5E70"/>
    <w:rsid w:val="00FE5E93"/>
    <w:rsid w:val="00FE5F96"/>
    <w:rsid w:val="00FE62F4"/>
    <w:rsid w:val="00FE642B"/>
    <w:rsid w:val="00FE6585"/>
    <w:rsid w:val="00FE68BF"/>
    <w:rsid w:val="00FE68C5"/>
    <w:rsid w:val="00FE68D2"/>
    <w:rsid w:val="00FE6A02"/>
    <w:rsid w:val="00FE6AA1"/>
    <w:rsid w:val="00FE6BA0"/>
    <w:rsid w:val="00FE6C15"/>
    <w:rsid w:val="00FE6C1A"/>
    <w:rsid w:val="00FE6E48"/>
    <w:rsid w:val="00FE6F2C"/>
    <w:rsid w:val="00FE6F87"/>
    <w:rsid w:val="00FE706F"/>
    <w:rsid w:val="00FE7099"/>
    <w:rsid w:val="00FE73E8"/>
    <w:rsid w:val="00FE74D1"/>
    <w:rsid w:val="00FE75C3"/>
    <w:rsid w:val="00FE75ED"/>
    <w:rsid w:val="00FE7614"/>
    <w:rsid w:val="00FE767E"/>
    <w:rsid w:val="00FE77AB"/>
    <w:rsid w:val="00FE78C1"/>
    <w:rsid w:val="00FE7A14"/>
    <w:rsid w:val="00FE7A1A"/>
    <w:rsid w:val="00FE7DF4"/>
    <w:rsid w:val="00FE7F16"/>
    <w:rsid w:val="00FE7F5D"/>
    <w:rsid w:val="00FF00A1"/>
    <w:rsid w:val="00FF01C8"/>
    <w:rsid w:val="00FF02B3"/>
    <w:rsid w:val="00FF04FF"/>
    <w:rsid w:val="00FF0570"/>
    <w:rsid w:val="00FF0667"/>
    <w:rsid w:val="00FF0746"/>
    <w:rsid w:val="00FF089A"/>
    <w:rsid w:val="00FF0A52"/>
    <w:rsid w:val="00FF0A95"/>
    <w:rsid w:val="00FF0ADF"/>
    <w:rsid w:val="00FF0AF1"/>
    <w:rsid w:val="00FF0AF9"/>
    <w:rsid w:val="00FF0B42"/>
    <w:rsid w:val="00FF0C61"/>
    <w:rsid w:val="00FF0EA9"/>
    <w:rsid w:val="00FF1038"/>
    <w:rsid w:val="00FF1110"/>
    <w:rsid w:val="00FF11AF"/>
    <w:rsid w:val="00FF11DA"/>
    <w:rsid w:val="00FF124E"/>
    <w:rsid w:val="00FF14C4"/>
    <w:rsid w:val="00FF14E9"/>
    <w:rsid w:val="00FF1505"/>
    <w:rsid w:val="00FF1590"/>
    <w:rsid w:val="00FF16B5"/>
    <w:rsid w:val="00FF1714"/>
    <w:rsid w:val="00FF17AF"/>
    <w:rsid w:val="00FF18AB"/>
    <w:rsid w:val="00FF18E4"/>
    <w:rsid w:val="00FF1AB1"/>
    <w:rsid w:val="00FF2057"/>
    <w:rsid w:val="00FF20E7"/>
    <w:rsid w:val="00FF2275"/>
    <w:rsid w:val="00FF22B6"/>
    <w:rsid w:val="00FF2389"/>
    <w:rsid w:val="00FF2540"/>
    <w:rsid w:val="00FF256D"/>
    <w:rsid w:val="00FF267C"/>
    <w:rsid w:val="00FF27B1"/>
    <w:rsid w:val="00FF293E"/>
    <w:rsid w:val="00FF2A7A"/>
    <w:rsid w:val="00FF2ADF"/>
    <w:rsid w:val="00FF2B48"/>
    <w:rsid w:val="00FF2C26"/>
    <w:rsid w:val="00FF2CD4"/>
    <w:rsid w:val="00FF2EA2"/>
    <w:rsid w:val="00FF2EC9"/>
    <w:rsid w:val="00FF301B"/>
    <w:rsid w:val="00FF3222"/>
    <w:rsid w:val="00FF3581"/>
    <w:rsid w:val="00FF3602"/>
    <w:rsid w:val="00FF3652"/>
    <w:rsid w:val="00FF37B5"/>
    <w:rsid w:val="00FF39B5"/>
    <w:rsid w:val="00FF3CFE"/>
    <w:rsid w:val="00FF3F0D"/>
    <w:rsid w:val="00FF3FAD"/>
    <w:rsid w:val="00FF409E"/>
    <w:rsid w:val="00FF4186"/>
    <w:rsid w:val="00FF445C"/>
    <w:rsid w:val="00FF44E8"/>
    <w:rsid w:val="00FF4600"/>
    <w:rsid w:val="00FF4614"/>
    <w:rsid w:val="00FF468E"/>
    <w:rsid w:val="00FF46DB"/>
    <w:rsid w:val="00FF4756"/>
    <w:rsid w:val="00FF497A"/>
    <w:rsid w:val="00FF4A19"/>
    <w:rsid w:val="00FF4AC2"/>
    <w:rsid w:val="00FF4B29"/>
    <w:rsid w:val="00FF4C65"/>
    <w:rsid w:val="00FF4C8E"/>
    <w:rsid w:val="00FF4D0E"/>
    <w:rsid w:val="00FF4E17"/>
    <w:rsid w:val="00FF4FBB"/>
    <w:rsid w:val="00FF50A0"/>
    <w:rsid w:val="00FF5182"/>
    <w:rsid w:val="00FF528F"/>
    <w:rsid w:val="00FF541B"/>
    <w:rsid w:val="00FF5552"/>
    <w:rsid w:val="00FF571B"/>
    <w:rsid w:val="00FF57E5"/>
    <w:rsid w:val="00FF57E9"/>
    <w:rsid w:val="00FF580B"/>
    <w:rsid w:val="00FF583D"/>
    <w:rsid w:val="00FF58DC"/>
    <w:rsid w:val="00FF5913"/>
    <w:rsid w:val="00FF5A4B"/>
    <w:rsid w:val="00FF5C01"/>
    <w:rsid w:val="00FF5D46"/>
    <w:rsid w:val="00FF5DFC"/>
    <w:rsid w:val="00FF6038"/>
    <w:rsid w:val="00FF6155"/>
    <w:rsid w:val="00FF6330"/>
    <w:rsid w:val="00FF6386"/>
    <w:rsid w:val="00FF63E6"/>
    <w:rsid w:val="00FF6516"/>
    <w:rsid w:val="00FF654A"/>
    <w:rsid w:val="00FF686D"/>
    <w:rsid w:val="00FF69B8"/>
    <w:rsid w:val="00FF6AC9"/>
    <w:rsid w:val="00FF6C89"/>
    <w:rsid w:val="00FF6E40"/>
    <w:rsid w:val="00FF6FBA"/>
    <w:rsid w:val="00FF70EE"/>
    <w:rsid w:val="00FF7117"/>
    <w:rsid w:val="00FF72EE"/>
    <w:rsid w:val="00FF7317"/>
    <w:rsid w:val="00FF733E"/>
    <w:rsid w:val="00FF738F"/>
    <w:rsid w:val="00FF7682"/>
    <w:rsid w:val="00FF7F59"/>
    <w:rsid w:val="018227A7"/>
    <w:rsid w:val="01F97071"/>
    <w:rsid w:val="01FC976C"/>
    <w:rsid w:val="023BFD6F"/>
    <w:rsid w:val="0245D7E3"/>
    <w:rsid w:val="02531ADE"/>
    <w:rsid w:val="02931E02"/>
    <w:rsid w:val="02DC6494"/>
    <w:rsid w:val="03083743"/>
    <w:rsid w:val="03110A09"/>
    <w:rsid w:val="0324610C"/>
    <w:rsid w:val="032966B6"/>
    <w:rsid w:val="03473BA4"/>
    <w:rsid w:val="034944CE"/>
    <w:rsid w:val="0372F227"/>
    <w:rsid w:val="03C04D76"/>
    <w:rsid w:val="042C7F70"/>
    <w:rsid w:val="0438FB65"/>
    <w:rsid w:val="0567B4DF"/>
    <w:rsid w:val="05AE5E26"/>
    <w:rsid w:val="05E5D8E4"/>
    <w:rsid w:val="05F22625"/>
    <w:rsid w:val="060C04A2"/>
    <w:rsid w:val="0622F13B"/>
    <w:rsid w:val="06390495"/>
    <w:rsid w:val="063D650B"/>
    <w:rsid w:val="065E86D3"/>
    <w:rsid w:val="069804C3"/>
    <w:rsid w:val="06C34E1C"/>
    <w:rsid w:val="06C8F77D"/>
    <w:rsid w:val="06E71808"/>
    <w:rsid w:val="06F64635"/>
    <w:rsid w:val="07070AB0"/>
    <w:rsid w:val="070EE34B"/>
    <w:rsid w:val="0740E03B"/>
    <w:rsid w:val="0755A7E2"/>
    <w:rsid w:val="07782828"/>
    <w:rsid w:val="07BB0577"/>
    <w:rsid w:val="07C8B632"/>
    <w:rsid w:val="081B9BAA"/>
    <w:rsid w:val="083DF17A"/>
    <w:rsid w:val="085BAC63"/>
    <w:rsid w:val="085F66EC"/>
    <w:rsid w:val="08F75CE0"/>
    <w:rsid w:val="09299674"/>
    <w:rsid w:val="093C637F"/>
    <w:rsid w:val="094F1FE0"/>
    <w:rsid w:val="09515821"/>
    <w:rsid w:val="096C6398"/>
    <w:rsid w:val="097BCDD9"/>
    <w:rsid w:val="09B8553B"/>
    <w:rsid w:val="0A127839"/>
    <w:rsid w:val="0A351DA5"/>
    <w:rsid w:val="0A62802A"/>
    <w:rsid w:val="0A71E305"/>
    <w:rsid w:val="0AE59FF4"/>
    <w:rsid w:val="0AF48D64"/>
    <w:rsid w:val="0B5602EC"/>
    <w:rsid w:val="0C413498"/>
    <w:rsid w:val="0C792E45"/>
    <w:rsid w:val="0C8DCED2"/>
    <w:rsid w:val="0CA662B5"/>
    <w:rsid w:val="0CEE19B3"/>
    <w:rsid w:val="0CEE1DEA"/>
    <w:rsid w:val="0D29B757"/>
    <w:rsid w:val="0D8B766A"/>
    <w:rsid w:val="0DBD2A94"/>
    <w:rsid w:val="0DDE2DCA"/>
    <w:rsid w:val="0E58A7C6"/>
    <w:rsid w:val="0E91DBD1"/>
    <w:rsid w:val="0EB0DADA"/>
    <w:rsid w:val="0EF4FE8C"/>
    <w:rsid w:val="0F36BB3A"/>
    <w:rsid w:val="0FF06921"/>
    <w:rsid w:val="1025BEAC"/>
    <w:rsid w:val="102F9356"/>
    <w:rsid w:val="108157EA"/>
    <w:rsid w:val="10837FF7"/>
    <w:rsid w:val="10BCC4EA"/>
    <w:rsid w:val="1171C0B7"/>
    <w:rsid w:val="11C97C93"/>
    <w:rsid w:val="12383E1A"/>
    <w:rsid w:val="1273C3DD"/>
    <w:rsid w:val="128DDDA9"/>
    <w:rsid w:val="129327EF"/>
    <w:rsid w:val="12B55200"/>
    <w:rsid w:val="12CE3E6D"/>
    <w:rsid w:val="12F708B7"/>
    <w:rsid w:val="135D5F6E"/>
    <w:rsid w:val="13639F58"/>
    <w:rsid w:val="137687CB"/>
    <w:rsid w:val="137D539A"/>
    <w:rsid w:val="13C6F723"/>
    <w:rsid w:val="13DCB6C3"/>
    <w:rsid w:val="13F95DA3"/>
    <w:rsid w:val="144FD96C"/>
    <w:rsid w:val="1522217E"/>
    <w:rsid w:val="15237D77"/>
    <w:rsid w:val="153B4A32"/>
    <w:rsid w:val="153D11E7"/>
    <w:rsid w:val="15773FAB"/>
    <w:rsid w:val="158CC22E"/>
    <w:rsid w:val="15C51968"/>
    <w:rsid w:val="15C8542E"/>
    <w:rsid w:val="15ECF2C2"/>
    <w:rsid w:val="16070AD2"/>
    <w:rsid w:val="1698C392"/>
    <w:rsid w:val="16AC8B56"/>
    <w:rsid w:val="16E50B77"/>
    <w:rsid w:val="16F2DE39"/>
    <w:rsid w:val="1751DA01"/>
    <w:rsid w:val="175ACF91"/>
    <w:rsid w:val="17BC78C0"/>
    <w:rsid w:val="17C706B3"/>
    <w:rsid w:val="18469913"/>
    <w:rsid w:val="1897AA72"/>
    <w:rsid w:val="18B027E6"/>
    <w:rsid w:val="18E5BB2B"/>
    <w:rsid w:val="1901F698"/>
    <w:rsid w:val="190F32A6"/>
    <w:rsid w:val="194229D0"/>
    <w:rsid w:val="195FF04C"/>
    <w:rsid w:val="19B743F7"/>
    <w:rsid w:val="19CA3D36"/>
    <w:rsid w:val="19D8B681"/>
    <w:rsid w:val="19E69759"/>
    <w:rsid w:val="1A641877"/>
    <w:rsid w:val="1A958853"/>
    <w:rsid w:val="1AAF290E"/>
    <w:rsid w:val="1B24923C"/>
    <w:rsid w:val="1B61865E"/>
    <w:rsid w:val="1B61A8C4"/>
    <w:rsid w:val="1B74EDE7"/>
    <w:rsid w:val="1BB24D45"/>
    <w:rsid w:val="1BEB96A2"/>
    <w:rsid w:val="1BFD45D0"/>
    <w:rsid w:val="1C0B791C"/>
    <w:rsid w:val="1CA4A2E3"/>
    <w:rsid w:val="1CB0ADD8"/>
    <w:rsid w:val="1D308414"/>
    <w:rsid w:val="1D42EE2F"/>
    <w:rsid w:val="1D68E3A6"/>
    <w:rsid w:val="1D839909"/>
    <w:rsid w:val="1D8A4CCE"/>
    <w:rsid w:val="1DCF9431"/>
    <w:rsid w:val="1E564619"/>
    <w:rsid w:val="1E8FEC29"/>
    <w:rsid w:val="1ECEEC2A"/>
    <w:rsid w:val="1EF21AB2"/>
    <w:rsid w:val="1F17626A"/>
    <w:rsid w:val="1F4B9F0C"/>
    <w:rsid w:val="1F829A31"/>
    <w:rsid w:val="1F89B697"/>
    <w:rsid w:val="1FA4C803"/>
    <w:rsid w:val="20215377"/>
    <w:rsid w:val="2036AA00"/>
    <w:rsid w:val="2043E52C"/>
    <w:rsid w:val="2051DDA3"/>
    <w:rsid w:val="2086E67E"/>
    <w:rsid w:val="20BF07C5"/>
    <w:rsid w:val="20EBA17A"/>
    <w:rsid w:val="2104A4E1"/>
    <w:rsid w:val="210B2BED"/>
    <w:rsid w:val="213458D9"/>
    <w:rsid w:val="216A8ADD"/>
    <w:rsid w:val="217578A8"/>
    <w:rsid w:val="219B80F0"/>
    <w:rsid w:val="21BFC22C"/>
    <w:rsid w:val="22211150"/>
    <w:rsid w:val="22538258"/>
    <w:rsid w:val="2259F137"/>
    <w:rsid w:val="227D2755"/>
    <w:rsid w:val="22CA4230"/>
    <w:rsid w:val="22E0B9E9"/>
    <w:rsid w:val="2367359B"/>
    <w:rsid w:val="237EBECB"/>
    <w:rsid w:val="23AF7DE2"/>
    <w:rsid w:val="23BD5A12"/>
    <w:rsid w:val="23CEB44B"/>
    <w:rsid w:val="23F2DA8D"/>
    <w:rsid w:val="2423EA42"/>
    <w:rsid w:val="243F082A"/>
    <w:rsid w:val="246C6AAF"/>
    <w:rsid w:val="2490420D"/>
    <w:rsid w:val="24C09FAA"/>
    <w:rsid w:val="253BB3C7"/>
    <w:rsid w:val="2560B095"/>
    <w:rsid w:val="2603168C"/>
    <w:rsid w:val="262FBB42"/>
    <w:rsid w:val="263A41D3"/>
    <w:rsid w:val="2640404D"/>
    <w:rsid w:val="265674B8"/>
    <w:rsid w:val="26768EE4"/>
    <w:rsid w:val="26BDE4F1"/>
    <w:rsid w:val="26C05504"/>
    <w:rsid w:val="276688DC"/>
    <w:rsid w:val="276C27DC"/>
    <w:rsid w:val="279CB602"/>
    <w:rsid w:val="27AB6DD3"/>
    <w:rsid w:val="27BE53F3"/>
    <w:rsid w:val="27D04C21"/>
    <w:rsid w:val="2821C121"/>
    <w:rsid w:val="2840A2D4"/>
    <w:rsid w:val="28CCF1BD"/>
    <w:rsid w:val="291A356F"/>
    <w:rsid w:val="29659095"/>
    <w:rsid w:val="2998F8C0"/>
    <w:rsid w:val="29D29ED1"/>
    <w:rsid w:val="29E30C5D"/>
    <w:rsid w:val="29EAB242"/>
    <w:rsid w:val="29F3BF4B"/>
    <w:rsid w:val="29FB8872"/>
    <w:rsid w:val="29FCAD47"/>
    <w:rsid w:val="2A394C51"/>
    <w:rsid w:val="2A7DDF97"/>
    <w:rsid w:val="2A96B4E8"/>
    <w:rsid w:val="2AB355EC"/>
    <w:rsid w:val="2BF7A6EF"/>
    <w:rsid w:val="2C4AF76D"/>
    <w:rsid w:val="2C611D39"/>
    <w:rsid w:val="2CC1FD74"/>
    <w:rsid w:val="2D0680EC"/>
    <w:rsid w:val="2D4C9292"/>
    <w:rsid w:val="2D8EEA44"/>
    <w:rsid w:val="2DE64F17"/>
    <w:rsid w:val="2DFCED9A"/>
    <w:rsid w:val="2E8FAC56"/>
    <w:rsid w:val="2EEF55A0"/>
    <w:rsid w:val="2FF3AF42"/>
    <w:rsid w:val="3076E04E"/>
    <w:rsid w:val="30A5366D"/>
    <w:rsid w:val="31020BB0"/>
    <w:rsid w:val="31171E15"/>
    <w:rsid w:val="31232DED"/>
    <w:rsid w:val="312D134B"/>
    <w:rsid w:val="313B5DF0"/>
    <w:rsid w:val="316E6EE5"/>
    <w:rsid w:val="31C9D7D1"/>
    <w:rsid w:val="31D8A346"/>
    <w:rsid w:val="31F92A42"/>
    <w:rsid w:val="329B4F18"/>
    <w:rsid w:val="32EA3F44"/>
    <w:rsid w:val="3310E684"/>
    <w:rsid w:val="33287A5A"/>
    <w:rsid w:val="33684DA3"/>
    <w:rsid w:val="3399973E"/>
    <w:rsid w:val="339F58BA"/>
    <w:rsid w:val="33B2488A"/>
    <w:rsid w:val="33CB3E16"/>
    <w:rsid w:val="33D9F00E"/>
    <w:rsid w:val="33E2B41B"/>
    <w:rsid w:val="33EADE0F"/>
    <w:rsid w:val="34068470"/>
    <w:rsid w:val="34CFF5E1"/>
    <w:rsid w:val="3505900E"/>
    <w:rsid w:val="3546C9B4"/>
    <w:rsid w:val="35790B01"/>
    <w:rsid w:val="35F6C4A8"/>
    <w:rsid w:val="3605180A"/>
    <w:rsid w:val="365BEC31"/>
    <w:rsid w:val="3662267D"/>
    <w:rsid w:val="369B782D"/>
    <w:rsid w:val="36AF2612"/>
    <w:rsid w:val="373CCEB5"/>
    <w:rsid w:val="37B54149"/>
    <w:rsid w:val="3810E86D"/>
    <w:rsid w:val="381B39AF"/>
    <w:rsid w:val="383E52AB"/>
    <w:rsid w:val="386D0861"/>
    <w:rsid w:val="38C1825F"/>
    <w:rsid w:val="38EB6A39"/>
    <w:rsid w:val="3914C4AF"/>
    <w:rsid w:val="393FA041"/>
    <w:rsid w:val="3973C7D4"/>
    <w:rsid w:val="39870CE1"/>
    <w:rsid w:val="39A929BF"/>
    <w:rsid w:val="3A08D8C2"/>
    <w:rsid w:val="3A13A936"/>
    <w:rsid w:val="3A479724"/>
    <w:rsid w:val="3A8E26BD"/>
    <w:rsid w:val="3ABFE489"/>
    <w:rsid w:val="3B0F866D"/>
    <w:rsid w:val="3B5B1558"/>
    <w:rsid w:val="3B9E5566"/>
    <w:rsid w:val="3BECF552"/>
    <w:rsid w:val="3C02B045"/>
    <w:rsid w:val="3C2103E0"/>
    <w:rsid w:val="3C88C526"/>
    <w:rsid w:val="3CAEBF82"/>
    <w:rsid w:val="3CB39912"/>
    <w:rsid w:val="3D50EAA4"/>
    <w:rsid w:val="3DB5D52D"/>
    <w:rsid w:val="3DD4D234"/>
    <w:rsid w:val="3E1B3D48"/>
    <w:rsid w:val="3E614008"/>
    <w:rsid w:val="3EC92C9F"/>
    <w:rsid w:val="3EE489A8"/>
    <w:rsid w:val="3EF54CAA"/>
    <w:rsid w:val="3F09ED3F"/>
    <w:rsid w:val="3F7567F2"/>
    <w:rsid w:val="3FC20763"/>
    <w:rsid w:val="3FD18F00"/>
    <w:rsid w:val="3FD6CCA1"/>
    <w:rsid w:val="40347AC8"/>
    <w:rsid w:val="40709503"/>
    <w:rsid w:val="4178D579"/>
    <w:rsid w:val="41909A40"/>
    <w:rsid w:val="41A86852"/>
    <w:rsid w:val="41ECBB97"/>
    <w:rsid w:val="4207565E"/>
    <w:rsid w:val="4210E2E9"/>
    <w:rsid w:val="427D5021"/>
    <w:rsid w:val="428CDDB8"/>
    <w:rsid w:val="4302CC72"/>
    <w:rsid w:val="43092E83"/>
    <w:rsid w:val="43853BCD"/>
    <w:rsid w:val="43AA3BDB"/>
    <w:rsid w:val="43F331E7"/>
    <w:rsid w:val="43FFE712"/>
    <w:rsid w:val="44058368"/>
    <w:rsid w:val="4422FED0"/>
    <w:rsid w:val="44417FE5"/>
    <w:rsid w:val="4442937C"/>
    <w:rsid w:val="4454F9F3"/>
    <w:rsid w:val="445F3036"/>
    <w:rsid w:val="449E8773"/>
    <w:rsid w:val="44C36043"/>
    <w:rsid w:val="44E325A5"/>
    <w:rsid w:val="45287551"/>
    <w:rsid w:val="454B3A49"/>
    <w:rsid w:val="454B66CC"/>
    <w:rsid w:val="459D8EEE"/>
    <w:rsid w:val="45B2F7F7"/>
    <w:rsid w:val="45ED604A"/>
    <w:rsid w:val="46D4565B"/>
    <w:rsid w:val="47481805"/>
    <w:rsid w:val="476820C6"/>
    <w:rsid w:val="479CA89F"/>
    <w:rsid w:val="47E1CDAF"/>
    <w:rsid w:val="4812AC09"/>
    <w:rsid w:val="481A327E"/>
    <w:rsid w:val="4825C6DD"/>
    <w:rsid w:val="4893DCC3"/>
    <w:rsid w:val="48948E40"/>
    <w:rsid w:val="48BB1F41"/>
    <w:rsid w:val="48BFA6B7"/>
    <w:rsid w:val="48E0A195"/>
    <w:rsid w:val="4932E18E"/>
    <w:rsid w:val="494C6ACB"/>
    <w:rsid w:val="4955C40B"/>
    <w:rsid w:val="4AC1043E"/>
    <w:rsid w:val="4B0E4408"/>
    <w:rsid w:val="4B1F1C15"/>
    <w:rsid w:val="4B4CD72C"/>
    <w:rsid w:val="4B5D084F"/>
    <w:rsid w:val="4B891747"/>
    <w:rsid w:val="4BCA7AAA"/>
    <w:rsid w:val="4C43AC42"/>
    <w:rsid w:val="4C45941F"/>
    <w:rsid w:val="4C972328"/>
    <w:rsid w:val="4CC196FB"/>
    <w:rsid w:val="4D18DFE2"/>
    <w:rsid w:val="4D72D2D4"/>
    <w:rsid w:val="4DAE7CAD"/>
    <w:rsid w:val="4DDFBC24"/>
    <w:rsid w:val="4DF04501"/>
    <w:rsid w:val="4DFBD6C6"/>
    <w:rsid w:val="4E168E9D"/>
    <w:rsid w:val="4EB06BB5"/>
    <w:rsid w:val="4F0AC895"/>
    <w:rsid w:val="4F45A627"/>
    <w:rsid w:val="4F55D54F"/>
    <w:rsid w:val="4F9A5A08"/>
    <w:rsid w:val="4F9D80DC"/>
    <w:rsid w:val="4FCAB51B"/>
    <w:rsid w:val="4FCD0845"/>
    <w:rsid w:val="4FF496E4"/>
    <w:rsid w:val="500B8F3D"/>
    <w:rsid w:val="505A2A8A"/>
    <w:rsid w:val="50AB422A"/>
    <w:rsid w:val="50AD232A"/>
    <w:rsid w:val="50CE00AF"/>
    <w:rsid w:val="51FCCCAF"/>
    <w:rsid w:val="52051F2C"/>
    <w:rsid w:val="52B08131"/>
    <w:rsid w:val="52C9866D"/>
    <w:rsid w:val="52E31681"/>
    <w:rsid w:val="52EEA9F1"/>
    <w:rsid w:val="5308BAE5"/>
    <w:rsid w:val="531BDA6D"/>
    <w:rsid w:val="5353744B"/>
    <w:rsid w:val="53C706AF"/>
    <w:rsid w:val="53F74C74"/>
    <w:rsid w:val="5435F6FB"/>
    <w:rsid w:val="543EEC0A"/>
    <w:rsid w:val="5445A2AC"/>
    <w:rsid w:val="5464BF56"/>
    <w:rsid w:val="548B9F99"/>
    <w:rsid w:val="54A07968"/>
    <w:rsid w:val="54CEE0B8"/>
    <w:rsid w:val="54E785DA"/>
    <w:rsid w:val="54F5122D"/>
    <w:rsid w:val="55731148"/>
    <w:rsid w:val="55F5B74C"/>
    <w:rsid w:val="55FFB1FD"/>
    <w:rsid w:val="560300AC"/>
    <w:rsid w:val="560EC303"/>
    <w:rsid w:val="563C49C9"/>
    <w:rsid w:val="5644D5D9"/>
    <w:rsid w:val="565EE0D9"/>
    <w:rsid w:val="5737BC7D"/>
    <w:rsid w:val="57397B6F"/>
    <w:rsid w:val="5752A9A8"/>
    <w:rsid w:val="5773E425"/>
    <w:rsid w:val="579B825E"/>
    <w:rsid w:val="57E2B7CD"/>
    <w:rsid w:val="57EF37DF"/>
    <w:rsid w:val="584DDA7A"/>
    <w:rsid w:val="585C859B"/>
    <w:rsid w:val="588F1C85"/>
    <w:rsid w:val="58C57AC3"/>
    <w:rsid w:val="58F77F7A"/>
    <w:rsid w:val="58FFD513"/>
    <w:rsid w:val="5918AF28"/>
    <w:rsid w:val="5930DA6B"/>
    <w:rsid w:val="595EB7AD"/>
    <w:rsid w:val="596072CA"/>
    <w:rsid w:val="5981998D"/>
    <w:rsid w:val="59A3CB57"/>
    <w:rsid w:val="59E72E53"/>
    <w:rsid w:val="59E74DB3"/>
    <w:rsid w:val="5A13822A"/>
    <w:rsid w:val="5A13FDB9"/>
    <w:rsid w:val="5A4303CF"/>
    <w:rsid w:val="5AA0B714"/>
    <w:rsid w:val="5ACC9F65"/>
    <w:rsid w:val="5B0F69CC"/>
    <w:rsid w:val="5B1D69EE"/>
    <w:rsid w:val="5B5331CB"/>
    <w:rsid w:val="5B747BE8"/>
    <w:rsid w:val="5B82E0EE"/>
    <w:rsid w:val="5BBC6BEA"/>
    <w:rsid w:val="5BF5BD6E"/>
    <w:rsid w:val="5C36724F"/>
    <w:rsid w:val="5C78168D"/>
    <w:rsid w:val="5D9D4258"/>
    <w:rsid w:val="5E03531D"/>
    <w:rsid w:val="5E04E306"/>
    <w:rsid w:val="5E550AB0"/>
    <w:rsid w:val="5E809E7A"/>
    <w:rsid w:val="5EB24DA5"/>
    <w:rsid w:val="5EB57572"/>
    <w:rsid w:val="5ECFDAB0"/>
    <w:rsid w:val="5F0D9414"/>
    <w:rsid w:val="5F41CACD"/>
    <w:rsid w:val="5F7EA260"/>
    <w:rsid w:val="5F87ABA8"/>
    <w:rsid w:val="5FA56691"/>
    <w:rsid w:val="5FE70C17"/>
    <w:rsid w:val="603EDC0C"/>
    <w:rsid w:val="60611ACC"/>
    <w:rsid w:val="61350F04"/>
    <w:rsid w:val="616FC0F1"/>
    <w:rsid w:val="617F60CE"/>
    <w:rsid w:val="6188D0C5"/>
    <w:rsid w:val="61CB24D0"/>
    <w:rsid w:val="620ABCF9"/>
    <w:rsid w:val="62405979"/>
    <w:rsid w:val="625AE7C1"/>
    <w:rsid w:val="62D7BD0D"/>
    <w:rsid w:val="62D833C2"/>
    <w:rsid w:val="63015354"/>
    <w:rsid w:val="631BEA52"/>
    <w:rsid w:val="632043A2"/>
    <w:rsid w:val="632E76DC"/>
    <w:rsid w:val="64334EA0"/>
    <w:rsid w:val="6454A339"/>
    <w:rsid w:val="646AC229"/>
    <w:rsid w:val="649AA3F2"/>
    <w:rsid w:val="65210297"/>
    <w:rsid w:val="65FF0B8D"/>
    <w:rsid w:val="66711EE4"/>
    <w:rsid w:val="669D98F6"/>
    <w:rsid w:val="66CDA95C"/>
    <w:rsid w:val="672F8670"/>
    <w:rsid w:val="673A75FE"/>
    <w:rsid w:val="678B346B"/>
    <w:rsid w:val="67C1C67B"/>
    <w:rsid w:val="67E198AF"/>
    <w:rsid w:val="68068A99"/>
    <w:rsid w:val="686B03F7"/>
    <w:rsid w:val="688550FC"/>
    <w:rsid w:val="68B2DFDA"/>
    <w:rsid w:val="68C52799"/>
    <w:rsid w:val="68F762B8"/>
    <w:rsid w:val="69230900"/>
    <w:rsid w:val="69380683"/>
    <w:rsid w:val="697B7166"/>
    <w:rsid w:val="698A3593"/>
    <w:rsid w:val="699BBDA2"/>
    <w:rsid w:val="69D74602"/>
    <w:rsid w:val="6A167A7A"/>
    <w:rsid w:val="6A3031B9"/>
    <w:rsid w:val="6A5DFC18"/>
    <w:rsid w:val="6A6534DF"/>
    <w:rsid w:val="6A73D7E7"/>
    <w:rsid w:val="6B0F6D83"/>
    <w:rsid w:val="6B724E78"/>
    <w:rsid w:val="6B919A9A"/>
    <w:rsid w:val="6BBC602D"/>
    <w:rsid w:val="6BC837E1"/>
    <w:rsid w:val="6C0B6F94"/>
    <w:rsid w:val="6C411CBE"/>
    <w:rsid w:val="6C41FA91"/>
    <w:rsid w:val="6C8C4CC0"/>
    <w:rsid w:val="6C8EABD9"/>
    <w:rsid w:val="6CA595F9"/>
    <w:rsid w:val="6CD0EE00"/>
    <w:rsid w:val="6D2A0D84"/>
    <w:rsid w:val="6D3C48ED"/>
    <w:rsid w:val="6D4435D4"/>
    <w:rsid w:val="6D7A5C20"/>
    <w:rsid w:val="6DDFC08C"/>
    <w:rsid w:val="6DE50C7B"/>
    <w:rsid w:val="6E2B10B1"/>
    <w:rsid w:val="6E2B416A"/>
    <w:rsid w:val="6E37B367"/>
    <w:rsid w:val="6ECF627A"/>
    <w:rsid w:val="6F7E21E4"/>
    <w:rsid w:val="6F96FC2C"/>
    <w:rsid w:val="6FD7B150"/>
    <w:rsid w:val="6FF32E1C"/>
    <w:rsid w:val="6FF97717"/>
    <w:rsid w:val="701EE63A"/>
    <w:rsid w:val="7055C924"/>
    <w:rsid w:val="70647028"/>
    <w:rsid w:val="70736A7D"/>
    <w:rsid w:val="70741C80"/>
    <w:rsid w:val="70747656"/>
    <w:rsid w:val="7088BAEC"/>
    <w:rsid w:val="70C8B597"/>
    <w:rsid w:val="70D8250D"/>
    <w:rsid w:val="7121F082"/>
    <w:rsid w:val="716C91A2"/>
    <w:rsid w:val="71781D30"/>
    <w:rsid w:val="7187C053"/>
    <w:rsid w:val="71FC3585"/>
    <w:rsid w:val="726DA68B"/>
    <w:rsid w:val="727A2280"/>
    <w:rsid w:val="729860DB"/>
    <w:rsid w:val="729C160E"/>
    <w:rsid w:val="72CDE712"/>
    <w:rsid w:val="73017197"/>
    <w:rsid w:val="733117D9"/>
    <w:rsid w:val="740535EF"/>
    <w:rsid w:val="740D97F1"/>
    <w:rsid w:val="741BFF5B"/>
    <w:rsid w:val="74263199"/>
    <w:rsid w:val="749DE8F7"/>
    <w:rsid w:val="74CCE83A"/>
    <w:rsid w:val="74EA7E86"/>
    <w:rsid w:val="75032E2C"/>
    <w:rsid w:val="751E39D1"/>
    <w:rsid w:val="7524F934"/>
    <w:rsid w:val="75747862"/>
    <w:rsid w:val="75B5A8CC"/>
    <w:rsid w:val="7611D653"/>
    <w:rsid w:val="7657C866"/>
    <w:rsid w:val="7668B89B"/>
    <w:rsid w:val="7679F372"/>
    <w:rsid w:val="76BC86A5"/>
    <w:rsid w:val="76C5AFCB"/>
    <w:rsid w:val="76C72B4A"/>
    <w:rsid w:val="76F0A9C2"/>
    <w:rsid w:val="77503B86"/>
    <w:rsid w:val="780488FC"/>
    <w:rsid w:val="788441FB"/>
    <w:rsid w:val="7899809A"/>
    <w:rsid w:val="78AB1B9F"/>
    <w:rsid w:val="78CA8AF8"/>
    <w:rsid w:val="78DEE724"/>
    <w:rsid w:val="78EE2D7E"/>
    <w:rsid w:val="79306861"/>
    <w:rsid w:val="79B19434"/>
    <w:rsid w:val="79E0FF50"/>
    <w:rsid w:val="79E1BDA0"/>
    <w:rsid w:val="7A062F86"/>
    <w:rsid w:val="7A0F0D96"/>
    <w:rsid w:val="7A1202EE"/>
    <w:rsid w:val="7A1A9EFD"/>
    <w:rsid w:val="7A31118D"/>
    <w:rsid w:val="7AAAE052"/>
    <w:rsid w:val="7B138C45"/>
    <w:rsid w:val="7B55521B"/>
    <w:rsid w:val="7BB888C9"/>
    <w:rsid w:val="7BC54777"/>
    <w:rsid w:val="7BCFDC51"/>
    <w:rsid w:val="7BFF7FA4"/>
    <w:rsid w:val="7C1687E6"/>
    <w:rsid w:val="7C9B444A"/>
    <w:rsid w:val="7C9F36CF"/>
    <w:rsid w:val="7CAD1E8D"/>
    <w:rsid w:val="7CE92E89"/>
    <w:rsid w:val="7D13CEBC"/>
    <w:rsid w:val="7D3995D3"/>
    <w:rsid w:val="7D4AB202"/>
    <w:rsid w:val="7D4F63EE"/>
    <w:rsid w:val="7D91B19E"/>
    <w:rsid w:val="7DB9341A"/>
    <w:rsid w:val="7DE0279B"/>
    <w:rsid w:val="7E55E66A"/>
    <w:rsid w:val="7E60F17A"/>
    <w:rsid w:val="7E90D5E2"/>
    <w:rsid w:val="7F03D8A5"/>
    <w:rsid w:val="7F25205E"/>
    <w:rsid w:val="7F7CCEF1"/>
    <w:rsid w:val="7F8AE4AC"/>
    <w:rsid w:val="7F9DA094"/>
    <w:rsid w:val="7FB8158E"/>
    <w:rsid w:val="7FBC5AD6"/>
    <w:rsid w:val="7FC70E31"/>
    <w:rsid w:val="7FE858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9E1A1"/>
  <w15:docId w15:val="{A68A2CEF-928E-47CC-A6CA-71F2A121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1A3"/>
    <w:rPr>
      <w:sz w:val="24"/>
      <w:szCs w:val="24"/>
    </w:rPr>
  </w:style>
  <w:style w:type="paragraph" w:styleId="Heading1">
    <w:name w:val="heading 1"/>
    <w:basedOn w:val="Normal"/>
    <w:next w:val="Normal"/>
    <w:link w:val="Heading1Char"/>
    <w:qFormat/>
    <w:rsid w:val="0005417A"/>
    <w:pPr>
      <w:keepNext/>
      <w:overflowPunct w:val="0"/>
      <w:autoSpaceDE w:val="0"/>
      <w:autoSpaceDN w:val="0"/>
      <w:adjustRightInd w:val="0"/>
      <w:outlineLvl w:val="0"/>
    </w:pPr>
    <w:rPr>
      <w:b/>
      <w:szCs w:val="20"/>
      <w:lang w:eastAsia="en-US"/>
    </w:rPr>
  </w:style>
  <w:style w:type="paragraph" w:styleId="Heading2">
    <w:name w:val="heading 2"/>
    <w:basedOn w:val="Normal"/>
    <w:next w:val="Normal"/>
    <w:link w:val="Heading2Char"/>
    <w:qFormat/>
    <w:rsid w:val="0005417A"/>
    <w:pPr>
      <w:keepNext/>
      <w:tabs>
        <w:tab w:val="right" w:pos="4500"/>
      </w:tabs>
      <w:spacing w:before="60" w:after="60"/>
      <w:ind w:right="72"/>
      <w:jc w:val="both"/>
      <w:outlineLvl w:val="1"/>
    </w:pPr>
    <w:rPr>
      <w:b/>
      <w:bCs/>
      <w:lang w:eastAsia="en-US"/>
    </w:rPr>
  </w:style>
  <w:style w:type="paragraph" w:styleId="Heading3">
    <w:name w:val="heading 3"/>
    <w:basedOn w:val="Normal"/>
    <w:next w:val="Normal"/>
    <w:link w:val="Heading3Char"/>
    <w:qFormat/>
    <w:rsid w:val="0005417A"/>
    <w:pPr>
      <w:keepNext/>
      <w:spacing w:before="60" w:after="60"/>
      <w:jc w:val="both"/>
      <w:outlineLvl w:val="2"/>
    </w:pPr>
    <w:rPr>
      <w:b/>
      <w:bCs/>
      <w:sz w:val="20"/>
      <w:lang w:eastAsia="en-US"/>
    </w:rPr>
  </w:style>
  <w:style w:type="paragraph" w:styleId="Heading4">
    <w:name w:val="heading 4"/>
    <w:basedOn w:val="Normal"/>
    <w:next w:val="Normal"/>
    <w:link w:val="Heading4Char"/>
    <w:qFormat/>
    <w:rsid w:val="0005417A"/>
    <w:pPr>
      <w:keepNext/>
      <w:spacing w:before="60" w:after="60"/>
      <w:outlineLvl w:val="3"/>
    </w:pPr>
    <w:rPr>
      <w:b/>
      <w:bCs/>
      <w:sz w:val="20"/>
      <w:lang w:eastAsia="en-US"/>
    </w:rPr>
  </w:style>
  <w:style w:type="paragraph" w:styleId="Heading5">
    <w:name w:val="heading 5"/>
    <w:basedOn w:val="Normal"/>
    <w:next w:val="Normal"/>
    <w:link w:val="Heading5Char"/>
    <w:qFormat/>
    <w:rsid w:val="0005417A"/>
    <w:pPr>
      <w:keepNext/>
      <w:tabs>
        <w:tab w:val="left" w:pos="720"/>
      </w:tabs>
      <w:overflowPunct w:val="0"/>
      <w:autoSpaceDE w:val="0"/>
      <w:autoSpaceDN w:val="0"/>
      <w:adjustRightInd w:val="0"/>
      <w:jc w:val="both"/>
      <w:outlineLvl w:val="4"/>
    </w:pPr>
    <w:rPr>
      <w:b/>
      <w:szCs w:val="20"/>
      <w:lang w:eastAsia="en-US"/>
    </w:rPr>
  </w:style>
  <w:style w:type="paragraph" w:styleId="Heading6">
    <w:name w:val="heading 6"/>
    <w:basedOn w:val="Normal"/>
    <w:next w:val="Normal"/>
    <w:link w:val="Heading6Char"/>
    <w:qFormat/>
    <w:rsid w:val="0005417A"/>
    <w:pPr>
      <w:keepNext/>
      <w:outlineLvl w:val="5"/>
    </w:pPr>
    <w:rPr>
      <w:b/>
      <w:sz w:val="16"/>
      <w:lang w:eastAsia="en-US"/>
    </w:rPr>
  </w:style>
  <w:style w:type="paragraph" w:styleId="Heading7">
    <w:name w:val="heading 7"/>
    <w:basedOn w:val="Normal"/>
    <w:next w:val="Normal"/>
    <w:link w:val="Heading7Char"/>
    <w:qFormat/>
    <w:rsid w:val="0005417A"/>
    <w:pPr>
      <w:keepNext/>
      <w:tabs>
        <w:tab w:val="left" w:pos="567"/>
      </w:tabs>
      <w:overflowPunct w:val="0"/>
      <w:autoSpaceDE w:val="0"/>
      <w:autoSpaceDN w:val="0"/>
      <w:adjustRightInd w:val="0"/>
      <w:jc w:val="both"/>
      <w:outlineLvl w:val="6"/>
    </w:pPr>
    <w:rPr>
      <w:b/>
      <w:bCs/>
      <w:i/>
      <w:szCs w:val="20"/>
      <w:lang w:eastAsia="en-US"/>
    </w:rPr>
  </w:style>
  <w:style w:type="paragraph" w:styleId="Heading8">
    <w:name w:val="heading 8"/>
    <w:basedOn w:val="Normal"/>
    <w:next w:val="Normal"/>
    <w:link w:val="Heading8Char"/>
    <w:qFormat/>
    <w:rsid w:val="0005417A"/>
    <w:pPr>
      <w:keepNext/>
      <w:tabs>
        <w:tab w:val="left" w:pos="5040"/>
        <w:tab w:val="left" w:pos="7380"/>
      </w:tabs>
      <w:ind w:left="360" w:hanging="360"/>
      <w:outlineLvl w:val="7"/>
    </w:pPr>
    <w:rPr>
      <w:b/>
      <w:lang w:eastAsia="en-US"/>
    </w:rPr>
  </w:style>
  <w:style w:type="paragraph" w:styleId="Heading9">
    <w:name w:val="heading 9"/>
    <w:basedOn w:val="Normal"/>
    <w:next w:val="Normal"/>
    <w:link w:val="Heading9Char"/>
    <w:semiHidden/>
    <w:unhideWhenUsed/>
    <w:qFormat/>
    <w:rsid w:val="007832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417A"/>
    <w:rPr>
      <w:color w:val="0000FF"/>
      <w:u w:val="single"/>
    </w:rPr>
  </w:style>
  <w:style w:type="character" w:styleId="FollowedHyperlink">
    <w:name w:val="FollowedHyperlink"/>
    <w:basedOn w:val="DefaultParagraphFont"/>
    <w:rsid w:val="0005417A"/>
    <w:rPr>
      <w:color w:val="800080"/>
      <w:u w:val="single"/>
    </w:rPr>
  </w:style>
  <w:style w:type="paragraph" w:styleId="HTMLPreformatted">
    <w:name w:val="HTML Preformatted"/>
    <w:basedOn w:val="Normal"/>
    <w:link w:val="HTMLPreformattedChar"/>
    <w:rsid w:val="0005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5417A"/>
    <w:pPr>
      <w:spacing w:before="100" w:beforeAutospacing="1" w:after="100" w:afterAutospacing="1"/>
    </w:pPr>
    <w:rPr>
      <w:rFonts w:ascii="Arial" w:hAnsi="Arial" w:cs="Arial"/>
      <w:sz w:val="20"/>
      <w:szCs w:val="20"/>
    </w:rPr>
  </w:style>
  <w:style w:type="paragraph" w:styleId="CommentText">
    <w:name w:val="annotation text"/>
    <w:basedOn w:val="Normal"/>
    <w:link w:val="CommentTextChar"/>
    <w:uiPriority w:val="99"/>
    <w:rsid w:val="0005417A"/>
    <w:rPr>
      <w:sz w:val="20"/>
      <w:szCs w:val="20"/>
    </w:rPr>
  </w:style>
  <w:style w:type="paragraph" w:styleId="Header">
    <w:name w:val="header"/>
    <w:basedOn w:val="Normal"/>
    <w:link w:val="HeaderChar"/>
    <w:rsid w:val="0005417A"/>
    <w:pPr>
      <w:tabs>
        <w:tab w:val="center" w:pos="4153"/>
        <w:tab w:val="right" w:pos="8306"/>
      </w:tabs>
      <w:overflowPunct w:val="0"/>
      <w:autoSpaceDE w:val="0"/>
      <w:autoSpaceDN w:val="0"/>
      <w:adjustRightInd w:val="0"/>
    </w:pPr>
    <w:rPr>
      <w:szCs w:val="20"/>
      <w:lang w:eastAsia="en-US"/>
    </w:rPr>
  </w:style>
  <w:style w:type="paragraph" w:styleId="Footer">
    <w:name w:val="footer"/>
    <w:basedOn w:val="Normal"/>
    <w:link w:val="FooterChar"/>
    <w:uiPriority w:val="99"/>
    <w:rsid w:val="0005417A"/>
    <w:pPr>
      <w:tabs>
        <w:tab w:val="center" w:pos="4153"/>
        <w:tab w:val="right" w:pos="8306"/>
      </w:tabs>
      <w:overflowPunct w:val="0"/>
      <w:autoSpaceDE w:val="0"/>
      <w:autoSpaceDN w:val="0"/>
      <w:adjustRightInd w:val="0"/>
    </w:pPr>
    <w:rPr>
      <w:szCs w:val="20"/>
      <w:lang w:eastAsia="en-US"/>
    </w:rPr>
  </w:style>
  <w:style w:type="paragraph" w:styleId="Title">
    <w:name w:val="Title"/>
    <w:basedOn w:val="Normal"/>
    <w:link w:val="TitleChar"/>
    <w:qFormat/>
    <w:rsid w:val="0005417A"/>
    <w:pPr>
      <w:overflowPunct w:val="0"/>
      <w:autoSpaceDE w:val="0"/>
      <w:autoSpaceDN w:val="0"/>
      <w:adjustRightInd w:val="0"/>
      <w:jc w:val="center"/>
    </w:pPr>
    <w:rPr>
      <w:b/>
      <w:szCs w:val="20"/>
      <w:lang w:eastAsia="en-US"/>
    </w:rPr>
  </w:style>
  <w:style w:type="paragraph" w:styleId="BodyText">
    <w:name w:val="Body Text"/>
    <w:basedOn w:val="Normal"/>
    <w:link w:val="BodyTextChar"/>
    <w:rsid w:val="0005417A"/>
    <w:pPr>
      <w:overflowPunct w:val="0"/>
      <w:autoSpaceDE w:val="0"/>
      <w:autoSpaceDN w:val="0"/>
      <w:adjustRightInd w:val="0"/>
      <w:spacing w:after="240" w:line="360" w:lineRule="auto"/>
      <w:jc w:val="both"/>
    </w:pPr>
    <w:rPr>
      <w:szCs w:val="20"/>
      <w:lang w:eastAsia="en-US"/>
    </w:rPr>
  </w:style>
  <w:style w:type="paragraph" w:styleId="BodyTextIndent">
    <w:name w:val="Body Text Indent"/>
    <w:basedOn w:val="Normal"/>
    <w:link w:val="BodyTextIndentChar"/>
    <w:rsid w:val="0005417A"/>
    <w:pPr>
      <w:tabs>
        <w:tab w:val="left" w:pos="426"/>
      </w:tabs>
      <w:overflowPunct w:val="0"/>
      <w:autoSpaceDE w:val="0"/>
      <w:autoSpaceDN w:val="0"/>
      <w:adjustRightInd w:val="0"/>
      <w:ind w:left="426" w:hanging="426"/>
      <w:jc w:val="both"/>
    </w:pPr>
    <w:rPr>
      <w:szCs w:val="20"/>
      <w:lang w:eastAsia="en-US"/>
    </w:rPr>
  </w:style>
  <w:style w:type="paragraph" w:styleId="BodyTextIndent2">
    <w:name w:val="Body Text Indent 2"/>
    <w:basedOn w:val="Normal"/>
    <w:link w:val="BodyTextIndent2Char"/>
    <w:rsid w:val="0005417A"/>
    <w:pPr>
      <w:tabs>
        <w:tab w:val="left" w:pos="567"/>
      </w:tabs>
      <w:overflowPunct w:val="0"/>
      <w:autoSpaceDE w:val="0"/>
      <w:autoSpaceDN w:val="0"/>
      <w:adjustRightInd w:val="0"/>
      <w:ind w:left="567" w:hanging="567"/>
      <w:jc w:val="both"/>
    </w:pPr>
    <w:rPr>
      <w:szCs w:val="20"/>
      <w:lang w:eastAsia="en-US"/>
    </w:rPr>
  </w:style>
  <w:style w:type="paragraph" w:styleId="CommentSubject">
    <w:name w:val="annotation subject"/>
    <w:basedOn w:val="CommentText"/>
    <w:next w:val="CommentText"/>
    <w:link w:val="CommentSubjectChar"/>
    <w:semiHidden/>
    <w:rsid w:val="0005417A"/>
    <w:rPr>
      <w:b/>
      <w:bCs/>
    </w:rPr>
  </w:style>
  <w:style w:type="paragraph" w:styleId="BalloonText">
    <w:name w:val="Balloon Text"/>
    <w:basedOn w:val="Normal"/>
    <w:link w:val="BalloonTextChar"/>
    <w:semiHidden/>
    <w:rsid w:val="0005417A"/>
    <w:rPr>
      <w:rFonts w:ascii="Tahoma" w:hAnsi="Tahoma" w:cs="Tahoma"/>
      <w:sz w:val="16"/>
      <w:szCs w:val="16"/>
    </w:rPr>
  </w:style>
  <w:style w:type="paragraph" w:customStyle="1" w:styleId="bodycopy">
    <w:name w:val="body copy"/>
    <w:rsid w:val="0005417A"/>
    <w:pPr>
      <w:spacing w:after="120" w:line="230" w:lineRule="exact"/>
    </w:pPr>
    <w:rPr>
      <w:rFonts w:ascii="Hermes-Thin" w:hAnsi="Hermes-Thin"/>
      <w:color w:val="000000"/>
      <w:sz w:val="18"/>
      <w:lang w:eastAsia="en-US"/>
    </w:rPr>
  </w:style>
  <w:style w:type="paragraph" w:customStyle="1" w:styleId="pageheader">
    <w:name w:val="page header"/>
    <w:autoRedefine/>
    <w:rsid w:val="0005417A"/>
    <w:rPr>
      <w:rFonts w:ascii="Clarendon" w:hAnsi="Clarendon"/>
      <w:b/>
      <w:color w:val="80CCFF"/>
      <w:spacing w:val="-16"/>
      <w:sz w:val="36"/>
      <w:lang w:eastAsia="en-US"/>
    </w:rPr>
  </w:style>
  <w:style w:type="character" w:customStyle="1" w:styleId="sectionheaderChar1">
    <w:name w:val="section header Char1"/>
    <w:basedOn w:val="DefaultParagraphFont"/>
    <w:link w:val="sectionheader"/>
    <w:locked/>
    <w:rsid w:val="0005417A"/>
    <w:rPr>
      <w:b/>
      <w:bCs/>
      <w:sz w:val="24"/>
      <w:szCs w:val="22"/>
      <w:lang w:val="en-GB" w:eastAsia="en-US" w:bidi="ar-SA"/>
    </w:rPr>
  </w:style>
  <w:style w:type="paragraph" w:customStyle="1" w:styleId="sectionheader">
    <w:name w:val="section header"/>
    <w:link w:val="sectionheaderChar1"/>
    <w:autoRedefine/>
    <w:rsid w:val="0005417A"/>
    <w:rPr>
      <w:b/>
      <w:bCs/>
      <w:sz w:val="24"/>
      <w:szCs w:val="22"/>
      <w:lang w:eastAsia="en-US"/>
    </w:rPr>
  </w:style>
  <w:style w:type="paragraph" w:customStyle="1" w:styleId="subheading">
    <w:name w:val="sub heading"/>
    <w:rsid w:val="0005417A"/>
    <w:pPr>
      <w:spacing w:before="120"/>
    </w:pPr>
    <w:rPr>
      <w:rFonts w:ascii="Hermes-Regular" w:hAnsi="Hermes-Regular"/>
      <w:color w:val="000000"/>
      <w:sz w:val="18"/>
      <w:lang w:eastAsia="en-US"/>
    </w:rPr>
  </w:style>
  <w:style w:type="paragraph" w:customStyle="1" w:styleId="xl33">
    <w:name w:val="xl33"/>
    <w:basedOn w:val="Normal"/>
    <w:rsid w:val="0005417A"/>
    <w:pPr>
      <w:spacing w:before="100" w:beforeAutospacing="1" w:after="100" w:afterAutospacing="1"/>
      <w:jc w:val="right"/>
    </w:pPr>
    <w:rPr>
      <w:rFonts w:ascii="Hermes-Thin" w:hAnsi="Hermes-Thin"/>
      <w:sz w:val="18"/>
      <w:szCs w:val="18"/>
      <w:lang w:eastAsia="en-US"/>
    </w:rPr>
  </w:style>
  <w:style w:type="paragraph" w:customStyle="1" w:styleId="xl40">
    <w:name w:val="xl40"/>
    <w:basedOn w:val="Normal"/>
    <w:rsid w:val="0005417A"/>
    <w:pPr>
      <w:spacing w:before="100" w:beforeAutospacing="1" w:after="100" w:afterAutospacing="1"/>
      <w:jc w:val="center"/>
    </w:pPr>
    <w:rPr>
      <w:rFonts w:ascii="Hermes-Thin" w:hAnsi="Hermes-Thin"/>
      <w:sz w:val="14"/>
      <w:szCs w:val="14"/>
      <w:lang w:eastAsia="en-US"/>
    </w:rPr>
  </w:style>
  <w:style w:type="paragraph" w:customStyle="1" w:styleId="HTMLPreformatted1">
    <w:name w:val="HTML Preformatted1"/>
    <w:basedOn w:val="Normal"/>
    <w:rsid w:val="0005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rPr>
  </w:style>
  <w:style w:type="paragraph" w:customStyle="1" w:styleId="sectionheaderwithintext">
    <w:name w:val="section header within text"/>
    <w:basedOn w:val="sectionheader"/>
    <w:rsid w:val="0005417A"/>
    <w:pPr>
      <w:spacing w:before="120"/>
    </w:pPr>
    <w:rPr>
      <w:rFonts w:ascii="Clarendon" w:hAnsi="Clarendon"/>
      <w:b w:val="0"/>
      <w:bCs w:val="0"/>
      <w:color w:val="6E0A78"/>
      <w:szCs w:val="20"/>
      <w:lang w:val="en-US"/>
    </w:rPr>
  </w:style>
  <w:style w:type="paragraph" w:customStyle="1" w:styleId="bodycopy0">
    <w:name w:val="bodycopy"/>
    <w:basedOn w:val="Normal"/>
    <w:rsid w:val="0005417A"/>
    <w:pPr>
      <w:spacing w:before="100" w:beforeAutospacing="1" w:after="100" w:afterAutospacing="1"/>
    </w:pPr>
  </w:style>
  <w:style w:type="character" w:styleId="CommentReference">
    <w:name w:val="annotation reference"/>
    <w:basedOn w:val="DefaultParagraphFont"/>
    <w:uiPriority w:val="99"/>
    <w:semiHidden/>
    <w:rsid w:val="0005417A"/>
    <w:rPr>
      <w:sz w:val="16"/>
      <w:szCs w:val="16"/>
    </w:rPr>
  </w:style>
  <w:style w:type="character" w:customStyle="1" w:styleId="bodycopynumber">
    <w:name w:val="body copy number"/>
    <w:rsid w:val="0005417A"/>
    <w:rPr>
      <w:rFonts w:ascii="Hermes-Regular" w:hAnsi="Hermes-Regular" w:hint="default"/>
      <w:sz w:val="18"/>
    </w:rPr>
  </w:style>
  <w:style w:type="character" w:customStyle="1" w:styleId="sectionheadernumber">
    <w:name w:val="section header number"/>
    <w:rsid w:val="0005417A"/>
    <w:rPr>
      <w:rFonts w:ascii="Clarendon Light" w:hAnsi="Clarendon Light" w:hint="default"/>
      <w:sz w:val="34"/>
    </w:rPr>
  </w:style>
  <w:style w:type="character" w:customStyle="1" w:styleId="pageheadercontinued">
    <w:name w:val="page header continued"/>
    <w:rsid w:val="0005417A"/>
    <w:rPr>
      <w:rFonts w:ascii="Clarendon Light" w:hAnsi="Clarendon Light" w:hint="default"/>
    </w:rPr>
  </w:style>
  <w:style w:type="character" w:customStyle="1" w:styleId="bodycopyChar">
    <w:name w:val="body copy Char"/>
    <w:basedOn w:val="DefaultParagraphFont"/>
    <w:rsid w:val="0005417A"/>
    <w:rPr>
      <w:rFonts w:ascii="Hermes-Thin" w:hAnsi="Hermes-Thin" w:hint="default"/>
      <w:color w:val="000000"/>
      <w:sz w:val="18"/>
      <w:lang w:val="en-GB" w:eastAsia="en-US" w:bidi="ar-SA"/>
    </w:rPr>
  </w:style>
  <w:style w:type="character" w:styleId="PageNumber">
    <w:name w:val="page number"/>
    <w:basedOn w:val="DefaultParagraphFont"/>
    <w:rsid w:val="0005417A"/>
  </w:style>
  <w:style w:type="table" w:styleId="TableGrid">
    <w:name w:val="Table Grid"/>
    <w:basedOn w:val="TableNormal"/>
    <w:uiPriority w:val="39"/>
    <w:rsid w:val="000A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
    <w:basedOn w:val="Normal"/>
    <w:uiPriority w:val="34"/>
    <w:qFormat/>
    <w:rsid w:val="00567923"/>
    <w:pPr>
      <w:ind w:left="720"/>
      <w:contextualSpacing/>
    </w:pPr>
  </w:style>
  <w:style w:type="paragraph" w:customStyle="1" w:styleId="Pa194">
    <w:name w:val="Pa19+4"/>
    <w:basedOn w:val="Normal"/>
    <w:next w:val="Normal"/>
    <w:uiPriority w:val="99"/>
    <w:rsid w:val="000D4AAF"/>
    <w:pPr>
      <w:autoSpaceDE w:val="0"/>
      <w:autoSpaceDN w:val="0"/>
      <w:adjustRightInd w:val="0"/>
      <w:spacing w:after="100" w:line="161" w:lineRule="atLeast"/>
    </w:pPr>
    <w:rPr>
      <w:rFonts w:ascii="Pluto Sans Light" w:hAnsi="Pluto Sans Light"/>
    </w:rPr>
  </w:style>
  <w:style w:type="paragraph" w:customStyle="1" w:styleId="Body">
    <w:name w:val="Body"/>
    <w:rsid w:val="008777BC"/>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customStyle="1" w:styleId="Pa91">
    <w:name w:val="Pa9+1"/>
    <w:basedOn w:val="Normal"/>
    <w:next w:val="Normal"/>
    <w:uiPriority w:val="99"/>
    <w:rsid w:val="008777BC"/>
    <w:pPr>
      <w:autoSpaceDE w:val="0"/>
      <w:autoSpaceDN w:val="0"/>
      <w:adjustRightInd w:val="0"/>
      <w:spacing w:line="161" w:lineRule="atLeast"/>
    </w:pPr>
    <w:rPr>
      <w:rFonts w:ascii="Pluto Sans Light" w:eastAsiaTheme="minorHAnsi" w:hAnsi="Pluto Sans Light" w:cstheme="minorBidi"/>
      <w:lang w:eastAsia="en-US"/>
    </w:rPr>
  </w:style>
  <w:style w:type="paragraph" w:customStyle="1" w:styleId="Default">
    <w:name w:val="Default"/>
    <w:rsid w:val="001B2B1C"/>
    <w:pPr>
      <w:autoSpaceDE w:val="0"/>
      <w:autoSpaceDN w:val="0"/>
      <w:adjustRightInd w:val="0"/>
    </w:pPr>
    <w:rPr>
      <w:rFonts w:ascii="Pluto Sans Medium" w:eastAsiaTheme="minorHAnsi" w:hAnsi="Pluto Sans Medium" w:cs="Pluto Sans Medium"/>
      <w:color w:val="000000"/>
      <w:sz w:val="24"/>
      <w:szCs w:val="24"/>
      <w:lang w:eastAsia="en-US"/>
    </w:rPr>
  </w:style>
  <w:style w:type="character" w:customStyle="1" w:styleId="v">
    <w:name w:val="v"/>
    <w:basedOn w:val="DefaultParagraphFont"/>
    <w:rsid w:val="001B2B1C"/>
  </w:style>
  <w:style w:type="paragraph" w:customStyle="1" w:styleId="BodyText1">
    <w:name w:val="Body Text 1"/>
    <w:basedOn w:val="Normal"/>
    <w:link w:val="BodyText1Char"/>
    <w:qFormat/>
    <w:rsid w:val="004F5D24"/>
    <w:pPr>
      <w:spacing w:after="200"/>
      <w:ind w:left="680"/>
      <w:jc w:val="both"/>
    </w:pPr>
    <w:rPr>
      <w:rFonts w:cs="Times"/>
      <w:sz w:val="20"/>
      <w:lang w:eastAsia="en-US"/>
    </w:rPr>
  </w:style>
  <w:style w:type="character" w:customStyle="1" w:styleId="BodyText1Char">
    <w:name w:val="Body Text 1 Char"/>
    <w:basedOn w:val="DefaultParagraphFont"/>
    <w:link w:val="BodyText1"/>
    <w:rsid w:val="004F5D24"/>
    <w:rPr>
      <w:rFonts w:cs="Times"/>
      <w:szCs w:val="24"/>
      <w:lang w:eastAsia="en-US"/>
    </w:rPr>
  </w:style>
  <w:style w:type="paragraph" w:customStyle="1" w:styleId="BodyA">
    <w:name w:val="Body A"/>
    <w:uiPriority w:val="99"/>
    <w:rsid w:val="00E93C6F"/>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PlainText">
    <w:name w:val="Plain Text"/>
    <w:basedOn w:val="Normal"/>
    <w:link w:val="PlainTextChar"/>
    <w:uiPriority w:val="99"/>
    <w:unhideWhenUsed/>
    <w:rsid w:val="008B354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B3542"/>
    <w:rPr>
      <w:rFonts w:ascii="Calibri" w:eastAsiaTheme="minorHAnsi" w:hAnsi="Calibri" w:cstheme="minorBidi"/>
      <w:sz w:val="22"/>
      <w:szCs w:val="21"/>
      <w:lang w:eastAsia="en-US"/>
    </w:rPr>
  </w:style>
  <w:style w:type="character" w:customStyle="1" w:styleId="A5">
    <w:name w:val="A5"/>
    <w:uiPriority w:val="99"/>
    <w:rsid w:val="005949B7"/>
    <w:rPr>
      <w:rFonts w:ascii="Effra Medium" w:hAnsi="Effra Medium" w:cs="Effra Medium"/>
      <w:color w:val="000000"/>
      <w:sz w:val="22"/>
      <w:szCs w:val="22"/>
    </w:rPr>
  </w:style>
  <w:style w:type="paragraph" w:customStyle="1" w:styleId="ocNum4th1">
    <w:name w:val="oc_Num_4th 1"/>
    <w:basedOn w:val="Normal"/>
    <w:next w:val="BodyText"/>
    <w:rsid w:val="0018542C"/>
    <w:pPr>
      <w:numPr>
        <w:numId w:val="1"/>
      </w:numPr>
      <w:spacing w:after="200"/>
      <w:jc w:val="both"/>
      <w:outlineLvl w:val="0"/>
    </w:pPr>
    <w:rPr>
      <w:rFonts w:eastAsia="SimSun"/>
      <w:sz w:val="20"/>
      <w:lang w:eastAsia="zh-CN" w:bidi="he-IL"/>
    </w:rPr>
  </w:style>
  <w:style w:type="paragraph" w:customStyle="1" w:styleId="ocNum4th2">
    <w:name w:val="oc_Num_4th 2"/>
    <w:basedOn w:val="Normal"/>
    <w:next w:val="BodyText1"/>
    <w:rsid w:val="0018542C"/>
    <w:pPr>
      <w:numPr>
        <w:ilvl w:val="1"/>
        <w:numId w:val="1"/>
      </w:numPr>
      <w:spacing w:after="200"/>
      <w:jc w:val="both"/>
      <w:outlineLvl w:val="1"/>
    </w:pPr>
    <w:rPr>
      <w:rFonts w:eastAsia="SimSun"/>
      <w:sz w:val="20"/>
      <w:lang w:eastAsia="zh-CN" w:bidi="he-IL"/>
    </w:rPr>
  </w:style>
  <w:style w:type="paragraph" w:customStyle="1" w:styleId="ocNum4th3">
    <w:name w:val="oc_Num_4th 3"/>
    <w:basedOn w:val="Normal"/>
    <w:next w:val="BodyText1"/>
    <w:rsid w:val="0018542C"/>
    <w:pPr>
      <w:numPr>
        <w:ilvl w:val="2"/>
        <w:numId w:val="1"/>
      </w:numPr>
      <w:spacing w:after="200"/>
      <w:jc w:val="both"/>
      <w:outlineLvl w:val="2"/>
    </w:pPr>
    <w:rPr>
      <w:rFonts w:eastAsia="SimSun"/>
      <w:sz w:val="20"/>
      <w:lang w:eastAsia="zh-CN" w:bidi="he-IL"/>
    </w:rPr>
  </w:style>
  <w:style w:type="paragraph" w:customStyle="1" w:styleId="ocNum4th4">
    <w:name w:val="oc_Num_4th 4"/>
    <w:basedOn w:val="Normal"/>
    <w:next w:val="BodyText1"/>
    <w:rsid w:val="0018542C"/>
    <w:pPr>
      <w:numPr>
        <w:ilvl w:val="3"/>
        <w:numId w:val="1"/>
      </w:numPr>
      <w:spacing w:after="200"/>
      <w:jc w:val="both"/>
      <w:outlineLvl w:val="3"/>
    </w:pPr>
    <w:rPr>
      <w:rFonts w:eastAsia="SimSun"/>
      <w:sz w:val="20"/>
      <w:lang w:eastAsia="zh-CN" w:bidi="he-IL"/>
    </w:rPr>
  </w:style>
  <w:style w:type="paragraph" w:customStyle="1" w:styleId="ocNum4th5">
    <w:name w:val="oc_Num_4th 5"/>
    <w:basedOn w:val="Normal"/>
    <w:next w:val="BodyText2"/>
    <w:rsid w:val="0018542C"/>
    <w:pPr>
      <w:numPr>
        <w:ilvl w:val="4"/>
        <w:numId w:val="1"/>
      </w:numPr>
      <w:spacing w:after="200"/>
      <w:jc w:val="both"/>
      <w:outlineLvl w:val="4"/>
    </w:pPr>
    <w:rPr>
      <w:rFonts w:eastAsia="SimSun"/>
      <w:sz w:val="20"/>
      <w:lang w:eastAsia="zh-CN" w:bidi="he-IL"/>
    </w:rPr>
  </w:style>
  <w:style w:type="paragraph" w:customStyle="1" w:styleId="ocNum4th6">
    <w:name w:val="oc_Num_4th 6"/>
    <w:basedOn w:val="Normal"/>
    <w:next w:val="BodyText3"/>
    <w:rsid w:val="0018542C"/>
    <w:pPr>
      <w:numPr>
        <w:ilvl w:val="5"/>
        <w:numId w:val="1"/>
      </w:numPr>
      <w:spacing w:after="200"/>
      <w:jc w:val="both"/>
      <w:outlineLvl w:val="5"/>
    </w:pPr>
    <w:rPr>
      <w:rFonts w:eastAsia="SimSun"/>
      <w:sz w:val="20"/>
      <w:lang w:eastAsia="zh-CN" w:bidi="he-IL"/>
    </w:rPr>
  </w:style>
  <w:style w:type="paragraph" w:customStyle="1" w:styleId="ocNum4th7">
    <w:name w:val="oc_Num_4th 7"/>
    <w:basedOn w:val="Normal"/>
    <w:next w:val="Normal"/>
    <w:rsid w:val="0018542C"/>
    <w:pPr>
      <w:numPr>
        <w:ilvl w:val="6"/>
        <w:numId w:val="1"/>
      </w:numPr>
      <w:spacing w:after="200"/>
      <w:jc w:val="both"/>
      <w:outlineLvl w:val="6"/>
    </w:pPr>
    <w:rPr>
      <w:rFonts w:eastAsia="SimSun"/>
      <w:sz w:val="20"/>
      <w:lang w:eastAsia="zh-CN" w:bidi="he-IL"/>
    </w:rPr>
  </w:style>
  <w:style w:type="paragraph" w:customStyle="1" w:styleId="ocNum4th8">
    <w:name w:val="oc_Num_4th 8"/>
    <w:basedOn w:val="Normal"/>
    <w:next w:val="Normal"/>
    <w:rsid w:val="0018542C"/>
    <w:pPr>
      <w:numPr>
        <w:ilvl w:val="7"/>
        <w:numId w:val="1"/>
      </w:numPr>
      <w:spacing w:after="200"/>
      <w:jc w:val="both"/>
      <w:outlineLvl w:val="7"/>
    </w:pPr>
    <w:rPr>
      <w:rFonts w:eastAsia="SimSun"/>
      <w:sz w:val="20"/>
      <w:lang w:eastAsia="zh-CN" w:bidi="he-IL"/>
    </w:rPr>
  </w:style>
  <w:style w:type="paragraph" w:customStyle="1" w:styleId="ocNum4th9">
    <w:name w:val="oc_Num_4th 9"/>
    <w:basedOn w:val="Normal"/>
    <w:next w:val="BodyText"/>
    <w:rsid w:val="0018542C"/>
    <w:pPr>
      <w:numPr>
        <w:ilvl w:val="8"/>
        <w:numId w:val="1"/>
      </w:numPr>
      <w:spacing w:after="200"/>
      <w:jc w:val="both"/>
      <w:outlineLvl w:val="8"/>
    </w:pPr>
    <w:rPr>
      <w:rFonts w:eastAsia="SimSun"/>
      <w:sz w:val="20"/>
      <w:lang w:eastAsia="zh-CN" w:bidi="he-IL"/>
    </w:rPr>
  </w:style>
  <w:style w:type="paragraph" w:styleId="BodyText2">
    <w:name w:val="Body Text 2"/>
    <w:basedOn w:val="Normal"/>
    <w:link w:val="BodyText2Char"/>
    <w:semiHidden/>
    <w:unhideWhenUsed/>
    <w:rsid w:val="0018542C"/>
    <w:pPr>
      <w:spacing w:after="120" w:line="480" w:lineRule="auto"/>
    </w:pPr>
  </w:style>
  <w:style w:type="character" w:customStyle="1" w:styleId="BodyText2Char">
    <w:name w:val="Body Text 2 Char"/>
    <w:basedOn w:val="DefaultParagraphFont"/>
    <w:link w:val="BodyText2"/>
    <w:semiHidden/>
    <w:rsid w:val="0018542C"/>
    <w:rPr>
      <w:sz w:val="24"/>
      <w:szCs w:val="24"/>
    </w:rPr>
  </w:style>
  <w:style w:type="paragraph" w:styleId="BodyText3">
    <w:name w:val="Body Text 3"/>
    <w:basedOn w:val="Normal"/>
    <w:link w:val="BodyText3Char"/>
    <w:semiHidden/>
    <w:unhideWhenUsed/>
    <w:rsid w:val="0018542C"/>
    <w:pPr>
      <w:spacing w:after="120"/>
    </w:pPr>
    <w:rPr>
      <w:sz w:val="16"/>
      <w:szCs w:val="16"/>
    </w:rPr>
  </w:style>
  <w:style w:type="character" w:customStyle="1" w:styleId="BodyText3Char">
    <w:name w:val="Body Text 3 Char"/>
    <w:basedOn w:val="DefaultParagraphFont"/>
    <w:link w:val="BodyText3"/>
    <w:semiHidden/>
    <w:rsid w:val="0018542C"/>
    <w:rPr>
      <w:sz w:val="16"/>
      <w:szCs w:val="16"/>
    </w:rPr>
  </w:style>
  <w:style w:type="paragraph" w:styleId="NoSpacing">
    <w:name w:val="No Spacing"/>
    <w:uiPriority w:val="1"/>
    <w:qFormat/>
    <w:rsid w:val="00B858A3"/>
    <w:rPr>
      <w:rFonts w:asciiTheme="minorHAnsi" w:eastAsiaTheme="minorHAnsi" w:hAnsiTheme="minorHAnsi" w:cstheme="minorBidi"/>
      <w:sz w:val="22"/>
      <w:szCs w:val="22"/>
      <w:lang w:eastAsia="en-US"/>
    </w:rPr>
  </w:style>
  <w:style w:type="paragraph" w:customStyle="1" w:styleId="body0">
    <w:name w:val="body"/>
    <w:basedOn w:val="Normal"/>
    <w:rsid w:val="000F11F3"/>
    <w:pPr>
      <w:spacing w:before="100" w:beforeAutospacing="1" w:after="100" w:afterAutospacing="1"/>
    </w:pPr>
    <w:rPr>
      <w:rFonts w:ascii="Calibri" w:eastAsiaTheme="minorHAnsi" w:hAnsi="Calibri" w:cs="Calibri"/>
      <w:sz w:val="22"/>
      <w:szCs w:val="22"/>
    </w:rPr>
  </w:style>
  <w:style w:type="paragraph" w:customStyle="1" w:styleId="Bodycopy1">
    <w:name w:val="Body copy"/>
    <w:basedOn w:val="Normal"/>
    <w:qFormat/>
    <w:rsid w:val="00D87517"/>
    <w:pPr>
      <w:spacing w:after="100" w:line="240" w:lineRule="exact"/>
    </w:pPr>
    <w:rPr>
      <w:rFonts w:ascii="Arial" w:eastAsia="Calibri" w:hAnsi="Arial"/>
      <w:sz w:val="20"/>
      <w:szCs w:val="22"/>
      <w:lang w:val="en-AU" w:eastAsia="en-US"/>
    </w:rPr>
  </w:style>
  <w:style w:type="paragraph" w:customStyle="1" w:styleId="BodytextBodyText">
    <w:name w:val="Bodytext (Body Text)"/>
    <w:basedOn w:val="Normal"/>
    <w:uiPriority w:val="99"/>
    <w:rsid w:val="00876A14"/>
    <w:pPr>
      <w:autoSpaceDE w:val="0"/>
      <w:autoSpaceDN w:val="0"/>
      <w:spacing w:after="57" w:line="220" w:lineRule="atLeast"/>
    </w:pPr>
    <w:rPr>
      <w:rFonts w:ascii="Open Sans Light" w:eastAsiaTheme="minorHAnsi" w:hAnsi="Open Sans Light" w:cs="Calibri"/>
      <w:color w:val="55565A"/>
      <w:spacing w:val="-3"/>
      <w:sz w:val="17"/>
      <w:szCs w:val="17"/>
    </w:rPr>
  </w:style>
  <w:style w:type="character" w:customStyle="1" w:styleId="aq">
    <w:name w:val="aq"/>
    <w:basedOn w:val="DefaultParagraphFont"/>
    <w:rsid w:val="00127C71"/>
  </w:style>
  <w:style w:type="character" w:customStyle="1" w:styleId="aw">
    <w:name w:val="aw"/>
    <w:basedOn w:val="DefaultParagraphFont"/>
    <w:rsid w:val="00650E5A"/>
  </w:style>
  <w:style w:type="character" w:customStyle="1" w:styleId="dk">
    <w:name w:val="dk"/>
    <w:basedOn w:val="DefaultParagraphFont"/>
    <w:rsid w:val="00310E9B"/>
  </w:style>
  <w:style w:type="paragraph" w:customStyle="1" w:styleId="dr">
    <w:name w:val="dr"/>
    <w:basedOn w:val="Normal"/>
    <w:rsid w:val="00310E9B"/>
    <w:pPr>
      <w:spacing w:before="100" w:beforeAutospacing="1" w:after="100" w:afterAutospacing="1"/>
    </w:pPr>
    <w:rPr>
      <w:lang w:val="en-US" w:eastAsia="en-US"/>
    </w:rPr>
  </w:style>
  <w:style w:type="character" w:customStyle="1" w:styleId="bv">
    <w:name w:val="bv"/>
    <w:basedOn w:val="DefaultParagraphFont"/>
    <w:rsid w:val="00310E9B"/>
  </w:style>
  <w:style w:type="character" w:customStyle="1" w:styleId="bu">
    <w:name w:val="bu"/>
    <w:basedOn w:val="DefaultParagraphFont"/>
    <w:rsid w:val="00310E9B"/>
  </w:style>
  <w:style w:type="character" w:customStyle="1" w:styleId="dg">
    <w:name w:val="dg"/>
    <w:basedOn w:val="DefaultParagraphFont"/>
    <w:rsid w:val="00310E9B"/>
  </w:style>
  <w:style w:type="character" w:customStyle="1" w:styleId="bt">
    <w:name w:val="bt"/>
    <w:basedOn w:val="DefaultParagraphFont"/>
    <w:rsid w:val="00310E9B"/>
  </w:style>
  <w:style w:type="character" w:customStyle="1" w:styleId="FooterChar">
    <w:name w:val="Footer Char"/>
    <w:basedOn w:val="DefaultParagraphFont"/>
    <w:link w:val="Footer"/>
    <w:uiPriority w:val="99"/>
    <w:rsid w:val="00420B99"/>
    <w:rPr>
      <w:sz w:val="24"/>
      <w:lang w:eastAsia="en-US"/>
    </w:rPr>
  </w:style>
  <w:style w:type="paragraph" w:customStyle="1" w:styleId="d">
    <w:name w:val="d"/>
    <w:basedOn w:val="Normal"/>
    <w:rsid w:val="004C6968"/>
    <w:pPr>
      <w:spacing w:before="100" w:beforeAutospacing="1" w:after="100" w:afterAutospacing="1"/>
    </w:pPr>
    <w:rPr>
      <w:rFonts w:eastAsiaTheme="minorHAnsi"/>
    </w:rPr>
  </w:style>
  <w:style w:type="character" w:customStyle="1" w:styleId="ab">
    <w:name w:val="ab"/>
    <w:basedOn w:val="DefaultParagraphFont"/>
    <w:rsid w:val="004C6968"/>
  </w:style>
  <w:style w:type="paragraph" w:styleId="Revision">
    <w:name w:val="Revision"/>
    <w:hidden/>
    <w:uiPriority w:val="99"/>
    <w:semiHidden/>
    <w:rsid w:val="00DA6694"/>
    <w:rPr>
      <w:sz w:val="24"/>
      <w:szCs w:val="24"/>
    </w:rPr>
  </w:style>
  <w:style w:type="character" w:styleId="Emphasis">
    <w:name w:val="Emphasis"/>
    <w:basedOn w:val="DefaultParagraphFont"/>
    <w:qFormat/>
    <w:rsid w:val="00A67775"/>
    <w:rPr>
      <w:i/>
      <w:iCs/>
    </w:rPr>
  </w:style>
  <w:style w:type="paragraph" w:customStyle="1" w:styleId="Pa20">
    <w:name w:val="Pa20"/>
    <w:basedOn w:val="Default"/>
    <w:next w:val="Default"/>
    <w:uiPriority w:val="99"/>
    <w:rsid w:val="00752F66"/>
    <w:pPr>
      <w:spacing w:line="161" w:lineRule="atLeast"/>
    </w:pPr>
    <w:rPr>
      <w:rFonts w:ascii="Graphik Light" w:eastAsia="Times New Roman" w:hAnsi="Graphik Light" w:cs="Times New Roman"/>
      <w:color w:val="auto"/>
      <w:lang w:eastAsia="en-GB"/>
    </w:rPr>
  </w:style>
  <w:style w:type="character" w:customStyle="1" w:styleId="Heading1Char">
    <w:name w:val="Heading 1 Char"/>
    <w:basedOn w:val="DefaultParagraphFont"/>
    <w:link w:val="Heading1"/>
    <w:rsid w:val="00F01EC8"/>
    <w:rPr>
      <w:b/>
      <w:sz w:val="24"/>
      <w:lang w:eastAsia="en-US"/>
    </w:rPr>
  </w:style>
  <w:style w:type="paragraph" w:customStyle="1" w:styleId="msonormal0">
    <w:name w:val="msonormal"/>
    <w:basedOn w:val="Normal"/>
    <w:rsid w:val="00F01EC8"/>
    <w:pPr>
      <w:spacing w:before="100" w:beforeAutospacing="1" w:after="100" w:afterAutospacing="1"/>
    </w:pPr>
  </w:style>
  <w:style w:type="character" w:customStyle="1" w:styleId="CommentTextChar">
    <w:name w:val="Comment Text Char"/>
    <w:basedOn w:val="DefaultParagraphFont"/>
    <w:link w:val="CommentText"/>
    <w:uiPriority w:val="99"/>
    <w:rsid w:val="00F01EC8"/>
  </w:style>
  <w:style w:type="character" w:customStyle="1" w:styleId="HeaderChar">
    <w:name w:val="Header Char"/>
    <w:basedOn w:val="DefaultParagraphFont"/>
    <w:link w:val="Header"/>
    <w:rsid w:val="00F01EC8"/>
    <w:rPr>
      <w:sz w:val="24"/>
      <w:lang w:eastAsia="en-US"/>
    </w:rPr>
  </w:style>
  <w:style w:type="character" w:customStyle="1" w:styleId="CommentSubjectChar">
    <w:name w:val="Comment Subject Char"/>
    <w:basedOn w:val="CommentTextChar"/>
    <w:link w:val="CommentSubject"/>
    <w:semiHidden/>
    <w:rsid w:val="00F01EC8"/>
    <w:rPr>
      <w:b/>
      <w:bCs/>
    </w:rPr>
  </w:style>
  <w:style w:type="character" w:customStyle="1" w:styleId="BalloonTextChar">
    <w:name w:val="Balloon Text Char"/>
    <w:basedOn w:val="DefaultParagraphFont"/>
    <w:link w:val="BalloonText"/>
    <w:semiHidden/>
    <w:rsid w:val="00F01EC8"/>
    <w:rPr>
      <w:rFonts w:ascii="Tahoma" w:hAnsi="Tahoma" w:cs="Tahoma"/>
      <w:sz w:val="16"/>
      <w:szCs w:val="16"/>
    </w:rPr>
  </w:style>
  <w:style w:type="paragraph" w:customStyle="1" w:styleId="Pa22">
    <w:name w:val="Pa22"/>
    <w:basedOn w:val="Normal"/>
    <w:next w:val="Normal"/>
    <w:uiPriority w:val="99"/>
    <w:rsid w:val="00F01EC8"/>
    <w:pPr>
      <w:autoSpaceDE w:val="0"/>
      <w:autoSpaceDN w:val="0"/>
      <w:adjustRightInd w:val="0"/>
      <w:spacing w:line="171" w:lineRule="atLeast"/>
    </w:pPr>
    <w:rPr>
      <w:rFonts w:ascii="Graphik Medium" w:eastAsiaTheme="minorHAnsi" w:hAnsi="Graphik Medium" w:cstheme="minorBidi"/>
      <w:lang w:eastAsia="en-US"/>
    </w:rPr>
  </w:style>
  <w:style w:type="character" w:styleId="Strong">
    <w:name w:val="Strong"/>
    <w:basedOn w:val="DefaultParagraphFont"/>
    <w:uiPriority w:val="22"/>
    <w:qFormat/>
    <w:rsid w:val="00F01EC8"/>
    <w:rPr>
      <w:b/>
      <w:bCs/>
    </w:rPr>
  </w:style>
  <w:style w:type="paragraph" w:customStyle="1" w:styleId="TableParagraph">
    <w:name w:val="Table Paragraph"/>
    <w:basedOn w:val="Normal"/>
    <w:uiPriority w:val="1"/>
    <w:qFormat/>
    <w:rsid w:val="006A5B4B"/>
    <w:pPr>
      <w:widowControl w:val="0"/>
      <w:autoSpaceDE w:val="0"/>
      <w:autoSpaceDN w:val="0"/>
    </w:pPr>
    <w:rPr>
      <w:rFonts w:ascii="Graphik Light" w:eastAsia="Graphik Light" w:hAnsi="Graphik Light" w:cs="Graphik Light"/>
      <w:sz w:val="22"/>
      <w:szCs w:val="22"/>
      <w:lang w:bidi="en-GB"/>
    </w:rPr>
  </w:style>
  <w:style w:type="paragraph" w:customStyle="1" w:styleId="NtTextLevel1">
    <w:name w:val="Nt Text Level1"/>
    <w:basedOn w:val="Normal"/>
    <w:uiPriority w:val="99"/>
    <w:rsid w:val="00E7468E"/>
    <w:pPr>
      <w:autoSpaceDE w:val="0"/>
      <w:autoSpaceDN w:val="0"/>
      <w:ind w:left="403"/>
      <w:jc w:val="both"/>
    </w:pPr>
    <w:rPr>
      <w:rFonts w:ascii="Arial" w:eastAsiaTheme="minorHAnsi" w:hAnsi="Arial" w:cs="Arial"/>
      <w:color w:val="000000"/>
      <w:sz w:val="20"/>
      <w:szCs w:val="20"/>
    </w:rPr>
  </w:style>
  <w:style w:type="paragraph" w:customStyle="1" w:styleId="xmsolistparagraph">
    <w:name w:val="x_msolistparagraph"/>
    <w:basedOn w:val="Normal"/>
    <w:rsid w:val="00E7468E"/>
    <w:pPr>
      <w:spacing w:line="264" w:lineRule="auto"/>
      <w:ind w:left="527" w:hanging="357"/>
      <w:jc w:val="both"/>
    </w:pPr>
    <w:rPr>
      <w:rFonts w:ascii="Arial" w:eastAsiaTheme="minorHAnsi" w:hAnsi="Arial" w:cs="Arial"/>
      <w:sz w:val="22"/>
      <w:szCs w:val="22"/>
    </w:rPr>
  </w:style>
  <w:style w:type="paragraph" w:styleId="FootnoteText">
    <w:name w:val="footnote text"/>
    <w:basedOn w:val="Normal"/>
    <w:link w:val="FootnoteTextChar"/>
    <w:semiHidden/>
    <w:unhideWhenUsed/>
    <w:rsid w:val="00AA37D8"/>
    <w:rPr>
      <w:sz w:val="20"/>
      <w:szCs w:val="20"/>
    </w:rPr>
  </w:style>
  <w:style w:type="character" w:customStyle="1" w:styleId="FootnoteTextChar">
    <w:name w:val="Footnote Text Char"/>
    <w:basedOn w:val="DefaultParagraphFont"/>
    <w:link w:val="FootnoteText"/>
    <w:semiHidden/>
    <w:rsid w:val="00AA37D8"/>
  </w:style>
  <w:style w:type="character" w:styleId="FootnoteReference">
    <w:name w:val="footnote reference"/>
    <w:basedOn w:val="DefaultParagraphFont"/>
    <w:semiHidden/>
    <w:unhideWhenUsed/>
    <w:rsid w:val="00AA37D8"/>
    <w:rPr>
      <w:vertAlign w:val="superscript"/>
    </w:rPr>
  </w:style>
  <w:style w:type="paragraph" w:customStyle="1" w:styleId="Pa2">
    <w:name w:val="Pa2"/>
    <w:basedOn w:val="Default"/>
    <w:next w:val="Default"/>
    <w:uiPriority w:val="99"/>
    <w:rsid w:val="00F04225"/>
    <w:pPr>
      <w:spacing w:line="151" w:lineRule="atLeast"/>
    </w:pPr>
    <w:rPr>
      <w:rFonts w:ascii="Poppins Light" w:eastAsia="Times New Roman" w:hAnsi="Poppins Light" w:cs="Times New Roman"/>
      <w:color w:val="auto"/>
      <w:lang w:eastAsia="en-GB"/>
    </w:rPr>
  </w:style>
  <w:style w:type="character" w:customStyle="1" w:styleId="A71">
    <w:name w:val="A71"/>
    <w:uiPriority w:val="99"/>
    <w:rsid w:val="00F04225"/>
    <w:rPr>
      <w:rFonts w:cs="Poppins Light"/>
      <w:color w:val="211D1E"/>
      <w:sz w:val="15"/>
      <w:szCs w:val="15"/>
      <w:u w:val="single"/>
    </w:rPr>
  </w:style>
  <w:style w:type="character" w:styleId="UnresolvedMention">
    <w:name w:val="Unresolved Mention"/>
    <w:basedOn w:val="DefaultParagraphFont"/>
    <w:uiPriority w:val="99"/>
    <w:semiHidden/>
    <w:unhideWhenUsed/>
    <w:rsid w:val="000071DB"/>
    <w:rPr>
      <w:color w:val="605E5C"/>
      <w:shd w:val="clear" w:color="auto" w:fill="E1DFDD"/>
    </w:rPr>
  </w:style>
  <w:style w:type="paragraph" w:customStyle="1" w:styleId="Pa14">
    <w:name w:val="Pa14"/>
    <w:basedOn w:val="Default"/>
    <w:next w:val="Default"/>
    <w:uiPriority w:val="99"/>
    <w:rsid w:val="00607E22"/>
    <w:pPr>
      <w:spacing w:line="151" w:lineRule="atLeast"/>
    </w:pPr>
    <w:rPr>
      <w:rFonts w:ascii="Poppins Light" w:eastAsia="Times New Roman" w:hAnsi="Poppins Light" w:cs="Times New Roman"/>
      <w:color w:val="auto"/>
      <w:lang w:eastAsia="en-GB"/>
    </w:rPr>
  </w:style>
  <w:style w:type="character" w:customStyle="1" w:styleId="A24">
    <w:name w:val="A24"/>
    <w:uiPriority w:val="99"/>
    <w:rsid w:val="00607E22"/>
    <w:rPr>
      <w:rFonts w:cs="Poppins Light"/>
      <w:color w:val="000000"/>
      <w:sz w:val="15"/>
      <w:szCs w:val="15"/>
    </w:rPr>
  </w:style>
  <w:style w:type="paragraph" w:customStyle="1" w:styleId="Pa141">
    <w:name w:val="Pa14_1"/>
    <w:basedOn w:val="Default"/>
    <w:next w:val="Default"/>
    <w:uiPriority w:val="99"/>
    <w:rsid w:val="00607E22"/>
    <w:pPr>
      <w:spacing w:line="151" w:lineRule="atLeast"/>
    </w:pPr>
    <w:rPr>
      <w:rFonts w:ascii="Poppins Light" w:eastAsia="Times New Roman" w:hAnsi="Poppins Light" w:cs="Times New Roman"/>
      <w:color w:val="auto"/>
      <w:lang w:eastAsia="en-GB"/>
    </w:rPr>
  </w:style>
  <w:style w:type="character" w:styleId="Mention">
    <w:name w:val="Mention"/>
    <w:basedOn w:val="DefaultParagraphFont"/>
    <w:uiPriority w:val="99"/>
    <w:unhideWhenUsed/>
    <w:rsid w:val="00F93A71"/>
    <w:rPr>
      <w:color w:val="2B579A"/>
      <w:shd w:val="clear" w:color="auto" w:fill="E1DFDD"/>
    </w:rPr>
  </w:style>
  <w:style w:type="paragraph" w:customStyle="1" w:styleId="FigshdRTFigs">
    <w:name w:val="Figshd RT (Figs)"/>
    <w:basedOn w:val="Normal"/>
    <w:uiPriority w:val="99"/>
    <w:rsid w:val="00E027D1"/>
    <w:pPr>
      <w:tabs>
        <w:tab w:val="left" w:pos="751"/>
      </w:tabs>
      <w:suppressAutoHyphens/>
      <w:autoSpaceDE w:val="0"/>
      <w:autoSpaceDN w:val="0"/>
      <w:adjustRightInd w:val="0"/>
      <w:spacing w:line="160" w:lineRule="atLeast"/>
      <w:textAlignment w:val="center"/>
    </w:pPr>
    <w:rPr>
      <w:rFonts w:ascii="Poppins Light" w:hAnsi="Poppins Light" w:cs="Poppins Light"/>
      <w:color w:val="000000"/>
      <w:sz w:val="13"/>
      <w:szCs w:val="13"/>
    </w:rPr>
  </w:style>
  <w:style w:type="character" w:customStyle="1" w:styleId="TableFigsBold">
    <w:name w:val="Table Figs Bold"/>
    <w:uiPriority w:val="99"/>
    <w:rsid w:val="00E027D1"/>
    <w:rPr>
      <w:color w:val="3059FF"/>
    </w:rPr>
  </w:style>
  <w:style w:type="character" w:customStyle="1" w:styleId="TableTextBold">
    <w:name w:val="Table Text Bold"/>
    <w:uiPriority w:val="99"/>
    <w:rsid w:val="00E027D1"/>
    <w:rPr>
      <w:color w:val="000054"/>
    </w:rPr>
  </w:style>
  <w:style w:type="paragraph" w:customStyle="1" w:styleId="bodytext0">
    <w:name w:val="_body text"/>
    <w:basedOn w:val="Normal"/>
    <w:uiPriority w:val="99"/>
    <w:rsid w:val="008E2484"/>
    <w:pPr>
      <w:autoSpaceDE w:val="0"/>
      <w:autoSpaceDN w:val="0"/>
      <w:spacing w:after="120" w:line="200" w:lineRule="atLeast"/>
    </w:pPr>
    <w:rPr>
      <w:rFonts w:ascii="Arial" w:eastAsiaTheme="minorHAnsi" w:hAnsi="Arial" w:cs="Arial"/>
      <w:color w:val="000000"/>
      <w:sz w:val="18"/>
      <w:szCs w:val="18"/>
      <w:lang w:eastAsia="en-US"/>
    </w:rPr>
  </w:style>
  <w:style w:type="paragraph" w:customStyle="1" w:styleId="bullettext">
    <w:name w:val="_bullet text"/>
    <w:basedOn w:val="Normal"/>
    <w:uiPriority w:val="99"/>
    <w:rsid w:val="008E2484"/>
    <w:pPr>
      <w:autoSpaceDE w:val="0"/>
      <w:autoSpaceDN w:val="0"/>
      <w:spacing w:after="120" w:line="200" w:lineRule="atLeast"/>
      <w:ind w:left="284" w:hanging="284"/>
    </w:pPr>
    <w:rPr>
      <w:rFonts w:ascii="Arial" w:eastAsiaTheme="minorHAnsi" w:hAnsi="Arial" w:cs="Arial"/>
      <w:color w:val="000000"/>
      <w:sz w:val="18"/>
      <w:szCs w:val="18"/>
      <w:lang w:eastAsia="en-US"/>
    </w:rPr>
  </w:style>
  <w:style w:type="paragraph" w:customStyle="1" w:styleId="subhead1">
    <w:name w:val="_subhead 1"/>
    <w:basedOn w:val="Normal"/>
    <w:uiPriority w:val="99"/>
    <w:rsid w:val="005D151F"/>
    <w:pPr>
      <w:keepNext/>
      <w:suppressAutoHyphens/>
      <w:autoSpaceDE w:val="0"/>
      <w:autoSpaceDN w:val="0"/>
      <w:adjustRightInd w:val="0"/>
      <w:spacing w:line="200" w:lineRule="atLeast"/>
    </w:pPr>
    <w:rPr>
      <w:rFonts w:ascii="Arial" w:eastAsiaTheme="minorHAnsi" w:hAnsi="Arial" w:cs="Arial"/>
      <w:b/>
      <w:bCs/>
      <w:color w:val="000000"/>
      <w:sz w:val="18"/>
      <w:szCs w:val="18"/>
      <w:lang w:eastAsia="en-US"/>
    </w:rPr>
  </w:style>
  <w:style w:type="paragraph" w:customStyle="1" w:styleId="pagedriver">
    <w:name w:val="_page driver"/>
    <w:basedOn w:val="Normal"/>
    <w:uiPriority w:val="99"/>
    <w:rsid w:val="003F4490"/>
    <w:pPr>
      <w:tabs>
        <w:tab w:val="left" w:pos="340"/>
      </w:tabs>
      <w:suppressAutoHyphens/>
      <w:autoSpaceDE w:val="0"/>
      <w:autoSpaceDN w:val="0"/>
      <w:adjustRightInd w:val="0"/>
      <w:spacing w:after="120" w:line="200" w:lineRule="atLeast"/>
    </w:pPr>
    <w:rPr>
      <w:rFonts w:ascii="Arial" w:eastAsiaTheme="minorHAnsi" w:hAnsi="Arial" w:cs="Arial"/>
      <w:color w:val="000000"/>
      <w:sz w:val="18"/>
      <w:szCs w:val="18"/>
      <w:lang w:eastAsia="en-US"/>
    </w:rPr>
  </w:style>
  <w:style w:type="paragraph" w:customStyle="1" w:styleId="footnote">
    <w:name w:val="_footnote"/>
    <w:basedOn w:val="Normal"/>
    <w:uiPriority w:val="99"/>
    <w:rsid w:val="003F4490"/>
    <w:pPr>
      <w:suppressAutoHyphens/>
      <w:autoSpaceDE w:val="0"/>
      <w:autoSpaceDN w:val="0"/>
      <w:adjustRightInd w:val="0"/>
      <w:spacing w:line="180" w:lineRule="atLeast"/>
      <w:ind w:left="283" w:hanging="283"/>
    </w:pPr>
    <w:rPr>
      <w:rFonts w:ascii="Arial" w:eastAsiaTheme="minorHAnsi" w:hAnsi="Arial" w:cs="Arial"/>
      <w:color w:val="000000"/>
      <w:sz w:val="14"/>
      <w:szCs w:val="14"/>
      <w:lang w:eastAsia="en-US"/>
    </w:rPr>
  </w:style>
  <w:style w:type="paragraph" w:customStyle="1" w:styleId="subhead2">
    <w:name w:val="_subhead 2"/>
    <w:basedOn w:val="Normal"/>
    <w:uiPriority w:val="99"/>
    <w:rsid w:val="003F4490"/>
    <w:pPr>
      <w:keepNext/>
      <w:suppressAutoHyphens/>
      <w:autoSpaceDE w:val="0"/>
      <w:autoSpaceDN w:val="0"/>
      <w:adjustRightInd w:val="0"/>
      <w:spacing w:before="40" w:after="40" w:line="200" w:lineRule="atLeast"/>
    </w:pPr>
    <w:rPr>
      <w:rFonts w:ascii="Arial" w:eastAsiaTheme="minorHAnsi" w:hAnsi="Arial" w:cs="Arial"/>
      <w:b/>
      <w:bCs/>
      <w:i/>
      <w:iCs/>
      <w:color w:val="000000"/>
      <w:sz w:val="18"/>
      <w:szCs w:val="18"/>
      <w:lang w:eastAsia="en-US"/>
    </w:rPr>
  </w:style>
  <w:style w:type="paragraph" w:customStyle="1" w:styleId="signoff1">
    <w:name w:val="_signoff 1"/>
    <w:basedOn w:val="Normal"/>
    <w:uiPriority w:val="99"/>
    <w:rsid w:val="003F4490"/>
    <w:pPr>
      <w:keepNext/>
      <w:suppressAutoHyphens/>
      <w:autoSpaceDE w:val="0"/>
      <w:autoSpaceDN w:val="0"/>
      <w:adjustRightInd w:val="0"/>
      <w:spacing w:line="200" w:lineRule="atLeast"/>
    </w:pPr>
    <w:rPr>
      <w:rFonts w:ascii="Arial" w:eastAsiaTheme="minorHAnsi" w:hAnsi="Arial" w:cs="Arial"/>
      <w:b/>
      <w:bCs/>
      <w:color w:val="000000"/>
      <w:sz w:val="18"/>
      <w:szCs w:val="18"/>
      <w:lang w:eastAsia="en-US"/>
    </w:rPr>
  </w:style>
  <w:style w:type="paragraph" w:customStyle="1" w:styleId="signoff2">
    <w:name w:val="_signoff 2"/>
    <w:basedOn w:val="Normal"/>
    <w:uiPriority w:val="99"/>
    <w:rsid w:val="003F4490"/>
    <w:pPr>
      <w:keepNext/>
      <w:suppressAutoHyphens/>
      <w:autoSpaceDE w:val="0"/>
      <w:autoSpaceDN w:val="0"/>
      <w:adjustRightInd w:val="0"/>
      <w:spacing w:before="40" w:after="40" w:line="200" w:lineRule="atLeast"/>
    </w:pPr>
    <w:rPr>
      <w:rFonts w:ascii="Arial" w:eastAsiaTheme="minorHAnsi" w:hAnsi="Arial" w:cs="Arial"/>
      <w:b/>
      <w:bCs/>
      <w:i/>
      <w:iCs/>
      <w:color w:val="000000"/>
      <w:sz w:val="18"/>
      <w:szCs w:val="18"/>
      <w:lang w:eastAsia="en-US"/>
    </w:rPr>
  </w:style>
  <w:style w:type="paragraph" w:customStyle="1" w:styleId="tablefigsheadthin">
    <w:name w:val="_table figshead thin"/>
    <w:basedOn w:val="Normal"/>
    <w:uiPriority w:val="99"/>
    <w:rsid w:val="003F4490"/>
    <w:pPr>
      <w:pBdr>
        <w:bottom w:val="single" w:sz="4" w:space="0" w:color="000000"/>
      </w:pBdr>
      <w:tabs>
        <w:tab w:val="left" w:pos="340"/>
      </w:tabs>
      <w:suppressAutoHyphens/>
      <w:autoSpaceDE w:val="0"/>
      <w:autoSpaceDN w:val="0"/>
      <w:adjustRightInd w:val="0"/>
      <w:spacing w:line="160" w:lineRule="atLeast"/>
    </w:pPr>
    <w:rPr>
      <w:rFonts w:ascii="Arial" w:eastAsiaTheme="minorHAnsi" w:hAnsi="Arial" w:cs="Arial"/>
      <w:color w:val="000000"/>
      <w:sz w:val="14"/>
      <w:szCs w:val="14"/>
      <w:lang w:eastAsia="en-US"/>
    </w:rPr>
  </w:style>
  <w:style w:type="paragraph" w:customStyle="1" w:styleId="tablefigs">
    <w:name w:val="_table figs"/>
    <w:basedOn w:val="Normal"/>
    <w:uiPriority w:val="99"/>
    <w:rsid w:val="003F4490"/>
    <w:pPr>
      <w:tabs>
        <w:tab w:val="left" w:pos="227"/>
      </w:tabs>
      <w:suppressAutoHyphens/>
      <w:autoSpaceDE w:val="0"/>
      <w:autoSpaceDN w:val="0"/>
      <w:adjustRightInd w:val="0"/>
      <w:spacing w:line="200" w:lineRule="atLeast"/>
    </w:pPr>
    <w:rPr>
      <w:rFonts w:ascii="Arial" w:eastAsiaTheme="minorHAnsi" w:hAnsi="Arial" w:cs="Arial"/>
      <w:color w:val="000000"/>
      <w:sz w:val="18"/>
      <w:szCs w:val="18"/>
      <w:lang w:eastAsia="en-US"/>
    </w:rPr>
  </w:style>
  <w:style w:type="paragraph" w:customStyle="1" w:styleId="tablefigsthin">
    <w:name w:val="_table figs thin"/>
    <w:basedOn w:val="Normal"/>
    <w:uiPriority w:val="99"/>
    <w:rsid w:val="003F4490"/>
    <w:pPr>
      <w:pBdr>
        <w:bottom w:val="single" w:sz="4" w:space="0" w:color="000000"/>
      </w:pBdr>
      <w:tabs>
        <w:tab w:val="left" w:pos="227"/>
      </w:tabs>
      <w:suppressAutoHyphens/>
      <w:autoSpaceDE w:val="0"/>
      <w:autoSpaceDN w:val="0"/>
      <w:adjustRightInd w:val="0"/>
      <w:spacing w:line="200" w:lineRule="atLeast"/>
    </w:pPr>
    <w:rPr>
      <w:rFonts w:ascii="Arial" w:eastAsiaTheme="minorHAnsi" w:hAnsi="Arial" w:cs="Arial"/>
      <w:color w:val="000000"/>
      <w:sz w:val="18"/>
      <w:szCs w:val="18"/>
      <w:lang w:eastAsia="en-US"/>
    </w:rPr>
  </w:style>
  <w:style w:type="paragraph" w:customStyle="1" w:styleId="tablefigsthick">
    <w:name w:val="_table figs thick"/>
    <w:basedOn w:val="Normal"/>
    <w:uiPriority w:val="99"/>
    <w:rsid w:val="003F4490"/>
    <w:pPr>
      <w:pBdr>
        <w:bottom w:val="single" w:sz="12" w:space="0" w:color="000000"/>
      </w:pBdr>
      <w:tabs>
        <w:tab w:val="left" w:pos="227"/>
      </w:tabs>
      <w:suppressAutoHyphens/>
      <w:autoSpaceDE w:val="0"/>
      <w:autoSpaceDN w:val="0"/>
      <w:adjustRightInd w:val="0"/>
      <w:spacing w:line="200" w:lineRule="atLeast"/>
    </w:pPr>
    <w:rPr>
      <w:rFonts w:ascii="Arial" w:eastAsiaTheme="minorHAnsi" w:hAnsi="Arial" w:cs="Arial"/>
      <w:color w:val="000000"/>
      <w:sz w:val="18"/>
      <w:szCs w:val="18"/>
      <w:lang w:eastAsia="en-US"/>
    </w:rPr>
  </w:style>
  <w:style w:type="character" w:customStyle="1" w:styleId="superscript">
    <w:name w:val="_superscript"/>
    <w:uiPriority w:val="99"/>
    <w:rsid w:val="003F4490"/>
    <w:rPr>
      <w:vertAlign w:val="superscript"/>
    </w:rPr>
  </w:style>
  <w:style w:type="character" w:customStyle="1" w:styleId="tablefigsbold0">
    <w:name w:val="_table figs bold"/>
    <w:uiPriority w:val="99"/>
    <w:rsid w:val="003F4490"/>
    <w:rPr>
      <w:rFonts w:ascii="Arial" w:hAnsi="Arial" w:cs="Arial" w:hint="default"/>
      <w:b/>
      <w:bCs/>
      <w:color w:val="000000"/>
    </w:rPr>
  </w:style>
  <w:style w:type="character" w:customStyle="1" w:styleId="tabletextbold0">
    <w:name w:val="_table text bold"/>
    <w:uiPriority w:val="99"/>
    <w:rsid w:val="003F4490"/>
    <w:rPr>
      <w:rFonts w:ascii="Arial" w:hAnsi="Arial" w:cs="Arial" w:hint="default"/>
      <w:b/>
      <w:bCs/>
      <w:color w:val="000000"/>
    </w:rPr>
  </w:style>
  <w:style w:type="character" w:customStyle="1" w:styleId="cf01">
    <w:name w:val="cf01"/>
    <w:basedOn w:val="DefaultParagraphFont"/>
    <w:rsid w:val="004151DD"/>
    <w:rPr>
      <w:rFonts w:ascii="Segoe UI" w:hAnsi="Segoe UI" w:cs="Segoe UI" w:hint="default"/>
      <w:sz w:val="18"/>
      <w:szCs w:val="18"/>
    </w:rPr>
  </w:style>
  <w:style w:type="paragraph" w:customStyle="1" w:styleId="Footnote0">
    <w:name w:val="Footnote"/>
    <w:basedOn w:val="BodyText"/>
    <w:uiPriority w:val="99"/>
    <w:rsid w:val="005E080B"/>
    <w:pPr>
      <w:tabs>
        <w:tab w:val="left" w:pos="170"/>
      </w:tabs>
      <w:suppressAutoHyphens/>
      <w:overflowPunct/>
      <w:spacing w:after="80" w:line="160" w:lineRule="atLeast"/>
      <w:jc w:val="left"/>
      <w:textAlignment w:val="center"/>
    </w:pPr>
    <w:rPr>
      <w:rFonts w:ascii="Poppins" w:hAnsi="Poppins" w:cs="Poppins"/>
      <w:color w:val="000000"/>
      <w:sz w:val="12"/>
      <w:szCs w:val="12"/>
      <w:lang w:eastAsia="en-GB"/>
    </w:rPr>
  </w:style>
  <w:style w:type="character" w:customStyle="1" w:styleId="Heading2Char">
    <w:name w:val="Heading 2 Char"/>
    <w:basedOn w:val="DefaultParagraphFont"/>
    <w:link w:val="Heading2"/>
    <w:rsid w:val="00A1425C"/>
    <w:rPr>
      <w:b/>
      <w:bCs/>
      <w:sz w:val="24"/>
      <w:szCs w:val="24"/>
      <w:lang w:eastAsia="en-US"/>
    </w:rPr>
  </w:style>
  <w:style w:type="character" w:customStyle="1" w:styleId="Heading3Char">
    <w:name w:val="Heading 3 Char"/>
    <w:basedOn w:val="DefaultParagraphFont"/>
    <w:link w:val="Heading3"/>
    <w:rsid w:val="00A1425C"/>
    <w:rPr>
      <w:b/>
      <w:bCs/>
      <w:szCs w:val="24"/>
      <w:lang w:eastAsia="en-US"/>
    </w:rPr>
  </w:style>
  <w:style w:type="character" w:customStyle="1" w:styleId="Heading4Char">
    <w:name w:val="Heading 4 Char"/>
    <w:basedOn w:val="DefaultParagraphFont"/>
    <w:link w:val="Heading4"/>
    <w:rsid w:val="00A1425C"/>
    <w:rPr>
      <w:b/>
      <w:bCs/>
      <w:szCs w:val="24"/>
      <w:lang w:eastAsia="en-US"/>
    </w:rPr>
  </w:style>
  <w:style w:type="character" w:customStyle="1" w:styleId="Heading5Char">
    <w:name w:val="Heading 5 Char"/>
    <w:basedOn w:val="DefaultParagraphFont"/>
    <w:link w:val="Heading5"/>
    <w:rsid w:val="00A1425C"/>
    <w:rPr>
      <w:b/>
      <w:sz w:val="24"/>
      <w:lang w:eastAsia="en-US"/>
    </w:rPr>
  </w:style>
  <w:style w:type="character" w:customStyle="1" w:styleId="Heading6Char">
    <w:name w:val="Heading 6 Char"/>
    <w:basedOn w:val="DefaultParagraphFont"/>
    <w:link w:val="Heading6"/>
    <w:rsid w:val="00A1425C"/>
    <w:rPr>
      <w:b/>
      <w:sz w:val="16"/>
      <w:szCs w:val="24"/>
      <w:lang w:eastAsia="en-US"/>
    </w:rPr>
  </w:style>
  <w:style w:type="character" w:customStyle="1" w:styleId="Heading7Char">
    <w:name w:val="Heading 7 Char"/>
    <w:basedOn w:val="DefaultParagraphFont"/>
    <w:link w:val="Heading7"/>
    <w:rsid w:val="00A1425C"/>
    <w:rPr>
      <w:b/>
      <w:bCs/>
      <w:i/>
      <w:sz w:val="24"/>
      <w:lang w:eastAsia="en-US"/>
    </w:rPr>
  </w:style>
  <w:style w:type="character" w:customStyle="1" w:styleId="Heading8Char">
    <w:name w:val="Heading 8 Char"/>
    <w:basedOn w:val="DefaultParagraphFont"/>
    <w:link w:val="Heading8"/>
    <w:rsid w:val="00A1425C"/>
    <w:rPr>
      <w:b/>
      <w:sz w:val="24"/>
      <w:szCs w:val="24"/>
      <w:lang w:eastAsia="en-US"/>
    </w:rPr>
  </w:style>
  <w:style w:type="character" w:customStyle="1" w:styleId="HTMLPreformattedChar">
    <w:name w:val="HTML Preformatted Char"/>
    <w:basedOn w:val="DefaultParagraphFont"/>
    <w:link w:val="HTMLPreformatted"/>
    <w:rsid w:val="00A1425C"/>
    <w:rPr>
      <w:rFonts w:ascii="Courier New" w:hAnsi="Courier New" w:cs="Courier New"/>
    </w:rPr>
  </w:style>
  <w:style w:type="character" w:customStyle="1" w:styleId="TitleChar">
    <w:name w:val="Title Char"/>
    <w:basedOn w:val="DefaultParagraphFont"/>
    <w:link w:val="Title"/>
    <w:rsid w:val="00A1425C"/>
    <w:rPr>
      <w:b/>
      <w:sz w:val="24"/>
      <w:lang w:eastAsia="en-US"/>
    </w:rPr>
  </w:style>
  <w:style w:type="character" w:customStyle="1" w:styleId="BodyTextChar">
    <w:name w:val="Body Text Char"/>
    <w:basedOn w:val="DefaultParagraphFont"/>
    <w:link w:val="BodyText"/>
    <w:rsid w:val="00A1425C"/>
    <w:rPr>
      <w:sz w:val="24"/>
      <w:lang w:eastAsia="en-US"/>
    </w:rPr>
  </w:style>
  <w:style w:type="character" w:customStyle="1" w:styleId="BodyTextIndentChar">
    <w:name w:val="Body Text Indent Char"/>
    <w:basedOn w:val="DefaultParagraphFont"/>
    <w:link w:val="BodyTextIndent"/>
    <w:rsid w:val="00A1425C"/>
    <w:rPr>
      <w:sz w:val="24"/>
      <w:lang w:eastAsia="en-US"/>
    </w:rPr>
  </w:style>
  <w:style w:type="character" w:customStyle="1" w:styleId="BodyTextIndent2Char">
    <w:name w:val="Body Text Indent 2 Char"/>
    <w:basedOn w:val="DefaultParagraphFont"/>
    <w:link w:val="BodyTextIndent2"/>
    <w:rsid w:val="00A1425C"/>
    <w:rPr>
      <w:sz w:val="24"/>
      <w:lang w:eastAsia="en-US"/>
    </w:rPr>
  </w:style>
  <w:style w:type="paragraph" w:styleId="Bibliography">
    <w:name w:val="Bibliography"/>
    <w:basedOn w:val="Normal"/>
    <w:next w:val="Normal"/>
    <w:uiPriority w:val="37"/>
    <w:semiHidden/>
    <w:unhideWhenUsed/>
    <w:rsid w:val="00783257"/>
  </w:style>
  <w:style w:type="paragraph" w:styleId="BlockText">
    <w:name w:val="Block Text"/>
    <w:basedOn w:val="Normal"/>
    <w:semiHidden/>
    <w:unhideWhenUsed/>
    <w:rsid w:val="007832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83257"/>
    <w:pPr>
      <w:overflowPunct/>
      <w:autoSpaceDE/>
      <w:autoSpaceDN/>
      <w:adjustRightInd/>
      <w:spacing w:after="0" w:line="240" w:lineRule="auto"/>
      <w:ind w:firstLine="360"/>
      <w:jc w:val="left"/>
    </w:pPr>
    <w:rPr>
      <w:szCs w:val="24"/>
      <w:lang w:eastAsia="en-GB"/>
    </w:rPr>
  </w:style>
  <w:style w:type="character" w:customStyle="1" w:styleId="BodyTextFirstIndentChar">
    <w:name w:val="Body Text First Indent Char"/>
    <w:basedOn w:val="BodyTextChar"/>
    <w:link w:val="BodyTextFirstIndent"/>
    <w:rsid w:val="00783257"/>
    <w:rPr>
      <w:sz w:val="24"/>
      <w:szCs w:val="24"/>
      <w:lang w:eastAsia="en-US"/>
    </w:rPr>
  </w:style>
  <w:style w:type="paragraph" w:styleId="BodyTextFirstIndent2">
    <w:name w:val="Body Text First Indent 2"/>
    <w:basedOn w:val="BodyTextIndent"/>
    <w:link w:val="BodyTextFirstIndent2Char"/>
    <w:semiHidden/>
    <w:unhideWhenUsed/>
    <w:rsid w:val="00783257"/>
    <w:pPr>
      <w:tabs>
        <w:tab w:val="clear" w:pos="426"/>
      </w:tabs>
      <w:overflowPunct/>
      <w:autoSpaceDE/>
      <w:autoSpaceDN/>
      <w:adjustRightInd/>
      <w:ind w:left="360" w:firstLine="360"/>
      <w:jc w:val="left"/>
    </w:pPr>
    <w:rPr>
      <w:szCs w:val="24"/>
      <w:lang w:eastAsia="en-GB"/>
    </w:rPr>
  </w:style>
  <w:style w:type="character" w:customStyle="1" w:styleId="BodyTextFirstIndent2Char">
    <w:name w:val="Body Text First Indent 2 Char"/>
    <w:basedOn w:val="BodyTextIndentChar"/>
    <w:link w:val="BodyTextFirstIndent2"/>
    <w:semiHidden/>
    <w:rsid w:val="00783257"/>
    <w:rPr>
      <w:sz w:val="24"/>
      <w:szCs w:val="24"/>
      <w:lang w:eastAsia="en-US"/>
    </w:rPr>
  </w:style>
  <w:style w:type="paragraph" w:styleId="BodyTextIndent3">
    <w:name w:val="Body Text Indent 3"/>
    <w:basedOn w:val="Normal"/>
    <w:link w:val="BodyTextIndent3Char"/>
    <w:semiHidden/>
    <w:unhideWhenUsed/>
    <w:rsid w:val="00783257"/>
    <w:pPr>
      <w:spacing w:after="120"/>
      <w:ind w:left="283"/>
    </w:pPr>
    <w:rPr>
      <w:sz w:val="16"/>
      <w:szCs w:val="16"/>
    </w:rPr>
  </w:style>
  <w:style w:type="character" w:customStyle="1" w:styleId="BodyTextIndent3Char">
    <w:name w:val="Body Text Indent 3 Char"/>
    <w:basedOn w:val="DefaultParagraphFont"/>
    <w:link w:val="BodyTextIndent3"/>
    <w:semiHidden/>
    <w:rsid w:val="00783257"/>
    <w:rPr>
      <w:sz w:val="16"/>
      <w:szCs w:val="16"/>
    </w:rPr>
  </w:style>
  <w:style w:type="paragraph" w:styleId="Caption">
    <w:name w:val="caption"/>
    <w:basedOn w:val="Normal"/>
    <w:next w:val="Normal"/>
    <w:semiHidden/>
    <w:unhideWhenUsed/>
    <w:qFormat/>
    <w:rsid w:val="00783257"/>
    <w:pPr>
      <w:spacing w:after="200"/>
    </w:pPr>
    <w:rPr>
      <w:i/>
      <w:iCs/>
      <w:color w:val="1F497D" w:themeColor="text2"/>
      <w:sz w:val="18"/>
      <w:szCs w:val="18"/>
    </w:rPr>
  </w:style>
  <w:style w:type="paragraph" w:styleId="Closing">
    <w:name w:val="Closing"/>
    <w:basedOn w:val="Normal"/>
    <w:link w:val="ClosingChar"/>
    <w:semiHidden/>
    <w:unhideWhenUsed/>
    <w:rsid w:val="00783257"/>
    <w:pPr>
      <w:ind w:left="4252"/>
    </w:pPr>
  </w:style>
  <w:style w:type="character" w:customStyle="1" w:styleId="ClosingChar">
    <w:name w:val="Closing Char"/>
    <w:basedOn w:val="DefaultParagraphFont"/>
    <w:link w:val="Closing"/>
    <w:semiHidden/>
    <w:rsid w:val="00783257"/>
    <w:rPr>
      <w:sz w:val="24"/>
      <w:szCs w:val="24"/>
    </w:rPr>
  </w:style>
  <w:style w:type="paragraph" w:styleId="Date">
    <w:name w:val="Date"/>
    <w:basedOn w:val="Normal"/>
    <w:next w:val="Normal"/>
    <w:link w:val="DateChar"/>
    <w:rsid w:val="00783257"/>
  </w:style>
  <w:style w:type="character" w:customStyle="1" w:styleId="DateChar">
    <w:name w:val="Date Char"/>
    <w:basedOn w:val="DefaultParagraphFont"/>
    <w:link w:val="Date"/>
    <w:rsid w:val="00783257"/>
    <w:rPr>
      <w:sz w:val="24"/>
      <w:szCs w:val="24"/>
    </w:rPr>
  </w:style>
  <w:style w:type="paragraph" w:styleId="DocumentMap">
    <w:name w:val="Document Map"/>
    <w:basedOn w:val="Normal"/>
    <w:link w:val="DocumentMapChar"/>
    <w:semiHidden/>
    <w:unhideWhenUsed/>
    <w:rsid w:val="00783257"/>
    <w:rPr>
      <w:rFonts w:ascii="Segoe UI" w:hAnsi="Segoe UI" w:cs="Segoe UI"/>
      <w:sz w:val="16"/>
      <w:szCs w:val="16"/>
    </w:rPr>
  </w:style>
  <w:style w:type="character" w:customStyle="1" w:styleId="DocumentMapChar">
    <w:name w:val="Document Map Char"/>
    <w:basedOn w:val="DefaultParagraphFont"/>
    <w:link w:val="DocumentMap"/>
    <w:semiHidden/>
    <w:rsid w:val="00783257"/>
    <w:rPr>
      <w:rFonts w:ascii="Segoe UI" w:hAnsi="Segoe UI" w:cs="Segoe UI"/>
      <w:sz w:val="16"/>
      <w:szCs w:val="16"/>
    </w:rPr>
  </w:style>
  <w:style w:type="paragraph" w:styleId="E-mailSignature">
    <w:name w:val="E-mail Signature"/>
    <w:basedOn w:val="Normal"/>
    <w:link w:val="E-mailSignatureChar"/>
    <w:semiHidden/>
    <w:unhideWhenUsed/>
    <w:rsid w:val="00783257"/>
  </w:style>
  <w:style w:type="character" w:customStyle="1" w:styleId="E-mailSignatureChar">
    <w:name w:val="E-mail Signature Char"/>
    <w:basedOn w:val="DefaultParagraphFont"/>
    <w:link w:val="E-mailSignature"/>
    <w:semiHidden/>
    <w:rsid w:val="00783257"/>
    <w:rPr>
      <w:sz w:val="24"/>
      <w:szCs w:val="24"/>
    </w:rPr>
  </w:style>
  <w:style w:type="paragraph" w:styleId="EndnoteText">
    <w:name w:val="endnote text"/>
    <w:basedOn w:val="Normal"/>
    <w:link w:val="EndnoteTextChar"/>
    <w:semiHidden/>
    <w:unhideWhenUsed/>
    <w:rsid w:val="00783257"/>
    <w:rPr>
      <w:sz w:val="20"/>
      <w:szCs w:val="20"/>
    </w:rPr>
  </w:style>
  <w:style w:type="character" w:customStyle="1" w:styleId="EndnoteTextChar">
    <w:name w:val="Endnote Text Char"/>
    <w:basedOn w:val="DefaultParagraphFont"/>
    <w:link w:val="EndnoteText"/>
    <w:semiHidden/>
    <w:rsid w:val="00783257"/>
  </w:style>
  <w:style w:type="paragraph" w:styleId="EnvelopeAddress">
    <w:name w:val="envelope address"/>
    <w:basedOn w:val="Normal"/>
    <w:semiHidden/>
    <w:unhideWhenUsed/>
    <w:rsid w:val="0078325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783257"/>
    <w:rPr>
      <w:rFonts w:asciiTheme="majorHAnsi" w:eastAsiaTheme="majorEastAsia" w:hAnsiTheme="majorHAnsi" w:cstheme="majorBidi"/>
      <w:sz w:val="20"/>
      <w:szCs w:val="20"/>
    </w:rPr>
  </w:style>
  <w:style w:type="character" w:customStyle="1" w:styleId="Heading9Char">
    <w:name w:val="Heading 9 Char"/>
    <w:basedOn w:val="DefaultParagraphFont"/>
    <w:link w:val="Heading9"/>
    <w:semiHidden/>
    <w:rsid w:val="0078325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783257"/>
    <w:rPr>
      <w:i/>
      <w:iCs/>
    </w:rPr>
  </w:style>
  <w:style w:type="character" w:customStyle="1" w:styleId="HTMLAddressChar">
    <w:name w:val="HTML Address Char"/>
    <w:basedOn w:val="DefaultParagraphFont"/>
    <w:link w:val="HTMLAddress"/>
    <w:semiHidden/>
    <w:rsid w:val="00783257"/>
    <w:rPr>
      <w:i/>
      <w:iCs/>
      <w:sz w:val="24"/>
      <w:szCs w:val="24"/>
    </w:rPr>
  </w:style>
  <w:style w:type="paragraph" w:styleId="Index1">
    <w:name w:val="index 1"/>
    <w:basedOn w:val="Normal"/>
    <w:next w:val="Normal"/>
    <w:autoRedefine/>
    <w:semiHidden/>
    <w:unhideWhenUsed/>
    <w:rsid w:val="00783257"/>
    <w:pPr>
      <w:ind w:left="240" w:hanging="240"/>
    </w:pPr>
  </w:style>
  <w:style w:type="paragraph" w:styleId="Index2">
    <w:name w:val="index 2"/>
    <w:basedOn w:val="Normal"/>
    <w:next w:val="Normal"/>
    <w:autoRedefine/>
    <w:semiHidden/>
    <w:unhideWhenUsed/>
    <w:rsid w:val="00783257"/>
    <w:pPr>
      <w:ind w:left="480" w:hanging="240"/>
    </w:pPr>
  </w:style>
  <w:style w:type="paragraph" w:styleId="Index3">
    <w:name w:val="index 3"/>
    <w:basedOn w:val="Normal"/>
    <w:next w:val="Normal"/>
    <w:autoRedefine/>
    <w:semiHidden/>
    <w:unhideWhenUsed/>
    <w:rsid w:val="00783257"/>
    <w:pPr>
      <w:ind w:left="720" w:hanging="240"/>
    </w:pPr>
  </w:style>
  <w:style w:type="paragraph" w:styleId="Index4">
    <w:name w:val="index 4"/>
    <w:basedOn w:val="Normal"/>
    <w:next w:val="Normal"/>
    <w:autoRedefine/>
    <w:semiHidden/>
    <w:unhideWhenUsed/>
    <w:rsid w:val="00783257"/>
    <w:pPr>
      <w:ind w:left="960" w:hanging="240"/>
    </w:pPr>
  </w:style>
  <w:style w:type="paragraph" w:styleId="Index5">
    <w:name w:val="index 5"/>
    <w:basedOn w:val="Normal"/>
    <w:next w:val="Normal"/>
    <w:autoRedefine/>
    <w:semiHidden/>
    <w:unhideWhenUsed/>
    <w:rsid w:val="00783257"/>
    <w:pPr>
      <w:ind w:left="1200" w:hanging="240"/>
    </w:pPr>
  </w:style>
  <w:style w:type="paragraph" w:styleId="Index6">
    <w:name w:val="index 6"/>
    <w:basedOn w:val="Normal"/>
    <w:next w:val="Normal"/>
    <w:autoRedefine/>
    <w:semiHidden/>
    <w:unhideWhenUsed/>
    <w:rsid w:val="00783257"/>
    <w:pPr>
      <w:ind w:left="1440" w:hanging="240"/>
    </w:pPr>
  </w:style>
  <w:style w:type="paragraph" w:styleId="Index7">
    <w:name w:val="index 7"/>
    <w:basedOn w:val="Normal"/>
    <w:next w:val="Normal"/>
    <w:autoRedefine/>
    <w:semiHidden/>
    <w:unhideWhenUsed/>
    <w:rsid w:val="00783257"/>
    <w:pPr>
      <w:ind w:left="1680" w:hanging="240"/>
    </w:pPr>
  </w:style>
  <w:style w:type="paragraph" w:styleId="Index8">
    <w:name w:val="index 8"/>
    <w:basedOn w:val="Normal"/>
    <w:next w:val="Normal"/>
    <w:autoRedefine/>
    <w:semiHidden/>
    <w:unhideWhenUsed/>
    <w:rsid w:val="00783257"/>
    <w:pPr>
      <w:ind w:left="1920" w:hanging="240"/>
    </w:pPr>
  </w:style>
  <w:style w:type="paragraph" w:styleId="Index9">
    <w:name w:val="index 9"/>
    <w:basedOn w:val="Normal"/>
    <w:next w:val="Normal"/>
    <w:autoRedefine/>
    <w:semiHidden/>
    <w:unhideWhenUsed/>
    <w:rsid w:val="00783257"/>
    <w:pPr>
      <w:ind w:left="2160" w:hanging="240"/>
    </w:pPr>
  </w:style>
  <w:style w:type="paragraph" w:styleId="IndexHeading">
    <w:name w:val="index heading"/>
    <w:basedOn w:val="Normal"/>
    <w:next w:val="Index1"/>
    <w:semiHidden/>
    <w:unhideWhenUsed/>
    <w:rsid w:val="0078325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832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83257"/>
    <w:rPr>
      <w:i/>
      <w:iCs/>
      <w:color w:val="4F81BD" w:themeColor="accent1"/>
      <w:sz w:val="24"/>
      <w:szCs w:val="24"/>
    </w:rPr>
  </w:style>
  <w:style w:type="paragraph" w:styleId="List">
    <w:name w:val="List"/>
    <w:basedOn w:val="Normal"/>
    <w:semiHidden/>
    <w:unhideWhenUsed/>
    <w:rsid w:val="00783257"/>
    <w:pPr>
      <w:ind w:left="283" w:hanging="283"/>
      <w:contextualSpacing/>
    </w:pPr>
  </w:style>
  <w:style w:type="paragraph" w:styleId="List2">
    <w:name w:val="List 2"/>
    <w:basedOn w:val="Normal"/>
    <w:semiHidden/>
    <w:unhideWhenUsed/>
    <w:rsid w:val="00783257"/>
    <w:pPr>
      <w:ind w:left="566" w:hanging="283"/>
      <w:contextualSpacing/>
    </w:pPr>
  </w:style>
  <w:style w:type="paragraph" w:styleId="List3">
    <w:name w:val="List 3"/>
    <w:basedOn w:val="Normal"/>
    <w:semiHidden/>
    <w:unhideWhenUsed/>
    <w:rsid w:val="00783257"/>
    <w:pPr>
      <w:ind w:left="849" w:hanging="283"/>
      <w:contextualSpacing/>
    </w:pPr>
  </w:style>
  <w:style w:type="paragraph" w:styleId="List4">
    <w:name w:val="List 4"/>
    <w:basedOn w:val="Normal"/>
    <w:rsid w:val="00783257"/>
    <w:pPr>
      <w:ind w:left="1132" w:hanging="283"/>
      <w:contextualSpacing/>
    </w:pPr>
  </w:style>
  <w:style w:type="paragraph" w:styleId="List5">
    <w:name w:val="List 5"/>
    <w:basedOn w:val="Normal"/>
    <w:rsid w:val="00783257"/>
    <w:pPr>
      <w:ind w:left="1415" w:hanging="283"/>
      <w:contextualSpacing/>
    </w:pPr>
  </w:style>
  <w:style w:type="paragraph" w:styleId="ListBullet">
    <w:name w:val="List Bullet"/>
    <w:basedOn w:val="Normal"/>
    <w:semiHidden/>
    <w:unhideWhenUsed/>
    <w:rsid w:val="00783257"/>
    <w:pPr>
      <w:numPr>
        <w:numId w:val="7"/>
      </w:numPr>
      <w:contextualSpacing/>
    </w:pPr>
  </w:style>
  <w:style w:type="paragraph" w:styleId="ListBullet2">
    <w:name w:val="List Bullet 2"/>
    <w:basedOn w:val="Normal"/>
    <w:semiHidden/>
    <w:unhideWhenUsed/>
    <w:rsid w:val="00783257"/>
    <w:pPr>
      <w:numPr>
        <w:numId w:val="8"/>
      </w:numPr>
      <w:contextualSpacing/>
    </w:pPr>
  </w:style>
  <w:style w:type="paragraph" w:styleId="ListBullet3">
    <w:name w:val="List Bullet 3"/>
    <w:basedOn w:val="Normal"/>
    <w:semiHidden/>
    <w:unhideWhenUsed/>
    <w:rsid w:val="00783257"/>
    <w:pPr>
      <w:numPr>
        <w:numId w:val="9"/>
      </w:numPr>
      <w:contextualSpacing/>
    </w:pPr>
  </w:style>
  <w:style w:type="paragraph" w:styleId="ListBullet4">
    <w:name w:val="List Bullet 4"/>
    <w:basedOn w:val="Normal"/>
    <w:semiHidden/>
    <w:unhideWhenUsed/>
    <w:rsid w:val="00783257"/>
    <w:pPr>
      <w:numPr>
        <w:numId w:val="10"/>
      </w:numPr>
      <w:contextualSpacing/>
    </w:pPr>
  </w:style>
  <w:style w:type="paragraph" w:styleId="ListBullet5">
    <w:name w:val="List Bullet 5"/>
    <w:basedOn w:val="Normal"/>
    <w:semiHidden/>
    <w:unhideWhenUsed/>
    <w:rsid w:val="00783257"/>
    <w:pPr>
      <w:numPr>
        <w:numId w:val="11"/>
      </w:numPr>
      <w:contextualSpacing/>
    </w:pPr>
  </w:style>
  <w:style w:type="paragraph" w:styleId="ListContinue">
    <w:name w:val="List Continue"/>
    <w:basedOn w:val="Normal"/>
    <w:semiHidden/>
    <w:unhideWhenUsed/>
    <w:rsid w:val="00783257"/>
    <w:pPr>
      <w:spacing w:after="120"/>
      <w:ind w:left="283"/>
      <w:contextualSpacing/>
    </w:pPr>
  </w:style>
  <w:style w:type="paragraph" w:styleId="ListContinue2">
    <w:name w:val="List Continue 2"/>
    <w:basedOn w:val="Normal"/>
    <w:semiHidden/>
    <w:unhideWhenUsed/>
    <w:rsid w:val="00783257"/>
    <w:pPr>
      <w:spacing w:after="120"/>
      <w:ind w:left="566"/>
      <w:contextualSpacing/>
    </w:pPr>
  </w:style>
  <w:style w:type="paragraph" w:styleId="ListContinue3">
    <w:name w:val="List Continue 3"/>
    <w:basedOn w:val="Normal"/>
    <w:semiHidden/>
    <w:unhideWhenUsed/>
    <w:rsid w:val="00783257"/>
    <w:pPr>
      <w:spacing w:after="120"/>
      <w:ind w:left="849"/>
      <w:contextualSpacing/>
    </w:pPr>
  </w:style>
  <w:style w:type="paragraph" w:styleId="ListContinue4">
    <w:name w:val="List Continue 4"/>
    <w:basedOn w:val="Normal"/>
    <w:semiHidden/>
    <w:unhideWhenUsed/>
    <w:rsid w:val="00783257"/>
    <w:pPr>
      <w:spacing w:after="120"/>
      <w:ind w:left="1132"/>
      <w:contextualSpacing/>
    </w:pPr>
  </w:style>
  <w:style w:type="paragraph" w:styleId="ListContinue5">
    <w:name w:val="List Continue 5"/>
    <w:basedOn w:val="Normal"/>
    <w:semiHidden/>
    <w:unhideWhenUsed/>
    <w:rsid w:val="00783257"/>
    <w:pPr>
      <w:spacing w:after="120"/>
      <w:ind w:left="1415"/>
      <w:contextualSpacing/>
    </w:pPr>
  </w:style>
  <w:style w:type="paragraph" w:styleId="ListNumber">
    <w:name w:val="List Number"/>
    <w:basedOn w:val="Normal"/>
    <w:rsid w:val="00783257"/>
    <w:pPr>
      <w:numPr>
        <w:numId w:val="12"/>
      </w:numPr>
      <w:contextualSpacing/>
    </w:pPr>
  </w:style>
  <w:style w:type="paragraph" w:styleId="ListNumber2">
    <w:name w:val="List Number 2"/>
    <w:basedOn w:val="Normal"/>
    <w:semiHidden/>
    <w:unhideWhenUsed/>
    <w:rsid w:val="00783257"/>
    <w:pPr>
      <w:numPr>
        <w:numId w:val="13"/>
      </w:numPr>
      <w:contextualSpacing/>
    </w:pPr>
  </w:style>
  <w:style w:type="paragraph" w:styleId="ListNumber3">
    <w:name w:val="List Number 3"/>
    <w:basedOn w:val="Normal"/>
    <w:semiHidden/>
    <w:unhideWhenUsed/>
    <w:rsid w:val="00783257"/>
    <w:pPr>
      <w:numPr>
        <w:numId w:val="14"/>
      </w:numPr>
      <w:contextualSpacing/>
    </w:pPr>
  </w:style>
  <w:style w:type="paragraph" w:styleId="ListNumber4">
    <w:name w:val="List Number 4"/>
    <w:basedOn w:val="Normal"/>
    <w:semiHidden/>
    <w:unhideWhenUsed/>
    <w:rsid w:val="00783257"/>
    <w:pPr>
      <w:numPr>
        <w:numId w:val="15"/>
      </w:numPr>
      <w:contextualSpacing/>
    </w:pPr>
  </w:style>
  <w:style w:type="paragraph" w:styleId="ListNumber5">
    <w:name w:val="List Number 5"/>
    <w:basedOn w:val="Normal"/>
    <w:semiHidden/>
    <w:unhideWhenUsed/>
    <w:rsid w:val="00783257"/>
    <w:pPr>
      <w:numPr>
        <w:numId w:val="16"/>
      </w:numPr>
      <w:contextualSpacing/>
    </w:pPr>
  </w:style>
  <w:style w:type="paragraph" w:styleId="MacroText">
    <w:name w:val="macro"/>
    <w:link w:val="MacroTextChar"/>
    <w:semiHidden/>
    <w:unhideWhenUsed/>
    <w:rsid w:val="0078325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783257"/>
    <w:rPr>
      <w:rFonts w:ascii="Consolas" w:hAnsi="Consolas"/>
    </w:rPr>
  </w:style>
  <w:style w:type="paragraph" w:styleId="MessageHeader">
    <w:name w:val="Message Header"/>
    <w:basedOn w:val="Normal"/>
    <w:link w:val="MessageHeaderChar"/>
    <w:semiHidden/>
    <w:unhideWhenUsed/>
    <w:rsid w:val="007832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83257"/>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783257"/>
    <w:pPr>
      <w:ind w:left="720"/>
    </w:pPr>
  </w:style>
  <w:style w:type="paragraph" w:styleId="NoteHeading">
    <w:name w:val="Note Heading"/>
    <w:basedOn w:val="Normal"/>
    <w:next w:val="Normal"/>
    <w:link w:val="NoteHeadingChar"/>
    <w:semiHidden/>
    <w:unhideWhenUsed/>
    <w:rsid w:val="00783257"/>
  </w:style>
  <w:style w:type="character" w:customStyle="1" w:styleId="NoteHeadingChar">
    <w:name w:val="Note Heading Char"/>
    <w:basedOn w:val="DefaultParagraphFont"/>
    <w:link w:val="NoteHeading"/>
    <w:semiHidden/>
    <w:rsid w:val="00783257"/>
    <w:rPr>
      <w:sz w:val="24"/>
      <w:szCs w:val="24"/>
    </w:rPr>
  </w:style>
  <w:style w:type="paragraph" w:styleId="Quote">
    <w:name w:val="Quote"/>
    <w:basedOn w:val="Normal"/>
    <w:next w:val="Normal"/>
    <w:link w:val="QuoteChar"/>
    <w:uiPriority w:val="29"/>
    <w:qFormat/>
    <w:rsid w:val="007832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83257"/>
    <w:rPr>
      <w:i/>
      <w:iCs/>
      <w:color w:val="404040" w:themeColor="text1" w:themeTint="BF"/>
      <w:sz w:val="24"/>
      <w:szCs w:val="24"/>
    </w:rPr>
  </w:style>
  <w:style w:type="paragraph" w:styleId="Salutation">
    <w:name w:val="Salutation"/>
    <w:basedOn w:val="Normal"/>
    <w:next w:val="Normal"/>
    <w:link w:val="SalutationChar"/>
    <w:rsid w:val="00783257"/>
  </w:style>
  <w:style w:type="character" w:customStyle="1" w:styleId="SalutationChar">
    <w:name w:val="Salutation Char"/>
    <w:basedOn w:val="DefaultParagraphFont"/>
    <w:link w:val="Salutation"/>
    <w:rsid w:val="00783257"/>
    <w:rPr>
      <w:sz w:val="24"/>
      <w:szCs w:val="24"/>
    </w:rPr>
  </w:style>
  <w:style w:type="paragraph" w:styleId="Signature">
    <w:name w:val="Signature"/>
    <w:basedOn w:val="Normal"/>
    <w:link w:val="SignatureChar"/>
    <w:semiHidden/>
    <w:unhideWhenUsed/>
    <w:rsid w:val="00783257"/>
    <w:pPr>
      <w:ind w:left="4252"/>
    </w:pPr>
  </w:style>
  <w:style w:type="character" w:customStyle="1" w:styleId="SignatureChar">
    <w:name w:val="Signature Char"/>
    <w:basedOn w:val="DefaultParagraphFont"/>
    <w:link w:val="Signature"/>
    <w:semiHidden/>
    <w:rsid w:val="00783257"/>
    <w:rPr>
      <w:sz w:val="24"/>
      <w:szCs w:val="24"/>
    </w:rPr>
  </w:style>
  <w:style w:type="paragraph" w:styleId="Subtitle">
    <w:name w:val="Subtitle"/>
    <w:basedOn w:val="Normal"/>
    <w:next w:val="Normal"/>
    <w:link w:val="SubtitleChar"/>
    <w:qFormat/>
    <w:rsid w:val="007832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83257"/>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783257"/>
    <w:pPr>
      <w:ind w:left="240" w:hanging="240"/>
    </w:pPr>
  </w:style>
  <w:style w:type="paragraph" w:styleId="TableofFigures">
    <w:name w:val="table of figures"/>
    <w:basedOn w:val="Normal"/>
    <w:next w:val="Normal"/>
    <w:semiHidden/>
    <w:unhideWhenUsed/>
    <w:rsid w:val="00783257"/>
  </w:style>
  <w:style w:type="paragraph" w:styleId="TOAHeading">
    <w:name w:val="toa heading"/>
    <w:basedOn w:val="Normal"/>
    <w:next w:val="Normal"/>
    <w:semiHidden/>
    <w:unhideWhenUsed/>
    <w:rsid w:val="00783257"/>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783257"/>
    <w:pPr>
      <w:spacing w:after="100"/>
    </w:pPr>
  </w:style>
  <w:style w:type="paragraph" w:styleId="TOC2">
    <w:name w:val="toc 2"/>
    <w:basedOn w:val="Normal"/>
    <w:next w:val="Normal"/>
    <w:autoRedefine/>
    <w:semiHidden/>
    <w:unhideWhenUsed/>
    <w:rsid w:val="00783257"/>
    <w:pPr>
      <w:spacing w:after="100"/>
      <w:ind w:left="240"/>
    </w:pPr>
  </w:style>
  <w:style w:type="paragraph" w:styleId="TOC3">
    <w:name w:val="toc 3"/>
    <w:basedOn w:val="Normal"/>
    <w:next w:val="Normal"/>
    <w:autoRedefine/>
    <w:semiHidden/>
    <w:unhideWhenUsed/>
    <w:rsid w:val="00783257"/>
    <w:pPr>
      <w:spacing w:after="100"/>
      <w:ind w:left="480"/>
    </w:pPr>
  </w:style>
  <w:style w:type="paragraph" w:styleId="TOC4">
    <w:name w:val="toc 4"/>
    <w:basedOn w:val="Normal"/>
    <w:next w:val="Normal"/>
    <w:autoRedefine/>
    <w:semiHidden/>
    <w:unhideWhenUsed/>
    <w:rsid w:val="00783257"/>
    <w:pPr>
      <w:spacing w:after="100"/>
      <w:ind w:left="720"/>
    </w:pPr>
  </w:style>
  <w:style w:type="paragraph" w:styleId="TOC5">
    <w:name w:val="toc 5"/>
    <w:basedOn w:val="Normal"/>
    <w:next w:val="Normal"/>
    <w:autoRedefine/>
    <w:semiHidden/>
    <w:unhideWhenUsed/>
    <w:rsid w:val="00783257"/>
    <w:pPr>
      <w:spacing w:after="100"/>
      <w:ind w:left="960"/>
    </w:pPr>
  </w:style>
  <w:style w:type="paragraph" w:styleId="TOC6">
    <w:name w:val="toc 6"/>
    <w:basedOn w:val="Normal"/>
    <w:next w:val="Normal"/>
    <w:autoRedefine/>
    <w:semiHidden/>
    <w:unhideWhenUsed/>
    <w:rsid w:val="00783257"/>
    <w:pPr>
      <w:spacing w:after="100"/>
      <w:ind w:left="1200"/>
    </w:pPr>
  </w:style>
  <w:style w:type="paragraph" w:styleId="TOC7">
    <w:name w:val="toc 7"/>
    <w:basedOn w:val="Normal"/>
    <w:next w:val="Normal"/>
    <w:autoRedefine/>
    <w:semiHidden/>
    <w:unhideWhenUsed/>
    <w:rsid w:val="00783257"/>
    <w:pPr>
      <w:spacing w:after="100"/>
      <w:ind w:left="1440"/>
    </w:pPr>
  </w:style>
  <w:style w:type="paragraph" w:styleId="TOC8">
    <w:name w:val="toc 8"/>
    <w:basedOn w:val="Normal"/>
    <w:next w:val="Normal"/>
    <w:autoRedefine/>
    <w:semiHidden/>
    <w:unhideWhenUsed/>
    <w:rsid w:val="00783257"/>
    <w:pPr>
      <w:spacing w:after="100"/>
      <w:ind w:left="1680"/>
    </w:pPr>
  </w:style>
  <w:style w:type="paragraph" w:styleId="TOC9">
    <w:name w:val="toc 9"/>
    <w:basedOn w:val="Normal"/>
    <w:next w:val="Normal"/>
    <w:autoRedefine/>
    <w:semiHidden/>
    <w:unhideWhenUsed/>
    <w:rsid w:val="00783257"/>
    <w:pPr>
      <w:spacing w:after="100"/>
      <w:ind w:left="1920"/>
    </w:pPr>
  </w:style>
  <w:style w:type="paragraph" w:styleId="TOCHeading">
    <w:name w:val="TOC Heading"/>
    <w:basedOn w:val="Heading1"/>
    <w:next w:val="Normal"/>
    <w:uiPriority w:val="39"/>
    <w:semiHidden/>
    <w:unhideWhenUsed/>
    <w:qFormat/>
    <w:rsid w:val="00783257"/>
    <w:pPr>
      <w:keepLines/>
      <w:overflowPunct/>
      <w:autoSpaceDE/>
      <w:autoSpaceDN/>
      <w:adjustRightInd/>
      <w:spacing w:before="240"/>
      <w:outlineLvl w:val="9"/>
    </w:pPr>
    <w:rPr>
      <w:rFonts w:asciiTheme="majorHAnsi" w:eastAsiaTheme="majorEastAsia" w:hAnsiTheme="majorHAnsi" w:cstheme="majorBidi"/>
      <w:b w:val="0"/>
      <w:color w:val="365F91" w:themeColor="accent1" w:themeShade="BF"/>
      <w:sz w:val="32"/>
      <w:szCs w:val="32"/>
      <w:lang w:eastAsia="en-GB"/>
    </w:rPr>
  </w:style>
  <w:style w:type="paragraph" w:customStyle="1" w:styleId="pulloutquote">
    <w:name w:val="_pullout quote"/>
    <w:basedOn w:val="Normal"/>
    <w:uiPriority w:val="99"/>
    <w:rsid w:val="00CF5F68"/>
    <w:pPr>
      <w:tabs>
        <w:tab w:val="left" w:pos="340"/>
      </w:tabs>
      <w:suppressAutoHyphens/>
      <w:autoSpaceDE w:val="0"/>
      <w:autoSpaceDN w:val="0"/>
      <w:adjustRightInd w:val="0"/>
      <w:spacing w:after="120" w:line="240" w:lineRule="atLeast"/>
      <w:textAlignment w:val="center"/>
    </w:pPr>
    <w:rPr>
      <w:rFonts w:ascii="Arial" w:eastAsiaTheme="minorHAnsi" w:hAnsi="Arial" w:cs="Arial"/>
      <w:color w:val="000000"/>
      <w:sz w:val="22"/>
      <w:szCs w:val="22"/>
      <w:lang w:eastAsia="en-US"/>
    </w:rPr>
  </w:style>
  <w:style w:type="paragraph" w:customStyle="1" w:styleId="FigsLFTFigs">
    <w:name w:val="Figs LFT (Figs)"/>
    <w:basedOn w:val="Normal"/>
    <w:uiPriority w:val="99"/>
    <w:rsid w:val="001E38C7"/>
    <w:pPr>
      <w:tabs>
        <w:tab w:val="left" w:pos="751"/>
      </w:tabs>
      <w:suppressAutoHyphens/>
      <w:autoSpaceDE w:val="0"/>
      <w:autoSpaceDN w:val="0"/>
      <w:adjustRightInd w:val="0"/>
      <w:spacing w:line="190" w:lineRule="atLeast"/>
      <w:textAlignment w:val="center"/>
    </w:pPr>
    <w:rPr>
      <w:rFonts w:ascii="Poppins Light" w:hAnsi="Poppins Light"/>
      <w:color w:val="000000"/>
      <w:sz w:val="15"/>
      <w:szCs w:val="15"/>
    </w:rPr>
  </w:style>
  <w:style w:type="paragraph" w:customStyle="1" w:styleId="xmsonormal">
    <w:name w:val="x_msonormal"/>
    <w:basedOn w:val="Normal"/>
    <w:rsid w:val="00B71B87"/>
    <w:rPr>
      <w:rFonts w:ascii="Aptos" w:eastAsiaTheme="minorHAnsi" w:hAnsi="Aptos" w:cs="Aptos"/>
    </w:rPr>
  </w:style>
  <w:style w:type="numbering" w:customStyle="1" w:styleId="CurrentList1">
    <w:name w:val="Current List1"/>
    <w:uiPriority w:val="99"/>
    <w:rsid w:val="00165D5F"/>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00">
      <w:bodyDiv w:val="1"/>
      <w:marLeft w:val="0"/>
      <w:marRight w:val="0"/>
      <w:marTop w:val="0"/>
      <w:marBottom w:val="0"/>
      <w:divBdr>
        <w:top w:val="none" w:sz="0" w:space="0" w:color="auto"/>
        <w:left w:val="none" w:sz="0" w:space="0" w:color="auto"/>
        <w:bottom w:val="none" w:sz="0" w:space="0" w:color="auto"/>
        <w:right w:val="none" w:sz="0" w:space="0" w:color="auto"/>
      </w:divBdr>
    </w:div>
    <w:div w:id="7567078">
      <w:bodyDiv w:val="1"/>
      <w:marLeft w:val="0"/>
      <w:marRight w:val="0"/>
      <w:marTop w:val="0"/>
      <w:marBottom w:val="0"/>
      <w:divBdr>
        <w:top w:val="none" w:sz="0" w:space="0" w:color="auto"/>
        <w:left w:val="none" w:sz="0" w:space="0" w:color="auto"/>
        <w:bottom w:val="none" w:sz="0" w:space="0" w:color="auto"/>
        <w:right w:val="none" w:sz="0" w:space="0" w:color="auto"/>
      </w:divBdr>
    </w:div>
    <w:div w:id="8260940">
      <w:bodyDiv w:val="1"/>
      <w:marLeft w:val="0"/>
      <w:marRight w:val="0"/>
      <w:marTop w:val="0"/>
      <w:marBottom w:val="0"/>
      <w:divBdr>
        <w:top w:val="none" w:sz="0" w:space="0" w:color="auto"/>
        <w:left w:val="none" w:sz="0" w:space="0" w:color="auto"/>
        <w:bottom w:val="none" w:sz="0" w:space="0" w:color="auto"/>
        <w:right w:val="none" w:sz="0" w:space="0" w:color="auto"/>
      </w:divBdr>
    </w:div>
    <w:div w:id="31731466">
      <w:bodyDiv w:val="1"/>
      <w:marLeft w:val="0"/>
      <w:marRight w:val="0"/>
      <w:marTop w:val="0"/>
      <w:marBottom w:val="0"/>
      <w:divBdr>
        <w:top w:val="none" w:sz="0" w:space="0" w:color="auto"/>
        <w:left w:val="none" w:sz="0" w:space="0" w:color="auto"/>
        <w:bottom w:val="none" w:sz="0" w:space="0" w:color="auto"/>
        <w:right w:val="none" w:sz="0" w:space="0" w:color="auto"/>
      </w:divBdr>
    </w:div>
    <w:div w:id="35399410">
      <w:bodyDiv w:val="1"/>
      <w:marLeft w:val="0"/>
      <w:marRight w:val="0"/>
      <w:marTop w:val="0"/>
      <w:marBottom w:val="0"/>
      <w:divBdr>
        <w:top w:val="none" w:sz="0" w:space="0" w:color="auto"/>
        <w:left w:val="none" w:sz="0" w:space="0" w:color="auto"/>
        <w:bottom w:val="none" w:sz="0" w:space="0" w:color="auto"/>
        <w:right w:val="none" w:sz="0" w:space="0" w:color="auto"/>
      </w:divBdr>
    </w:div>
    <w:div w:id="55860710">
      <w:bodyDiv w:val="1"/>
      <w:marLeft w:val="0"/>
      <w:marRight w:val="0"/>
      <w:marTop w:val="0"/>
      <w:marBottom w:val="0"/>
      <w:divBdr>
        <w:top w:val="none" w:sz="0" w:space="0" w:color="auto"/>
        <w:left w:val="none" w:sz="0" w:space="0" w:color="auto"/>
        <w:bottom w:val="none" w:sz="0" w:space="0" w:color="auto"/>
        <w:right w:val="none" w:sz="0" w:space="0" w:color="auto"/>
      </w:divBdr>
    </w:div>
    <w:div w:id="70350895">
      <w:bodyDiv w:val="1"/>
      <w:marLeft w:val="0"/>
      <w:marRight w:val="0"/>
      <w:marTop w:val="0"/>
      <w:marBottom w:val="0"/>
      <w:divBdr>
        <w:top w:val="none" w:sz="0" w:space="0" w:color="auto"/>
        <w:left w:val="none" w:sz="0" w:space="0" w:color="auto"/>
        <w:bottom w:val="none" w:sz="0" w:space="0" w:color="auto"/>
        <w:right w:val="none" w:sz="0" w:space="0" w:color="auto"/>
      </w:divBdr>
    </w:div>
    <w:div w:id="71775383">
      <w:bodyDiv w:val="1"/>
      <w:marLeft w:val="0"/>
      <w:marRight w:val="0"/>
      <w:marTop w:val="0"/>
      <w:marBottom w:val="0"/>
      <w:divBdr>
        <w:top w:val="none" w:sz="0" w:space="0" w:color="auto"/>
        <w:left w:val="none" w:sz="0" w:space="0" w:color="auto"/>
        <w:bottom w:val="none" w:sz="0" w:space="0" w:color="auto"/>
        <w:right w:val="none" w:sz="0" w:space="0" w:color="auto"/>
      </w:divBdr>
    </w:div>
    <w:div w:id="79759054">
      <w:bodyDiv w:val="1"/>
      <w:marLeft w:val="0"/>
      <w:marRight w:val="0"/>
      <w:marTop w:val="0"/>
      <w:marBottom w:val="0"/>
      <w:divBdr>
        <w:top w:val="none" w:sz="0" w:space="0" w:color="auto"/>
        <w:left w:val="none" w:sz="0" w:space="0" w:color="auto"/>
        <w:bottom w:val="none" w:sz="0" w:space="0" w:color="auto"/>
        <w:right w:val="none" w:sz="0" w:space="0" w:color="auto"/>
      </w:divBdr>
    </w:div>
    <w:div w:id="88358503">
      <w:bodyDiv w:val="1"/>
      <w:marLeft w:val="0"/>
      <w:marRight w:val="0"/>
      <w:marTop w:val="0"/>
      <w:marBottom w:val="0"/>
      <w:divBdr>
        <w:top w:val="none" w:sz="0" w:space="0" w:color="auto"/>
        <w:left w:val="none" w:sz="0" w:space="0" w:color="auto"/>
        <w:bottom w:val="none" w:sz="0" w:space="0" w:color="auto"/>
        <w:right w:val="none" w:sz="0" w:space="0" w:color="auto"/>
      </w:divBdr>
    </w:div>
    <w:div w:id="104231445">
      <w:bodyDiv w:val="1"/>
      <w:marLeft w:val="0"/>
      <w:marRight w:val="0"/>
      <w:marTop w:val="0"/>
      <w:marBottom w:val="0"/>
      <w:divBdr>
        <w:top w:val="none" w:sz="0" w:space="0" w:color="auto"/>
        <w:left w:val="none" w:sz="0" w:space="0" w:color="auto"/>
        <w:bottom w:val="none" w:sz="0" w:space="0" w:color="auto"/>
        <w:right w:val="none" w:sz="0" w:space="0" w:color="auto"/>
      </w:divBdr>
      <w:divsChild>
        <w:div w:id="357632394">
          <w:marLeft w:val="288"/>
          <w:marRight w:val="0"/>
          <w:marTop w:val="0"/>
          <w:marBottom w:val="170"/>
          <w:divBdr>
            <w:top w:val="none" w:sz="0" w:space="0" w:color="auto"/>
            <w:left w:val="none" w:sz="0" w:space="0" w:color="auto"/>
            <w:bottom w:val="none" w:sz="0" w:space="0" w:color="auto"/>
            <w:right w:val="none" w:sz="0" w:space="0" w:color="auto"/>
          </w:divBdr>
        </w:div>
      </w:divsChild>
    </w:div>
    <w:div w:id="114718276">
      <w:bodyDiv w:val="1"/>
      <w:marLeft w:val="0"/>
      <w:marRight w:val="0"/>
      <w:marTop w:val="0"/>
      <w:marBottom w:val="0"/>
      <w:divBdr>
        <w:top w:val="none" w:sz="0" w:space="0" w:color="auto"/>
        <w:left w:val="none" w:sz="0" w:space="0" w:color="auto"/>
        <w:bottom w:val="none" w:sz="0" w:space="0" w:color="auto"/>
        <w:right w:val="none" w:sz="0" w:space="0" w:color="auto"/>
      </w:divBdr>
    </w:div>
    <w:div w:id="115756326">
      <w:bodyDiv w:val="1"/>
      <w:marLeft w:val="0"/>
      <w:marRight w:val="0"/>
      <w:marTop w:val="0"/>
      <w:marBottom w:val="0"/>
      <w:divBdr>
        <w:top w:val="none" w:sz="0" w:space="0" w:color="auto"/>
        <w:left w:val="none" w:sz="0" w:space="0" w:color="auto"/>
        <w:bottom w:val="none" w:sz="0" w:space="0" w:color="auto"/>
        <w:right w:val="none" w:sz="0" w:space="0" w:color="auto"/>
      </w:divBdr>
    </w:div>
    <w:div w:id="129135168">
      <w:bodyDiv w:val="1"/>
      <w:marLeft w:val="0"/>
      <w:marRight w:val="0"/>
      <w:marTop w:val="0"/>
      <w:marBottom w:val="0"/>
      <w:divBdr>
        <w:top w:val="none" w:sz="0" w:space="0" w:color="auto"/>
        <w:left w:val="none" w:sz="0" w:space="0" w:color="auto"/>
        <w:bottom w:val="none" w:sz="0" w:space="0" w:color="auto"/>
        <w:right w:val="none" w:sz="0" w:space="0" w:color="auto"/>
      </w:divBdr>
    </w:div>
    <w:div w:id="142813184">
      <w:bodyDiv w:val="1"/>
      <w:marLeft w:val="0"/>
      <w:marRight w:val="0"/>
      <w:marTop w:val="0"/>
      <w:marBottom w:val="0"/>
      <w:divBdr>
        <w:top w:val="none" w:sz="0" w:space="0" w:color="auto"/>
        <w:left w:val="none" w:sz="0" w:space="0" w:color="auto"/>
        <w:bottom w:val="none" w:sz="0" w:space="0" w:color="auto"/>
        <w:right w:val="none" w:sz="0" w:space="0" w:color="auto"/>
      </w:divBdr>
    </w:div>
    <w:div w:id="158162437">
      <w:bodyDiv w:val="1"/>
      <w:marLeft w:val="0"/>
      <w:marRight w:val="0"/>
      <w:marTop w:val="0"/>
      <w:marBottom w:val="0"/>
      <w:divBdr>
        <w:top w:val="none" w:sz="0" w:space="0" w:color="auto"/>
        <w:left w:val="none" w:sz="0" w:space="0" w:color="auto"/>
        <w:bottom w:val="none" w:sz="0" w:space="0" w:color="auto"/>
        <w:right w:val="none" w:sz="0" w:space="0" w:color="auto"/>
      </w:divBdr>
      <w:divsChild>
        <w:div w:id="937834620">
          <w:marLeft w:val="634"/>
          <w:marRight w:val="0"/>
          <w:marTop w:val="0"/>
          <w:marBottom w:val="0"/>
          <w:divBdr>
            <w:top w:val="none" w:sz="0" w:space="0" w:color="auto"/>
            <w:left w:val="none" w:sz="0" w:space="0" w:color="auto"/>
            <w:bottom w:val="none" w:sz="0" w:space="0" w:color="auto"/>
            <w:right w:val="none" w:sz="0" w:space="0" w:color="auto"/>
          </w:divBdr>
        </w:div>
      </w:divsChild>
    </w:div>
    <w:div w:id="160582754">
      <w:bodyDiv w:val="1"/>
      <w:marLeft w:val="0"/>
      <w:marRight w:val="0"/>
      <w:marTop w:val="0"/>
      <w:marBottom w:val="0"/>
      <w:divBdr>
        <w:top w:val="none" w:sz="0" w:space="0" w:color="auto"/>
        <w:left w:val="none" w:sz="0" w:space="0" w:color="auto"/>
        <w:bottom w:val="none" w:sz="0" w:space="0" w:color="auto"/>
        <w:right w:val="none" w:sz="0" w:space="0" w:color="auto"/>
      </w:divBdr>
    </w:div>
    <w:div w:id="171338060">
      <w:bodyDiv w:val="1"/>
      <w:marLeft w:val="0"/>
      <w:marRight w:val="0"/>
      <w:marTop w:val="0"/>
      <w:marBottom w:val="0"/>
      <w:divBdr>
        <w:top w:val="none" w:sz="0" w:space="0" w:color="auto"/>
        <w:left w:val="none" w:sz="0" w:space="0" w:color="auto"/>
        <w:bottom w:val="none" w:sz="0" w:space="0" w:color="auto"/>
        <w:right w:val="none" w:sz="0" w:space="0" w:color="auto"/>
      </w:divBdr>
    </w:div>
    <w:div w:id="173569360">
      <w:bodyDiv w:val="1"/>
      <w:marLeft w:val="0"/>
      <w:marRight w:val="0"/>
      <w:marTop w:val="0"/>
      <w:marBottom w:val="0"/>
      <w:divBdr>
        <w:top w:val="none" w:sz="0" w:space="0" w:color="auto"/>
        <w:left w:val="none" w:sz="0" w:space="0" w:color="auto"/>
        <w:bottom w:val="none" w:sz="0" w:space="0" w:color="auto"/>
        <w:right w:val="none" w:sz="0" w:space="0" w:color="auto"/>
      </w:divBdr>
    </w:div>
    <w:div w:id="174730321">
      <w:bodyDiv w:val="1"/>
      <w:marLeft w:val="0"/>
      <w:marRight w:val="0"/>
      <w:marTop w:val="0"/>
      <w:marBottom w:val="0"/>
      <w:divBdr>
        <w:top w:val="none" w:sz="0" w:space="0" w:color="auto"/>
        <w:left w:val="none" w:sz="0" w:space="0" w:color="auto"/>
        <w:bottom w:val="none" w:sz="0" w:space="0" w:color="auto"/>
        <w:right w:val="none" w:sz="0" w:space="0" w:color="auto"/>
      </w:divBdr>
    </w:div>
    <w:div w:id="182020613">
      <w:bodyDiv w:val="1"/>
      <w:marLeft w:val="0"/>
      <w:marRight w:val="0"/>
      <w:marTop w:val="0"/>
      <w:marBottom w:val="0"/>
      <w:divBdr>
        <w:top w:val="none" w:sz="0" w:space="0" w:color="auto"/>
        <w:left w:val="none" w:sz="0" w:space="0" w:color="auto"/>
        <w:bottom w:val="none" w:sz="0" w:space="0" w:color="auto"/>
        <w:right w:val="none" w:sz="0" w:space="0" w:color="auto"/>
      </w:divBdr>
    </w:div>
    <w:div w:id="182597005">
      <w:bodyDiv w:val="1"/>
      <w:marLeft w:val="0"/>
      <w:marRight w:val="0"/>
      <w:marTop w:val="0"/>
      <w:marBottom w:val="0"/>
      <w:divBdr>
        <w:top w:val="none" w:sz="0" w:space="0" w:color="auto"/>
        <w:left w:val="none" w:sz="0" w:space="0" w:color="auto"/>
        <w:bottom w:val="none" w:sz="0" w:space="0" w:color="auto"/>
        <w:right w:val="none" w:sz="0" w:space="0" w:color="auto"/>
      </w:divBdr>
      <w:divsChild>
        <w:div w:id="353768943">
          <w:marLeft w:val="446"/>
          <w:marRight w:val="0"/>
          <w:marTop w:val="0"/>
          <w:marBottom w:val="0"/>
          <w:divBdr>
            <w:top w:val="none" w:sz="0" w:space="0" w:color="auto"/>
            <w:left w:val="none" w:sz="0" w:space="0" w:color="auto"/>
            <w:bottom w:val="none" w:sz="0" w:space="0" w:color="auto"/>
            <w:right w:val="none" w:sz="0" w:space="0" w:color="auto"/>
          </w:divBdr>
        </w:div>
      </w:divsChild>
    </w:div>
    <w:div w:id="188035338">
      <w:bodyDiv w:val="1"/>
      <w:marLeft w:val="0"/>
      <w:marRight w:val="0"/>
      <w:marTop w:val="0"/>
      <w:marBottom w:val="0"/>
      <w:divBdr>
        <w:top w:val="none" w:sz="0" w:space="0" w:color="auto"/>
        <w:left w:val="none" w:sz="0" w:space="0" w:color="auto"/>
        <w:bottom w:val="none" w:sz="0" w:space="0" w:color="auto"/>
        <w:right w:val="none" w:sz="0" w:space="0" w:color="auto"/>
      </w:divBdr>
    </w:div>
    <w:div w:id="204218337">
      <w:bodyDiv w:val="1"/>
      <w:marLeft w:val="0"/>
      <w:marRight w:val="0"/>
      <w:marTop w:val="0"/>
      <w:marBottom w:val="0"/>
      <w:divBdr>
        <w:top w:val="none" w:sz="0" w:space="0" w:color="auto"/>
        <w:left w:val="none" w:sz="0" w:space="0" w:color="auto"/>
        <w:bottom w:val="none" w:sz="0" w:space="0" w:color="auto"/>
        <w:right w:val="none" w:sz="0" w:space="0" w:color="auto"/>
      </w:divBdr>
    </w:div>
    <w:div w:id="216284370">
      <w:bodyDiv w:val="1"/>
      <w:marLeft w:val="0"/>
      <w:marRight w:val="0"/>
      <w:marTop w:val="0"/>
      <w:marBottom w:val="0"/>
      <w:divBdr>
        <w:top w:val="none" w:sz="0" w:space="0" w:color="auto"/>
        <w:left w:val="none" w:sz="0" w:space="0" w:color="auto"/>
        <w:bottom w:val="none" w:sz="0" w:space="0" w:color="auto"/>
        <w:right w:val="none" w:sz="0" w:space="0" w:color="auto"/>
      </w:divBdr>
    </w:div>
    <w:div w:id="219559842">
      <w:bodyDiv w:val="1"/>
      <w:marLeft w:val="0"/>
      <w:marRight w:val="0"/>
      <w:marTop w:val="0"/>
      <w:marBottom w:val="0"/>
      <w:divBdr>
        <w:top w:val="none" w:sz="0" w:space="0" w:color="auto"/>
        <w:left w:val="none" w:sz="0" w:space="0" w:color="auto"/>
        <w:bottom w:val="none" w:sz="0" w:space="0" w:color="auto"/>
        <w:right w:val="none" w:sz="0" w:space="0" w:color="auto"/>
      </w:divBdr>
    </w:div>
    <w:div w:id="225923287">
      <w:bodyDiv w:val="1"/>
      <w:marLeft w:val="0"/>
      <w:marRight w:val="0"/>
      <w:marTop w:val="0"/>
      <w:marBottom w:val="0"/>
      <w:divBdr>
        <w:top w:val="none" w:sz="0" w:space="0" w:color="auto"/>
        <w:left w:val="none" w:sz="0" w:space="0" w:color="auto"/>
        <w:bottom w:val="none" w:sz="0" w:space="0" w:color="auto"/>
        <w:right w:val="none" w:sz="0" w:space="0" w:color="auto"/>
      </w:divBdr>
    </w:div>
    <w:div w:id="227618129">
      <w:bodyDiv w:val="1"/>
      <w:marLeft w:val="0"/>
      <w:marRight w:val="0"/>
      <w:marTop w:val="0"/>
      <w:marBottom w:val="0"/>
      <w:divBdr>
        <w:top w:val="none" w:sz="0" w:space="0" w:color="auto"/>
        <w:left w:val="none" w:sz="0" w:space="0" w:color="auto"/>
        <w:bottom w:val="none" w:sz="0" w:space="0" w:color="auto"/>
        <w:right w:val="none" w:sz="0" w:space="0" w:color="auto"/>
      </w:divBdr>
      <w:divsChild>
        <w:div w:id="348063218">
          <w:marLeft w:val="1267"/>
          <w:marRight w:val="0"/>
          <w:marTop w:val="0"/>
          <w:marBottom w:val="0"/>
          <w:divBdr>
            <w:top w:val="none" w:sz="0" w:space="0" w:color="auto"/>
            <w:left w:val="none" w:sz="0" w:space="0" w:color="auto"/>
            <w:bottom w:val="none" w:sz="0" w:space="0" w:color="auto"/>
            <w:right w:val="none" w:sz="0" w:space="0" w:color="auto"/>
          </w:divBdr>
        </w:div>
        <w:div w:id="680161925">
          <w:marLeft w:val="547"/>
          <w:marRight w:val="0"/>
          <w:marTop w:val="0"/>
          <w:marBottom w:val="0"/>
          <w:divBdr>
            <w:top w:val="none" w:sz="0" w:space="0" w:color="auto"/>
            <w:left w:val="none" w:sz="0" w:space="0" w:color="auto"/>
            <w:bottom w:val="none" w:sz="0" w:space="0" w:color="auto"/>
            <w:right w:val="none" w:sz="0" w:space="0" w:color="auto"/>
          </w:divBdr>
        </w:div>
        <w:div w:id="2003311667">
          <w:marLeft w:val="1267"/>
          <w:marRight w:val="0"/>
          <w:marTop w:val="0"/>
          <w:marBottom w:val="0"/>
          <w:divBdr>
            <w:top w:val="none" w:sz="0" w:space="0" w:color="auto"/>
            <w:left w:val="none" w:sz="0" w:space="0" w:color="auto"/>
            <w:bottom w:val="none" w:sz="0" w:space="0" w:color="auto"/>
            <w:right w:val="none" w:sz="0" w:space="0" w:color="auto"/>
          </w:divBdr>
        </w:div>
      </w:divsChild>
    </w:div>
    <w:div w:id="249313698">
      <w:bodyDiv w:val="1"/>
      <w:marLeft w:val="0"/>
      <w:marRight w:val="0"/>
      <w:marTop w:val="0"/>
      <w:marBottom w:val="0"/>
      <w:divBdr>
        <w:top w:val="none" w:sz="0" w:space="0" w:color="auto"/>
        <w:left w:val="none" w:sz="0" w:space="0" w:color="auto"/>
        <w:bottom w:val="none" w:sz="0" w:space="0" w:color="auto"/>
        <w:right w:val="none" w:sz="0" w:space="0" w:color="auto"/>
      </w:divBdr>
    </w:div>
    <w:div w:id="252054392">
      <w:bodyDiv w:val="1"/>
      <w:marLeft w:val="0"/>
      <w:marRight w:val="0"/>
      <w:marTop w:val="0"/>
      <w:marBottom w:val="0"/>
      <w:divBdr>
        <w:top w:val="none" w:sz="0" w:space="0" w:color="auto"/>
        <w:left w:val="none" w:sz="0" w:space="0" w:color="auto"/>
        <w:bottom w:val="none" w:sz="0" w:space="0" w:color="auto"/>
        <w:right w:val="none" w:sz="0" w:space="0" w:color="auto"/>
      </w:divBdr>
    </w:div>
    <w:div w:id="262038372">
      <w:bodyDiv w:val="1"/>
      <w:marLeft w:val="0"/>
      <w:marRight w:val="0"/>
      <w:marTop w:val="0"/>
      <w:marBottom w:val="0"/>
      <w:divBdr>
        <w:top w:val="none" w:sz="0" w:space="0" w:color="auto"/>
        <w:left w:val="none" w:sz="0" w:space="0" w:color="auto"/>
        <w:bottom w:val="none" w:sz="0" w:space="0" w:color="auto"/>
        <w:right w:val="none" w:sz="0" w:space="0" w:color="auto"/>
      </w:divBdr>
    </w:div>
    <w:div w:id="268392376">
      <w:bodyDiv w:val="1"/>
      <w:marLeft w:val="0"/>
      <w:marRight w:val="0"/>
      <w:marTop w:val="0"/>
      <w:marBottom w:val="0"/>
      <w:divBdr>
        <w:top w:val="none" w:sz="0" w:space="0" w:color="auto"/>
        <w:left w:val="none" w:sz="0" w:space="0" w:color="auto"/>
        <w:bottom w:val="none" w:sz="0" w:space="0" w:color="auto"/>
        <w:right w:val="none" w:sz="0" w:space="0" w:color="auto"/>
      </w:divBdr>
    </w:div>
    <w:div w:id="303312814">
      <w:bodyDiv w:val="1"/>
      <w:marLeft w:val="0"/>
      <w:marRight w:val="0"/>
      <w:marTop w:val="0"/>
      <w:marBottom w:val="0"/>
      <w:divBdr>
        <w:top w:val="none" w:sz="0" w:space="0" w:color="auto"/>
        <w:left w:val="none" w:sz="0" w:space="0" w:color="auto"/>
        <w:bottom w:val="none" w:sz="0" w:space="0" w:color="auto"/>
        <w:right w:val="none" w:sz="0" w:space="0" w:color="auto"/>
      </w:divBdr>
    </w:div>
    <w:div w:id="309989575">
      <w:bodyDiv w:val="1"/>
      <w:marLeft w:val="0"/>
      <w:marRight w:val="0"/>
      <w:marTop w:val="0"/>
      <w:marBottom w:val="0"/>
      <w:divBdr>
        <w:top w:val="none" w:sz="0" w:space="0" w:color="auto"/>
        <w:left w:val="none" w:sz="0" w:space="0" w:color="auto"/>
        <w:bottom w:val="none" w:sz="0" w:space="0" w:color="auto"/>
        <w:right w:val="none" w:sz="0" w:space="0" w:color="auto"/>
      </w:divBdr>
    </w:div>
    <w:div w:id="324666602">
      <w:bodyDiv w:val="1"/>
      <w:marLeft w:val="0"/>
      <w:marRight w:val="0"/>
      <w:marTop w:val="0"/>
      <w:marBottom w:val="0"/>
      <w:divBdr>
        <w:top w:val="none" w:sz="0" w:space="0" w:color="auto"/>
        <w:left w:val="none" w:sz="0" w:space="0" w:color="auto"/>
        <w:bottom w:val="none" w:sz="0" w:space="0" w:color="auto"/>
        <w:right w:val="none" w:sz="0" w:space="0" w:color="auto"/>
      </w:divBdr>
      <w:divsChild>
        <w:div w:id="1308123243">
          <w:marLeft w:val="634"/>
          <w:marRight w:val="0"/>
          <w:marTop w:val="0"/>
          <w:marBottom w:val="0"/>
          <w:divBdr>
            <w:top w:val="none" w:sz="0" w:space="0" w:color="auto"/>
            <w:left w:val="none" w:sz="0" w:space="0" w:color="auto"/>
            <w:bottom w:val="none" w:sz="0" w:space="0" w:color="auto"/>
            <w:right w:val="none" w:sz="0" w:space="0" w:color="auto"/>
          </w:divBdr>
        </w:div>
      </w:divsChild>
    </w:div>
    <w:div w:id="331497666">
      <w:bodyDiv w:val="1"/>
      <w:marLeft w:val="0"/>
      <w:marRight w:val="0"/>
      <w:marTop w:val="0"/>
      <w:marBottom w:val="0"/>
      <w:divBdr>
        <w:top w:val="none" w:sz="0" w:space="0" w:color="auto"/>
        <w:left w:val="none" w:sz="0" w:space="0" w:color="auto"/>
        <w:bottom w:val="none" w:sz="0" w:space="0" w:color="auto"/>
        <w:right w:val="none" w:sz="0" w:space="0" w:color="auto"/>
      </w:divBdr>
      <w:divsChild>
        <w:div w:id="661352293">
          <w:marLeft w:val="547"/>
          <w:marRight w:val="0"/>
          <w:marTop w:val="0"/>
          <w:marBottom w:val="0"/>
          <w:divBdr>
            <w:top w:val="none" w:sz="0" w:space="0" w:color="auto"/>
            <w:left w:val="none" w:sz="0" w:space="0" w:color="auto"/>
            <w:bottom w:val="none" w:sz="0" w:space="0" w:color="auto"/>
            <w:right w:val="none" w:sz="0" w:space="0" w:color="auto"/>
          </w:divBdr>
        </w:div>
      </w:divsChild>
    </w:div>
    <w:div w:id="339504000">
      <w:bodyDiv w:val="1"/>
      <w:marLeft w:val="0"/>
      <w:marRight w:val="0"/>
      <w:marTop w:val="0"/>
      <w:marBottom w:val="0"/>
      <w:divBdr>
        <w:top w:val="none" w:sz="0" w:space="0" w:color="auto"/>
        <w:left w:val="none" w:sz="0" w:space="0" w:color="auto"/>
        <w:bottom w:val="none" w:sz="0" w:space="0" w:color="auto"/>
        <w:right w:val="none" w:sz="0" w:space="0" w:color="auto"/>
      </w:divBdr>
    </w:div>
    <w:div w:id="352995639">
      <w:bodyDiv w:val="1"/>
      <w:marLeft w:val="0"/>
      <w:marRight w:val="0"/>
      <w:marTop w:val="0"/>
      <w:marBottom w:val="0"/>
      <w:divBdr>
        <w:top w:val="none" w:sz="0" w:space="0" w:color="auto"/>
        <w:left w:val="none" w:sz="0" w:space="0" w:color="auto"/>
        <w:bottom w:val="none" w:sz="0" w:space="0" w:color="auto"/>
        <w:right w:val="none" w:sz="0" w:space="0" w:color="auto"/>
      </w:divBdr>
    </w:div>
    <w:div w:id="394857943">
      <w:bodyDiv w:val="1"/>
      <w:marLeft w:val="0"/>
      <w:marRight w:val="0"/>
      <w:marTop w:val="0"/>
      <w:marBottom w:val="0"/>
      <w:divBdr>
        <w:top w:val="none" w:sz="0" w:space="0" w:color="auto"/>
        <w:left w:val="none" w:sz="0" w:space="0" w:color="auto"/>
        <w:bottom w:val="none" w:sz="0" w:space="0" w:color="auto"/>
        <w:right w:val="none" w:sz="0" w:space="0" w:color="auto"/>
      </w:divBdr>
    </w:div>
    <w:div w:id="401802284">
      <w:bodyDiv w:val="1"/>
      <w:marLeft w:val="0"/>
      <w:marRight w:val="0"/>
      <w:marTop w:val="0"/>
      <w:marBottom w:val="0"/>
      <w:divBdr>
        <w:top w:val="none" w:sz="0" w:space="0" w:color="auto"/>
        <w:left w:val="none" w:sz="0" w:space="0" w:color="auto"/>
        <w:bottom w:val="none" w:sz="0" w:space="0" w:color="auto"/>
        <w:right w:val="none" w:sz="0" w:space="0" w:color="auto"/>
      </w:divBdr>
    </w:div>
    <w:div w:id="442499473">
      <w:bodyDiv w:val="1"/>
      <w:marLeft w:val="0"/>
      <w:marRight w:val="0"/>
      <w:marTop w:val="0"/>
      <w:marBottom w:val="0"/>
      <w:divBdr>
        <w:top w:val="none" w:sz="0" w:space="0" w:color="auto"/>
        <w:left w:val="none" w:sz="0" w:space="0" w:color="auto"/>
        <w:bottom w:val="none" w:sz="0" w:space="0" w:color="auto"/>
        <w:right w:val="none" w:sz="0" w:space="0" w:color="auto"/>
      </w:divBdr>
    </w:div>
    <w:div w:id="456989605">
      <w:bodyDiv w:val="1"/>
      <w:marLeft w:val="0"/>
      <w:marRight w:val="0"/>
      <w:marTop w:val="0"/>
      <w:marBottom w:val="0"/>
      <w:divBdr>
        <w:top w:val="none" w:sz="0" w:space="0" w:color="auto"/>
        <w:left w:val="none" w:sz="0" w:space="0" w:color="auto"/>
        <w:bottom w:val="none" w:sz="0" w:space="0" w:color="auto"/>
        <w:right w:val="none" w:sz="0" w:space="0" w:color="auto"/>
      </w:divBdr>
    </w:div>
    <w:div w:id="473566789">
      <w:bodyDiv w:val="1"/>
      <w:marLeft w:val="0"/>
      <w:marRight w:val="0"/>
      <w:marTop w:val="0"/>
      <w:marBottom w:val="0"/>
      <w:divBdr>
        <w:top w:val="none" w:sz="0" w:space="0" w:color="auto"/>
        <w:left w:val="none" w:sz="0" w:space="0" w:color="auto"/>
        <w:bottom w:val="none" w:sz="0" w:space="0" w:color="auto"/>
        <w:right w:val="none" w:sz="0" w:space="0" w:color="auto"/>
      </w:divBdr>
    </w:div>
    <w:div w:id="475612464">
      <w:bodyDiv w:val="1"/>
      <w:marLeft w:val="0"/>
      <w:marRight w:val="0"/>
      <w:marTop w:val="0"/>
      <w:marBottom w:val="0"/>
      <w:divBdr>
        <w:top w:val="none" w:sz="0" w:space="0" w:color="auto"/>
        <w:left w:val="none" w:sz="0" w:space="0" w:color="auto"/>
        <w:bottom w:val="none" w:sz="0" w:space="0" w:color="auto"/>
        <w:right w:val="none" w:sz="0" w:space="0" w:color="auto"/>
      </w:divBdr>
    </w:div>
    <w:div w:id="478032295">
      <w:bodyDiv w:val="1"/>
      <w:marLeft w:val="0"/>
      <w:marRight w:val="0"/>
      <w:marTop w:val="0"/>
      <w:marBottom w:val="0"/>
      <w:divBdr>
        <w:top w:val="none" w:sz="0" w:space="0" w:color="auto"/>
        <w:left w:val="none" w:sz="0" w:space="0" w:color="auto"/>
        <w:bottom w:val="none" w:sz="0" w:space="0" w:color="auto"/>
        <w:right w:val="none" w:sz="0" w:space="0" w:color="auto"/>
      </w:divBdr>
    </w:div>
    <w:div w:id="480117319">
      <w:bodyDiv w:val="1"/>
      <w:marLeft w:val="0"/>
      <w:marRight w:val="0"/>
      <w:marTop w:val="0"/>
      <w:marBottom w:val="0"/>
      <w:divBdr>
        <w:top w:val="none" w:sz="0" w:space="0" w:color="auto"/>
        <w:left w:val="none" w:sz="0" w:space="0" w:color="auto"/>
        <w:bottom w:val="none" w:sz="0" w:space="0" w:color="auto"/>
        <w:right w:val="none" w:sz="0" w:space="0" w:color="auto"/>
      </w:divBdr>
      <w:divsChild>
        <w:div w:id="807894632">
          <w:marLeft w:val="547"/>
          <w:marRight w:val="0"/>
          <w:marTop w:val="0"/>
          <w:marBottom w:val="0"/>
          <w:divBdr>
            <w:top w:val="none" w:sz="0" w:space="0" w:color="auto"/>
            <w:left w:val="none" w:sz="0" w:space="0" w:color="auto"/>
            <w:bottom w:val="none" w:sz="0" w:space="0" w:color="auto"/>
            <w:right w:val="none" w:sz="0" w:space="0" w:color="auto"/>
          </w:divBdr>
        </w:div>
      </w:divsChild>
    </w:div>
    <w:div w:id="483088108">
      <w:bodyDiv w:val="1"/>
      <w:marLeft w:val="0"/>
      <w:marRight w:val="0"/>
      <w:marTop w:val="0"/>
      <w:marBottom w:val="0"/>
      <w:divBdr>
        <w:top w:val="none" w:sz="0" w:space="0" w:color="auto"/>
        <w:left w:val="none" w:sz="0" w:space="0" w:color="auto"/>
        <w:bottom w:val="none" w:sz="0" w:space="0" w:color="auto"/>
        <w:right w:val="none" w:sz="0" w:space="0" w:color="auto"/>
      </w:divBdr>
    </w:div>
    <w:div w:id="530798164">
      <w:bodyDiv w:val="1"/>
      <w:marLeft w:val="0"/>
      <w:marRight w:val="0"/>
      <w:marTop w:val="0"/>
      <w:marBottom w:val="0"/>
      <w:divBdr>
        <w:top w:val="none" w:sz="0" w:space="0" w:color="auto"/>
        <w:left w:val="none" w:sz="0" w:space="0" w:color="auto"/>
        <w:bottom w:val="none" w:sz="0" w:space="0" w:color="auto"/>
        <w:right w:val="none" w:sz="0" w:space="0" w:color="auto"/>
      </w:divBdr>
    </w:div>
    <w:div w:id="536164539">
      <w:bodyDiv w:val="1"/>
      <w:marLeft w:val="0"/>
      <w:marRight w:val="0"/>
      <w:marTop w:val="0"/>
      <w:marBottom w:val="0"/>
      <w:divBdr>
        <w:top w:val="none" w:sz="0" w:space="0" w:color="auto"/>
        <w:left w:val="none" w:sz="0" w:space="0" w:color="auto"/>
        <w:bottom w:val="none" w:sz="0" w:space="0" w:color="auto"/>
        <w:right w:val="none" w:sz="0" w:space="0" w:color="auto"/>
      </w:divBdr>
    </w:div>
    <w:div w:id="539711446">
      <w:bodyDiv w:val="1"/>
      <w:marLeft w:val="0"/>
      <w:marRight w:val="0"/>
      <w:marTop w:val="0"/>
      <w:marBottom w:val="0"/>
      <w:divBdr>
        <w:top w:val="none" w:sz="0" w:space="0" w:color="auto"/>
        <w:left w:val="none" w:sz="0" w:space="0" w:color="auto"/>
        <w:bottom w:val="none" w:sz="0" w:space="0" w:color="auto"/>
        <w:right w:val="none" w:sz="0" w:space="0" w:color="auto"/>
      </w:divBdr>
      <w:divsChild>
        <w:div w:id="653875163">
          <w:marLeft w:val="446"/>
          <w:marRight w:val="0"/>
          <w:marTop w:val="0"/>
          <w:marBottom w:val="0"/>
          <w:divBdr>
            <w:top w:val="none" w:sz="0" w:space="0" w:color="auto"/>
            <w:left w:val="none" w:sz="0" w:space="0" w:color="auto"/>
            <w:bottom w:val="none" w:sz="0" w:space="0" w:color="auto"/>
            <w:right w:val="none" w:sz="0" w:space="0" w:color="auto"/>
          </w:divBdr>
        </w:div>
      </w:divsChild>
    </w:div>
    <w:div w:id="550192496">
      <w:bodyDiv w:val="1"/>
      <w:marLeft w:val="0"/>
      <w:marRight w:val="0"/>
      <w:marTop w:val="0"/>
      <w:marBottom w:val="0"/>
      <w:divBdr>
        <w:top w:val="none" w:sz="0" w:space="0" w:color="auto"/>
        <w:left w:val="none" w:sz="0" w:space="0" w:color="auto"/>
        <w:bottom w:val="none" w:sz="0" w:space="0" w:color="auto"/>
        <w:right w:val="none" w:sz="0" w:space="0" w:color="auto"/>
      </w:divBdr>
    </w:div>
    <w:div w:id="574359727">
      <w:bodyDiv w:val="1"/>
      <w:marLeft w:val="0"/>
      <w:marRight w:val="0"/>
      <w:marTop w:val="0"/>
      <w:marBottom w:val="0"/>
      <w:divBdr>
        <w:top w:val="none" w:sz="0" w:space="0" w:color="auto"/>
        <w:left w:val="none" w:sz="0" w:space="0" w:color="auto"/>
        <w:bottom w:val="none" w:sz="0" w:space="0" w:color="auto"/>
        <w:right w:val="none" w:sz="0" w:space="0" w:color="auto"/>
      </w:divBdr>
    </w:div>
    <w:div w:id="575627158">
      <w:bodyDiv w:val="1"/>
      <w:marLeft w:val="0"/>
      <w:marRight w:val="0"/>
      <w:marTop w:val="0"/>
      <w:marBottom w:val="0"/>
      <w:divBdr>
        <w:top w:val="none" w:sz="0" w:space="0" w:color="auto"/>
        <w:left w:val="none" w:sz="0" w:space="0" w:color="auto"/>
        <w:bottom w:val="none" w:sz="0" w:space="0" w:color="auto"/>
        <w:right w:val="none" w:sz="0" w:space="0" w:color="auto"/>
      </w:divBdr>
    </w:div>
    <w:div w:id="619454934">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sChild>
        <w:div w:id="298848698">
          <w:marLeft w:val="547"/>
          <w:marRight w:val="0"/>
          <w:marTop w:val="0"/>
          <w:marBottom w:val="0"/>
          <w:divBdr>
            <w:top w:val="none" w:sz="0" w:space="0" w:color="auto"/>
            <w:left w:val="none" w:sz="0" w:space="0" w:color="auto"/>
            <w:bottom w:val="none" w:sz="0" w:space="0" w:color="auto"/>
            <w:right w:val="none" w:sz="0" w:space="0" w:color="auto"/>
          </w:divBdr>
        </w:div>
      </w:divsChild>
    </w:div>
    <w:div w:id="703411644">
      <w:bodyDiv w:val="1"/>
      <w:marLeft w:val="0"/>
      <w:marRight w:val="0"/>
      <w:marTop w:val="0"/>
      <w:marBottom w:val="0"/>
      <w:divBdr>
        <w:top w:val="none" w:sz="0" w:space="0" w:color="auto"/>
        <w:left w:val="none" w:sz="0" w:space="0" w:color="auto"/>
        <w:bottom w:val="none" w:sz="0" w:space="0" w:color="auto"/>
        <w:right w:val="none" w:sz="0" w:space="0" w:color="auto"/>
      </w:divBdr>
    </w:div>
    <w:div w:id="705331180">
      <w:bodyDiv w:val="1"/>
      <w:marLeft w:val="0"/>
      <w:marRight w:val="0"/>
      <w:marTop w:val="0"/>
      <w:marBottom w:val="0"/>
      <w:divBdr>
        <w:top w:val="none" w:sz="0" w:space="0" w:color="auto"/>
        <w:left w:val="none" w:sz="0" w:space="0" w:color="auto"/>
        <w:bottom w:val="none" w:sz="0" w:space="0" w:color="auto"/>
        <w:right w:val="none" w:sz="0" w:space="0" w:color="auto"/>
      </w:divBdr>
    </w:div>
    <w:div w:id="705445174">
      <w:bodyDiv w:val="1"/>
      <w:marLeft w:val="0"/>
      <w:marRight w:val="0"/>
      <w:marTop w:val="0"/>
      <w:marBottom w:val="0"/>
      <w:divBdr>
        <w:top w:val="none" w:sz="0" w:space="0" w:color="auto"/>
        <w:left w:val="none" w:sz="0" w:space="0" w:color="auto"/>
        <w:bottom w:val="none" w:sz="0" w:space="0" w:color="auto"/>
        <w:right w:val="none" w:sz="0" w:space="0" w:color="auto"/>
      </w:divBdr>
    </w:div>
    <w:div w:id="717124582">
      <w:bodyDiv w:val="1"/>
      <w:marLeft w:val="0"/>
      <w:marRight w:val="0"/>
      <w:marTop w:val="0"/>
      <w:marBottom w:val="0"/>
      <w:divBdr>
        <w:top w:val="none" w:sz="0" w:space="0" w:color="auto"/>
        <w:left w:val="none" w:sz="0" w:space="0" w:color="auto"/>
        <w:bottom w:val="none" w:sz="0" w:space="0" w:color="auto"/>
        <w:right w:val="none" w:sz="0" w:space="0" w:color="auto"/>
      </w:divBdr>
      <w:divsChild>
        <w:div w:id="1428039807">
          <w:marLeft w:val="634"/>
          <w:marRight w:val="0"/>
          <w:marTop w:val="0"/>
          <w:marBottom w:val="0"/>
          <w:divBdr>
            <w:top w:val="none" w:sz="0" w:space="0" w:color="auto"/>
            <w:left w:val="none" w:sz="0" w:space="0" w:color="auto"/>
            <w:bottom w:val="none" w:sz="0" w:space="0" w:color="auto"/>
            <w:right w:val="none" w:sz="0" w:space="0" w:color="auto"/>
          </w:divBdr>
        </w:div>
        <w:div w:id="1723753112">
          <w:marLeft w:val="634"/>
          <w:marRight w:val="0"/>
          <w:marTop w:val="0"/>
          <w:marBottom w:val="0"/>
          <w:divBdr>
            <w:top w:val="none" w:sz="0" w:space="0" w:color="auto"/>
            <w:left w:val="none" w:sz="0" w:space="0" w:color="auto"/>
            <w:bottom w:val="none" w:sz="0" w:space="0" w:color="auto"/>
            <w:right w:val="none" w:sz="0" w:space="0" w:color="auto"/>
          </w:divBdr>
        </w:div>
      </w:divsChild>
    </w:div>
    <w:div w:id="717163277">
      <w:bodyDiv w:val="1"/>
      <w:marLeft w:val="0"/>
      <w:marRight w:val="0"/>
      <w:marTop w:val="0"/>
      <w:marBottom w:val="0"/>
      <w:divBdr>
        <w:top w:val="none" w:sz="0" w:space="0" w:color="auto"/>
        <w:left w:val="none" w:sz="0" w:space="0" w:color="auto"/>
        <w:bottom w:val="none" w:sz="0" w:space="0" w:color="auto"/>
        <w:right w:val="none" w:sz="0" w:space="0" w:color="auto"/>
      </w:divBdr>
    </w:div>
    <w:div w:id="723069832">
      <w:bodyDiv w:val="1"/>
      <w:marLeft w:val="0"/>
      <w:marRight w:val="0"/>
      <w:marTop w:val="0"/>
      <w:marBottom w:val="0"/>
      <w:divBdr>
        <w:top w:val="none" w:sz="0" w:space="0" w:color="auto"/>
        <w:left w:val="none" w:sz="0" w:space="0" w:color="auto"/>
        <w:bottom w:val="none" w:sz="0" w:space="0" w:color="auto"/>
        <w:right w:val="none" w:sz="0" w:space="0" w:color="auto"/>
      </w:divBdr>
      <w:divsChild>
        <w:div w:id="1329557970">
          <w:marLeft w:val="547"/>
          <w:marRight w:val="0"/>
          <w:marTop w:val="0"/>
          <w:marBottom w:val="4"/>
          <w:divBdr>
            <w:top w:val="none" w:sz="0" w:space="0" w:color="auto"/>
            <w:left w:val="none" w:sz="0" w:space="0" w:color="auto"/>
            <w:bottom w:val="none" w:sz="0" w:space="0" w:color="auto"/>
            <w:right w:val="none" w:sz="0" w:space="0" w:color="auto"/>
          </w:divBdr>
        </w:div>
      </w:divsChild>
    </w:div>
    <w:div w:id="725183102">
      <w:bodyDiv w:val="1"/>
      <w:marLeft w:val="0"/>
      <w:marRight w:val="0"/>
      <w:marTop w:val="0"/>
      <w:marBottom w:val="0"/>
      <w:divBdr>
        <w:top w:val="none" w:sz="0" w:space="0" w:color="auto"/>
        <w:left w:val="none" w:sz="0" w:space="0" w:color="auto"/>
        <w:bottom w:val="none" w:sz="0" w:space="0" w:color="auto"/>
        <w:right w:val="none" w:sz="0" w:space="0" w:color="auto"/>
      </w:divBdr>
    </w:div>
    <w:div w:id="726875094">
      <w:bodyDiv w:val="1"/>
      <w:marLeft w:val="0"/>
      <w:marRight w:val="0"/>
      <w:marTop w:val="0"/>
      <w:marBottom w:val="0"/>
      <w:divBdr>
        <w:top w:val="none" w:sz="0" w:space="0" w:color="auto"/>
        <w:left w:val="none" w:sz="0" w:space="0" w:color="auto"/>
        <w:bottom w:val="none" w:sz="0" w:space="0" w:color="auto"/>
        <w:right w:val="none" w:sz="0" w:space="0" w:color="auto"/>
      </w:divBdr>
    </w:div>
    <w:div w:id="759713549">
      <w:bodyDiv w:val="1"/>
      <w:marLeft w:val="0"/>
      <w:marRight w:val="0"/>
      <w:marTop w:val="0"/>
      <w:marBottom w:val="0"/>
      <w:divBdr>
        <w:top w:val="none" w:sz="0" w:space="0" w:color="auto"/>
        <w:left w:val="none" w:sz="0" w:space="0" w:color="auto"/>
        <w:bottom w:val="none" w:sz="0" w:space="0" w:color="auto"/>
        <w:right w:val="none" w:sz="0" w:space="0" w:color="auto"/>
      </w:divBdr>
      <w:divsChild>
        <w:div w:id="1448230647">
          <w:marLeft w:val="634"/>
          <w:marRight w:val="0"/>
          <w:marTop w:val="0"/>
          <w:marBottom w:val="0"/>
          <w:divBdr>
            <w:top w:val="none" w:sz="0" w:space="0" w:color="auto"/>
            <w:left w:val="none" w:sz="0" w:space="0" w:color="auto"/>
            <w:bottom w:val="none" w:sz="0" w:space="0" w:color="auto"/>
            <w:right w:val="none" w:sz="0" w:space="0" w:color="auto"/>
          </w:divBdr>
        </w:div>
      </w:divsChild>
    </w:div>
    <w:div w:id="763108525">
      <w:bodyDiv w:val="1"/>
      <w:marLeft w:val="0"/>
      <w:marRight w:val="0"/>
      <w:marTop w:val="0"/>
      <w:marBottom w:val="0"/>
      <w:divBdr>
        <w:top w:val="none" w:sz="0" w:space="0" w:color="auto"/>
        <w:left w:val="none" w:sz="0" w:space="0" w:color="auto"/>
        <w:bottom w:val="none" w:sz="0" w:space="0" w:color="auto"/>
        <w:right w:val="none" w:sz="0" w:space="0" w:color="auto"/>
      </w:divBdr>
    </w:div>
    <w:div w:id="781152717">
      <w:bodyDiv w:val="1"/>
      <w:marLeft w:val="0"/>
      <w:marRight w:val="0"/>
      <w:marTop w:val="0"/>
      <w:marBottom w:val="0"/>
      <w:divBdr>
        <w:top w:val="none" w:sz="0" w:space="0" w:color="auto"/>
        <w:left w:val="none" w:sz="0" w:space="0" w:color="auto"/>
        <w:bottom w:val="none" w:sz="0" w:space="0" w:color="auto"/>
        <w:right w:val="none" w:sz="0" w:space="0" w:color="auto"/>
      </w:divBdr>
    </w:div>
    <w:div w:id="781153056">
      <w:bodyDiv w:val="1"/>
      <w:marLeft w:val="0"/>
      <w:marRight w:val="0"/>
      <w:marTop w:val="0"/>
      <w:marBottom w:val="0"/>
      <w:divBdr>
        <w:top w:val="none" w:sz="0" w:space="0" w:color="auto"/>
        <w:left w:val="none" w:sz="0" w:space="0" w:color="auto"/>
        <w:bottom w:val="none" w:sz="0" w:space="0" w:color="auto"/>
        <w:right w:val="none" w:sz="0" w:space="0" w:color="auto"/>
      </w:divBdr>
    </w:div>
    <w:div w:id="794760544">
      <w:bodyDiv w:val="1"/>
      <w:marLeft w:val="0"/>
      <w:marRight w:val="0"/>
      <w:marTop w:val="0"/>
      <w:marBottom w:val="0"/>
      <w:divBdr>
        <w:top w:val="none" w:sz="0" w:space="0" w:color="auto"/>
        <w:left w:val="none" w:sz="0" w:space="0" w:color="auto"/>
        <w:bottom w:val="none" w:sz="0" w:space="0" w:color="auto"/>
        <w:right w:val="none" w:sz="0" w:space="0" w:color="auto"/>
      </w:divBdr>
    </w:div>
    <w:div w:id="808399036">
      <w:bodyDiv w:val="1"/>
      <w:marLeft w:val="0"/>
      <w:marRight w:val="0"/>
      <w:marTop w:val="0"/>
      <w:marBottom w:val="0"/>
      <w:divBdr>
        <w:top w:val="none" w:sz="0" w:space="0" w:color="auto"/>
        <w:left w:val="none" w:sz="0" w:space="0" w:color="auto"/>
        <w:bottom w:val="none" w:sz="0" w:space="0" w:color="auto"/>
        <w:right w:val="none" w:sz="0" w:space="0" w:color="auto"/>
      </w:divBdr>
    </w:div>
    <w:div w:id="844973413">
      <w:bodyDiv w:val="1"/>
      <w:marLeft w:val="0"/>
      <w:marRight w:val="0"/>
      <w:marTop w:val="0"/>
      <w:marBottom w:val="0"/>
      <w:divBdr>
        <w:top w:val="none" w:sz="0" w:space="0" w:color="auto"/>
        <w:left w:val="none" w:sz="0" w:space="0" w:color="auto"/>
        <w:bottom w:val="none" w:sz="0" w:space="0" w:color="auto"/>
        <w:right w:val="none" w:sz="0" w:space="0" w:color="auto"/>
      </w:divBdr>
    </w:div>
    <w:div w:id="849830365">
      <w:bodyDiv w:val="1"/>
      <w:marLeft w:val="0"/>
      <w:marRight w:val="0"/>
      <w:marTop w:val="0"/>
      <w:marBottom w:val="0"/>
      <w:divBdr>
        <w:top w:val="none" w:sz="0" w:space="0" w:color="auto"/>
        <w:left w:val="none" w:sz="0" w:space="0" w:color="auto"/>
        <w:bottom w:val="none" w:sz="0" w:space="0" w:color="auto"/>
        <w:right w:val="none" w:sz="0" w:space="0" w:color="auto"/>
      </w:divBdr>
      <w:divsChild>
        <w:div w:id="1478449423">
          <w:marLeft w:val="547"/>
          <w:marRight w:val="0"/>
          <w:marTop w:val="0"/>
          <w:marBottom w:val="0"/>
          <w:divBdr>
            <w:top w:val="none" w:sz="0" w:space="0" w:color="auto"/>
            <w:left w:val="none" w:sz="0" w:space="0" w:color="auto"/>
            <w:bottom w:val="none" w:sz="0" w:space="0" w:color="auto"/>
            <w:right w:val="none" w:sz="0" w:space="0" w:color="auto"/>
          </w:divBdr>
        </w:div>
      </w:divsChild>
    </w:div>
    <w:div w:id="861817583">
      <w:bodyDiv w:val="1"/>
      <w:marLeft w:val="0"/>
      <w:marRight w:val="0"/>
      <w:marTop w:val="0"/>
      <w:marBottom w:val="0"/>
      <w:divBdr>
        <w:top w:val="none" w:sz="0" w:space="0" w:color="auto"/>
        <w:left w:val="none" w:sz="0" w:space="0" w:color="auto"/>
        <w:bottom w:val="none" w:sz="0" w:space="0" w:color="auto"/>
        <w:right w:val="none" w:sz="0" w:space="0" w:color="auto"/>
      </w:divBdr>
      <w:divsChild>
        <w:div w:id="347491865">
          <w:marLeft w:val="446"/>
          <w:marRight w:val="0"/>
          <w:marTop w:val="0"/>
          <w:marBottom w:val="0"/>
          <w:divBdr>
            <w:top w:val="none" w:sz="0" w:space="0" w:color="auto"/>
            <w:left w:val="none" w:sz="0" w:space="0" w:color="auto"/>
            <w:bottom w:val="none" w:sz="0" w:space="0" w:color="auto"/>
            <w:right w:val="none" w:sz="0" w:space="0" w:color="auto"/>
          </w:divBdr>
        </w:div>
      </w:divsChild>
    </w:div>
    <w:div w:id="862595919">
      <w:bodyDiv w:val="1"/>
      <w:marLeft w:val="0"/>
      <w:marRight w:val="0"/>
      <w:marTop w:val="0"/>
      <w:marBottom w:val="0"/>
      <w:divBdr>
        <w:top w:val="none" w:sz="0" w:space="0" w:color="auto"/>
        <w:left w:val="none" w:sz="0" w:space="0" w:color="auto"/>
        <w:bottom w:val="none" w:sz="0" w:space="0" w:color="auto"/>
        <w:right w:val="none" w:sz="0" w:space="0" w:color="auto"/>
      </w:divBdr>
      <w:divsChild>
        <w:div w:id="297338828">
          <w:marLeft w:val="1267"/>
          <w:marRight w:val="0"/>
          <w:marTop w:val="0"/>
          <w:marBottom w:val="0"/>
          <w:divBdr>
            <w:top w:val="none" w:sz="0" w:space="0" w:color="auto"/>
            <w:left w:val="none" w:sz="0" w:space="0" w:color="auto"/>
            <w:bottom w:val="none" w:sz="0" w:space="0" w:color="auto"/>
            <w:right w:val="none" w:sz="0" w:space="0" w:color="auto"/>
          </w:divBdr>
        </w:div>
        <w:div w:id="1444305277">
          <w:marLeft w:val="1267"/>
          <w:marRight w:val="0"/>
          <w:marTop w:val="0"/>
          <w:marBottom w:val="0"/>
          <w:divBdr>
            <w:top w:val="none" w:sz="0" w:space="0" w:color="auto"/>
            <w:left w:val="none" w:sz="0" w:space="0" w:color="auto"/>
            <w:bottom w:val="none" w:sz="0" w:space="0" w:color="auto"/>
            <w:right w:val="none" w:sz="0" w:space="0" w:color="auto"/>
          </w:divBdr>
        </w:div>
        <w:div w:id="2066564821">
          <w:marLeft w:val="547"/>
          <w:marRight w:val="0"/>
          <w:marTop w:val="0"/>
          <w:marBottom w:val="0"/>
          <w:divBdr>
            <w:top w:val="none" w:sz="0" w:space="0" w:color="auto"/>
            <w:left w:val="none" w:sz="0" w:space="0" w:color="auto"/>
            <w:bottom w:val="none" w:sz="0" w:space="0" w:color="auto"/>
            <w:right w:val="none" w:sz="0" w:space="0" w:color="auto"/>
          </w:divBdr>
        </w:div>
      </w:divsChild>
    </w:div>
    <w:div w:id="864513303">
      <w:bodyDiv w:val="1"/>
      <w:marLeft w:val="0"/>
      <w:marRight w:val="0"/>
      <w:marTop w:val="0"/>
      <w:marBottom w:val="0"/>
      <w:divBdr>
        <w:top w:val="none" w:sz="0" w:space="0" w:color="auto"/>
        <w:left w:val="none" w:sz="0" w:space="0" w:color="auto"/>
        <w:bottom w:val="none" w:sz="0" w:space="0" w:color="auto"/>
        <w:right w:val="none" w:sz="0" w:space="0" w:color="auto"/>
      </w:divBdr>
    </w:div>
    <w:div w:id="870193893">
      <w:bodyDiv w:val="1"/>
      <w:marLeft w:val="0"/>
      <w:marRight w:val="0"/>
      <w:marTop w:val="0"/>
      <w:marBottom w:val="0"/>
      <w:divBdr>
        <w:top w:val="none" w:sz="0" w:space="0" w:color="auto"/>
        <w:left w:val="none" w:sz="0" w:space="0" w:color="auto"/>
        <w:bottom w:val="none" w:sz="0" w:space="0" w:color="auto"/>
        <w:right w:val="none" w:sz="0" w:space="0" w:color="auto"/>
      </w:divBdr>
    </w:div>
    <w:div w:id="886338483">
      <w:bodyDiv w:val="1"/>
      <w:marLeft w:val="0"/>
      <w:marRight w:val="0"/>
      <w:marTop w:val="0"/>
      <w:marBottom w:val="0"/>
      <w:divBdr>
        <w:top w:val="none" w:sz="0" w:space="0" w:color="auto"/>
        <w:left w:val="none" w:sz="0" w:space="0" w:color="auto"/>
        <w:bottom w:val="none" w:sz="0" w:space="0" w:color="auto"/>
        <w:right w:val="none" w:sz="0" w:space="0" w:color="auto"/>
      </w:divBdr>
    </w:div>
    <w:div w:id="889458884">
      <w:bodyDiv w:val="1"/>
      <w:marLeft w:val="0"/>
      <w:marRight w:val="0"/>
      <w:marTop w:val="0"/>
      <w:marBottom w:val="0"/>
      <w:divBdr>
        <w:top w:val="none" w:sz="0" w:space="0" w:color="auto"/>
        <w:left w:val="none" w:sz="0" w:space="0" w:color="auto"/>
        <w:bottom w:val="none" w:sz="0" w:space="0" w:color="auto"/>
        <w:right w:val="none" w:sz="0" w:space="0" w:color="auto"/>
      </w:divBdr>
    </w:div>
    <w:div w:id="897739915">
      <w:bodyDiv w:val="1"/>
      <w:marLeft w:val="0"/>
      <w:marRight w:val="0"/>
      <w:marTop w:val="0"/>
      <w:marBottom w:val="0"/>
      <w:divBdr>
        <w:top w:val="none" w:sz="0" w:space="0" w:color="auto"/>
        <w:left w:val="none" w:sz="0" w:space="0" w:color="auto"/>
        <w:bottom w:val="none" w:sz="0" w:space="0" w:color="auto"/>
        <w:right w:val="none" w:sz="0" w:space="0" w:color="auto"/>
      </w:divBdr>
    </w:div>
    <w:div w:id="912541244">
      <w:bodyDiv w:val="1"/>
      <w:marLeft w:val="0"/>
      <w:marRight w:val="0"/>
      <w:marTop w:val="0"/>
      <w:marBottom w:val="0"/>
      <w:divBdr>
        <w:top w:val="none" w:sz="0" w:space="0" w:color="auto"/>
        <w:left w:val="none" w:sz="0" w:space="0" w:color="auto"/>
        <w:bottom w:val="none" w:sz="0" w:space="0" w:color="auto"/>
        <w:right w:val="none" w:sz="0" w:space="0" w:color="auto"/>
      </w:divBdr>
    </w:div>
    <w:div w:id="915363796">
      <w:bodyDiv w:val="1"/>
      <w:marLeft w:val="0"/>
      <w:marRight w:val="0"/>
      <w:marTop w:val="0"/>
      <w:marBottom w:val="0"/>
      <w:divBdr>
        <w:top w:val="none" w:sz="0" w:space="0" w:color="auto"/>
        <w:left w:val="none" w:sz="0" w:space="0" w:color="auto"/>
        <w:bottom w:val="none" w:sz="0" w:space="0" w:color="auto"/>
        <w:right w:val="none" w:sz="0" w:space="0" w:color="auto"/>
      </w:divBdr>
    </w:div>
    <w:div w:id="928851259">
      <w:bodyDiv w:val="1"/>
      <w:marLeft w:val="0"/>
      <w:marRight w:val="0"/>
      <w:marTop w:val="0"/>
      <w:marBottom w:val="0"/>
      <w:divBdr>
        <w:top w:val="none" w:sz="0" w:space="0" w:color="auto"/>
        <w:left w:val="none" w:sz="0" w:space="0" w:color="auto"/>
        <w:bottom w:val="none" w:sz="0" w:space="0" w:color="auto"/>
        <w:right w:val="none" w:sz="0" w:space="0" w:color="auto"/>
      </w:divBdr>
    </w:div>
    <w:div w:id="948396803">
      <w:bodyDiv w:val="1"/>
      <w:marLeft w:val="0"/>
      <w:marRight w:val="0"/>
      <w:marTop w:val="0"/>
      <w:marBottom w:val="0"/>
      <w:divBdr>
        <w:top w:val="none" w:sz="0" w:space="0" w:color="auto"/>
        <w:left w:val="none" w:sz="0" w:space="0" w:color="auto"/>
        <w:bottom w:val="none" w:sz="0" w:space="0" w:color="auto"/>
        <w:right w:val="none" w:sz="0" w:space="0" w:color="auto"/>
      </w:divBdr>
    </w:div>
    <w:div w:id="955254072">
      <w:bodyDiv w:val="1"/>
      <w:marLeft w:val="0"/>
      <w:marRight w:val="0"/>
      <w:marTop w:val="0"/>
      <w:marBottom w:val="0"/>
      <w:divBdr>
        <w:top w:val="none" w:sz="0" w:space="0" w:color="auto"/>
        <w:left w:val="none" w:sz="0" w:space="0" w:color="auto"/>
        <w:bottom w:val="none" w:sz="0" w:space="0" w:color="auto"/>
        <w:right w:val="none" w:sz="0" w:space="0" w:color="auto"/>
      </w:divBdr>
    </w:div>
    <w:div w:id="958419552">
      <w:bodyDiv w:val="1"/>
      <w:marLeft w:val="0"/>
      <w:marRight w:val="0"/>
      <w:marTop w:val="0"/>
      <w:marBottom w:val="0"/>
      <w:divBdr>
        <w:top w:val="none" w:sz="0" w:space="0" w:color="auto"/>
        <w:left w:val="none" w:sz="0" w:space="0" w:color="auto"/>
        <w:bottom w:val="none" w:sz="0" w:space="0" w:color="auto"/>
        <w:right w:val="none" w:sz="0" w:space="0" w:color="auto"/>
      </w:divBdr>
    </w:div>
    <w:div w:id="959068013">
      <w:bodyDiv w:val="1"/>
      <w:marLeft w:val="0"/>
      <w:marRight w:val="0"/>
      <w:marTop w:val="0"/>
      <w:marBottom w:val="0"/>
      <w:divBdr>
        <w:top w:val="none" w:sz="0" w:space="0" w:color="auto"/>
        <w:left w:val="none" w:sz="0" w:space="0" w:color="auto"/>
        <w:bottom w:val="none" w:sz="0" w:space="0" w:color="auto"/>
        <w:right w:val="none" w:sz="0" w:space="0" w:color="auto"/>
      </w:divBdr>
    </w:div>
    <w:div w:id="970817480">
      <w:bodyDiv w:val="1"/>
      <w:marLeft w:val="0"/>
      <w:marRight w:val="0"/>
      <w:marTop w:val="0"/>
      <w:marBottom w:val="0"/>
      <w:divBdr>
        <w:top w:val="none" w:sz="0" w:space="0" w:color="auto"/>
        <w:left w:val="none" w:sz="0" w:space="0" w:color="auto"/>
        <w:bottom w:val="none" w:sz="0" w:space="0" w:color="auto"/>
        <w:right w:val="none" w:sz="0" w:space="0" w:color="auto"/>
      </w:divBdr>
    </w:div>
    <w:div w:id="978419119">
      <w:bodyDiv w:val="1"/>
      <w:marLeft w:val="0"/>
      <w:marRight w:val="0"/>
      <w:marTop w:val="0"/>
      <w:marBottom w:val="0"/>
      <w:divBdr>
        <w:top w:val="none" w:sz="0" w:space="0" w:color="auto"/>
        <w:left w:val="none" w:sz="0" w:space="0" w:color="auto"/>
        <w:bottom w:val="none" w:sz="0" w:space="0" w:color="auto"/>
        <w:right w:val="none" w:sz="0" w:space="0" w:color="auto"/>
      </w:divBdr>
    </w:div>
    <w:div w:id="991256642">
      <w:bodyDiv w:val="1"/>
      <w:marLeft w:val="0"/>
      <w:marRight w:val="0"/>
      <w:marTop w:val="0"/>
      <w:marBottom w:val="0"/>
      <w:divBdr>
        <w:top w:val="none" w:sz="0" w:space="0" w:color="auto"/>
        <w:left w:val="none" w:sz="0" w:space="0" w:color="auto"/>
        <w:bottom w:val="none" w:sz="0" w:space="0" w:color="auto"/>
        <w:right w:val="none" w:sz="0" w:space="0" w:color="auto"/>
      </w:divBdr>
    </w:div>
    <w:div w:id="1014187145">
      <w:bodyDiv w:val="1"/>
      <w:marLeft w:val="0"/>
      <w:marRight w:val="0"/>
      <w:marTop w:val="0"/>
      <w:marBottom w:val="0"/>
      <w:divBdr>
        <w:top w:val="none" w:sz="0" w:space="0" w:color="auto"/>
        <w:left w:val="none" w:sz="0" w:space="0" w:color="auto"/>
        <w:bottom w:val="none" w:sz="0" w:space="0" w:color="auto"/>
        <w:right w:val="none" w:sz="0" w:space="0" w:color="auto"/>
      </w:divBdr>
    </w:div>
    <w:div w:id="1026322461">
      <w:bodyDiv w:val="1"/>
      <w:marLeft w:val="0"/>
      <w:marRight w:val="0"/>
      <w:marTop w:val="0"/>
      <w:marBottom w:val="0"/>
      <w:divBdr>
        <w:top w:val="none" w:sz="0" w:space="0" w:color="auto"/>
        <w:left w:val="none" w:sz="0" w:space="0" w:color="auto"/>
        <w:bottom w:val="none" w:sz="0" w:space="0" w:color="auto"/>
        <w:right w:val="none" w:sz="0" w:space="0" w:color="auto"/>
      </w:divBdr>
    </w:div>
    <w:div w:id="1045563266">
      <w:bodyDiv w:val="1"/>
      <w:marLeft w:val="0"/>
      <w:marRight w:val="0"/>
      <w:marTop w:val="0"/>
      <w:marBottom w:val="0"/>
      <w:divBdr>
        <w:top w:val="none" w:sz="0" w:space="0" w:color="auto"/>
        <w:left w:val="none" w:sz="0" w:space="0" w:color="auto"/>
        <w:bottom w:val="none" w:sz="0" w:space="0" w:color="auto"/>
        <w:right w:val="none" w:sz="0" w:space="0" w:color="auto"/>
      </w:divBdr>
    </w:div>
    <w:div w:id="1060909231">
      <w:bodyDiv w:val="1"/>
      <w:marLeft w:val="0"/>
      <w:marRight w:val="0"/>
      <w:marTop w:val="0"/>
      <w:marBottom w:val="0"/>
      <w:divBdr>
        <w:top w:val="none" w:sz="0" w:space="0" w:color="auto"/>
        <w:left w:val="none" w:sz="0" w:space="0" w:color="auto"/>
        <w:bottom w:val="none" w:sz="0" w:space="0" w:color="auto"/>
        <w:right w:val="none" w:sz="0" w:space="0" w:color="auto"/>
      </w:divBdr>
    </w:div>
    <w:div w:id="1077289113">
      <w:bodyDiv w:val="1"/>
      <w:marLeft w:val="0"/>
      <w:marRight w:val="0"/>
      <w:marTop w:val="0"/>
      <w:marBottom w:val="0"/>
      <w:divBdr>
        <w:top w:val="none" w:sz="0" w:space="0" w:color="auto"/>
        <w:left w:val="none" w:sz="0" w:space="0" w:color="auto"/>
        <w:bottom w:val="none" w:sz="0" w:space="0" w:color="auto"/>
        <w:right w:val="none" w:sz="0" w:space="0" w:color="auto"/>
      </w:divBdr>
    </w:div>
    <w:div w:id="1081875410">
      <w:bodyDiv w:val="1"/>
      <w:marLeft w:val="0"/>
      <w:marRight w:val="0"/>
      <w:marTop w:val="0"/>
      <w:marBottom w:val="0"/>
      <w:divBdr>
        <w:top w:val="none" w:sz="0" w:space="0" w:color="auto"/>
        <w:left w:val="none" w:sz="0" w:space="0" w:color="auto"/>
        <w:bottom w:val="none" w:sz="0" w:space="0" w:color="auto"/>
        <w:right w:val="none" w:sz="0" w:space="0" w:color="auto"/>
      </w:divBdr>
    </w:div>
    <w:div w:id="1088888514">
      <w:bodyDiv w:val="1"/>
      <w:marLeft w:val="0"/>
      <w:marRight w:val="0"/>
      <w:marTop w:val="0"/>
      <w:marBottom w:val="0"/>
      <w:divBdr>
        <w:top w:val="none" w:sz="0" w:space="0" w:color="auto"/>
        <w:left w:val="none" w:sz="0" w:space="0" w:color="auto"/>
        <w:bottom w:val="none" w:sz="0" w:space="0" w:color="auto"/>
        <w:right w:val="none" w:sz="0" w:space="0" w:color="auto"/>
      </w:divBdr>
    </w:div>
    <w:div w:id="1090155648">
      <w:bodyDiv w:val="1"/>
      <w:marLeft w:val="0"/>
      <w:marRight w:val="0"/>
      <w:marTop w:val="0"/>
      <w:marBottom w:val="0"/>
      <w:divBdr>
        <w:top w:val="none" w:sz="0" w:space="0" w:color="auto"/>
        <w:left w:val="none" w:sz="0" w:space="0" w:color="auto"/>
        <w:bottom w:val="none" w:sz="0" w:space="0" w:color="auto"/>
        <w:right w:val="none" w:sz="0" w:space="0" w:color="auto"/>
      </w:divBdr>
    </w:div>
    <w:div w:id="1098871218">
      <w:bodyDiv w:val="1"/>
      <w:marLeft w:val="0"/>
      <w:marRight w:val="0"/>
      <w:marTop w:val="0"/>
      <w:marBottom w:val="0"/>
      <w:divBdr>
        <w:top w:val="none" w:sz="0" w:space="0" w:color="auto"/>
        <w:left w:val="none" w:sz="0" w:space="0" w:color="auto"/>
        <w:bottom w:val="none" w:sz="0" w:space="0" w:color="auto"/>
        <w:right w:val="none" w:sz="0" w:space="0" w:color="auto"/>
      </w:divBdr>
    </w:div>
    <w:div w:id="1104612299">
      <w:bodyDiv w:val="1"/>
      <w:marLeft w:val="0"/>
      <w:marRight w:val="0"/>
      <w:marTop w:val="0"/>
      <w:marBottom w:val="0"/>
      <w:divBdr>
        <w:top w:val="none" w:sz="0" w:space="0" w:color="auto"/>
        <w:left w:val="none" w:sz="0" w:space="0" w:color="auto"/>
        <w:bottom w:val="none" w:sz="0" w:space="0" w:color="auto"/>
        <w:right w:val="none" w:sz="0" w:space="0" w:color="auto"/>
      </w:divBdr>
    </w:div>
    <w:div w:id="1110780373">
      <w:bodyDiv w:val="1"/>
      <w:marLeft w:val="0"/>
      <w:marRight w:val="0"/>
      <w:marTop w:val="0"/>
      <w:marBottom w:val="0"/>
      <w:divBdr>
        <w:top w:val="none" w:sz="0" w:space="0" w:color="auto"/>
        <w:left w:val="none" w:sz="0" w:space="0" w:color="auto"/>
        <w:bottom w:val="none" w:sz="0" w:space="0" w:color="auto"/>
        <w:right w:val="none" w:sz="0" w:space="0" w:color="auto"/>
      </w:divBdr>
    </w:div>
    <w:div w:id="1111820114">
      <w:bodyDiv w:val="1"/>
      <w:marLeft w:val="0"/>
      <w:marRight w:val="0"/>
      <w:marTop w:val="0"/>
      <w:marBottom w:val="0"/>
      <w:divBdr>
        <w:top w:val="none" w:sz="0" w:space="0" w:color="auto"/>
        <w:left w:val="none" w:sz="0" w:space="0" w:color="auto"/>
        <w:bottom w:val="none" w:sz="0" w:space="0" w:color="auto"/>
        <w:right w:val="none" w:sz="0" w:space="0" w:color="auto"/>
      </w:divBdr>
    </w:div>
    <w:div w:id="1114594628">
      <w:bodyDiv w:val="1"/>
      <w:marLeft w:val="0"/>
      <w:marRight w:val="0"/>
      <w:marTop w:val="0"/>
      <w:marBottom w:val="0"/>
      <w:divBdr>
        <w:top w:val="none" w:sz="0" w:space="0" w:color="auto"/>
        <w:left w:val="none" w:sz="0" w:space="0" w:color="auto"/>
        <w:bottom w:val="none" w:sz="0" w:space="0" w:color="auto"/>
        <w:right w:val="none" w:sz="0" w:space="0" w:color="auto"/>
      </w:divBdr>
    </w:div>
    <w:div w:id="1144011578">
      <w:bodyDiv w:val="1"/>
      <w:marLeft w:val="0"/>
      <w:marRight w:val="0"/>
      <w:marTop w:val="0"/>
      <w:marBottom w:val="0"/>
      <w:divBdr>
        <w:top w:val="none" w:sz="0" w:space="0" w:color="auto"/>
        <w:left w:val="none" w:sz="0" w:space="0" w:color="auto"/>
        <w:bottom w:val="none" w:sz="0" w:space="0" w:color="auto"/>
        <w:right w:val="none" w:sz="0" w:space="0" w:color="auto"/>
      </w:divBdr>
    </w:div>
    <w:div w:id="1158110920">
      <w:bodyDiv w:val="1"/>
      <w:marLeft w:val="0"/>
      <w:marRight w:val="0"/>
      <w:marTop w:val="0"/>
      <w:marBottom w:val="0"/>
      <w:divBdr>
        <w:top w:val="none" w:sz="0" w:space="0" w:color="auto"/>
        <w:left w:val="none" w:sz="0" w:space="0" w:color="auto"/>
        <w:bottom w:val="none" w:sz="0" w:space="0" w:color="auto"/>
        <w:right w:val="none" w:sz="0" w:space="0" w:color="auto"/>
      </w:divBdr>
    </w:div>
    <w:div w:id="1159150390">
      <w:bodyDiv w:val="1"/>
      <w:marLeft w:val="0"/>
      <w:marRight w:val="0"/>
      <w:marTop w:val="0"/>
      <w:marBottom w:val="0"/>
      <w:divBdr>
        <w:top w:val="none" w:sz="0" w:space="0" w:color="auto"/>
        <w:left w:val="none" w:sz="0" w:space="0" w:color="auto"/>
        <w:bottom w:val="none" w:sz="0" w:space="0" w:color="auto"/>
        <w:right w:val="none" w:sz="0" w:space="0" w:color="auto"/>
      </w:divBdr>
    </w:div>
    <w:div w:id="1196770512">
      <w:bodyDiv w:val="1"/>
      <w:marLeft w:val="0"/>
      <w:marRight w:val="0"/>
      <w:marTop w:val="0"/>
      <w:marBottom w:val="0"/>
      <w:divBdr>
        <w:top w:val="none" w:sz="0" w:space="0" w:color="auto"/>
        <w:left w:val="none" w:sz="0" w:space="0" w:color="auto"/>
        <w:bottom w:val="none" w:sz="0" w:space="0" w:color="auto"/>
        <w:right w:val="none" w:sz="0" w:space="0" w:color="auto"/>
      </w:divBdr>
    </w:div>
    <w:div w:id="1201745882">
      <w:bodyDiv w:val="1"/>
      <w:marLeft w:val="0"/>
      <w:marRight w:val="0"/>
      <w:marTop w:val="0"/>
      <w:marBottom w:val="0"/>
      <w:divBdr>
        <w:top w:val="none" w:sz="0" w:space="0" w:color="auto"/>
        <w:left w:val="none" w:sz="0" w:space="0" w:color="auto"/>
        <w:bottom w:val="none" w:sz="0" w:space="0" w:color="auto"/>
        <w:right w:val="none" w:sz="0" w:space="0" w:color="auto"/>
      </w:divBdr>
    </w:div>
    <w:div w:id="1214582288">
      <w:bodyDiv w:val="1"/>
      <w:marLeft w:val="0"/>
      <w:marRight w:val="0"/>
      <w:marTop w:val="0"/>
      <w:marBottom w:val="0"/>
      <w:divBdr>
        <w:top w:val="none" w:sz="0" w:space="0" w:color="auto"/>
        <w:left w:val="none" w:sz="0" w:space="0" w:color="auto"/>
        <w:bottom w:val="none" w:sz="0" w:space="0" w:color="auto"/>
        <w:right w:val="none" w:sz="0" w:space="0" w:color="auto"/>
      </w:divBdr>
      <w:divsChild>
        <w:div w:id="802695880">
          <w:marLeft w:val="547"/>
          <w:marRight w:val="0"/>
          <w:marTop w:val="0"/>
          <w:marBottom w:val="0"/>
          <w:divBdr>
            <w:top w:val="none" w:sz="0" w:space="0" w:color="auto"/>
            <w:left w:val="none" w:sz="0" w:space="0" w:color="auto"/>
            <w:bottom w:val="none" w:sz="0" w:space="0" w:color="auto"/>
            <w:right w:val="none" w:sz="0" w:space="0" w:color="auto"/>
          </w:divBdr>
        </w:div>
      </w:divsChild>
    </w:div>
    <w:div w:id="1221476675">
      <w:bodyDiv w:val="1"/>
      <w:marLeft w:val="0"/>
      <w:marRight w:val="0"/>
      <w:marTop w:val="0"/>
      <w:marBottom w:val="0"/>
      <w:divBdr>
        <w:top w:val="none" w:sz="0" w:space="0" w:color="auto"/>
        <w:left w:val="none" w:sz="0" w:space="0" w:color="auto"/>
        <w:bottom w:val="none" w:sz="0" w:space="0" w:color="auto"/>
        <w:right w:val="none" w:sz="0" w:space="0" w:color="auto"/>
      </w:divBdr>
    </w:div>
    <w:div w:id="1232234863">
      <w:bodyDiv w:val="1"/>
      <w:marLeft w:val="0"/>
      <w:marRight w:val="0"/>
      <w:marTop w:val="0"/>
      <w:marBottom w:val="0"/>
      <w:divBdr>
        <w:top w:val="none" w:sz="0" w:space="0" w:color="auto"/>
        <w:left w:val="none" w:sz="0" w:space="0" w:color="auto"/>
        <w:bottom w:val="none" w:sz="0" w:space="0" w:color="auto"/>
        <w:right w:val="none" w:sz="0" w:space="0" w:color="auto"/>
      </w:divBdr>
    </w:div>
    <w:div w:id="1245381076">
      <w:bodyDiv w:val="1"/>
      <w:marLeft w:val="0"/>
      <w:marRight w:val="0"/>
      <w:marTop w:val="0"/>
      <w:marBottom w:val="0"/>
      <w:divBdr>
        <w:top w:val="none" w:sz="0" w:space="0" w:color="auto"/>
        <w:left w:val="none" w:sz="0" w:space="0" w:color="auto"/>
        <w:bottom w:val="none" w:sz="0" w:space="0" w:color="auto"/>
        <w:right w:val="none" w:sz="0" w:space="0" w:color="auto"/>
      </w:divBdr>
      <w:divsChild>
        <w:div w:id="1203979691">
          <w:marLeft w:val="274"/>
          <w:marRight w:val="0"/>
          <w:marTop w:val="200"/>
          <w:marBottom w:val="0"/>
          <w:divBdr>
            <w:top w:val="none" w:sz="0" w:space="0" w:color="auto"/>
            <w:left w:val="none" w:sz="0" w:space="0" w:color="auto"/>
            <w:bottom w:val="none" w:sz="0" w:space="0" w:color="auto"/>
            <w:right w:val="none" w:sz="0" w:space="0" w:color="auto"/>
          </w:divBdr>
        </w:div>
      </w:divsChild>
    </w:div>
    <w:div w:id="1259830632">
      <w:bodyDiv w:val="1"/>
      <w:marLeft w:val="0"/>
      <w:marRight w:val="0"/>
      <w:marTop w:val="0"/>
      <w:marBottom w:val="0"/>
      <w:divBdr>
        <w:top w:val="none" w:sz="0" w:space="0" w:color="auto"/>
        <w:left w:val="none" w:sz="0" w:space="0" w:color="auto"/>
        <w:bottom w:val="none" w:sz="0" w:space="0" w:color="auto"/>
        <w:right w:val="none" w:sz="0" w:space="0" w:color="auto"/>
      </w:divBdr>
    </w:div>
    <w:div w:id="1313023386">
      <w:bodyDiv w:val="1"/>
      <w:marLeft w:val="0"/>
      <w:marRight w:val="0"/>
      <w:marTop w:val="0"/>
      <w:marBottom w:val="0"/>
      <w:divBdr>
        <w:top w:val="none" w:sz="0" w:space="0" w:color="auto"/>
        <w:left w:val="none" w:sz="0" w:space="0" w:color="auto"/>
        <w:bottom w:val="none" w:sz="0" w:space="0" w:color="auto"/>
        <w:right w:val="none" w:sz="0" w:space="0" w:color="auto"/>
      </w:divBdr>
    </w:div>
    <w:div w:id="1340276910">
      <w:bodyDiv w:val="1"/>
      <w:marLeft w:val="0"/>
      <w:marRight w:val="0"/>
      <w:marTop w:val="0"/>
      <w:marBottom w:val="0"/>
      <w:divBdr>
        <w:top w:val="none" w:sz="0" w:space="0" w:color="auto"/>
        <w:left w:val="none" w:sz="0" w:space="0" w:color="auto"/>
        <w:bottom w:val="none" w:sz="0" w:space="0" w:color="auto"/>
        <w:right w:val="none" w:sz="0" w:space="0" w:color="auto"/>
      </w:divBdr>
      <w:divsChild>
        <w:div w:id="230820229">
          <w:marLeft w:val="1267"/>
          <w:marRight w:val="0"/>
          <w:marTop w:val="0"/>
          <w:marBottom w:val="0"/>
          <w:divBdr>
            <w:top w:val="none" w:sz="0" w:space="0" w:color="auto"/>
            <w:left w:val="none" w:sz="0" w:space="0" w:color="auto"/>
            <w:bottom w:val="none" w:sz="0" w:space="0" w:color="auto"/>
            <w:right w:val="none" w:sz="0" w:space="0" w:color="auto"/>
          </w:divBdr>
        </w:div>
      </w:divsChild>
    </w:div>
    <w:div w:id="1346252633">
      <w:bodyDiv w:val="1"/>
      <w:marLeft w:val="0"/>
      <w:marRight w:val="0"/>
      <w:marTop w:val="0"/>
      <w:marBottom w:val="0"/>
      <w:divBdr>
        <w:top w:val="none" w:sz="0" w:space="0" w:color="auto"/>
        <w:left w:val="none" w:sz="0" w:space="0" w:color="auto"/>
        <w:bottom w:val="none" w:sz="0" w:space="0" w:color="auto"/>
        <w:right w:val="none" w:sz="0" w:space="0" w:color="auto"/>
      </w:divBdr>
    </w:div>
    <w:div w:id="1352534041">
      <w:bodyDiv w:val="1"/>
      <w:marLeft w:val="0"/>
      <w:marRight w:val="0"/>
      <w:marTop w:val="0"/>
      <w:marBottom w:val="0"/>
      <w:divBdr>
        <w:top w:val="none" w:sz="0" w:space="0" w:color="auto"/>
        <w:left w:val="none" w:sz="0" w:space="0" w:color="auto"/>
        <w:bottom w:val="none" w:sz="0" w:space="0" w:color="auto"/>
        <w:right w:val="none" w:sz="0" w:space="0" w:color="auto"/>
      </w:divBdr>
    </w:div>
    <w:div w:id="1361861941">
      <w:bodyDiv w:val="1"/>
      <w:marLeft w:val="0"/>
      <w:marRight w:val="0"/>
      <w:marTop w:val="0"/>
      <w:marBottom w:val="0"/>
      <w:divBdr>
        <w:top w:val="none" w:sz="0" w:space="0" w:color="auto"/>
        <w:left w:val="none" w:sz="0" w:space="0" w:color="auto"/>
        <w:bottom w:val="none" w:sz="0" w:space="0" w:color="auto"/>
        <w:right w:val="none" w:sz="0" w:space="0" w:color="auto"/>
      </w:divBdr>
    </w:div>
    <w:div w:id="1373073538">
      <w:bodyDiv w:val="1"/>
      <w:marLeft w:val="0"/>
      <w:marRight w:val="0"/>
      <w:marTop w:val="0"/>
      <w:marBottom w:val="0"/>
      <w:divBdr>
        <w:top w:val="none" w:sz="0" w:space="0" w:color="auto"/>
        <w:left w:val="none" w:sz="0" w:space="0" w:color="auto"/>
        <w:bottom w:val="none" w:sz="0" w:space="0" w:color="auto"/>
        <w:right w:val="none" w:sz="0" w:space="0" w:color="auto"/>
      </w:divBdr>
    </w:div>
    <w:div w:id="1376470719">
      <w:bodyDiv w:val="1"/>
      <w:marLeft w:val="0"/>
      <w:marRight w:val="0"/>
      <w:marTop w:val="0"/>
      <w:marBottom w:val="0"/>
      <w:divBdr>
        <w:top w:val="none" w:sz="0" w:space="0" w:color="auto"/>
        <w:left w:val="none" w:sz="0" w:space="0" w:color="auto"/>
        <w:bottom w:val="none" w:sz="0" w:space="0" w:color="auto"/>
        <w:right w:val="none" w:sz="0" w:space="0" w:color="auto"/>
      </w:divBdr>
    </w:div>
    <w:div w:id="1387946253">
      <w:bodyDiv w:val="1"/>
      <w:marLeft w:val="0"/>
      <w:marRight w:val="0"/>
      <w:marTop w:val="0"/>
      <w:marBottom w:val="0"/>
      <w:divBdr>
        <w:top w:val="none" w:sz="0" w:space="0" w:color="auto"/>
        <w:left w:val="none" w:sz="0" w:space="0" w:color="auto"/>
        <w:bottom w:val="none" w:sz="0" w:space="0" w:color="auto"/>
        <w:right w:val="none" w:sz="0" w:space="0" w:color="auto"/>
      </w:divBdr>
      <w:divsChild>
        <w:div w:id="283855923">
          <w:marLeft w:val="446"/>
          <w:marRight w:val="0"/>
          <w:marTop w:val="0"/>
          <w:marBottom w:val="0"/>
          <w:divBdr>
            <w:top w:val="none" w:sz="0" w:space="0" w:color="auto"/>
            <w:left w:val="none" w:sz="0" w:space="0" w:color="auto"/>
            <w:bottom w:val="none" w:sz="0" w:space="0" w:color="auto"/>
            <w:right w:val="none" w:sz="0" w:space="0" w:color="auto"/>
          </w:divBdr>
        </w:div>
      </w:divsChild>
    </w:div>
    <w:div w:id="1396123327">
      <w:bodyDiv w:val="1"/>
      <w:marLeft w:val="0"/>
      <w:marRight w:val="0"/>
      <w:marTop w:val="0"/>
      <w:marBottom w:val="0"/>
      <w:divBdr>
        <w:top w:val="none" w:sz="0" w:space="0" w:color="auto"/>
        <w:left w:val="none" w:sz="0" w:space="0" w:color="auto"/>
        <w:bottom w:val="none" w:sz="0" w:space="0" w:color="auto"/>
        <w:right w:val="none" w:sz="0" w:space="0" w:color="auto"/>
      </w:divBdr>
    </w:div>
    <w:div w:id="1435588104">
      <w:bodyDiv w:val="1"/>
      <w:marLeft w:val="0"/>
      <w:marRight w:val="0"/>
      <w:marTop w:val="0"/>
      <w:marBottom w:val="0"/>
      <w:divBdr>
        <w:top w:val="none" w:sz="0" w:space="0" w:color="auto"/>
        <w:left w:val="none" w:sz="0" w:space="0" w:color="auto"/>
        <w:bottom w:val="none" w:sz="0" w:space="0" w:color="auto"/>
        <w:right w:val="none" w:sz="0" w:space="0" w:color="auto"/>
      </w:divBdr>
      <w:divsChild>
        <w:div w:id="1184172308">
          <w:marLeft w:val="547"/>
          <w:marRight w:val="0"/>
          <w:marTop w:val="0"/>
          <w:marBottom w:val="0"/>
          <w:divBdr>
            <w:top w:val="none" w:sz="0" w:space="0" w:color="auto"/>
            <w:left w:val="none" w:sz="0" w:space="0" w:color="auto"/>
            <w:bottom w:val="none" w:sz="0" w:space="0" w:color="auto"/>
            <w:right w:val="none" w:sz="0" w:space="0" w:color="auto"/>
          </w:divBdr>
        </w:div>
      </w:divsChild>
    </w:div>
    <w:div w:id="1439905380">
      <w:bodyDiv w:val="1"/>
      <w:marLeft w:val="0"/>
      <w:marRight w:val="0"/>
      <w:marTop w:val="0"/>
      <w:marBottom w:val="0"/>
      <w:divBdr>
        <w:top w:val="none" w:sz="0" w:space="0" w:color="auto"/>
        <w:left w:val="none" w:sz="0" w:space="0" w:color="auto"/>
        <w:bottom w:val="none" w:sz="0" w:space="0" w:color="auto"/>
        <w:right w:val="none" w:sz="0" w:space="0" w:color="auto"/>
      </w:divBdr>
    </w:div>
    <w:div w:id="1443451105">
      <w:bodyDiv w:val="1"/>
      <w:marLeft w:val="0"/>
      <w:marRight w:val="0"/>
      <w:marTop w:val="0"/>
      <w:marBottom w:val="0"/>
      <w:divBdr>
        <w:top w:val="none" w:sz="0" w:space="0" w:color="auto"/>
        <w:left w:val="none" w:sz="0" w:space="0" w:color="auto"/>
        <w:bottom w:val="none" w:sz="0" w:space="0" w:color="auto"/>
        <w:right w:val="none" w:sz="0" w:space="0" w:color="auto"/>
      </w:divBdr>
      <w:divsChild>
        <w:div w:id="906645615">
          <w:marLeft w:val="634"/>
          <w:marRight w:val="0"/>
          <w:marTop w:val="0"/>
          <w:marBottom w:val="0"/>
          <w:divBdr>
            <w:top w:val="none" w:sz="0" w:space="0" w:color="auto"/>
            <w:left w:val="none" w:sz="0" w:space="0" w:color="auto"/>
            <w:bottom w:val="none" w:sz="0" w:space="0" w:color="auto"/>
            <w:right w:val="none" w:sz="0" w:space="0" w:color="auto"/>
          </w:divBdr>
        </w:div>
      </w:divsChild>
    </w:div>
    <w:div w:id="1463425222">
      <w:bodyDiv w:val="1"/>
      <w:marLeft w:val="0"/>
      <w:marRight w:val="0"/>
      <w:marTop w:val="0"/>
      <w:marBottom w:val="0"/>
      <w:divBdr>
        <w:top w:val="none" w:sz="0" w:space="0" w:color="auto"/>
        <w:left w:val="none" w:sz="0" w:space="0" w:color="auto"/>
        <w:bottom w:val="none" w:sz="0" w:space="0" w:color="auto"/>
        <w:right w:val="none" w:sz="0" w:space="0" w:color="auto"/>
      </w:divBdr>
    </w:div>
    <w:div w:id="1479032599">
      <w:bodyDiv w:val="1"/>
      <w:marLeft w:val="0"/>
      <w:marRight w:val="0"/>
      <w:marTop w:val="0"/>
      <w:marBottom w:val="0"/>
      <w:divBdr>
        <w:top w:val="none" w:sz="0" w:space="0" w:color="auto"/>
        <w:left w:val="none" w:sz="0" w:space="0" w:color="auto"/>
        <w:bottom w:val="none" w:sz="0" w:space="0" w:color="auto"/>
        <w:right w:val="none" w:sz="0" w:space="0" w:color="auto"/>
      </w:divBdr>
    </w:div>
    <w:div w:id="1522278105">
      <w:bodyDiv w:val="1"/>
      <w:marLeft w:val="0"/>
      <w:marRight w:val="0"/>
      <w:marTop w:val="0"/>
      <w:marBottom w:val="0"/>
      <w:divBdr>
        <w:top w:val="none" w:sz="0" w:space="0" w:color="auto"/>
        <w:left w:val="none" w:sz="0" w:space="0" w:color="auto"/>
        <w:bottom w:val="none" w:sz="0" w:space="0" w:color="auto"/>
        <w:right w:val="none" w:sz="0" w:space="0" w:color="auto"/>
      </w:divBdr>
    </w:div>
    <w:div w:id="1540702288">
      <w:bodyDiv w:val="1"/>
      <w:marLeft w:val="0"/>
      <w:marRight w:val="0"/>
      <w:marTop w:val="0"/>
      <w:marBottom w:val="0"/>
      <w:divBdr>
        <w:top w:val="none" w:sz="0" w:space="0" w:color="auto"/>
        <w:left w:val="none" w:sz="0" w:space="0" w:color="auto"/>
        <w:bottom w:val="none" w:sz="0" w:space="0" w:color="auto"/>
        <w:right w:val="none" w:sz="0" w:space="0" w:color="auto"/>
      </w:divBdr>
    </w:div>
    <w:div w:id="1543590714">
      <w:bodyDiv w:val="1"/>
      <w:marLeft w:val="0"/>
      <w:marRight w:val="0"/>
      <w:marTop w:val="0"/>
      <w:marBottom w:val="0"/>
      <w:divBdr>
        <w:top w:val="none" w:sz="0" w:space="0" w:color="auto"/>
        <w:left w:val="none" w:sz="0" w:space="0" w:color="auto"/>
        <w:bottom w:val="none" w:sz="0" w:space="0" w:color="auto"/>
        <w:right w:val="none" w:sz="0" w:space="0" w:color="auto"/>
      </w:divBdr>
    </w:div>
    <w:div w:id="1548486823">
      <w:bodyDiv w:val="1"/>
      <w:marLeft w:val="0"/>
      <w:marRight w:val="0"/>
      <w:marTop w:val="0"/>
      <w:marBottom w:val="0"/>
      <w:divBdr>
        <w:top w:val="none" w:sz="0" w:space="0" w:color="auto"/>
        <w:left w:val="none" w:sz="0" w:space="0" w:color="auto"/>
        <w:bottom w:val="none" w:sz="0" w:space="0" w:color="auto"/>
        <w:right w:val="none" w:sz="0" w:space="0" w:color="auto"/>
      </w:divBdr>
    </w:div>
    <w:div w:id="1552888595">
      <w:bodyDiv w:val="1"/>
      <w:marLeft w:val="0"/>
      <w:marRight w:val="0"/>
      <w:marTop w:val="0"/>
      <w:marBottom w:val="0"/>
      <w:divBdr>
        <w:top w:val="none" w:sz="0" w:space="0" w:color="auto"/>
        <w:left w:val="none" w:sz="0" w:space="0" w:color="auto"/>
        <w:bottom w:val="none" w:sz="0" w:space="0" w:color="auto"/>
        <w:right w:val="none" w:sz="0" w:space="0" w:color="auto"/>
      </w:divBdr>
    </w:div>
    <w:div w:id="1557886837">
      <w:bodyDiv w:val="1"/>
      <w:marLeft w:val="0"/>
      <w:marRight w:val="0"/>
      <w:marTop w:val="0"/>
      <w:marBottom w:val="0"/>
      <w:divBdr>
        <w:top w:val="none" w:sz="0" w:space="0" w:color="auto"/>
        <w:left w:val="none" w:sz="0" w:space="0" w:color="auto"/>
        <w:bottom w:val="none" w:sz="0" w:space="0" w:color="auto"/>
        <w:right w:val="none" w:sz="0" w:space="0" w:color="auto"/>
      </w:divBdr>
    </w:div>
    <w:div w:id="1560628835">
      <w:bodyDiv w:val="1"/>
      <w:marLeft w:val="0"/>
      <w:marRight w:val="0"/>
      <w:marTop w:val="0"/>
      <w:marBottom w:val="0"/>
      <w:divBdr>
        <w:top w:val="none" w:sz="0" w:space="0" w:color="auto"/>
        <w:left w:val="none" w:sz="0" w:space="0" w:color="auto"/>
        <w:bottom w:val="none" w:sz="0" w:space="0" w:color="auto"/>
        <w:right w:val="none" w:sz="0" w:space="0" w:color="auto"/>
      </w:divBdr>
    </w:div>
    <w:div w:id="1562670896">
      <w:bodyDiv w:val="1"/>
      <w:marLeft w:val="0"/>
      <w:marRight w:val="0"/>
      <w:marTop w:val="0"/>
      <w:marBottom w:val="0"/>
      <w:divBdr>
        <w:top w:val="none" w:sz="0" w:space="0" w:color="auto"/>
        <w:left w:val="none" w:sz="0" w:space="0" w:color="auto"/>
        <w:bottom w:val="none" w:sz="0" w:space="0" w:color="auto"/>
        <w:right w:val="none" w:sz="0" w:space="0" w:color="auto"/>
      </w:divBdr>
      <w:divsChild>
        <w:div w:id="32313347">
          <w:marLeft w:val="547"/>
          <w:marRight w:val="0"/>
          <w:marTop w:val="0"/>
          <w:marBottom w:val="160"/>
          <w:divBdr>
            <w:top w:val="none" w:sz="0" w:space="0" w:color="auto"/>
            <w:left w:val="none" w:sz="0" w:space="0" w:color="auto"/>
            <w:bottom w:val="none" w:sz="0" w:space="0" w:color="auto"/>
            <w:right w:val="none" w:sz="0" w:space="0" w:color="auto"/>
          </w:divBdr>
        </w:div>
        <w:div w:id="271980402">
          <w:marLeft w:val="547"/>
          <w:marRight w:val="0"/>
          <w:marTop w:val="0"/>
          <w:marBottom w:val="0"/>
          <w:divBdr>
            <w:top w:val="none" w:sz="0" w:space="0" w:color="auto"/>
            <w:left w:val="none" w:sz="0" w:space="0" w:color="auto"/>
            <w:bottom w:val="none" w:sz="0" w:space="0" w:color="auto"/>
            <w:right w:val="none" w:sz="0" w:space="0" w:color="auto"/>
          </w:divBdr>
        </w:div>
        <w:div w:id="419301551">
          <w:marLeft w:val="1267"/>
          <w:marRight w:val="0"/>
          <w:marTop w:val="0"/>
          <w:marBottom w:val="160"/>
          <w:divBdr>
            <w:top w:val="none" w:sz="0" w:space="0" w:color="auto"/>
            <w:left w:val="none" w:sz="0" w:space="0" w:color="auto"/>
            <w:bottom w:val="none" w:sz="0" w:space="0" w:color="auto"/>
            <w:right w:val="none" w:sz="0" w:space="0" w:color="auto"/>
          </w:divBdr>
        </w:div>
        <w:div w:id="738554141">
          <w:marLeft w:val="547"/>
          <w:marRight w:val="0"/>
          <w:marTop w:val="0"/>
          <w:marBottom w:val="160"/>
          <w:divBdr>
            <w:top w:val="none" w:sz="0" w:space="0" w:color="auto"/>
            <w:left w:val="none" w:sz="0" w:space="0" w:color="auto"/>
            <w:bottom w:val="none" w:sz="0" w:space="0" w:color="auto"/>
            <w:right w:val="none" w:sz="0" w:space="0" w:color="auto"/>
          </w:divBdr>
        </w:div>
        <w:div w:id="1116173653">
          <w:marLeft w:val="1267"/>
          <w:marRight w:val="0"/>
          <w:marTop w:val="0"/>
          <w:marBottom w:val="160"/>
          <w:divBdr>
            <w:top w:val="none" w:sz="0" w:space="0" w:color="auto"/>
            <w:left w:val="none" w:sz="0" w:space="0" w:color="auto"/>
            <w:bottom w:val="none" w:sz="0" w:space="0" w:color="auto"/>
            <w:right w:val="none" w:sz="0" w:space="0" w:color="auto"/>
          </w:divBdr>
        </w:div>
        <w:div w:id="1153258590">
          <w:marLeft w:val="1267"/>
          <w:marRight w:val="0"/>
          <w:marTop w:val="0"/>
          <w:marBottom w:val="160"/>
          <w:divBdr>
            <w:top w:val="none" w:sz="0" w:space="0" w:color="auto"/>
            <w:left w:val="none" w:sz="0" w:space="0" w:color="auto"/>
            <w:bottom w:val="none" w:sz="0" w:space="0" w:color="auto"/>
            <w:right w:val="none" w:sz="0" w:space="0" w:color="auto"/>
          </w:divBdr>
        </w:div>
        <w:div w:id="1249852556">
          <w:marLeft w:val="547"/>
          <w:marRight w:val="0"/>
          <w:marTop w:val="0"/>
          <w:marBottom w:val="0"/>
          <w:divBdr>
            <w:top w:val="none" w:sz="0" w:space="0" w:color="auto"/>
            <w:left w:val="none" w:sz="0" w:space="0" w:color="auto"/>
            <w:bottom w:val="none" w:sz="0" w:space="0" w:color="auto"/>
            <w:right w:val="none" w:sz="0" w:space="0" w:color="auto"/>
          </w:divBdr>
        </w:div>
        <w:div w:id="1322541162">
          <w:marLeft w:val="547"/>
          <w:marRight w:val="0"/>
          <w:marTop w:val="0"/>
          <w:marBottom w:val="160"/>
          <w:divBdr>
            <w:top w:val="none" w:sz="0" w:space="0" w:color="auto"/>
            <w:left w:val="none" w:sz="0" w:space="0" w:color="auto"/>
            <w:bottom w:val="none" w:sz="0" w:space="0" w:color="auto"/>
            <w:right w:val="none" w:sz="0" w:space="0" w:color="auto"/>
          </w:divBdr>
        </w:div>
        <w:div w:id="1711177039">
          <w:marLeft w:val="1267"/>
          <w:marRight w:val="0"/>
          <w:marTop w:val="0"/>
          <w:marBottom w:val="160"/>
          <w:divBdr>
            <w:top w:val="none" w:sz="0" w:space="0" w:color="auto"/>
            <w:left w:val="none" w:sz="0" w:space="0" w:color="auto"/>
            <w:bottom w:val="none" w:sz="0" w:space="0" w:color="auto"/>
            <w:right w:val="none" w:sz="0" w:space="0" w:color="auto"/>
          </w:divBdr>
        </w:div>
      </w:divsChild>
    </w:div>
    <w:div w:id="1591041828">
      <w:bodyDiv w:val="1"/>
      <w:marLeft w:val="0"/>
      <w:marRight w:val="0"/>
      <w:marTop w:val="0"/>
      <w:marBottom w:val="0"/>
      <w:divBdr>
        <w:top w:val="none" w:sz="0" w:space="0" w:color="auto"/>
        <w:left w:val="none" w:sz="0" w:space="0" w:color="auto"/>
        <w:bottom w:val="none" w:sz="0" w:space="0" w:color="auto"/>
        <w:right w:val="none" w:sz="0" w:space="0" w:color="auto"/>
      </w:divBdr>
      <w:divsChild>
        <w:div w:id="1739358116">
          <w:marLeft w:val="547"/>
          <w:marRight w:val="0"/>
          <w:marTop w:val="0"/>
          <w:marBottom w:val="0"/>
          <w:divBdr>
            <w:top w:val="none" w:sz="0" w:space="0" w:color="auto"/>
            <w:left w:val="none" w:sz="0" w:space="0" w:color="auto"/>
            <w:bottom w:val="none" w:sz="0" w:space="0" w:color="auto"/>
            <w:right w:val="none" w:sz="0" w:space="0" w:color="auto"/>
          </w:divBdr>
        </w:div>
      </w:divsChild>
    </w:div>
    <w:div w:id="1602029373">
      <w:bodyDiv w:val="1"/>
      <w:marLeft w:val="0"/>
      <w:marRight w:val="0"/>
      <w:marTop w:val="0"/>
      <w:marBottom w:val="0"/>
      <w:divBdr>
        <w:top w:val="none" w:sz="0" w:space="0" w:color="auto"/>
        <w:left w:val="none" w:sz="0" w:space="0" w:color="auto"/>
        <w:bottom w:val="none" w:sz="0" w:space="0" w:color="auto"/>
        <w:right w:val="none" w:sz="0" w:space="0" w:color="auto"/>
      </w:divBdr>
    </w:div>
    <w:div w:id="1607032437">
      <w:bodyDiv w:val="1"/>
      <w:marLeft w:val="0"/>
      <w:marRight w:val="0"/>
      <w:marTop w:val="0"/>
      <w:marBottom w:val="0"/>
      <w:divBdr>
        <w:top w:val="none" w:sz="0" w:space="0" w:color="auto"/>
        <w:left w:val="none" w:sz="0" w:space="0" w:color="auto"/>
        <w:bottom w:val="none" w:sz="0" w:space="0" w:color="auto"/>
        <w:right w:val="none" w:sz="0" w:space="0" w:color="auto"/>
      </w:divBdr>
    </w:div>
    <w:div w:id="1609115912">
      <w:bodyDiv w:val="1"/>
      <w:marLeft w:val="0"/>
      <w:marRight w:val="0"/>
      <w:marTop w:val="0"/>
      <w:marBottom w:val="0"/>
      <w:divBdr>
        <w:top w:val="none" w:sz="0" w:space="0" w:color="auto"/>
        <w:left w:val="none" w:sz="0" w:space="0" w:color="auto"/>
        <w:bottom w:val="none" w:sz="0" w:space="0" w:color="auto"/>
        <w:right w:val="none" w:sz="0" w:space="0" w:color="auto"/>
      </w:divBdr>
    </w:div>
    <w:div w:id="1613781341">
      <w:bodyDiv w:val="1"/>
      <w:marLeft w:val="0"/>
      <w:marRight w:val="0"/>
      <w:marTop w:val="0"/>
      <w:marBottom w:val="0"/>
      <w:divBdr>
        <w:top w:val="none" w:sz="0" w:space="0" w:color="auto"/>
        <w:left w:val="none" w:sz="0" w:space="0" w:color="auto"/>
        <w:bottom w:val="none" w:sz="0" w:space="0" w:color="auto"/>
        <w:right w:val="none" w:sz="0" w:space="0" w:color="auto"/>
      </w:divBdr>
      <w:divsChild>
        <w:div w:id="1422944883">
          <w:marLeft w:val="446"/>
          <w:marRight w:val="0"/>
          <w:marTop w:val="0"/>
          <w:marBottom w:val="0"/>
          <w:divBdr>
            <w:top w:val="none" w:sz="0" w:space="0" w:color="auto"/>
            <w:left w:val="none" w:sz="0" w:space="0" w:color="auto"/>
            <w:bottom w:val="none" w:sz="0" w:space="0" w:color="auto"/>
            <w:right w:val="none" w:sz="0" w:space="0" w:color="auto"/>
          </w:divBdr>
        </w:div>
      </w:divsChild>
    </w:div>
    <w:div w:id="1645236154">
      <w:bodyDiv w:val="1"/>
      <w:marLeft w:val="0"/>
      <w:marRight w:val="0"/>
      <w:marTop w:val="0"/>
      <w:marBottom w:val="0"/>
      <w:divBdr>
        <w:top w:val="none" w:sz="0" w:space="0" w:color="auto"/>
        <w:left w:val="none" w:sz="0" w:space="0" w:color="auto"/>
        <w:bottom w:val="none" w:sz="0" w:space="0" w:color="auto"/>
        <w:right w:val="none" w:sz="0" w:space="0" w:color="auto"/>
      </w:divBdr>
    </w:div>
    <w:div w:id="1658148525">
      <w:bodyDiv w:val="1"/>
      <w:marLeft w:val="0"/>
      <w:marRight w:val="0"/>
      <w:marTop w:val="0"/>
      <w:marBottom w:val="0"/>
      <w:divBdr>
        <w:top w:val="none" w:sz="0" w:space="0" w:color="auto"/>
        <w:left w:val="none" w:sz="0" w:space="0" w:color="auto"/>
        <w:bottom w:val="none" w:sz="0" w:space="0" w:color="auto"/>
        <w:right w:val="none" w:sz="0" w:space="0" w:color="auto"/>
      </w:divBdr>
    </w:div>
    <w:div w:id="1685980687">
      <w:bodyDiv w:val="1"/>
      <w:marLeft w:val="0"/>
      <w:marRight w:val="0"/>
      <w:marTop w:val="0"/>
      <w:marBottom w:val="0"/>
      <w:divBdr>
        <w:top w:val="none" w:sz="0" w:space="0" w:color="auto"/>
        <w:left w:val="none" w:sz="0" w:space="0" w:color="auto"/>
        <w:bottom w:val="none" w:sz="0" w:space="0" w:color="auto"/>
        <w:right w:val="none" w:sz="0" w:space="0" w:color="auto"/>
      </w:divBdr>
    </w:div>
    <w:div w:id="1689598004">
      <w:bodyDiv w:val="1"/>
      <w:marLeft w:val="0"/>
      <w:marRight w:val="0"/>
      <w:marTop w:val="0"/>
      <w:marBottom w:val="0"/>
      <w:divBdr>
        <w:top w:val="none" w:sz="0" w:space="0" w:color="auto"/>
        <w:left w:val="none" w:sz="0" w:space="0" w:color="auto"/>
        <w:bottom w:val="none" w:sz="0" w:space="0" w:color="auto"/>
        <w:right w:val="none" w:sz="0" w:space="0" w:color="auto"/>
      </w:divBdr>
    </w:div>
    <w:div w:id="1694064281">
      <w:bodyDiv w:val="1"/>
      <w:marLeft w:val="0"/>
      <w:marRight w:val="0"/>
      <w:marTop w:val="0"/>
      <w:marBottom w:val="0"/>
      <w:divBdr>
        <w:top w:val="none" w:sz="0" w:space="0" w:color="auto"/>
        <w:left w:val="none" w:sz="0" w:space="0" w:color="auto"/>
        <w:bottom w:val="none" w:sz="0" w:space="0" w:color="auto"/>
        <w:right w:val="none" w:sz="0" w:space="0" w:color="auto"/>
      </w:divBdr>
    </w:div>
    <w:div w:id="1696805885">
      <w:bodyDiv w:val="1"/>
      <w:marLeft w:val="0"/>
      <w:marRight w:val="0"/>
      <w:marTop w:val="0"/>
      <w:marBottom w:val="0"/>
      <w:divBdr>
        <w:top w:val="none" w:sz="0" w:space="0" w:color="auto"/>
        <w:left w:val="none" w:sz="0" w:space="0" w:color="auto"/>
        <w:bottom w:val="none" w:sz="0" w:space="0" w:color="auto"/>
        <w:right w:val="none" w:sz="0" w:space="0" w:color="auto"/>
      </w:divBdr>
    </w:div>
    <w:div w:id="1697345678">
      <w:bodyDiv w:val="1"/>
      <w:marLeft w:val="0"/>
      <w:marRight w:val="0"/>
      <w:marTop w:val="0"/>
      <w:marBottom w:val="0"/>
      <w:divBdr>
        <w:top w:val="none" w:sz="0" w:space="0" w:color="auto"/>
        <w:left w:val="none" w:sz="0" w:space="0" w:color="auto"/>
        <w:bottom w:val="none" w:sz="0" w:space="0" w:color="auto"/>
        <w:right w:val="none" w:sz="0" w:space="0" w:color="auto"/>
      </w:divBdr>
    </w:div>
    <w:div w:id="1704089387">
      <w:bodyDiv w:val="1"/>
      <w:marLeft w:val="0"/>
      <w:marRight w:val="0"/>
      <w:marTop w:val="0"/>
      <w:marBottom w:val="0"/>
      <w:divBdr>
        <w:top w:val="none" w:sz="0" w:space="0" w:color="auto"/>
        <w:left w:val="none" w:sz="0" w:space="0" w:color="auto"/>
        <w:bottom w:val="none" w:sz="0" w:space="0" w:color="auto"/>
        <w:right w:val="none" w:sz="0" w:space="0" w:color="auto"/>
      </w:divBdr>
    </w:div>
    <w:div w:id="1705666576">
      <w:bodyDiv w:val="1"/>
      <w:marLeft w:val="0"/>
      <w:marRight w:val="0"/>
      <w:marTop w:val="0"/>
      <w:marBottom w:val="0"/>
      <w:divBdr>
        <w:top w:val="none" w:sz="0" w:space="0" w:color="auto"/>
        <w:left w:val="none" w:sz="0" w:space="0" w:color="auto"/>
        <w:bottom w:val="none" w:sz="0" w:space="0" w:color="auto"/>
        <w:right w:val="none" w:sz="0" w:space="0" w:color="auto"/>
      </w:divBdr>
    </w:div>
    <w:div w:id="1713577176">
      <w:bodyDiv w:val="1"/>
      <w:marLeft w:val="0"/>
      <w:marRight w:val="0"/>
      <w:marTop w:val="0"/>
      <w:marBottom w:val="0"/>
      <w:divBdr>
        <w:top w:val="none" w:sz="0" w:space="0" w:color="auto"/>
        <w:left w:val="none" w:sz="0" w:space="0" w:color="auto"/>
        <w:bottom w:val="none" w:sz="0" w:space="0" w:color="auto"/>
        <w:right w:val="none" w:sz="0" w:space="0" w:color="auto"/>
      </w:divBdr>
    </w:div>
    <w:div w:id="1718429218">
      <w:bodyDiv w:val="1"/>
      <w:marLeft w:val="0"/>
      <w:marRight w:val="0"/>
      <w:marTop w:val="0"/>
      <w:marBottom w:val="0"/>
      <w:divBdr>
        <w:top w:val="none" w:sz="0" w:space="0" w:color="auto"/>
        <w:left w:val="none" w:sz="0" w:space="0" w:color="auto"/>
        <w:bottom w:val="none" w:sz="0" w:space="0" w:color="auto"/>
        <w:right w:val="none" w:sz="0" w:space="0" w:color="auto"/>
      </w:divBdr>
      <w:divsChild>
        <w:div w:id="824517514">
          <w:marLeft w:val="547"/>
          <w:marRight w:val="0"/>
          <w:marTop w:val="0"/>
          <w:marBottom w:val="0"/>
          <w:divBdr>
            <w:top w:val="none" w:sz="0" w:space="0" w:color="auto"/>
            <w:left w:val="none" w:sz="0" w:space="0" w:color="auto"/>
            <w:bottom w:val="none" w:sz="0" w:space="0" w:color="auto"/>
            <w:right w:val="none" w:sz="0" w:space="0" w:color="auto"/>
          </w:divBdr>
        </w:div>
      </w:divsChild>
    </w:div>
    <w:div w:id="1722747559">
      <w:bodyDiv w:val="1"/>
      <w:marLeft w:val="0"/>
      <w:marRight w:val="0"/>
      <w:marTop w:val="0"/>
      <w:marBottom w:val="0"/>
      <w:divBdr>
        <w:top w:val="none" w:sz="0" w:space="0" w:color="auto"/>
        <w:left w:val="none" w:sz="0" w:space="0" w:color="auto"/>
        <w:bottom w:val="none" w:sz="0" w:space="0" w:color="auto"/>
        <w:right w:val="none" w:sz="0" w:space="0" w:color="auto"/>
      </w:divBdr>
    </w:div>
    <w:div w:id="1727294221">
      <w:bodyDiv w:val="1"/>
      <w:marLeft w:val="0"/>
      <w:marRight w:val="0"/>
      <w:marTop w:val="0"/>
      <w:marBottom w:val="0"/>
      <w:divBdr>
        <w:top w:val="none" w:sz="0" w:space="0" w:color="auto"/>
        <w:left w:val="none" w:sz="0" w:space="0" w:color="auto"/>
        <w:bottom w:val="none" w:sz="0" w:space="0" w:color="auto"/>
        <w:right w:val="none" w:sz="0" w:space="0" w:color="auto"/>
      </w:divBdr>
    </w:div>
    <w:div w:id="1733000941">
      <w:bodyDiv w:val="1"/>
      <w:marLeft w:val="0"/>
      <w:marRight w:val="0"/>
      <w:marTop w:val="0"/>
      <w:marBottom w:val="0"/>
      <w:divBdr>
        <w:top w:val="none" w:sz="0" w:space="0" w:color="auto"/>
        <w:left w:val="none" w:sz="0" w:space="0" w:color="auto"/>
        <w:bottom w:val="none" w:sz="0" w:space="0" w:color="auto"/>
        <w:right w:val="none" w:sz="0" w:space="0" w:color="auto"/>
      </w:divBdr>
    </w:div>
    <w:div w:id="1739589615">
      <w:bodyDiv w:val="1"/>
      <w:marLeft w:val="0"/>
      <w:marRight w:val="0"/>
      <w:marTop w:val="0"/>
      <w:marBottom w:val="0"/>
      <w:divBdr>
        <w:top w:val="none" w:sz="0" w:space="0" w:color="auto"/>
        <w:left w:val="none" w:sz="0" w:space="0" w:color="auto"/>
        <w:bottom w:val="none" w:sz="0" w:space="0" w:color="auto"/>
        <w:right w:val="none" w:sz="0" w:space="0" w:color="auto"/>
      </w:divBdr>
      <w:divsChild>
        <w:div w:id="1696227044">
          <w:marLeft w:val="274"/>
          <w:marRight w:val="0"/>
          <w:marTop w:val="200"/>
          <w:marBottom w:val="0"/>
          <w:divBdr>
            <w:top w:val="none" w:sz="0" w:space="0" w:color="auto"/>
            <w:left w:val="none" w:sz="0" w:space="0" w:color="auto"/>
            <w:bottom w:val="none" w:sz="0" w:space="0" w:color="auto"/>
            <w:right w:val="none" w:sz="0" w:space="0" w:color="auto"/>
          </w:divBdr>
        </w:div>
      </w:divsChild>
    </w:div>
    <w:div w:id="1748455544">
      <w:bodyDiv w:val="1"/>
      <w:marLeft w:val="0"/>
      <w:marRight w:val="0"/>
      <w:marTop w:val="0"/>
      <w:marBottom w:val="0"/>
      <w:divBdr>
        <w:top w:val="none" w:sz="0" w:space="0" w:color="auto"/>
        <w:left w:val="none" w:sz="0" w:space="0" w:color="auto"/>
        <w:bottom w:val="none" w:sz="0" w:space="0" w:color="auto"/>
        <w:right w:val="none" w:sz="0" w:space="0" w:color="auto"/>
      </w:divBdr>
      <w:divsChild>
        <w:div w:id="1014917630">
          <w:marLeft w:val="446"/>
          <w:marRight w:val="0"/>
          <w:marTop w:val="0"/>
          <w:marBottom w:val="0"/>
          <w:divBdr>
            <w:top w:val="none" w:sz="0" w:space="0" w:color="auto"/>
            <w:left w:val="none" w:sz="0" w:space="0" w:color="auto"/>
            <w:bottom w:val="none" w:sz="0" w:space="0" w:color="auto"/>
            <w:right w:val="none" w:sz="0" w:space="0" w:color="auto"/>
          </w:divBdr>
        </w:div>
      </w:divsChild>
    </w:div>
    <w:div w:id="1761484000">
      <w:bodyDiv w:val="1"/>
      <w:marLeft w:val="0"/>
      <w:marRight w:val="0"/>
      <w:marTop w:val="0"/>
      <w:marBottom w:val="0"/>
      <w:divBdr>
        <w:top w:val="none" w:sz="0" w:space="0" w:color="auto"/>
        <w:left w:val="none" w:sz="0" w:space="0" w:color="auto"/>
        <w:bottom w:val="none" w:sz="0" w:space="0" w:color="auto"/>
        <w:right w:val="none" w:sz="0" w:space="0" w:color="auto"/>
      </w:divBdr>
    </w:div>
    <w:div w:id="1762989019">
      <w:bodyDiv w:val="1"/>
      <w:marLeft w:val="0"/>
      <w:marRight w:val="0"/>
      <w:marTop w:val="0"/>
      <w:marBottom w:val="0"/>
      <w:divBdr>
        <w:top w:val="none" w:sz="0" w:space="0" w:color="auto"/>
        <w:left w:val="none" w:sz="0" w:space="0" w:color="auto"/>
        <w:bottom w:val="none" w:sz="0" w:space="0" w:color="auto"/>
        <w:right w:val="none" w:sz="0" w:space="0" w:color="auto"/>
      </w:divBdr>
    </w:div>
    <w:div w:id="1768891877">
      <w:bodyDiv w:val="1"/>
      <w:marLeft w:val="0"/>
      <w:marRight w:val="0"/>
      <w:marTop w:val="0"/>
      <w:marBottom w:val="0"/>
      <w:divBdr>
        <w:top w:val="none" w:sz="0" w:space="0" w:color="auto"/>
        <w:left w:val="none" w:sz="0" w:space="0" w:color="auto"/>
        <w:bottom w:val="none" w:sz="0" w:space="0" w:color="auto"/>
        <w:right w:val="none" w:sz="0" w:space="0" w:color="auto"/>
      </w:divBdr>
    </w:div>
    <w:div w:id="1787385577">
      <w:bodyDiv w:val="1"/>
      <w:marLeft w:val="0"/>
      <w:marRight w:val="0"/>
      <w:marTop w:val="0"/>
      <w:marBottom w:val="0"/>
      <w:divBdr>
        <w:top w:val="none" w:sz="0" w:space="0" w:color="auto"/>
        <w:left w:val="none" w:sz="0" w:space="0" w:color="auto"/>
        <w:bottom w:val="none" w:sz="0" w:space="0" w:color="auto"/>
        <w:right w:val="none" w:sz="0" w:space="0" w:color="auto"/>
      </w:divBdr>
    </w:div>
    <w:div w:id="1788693371">
      <w:bodyDiv w:val="1"/>
      <w:marLeft w:val="0"/>
      <w:marRight w:val="0"/>
      <w:marTop w:val="0"/>
      <w:marBottom w:val="0"/>
      <w:divBdr>
        <w:top w:val="none" w:sz="0" w:space="0" w:color="auto"/>
        <w:left w:val="none" w:sz="0" w:space="0" w:color="auto"/>
        <w:bottom w:val="none" w:sz="0" w:space="0" w:color="auto"/>
        <w:right w:val="none" w:sz="0" w:space="0" w:color="auto"/>
      </w:divBdr>
    </w:div>
    <w:div w:id="1790050484">
      <w:bodyDiv w:val="1"/>
      <w:marLeft w:val="0"/>
      <w:marRight w:val="0"/>
      <w:marTop w:val="0"/>
      <w:marBottom w:val="0"/>
      <w:divBdr>
        <w:top w:val="none" w:sz="0" w:space="0" w:color="auto"/>
        <w:left w:val="none" w:sz="0" w:space="0" w:color="auto"/>
        <w:bottom w:val="none" w:sz="0" w:space="0" w:color="auto"/>
        <w:right w:val="none" w:sz="0" w:space="0" w:color="auto"/>
      </w:divBdr>
      <w:divsChild>
        <w:div w:id="1052382442">
          <w:marLeft w:val="1354"/>
          <w:marRight w:val="0"/>
          <w:marTop w:val="0"/>
          <w:marBottom w:val="0"/>
          <w:divBdr>
            <w:top w:val="none" w:sz="0" w:space="0" w:color="auto"/>
            <w:left w:val="none" w:sz="0" w:space="0" w:color="auto"/>
            <w:bottom w:val="none" w:sz="0" w:space="0" w:color="auto"/>
            <w:right w:val="none" w:sz="0" w:space="0" w:color="auto"/>
          </w:divBdr>
        </w:div>
      </w:divsChild>
    </w:div>
    <w:div w:id="1800152032">
      <w:bodyDiv w:val="1"/>
      <w:marLeft w:val="0"/>
      <w:marRight w:val="0"/>
      <w:marTop w:val="0"/>
      <w:marBottom w:val="0"/>
      <w:divBdr>
        <w:top w:val="none" w:sz="0" w:space="0" w:color="auto"/>
        <w:left w:val="none" w:sz="0" w:space="0" w:color="auto"/>
        <w:bottom w:val="none" w:sz="0" w:space="0" w:color="auto"/>
        <w:right w:val="none" w:sz="0" w:space="0" w:color="auto"/>
      </w:divBdr>
    </w:div>
    <w:div w:id="1814907130">
      <w:bodyDiv w:val="1"/>
      <w:marLeft w:val="0"/>
      <w:marRight w:val="0"/>
      <w:marTop w:val="0"/>
      <w:marBottom w:val="0"/>
      <w:divBdr>
        <w:top w:val="none" w:sz="0" w:space="0" w:color="auto"/>
        <w:left w:val="none" w:sz="0" w:space="0" w:color="auto"/>
        <w:bottom w:val="none" w:sz="0" w:space="0" w:color="auto"/>
        <w:right w:val="none" w:sz="0" w:space="0" w:color="auto"/>
      </w:divBdr>
    </w:div>
    <w:div w:id="1816994275">
      <w:bodyDiv w:val="1"/>
      <w:marLeft w:val="0"/>
      <w:marRight w:val="0"/>
      <w:marTop w:val="0"/>
      <w:marBottom w:val="0"/>
      <w:divBdr>
        <w:top w:val="none" w:sz="0" w:space="0" w:color="auto"/>
        <w:left w:val="none" w:sz="0" w:space="0" w:color="auto"/>
        <w:bottom w:val="none" w:sz="0" w:space="0" w:color="auto"/>
        <w:right w:val="none" w:sz="0" w:space="0" w:color="auto"/>
      </w:divBdr>
    </w:div>
    <w:div w:id="1828204421">
      <w:bodyDiv w:val="1"/>
      <w:marLeft w:val="0"/>
      <w:marRight w:val="0"/>
      <w:marTop w:val="0"/>
      <w:marBottom w:val="0"/>
      <w:divBdr>
        <w:top w:val="none" w:sz="0" w:space="0" w:color="auto"/>
        <w:left w:val="none" w:sz="0" w:space="0" w:color="auto"/>
        <w:bottom w:val="none" w:sz="0" w:space="0" w:color="auto"/>
        <w:right w:val="none" w:sz="0" w:space="0" w:color="auto"/>
      </w:divBdr>
    </w:div>
    <w:div w:id="1839151771">
      <w:bodyDiv w:val="1"/>
      <w:marLeft w:val="0"/>
      <w:marRight w:val="0"/>
      <w:marTop w:val="0"/>
      <w:marBottom w:val="0"/>
      <w:divBdr>
        <w:top w:val="none" w:sz="0" w:space="0" w:color="auto"/>
        <w:left w:val="none" w:sz="0" w:space="0" w:color="auto"/>
        <w:bottom w:val="none" w:sz="0" w:space="0" w:color="auto"/>
        <w:right w:val="none" w:sz="0" w:space="0" w:color="auto"/>
      </w:divBdr>
    </w:div>
    <w:div w:id="1855879377">
      <w:bodyDiv w:val="1"/>
      <w:marLeft w:val="0"/>
      <w:marRight w:val="0"/>
      <w:marTop w:val="0"/>
      <w:marBottom w:val="0"/>
      <w:divBdr>
        <w:top w:val="none" w:sz="0" w:space="0" w:color="auto"/>
        <w:left w:val="none" w:sz="0" w:space="0" w:color="auto"/>
        <w:bottom w:val="none" w:sz="0" w:space="0" w:color="auto"/>
        <w:right w:val="none" w:sz="0" w:space="0" w:color="auto"/>
      </w:divBdr>
      <w:divsChild>
        <w:div w:id="1202327676">
          <w:marLeft w:val="446"/>
          <w:marRight w:val="0"/>
          <w:marTop w:val="0"/>
          <w:marBottom w:val="0"/>
          <w:divBdr>
            <w:top w:val="none" w:sz="0" w:space="0" w:color="auto"/>
            <w:left w:val="none" w:sz="0" w:space="0" w:color="auto"/>
            <w:bottom w:val="none" w:sz="0" w:space="0" w:color="auto"/>
            <w:right w:val="none" w:sz="0" w:space="0" w:color="auto"/>
          </w:divBdr>
        </w:div>
      </w:divsChild>
    </w:div>
    <w:div w:id="1868441263">
      <w:bodyDiv w:val="1"/>
      <w:marLeft w:val="0"/>
      <w:marRight w:val="0"/>
      <w:marTop w:val="0"/>
      <w:marBottom w:val="0"/>
      <w:divBdr>
        <w:top w:val="none" w:sz="0" w:space="0" w:color="auto"/>
        <w:left w:val="none" w:sz="0" w:space="0" w:color="auto"/>
        <w:bottom w:val="none" w:sz="0" w:space="0" w:color="auto"/>
        <w:right w:val="none" w:sz="0" w:space="0" w:color="auto"/>
      </w:divBdr>
    </w:div>
    <w:div w:id="1875776155">
      <w:bodyDiv w:val="1"/>
      <w:marLeft w:val="0"/>
      <w:marRight w:val="0"/>
      <w:marTop w:val="0"/>
      <w:marBottom w:val="0"/>
      <w:divBdr>
        <w:top w:val="none" w:sz="0" w:space="0" w:color="auto"/>
        <w:left w:val="none" w:sz="0" w:space="0" w:color="auto"/>
        <w:bottom w:val="none" w:sz="0" w:space="0" w:color="auto"/>
        <w:right w:val="none" w:sz="0" w:space="0" w:color="auto"/>
      </w:divBdr>
    </w:div>
    <w:div w:id="1918905960">
      <w:bodyDiv w:val="1"/>
      <w:marLeft w:val="0"/>
      <w:marRight w:val="0"/>
      <w:marTop w:val="0"/>
      <w:marBottom w:val="0"/>
      <w:divBdr>
        <w:top w:val="none" w:sz="0" w:space="0" w:color="auto"/>
        <w:left w:val="none" w:sz="0" w:space="0" w:color="auto"/>
        <w:bottom w:val="none" w:sz="0" w:space="0" w:color="auto"/>
        <w:right w:val="none" w:sz="0" w:space="0" w:color="auto"/>
      </w:divBdr>
    </w:div>
    <w:div w:id="1929803336">
      <w:bodyDiv w:val="1"/>
      <w:marLeft w:val="0"/>
      <w:marRight w:val="0"/>
      <w:marTop w:val="0"/>
      <w:marBottom w:val="0"/>
      <w:divBdr>
        <w:top w:val="none" w:sz="0" w:space="0" w:color="auto"/>
        <w:left w:val="none" w:sz="0" w:space="0" w:color="auto"/>
        <w:bottom w:val="none" w:sz="0" w:space="0" w:color="auto"/>
        <w:right w:val="none" w:sz="0" w:space="0" w:color="auto"/>
      </w:divBdr>
    </w:div>
    <w:div w:id="1932347720">
      <w:bodyDiv w:val="1"/>
      <w:marLeft w:val="0"/>
      <w:marRight w:val="0"/>
      <w:marTop w:val="0"/>
      <w:marBottom w:val="0"/>
      <w:divBdr>
        <w:top w:val="none" w:sz="0" w:space="0" w:color="auto"/>
        <w:left w:val="none" w:sz="0" w:space="0" w:color="auto"/>
        <w:bottom w:val="none" w:sz="0" w:space="0" w:color="auto"/>
        <w:right w:val="none" w:sz="0" w:space="0" w:color="auto"/>
      </w:divBdr>
    </w:div>
    <w:div w:id="1940680982">
      <w:bodyDiv w:val="1"/>
      <w:marLeft w:val="0"/>
      <w:marRight w:val="0"/>
      <w:marTop w:val="0"/>
      <w:marBottom w:val="0"/>
      <w:divBdr>
        <w:top w:val="none" w:sz="0" w:space="0" w:color="auto"/>
        <w:left w:val="none" w:sz="0" w:space="0" w:color="auto"/>
        <w:bottom w:val="none" w:sz="0" w:space="0" w:color="auto"/>
        <w:right w:val="none" w:sz="0" w:space="0" w:color="auto"/>
      </w:divBdr>
    </w:div>
    <w:div w:id="1941331333">
      <w:bodyDiv w:val="1"/>
      <w:marLeft w:val="0"/>
      <w:marRight w:val="0"/>
      <w:marTop w:val="0"/>
      <w:marBottom w:val="0"/>
      <w:divBdr>
        <w:top w:val="none" w:sz="0" w:space="0" w:color="auto"/>
        <w:left w:val="none" w:sz="0" w:space="0" w:color="auto"/>
        <w:bottom w:val="none" w:sz="0" w:space="0" w:color="auto"/>
        <w:right w:val="none" w:sz="0" w:space="0" w:color="auto"/>
      </w:divBdr>
    </w:div>
    <w:div w:id="1942300566">
      <w:bodyDiv w:val="1"/>
      <w:marLeft w:val="0"/>
      <w:marRight w:val="0"/>
      <w:marTop w:val="0"/>
      <w:marBottom w:val="0"/>
      <w:divBdr>
        <w:top w:val="none" w:sz="0" w:space="0" w:color="auto"/>
        <w:left w:val="none" w:sz="0" w:space="0" w:color="auto"/>
        <w:bottom w:val="none" w:sz="0" w:space="0" w:color="auto"/>
        <w:right w:val="none" w:sz="0" w:space="0" w:color="auto"/>
      </w:divBdr>
    </w:div>
    <w:div w:id="1952278391">
      <w:bodyDiv w:val="1"/>
      <w:marLeft w:val="0"/>
      <w:marRight w:val="0"/>
      <w:marTop w:val="0"/>
      <w:marBottom w:val="0"/>
      <w:divBdr>
        <w:top w:val="none" w:sz="0" w:space="0" w:color="auto"/>
        <w:left w:val="none" w:sz="0" w:space="0" w:color="auto"/>
        <w:bottom w:val="none" w:sz="0" w:space="0" w:color="auto"/>
        <w:right w:val="none" w:sz="0" w:space="0" w:color="auto"/>
      </w:divBdr>
    </w:div>
    <w:div w:id="1990867137">
      <w:bodyDiv w:val="1"/>
      <w:marLeft w:val="0"/>
      <w:marRight w:val="0"/>
      <w:marTop w:val="0"/>
      <w:marBottom w:val="0"/>
      <w:divBdr>
        <w:top w:val="none" w:sz="0" w:space="0" w:color="auto"/>
        <w:left w:val="none" w:sz="0" w:space="0" w:color="auto"/>
        <w:bottom w:val="none" w:sz="0" w:space="0" w:color="auto"/>
        <w:right w:val="none" w:sz="0" w:space="0" w:color="auto"/>
      </w:divBdr>
    </w:div>
    <w:div w:id="1995253296">
      <w:bodyDiv w:val="1"/>
      <w:marLeft w:val="0"/>
      <w:marRight w:val="0"/>
      <w:marTop w:val="0"/>
      <w:marBottom w:val="0"/>
      <w:divBdr>
        <w:top w:val="none" w:sz="0" w:space="0" w:color="auto"/>
        <w:left w:val="none" w:sz="0" w:space="0" w:color="auto"/>
        <w:bottom w:val="none" w:sz="0" w:space="0" w:color="auto"/>
        <w:right w:val="none" w:sz="0" w:space="0" w:color="auto"/>
      </w:divBdr>
    </w:div>
    <w:div w:id="1999383670">
      <w:bodyDiv w:val="1"/>
      <w:marLeft w:val="0"/>
      <w:marRight w:val="0"/>
      <w:marTop w:val="0"/>
      <w:marBottom w:val="0"/>
      <w:divBdr>
        <w:top w:val="none" w:sz="0" w:space="0" w:color="auto"/>
        <w:left w:val="none" w:sz="0" w:space="0" w:color="auto"/>
        <w:bottom w:val="none" w:sz="0" w:space="0" w:color="auto"/>
        <w:right w:val="none" w:sz="0" w:space="0" w:color="auto"/>
      </w:divBdr>
      <w:divsChild>
        <w:div w:id="914163936">
          <w:marLeft w:val="634"/>
          <w:marRight w:val="0"/>
          <w:marTop w:val="0"/>
          <w:marBottom w:val="0"/>
          <w:divBdr>
            <w:top w:val="none" w:sz="0" w:space="0" w:color="auto"/>
            <w:left w:val="none" w:sz="0" w:space="0" w:color="auto"/>
            <w:bottom w:val="none" w:sz="0" w:space="0" w:color="auto"/>
            <w:right w:val="none" w:sz="0" w:space="0" w:color="auto"/>
          </w:divBdr>
        </w:div>
      </w:divsChild>
    </w:div>
    <w:div w:id="2020035167">
      <w:bodyDiv w:val="1"/>
      <w:marLeft w:val="0"/>
      <w:marRight w:val="0"/>
      <w:marTop w:val="0"/>
      <w:marBottom w:val="0"/>
      <w:divBdr>
        <w:top w:val="none" w:sz="0" w:space="0" w:color="auto"/>
        <w:left w:val="none" w:sz="0" w:space="0" w:color="auto"/>
        <w:bottom w:val="none" w:sz="0" w:space="0" w:color="auto"/>
        <w:right w:val="none" w:sz="0" w:space="0" w:color="auto"/>
      </w:divBdr>
    </w:div>
    <w:div w:id="2022976242">
      <w:bodyDiv w:val="1"/>
      <w:marLeft w:val="0"/>
      <w:marRight w:val="0"/>
      <w:marTop w:val="0"/>
      <w:marBottom w:val="0"/>
      <w:divBdr>
        <w:top w:val="none" w:sz="0" w:space="0" w:color="auto"/>
        <w:left w:val="none" w:sz="0" w:space="0" w:color="auto"/>
        <w:bottom w:val="none" w:sz="0" w:space="0" w:color="auto"/>
        <w:right w:val="none" w:sz="0" w:space="0" w:color="auto"/>
      </w:divBdr>
    </w:div>
    <w:div w:id="2034306438">
      <w:bodyDiv w:val="1"/>
      <w:marLeft w:val="0"/>
      <w:marRight w:val="0"/>
      <w:marTop w:val="0"/>
      <w:marBottom w:val="0"/>
      <w:divBdr>
        <w:top w:val="none" w:sz="0" w:space="0" w:color="auto"/>
        <w:left w:val="none" w:sz="0" w:space="0" w:color="auto"/>
        <w:bottom w:val="none" w:sz="0" w:space="0" w:color="auto"/>
        <w:right w:val="none" w:sz="0" w:space="0" w:color="auto"/>
      </w:divBdr>
    </w:div>
    <w:div w:id="2045400669">
      <w:bodyDiv w:val="1"/>
      <w:marLeft w:val="0"/>
      <w:marRight w:val="0"/>
      <w:marTop w:val="0"/>
      <w:marBottom w:val="0"/>
      <w:divBdr>
        <w:top w:val="none" w:sz="0" w:space="0" w:color="auto"/>
        <w:left w:val="none" w:sz="0" w:space="0" w:color="auto"/>
        <w:bottom w:val="none" w:sz="0" w:space="0" w:color="auto"/>
        <w:right w:val="none" w:sz="0" w:space="0" w:color="auto"/>
      </w:divBdr>
      <w:divsChild>
        <w:div w:id="2070617190">
          <w:marLeft w:val="274"/>
          <w:marRight w:val="0"/>
          <w:marTop w:val="200"/>
          <w:marBottom w:val="0"/>
          <w:divBdr>
            <w:top w:val="none" w:sz="0" w:space="0" w:color="auto"/>
            <w:left w:val="none" w:sz="0" w:space="0" w:color="auto"/>
            <w:bottom w:val="none" w:sz="0" w:space="0" w:color="auto"/>
            <w:right w:val="none" w:sz="0" w:space="0" w:color="auto"/>
          </w:divBdr>
        </w:div>
      </w:divsChild>
    </w:div>
    <w:div w:id="2051298376">
      <w:bodyDiv w:val="1"/>
      <w:marLeft w:val="0"/>
      <w:marRight w:val="0"/>
      <w:marTop w:val="0"/>
      <w:marBottom w:val="0"/>
      <w:divBdr>
        <w:top w:val="none" w:sz="0" w:space="0" w:color="auto"/>
        <w:left w:val="none" w:sz="0" w:space="0" w:color="auto"/>
        <w:bottom w:val="none" w:sz="0" w:space="0" w:color="auto"/>
        <w:right w:val="none" w:sz="0" w:space="0" w:color="auto"/>
      </w:divBdr>
    </w:div>
    <w:div w:id="2057049205">
      <w:bodyDiv w:val="1"/>
      <w:marLeft w:val="0"/>
      <w:marRight w:val="0"/>
      <w:marTop w:val="0"/>
      <w:marBottom w:val="0"/>
      <w:divBdr>
        <w:top w:val="none" w:sz="0" w:space="0" w:color="auto"/>
        <w:left w:val="none" w:sz="0" w:space="0" w:color="auto"/>
        <w:bottom w:val="none" w:sz="0" w:space="0" w:color="auto"/>
        <w:right w:val="none" w:sz="0" w:space="0" w:color="auto"/>
      </w:divBdr>
    </w:div>
    <w:div w:id="2084715684">
      <w:bodyDiv w:val="1"/>
      <w:marLeft w:val="0"/>
      <w:marRight w:val="0"/>
      <w:marTop w:val="0"/>
      <w:marBottom w:val="0"/>
      <w:divBdr>
        <w:top w:val="none" w:sz="0" w:space="0" w:color="auto"/>
        <w:left w:val="none" w:sz="0" w:space="0" w:color="auto"/>
        <w:bottom w:val="none" w:sz="0" w:space="0" w:color="auto"/>
        <w:right w:val="none" w:sz="0" w:space="0" w:color="auto"/>
      </w:divBdr>
    </w:div>
    <w:div w:id="2085176531">
      <w:bodyDiv w:val="1"/>
      <w:marLeft w:val="0"/>
      <w:marRight w:val="0"/>
      <w:marTop w:val="0"/>
      <w:marBottom w:val="0"/>
      <w:divBdr>
        <w:top w:val="none" w:sz="0" w:space="0" w:color="auto"/>
        <w:left w:val="none" w:sz="0" w:space="0" w:color="auto"/>
        <w:bottom w:val="none" w:sz="0" w:space="0" w:color="auto"/>
        <w:right w:val="none" w:sz="0" w:space="0" w:color="auto"/>
      </w:divBdr>
    </w:div>
    <w:div w:id="2086798985">
      <w:bodyDiv w:val="1"/>
      <w:marLeft w:val="0"/>
      <w:marRight w:val="0"/>
      <w:marTop w:val="0"/>
      <w:marBottom w:val="0"/>
      <w:divBdr>
        <w:top w:val="none" w:sz="0" w:space="0" w:color="auto"/>
        <w:left w:val="none" w:sz="0" w:space="0" w:color="auto"/>
        <w:bottom w:val="none" w:sz="0" w:space="0" w:color="auto"/>
        <w:right w:val="none" w:sz="0" w:space="0" w:color="auto"/>
      </w:divBdr>
    </w:div>
    <w:div w:id="2090080941">
      <w:bodyDiv w:val="1"/>
      <w:marLeft w:val="0"/>
      <w:marRight w:val="0"/>
      <w:marTop w:val="0"/>
      <w:marBottom w:val="0"/>
      <w:divBdr>
        <w:top w:val="none" w:sz="0" w:space="0" w:color="auto"/>
        <w:left w:val="none" w:sz="0" w:space="0" w:color="auto"/>
        <w:bottom w:val="none" w:sz="0" w:space="0" w:color="auto"/>
        <w:right w:val="none" w:sz="0" w:space="0" w:color="auto"/>
      </w:divBdr>
    </w:div>
    <w:div w:id="2093693922">
      <w:bodyDiv w:val="1"/>
      <w:marLeft w:val="0"/>
      <w:marRight w:val="0"/>
      <w:marTop w:val="0"/>
      <w:marBottom w:val="0"/>
      <w:divBdr>
        <w:top w:val="none" w:sz="0" w:space="0" w:color="auto"/>
        <w:left w:val="none" w:sz="0" w:space="0" w:color="auto"/>
        <w:bottom w:val="none" w:sz="0" w:space="0" w:color="auto"/>
        <w:right w:val="none" w:sz="0" w:space="0" w:color="auto"/>
      </w:divBdr>
    </w:div>
    <w:div w:id="2102296364">
      <w:bodyDiv w:val="1"/>
      <w:marLeft w:val="0"/>
      <w:marRight w:val="0"/>
      <w:marTop w:val="0"/>
      <w:marBottom w:val="0"/>
      <w:divBdr>
        <w:top w:val="none" w:sz="0" w:space="0" w:color="auto"/>
        <w:left w:val="none" w:sz="0" w:space="0" w:color="auto"/>
        <w:bottom w:val="none" w:sz="0" w:space="0" w:color="auto"/>
        <w:right w:val="none" w:sz="0" w:space="0" w:color="auto"/>
      </w:divBdr>
    </w:div>
    <w:div w:id="2113275975">
      <w:bodyDiv w:val="1"/>
      <w:marLeft w:val="0"/>
      <w:marRight w:val="0"/>
      <w:marTop w:val="0"/>
      <w:marBottom w:val="0"/>
      <w:divBdr>
        <w:top w:val="none" w:sz="0" w:space="0" w:color="auto"/>
        <w:left w:val="none" w:sz="0" w:space="0" w:color="auto"/>
        <w:bottom w:val="none" w:sz="0" w:space="0" w:color="auto"/>
        <w:right w:val="none" w:sz="0" w:space="0" w:color="auto"/>
      </w:divBdr>
    </w:div>
    <w:div w:id="211366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ebcast.openbriefing.com%2Fvanquis-2025%2F&amp;data=05%7C02%7CJames.Cranstoun%40vanquis.com%7C1d1f8a4786ef447e44d408dda9be0786%7C73984ebf3c4345de900f969cd50a6a65%7C0%7C0%7C638853356128785668%7CUnknown%7CTWFpbGZsb3d8eyJFbXB0eU1hcGkiOnRydWUsIlYiOiIwLjAuMDAwMCIsIlAiOiJXaW4zMiIsIkFOIjoiTWFpbCIsIldUIjoyfQ%3D%3D%7C0%7C%7C%7C&amp;sdata=D0OQMEpSTrSlTHJ9%2Fzqd%2BWKcjanCr%2FYUEPbfRAihIEc%3D&amp;reserved=0" TargetMode="External"/><Relationship Id="rId18" Type="http://schemas.openxmlformats.org/officeDocument/2006/relationships/hyperlink" Target="mailto:vanquis@hawthornadvisor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2.png@01DBDB6A.8ABA40C0" TargetMode="External"/><Relationship Id="rId17" Type="http://schemas.openxmlformats.org/officeDocument/2006/relationships/hyperlink" Target="mailto:scott.mowbray@vanquis.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james.cranstoun@vanquis.com" TargetMode="External"/><Relationship Id="rId20" Type="http://schemas.openxmlformats.org/officeDocument/2006/relationships/hyperlink" Target="http://www.vanqui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anquisbankinggroup.com/shareholder-hub/results-reports-and-presenta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anquis.com/wp-content/uploads/2025/07/Vanquis-Banking-Group-2024-Re-presentation-Docu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nquis.com/investors/results-reports-presentations/"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1A36F0FF9F848BAB889B0D32425FF" ma:contentTypeVersion="17" ma:contentTypeDescription="Create a new document." ma:contentTypeScope="" ma:versionID="4cfd4c971fe7cd0dc519bd5344ca0bda">
  <xsd:schema xmlns:xsd="http://www.w3.org/2001/XMLSchema" xmlns:xs="http://www.w3.org/2001/XMLSchema" xmlns:p="http://schemas.microsoft.com/office/2006/metadata/properties" xmlns:ns1="http://schemas.microsoft.com/sharepoint/v3" xmlns:ns2="0f4e1d6e-03e4-4e2a-9685-b4b625c28fd9" xmlns:ns3="cb086667-544a-49f0-9d42-1cc1ba741747" targetNamespace="http://schemas.microsoft.com/office/2006/metadata/properties" ma:root="true" ma:fieldsID="2053db9c547fbe5980731ca58ddb2812" ns1:_="" ns2:_="" ns3:_="">
    <xsd:import namespace="http://schemas.microsoft.com/sharepoint/v3"/>
    <xsd:import namespace="0f4e1d6e-03e4-4e2a-9685-b4b625c28fd9"/>
    <xsd:import namespace="cb086667-544a-49f0-9d42-1cc1ba74174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e1d6e-03e4-4e2a-9685-b4b625c28f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c793a9-347d-4481-abe9-16a2acff089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86667-544a-49f0-9d42-1cc1ba7417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7d9d2b-a528-4187-b716-c95cec4d5155}" ma:internalName="TaxCatchAll" ma:showField="CatchAllData" ma:web="cb086667-544a-49f0-9d42-1cc1ba741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4e1d6e-03e4-4e2a-9685-b4b625c28fd9">
      <Terms xmlns="http://schemas.microsoft.com/office/infopath/2007/PartnerControls"/>
    </lcf76f155ced4ddcb4097134ff3c332f>
    <_ip_UnifiedCompliancePolicyProperties xmlns="http://schemas.microsoft.com/sharepoint/v3" xsi:nil="true"/>
    <TaxCatchAll xmlns="cb086667-544a-49f0-9d42-1cc1ba741747" xsi:nil="true"/>
  </documentManagement>
</p:properties>
</file>

<file path=customXml/itemProps1.xml><?xml version="1.0" encoding="utf-8"?>
<ds:datastoreItem xmlns:ds="http://schemas.openxmlformats.org/officeDocument/2006/customXml" ds:itemID="{A6BBB73E-BD62-4BC0-9945-D8FB4BE8C8EC}">
  <ds:schemaRefs>
    <ds:schemaRef ds:uri="http://schemas.microsoft.com/sharepoint/v3/contenttype/forms"/>
  </ds:schemaRefs>
</ds:datastoreItem>
</file>

<file path=customXml/itemProps2.xml><?xml version="1.0" encoding="utf-8"?>
<ds:datastoreItem xmlns:ds="http://schemas.openxmlformats.org/officeDocument/2006/customXml" ds:itemID="{24B32950-897F-46A3-BA29-CF6408146AE2}"/>
</file>

<file path=customXml/itemProps3.xml><?xml version="1.0" encoding="utf-8"?>
<ds:datastoreItem xmlns:ds="http://schemas.openxmlformats.org/officeDocument/2006/customXml" ds:itemID="{AE8EA74E-EB57-4EEB-914E-FFF7E1AAD0AA}">
  <ds:schemaRefs>
    <ds:schemaRef ds:uri="http://schemas.openxmlformats.org/officeDocument/2006/bibliography"/>
  </ds:schemaRefs>
</ds:datastoreItem>
</file>

<file path=customXml/itemProps4.xml><?xml version="1.0" encoding="utf-8"?>
<ds:datastoreItem xmlns:ds="http://schemas.openxmlformats.org/officeDocument/2006/customXml" ds:itemID="{9F335302-08EC-4B92-8C7D-A2720E69A37E}">
  <ds:schemaRefs>
    <ds:schemaRef ds:uri="http://schemas.microsoft.com/office/2006/documentManagement/types"/>
    <ds:schemaRef ds:uri="35242ef7-2861-43ce-b82e-be186283d2c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purl.org/dc/dcmitype/"/>
    <ds:schemaRef ds:uri="http://purl.org/dc/elements/1.1/"/>
  </ds:schemaRefs>
</ds:datastoreItem>
</file>

<file path=docMetadata/LabelInfo.xml><?xml version="1.0" encoding="utf-8"?>
<clbl:labelList xmlns:clbl="http://schemas.microsoft.com/office/2020/mipLabelMetadata">
  <clbl:label id="{2595328a-955e-44b2-8fcc-1ffddffeddb2}" enabled="1" method="Privileged" siteId="{73984ebf-3c43-45de-900f-969cd50a6a65}" removed="0"/>
</clbl:labelList>
</file>

<file path=docProps/app.xml><?xml version="1.0" encoding="utf-8"?>
<Properties xmlns="http://schemas.openxmlformats.org/officeDocument/2006/extended-properties" xmlns:vt="http://schemas.openxmlformats.org/officeDocument/2006/docPropsVTypes">
  <Template>Normal</Template>
  <TotalTime>22</TotalTime>
  <Pages>41</Pages>
  <Words>18473</Words>
  <Characters>103772</Characters>
  <Application>Microsoft Office Word</Application>
  <DocSecurity>0</DocSecurity>
  <Lines>864</Lines>
  <Paragraphs>244</Paragraphs>
  <ScaleCrop>false</ScaleCrop>
  <HeadingPairs>
    <vt:vector size="2" baseType="variant">
      <vt:variant>
        <vt:lpstr>Title</vt:lpstr>
      </vt:variant>
      <vt:variant>
        <vt:i4>1</vt:i4>
      </vt:variant>
    </vt:vector>
  </HeadingPairs>
  <TitlesOfParts>
    <vt:vector size="1" baseType="lpstr">
      <vt:lpstr/>
    </vt:vector>
  </TitlesOfParts>
  <Company>Provident Financial Group</Company>
  <LinksUpToDate>false</LinksUpToDate>
  <CharactersWithSpaces>122001</CharactersWithSpaces>
  <SharedDoc>false</SharedDoc>
  <HLinks>
    <vt:vector size="48" baseType="variant">
      <vt:variant>
        <vt:i4>3866728</vt:i4>
      </vt:variant>
      <vt:variant>
        <vt:i4>21</vt:i4>
      </vt:variant>
      <vt:variant>
        <vt:i4>0</vt:i4>
      </vt:variant>
      <vt:variant>
        <vt:i4>5</vt:i4>
      </vt:variant>
      <vt:variant>
        <vt:lpwstr>http://www.vanquis.com/</vt:lpwstr>
      </vt:variant>
      <vt:variant>
        <vt:lpwstr/>
      </vt:variant>
      <vt:variant>
        <vt:i4>2293813</vt:i4>
      </vt:variant>
      <vt:variant>
        <vt:i4>18</vt:i4>
      </vt:variant>
      <vt:variant>
        <vt:i4>0</vt:i4>
      </vt:variant>
      <vt:variant>
        <vt:i4>5</vt:i4>
      </vt:variant>
      <vt:variant>
        <vt:lpwstr>https://www.vanquis.com/wp-content/uploads/2025/07/Vanquis-Banking-Group-2024-Re-presentation-Document.pdf</vt:lpwstr>
      </vt:variant>
      <vt:variant>
        <vt:lpwstr/>
      </vt:variant>
      <vt:variant>
        <vt:i4>3014677</vt:i4>
      </vt:variant>
      <vt:variant>
        <vt:i4>15</vt:i4>
      </vt:variant>
      <vt:variant>
        <vt:i4>0</vt:i4>
      </vt:variant>
      <vt:variant>
        <vt:i4>5</vt:i4>
      </vt:variant>
      <vt:variant>
        <vt:lpwstr>mailto:vanquis@hawthornadvisors.com</vt:lpwstr>
      </vt:variant>
      <vt:variant>
        <vt:lpwstr/>
      </vt:variant>
      <vt:variant>
        <vt:i4>720999</vt:i4>
      </vt:variant>
      <vt:variant>
        <vt:i4>12</vt:i4>
      </vt:variant>
      <vt:variant>
        <vt:i4>0</vt:i4>
      </vt:variant>
      <vt:variant>
        <vt:i4>5</vt:i4>
      </vt:variant>
      <vt:variant>
        <vt:lpwstr>mailto:scott.mowbray@vanquis.com</vt:lpwstr>
      </vt:variant>
      <vt:variant>
        <vt:lpwstr/>
      </vt:variant>
      <vt:variant>
        <vt:i4>7733253</vt:i4>
      </vt:variant>
      <vt:variant>
        <vt:i4>9</vt:i4>
      </vt:variant>
      <vt:variant>
        <vt:i4>0</vt:i4>
      </vt:variant>
      <vt:variant>
        <vt:i4>5</vt:i4>
      </vt:variant>
      <vt:variant>
        <vt:lpwstr>mailto:james.cranstoun@vanquis.com</vt:lpwstr>
      </vt:variant>
      <vt:variant>
        <vt:lpwstr/>
      </vt:variant>
      <vt:variant>
        <vt:i4>2687036</vt:i4>
      </vt:variant>
      <vt:variant>
        <vt:i4>6</vt:i4>
      </vt:variant>
      <vt:variant>
        <vt:i4>0</vt:i4>
      </vt:variant>
      <vt:variant>
        <vt:i4>5</vt:i4>
      </vt:variant>
      <vt:variant>
        <vt:lpwstr>https://www.vanquisbankinggroup.com/shareholder-hub/results-reports-and-presentations/</vt:lpwstr>
      </vt:variant>
      <vt:variant>
        <vt:lpwstr/>
      </vt:variant>
      <vt:variant>
        <vt:i4>4259921</vt:i4>
      </vt:variant>
      <vt:variant>
        <vt:i4>3</vt:i4>
      </vt:variant>
      <vt:variant>
        <vt:i4>0</vt:i4>
      </vt:variant>
      <vt:variant>
        <vt:i4>5</vt:i4>
      </vt:variant>
      <vt:variant>
        <vt:lpwstr>https://www.vanquis.com/investors/results-reports-presentations/</vt:lpwstr>
      </vt:variant>
      <vt:variant>
        <vt:lpwstr/>
      </vt:variant>
      <vt:variant>
        <vt:i4>3997811</vt:i4>
      </vt:variant>
      <vt:variant>
        <vt:i4>0</vt:i4>
      </vt:variant>
      <vt:variant>
        <vt:i4>0</vt:i4>
      </vt:variant>
      <vt:variant>
        <vt:i4>5</vt:i4>
      </vt:variant>
      <vt:variant>
        <vt:lpwstr>https://gbr01.safelinks.protection.outlook.com/?url=https%3A%2F%2Fwebcast.openbriefing.com%2Fvanquis-2025%2F&amp;data=05%7C02%7CJames.Cranstoun%40vanquis.com%7C1d1f8a4786ef447e44d408dda9be0786%7C73984ebf3c4345de900f969cd50a6a65%7C0%7C0%7C638853356128785668%7CUnknown%7CTWFpbGZsb3d8eyJFbXB0eU1hcGkiOnRydWUsIlYiOiIwLjAuMDAwMCIsIlAiOiJXaW4zMiIsIkFOIjoiTWFpbCIsIldUIjoyfQ%3D%3D%7C0%7C%7C%7C&amp;sdata=D0OQMEpSTrSlTHJ9%2Fzqd%2BWKcjanCr%2FYUEPbfRAihIE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Cranstoun (Investor Relations)</dc:creator>
  <cp:keywords/>
  <cp:lastModifiedBy>Elizabeth McClure (PF Group Legal)</cp:lastModifiedBy>
  <cp:revision>7</cp:revision>
  <cp:lastPrinted>2025-08-06T15:32:00Z</cp:lastPrinted>
  <dcterms:created xsi:type="dcterms:W3CDTF">2025-08-06T17:37:00Z</dcterms:created>
  <dcterms:modified xsi:type="dcterms:W3CDTF">2025-08-06T18:23:00Z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ContentBits">
    <vt:lpwstr>0</vt:lpwstr>
  </property>
  <property fmtid="{D5CDD505-2E9C-101B-9397-08002B2CF9AE}" pid="3" name="MSIP_Label_6a0d99e1-d284-4fc8-854c-ace2b59783fb_Enabled">
    <vt:lpwstr>true</vt:lpwstr>
  </property>
  <property fmtid="{D5CDD505-2E9C-101B-9397-08002B2CF9AE}" pid="4" name="MSIP_Label_ea60d57e-af5b-4752-ac57-3e4f28ca11dc_Enabled">
    <vt:lpwstr>true</vt:lpwstr>
  </property>
  <property fmtid="{D5CDD505-2E9C-101B-9397-08002B2CF9AE}" pid="5" name="MSIP_Label_2595328a-955e-44b2-8fcc-1ffddffeddb2_SiteId">
    <vt:lpwstr>73984ebf-3c43-45de-900f-969cd50a6a65</vt:lpwstr>
  </property>
  <property fmtid="{D5CDD505-2E9C-101B-9397-08002B2CF9AE}" pid="6" name="MSIP_Label_2595328a-955e-44b2-8fcc-1ffddffeddb2_Method">
    <vt:lpwstr>Privileged</vt:lpwstr>
  </property>
  <property fmtid="{D5CDD505-2E9C-101B-9397-08002B2CF9AE}" pid="7" name="Order">
    <vt:r8>100</vt:r8>
  </property>
  <property fmtid="{D5CDD505-2E9C-101B-9397-08002B2CF9AE}" pid="8" name="MSIP_Label_ea60d57e-af5b-4752-ac57-3e4f28ca11dc_Name">
    <vt:lpwstr>ea60d57e-af5b-4752-ac57-3e4f28ca11dc</vt:lpwstr>
  </property>
  <property fmtid="{D5CDD505-2E9C-101B-9397-08002B2CF9AE}" pid="9" name="MSIP_Label_6a0d99e1-d284-4fc8-854c-ace2b59783fb_SetDate">
    <vt:lpwstr>2024-02-05T13:23:42Z</vt:lpwstr>
  </property>
  <property fmtid="{D5CDD505-2E9C-101B-9397-08002B2CF9AE}" pid="10" name="MediaServiceImageTags">
    <vt:lpwstr/>
  </property>
  <property fmtid="{D5CDD505-2E9C-101B-9397-08002B2CF9AE}" pid="11" name="MSIP_Label_ea60d57e-af5b-4752-ac57-3e4f28ca11dc_SetDate">
    <vt:lpwstr>2022-03-26T19:23:46Z</vt:lpwstr>
  </property>
  <property fmtid="{D5CDD505-2E9C-101B-9397-08002B2CF9AE}" pid="12" name="ContentTypeId">
    <vt:lpwstr>0x0101004421A36F0FF9F848BAB889B0D32425FF</vt:lpwstr>
  </property>
  <property fmtid="{D5CDD505-2E9C-101B-9397-08002B2CF9AE}" pid="13" name="MSIP_Label_6a0d99e1-d284-4fc8-854c-ace2b59783fb_ActionId">
    <vt:lpwstr>3662e351-7d2a-4486-88ea-df23044e686b</vt:lpwstr>
  </property>
  <property fmtid="{D5CDD505-2E9C-101B-9397-08002B2CF9AE}" pid="14" name="MSIP_Label_2595328a-955e-44b2-8fcc-1ffddffeddb2_Enabled">
    <vt:lpwstr>true</vt:lpwstr>
  </property>
  <property fmtid="{D5CDD505-2E9C-101B-9397-08002B2CF9AE}" pid="15" name="MSIP_Label_6a0d99e1-d284-4fc8-854c-ace2b59783fb_ContentBits">
    <vt:lpwstr>0</vt:lpwstr>
  </property>
  <property fmtid="{D5CDD505-2E9C-101B-9397-08002B2CF9AE}" pid="16" name="MSIP_Label_6a0d99e1-d284-4fc8-854c-ace2b59783fb_Method">
    <vt:lpwstr>Privileged</vt:lpwstr>
  </property>
  <property fmtid="{D5CDD505-2E9C-101B-9397-08002B2CF9AE}" pid="17" name="MSIP_Label_2595328a-955e-44b2-8fcc-1ffddffeddb2_Name">
    <vt:lpwstr>Highly Confidential</vt:lpwstr>
  </property>
  <property fmtid="{D5CDD505-2E9C-101B-9397-08002B2CF9AE}" pid="18" name="MSIP_Label_ea60d57e-af5b-4752-ac57-3e4f28ca11dc_ActionId">
    <vt:lpwstr>e64211c6-490c-4a6f-b3a7-7121a1baa855</vt:lpwstr>
  </property>
  <property fmtid="{D5CDD505-2E9C-101B-9397-08002B2CF9AE}" pid="19" name="MSIP_Label_2595328a-955e-44b2-8fcc-1ffddffeddb2_ActionId">
    <vt:lpwstr>a4d1b337-2d2a-4946-b954-ea4b1268e003</vt:lpwstr>
  </property>
  <property fmtid="{D5CDD505-2E9C-101B-9397-08002B2CF9AE}" pid="20" name="MSIP_Label_2595328a-955e-44b2-8fcc-1ffddffeddb2_SetDate">
    <vt:lpwstr>2024-03-26T19:50:39Z</vt:lpwstr>
  </property>
  <property fmtid="{D5CDD505-2E9C-101B-9397-08002B2CF9AE}" pid="21" name="MSIP_Label_ea60d57e-af5b-4752-ac57-3e4f28ca11dc_SiteId">
    <vt:lpwstr>36da45f1-dd2c-4d1f-af13-5abe46b99921</vt:lpwstr>
  </property>
  <property fmtid="{D5CDD505-2E9C-101B-9397-08002B2CF9AE}" pid="22" name="MSIP_Label_ea60d57e-af5b-4752-ac57-3e4f28ca11dc_Method">
    <vt:lpwstr>Privileged</vt:lpwstr>
  </property>
  <property fmtid="{D5CDD505-2E9C-101B-9397-08002B2CF9AE}" pid="23" name="MSIP_Label_2595328a-955e-44b2-8fcc-1ffddffeddb2_ContentBits">
    <vt:lpwstr>0</vt:lpwstr>
  </property>
  <property fmtid="{D5CDD505-2E9C-101B-9397-08002B2CF9AE}" pid="24" name="MSIP_Label_6a0d99e1-d284-4fc8-854c-ace2b59783fb_Name">
    <vt:lpwstr>Confidential</vt:lpwstr>
  </property>
  <property fmtid="{D5CDD505-2E9C-101B-9397-08002B2CF9AE}" pid="25" name="MSIP_Label_6a0d99e1-d284-4fc8-854c-ace2b59783fb_SiteId">
    <vt:lpwstr>e3e21379-5568-4895-a59e-1795d9b7b2ff</vt:lpwstr>
  </property>
</Properties>
</file>