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DC" w:rsidRPr="00AB48DC" w:rsidRDefault="00AB48DC" w:rsidP="00AB48DC">
      <w:pPr>
        <w:pStyle w:val="am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k"/>
          <w:color w:val="000000"/>
          <w:sz w:val="20"/>
          <w:szCs w:val="20"/>
          <w:lang w:val="en-US"/>
        </w:rPr>
        <w:t>28</w:t>
      </w:r>
      <w:r w:rsidRPr="00AB48DC">
        <w:rPr>
          <w:rStyle w:val="ak"/>
          <w:color w:val="000000"/>
          <w:sz w:val="20"/>
          <w:szCs w:val="20"/>
          <w:lang w:val="en-US"/>
        </w:rPr>
        <w:t xml:space="preserve"> June 202</w:t>
      </w:r>
      <w:r w:rsidRPr="00AB48DC">
        <w:rPr>
          <w:rStyle w:val="ak"/>
          <w:color w:val="000000"/>
          <w:sz w:val="20"/>
          <w:szCs w:val="20"/>
          <w:lang w:val="en-US"/>
        </w:rPr>
        <w:t>4</w:t>
      </w:r>
    </w:p>
    <w:p w:rsidR="00AB48DC" w:rsidRPr="00AB48DC" w:rsidRDefault="00AB48DC" w:rsidP="00AB48DC">
      <w:pPr>
        <w:pStyle w:val="am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k"/>
          <w:color w:val="000000"/>
          <w:sz w:val="20"/>
          <w:szCs w:val="20"/>
          <w:lang w:val="en-US"/>
        </w:rPr>
        <w:t> </w:t>
      </w:r>
    </w:p>
    <w:p w:rsidR="00AB48DC" w:rsidRPr="00AB48DC" w:rsidRDefault="00AB48DC" w:rsidP="00AB48DC">
      <w:pPr>
        <w:pStyle w:val="an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b/>
          <w:bCs/>
          <w:color w:val="000000"/>
          <w:sz w:val="20"/>
          <w:szCs w:val="20"/>
          <w:lang w:val="en-US"/>
        </w:rPr>
        <w:t xml:space="preserve">Annual Shareholders Meeting of PJSC </w:t>
      </w:r>
      <w:proofErr w:type="spellStart"/>
      <w:r w:rsidRPr="00AB48DC">
        <w:rPr>
          <w:rStyle w:val="ai"/>
          <w:b/>
          <w:bCs/>
          <w:color w:val="000000"/>
          <w:sz w:val="20"/>
          <w:szCs w:val="20"/>
          <w:lang w:val="en-US"/>
        </w:rPr>
        <w:t>Tatneft</w:t>
      </w:r>
      <w:proofErr w:type="spellEnd"/>
      <w:r w:rsidRPr="00AB48DC">
        <w:rPr>
          <w:rStyle w:val="ai"/>
          <w:b/>
          <w:bCs/>
          <w:color w:val="000000"/>
          <w:sz w:val="20"/>
          <w:szCs w:val="20"/>
          <w:lang w:val="en-US"/>
        </w:rPr>
        <w:t xml:space="preserve"> for 202</w:t>
      </w:r>
      <w:r w:rsidRPr="00AB48DC">
        <w:rPr>
          <w:rStyle w:val="ai"/>
          <w:b/>
          <w:bCs/>
          <w:color w:val="000000"/>
          <w:sz w:val="20"/>
          <w:szCs w:val="20"/>
          <w:lang w:val="en-US"/>
        </w:rPr>
        <w:t>3</w:t>
      </w: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 </w:t>
      </w: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 xml:space="preserve">Annual shareholders meeting (AGM) of PJSC </w:t>
      </w:r>
      <w:proofErr w:type="spellStart"/>
      <w:r w:rsidRPr="00AB48DC">
        <w:rPr>
          <w:rStyle w:val="ag"/>
          <w:color w:val="000000"/>
          <w:sz w:val="20"/>
          <w:szCs w:val="20"/>
          <w:lang w:val="en-US"/>
        </w:rPr>
        <w:t>Tatneft</w:t>
      </w:r>
      <w:proofErr w:type="spellEnd"/>
      <w:r w:rsidRPr="00AB48DC">
        <w:rPr>
          <w:rStyle w:val="ag"/>
          <w:color w:val="000000"/>
          <w:sz w:val="20"/>
          <w:szCs w:val="20"/>
          <w:lang w:val="en-US"/>
        </w:rPr>
        <w:t xml:space="preserve"> (the "Company") for 202</w:t>
      </w:r>
      <w:r w:rsidRPr="00AB48DC">
        <w:rPr>
          <w:rStyle w:val="ag"/>
          <w:color w:val="000000"/>
          <w:sz w:val="20"/>
          <w:szCs w:val="20"/>
          <w:lang w:val="en-US"/>
        </w:rPr>
        <w:t>3</w:t>
      </w:r>
      <w:r w:rsidRPr="00AB48DC">
        <w:rPr>
          <w:rStyle w:val="ag"/>
          <w:color w:val="000000"/>
          <w:sz w:val="20"/>
          <w:szCs w:val="20"/>
          <w:lang w:val="en-US"/>
        </w:rPr>
        <w:t xml:space="preserve"> was held on </w:t>
      </w:r>
      <w:r w:rsidRPr="00AB48DC">
        <w:rPr>
          <w:rStyle w:val="ag"/>
          <w:color w:val="000000"/>
          <w:sz w:val="20"/>
          <w:szCs w:val="20"/>
          <w:lang w:val="en-US"/>
        </w:rPr>
        <w:t>27</w:t>
      </w:r>
      <w:r w:rsidRPr="00AB48DC">
        <w:rPr>
          <w:rStyle w:val="ag"/>
          <w:color w:val="000000"/>
          <w:sz w:val="20"/>
          <w:szCs w:val="20"/>
          <w:lang w:val="en-US"/>
        </w:rPr>
        <w:t xml:space="preserve"> June 202</w:t>
      </w:r>
      <w:r w:rsidRPr="00AB48DC">
        <w:rPr>
          <w:rStyle w:val="ag"/>
          <w:color w:val="000000"/>
          <w:sz w:val="20"/>
          <w:szCs w:val="20"/>
          <w:lang w:val="en-US"/>
        </w:rPr>
        <w:t>4</w:t>
      </w:r>
      <w:r w:rsidRPr="00AB48DC">
        <w:rPr>
          <w:rStyle w:val="ag"/>
          <w:color w:val="000000"/>
          <w:sz w:val="20"/>
          <w:szCs w:val="20"/>
          <w:lang w:val="en-US"/>
        </w:rPr>
        <w:t xml:space="preserve"> by absentee voting.</w:t>
      </w:r>
    </w:p>
    <w:p w:rsidR="00AB48DC" w:rsidRPr="00AB48DC" w:rsidRDefault="00AB48DC" w:rsidP="00AB48DC">
      <w:pPr>
        <w:pStyle w:val="ao"/>
        <w:spacing w:before="220" w:beforeAutospacing="0" w:after="22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The AGM approved:</w:t>
      </w:r>
    </w:p>
    <w:p w:rsidR="00AB48DC" w:rsidRPr="00AB48DC" w:rsidRDefault="00AB48DC" w:rsidP="00AB48DC">
      <w:pPr>
        <w:pStyle w:val="ap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1.     Annual report of the Company for 202</w:t>
      </w:r>
      <w:r w:rsidRPr="00AB48DC">
        <w:rPr>
          <w:rStyle w:val="ai"/>
          <w:color w:val="000000"/>
          <w:sz w:val="20"/>
          <w:szCs w:val="20"/>
          <w:lang w:val="en-US"/>
        </w:rPr>
        <w:t>3</w:t>
      </w:r>
      <w:r w:rsidRPr="00AB48DC">
        <w:rPr>
          <w:rStyle w:val="ai"/>
          <w:color w:val="000000"/>
          <w:sz w:val="20"/>
          <w:szCs w:val="20"/>
          <w:lang w:val="en-US"/>
        </w:rPr>
        <w:t>.*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2.     Annual financial statements of the Company for 202</w:t>
      </w:r>
      <w:r w:rsidRPr="00AB48DC">
        <w:rPr>
          <w:rStyle w:val="ai"/>
          <w:color w:val="000000"/>
          <w:sz w:val="20"/>
          <w:szCs w:val="20"/>
          <w:lang w:val="en-US"/>
        </w:rPr>
        <w:t>3</w:t>
      </w:r>
      <w:r w:rsidRPr="00AB48DC">
        <w:rPr>
          <w:rStyle w:val="ai"/>
          <w:color w:val="000000"/>
          <w:sz w:val="20"/>
          <w:szCs w:val="20"/>
          <w:lang w:val="en-US"/>
        </w:rPr>
        <w:t>.*</w:t>
      </w:r>
    </w:p>
    <w:p w:rsidR="00AB48DC" w:rsidRDefault="00AB48DC" w:rsidP="00AB48DC">
      <w:pPr>
        <w:pStyle w:val="aq"/>
        <w:spacing w:before="220" w:beforeAutospacing="0" w:after="220" w:afterAutospacing="0"/>
        <w:ind w:left="720" w:hanging="360"/>
        <w:rPr>
          <w:rStyle w:val="a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3.     Profit distribution (including payment of dividends) based on the results of the reporting year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Fonts w:ascii="Calibri" w:hAnsi="Calibri" w:cs="Calibri"/>
          <w:color w:val="000000"/>
          <w:sz w:val="20"/>
          <w:szCs w:val="20"/>
          <w:lang w:val="en-US"/>
        </w:rPr>
        <w:t>4.     "Technologies of Trust - Audit" JSC as the Company's auditor for 2024.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ai"/>
          <w:color w:val="000000"/>
          <w:sz w:val="20"/>
          <w:szCs w:val="20"/>
        </w:rPr>
        <w:t>5</w:t>
      </w:r>
      <w:r w:rsidRPr="00AB48DC">
        <w:rPr>
          <w:rStyle w:val="ai"/>
          <w:color w:val="000000"/>
          <w:sz w:val="20"/>
          <w:szCs w:val="20"/>
          <w:lang w:val="en-US"/>
        </w:rPr>
        <w:t>.     Election of the Board of Directors of the Company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**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ai"/>
          <w:color w:val="000000"/>
          <w:sz w:val="20"/>
          <w:szCs w:val="20"/>
        </w:rPr>
        <w:t>6</w:t>
      </w:r>
      <w:r w:rsidRPr="00AB48DC">
        <w:rPr>
          <w:rStyle w:val="ai"/>
          <w:color w:val="000000"/>
          <w:sz w:val="20"/>
          <w:szCs w:val="20"/>
          <w:lang w:val="en-US"/>
        </w:rPr>
        <w:t>.     Election of the Revision Commission of the Company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**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7.     New version of the Charter of the Company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**</w:t>
      </w:r>
    </w:p>
    <w:p w:rsidR="00AB48DC" w:rsidRDefault="00AB48DC" w:rsidP="00AB48DC">
      <w:pPr>
        <w:pStyle w:val="ar"/>
        <w:spacing w:before="220" w:beforeAutospacing="0" w:after="220" w:afterAutospacing="0"/>
        <w:ind w:left="720" w:hanging="360"/>
        <w:rPr>
          <w:rStyle w:val="a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 xml:space="preserve">8.     New version of the Regulation of the Company </w:t>
      </w:r>
      <w:r>
        <w:rPr>
          <w:rStyle w:val="ai"/>
          <w:color w:val="000000"/>
          <w:sz w:val="20"/>
          <w:szCs w:val="20"/>
          <w:lang w:val="en-US"/>
        </w:rPr>
        <w:t xml:space="preserve">on the 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General Meeting of Shareholders. </w:t>
      </w:r>
      <w:r w:rsidRPr="00AB48DC">
        <w:rPr>
          <w:rStyle w:val="ai"/>
          <w:color w:val="000000"/>
          <w:sz w:val="20"/>
          <w:szCs w:val="20"/>
          <w:lang w:val="en-US"/>
        </w:rPr>
        <w:t>***</w:t>
      </w:r>
    </w:p>
    <w:p w:rsidR="00AB48DC" w:rsidRPr="00AB48DC" w:rsidRDefault="00AB48DC" w:rsidP="00AB48DC">
      <w:pPr>
        <w:pStyle w:val="ar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9.     New version of the Regulation of the Company on the</w:t>
      </w:r>
      <w:r w:rsidRPr="00AB48DC">
        <w:rPr>
          <w:lang w:val="en-US"/>
        </w:rPr>
        <w:t xml:space="preserve"> </w:t>
      </w:r>
      <w:r w:rsidRPr="00AB48DC">
        <w:rPr>
          <w:rStyle w:val="ai"/>
          <w:color w:val="000000"/>
          <w:sz w:val="20"/>
          <w:szCs w:val="20"/>
          <w:lang w:val="en-US"/>
        </w:rPr>
        <w:t>Revision Commission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**</w:t>
      </w:r>
    </w:p>
    <w:p w:rsidR="00AB48DC" w:rsidRPr="00AB48DC" w:rsidRDefault="00AB48DC" w:rsidP="00AB48DC">
      <w:pPr>
        <w:pStyle w:val="as"/>
        <w:spacing w:before="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(*) As previously disclosed by the Company.</w:t>
      </w:r>
    </w:p>
    <w:p w:rsidR="00AB48DC" w:rsidRPr="00AB48DC" w:rsidRDefault="00AB48DC" w:rsidP="00AB48DC">
      <w:pPr>
        <w:pStyle w:val="as"/>
        <w:spacing w:before="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(**) Total dividend for 202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3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(taking into consideration the interim dividends paid for 6 and 9 months of 202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3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) is approved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in the amount of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 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8788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% of the nominal (par) value of each preferred and common share, or 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87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Rubles and 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88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Kopecks per share. The payment of dividends in cash within the timeframe set out by Russian law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in the amount of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 xml:space="preserve"> 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2517</w:t>
      </w:r>
      <w:r w:rsidRPr="00AB48DC">
        <w:rPr>
          <w:rStyle w:val="ai"/>
          <w:color w:val="000000"/>
          <w:sz w:val="20"/>
          <w:szCs w:val="20"/>
          <w:lang w:val="en-US"/>
        </w:rPr>
        <w:t>% of the nominal (par) value of each preferred and common share, or 2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5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Rubles and 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17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Kopecks per share, is approved. 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09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July 202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4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is set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 xml:space="preserve"> as the record date on which the list of persons entitled to receive the dividends will be drawn up. The remaining net income for 202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3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shall be accounted for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 xml:space="preserve"> as undistributed.</w:t>
      </w:r>
    </w:p>
    <w:p w:rsidR="00AB48DC" w:rsidRPr="00AB48DC" w:rsidRDefault="00AB48DC" w:rsidP="00AB48DC">
      <w:pPr>
        <w:pStyle w:val="as"/>
        <w:spacing w:before="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(***) Based on the information circulated to the Company's shareholders in connection with the AGM as per the requirements of Russian law.</w:t>
      </w: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Following the AGM the newly elected Board of Directors appointed its Chairman and formed the Audit, Nominations &amp; Compensation and Sustainable Development &amp; Corporate Governance committees.</w:t>
      </w: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 </w:t>
      </w: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This announcement contain inside information.</w:t>
      </w:r>
    </w:p>
    <w:p w:rsidR="0054701B" w:rsidRPr="00AB48DC" w:rsidRDefault="0054701B">
      <w:pPr>
        <w:rPr>
          <w:lang w:val="en-US"/>
        </w:rPr>
      </w:pPr>
      <w:bookmarkStart w:id="0" w:name="_GoBack"/>
      <w:bookmarkEnd w:id="0"/>
    </w:p>
    <w:sectPr w:rsidR="0054701B" w:rsidRPr="00AB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72"/>
    <w:rsid w:val="002A26C5"/>
    <w:rsid w:val="0054701B"/>
    <w:rsid w:val="006A7572"/>
    <w:rsid w:val="00A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1749"/>
  <w15:chartTrackingRefBased/>
  <w15:docId w15:val="{7B5C1907-81CF-45DC-927E-17836FA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">
    <w:name w:val="am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k">
    <w:name w:val="ak"/>
    <w:basedOn w:val="a0"/>
    <w:rsid w:val="00AB48DC"/>
  </w:style>
  <w:style w:type="paragraph" w:customStyle="1" w:styleId="an">
    <w:name w:val="an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i">
    <w:name w:val="ai"/>
    <w:basedOn w:val="a0"/>
    <w:rsid w:val="00AB48DC"/>
  </w:style>
  <w:style w:type="paragraph" w:customStyle="1" w:styleId="a3">
    <w:name w:val="a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">
    <w:name w:val="ag"/>
    <w:basedOn w:val="a0"/>
    <w:rsid w:val="00AB48DC"/>
  </w:style>
  <w:style w:type="paragraph" w:customStyle="1" w:styleId="ao">
    <w:name w:val="ao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">
    <w:name w:val="ap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q">
    <w:name w:val="aq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">
    <w:name w:val="as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Геннадьевна</dc:creator>
  <cp:keywords/>
  <dc:description/>
  <cp:lastModifiedBy>Малахова Татьяна Геннадьевна</cp:lastModifiedBy>
  <cp:revision>2</cp:revision>
  <dcterms:created xsi:type="dcterms:W3CDTF">2024-06-28T05:22:00Z</dcterms:created>
  <dcterms:modified xsi:type="dcterms:W3CDTF">2024-06-28T07:05:00Z</dcterms:modified>
</cp:coreProperties>
</file>