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731CE" w14:textId="15C2FC05" w:rsidR="00FD29D9" w:rsidRPr="00FD29D9" w:rsidRDefault="004452A4" w:rsidP="005766D2">
      <w:pPr>
        <w:jc w:val="right"/>
        <w:rPr>
          <w:rFonts w:ascii="Arial" w:eastAsia="Times New Roman" w:hAnsi="Arial" w:cs="Arial"/>
          <w:color w:val="000000"/>
          <w:kern w:val="0"/>
          <w:lang w:val="en-GB" w:eastAsia="en-GB"/>
          <w14:ligatures w14:val="none"/>
        </w:rPr>
      </w:pPr>
      <w:r>
        <w:rPr>
          <w:rFonts w:ascii="Arial" w:eastAsia="Times New Roman" w:hAnsi="Arial" w:cs="Arial"/>
          <w:color w:val="000000"/>
          <w:kern w:val="0"/>
          <w:lang w:val="en-GB" w:eastAsia="en-GB"/>
          <w14:ligatures w14:val="none"/>
        </w:rPr>
        <w:t>18</w:t>
      </w:r>
      <w:r w:rsidR="00FD29D9" w:rsidRPr="00FD29D9">
        <w:rPr>
          <w:rFonts w:ascii="Arial" w:eastAsia="Times New Roman" w:hAnsi="Arial" w:cs="Arial"/>
          <w:color w:val="000000"/>
          <w:kern w:val="0"/>
          <w:lang w:val="en-GB" w:eastAsia="en-GB"/>
          <w14:ligatures w14:val="none"/>
        </w:rPr>
        <w:t xml:space="preserve"> </w:t>
      </w:r>
      <w:r w:rsidR="00002EE2">
        <w:rPr>
          <w:rFonts w:ascii="Arial" w:eastAsia="Times New Roman" w:hAnsi="Arial" w:cs="Arial"/>
          <w:color w:val="000000"/>
          <w:kern w:val="0"/>
          <w:lang w:val="en-US" w:eastAsia="en-GB"/>
          <w14:ligatures w14:val="none"/>
        </w:rPr>
        <w:t>November</w:t>
      </w:r>
      <w:r w:rsidR="00457122" w:rsidRPr="00457122">
        <w:rPr>
          <w:rFonts w:ascii="Arial" w:eastAsia="Times New Roman" w:hAnsi="Arial" w:cs="Arial"/>
          <w:color w:val="000000"/>
          <w:kern w:val="0"/>
          <w:lang w:val="en-US" w:eastAsia="en-GB"/>
          <w14:ligatures w14:val="none"/>
        </w:rPr>
        <w:t xml:space="preserve"> </w:t>
      </w:r>
      <w:r w:rsidR="00FD29D9" w:rsidRPr="00FD29D9">
        <w:rPr>
          <w:rFonts w:ascii="Arial" w:eastAsia="Times New Roman" w:hAnsi="Arial" w:cs="Arial"/>
          <w:color w:val="000000"/>
          <w:kern w:val="0"/>
          <w:lang w:val="en-GB" w:eastAsia="en-GB"/>
          <w14:ligatures w14:val="none"/>
        </w:rPr>
        <w:t>202</w:t>
      </w:r>
      <w:r>
        <w:rPr>
          <w:rFonts w:ascii="Arial" w:eastAsia="Times New Roman" w:hAnsi="Arial" w:cs="Arial"/>
          <w:color w:val="000000"/>
          <w:kern w:val="0"/>
          <w:lang w:val="en-GB" w:eastAsia="en-GB"/>
          <w14:ligatures w14:val="none"/>
        </w:rPr>
        <w:t>5</w:t>
      </w:r>
    </w:p>
    <w:p w14:paraId="666203EE" w14:textId="77777777" w:rsidR="0011427A" w:rsidRDefault="0011427A" w:rsidP="005766D2">
      <w:pPr>
        <w:jc w:val="center"/>
        <w:rPr>
          <w:rFonts w:ascii="Arial" w:eastAsia="Times New Roman" w:hAnsi="Arial" w:cs="Arial"/>
          <w:color w:val="000000"/>
          <w:kern w:val="0"/>
          <w:lang w:val="en-GB" w:eastAsia="en-GB"/>
          <w14:ligatures w14:val="none"/>
        </w:rPr>
      </w:pPr>
    </w:p>
    <w:p w14:paraId="796949B0"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b/>
          <w:bCs/>
          <w:color w:val="000000"/>
          <w:kern w:val="0"/>
          <w:lang w:val="en-US" w:eastAsia="en-GB"/>
          <w14:ligatures w14:val="none"/>
        </w:rPr>
        <w:t> </w:t>
      </w:r>
    </w:p>
    <w:p w14:paraId="164D8D07" w14:textId="3E3A1EAE"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b/>
          <w:bCs/>
          <w:color w:val="000000"/>
          <w:kern w:val="0"/>
          <w:lang w:val="en-US" w:eastAsia="en-GB"/>
          <w14:ligatures w14:val="none"/>
        </w:rPr>
        <w:t> </w:t>
      </w:r>
      <w:proofErr w:type="spellStart"/>
      <w:r w:rsidRPr="0011427A">
        <w:rPr>
          <w:rFonts w:ascii="Arial" w:eastAsia="Times New Roman" w:hAnsi="Arial" w:cs="Arial"/>
          <w:b/>
          <w:bCs/>
          <w:color w:val="000000"/>
          <w:kern w:val="0"/>
          <w:lang w:val="en-US" w:eastAsia="en-GB"/>
          <w14:ligatures w14:val="none"/>
        </w:rPr>
        <w:t>Tatneft</w:t>
      </w:r>
      <w:proofErr w:type="spellEnd"/>
      <w:r w:rsidRPr="0011427A">
        <w:rPr>
          <w:rFonts w:ascii="Arial" w:eastAsia="Times New Roman" w:hAnsi="Arial" w:cs="Arial"/>
          <w:b/>
          <w:bCs/>
          <w:color w:val="000000"/>
          <w:kern w:val="0"/>
          <w:lang w:val="en-US" w:eastAsia="en-GB"/>
          <w14:ligatures w14:val="none"/>
        </w:rPr>
        <w:t xml:space="preserve"> Board of Directors recommends dividends for </w:t>
      </w:r>
      <w:r w:rsidR="00002EE2" w:rsidRPr="00002EE2">
        <w:rPr>
          <w:rFonts w:ascii="Arial" w:eastAsia="Times New Roman" w:hAnsi="Arial" w:cs="Arial"/>
          <w:b/>
          <w:bCs/>
          <w:color w:val="000000"/>
          <w:kern w:val="0"/>
          <w:lang w:val="en-US" w:eastAsia="en-GB"/>
          <w14:ligatures w14:val="none"/>
        </w:rPr>
        <w:t>9</w:t>
      </w:r>
      <w:r w:rsidRPr="0011427A">
        <w:rPr>
          <w:rFonts w:ascii="Arial" w:eastAsia="Times New Roman" w:hAnsi="Arial" w:cs="Arial"/>
          <w:b/>
          <w:bCs/>
          <w:color w:val="000000"/>
          <w:kern w:val="0"/>
          <w:lang w:val="en-US" w:eastAsia="en-GB"/>
          <w14:ligatures w14:val="none"/>
        </w:rPr>
        <w:t>m 202</w:t>
      </w:r>
      <w:r w:rsidR="004452A4">
        <w:rPr>
          <w:rFonts w:ascii="Arial" w:eastAsia="Times New Roman" w:hAnsi="Arial" w:cs="Arial"/>
          <w:b/>
          <w:bCs/>
          <w:color w:val="000000"/>
          <w:kern w:val="0"/>
          <w:lang w:val="en-US" w:eastAsia="en-GB"/>
          <w14:ligatures w14:val="none"/>
        </w:rPr>
        <w:t>5</w:t>
      </w:r>
      <w:r w:rsidRPr="0011427A">
        <w:rPr>
          <w:rFonts w:ascii="Arial" w:eastAsia="Times New Roman" w:hAnsi="Arial" w:cs="Arial"/>
          <w:b/>
          <w:bCs/>
          <w:color w:val="000000"/>
          <w:kern w:val="0"/>
          <w:lang w:val="en-US" w:eastAsia="en-GB"/>
          <w14:ligatures w14:val="none"/>
        </w:rPr>
        <w:t xml:space="preserve"> and convenes EGM</w:t>
      </w:r>
    </w:p>
    <w:p w14:paraId="3828133F" w14:textId="77777777" w:rsidR="0011427A" w:rsidRPr="0011427A" w:rsidRDefault="0011427A" w:rsidP="0011427A">
      <w:pPr>
        <w:jc w:val="center"/>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15D4E0EE" w14:textId="77777777" w:rsidR="00672AEE" w:rsidRDefault="00672AEE" w:rsidP="0011427A">
      <w:pPr>
        <w:jc w:val="both"/>
        <w:rPr>
          <w:rFonts w:ascii="Arial" w:eastAsia="Times New Roman" w:hAnsi="Arial" w:cs="Arial"/>
          <w:color w:val="000000"/>
          <w:kern w:val="0"/>
          <w:lang w:val="en-US" w:eastAsia="en-GB"/>
          <w14:ligatures w14:val="none"/>
        </w:rPr>
      </w:pPr>
      <w:proofErr w:type="gramStart"/>
      <w:r w:rsidRPr="00672AEE">
        <w:rPr>
          <w:rFonts w:ascii="Arial" w:eastAsia="Times New Roman" w:hAnsi="Arial" w:cs="Arial"/>
          <w:color w:val="000000"/>
          <w:kern w:val="0"/>
          <w:lang w:val="en-US" w:eastAsia="en-GB"/>
          <w14:ligatures w14:val="none"/>
        </w:rPr>
        <w:t xml:space="preserve">On 12 November 2025 the Board of Directors of PJSC </w:t>
      </w:r>
      <w:proofErr w:type="spellStart"/>
      <w:r w:rsidRPr="00672AEE">
        <w:rPr>
          <w:rFonts w:ascii="Arial" w:eastAsia="Times New Roman" w:hAnsi="Arial" w:cs="Arial"/>
          <w:color w:val="000000"/>
          <w:kern w:val="0"/>
          <w:lang w:val="en-US" w:eastAsia="en-GB"/>
          <w14:ligatures w14:val="none"/>
        </w:rPr>
        <w:t>Tatneft</w:t>
      </w:r>
      <w:proofErr w:type="spellEnd"/>
      <w:r w:rsidRPr="00672AEE">
        <w:rPr>
          <w:rFonts w:ascii="Arial" w:eastAsia="Times New Roman" w:hAnsi="Arial" w:cs="Arial"/>
          <w:color w:val="000000"/>
          <w:kern w:val="0"/>
          <w:lang w:val="en-US" w:eastAsia="en-GB"/>
          <w14:ligatures w14:val="none"/>
        </w:rPr>
        <w:t xml:space="preserve"> (the "Board") at its meeting held by absentee voting (15.11.2025, Minutes No.2-z) resolved to convene an extraordinary general shareholders meeting to be held by absentee voting (the "EGM") on 24 December 2025, and in case of lack of quorum a repeat EGM on 29 December 2025, with the following agenda:</w:t>
      </w:r>
      <w:proofErr w:type="gramEnd"/>
    </w:p>
    <w:p w14:paraId="4A94D7CD" w14:textId="7C2796E6" w:rsidR="00FD1096" w:rsidRDefault="00FD1096" w:rsidP="0011427A">
      <w:pPr>
        <w:jc w:val="both"/>
        <w:rPr>
          <w:rFonts w:ascii="Arial" w:eastAsia="Times New Roman" w:hAnsi="Arial" w:cs="Arial"/>
          <w:color w:val="000000"/>
          <w:kern w:val="0"/>
          <w:lang w:val="en-US" w:eastAsia="en-GB"/>
          <w14:ligatures w14:val="none"/>
        </w:rPr>
      </w:pPr>
      <w:r>
        <w:rPr>
          <w:rFonts w:ascii="Arial" w:eastAsia="Times New Roman" w:hAnsi="Arial" w:cs="Arial"/>
          <w:color w:val="000000"/>
          <w:kern w:val="0"/>
          <w:lang w:val="en-US" w:eastAsia="en-GB"/>
          <w14:ligatures w14:val="none"/>
        </w:rPr>
        <w:t>1</w:t>
      </w:r>
      <w:r w:rsidRPr="00FD1096">
        <w:rPr>
          <w:rFonts w:ascii="Arial" w:eastAsia="Times New Roman" w:hAnsi="Arial" w:cs="Arial"/>
          <w:color w:val="000000"/>
          <w:kern w:val="0"/>
          <w:lang w:val="en-US" w:eastAsia="en-GB"/>
          <w14:ligatures w14:val="none"/>
        </w:rPr>
        <w:t xml:space="preserve">. </w:t>
      </w:r>
      <w:r w:rsidR="00217352">
        <w:rPr>
          <w:rFonts w:ascii="Arial" w:eastAsia="Times New Roman" w:hAnsi="Arial" w:cs="Arial"/>
          <w:color w:val="000000"/>
          <w:kern w:val="0"/>
          <w:lang w:val="en-US" w:eastAsia="en-GB"/>
          <w14:ligatures w14:val="none"/>
        </w:rPr>
        <w:t>P</w:t>
      </w:r>
      <w:r w:rsidR="0011427A" w:rsidRPr="0011427A">
        <w:rPr>
          <w:rFonts w:ascii="Arial" w:eastAsia="Times New Roman" w:hAnsi="Arial" w:cs="Arial"/>
          <w:color w:val="000000"/>
          <w:kern w:val="0"/>
          <w:lang w:val="en-US" w:eastAsia="en-GB"/>
          <w14:ligatures w14:val="none"/>
        </w:rPr>
        <w:t xml:space="preserve">ayment of dividends for the </w:t>
      </w:r>
      <w:r w:rsidR="00002EE2" w:rsidRPr="00002EE2">
        <w:rPr>
          <w:rFonts w:ascii="Arial" w:eastAsia="Times New Roman" w:hAnsi="Arial" w:cs="Arial"/>
          <w:color w:val="000000"/>
          <w:kern w:val="0"/>
          <w:lang w:val="en-US" w:eastAsia="en-GB"/>
          <w14:ligatures w14:val="none"/>
        </w:rPr>
        <w:t>9</w:t>
      </w:r>
      <w:r w:rsidR="0011427A" w:rsidRPr="0011427A">
        <w:rPr>
          <w:rFonts w:ascii="Arial" w:eastAsia="Times New Roman" w:hAnsi="Arial" w:cs="Arial"/>
          <w:color w:val="000000"/>
          <w:kern w:val="0"/>
          <w:lang w:val="en-US" w:eastAsia="en-GB"/>
          <w14:ligatures w14:val="none"/>
        </w:rPr>
        <w:t xml:space="preserve"> months of 202</w:t>
      </w:r>
      <w:r w:rsidR="004452A4" w:rsidRPr="004452A4">
        <w:rPr>
          <w:rFonts w:ascii="Arial" w:eastAsia="Times New Roman" w:hAnsi="Arial" w:cs="Arial"/>
          <w:color w:val="000000"/>
          <w:kern w:val="0"/>
          <w:lang w:val="en-US" w:eastAsia="en-GB"/>
          <w14:ligatures w14:val="none"/>
        </w:rPr>
        <w:t>5</w:t>
      </w:r>
      <w:r w:rsidR="0011427A" w:rsidRPr="0011427A">
        <w:rPr>
          <w:rFonts w:ascii="Arial" w:eastAsia="Times New Roman" w:hAnsi="Arial" w:cs="Arial"/>
          <w:color w:val="000000"/>
          <w:kern w:val="0"/>
          <w:lang w:val="en-US" w:eastAsia="en-GB"/>
          <w14:ligatures w14:val="none"/>
        </w:rPr>
        <w:t>. </w:t>
      </w:r>
      <w:bookmarkStart w:id="0" w:name="_GoBack"/>
      <w:bookmarkEnd w:id="0"/>
    </w:p>
    <w:p w14:paraId="552B59A7" w14:textId="77777777" w:rsidR="00FD1096" w:rsidRDefault="00FD1096" w:rsidP="0011427A">
      <w:pPr>
        <w:jc w:val="both"/>
        <w:rPr>
          <w:rFonts w:ascii="Arial" w:eastAsia="Times New Roman" w:hAnsi="Arial" w:cs="Arial"/>
          <w:color w:val="000000"/>
          <w:kern w:val="0"/>
          <w:lang w:val="en-US" w:eastAsia="en-GB"/>
          <w14:ligatures w14:val="none"/>
        </w:rPr>
      </w:pPr>
    </w:p>
    <w:p w14:paraId="74771939" w14:textId="545F5D70"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xml:space="preserve">The Board further resolved to establish </w:t>
      </w:r>
      <w:r w:rsidR="004452A4" w:rsidRPr="004452A4">
        <w:rPr>
          <w:rFonts w:ascii="Arial" w:eastAsia="Times New Roman" w:hAnsi="Arial" w:cs="Arial"/>
          <w:color w:val="000000"/>
          <w:kern w:val="0"/>
          <w:lang w:val="en-US" w:eastAsia="en-GB"/>
          <w14:ligatures w14:val="none"/>
        </w:rPr>
        <w:t>30</w:t>
      </w:r>
      <w:r w:rsidRPr="0011427A">
        <w:rPr>
          <w:rFonts w:ascii="Arial" w:eastAsia="Times New Roman" w:hAnsi="Arial" w:cs="Arial"/>
          <w:color w:val="000000"/>
          <w:kern w:val="0"/>
          <w:lang w:val="en-US" w:eastAsia="en-GB"/>
          <w14:ligatures w14:val="none"/>
        </w:rPr>
        <w:t xml:space="preserve"> </w:t>
      </w:r>
      <w:r w:rsidR="00002EE2" w:rsidRPr="00002EE2">
        <w:rPr>
          <w:rFonts w:ascii="Arial" w:eastAsia="Times New Roman" w:hAnsi="Arial" w:cs="Arial"/>
          <w:color w:val="000000"/>
          <w:kern w:val="0"/>
          <w:lang w:val="en-US" w:eastAsia="en-GB"/>
          <w14:ligatures w14:val="none"/>
        </w:rPr>
        <w:t xml:space="preserve">November </w:t>
      </w:r>
      <w:r w:rsidRPr="0011427A">
        <w:rPr>
          <w:rFonts w:ascii="Arial" w:eastAsia="Times New Roman" w:hAnsi="Arial" w:cs="Arial"/>
          <w:color w:val="000000"/>
          <w:kern w:val="0"/>
          <w:lang w:val="en-US" w:eastAsia="en-GB"/>
          <w14:ligatures w14:val="none"/>
        </w:rPr>
        <w:t>202</w:t>
      </w:r>
      <w:r w:rsidR="004452A4">
        <w:rPr>
          <w:rFonts w:ascii="Arial" w:eastAsia="Times New Roman" w:hAnsi="Arial" w:cs="Arial"/>
          <w:color w:val="000000"/>
          <w:kern w:val="0"/>
          <w:lang w:val="en-US" w:eastAsia="en-GB"/>
          <w14:ligatures w14:val="none"/>
        </w:rPr>
        <w:t>5</w:t>
      </w:r>
      <w:r w:rsidRPr="0011427A">
        <w:rPr>
          <w:rFonts w:ascii="Arial" w:eastAsia="Times New Roman" w:hAnsi="Arial" w:cs="Arial"/>
          <w:color w:val="000000"/>
          <w:kern w:val="0"/>
          <w:lang w:val="en-US" w:eastAsia="en-GB"/>
          <w14:ligatures w14:val="none"/>
        </w:rPr>
        <w:t xml:space="preserve"> as the record date for participation in the EGM.</w:t>
      </w:r>
    </w:p>
    <w:p w14:paraId="180F8889"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The Board recommended to the EGM to:</w:t>
      </w:r>
    </w:p>
    <w:p w14:paraId="26F5A7BE" w14:textId="68623EB5" w:rsidR="0011427A" w:rsidRPr="0011427A" w:rsidRDefault="0011427A" w:rsidP="0011427A">
      <w:pPr>
        <w:jc w:val="both"/>
        <w:rPr>
          <w:rFonts w:ascii="Arial" w:eastAsia="Times New Roman" w:hAnsi="Arial" w:cs="Arial"/>
          <w:color w:val="000000"/>
          <w:kern w:val="0"/>
          <w:lang w:val="en-US" w:eastAsia="en-GB"/>
          <w14:ligatures w14:val="none"/>
        </w:rPr>
      </w:pPr>
      <w:proofErr w:type="gramStart"/>
      <w:r w:rsidRPr="0011427A">
        <w:rPr>
          <w:rFonts w:ascii="Arial" w:eastAsia="Times New Roman" w:hAnsi="Arial" w:cs="Arial"/>
          <w:color w:val="000000"/>
          <w:kern w:val="0"/>
          <w:lang w:val="en-US" w:eastAsia="en-GB"/>
          <w14:ligatures w14:val="none"/>
        </w:rPr>
        <w:t>approve</w:t>
      </w:r>
      <w:proofErr w:type="gramEnd"/>
      <w:r w:rsidRPr="0011427A">
        <w:rPr>
          <w:rFonts w:ascii="Arial" w:eastAsia="Times New Roman" w:hAnsi="Arial" w:cs="Arial"/>
          <w:color w:val="000000"/>
          <w:kern w:val="0"/>
          <w:lang w:val="en-US" w:eastAsia="en-GB"/>
          <w14:ligatures w14:val="none"/>
        </w:rPr>
        <w:t xml:space="preserve"> the total dividend for the </w:t>
      </w:r>
      <w:r w:rsidR="00002EE2" w:rsidRPr="00002EE2">
        <w:rPr>
          <w:rFonts w:ascii="Arial" w:eastAsia="Times New Roman" w:hAnsi="Arial" w:cs="Arial"/>
          <w:color w:val="000000"/>
          <w:kern w:val="0"/>
          <w:lang w:val="en-US" w:eastAsia="en-GB"/>
          <w14:ligatures w14:val="none"/>
        </w:rPr>
        <w:t>9</w:t>
      </w:r>
      <w:r w:rsidRPr="0011427A">
        <w:rPr>
          <w:rFonts w:ascii="Arial" w:eastAsia="Times New Roman" w:hAnsi="Arial" w:cs="Arial"/>
          <w:color w:val="000000"/>
          <w:kern w:val="0"/>
          <w:lang w:val="en-US" w:eastAsia="en-GB"/>
          <w14:ligatures w14:val="none"/>
        </w:rPr>
        <w:t xml:space="preserve"> months of 202</w:t>
      </w:r>
      <w:r w:rsidR="004452A4">
        <w:rPr>
          <w:rFonts w:ascii="Arial" w:eastAsia="Times New Roman" w:hAnsi="Arial" w:cs="Arial"/>
          <w:color w:val="000000"/>
          <w:kern w:val="0"/>
          <w:lang w:val="en-US" w:eastAsia="en-GB"/>
          <w14:ligatures w14:val="none"/>
        </w:rPr>
        <w:t>5</w:t>
      </w:r>
      <w:r w:rsidRPr="0011427A">
        <w:rPr>
          <w:rFonts w:ascii="Arial" w:eastAsia="Times New Roman" w:hAnsi="Arial" w:cs="Arial"/>
          <w:color w:val="000000"/>
          <w:kern w:val="0"/>
          <w:lang w:val="en-US" w:eastAsia="en-GB"/>
          <w14:ligatures w14:val="none"/>
        </w:rPr>
        <w:t xml:space="preserve"> as follows: </w:t>
      </w:r>
    </w:p>
    <w:p w14:paraId="5AD11F72" w14:textId="75583AC2" w:rsidR="00002EE2" w:rsidRPr="00002EE2" w:rsidRDefault="0011427A" w:rsidP="00002EE2">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r w:rsidR="00002EE2" w:rsidRPr="00002EE2">
        <w:rPr>
          <w:rFonts w:ascii="Arial" w:eastAsia="Times New Roman" w:hAnsi="Arial" w:cs="Arial"/>
          <w:color w:val="000000"/>
          <w:kern w:val="0"/>
          <w:lang w:val="en-US" w:eastAsia="en-GB"/>
          <w14:ligatures w14:val="none"/>
        </w:rPr>
        <w:t xml:space="preserve">preferred shares: </w:t>
      </w:r>
      <w:r w:rsidR="00002EE2" w:rsidRPr="00002EE2">
        <w:rPr>
          <w:rFonts w:ascii="Arial" w:eastAsia="Times New Roman" w:hAnsi="Arial" w:cs="Arial"/>
          <w:color w:val="000000"/>
          <w:kern w:val="0"/>
          <w:lang w:val="en-US" w:eastAsia="en-GB"/>
          <w14:ligatures w14:val="none"/>
        </w:rPr>
        <w:t>22</w:t>
      </w:r>
      <w:r w:rsidR="00002EE2" w:rsidRPr="00002EE2">
        <w:rPr>
          <w:rFonts w:ascii="Arial" w:eastAsia="Times New Roman" w:hAnsi="Arial" w:cs="Arial"/>
          <w:color w:val="000000"/>
          <w:kern w:val="0"/>
          <w:lang w:val="en-US" w:eastAsia="en-GB"/>
          <w14:ligatures w14:val="none"/>
        </w:rPr>
        <w:t xml:space="preserve"> Rubles </w:t>
      </w:r>
      <w:r w:rsidR="00002EE2" w:rsidRPr="00002EE2">
        <w:rPr>
          <w:rFonts w:ascii="Arial" w:eastAsia="Times New Roman" w:hAnsi="Arial" w:cs="Arial"/>
          <w:color w:val="000000"/>
          <w:kern w:val="0"/>
          <w:lang w:val="en-US" w:eastAsia="en-GB"/>
          <w14:ligatures w14:val="none"/>
        </w:rPr>
        <w:t>48</w:t>
      </w:r>
      <w:r w:rsidR="00002EE2" w:rsidRPr="00002EE2">
        <w:rPr>
          <w:rFonts w:ascii="Arial" w:eastAsia="Times New Roman" w:hAnsi="Arial" w:cs="Arial"/>
          <w:color w:val="000000"/>
          <w:kern w:val="0"/>
          <w:lang w:val="en-US" w:eastAsia="en-GB"/>
          <w14:ligatures w14:val="none"/>
        </w:rPr>
        <w:t xml:space="preserve"> Kopecks, per share, including the dividend in the amount </w:t>
      </w:r>
      <w:r w:rsidR="00002EE2" w:rsidRPr="00002EE2">
        <w:rPr>
          <w:rFonts w:ascii="Arial" w:eastAsia="Times New Roman" w:hAnsi="Arial" w:cs="Arial"/>
          <w:color w:val="000000"/>
          <w:kern w:val="0"/>
          <w:lang w:val="en-US" w:eastAsia="en-GB"/>
          <w14:ligatures w14:val="none"/>
        </w:rPr>
        <w:t>14</w:t>
      </w:r>
      <w:r w:rsidR="00002EE2" w:rsidRPr="00002EE2">
        <w:rPr>
          <w:rFonts w:ascii="Arial" w:eastAsia="Times New Roman" w:hAnsi="Arial" w:cs="Arial"/>
          <w:color w:val="000000"/>
          <w:kern w:val="0"/>
          <w:lang w:val="en-US" w:eastAsia="en-GB"/>
          <w14:ligatures w14:val="none"/>
        </w:rPr>
        <w:t xml:space="preserve"> Rubles </w:t>
      </w:r>
      <w:r w:rsidR="00002EE2" w:rsidRPr="00002EE2">
        <w:rPr>
          <w:rFonts w:ascii="Arial" w:eastAsia="Times New Roman" w:hAnsi="Arial" w:cs="Arial"/>
          <w:color w:val="000000"/>
          <w:kern w:val="0"/>
          <w:lang w:val="en-US" w:eastAsia="en-GB"/>
          <w14:ligatures w14:val="none"/>
        </w:rPr>
        <w:t>35</w:t>
      </w:r>
      <w:r w:rsidR="00002EE2" w:rsidRPr="00002EE2">
        <w:rPr>
          <w:rFonts w:ascii="Arial" w:eastAsia="Times New Roman" w:hAnsi="Arial" w:cs="Arial"/>
          <w:color w:val="000000"/>
          <w:kern w:val="0"/>
          <w:lang w:val="en-US" w:eastAsia="en-GB"/>
          <w14:ligatures w14:val="none"/>
        </w:rPr>
        <w:t xml:space="preserve"> Kopecks, per share already declared based on the results for the 6 months of 202</w:t>
      </w:r>
      <w:r w:rsidR="00002EE2" w:rsidRPr="00002EE2">
        <w:rPr>
          <w:rFonts w:ascii="Arial" w:eastAsia="Times New Roman" w:hAnsi="Arial" w:cs="Arial"/>
          <w:color w:val="000000"/>
          <w:kern w:val="0"/>
          <w:lang w:val="en-US" w:eastAsia="en-GB"/>
          <w14:ligatures w14:val="none"/>
        </w:rPr>
        <w:t>5</w:t>
      </w:r>
      <w:r w:rsidR="00002EE2" w:rsidRPr="00002EE2">
        <w:rPr>
          <w:rFonts w:ascii="Arial" w:eastAsia="Times New Roman" w:hAnsi="Arial" w:cs="Arial"/>
          <w:color w:val="000000"/>
          <w:kern w:val="0"/>
          <w:lang w:val="en-US" w:eastAsia="en-GB"/>
          <w14:ligatures w14:val="none"/>
        </w:rPr>
        <w:t>;</w:t>
      </w:r>
    </w:p>
    <w:p w14:paraId="23B031A8" w14:textId="55A58C0D" w:rsidR="00002EE2" w:rsidRPr="00002EE2" w:rsidRDefault="00002EE2" w:rsidP="00002EE2">
      <w:pPr>
        <w:jc w:val="both"/>
        <w:rPr>
          <w:rFonts w:ascii="Arial" w:eastAsia="Times New Roman" w:hAnsi="Arial" w:cs="Arial"/>
          <w:color w:val="000000"/>
          <w:kern w:val="0"/>
          <w:lang w:val="en-US" w:eastAsia="en-GB"/>
          <w14:ligatures w14:val="none"/>
        </w:rPr>
      </w:pPr>
      <w:r w:rsidRPr="00002EE2">
        <w:rPr>
          <w:rFonts w:ascii="Arial" w:eastAsia="Times New Roman" w:hAnsi="Arial" w:cs="Arial"/>
          <w:color w:val="000000"/>
          <w:kern w:val="0"/>
          <w:lang w:val="en-US" w:eastAsia="en-GB"/>
          <w14:ligatures w14:val="none"/>
        </w:rPr>
        <w:t xml:space="preserve">-       ordinary shares: </w:t>
      </w:r>
      <w:r w:rsidRPr="00002EE2">
        <w:rPr>
          <w:rFonts w:ascii="Arial" w:eastAsia="Times New Roman" w:hAnsi="Arial" w:cs="Arial"/>
          <w:color w:val="000000"/>
          <w:kern w:val="0"/>
          <w:lang w:val="en-US" w:eastAsia="en-GB"/>
          <w14:ligatures w14:val="none"/>
        </w:rPr>
        <w:t>22</w:t>
      </w:r>
      <w:r w:rsidRPr="00002EE2">
        <w:rPr>
          <w:rFonts w:ascii="Arial" w:eastAsia="Times New Roman" w:hAnsi="Arial" w:cs="Arial"/>
          <w:color w:val="000000"/>
          <w:kern w:val="0"/>
          <w:lang w:val="en-US" w:eastAsia="en-GB"/>
          <w14:ligatures w14:val="none"/>
        </w:rPr>
        <w:t xml:space="preserve"> Rubles </w:t>
      </w:r>
      <w:r w:rsidRPr="00002EE2">
        <w:rPr>
          <w:rFonts w:ascii="Arial" w:eastAsia="Times New Roman" w:hAnsi="Arial" w:cs="Arial"/>
          <w:color w:val="000000"/>
          <w:kern w:val="0"/>
          <w:lang w:val="en-US" w:eastAsia="en-GB"/>
          <w14:ligatures w14:val="none"/>
        </w:rPr>
        <w:t>48</w:t>
      </w:r>
      <w:r w:rsidRPr="00002EE2">
        <w:rPr>
          <w:rFonts w:ascii="Arial" w:eastAsia="Times New Roman" w:hAnsi="Arial" w:cs="Arial"/>
          <w:color w:val="000000"/>
          <w:kern w:val="0"/>
          <w:lang w:val="en-US" w:eastAsia="en-GB"/>
          <w14:ligatures w14:val="none"/>
        </w:rPr>
        <w:t xml:space="preserve"> Kopecks, per share, including the dividend in the amount </w:t>
      </w:r>
      <w:r w:rsidRPr="00002EE2">
        <w:rPr>
          <w:rFonts w:ascii="Arial" w:eastAsia="Times New Roman" w:hAnsi="Arial" w:cs="Arial"/>
          <w:color w:val="000000"/>
          <w:kern w:val="0"/>
          <w:lang w:val="en-US" w:eastAsia="en-GB"/>
          <w14:ligatures w14:val="none"/>
        </w:rPr>
        <w:t>14</w:t>
      </w:r>
      <w:r w:rsidRPr="00002EE2">
        <w:rPr>
          <w:rFonts w:ascii="Arial" w:eastAsia="Times New Roman" w:hAnsi="Arial" w:cs="Arial"/>
          <w:color w:val="000000"/>
          <w:kern w:val="0"/>
          <w:lang w:val="en-US" w:eastAsia="en-GB"/>
          <w14:ligatures w14:val="none"/>
        </w:rPr>
        <w:t xml:space="preserve"> Rubles </w:t>
      </w:r>
      <w:r w:rsidRPr="00002EE2">
        <w:rPr>
          <w:rFonts w:ascii="Arial" w:eastAsia="Times New Roman" w:hAnsi="Arial" w:cs="Arial"/>
          <w:color w:val="000000"/>
          <w:kern w:val="0"/>
          <w:lang w:val="en-US" w:eastAsia="en-GB"/>
          <w14:ligatures w14:val="none"/>
        </w:rPr>
        <w:t>35</w:t>
      </w:r>
      <w:r w:rsidRPr="00002EE2">
        <w:rPr>
          <w:rFonts w:ascii="Arial" w:eastAsia="Times New Roman" w:hAnsi="Arial" w:cs="Arial"/>
          <w:color w:val="000000"/>
          <w:kern w:val="0"/>
          <w:lang w:val="en-US" w:eastAsia="en-GB"/>
          <w14:ligatures w14:val="none"/>
        </w:rPr>
        <w:t xml:space="preserve"> Kopecks, per share already declared based on the results for the 6 months of 202</w:t>
      </w:r>
      <w:r w:rsidRPr="00002EE2">
        <w:rPr>
          <w:rFonts w:ascii="Arial" w:eastAsia="Times New Roman" w:hAnsi="Arial" w:cs="Arial"/>
          <w:color w:val="000000"/>
          <w:kern w:val="0"/>
          <w:lang w:val="en-US" w:eastAsia="en-GB"/>
          <w14:ligatures w14:val="none"/>
        </w:rPr>
        <w:t>5</w:t>
      </w:r>
      <w:r w:rsidRPr="00002EE2">
        <w:rPr>
          <w:rFonts w:ascii="Arial" w:eastAsia="Times New Roman" w:hAnsi="Arial" w:cs="Arial"/>
          <w:color w:val="000000"/>
          <w:kern w:val="0"/>
          <w:lang w:val="en-US" w:eastAsia="en-GB"/>
          <w14:ligatures w14:val="none"/>
        </w:rPr>
        <w:t>; and</w:t>
      </w:r>
    </w:p>
    <w:p w14:paraId="396DBA52" w14:textId="063908E2" w:rsidR="00002EE2" w:rsidRPr="00002EE2" w:rsidRDefault="00002EE2" w:rsidP="00002EE2">
      <w:pPr>
        <w:jc w:val="both"/>
        <w:rPr>
          <w:rFonts w:ascii="Arial" w:eastAsia="Times New Roman" w:hAnsi="Arial" w:cs="Arial"/>
          <w:color w:val="000000"/>
          <w:kern w:val="0"/>
          <w:lang w:val="en-US" w:eastAsia="en-GB"/>
          <w14:ligatures w14:val="none"/>
        </w:rPr>
      </w:pPr>
      <w:proofErr w:type="gramStart"/>
      <w:r w:rsidRPr="00002EE2">
        <w:rPr>
          <w:rFonts w:ascii="Arial" w:eastAsia="Times New Roman" w:hAnsi="Arial" w:cs="Arial"/>
          <w:color w:val="000000"/>
          <w:kern w:val="0"/>
          <w:lang w:val="en-US" w:eastAsia="en-GB"/>
          <w14:ligatures w14:val="none"/>
        </w:rPr>
        <w:t>pay</w:t>
      </w:r>
      <w:proofErr w:type="gramEnd"/>
      <w:r w:rsidRPr="00002EE2">
        <w:rPr>
          <w:rFonts w:ascii="Arial" w:eastAsia="Times New Roman" w:hAnsi="Arial" w:cs="Arial"/>
          <w:color w:val="000000"/>
          <w:kern w:val="0"/>
          <w:lang w:val="en-US" w:eastAsia="en-GB"/>
          <w14:ligatures w14:val="none"/>
        </w:rPr>
        <w:t xml:space="preserve"> the dividends in cash within the timeframe set out in the legislation of the Russian Federation in the amount </w:t>
      </w:r>
      <w:r w:rsidRPr="00002EE2">
        <w:rPr>
          <w:rFonts w:ascii="Arial" w:eastAsia="Times New Roman" w:hAnsi="Arial" w:cs="Arial"/>
          <w:color w:val="000000"/>
          <w:kern w:val="0"/>
          <w:lang w:val="en-US" w:eastAsia="en-GB"/>
          <w14:ligatures w14:val="none"/>
        </w:rPr>
        <w:t>8</w:t>
      </w:r>
      <w:r w:rsidRPr="00002EE2">
        <w:rPr>
          <w:rFonts w:ascii="Arial" w:eastAsia="Times New Roman" w:hAnsi="Arial" w:cs="Arial"/>
          <w:color w:val="000000"/>
          <w:kern w:val="0"/>
          <w:lang w:val="en-US" w:eastAsia="en-GB"/>
          <w14:ligatures w14:val="none"/>
        </w:rPr>
        <w:t xml:space="preserve"> Rubles </w:t>
      </w:r>
      <w:r w:rsidRPr="00002EE2">
        <w:rPr>
          <w:rFonts w:ascii="Arial" w:eastAsia="Times New Roman" w:hAnsi="Arial" w:cs="Arial"/>
          <w:color w:val="000000"/>
          <w:kern w:val="0"/>
          <w:lang w:val="en-US" w:eastAsia="en-GB"/>
          <w14:ligatures w14:val="none"/>
        </w:rPr>
        <w:t>13</w:t>
      </w:r>
      <w:r w:rsidRPr="00002EE2">
        <w:rPr>
          <w:rFonts w:ascii="Arial" w:eastAsia="Times New Roman" w:hAnsi="Arial" w:cs="Arial"/>
          <w:color w:val="000000"/>
          <w:kern w:val="0"/>
          <w:lang w:val="en-US" w:eastAsia="en-GB"/>
          <w14:ligatures w14:val="none"/>
        </w:rPr>
        <w:t xml:space="preserve"> Kopecks, per each preferred and ordinary share.</w:t>
      </w:r>
    </w:p>
    <w:p w14:paraId="409F6845" w14:textId="187F85D2" w:rsidR="0011427A" w:rsidRPr="0011427A" w:rsidRDefault="00002EE2" w:rsidP="00002EE2">
      <w:pPr>
        <w:jc w:val="both"/>
        <w:rPr>
          <w:rFonts w:ascii="Arial" w:eastAsia="Times New Roman" w:hAnsi="Arial" w:cs="Arial"/>
          <w:color w:val="000000"/>
          <w:kern w:val="0"/>
          <w:lang w:val="en-US" w:eastAsia="en-GB"/>
          <w14:ligatures w14:val="none"/>
        </w:rPr>
      </w:pPr>
      <w:r w:rsidRPr="00002EE2">
        <w:rPr>
          <w:rFonts w:ascii="Arial" w:eastAsia="Times New Roman" w:hAnsi="Arial" w:cs="Arial"/>
          <w:color w:val="000000"/>
          <w:kern w:val="0"/>
          <w:lang w:val="en-US" w:eastAsia="en-GB"/>
          <w14:ligatures w14:val="none"/>
        </w:rPr>
        <w:t xml:space="preserve">The Board recommended to the EGM to establish </w:t>
      </w:r>
      <w:r w:rsidRPr="00002EE2">
        <w:rPr>
          <w:rFonts w:ascii="Arial" w:eastAsia="Times New Roman" w:hAnsi="Arial" w:cs="Arial"/>
          <w:color w:val="000000"/>
          <w:kern w:val="0"/>
          <w:lang w:val="en-US" w:eastAsia="en-GB"/>
          <w14:ligatures w14:val="none"/>
        </w:rPr>
        <w:t>11</w:t>
      </w:r>
      <w:r w:rsidRPr="00002EE2">
        <w:rPr>
          <w:rFonts w:ascii="Arial" w:eastAsia="Times New Roman" w:hAnsi="Arial" w:cs="Arial"/>
          <w:color w:val="000000"/>
          <w:kern w:val="0"/>
          <w:lang w:val="en-US" w:eastAsia="en-GB"/>
          <w14:ligatures w14:val="none"/>
        </w:rPr>
        <w:t xml:space="preserve"> January 202</w:t>
      </w:r>
      <w:r w:rsidRPr="00002EE2">
        <w:rPr>
          <w:rFonts w:ascii="Arial" w:eastAsia="Times New Roman" w:hAnsi="Arial" w:cs="Arial"/>
          <w:color w:val="000000"/>
          <w:kern w:val="0"/>
          <w:lang w:val="en-US" w:eastAsia="en-GB"/>
          <w14:ligatures w14:val="none"/>
        </w:rPr>
        <w:t>6</w:t>
      </w:r>
      <w:r w:rsidRPr="00002EE2">
        <w:rPr>
          <w:rFonts w:ascii="Arial" w:eastAsia="Times New Roman" w:hAnsi="Arial" w:cs="Arial"/>
          <w:color w:val="000000"/>
          <w:kern w:val="0"/>
          <w:lang w:val="en-US" w:eastAsia="en-GB"/>
          <w14:ligatures w14:val="none"/>
        </w:rPr>
        <w:t xml:space="preserve"> as the date for determining the persons entitled to receive the dividends based on the results for the 9 months of 202</w:t>
      </w:r>
      <w:r w:rsidRPr="00002EE2">
        <w:rPr>
          <w:rFonts w:ascii="Arial" w:eastAsia="Times New Roman" w:hAnsi="Arial" w:cs="Arial"/>
          <w:color w:val="000000"/>
          <w:kern w:val="0"/>
          <w:lang w:val="en-US" w:eastAsia="en-GB"/>
          <w14:ligatures w14:val="none"/>
        </w:rPr>
        <w:t>5</w:t>
      </w:r>
      <w:r w:rsidRPr="00002EE2">
        <w:rPr>
          <w:rFonts w:ascii="Arial" w:eastAsia="Times New Roman" w:hAnsi="Arial" w:cs="Arial"/>
          <w:color w:val="000000"/>
          <w:kern w:val="0"/>
          <w:lang w:val="en-US" w:eastAsia="en-GB"/>
          <w14:ligatures w14:val="none"/>
        </w:rPr>
        <w:t>.</w:t>
      </w:r>
    </w:p>
    <w:p w14:paraId="3E7008B7"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6B0B32AA"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This press release contains inside information.</w:t>
      </w:r>
    </w:p>
    <w:p w14:paraId="27A389F6" w14:textId="77777777" w:rsidR="0011427A" w:rsidRPr="0011427A" w:rsidRDefault="0011427A" w:rsidP="0011427A">
      <w:pPr>
        <w:jc w:val="both"/>
        <w:rPr>
          <w:rFonts w:ascii="Arial" w:eastAsia="Times New Roman" w:hAnsi="Arial" w:cs="Arial"/>
          <w:color w:val="000000"/>
          <w:kern w:val="0"/>
          <w:lang w:val="en-US" w:eastAsia="en-GB"/>
          <w14:ligatures w14:val="none"/>
        </w:rPr>
      </w:pPr>
      <w:r w:rsidRPr="0011427A">
        <w:rPr>
          <w:rFonts w:ascii="Arial" w:eastAsia="Times New Roman" w:hAnsi="Arial" w:cs="Arial"/>
          <w:color w:val="000000"/>
          <w:kern w:val="0"/>
          <w:lang w:val="en-US" w:eastAsia="en-GB"/>
          <w14:ligatures w14:val="none"/>
        </w:rPr>
        <w:t> </w:t>
      </w:r>
    </w:p>
    <w:p w14:paraId="61A13791" w14:textId="0F795EE5" w:rsidR="0011427A" w:rsidRPr="0011427A" w:rsidRDefault="0011427A" w:rsidP="00002EE2">
      <w:pPr>
        <w:jc w:val="both"/>
        <w:rPr>
          <w:rFonts w:ascii="Arial" w:eastAsia="Times New Roman" w:hAnsi="Arial" w:cs="Arial"/>
          <w:color w:val="000000"/>
          <w:kern w:val="0"/>
          <w:lang w:val="en-US" w:eastAsia="en-GB"/>
          <w14:ligatures w14:val="none"/>
        </w:rPr>
      </w:pPr>
      <w:r w:rsidRPr="0011427A">
        <w:rPr>
          <w:rFonts w:ascii="Arial" w:eastAsia="Times New Roman" w:hAnsi="Arial" w:cs="Arial"/>
          <w:i/>
          <w:iCs/>
          <w:color w:val="000000"/>
          <w:kern w:val="0"/>
          <w:u w:val="single"/>
          <w:lang w:val="en-US" w:eastAsia="en-GB"/>
          <w14:ligatures w14:val="none"/>
        </w:rPr>
        <w:t>Forward-looking statements and waiver of liability:</w:t>
      </w:r>
      <w:r w:rsidRPr="0011427A">
        <w:rPr>
          <w:rFonts w:ascii="Arial" w:eastAsia="Times New Roman" w:hAnsi="Arial" w:cs="Arial"/>
          <w:color w:val="000000"/>
          <w:kern w:val="0"/>
          <w:lang w:val="en-US" w:eastAsia="en-GB"/>
          <w14:ligatures w14:val="none"/>
        </w:rPr>
        <w:t xml:space="preserve"> This press release contains statements about future events and expectations that are forward-looking in nature. Any statement in this press release that is not a statement of historical fact is a forward-looking statement that involves known and unknown risks, uncertainties and other </w:t>
      </w:r>
      <w:proofErr w:type="gramStart"/>
      <w:r w:rsidRPr="0011427A">
        <w:rPr>
          <w:rFonts w:ascii="Arial" w:eastAsia="Times New Roman" w:hAnsi="Arial" w:cs="Arial"/>
          <w:color w:val="000000"/>
          <w:kern w:val="0"/>
          <w:lang w:val="en-US" w:eastAsia="en-GB"/>
          <w14:ligatures w14:val="none"/>
        </w:rPr>
        <w:t>factors which may cause actual results, performance or achievements</w:t>
      </w:r>
      <w:proofErr w:type="gramEnd"/>
      <w:r w:rsidRPr="0011427A">
        <w:rPr>
          <w:rFonts w:ascii="Arial" w:eastAsia="Times New Roman" w:hAnsi="Arial" w:cs="Arial"/>
          <w:color w:val="000000"/>
          <w:kern w:val="0"/>
          <w:lang w:val="en-US" w:eastAsia="en-GB"/>
          <w14:ligatures w14:val="none"/>
        </w:rPr>
        <w:t xml:space="preserve"> expressed or implied by such forward-looking statements to differ.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assumes no obligations to update the forward-looking statements contained herein to reflect actual results, changes in assumptions or changes in factors affecting these statements. The amounts and percentages mentioned or referred to in this press release could be presented after rounding and, therefore, they might differ from the actual sums and results contained in </w:t>
      </w:r>
      <w:proofErr w:type="spellStart"/>
      <w:proofErr w:type="gramStart"/>
      <w:r w:rsidRPr="0011427A">
        <w:rPr>
          <w:rFonts w:ascii="Arial" w:eastAsia="Times New Roman" w:hAnsi="Arial" w:cs="Arial"/>
          <w:color w:val="000000"/>
          <w:kern w:val="0"/>
          <w:lang w:val="en-US" w:eastAsia="en-GB"/>
          <w14:ligatures w14:val="none"/>
        </w:rPr>
        <w:t>Tatneft's</w:t>
      </w:r>
      <w:proofErr w:type="spellEnd"/>
      <w:proofErr w:type="gramEnd"/>
      <w:r w:rsidRPr="0011427A">
        <w:rPr>
          <w:rFonts w:ascii="Arial" w:eastAsia="Times New Roman" w:hAnsi="Arial" w:cs="Arial"/>
          <w:color w:val="000000"/>
          <w:kern w:val="0"/>
          <w:lang w:val="en-US" w:eastAsia="en-GB"/>
          <w14:ligatures w14:val="none"/>
        </w:rPr>
        <w:t xml:space="preserve"> reporting documents. </w:t>
      </w:r>
      <w:proofErr w:type="gramStart"/>
      <w:r w:rsidRPr="0011427A">
        <w:rPr>
          <w:rFonts w:ascii="Arial" w:eastAsia="Times New Roman" w:hAnsi="Arial" w:cs="Arial"/>
          <w:color w:val="000000"/>
          <w:kern w:val="0"/>
          <w:lang w:val="en-US" w:eastAsia="en-GB"/>
          <w14:ligatures w14:val="none"/>
        </w:rPr>
        <w:t xml:space="preserve">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shall bear no responsibility to correct or reimburse any sums which might constitute the difference between the amounts mentioned in this press release and those in respective reporting documents, and all payments are made by PJSC </w:t>
      </w:r>
      <w:proofErr w:type="spellStart"/>
      <w:r w:rsidRPr="0011427A">
        <w:rPr>
          <w:rFonts w:ascii="Arial" w:eastAsia="Times New Roman" w:hAnsi="Arial" w:cs="Arial"/>
          <w:color w:val="000000"/>
          <w:kern w:val="0"/>
          <w:lang w:val="en-US" w:eastAsia="en-GB"/>
          <w14:ligatures w14:val="none"/>
        </w:rPr>
        <w:t>Tatneft</w:t>
      </w:r>
      <w:proofErr w:type="spellEnd"/>
      <w:r w:rsidRPr="0011427A">
        <w:rPr>
          <w:rFonts w:ascii="Arial" w:eastAsia="Times New Roman" w:hAnsi="Arial" w:cs="Arial"/>
          <w:color w:val="000000"/>
          <w:kern w:val="0"/>
          <w:lang w:val="en-US" w:eastAsia="en-GB"/>
          <w14:ligatures w14:val="none"/>
        </w:rPr>
        <w:t xml:space="preserve"> exclusively on the basis of decisions made by its </w:t>
      </w:r>
      <w:proofErr w:type="spellStart"/>
      <w:r w:rsidRPr="0011427A">
        <w:rPr>
          <w:rFonts w:ascii="Arial" w:eastAsia="Times New Roman" w:hAnsi="Arial" w:cs="Arial"/>
          <w:color w:val="000000"/>
          <w:kern w:val="0"/>
          <w:lang w:val="en-US" w:eastAsia="en-GB"/>
          <w14:ligatures w14:val="none"/>
        </w:rPr>
        <w:t>authorised</w:t>
      </w:r>
      <w:proofErr w:type="spellEnd"/>
      <w:r w:rsidRPr="0011427A">
        <w:rPr>
          <w:rFonts w:ascii="Arial" w:eastAsia="Times New Roman" w:hAnsi="Arial" w:cs="Arial"/>
          <w:color w:val="000000"/>
          <w:kern w:val="0"/>
          <w:lang w:val="en-US" w:eastAsia="en-GB"/>
          <w14:ligatures w14:val="none"/>
        </w:rPr>
        <w:t xml:space="preserve"> corporate bodies in the amounts and within the corporate proceedings set out in such decisions and in accordance with applicable laws.</w:t>
      </w:r>
      <w:proofErr w:type="gramEnd"/>
    </w:p>
    <w:sectPr w:rsidR="0011427A" w:rsidRPr="001142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5FF"/>
    <w:multiLevelType w:val="hybridMultilevel"/>
    <w:tmpl w:val="83F249CA"/>
    <w:lvl w:ilvl="0" w:tplc="E0B065A8">
      <w:start w:val="1"/>
      <w:numFmt w:val="decimal"/>
      <w:lvlText w:val="%1."/>
      <w:lvlJc w:val="left"/>
      <w:pPr>
        <w:ind w:left="1480" w:hanging="760"/>
      </w:pPr>
      <w:rPr>
        <w:rFonts w:ascii="Cambria" w:hAnsi="Cambr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492560"/>
    <w:multiLevelType w:val="hybridMultilevel"/>
    <w:tmpl w:val="3754032C"/>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35F9C"/>
    <w:multiLevelType w:val="hybridMultilevel"/>
    <w:tmpl w:val="3C62F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2201A8"/>
    <w:multiLevelType w:val="hybridMultilevel"/>
    <w:tmpl w:val="95EE4BAC"/>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D54739"/>
    <w:multiLevelType w:val="hybridMultilevel"/>
    <w:tmpl w:val="2784661E"/>
    <w:lvl w:ilvl="0" w:tplc="E0B065A8">
      <w:start w:val="1"/>
      <w:numFmt w:val="decimal"/>
      <w:lvlText w:val="%1."/>
      <w:lvlJc w:val="left"/>
      <w:pPr>
        <w:ind w:left="1120" w:hanging="760"/>
      </w:pPr>
      <w:rPr>
        <w:rFonts w:ascii="Cambria" w:hAnsi="Cambr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D9"/>
    <w:rsid w:val="00002EE2"/>
    <w:rsid w:val="00092C0E"/>
    <w:rsid w:val="001013B0"/>
    <w:rsid w:val="0011427A"/>
    <w:rsid w:val="0015778B"/>
    <w:rsid w:val="00217352"/>
    <w:rsid w:val="002A614B"/>
    <w:rsid w:val="00304E89"/>
    <w:rsid w:val="003263D2"/>
    <w:rsid w:val="004452A4"/>
    <w:rsid w:val="00457122"/>
    <w:rsid w:val="00536F1A"/>
    <w:rsid w:val="005766D2"/>
    <w:rsid w:val="00672AEE"/>
    <w:rsid w:val="006870BA"/>
    <w:rsid w:val="00806085"/>
    <w:rsid w:val="00897EBF"/>
    <w:rsid w:val="00943BAA"/>
    <w:rsid w:val="00985032"/>
    <w:rsid w:val="00A43648"/>
    <w:rsid w:val="00BB30D6"/>
    <w:rsid w:val="00C05D66"/>
    <w:rsid w:val="00C07B38"/>
    <w:rsid w:val="00C214BB"/>
    <w:rsid w:val="00CF39B6"/>
    <w:rsid w:val="00D02980"/>
    <w:rsid w:val="00D91D11"/>
    <w:rsid w:val="00DA63C6"/>
    <w:rsid w:val="00DE5059"/>
    <w:rsid w:val="00FD1096"/>
    <w:rsid w:val="00FD29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06276"/>
  <w15:chartTrackingRefBased/>
  <w15:docId w15:val="{B1359CBD-DBA3-B140-A73C-F5259534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g">
    <w:name w:val="ag"/>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e">
    <w:name w:val="ae"/>
    <w:basedOn w:val="a0"/>
    <w:rsid w:val="00FD29D9"/>
  </w:style>
  <w:style w:type="paragraph" w:customStyle="1" w:styleId="ah">
    <w:name w:val="ah"/>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FD29D9"/>
  </w:style>
  <w:style w:type="paragraph" w:customStyle="1" w:styleId="ai">
    <w:name w:val="ai"/>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j">
    <w:name w:val="aj"/>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k">
    <w:name w:val="ak"/>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l">
    <w:name w:val="al"/>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y">
    <w:name w:val="y"/>
    <w:basedOn w:val="a0"/>
    <w:rsid w:val="00FD29D9"/>
  </w:style>
  <w:style w:type="character" w:customStyle="1" w:styleId="am">
    <w:name w:val="am"/>
    <w:basedOn w:val="a0"/>
    <w:rsid w:val="00FD29D9"/>
  </w:style>
  <w:style w:type="paragraph" w:customStyle="1" w:styleId="an">
    <w:name w:val="an"/>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o">
    <w:name w:val="ao"/>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
    <w:name w:val="t"/>
    <w:basedOn w:val="a0"/>
    <w:rsid w:val="00FD29D9"/>
  </w:style>
  <w:style w:type="paragraph" w:customStyle="1" w:styleId="ap">
    <w:name w:val="ap"/>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aq">
    <w:name w:val="aq"/>
    <w:basedOn w:val="a"/>
    <w:rsid w:val="00FD29D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q">
    <w:name w:val="q"/>
    <w:basedOn w:val="a0"/>
    <w:rsid w:val="00FD29D9"/>
  </w:style>
  <w:style w:type="paragraph" w:styleId="a3">
    <w:name w:val="List Paragraph"/>
    <w:basedOn w:val="a"/>
    <w:uiPriority w:val="34"/>
    <w:qFormat/>
    <w:rsid w:val="00C214BB"/>
    <w:pPr>
      <w:ind w:left="720"/>
      <w:contextualSpacing/>
    </w:pPr>
  </w:style>
  <w:style w:type="paragraph" w:customStyle="1" w:styleId="z">
    <w:name w:val="z"/>
    <w:basedOn w:val="a"/>
    <w:rsid w:val="005766D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v">
    <w:name w:val="v"/>
    <w:basedOn w:val="a0"/>
    <w:rsid w:val="005766D2"/>
  </w:style>
  <w:style w:type="character" w:customStyle="1" w:styleId="aa">
    <w:name w:val="aa"/>
    <w:basedOn w:val="a0"/>
    <w:rsid w:val="005766D2"/>
  </w:style>
  <w:style w:type="character" w:customStyle="1" w:styleId="ab">
    <w:name w:val="ab"/>
    <w:basedOn w:val="a0"/>
    <w:rsid w:val="005766D2"/>
  </w:style>
  <w:style w:type="character" w:customStyle="1" w:styleId="r">
    <w:name w:val="r"/>
    <w:basedOn w:val="a0"/>
    <w:rsid w:val="005766D2"/>
  </w:style>
  <w:style w:type="character" w:customStyle="1" w:styleId="ac">
    <w:name w:val="ac"/>
    <w:basedOn w:val="a0"/>
    <w:rsid w:val="005766D2"/>
  </w:style>
  <w:style w:type="character" w:styleId="a4">
    <w:name w:val="Hyperlink"/>
    <w:basedOn w:val="a0"/>
    <w:uiPriority w:val="99"/>
    <w:unhideWhenUsed/>
    <w:rsid w:val="001142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1047">
      <w:bodyDiv w:val="1"/>
      <w:marLeft w:val="0"/>
      <w:marRight w:val="0"/>
      <w:marTop w:val="0"/>
      <w:marBottom w:val="0"/>
      <w:divBdr>
        <w:top w:val="none" w:sz="0" w:space="0" w:color="auto"/>
        <w:left w:val="none" w:sz="0" w:space="0" w:color="auto"/>
        <w:bottom w:val="none" w:sz="0" w:space="0" w:color="auto"/>
        <w:right w:val="none" w:sz="0" w:space="0" w:color="auto"/>
      </w:divBdr>
      <w:divsChild>
        <w:div w:id="370151305">
          <w:marLeft w:val="1701"/>
          <w:marRight w:val="991"/>
          <w:marTop w:val="1134"/>
          <w:marBottom w:val="1134"/>
          <w:divBdr>
            <w:top w:val="none" w:sz="0" w:space="0" w:color="auto"/>
            <w:left w:val="none" w:sz="0" w:space="0" w:color="auto"/>
            <w:bottom w:val="none" w:sz="0" w:space="0" w:color="auto"/>
            <w:right w:val="none" w:sz="0" w:space="0" w:color="auto"/>
          </w:divBdr>
        </w:div>
      </w:divsChild>
    </w:div>
    <w:div w:id="720860138">
      <w:bodyDiv w:val="1"/>
      <w:marLeft w:val="0"/>
      <w:marRight w:val="0"/>
      <w:marTop w:val="0"/>
      <w:marBottom w:val="0"/>
      <w:divBdr>
        <w:top w:val="none" w:sz="0" w:space="0" w:color="auto"/>
        <w:left w:val="none" w:sz="0" w:space="0" w:color="auto"/>
        <w:bottom w:val="none" w:sz="0" w:space="0" w:color="auto"/>
        <w:right w:val="none" w:sz="0" w:space="0" w:color="auto"/>
      </w:divBdr>
      <w:divsChild>
        <w:div w:id="1330060677">
          <w:marLeft w:val="0"/>
          <w:marRight w:val="0"/>
          <w:marTop w:val="0"/>
          <w:marBottom w:val="150"/>
          <w:divBdr>
            <w:top w:val="none" w:sz="0" w:space="0" w:color="auto"/>
            <w:left w:val="none" w:sz="0" w:space="0" w:color="auto"/>
            <w:bottom w:val="none" w:sz="0" w:space="0" w:color="auto"/>
            <w:right w:val="none" w:sz="0" w:space="0" w:color="auto"/>
          </w:divBdr>
          <w:divsChild>
            <w:div w:id="1557158603">
              <w:marLeft w:val="907"/>
              <w:marRight w:val="907"/>
              <w:marTop w:val="1276"/>
              <w:marBottom w:val="1247"/>
              <w:divBdr>
                <w:top w:val="none" w:sz="0" w:space="0" w:color="auto"/>
                <w:left w:val="none" w:sz="0" w:space="0" w:color="auto"/>
                <w:bottom w:val="none" w:sz="0" w:space="0" w:color="auto"/>
                <w:right w:val="none" w:sz="0" w:space="0" w:color="auto"/>
              </w:divBdr>
            </w:div>
          </w:divsChild>
        </w:div>
        <w:div w:id="176117739">
          <w:marLeft w:val="0"/>
          <w:marRight w:val="0"/>
          <w:marTop w:val="0"/>
          <w:marBottom w:val="0"/>
          <w:divBdr>
            <w:top w:val="none" w:sz="0" w:space="0" w:color="auto"/>
            <w:left w:val="none" w:sz="0" w:space="0" w:color="auto"/>
            <w:bottom w:val="none" w:sz="0" w:space="0" w:color="auto"/>
            <w:right w:val="none" w:sz="0" w:space="0" w:color="auto"/>
          </w:divBdr>
        </w:div>
        <w:div w:id="107050854">
          <w:marLeft w:val="0"/>
          <w:marRight w:val="0"/>
          <w:marTop w:val="0"/>
          <w:marBottom w:val="0"/>
          <w:divBdr>
            <w:top w:val="none" w:sz="0" w:space="0" w:color="auto"/>
            <w:left w:val="none" w:sz="0" w:space="0" w:color="auto"/>
            <w:bottom w:val="none" w:sz="0" w:space="0" w:color="auto"/>
            <w:right w:val="none" w:sz="0" w:space="0" w:color="auto"/>
          </w:divBdr>
        </w:div>
      </w:divsChild>
    </w:div>
    <w:div w:id="1846743990">
      <w:bodyDiv w:val="1"/>
      <w:marLeft w:val="0"/>
      <w:marRight w:val="0"/>
      <w:marTop w:val="0"/>
      <w:marBottom w:val="0"/>
      <w:divBdr>
        <w:top w:val="none" w:sz="0" w:space="0" w:color="auto"/>
        <w:left w:val="none" w:sz="0" w:space="0" w:color="auto"/>
        <w:bottom w:val="none" w:sz="0" w:space="0" w:color="auto"/>
        <w:right w:val="none" w:sz="0" w:space="0" w:color="auto"/>
      </w:divBdr>
    </w:div>
    <w:div w:id="1886939580">
      <w:bodyDiv w:val="1"/>
      <w:marLeft w:val="0"/>
      <w:marRight w:val="0"/>
      <w:marTop w:val="0"/>
      <w:marBottom w:val="0"/>
      <w:divBdr>
        <w:top w:val="none" w:sz="0" w:space="0" w:color="auto"/>
        <w:left w:val="none" w:sz="0" w:space="0" w:color="auto"/>
        <w:bottom w:val="none" w:sz="0" w:space="0" w:color="auto"/>
        <w:right w:val="none" w:sz="0" w:space="0" w:color="auto"/>
      </w:divBdr>
      <w:divsChild>
        <w:div w:id="2073656633">
          <w:marLeft w:val="0"/>
          <w:marRight w:val="0"/>
          <w:marTop w:val="0"/>
          <w:marBottom w:val="150"/>
          <w:divBdr>
            <w:top w:val="none" w:sz="0" w:space="0" w:color="auto"/>
            <w:left w:val="none" w:sz="0" w:space="0" w:color="auto"/>
            <w:bottom w:val="none" w:sz="0" w:space="0" w:color="auto"/>
            <w:right w:val="none" w:sz="0" w:space="0" w:color="auto"/>
          </w:divBdr>
          <w:divsChild>
            <w:div w:id="1085807244">
              <w:marLeft w:val="907"/>
              <w:marRight w:val="907"/>
              <w:marTop w:val="1276"/>
              <w:marBottom w:val="1247"/>
              <w:divBdr>
                <w:top w:val="none" w:sz="0" w:space="0" w:color="auto"/>
                <w:left w:val="none" w:sz="0" w:space="0" w:color="auto"/>
                <w:bottom w:val="none" w:sz="0" w:space="0" w:color="auto"/>
                <w:right w:val="none" w:sz="0" w:space="0" w:color="auto"/>
              </w:divBdr>
            </w:div>
          </w:divsChild>
        </w:div>
        <w:div w:id="855190930">
          <w:marLeft w:val="0"/>
          <w:marRight w:val="0"/>
          <w:marTop w:val="0"/>
          <w:marBottom w:val="0"/>
          <w:divBdr>
            <w:top w:val="none" w:sz="0" w:space="0" w:color="auto"/>
            <w:left w:val="none" w:sz="0" w:space="0" w:color="auto"/>
            <w:bottom w:val="none" w:sz="0" w:space="0" w:color="auto"/>
            <w:right w:val="none" w:sz="0" w:space="0" w:color="auto"/>
          </w:divBdr>
        </w:div>
        <w:div w:id="1155956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425</Words>
  <Characters>2426</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 Mozgovoi</dc:creator>
  <cp:keywords/>
  <dc:description/>
  <cp:lastModifiedBy>Малахова Татьяна Геннадьевна</cp:lastModifiedBy>
  <cp:revision>6</cp:revision>
  <dcterms:created xsi:type="dcterms:W3CDTF">2024-08-14T10:36:00Z</dcterms:created>
  <dcterms:modified xsi:type="dcterms:W3CDTF">2025-11-18T05:20:00Z</dcterms:modified>
</cp:coreProperties>
</file>