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5CB26" w14:textId="0A07D48C" w:rsidR="008501E5" w:rsidRPr="008A6DE3" w:rsidRDefault="008F2D19" w:rsidP="008F2D19">
      <w:pPr>
        <w:snapToGrid w:val="0"/>
        <w:spacing w:after="0" w:line="240" w:lineRule="auto"/>
        <w:jc w:val="center"/>
        <w:rPr>
          <w:rFonts w:asciiTheme="minorHAnsi" w:hAnsiTheme="minorHAnsi" w:cstheme="minorHAnsi"/>
        </w:rPr>
      </w:pPr>
      <w:bookmarkStart w:id="0" w:name="_GoBack"/>
      <w:bookmarkEnd w:id="0"/>
      <w:r w:rsidRPr="00A56CE1">
        <w:rPr>
          <w:noProof/>
          <w:lang w:val="ru-RU" w:eastAsia="ru-RU"/>
        </w:rPr>
        <w:drawing>
          <wp:inline distT="0" distB="0" distL="0" distR="0" wp14:anchorId="6971A538" wp14:editId="47DC558C">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6D978BE4" w14:textId="77777777" w:rsidR="00CD054C" w:rsidRPr="008A6DE3" w:rsidRDefault="00CD054C" w:rsidP="00CD054C">
      <w:pPr>
        <w:spacing w:after="0" w:line="240" w:lineRule="auto"/>
        <w:rPr>
          <w:rFonts w:asciiTheme="minorHAnsi" w:hAnsiTheme="minorHAnsi" w:cstheme="minorHAnsi"/>
          <w:b/>
        </w:rPr>
      </w:pPr>
    </w:p>
    <w:p w14:paraId="69DEAE00" w14:textId="77777777" w:rsidR="00CD054C" w:rsidRPr="008A6DE3" w:rsidRDefault="00CD054C" w:rsidP="00CD054C">
      <w:pPr>
        <w:pStyle w:val="P68B1DB1-Normal1"/>
        <w:spacing w:after="0" w:line="240" w:lineRule="auto"/>
        <w:jc w:val="center"/>
        <w:rPr>
          <w:lang w:val="en-GB"/>
        </w:rPr>
      </w:pPr>
      <w:r w:rsidRPr="008A6DE3">
        <w:rPr>
          <w:lang w:val="en-GB"/>
        </w:rPr>
        <w:t>PhosAgro Reports Operating and Financial Results for 3Q and 9M 2023</w:t>
      </w:r>
    </w:p>
    <w:p w14:paraId="1EC636A7" w14:textId="77777777" w:rsidR="00CD054C" w:rsidRPr="008A6DE3" w:rsidRDefault="00CD054C" w:rsidP="00CD054C">
      <w:pPr>
        <w:spacing w:after="0" w:line="240" w:lineRule="auto"/>
        <w:jc w:val="center"/>
        <w:rPr>
          <w:rFonts w:asciiTheme="minorHAnsi" w:hAnsiTheme="minorHAnsi" w:cstheme="minorHAnsi"/>
        </w:rPr>
      </w:pPr>
    </w:p>
    <w:p w14:paraId="352B79CA" w14:textId="3CA9FC3B" w:rsidR="00CD054C" w:rsidRPr="008F2D19" w:rsidRDefault="00CD054C" w:rsidP="008F2D19">
      <w:pPr>
        <w:pStyle w:val="P68B1DB1-Normal2"/>
        <w:spacing w:line="240" w:lineRule="auto"/>
        <w:jc w:val="both"/>
        <w:rPr>
          <w:b/>
          <w:lang w:val="en-US"/>
        </w:rPr>
      </w:pPr>
      <w:r w:rsidRPr="008A6DE3">
        <w:rPr>
          <w:b/>
          <w:lang w:val="en-GB"/>
        </w:rPr>
        <w:t>Moscow</w:t>
      </w:r>
      <w:r w:rsidR="008F2D19" w:rsidRPr="008F2D19">
        <w:rPr>
          <w:b/>
          <w:lang w:val="en-US"/>
        </w:rPr>
        <w:t xml:space="preserve"> –</w:t>
      </w:r>
      <w:r w:rsidRPr="008A6DE3">
        <w:rPr>
          <w:b/>
          <w:lang w:val="en-GB"/>
        </w:rPr>
        <w:t xml:space="preserve"> </w:t>
      </w:r>
      <w:r w:rsidRPr="008A6DE3">
        <w:rPr>
          <w:lang w:val="en-GB"/>
        </w:rPr>
        <w:t xml:space="preserve">PhosAgro Group (“PhosAgro” or “the Company”) (Moscow Exchange, LSE: PHOR), one of the world’s leading vertically integrated phosphate-based fertilizer producers, today announces its consolidated interim condensed financial results for the nine months ended 30 September 2023. </w:t>
      </w:r>
    </w:p>
    <w:p w14:paraId="5FEBFB0B" w14:textId="77777777" w:rsidR="00CD054C" w:rsidRPr="008A6DE3" w:rsidRDefault="00CD054C" w:rsidP="008F2D19">
      <w:pPr>
        <w:pStyle w:val="P68B1DB1-13"/>
        <w:spacing w:after="120" w:line="240" w:lineRule="auto"/>
        <w:jc w:val="both"/>
        <w:rPr>
          <w:lang w:val="en-GB"/>
        </w:rPr>
      </w:pPr>
      <w:r w:rsidRPr="008A6DE3">
        <w:rPr>
          <w:lang w:val="en-GB"/>
        </w:rPr>
        <w:t>3Q and 9M 2023 highlights</w:t>
      </w:r>
    </w:p>
    <w:p w14:paraId="7B0ACBD4" w14:textId="46E151BF" w:rsidR="00CD054C" w:rsidRPr="008A6DE3" w:rsidRDefault="00CD054C" w:rsidP="008F2D19">
      <w:pPr>
        <w:pStyle w:val="P68B1DB1-Normal2"/>
        <w:spacing w:line="240" w:lineRule="auto"/>
        <w:jc w:val="both"/>
        <w:rPr>
          <w:lang w:val="en-GB"/>
        </w:rPr>
      </w:pPr>
      <w:r w:rsidRPr="008A6DE3">
        <w:rPr>
          <w:lang w:val="en-GB"/>
        </w:rPr>
        <w:t>In 9M 2023, production of mineral fertilizers and other chemicals increased by 3.7% year-on-year to over 8.5 million tonnes. This growth was driven primarily by a 19.4% year-on-year increase in MAP production thanks to a new production complex in Volkhov that was built as part of the Company</w:t>
      </w:r>
      <w:r w:rsidR="00FA1B3C" w:rsidRPr="008A6DE3">
        <w:rPr>
          <w:lang w:val="en-GB"/>
        </w:rPr>
        <w:t>’</w:t>
      </w:r>
      <w:r w:rsidRPr="008A6DE3">
        <w:rPr>
          <w:lang w:val="en-GB"/>
        </w:rPr>
        <w:t xml:space="preserve">s comprehensive long-term development programme. </w:t>
      </w:r>
    </w:p>
    <w:p w14:paraId="683A875D" w14:textId="77777777" w:rsidR="00CD054C" w:rsidRPr="008A6DE3" w:rsidRDefault="00CD054C" w:rsidP="008F2D19">
      <w:pPr>
        <w:pStyle w:val="P68B1DB1-Normal2"/>
        <w:spacing w:line="240" w:lineRule="auto"/>
        <w:jc w:val="both"/>
        <w:rPr>
          <w:lang w:val="en-GB"/>
        </w:rPr>
      </w:pPr>
      <w:r w:rsidRPr="008A6DE3">
        <w:rPr>
          <w:lang w:val="en-GB"/>
        </w:rPr>
        <w:t xml:space="preserve">Total fertilizer sales in 9M 2023 increased by 2.5% year-on-year to around 8.7 million tonnes. </w:t>
      </w:r>
    </w:p>
    <w:p w14:paraId="2867E4A9" w14:textId="0D881283" w:rsidR="00CD054C" w:rsidRPr="008A6DE3" w:rsidRDefault="00CD054C" w:rsidP="008F2D19">
      <w:pPr>
        <w:pStyle w:val="P68B1DB1-Normal2"/>
        <w:spacing w:line="240" w:lineRule="auto"/>
        <w:jc w:val="both"/>
        <w:rPr>
          <w:color w:val="FF0000"/>
          <w:lang w:val="en-GB"/>
        </w:rPr>
      </w:pPr>
      <w:r w:rsidRPr="008A6DE3">
        <w:rPr>
          <w:lang w:val="en-GB"/>
        </w:rPr>
        <w:t>In 3Q 2023, robust seasonal demand in the Company</w:t>
      </w:r>
      <w:r w:rsidR="00BE70DC" w:rsidRPr="008A6DE3">
        <w:rPr>
          <w:lang w:val="en-GB"/>
        </w:rPr>
        <w:t>’</w:t>
      </w:r>
      <w:r w:rsidRPr="008A6DE3">
        <w:rPr>
          <w:lang w:val="en-GB"/>
        </w:rPr>
        <w:t>s priority</w:t>
      </w:r>
      <w:r w:rsidR="00BE70DC" w:rsidRPr="008A6DE3">
        <w:rPr>
          <w:lang w:val="en-GB"/>
        </w:rPr>
        <w:t xml:space="preserve"> Russian</w:t>
      </w:r>
      <w:r w:rsidRPr="008A6DE3">
        <w:rPr>
          <w:lang w:val="en-GB"/>
        </w:rPr>
        <w:t xml:space="preserve"> market as well as Brazil, Europe and Africa drove a 16.9% year-on-year increase in sales of agrochemical products. Sales of phosphate-based fertilizers rose by more than 20% over the same period. Increased demand was driven by the affordability of fertilizers and the relatively low stocks in key markets, among other factors.</w:t>
      </w:r>
    </w:p>
    <w:p w14:paraId="34BBF41F" w14:textId="468CAA52" w:rsidR="00CD054C" w:rsidRPr="008A6DE3" w:rsidRDefault="00CD054C" w:rsidP="008F2D19">
      <w:pPr>
        <w:pStyle w:val="P68B1DB1-Normal2"/>
        <w:spacing w:line="240" w:lineRule="auto"/>
        <w:jc w:val="both"/>
        <w:rPr>
          <w:lang w:val="en-GB"/>
        </w:rPr>
      </w:pPr>
      <w:r w:rsidRPr="008A6DE3">
        <w:rPr>
          <w:lang w:val="en-GB"/>
        </w:rPr>
        <w:t xml:space="preserve">Revenue for 9M 2023 amounted to RUB 328.9 billion (USD 3.98 billion), down 28.4% year-on-year amid lower fertilizer prices in global markets in 2023. At the same time, revenue for 3Q 2023 declined only 5.5% </w:t>
      </w:r>
      <w:r w:rsidR="00BE70DC" w:rsidRPr="008A6DE3">
        <w:rPr>
          <w:lang w:val="en-GB"/>
        </w:rPr>
        <w:t>year-on-year</w:t>
      </w:r>
      <w:r w:rsidRPr="008A6DE3">
        <w:rPr>
          <w:lang w:val="en-GB"/>
        </w:rPr>
        <w:t xml:space="preserve"> thanks to an increase in sales of agrochemical products and a slight recovery in global fertilizer prices from their low point in the second quarter. </w:t>
      </w:r>
    </w:p>
    <w:p w14:paraId="2991231A" w14:textId="5AE7D0FE" w:rsidR="00CD054C" w:rsidRPr="008A6DE3" w:rsidRDefault="00CD054C" w:rsidP="008F2D19">
      <w:pPr>
        <w:pStyle w:val="P68B1DB1-Normal2"/>
        <w:spacing w:line="240" w:lineRule="auto"/>
        <w:jc w:val="both"/>
        <w:rPr>
          <w:lang w:val="en-GB"/>
        </w:rPr>
      </w:pPr>
      <w:r w:rsidRPr="008A6DE3">
        <w:rPr>
          <w:lang w:val="en-GB"/>
        </w:rPr>
        <w:t>In 9M 2023, the Company</w:t>
      </w:r>
      <w:r w:rsidR="00BE70DC" w:rsidRPr="008A6DE3">
        <w:rPr>
          <w:lang w:val="en-GB"/>
        </w:rPr>
        <w:t>’</w:t>
      </w:r>
      <w:r w:rsidRPr="008A6DE3">
        <w:rPr>
          <w:lang w:val="en-GB"/>
        </w:rPr>
        <w:t>s EBITDA amounted to RUB 151.1 billion (USD 1.83 billion), down 24.2% year-on-year. Effective cost management and increase</w:t>
      </w:r>
      <w:r w:rsidR="00BE70DC" w:rsidRPr="008A6DE3">
        <w:rPr>
          <w:lang w:val="en-GB"/>
        </w:rPr>
        <w:t>d</w:t>
      </w:r>
      <w:r w:rsidRPr="008A6DE3">
        <w:rPr>
          <w:lang w:val="en-GB"/>
        </w:rPr>
        <w:t xml:space="preserve"> production and sales of high-margin products </w:t>
      </w:r>
      <w:r w:rsidR="00BE70DC" w:rsidRPr="008A6DE3">
        <w:rPr>
          <w:lang w:val="en-GB"/>
        </w:rPr>
        <w:t>supported</w:t>
      </w:r>
      <w:r w:rsidRPr="008A6DE3">
        <w:rPr>
          <w:lang w:val="en-GB"/>
        </w:rPr>
        <w:t xml:space="preserve"> an EBITDA margin of 45.9%, up 2.5 p.p. from 9M 2022.</w:t>
      </w:r>
    </w:p>
    <w:p w14:paraId="3FFC6E1E" w14:textId="696EC39A" w:rsidR="00CD054C" w:rsidRPr="008A6DE3" w:rsidRDefault="00BE70DC" w:rsidP="008F2D19">
      <w:pPr>
        <w:pStyle w:val="P68B1DB1-Normal2"/>
        <w:spacing w:line="240" w:lineRule="auto"/>
        <w:jc w:val="both"/>
        <w:rPr>
          <w:lang w:val="en-GB"/>
        </w:rPr>
      </w:pPr>
      <w:r w:rsidRPr="008A6DE3">
        <w:rPr>
          <w:lang w:val="en-GB"/>
        </w:rPr>
        <w:t xml:space="preserve">The </w:t>
      </w:r>
      <w:r w:rsidR="00CD054C" w:rsidRPr="008A6DE3">
        <w:rPr>
          <w:lang w:val="en-GB"/>
        </w:rPr>
        <w:t>Company</w:t>
      </w:r>
      <w:r w:rsidRPr="008A6DE3">
        <w:rPr>
          <w:lang w:val="en-GB"/>
        </w:rPr>
        <w:t>’</w:t>
      </w:r>
      <w:r w:rsidR="00CD054C" w:rsidRPr="008A6DE3">
        <w:rPr>
          <w:lang w:val="en-GB"/>
        </w:rPr>
        <w:t>s free cash flow amounted to RUB 81.0 billion (USD 0.98 billion)</w:t>
      </w:r>
      <w:r w:rsidRPr="008A6DE3">
        <w:rPr>
          <w:lang w:val="en-GB"/>
        </w:rPr>
        <w:t xml:space="preserve"> in 9M 2023</w:t>
      </w:r>
      <w:r w:rsidR="00CD054C" w:rsidRPr="008A6DE3">
        <w:rPr>
          <w:lang w:val="en-GB"/>
        </w:rPr>
        <w:t xml:space="preserve">, remaining essentially flat year-on-year. Cash flow in 3Q 2023 decreased due </w:t>
      </w:r>
      <w:r w:rsidRPr="008A6DE3">
        <w:rPr>
          <w:lang w:val="en-GB"/>
        </w:rPr>
        <w:t xml:space="preserve">to </w:t>
      </w:r>
      <w:r w:rsidR="00CD054C" w:rsidRPr="008A6DE3">
        <w:rPr>
          <w:lang w:val="en-GB"/>
        </w:rPr>
        <w:t xml:space="preserve">outflows for working capital amid rising prices and sales volumes. </w:t>
      </w:r>
    </w:p>
    <w:p w14:paraId="2FDD3B1C" w14:textId="5C0F500E" w:rsidR="00CD054C" w:rsidRPr="008F2D19" w:rsidRDefault="00CD054C" w:rsidP="008F2D19">
      <w:pPr>
        <w:pStyle w:val="P68B1DB1-Normal2"/>
        <w:spacing w:line="240" w:lineRule="auto"/>
        <w:jc w:val="both"/>
        <w:rPr>
          <w:lang w:val="en-GB"/>
        </w:rPr>
      </w:pPr>
      <w:r w:rsidRPr="008A6DE3">
        <w:rPr>
          <w:lang w:val="en-GB"/>
        </w:rPr>
        <w:t xml:space="preserve">Net debt as of 30 September 2023 amounted to RUB 227.9 billion (USD 2.34 billion), and the ratio of net debt to </w:t>
      </w:r>
      <w:r w:rsidR="00580054">
        <w:rPr>
          <w:lang w:val="en-GB"/>
        </w:rPr>
        <w:t xml:space="preserve">adj. </w:t>
      </w:r>
      <w:r w:rsidRPr="008A6DE3">
        <w:rPr>
          <w:lang w:val="en-GB"/>
        </w:rPr>
        <w:t>EBITDA at the end of the quarter was a comfortable 1.</w:t>
      </w:r>
      <w:r w:rsidR="00580054">
        <w:rPr>
          <w:lang w:val="en-GB"/>
        </w:rPr>
        <w:t>3</w:t>
      </w:r>
      <w:r w:rsidRPr="008A6DE3">
        <w:rPr>
          <w:lang w:val="en-GB"/>
        </w:rPr>
        <w:t xml:space="preserve">x. </w:t>
      </w:r>
    </w:p>
    <w:p w14:paraId="55316CEC" w14:textId="77777777" w:rsidR="00CD054C" w:rsidRPr="008A6DE3" w:rsidRDefault="00CD054C" w:rsidP="00CD054C">
      <w:pPr>
        <w:pStyle w:val="P68B1DB1-Normal1"/>
        <w:spacing w:line="240" w:lineRule="auto"/>
        <w:outlineLvl w:val="0"/>
        <w:rPr>
          <w:lang w:val="en-GB"/>
        </w:rPr>
      </w:pPr>
      <w:r w:rsidRPr="008A6DE3">
        <w:rPr>
          <w:lang w:val="en-GB"/>
        </w:rPr>
        <w:t>Financial and operating highlights:</w:t>
      </w:r>
    </w:p>
    <w:tbl>
      <w:tblPr>
        <w:tblW w:w="9216" w:type="dxa"/>
        <w:tblLayout w:type="fixed"/>
        <w:tblLook w:val="04A0" w:firstRow="1" w:lastRow="0" w:firstColumn="1" w:lastColumn="0" w:noHBand="0" w:noVBand="1"/>
      </w:tblPr>
      <w:tblGrid>
        <w:gridCol w:w="2835"/>
        <w:gridCol w:w="1134"/>
        <w:gridCol w:w="1134"/>
        <w:gridCol w:w="993"/>
        <w:gridCol w:w="1134"/>
        <w:gridCol w:w="992"/>
        <w:gridCol w:w="994"/>
      </w:tblGrid>
      <w:tr w:rsidR="00CD054C" w:rsidRPr="008A6DE3" w14:paraId="1C0695CA" w14:textId="77777777" w:rsidTr="007200AB">
        <w:trPr>
          <w:trHeight w:val="330"/>
        </w:trPr>
        <w:tc>
          <w:tcPr>
            <w:tcW w:w="9216" w:type="dxa"/>
            <w:gridSpan w:val="7"/>
            <w:tcBorders>
              <w:top w:val="nil"/>
              <w:left w:val="nil"/>
              <w:bottom w:val="single" w:sz="8" w:space="0" w:color="auto"/>
              <w:right w:val="nil"/>
            </w:tcBorders>
            <w:shd w:val="clear" w:color="000000" w:fill="2B87A2"/>
            <w:vAlign w:val="center"/>
            <w:hideMark/>
          </w:tcPr>
          <w:p w14:paraId="642C8C13" w14:textId="77777777" w:rsidR="00CD054C" w:rsidRPr="008A6DE3" w:rsidRDefault="00CD054C" w:rsidP="007200AB">
            <w:pPr>
              <w:pStyle w:val="P68B1DB1-Normal4"/>
              <w:spacing w:after="0" w:line="240" w:lineRule="auto"/>
              <w:jc w:val="center"/>
              <w:rPr>
                <w:rFonts w:cs="Calibri"/>
                <w:lang w:val="en-GB"/>
              </w:rPr>
            </w:pPr>
            <w:r w:rsidRPr="008A6DE3">
              <w:rPr>
                <w:lang w:val="en-GB"/>
              </w:rPr>
              <w:t>Financial highlights</w:t>
            </w:r>
          </w:p>
        </w:tc>
      </w:tr>
      <w:tr w:rsidR="00CD054C" w:rsidRPr="008A6DE3" w14:paraId="2AC81ADC" w14:textId="77777777" w:rsidTr="00E6316F">
        <w:trPr>
          <w:trHeight w:val="480"/>
        </w:trPr>
        <w:tc>
          <w:tcPr>
            <w:tcW w:w="2835" w:type="dxa"/>
            <w:tcBorders>
              <w:top w:val="nil"/>
              <w:left w:val="nil"/>
              <w:bottom w:val="nil"/>
              <w:right w:val="nil"/>
            </w:tcBorders>
            <w:shd w:val="clear" w:color="auto" w:fill="auto"/>
            <w:vAlign w:val="center"/>
            <w:hideMark/>
          </w:tcPr>
          <w:p w14:paraId="43AD148A" w14:textId="77777777" w:rsidR="00CD054C" w:rsidRPr="008A6DE3" w:rsidRDefault="00CD054C" w:rsidP="007200AB">
            <w:pPr>
              <w:pStyle w:val="P68B1DB1-Normal5"/>
              <w:spacing w:after="0" w:line="240" w:lineRule="auto"/>
              <w:rPr>
                <w:lang w:val="en-GB"/>
              </w:rPr>
            </w:pPr>
            <w:r w:rsidRPr="008A6DE3">
              <w:rPr>
                <w:lang w:val="en-GB"/>
              </w:rPr>
              <w:t>RUB mln</w:t>
            </w:r>
          </w:p>
        </w:tc>
        <w:tc>
          <w:tcPr>
            <w:tcW w:w="1134" w:type="dxa"/>
            <w:tcBorders>
              <w:top w:val="nil"/>
              <w:left w:val="nil"/>
              <w:bottom w:val="nil"/>
              <w:right w:val="nil"/>
            </w:tcBorders>
            <w:shd w:val="clear" w:color="auto" w:fill="auto"/>
            <w:vAlign w:val="center"/>
            <w:hideMark/>
          </w:tcPr>
          <w:p w14:paraId="61F9C7C6"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9M 2023</w:t>
            </w:r>
          </w:p>
        </w:tc>
        <w:tc>
          <w:tcPr>
            <w:tcW w:w="1134" w:type="dxa"/>
            <w:tcBorders>
              <w:top w:val="nil"/>
              <w:left w:val="nil"/>
              <w:bottom w:val="nil"/>
              <w:right w:val="nil"/>
            </w:tcBorders>
            <w:shd w:val="clear" w:color="auto" w:fill="auto"/>
            <w:vAlign w:val="center"/>
            <w:hideMark/>
          </w:tcPr>
          <w:p w14:paraId="4671E85F"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9M 2022</w:t>
            </w:r>
          </w:p>
        </w:tc>
        <w:tc>
          <w:tcPr>
            <w:tcW w:w="993" w:type="dxa"/>
            <w:tcBorders>
              <w:top w:val="nil"/>
              <w:left w:val="nil"/>
              <w:bottom w:val="nil"/>
              <w:right w:val="nil"/>
            </w:tcBorders>
            <w:shd w:val="clear" w:color="000000" w:fill="E3F1F7"/>
            <w:vAlign w:val="center"/>
            <w:hideMark/>
          </w:tcPr>
          <w:p w14:paraId="1AEC5E81" w14:textId="6225A99F" w:rsidR="00CD054C" w:rsidRPr="00E6316F" w:rsidRDefault="00CD054C">
            <w:pPr>
              <w:pStyle w:val="P68B1DB1-Normal7"/>
              <w:spacing w:after="0" w:line="240" w:lineRule="auto"/>
              <w:jc w:val="center"/>
              <w:rPr>
                <w:rFonts w:asciiTheme="minorHAnsi" w:hAnsiTheme="minorHAnsi" w:cstheme="minorHAnsi"/>
                <w:lang w:val="en-GB"/>
              </w:rPr>
            </w:pPr>
            <w:r w:rsidRPr="00E6316F">
              <w:rPr>
                <w:rFonts w:asciiTheme="minorHAnsi" w:hAnsiTheme="minorHAnsi" w:cstheme="minorHAnsi"/>
                <w:lang w:val="en-GB"/>
              </w:rPr>
              <w:t>Change %</w:t>
            </w:r>
          </w:p>
        </w:tc>
        <w:tc>
          <w:tcPr>
            <w:tcW w:w="1134" w:type="dxa"/>
            <w:tcBorders>
              <w:top w:val="nil"/>
              <w:left w:val="nil"/>
              <w:bottom w:val="nil"/>
              <w:right w:val="nil"/>
            </w:tcBorders>
            <w:shd w:val="clear" w:color="auto" w:fill="auto"/>
            <w:vAlign w:val="center"/>
            <w:hideMark/>
          </w:tcPr>
          <w:p w14:paraId="78F2341B"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3Q 2023</w:t>
            </w:r>
          </w:p>
        </w:tc>
        <w:tc>
          <w:tcPr>
            <w:tcW w:w="992" w:type="dxa"/>
            <w:tcBorders>
              <w:top w:val="nil"/>
              <w:left w:val="nil"/>
              <w:bottom w:val="nil"/>
              <w:right w:val="nil"/>
            </w:tcBorders>
            <w:shd w:val="clear" w:color="auto" w:fill="auto"/>
            <w:vAlign w:val="center"/>
            <w:hideMark/>
          </w:tcPr>
          <w:p w14:paraId="7EC5E751"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3Q 2022</w:t>
            </w:r>
          </w:p>
        </w:tc>
        <w:tc>
          <w:tcPr>
            <w:tcW w:w="994" w:type="dxa"/>
            <w:tcBorders>
              <w:top w:val="nil"/>
              <w:left w:val="nil"/>
              <w:bottom w:val="nil"/>
              <w:right w:val="nil"/>
            </w:tcBorders>
            <w:shd w:val="clear" w:color="000000" w:fill="E3F1F7"/>
            <w:vAlign w:val="center"/>
            <w:hideMark/>
          </w:tcPr>
          <w:p w14:paraId="094803D8" w14:textId="77777777" w:rsidR="00CD054C" w:rsidRPr="00E6316F" w:rsidRDefault="00CD054C" w:rsidP="007200AB">
            <w:pPr>
              <w:pStyle w:val="P68B1DB1-Normal7"/>
              <w:spacing w:after="0" w:line="240" w:lineRule="auto"/>
              <w:jc w:val="center"/>
              <w:rPr>
                <w:rFonts w:asciiTheme="minorHAnsi" w:hAnsiTheme="minorHAnsi" w:cstheme="minorHAnsi"/>
                <w:lang w:val="en-GB"/>
              </w:rPr>
            </w:pPr>
            <w:r w:rsidRPr="00E6316F">
              <w:rPr>
                <w:rFonts w:asciiTheme="minorHAnsi" w:hAnsiTheme="minorHAnsi" w:cstheme="minorHAnsi"/>
                <w:lang w:val="en-GB"/>
              </w:rPr>
              <w:t>Change %</w:t>
            </w:r>
          </w:p>
        </w:tc>
      </w:tr>
      <w:tr w:rsidR="00CD054C" w:rsidRPr="008A6DE3" w14:paraId="5E61F2A0" w14:textId="77777777" w:rsidTr="00E6316F">
        <w:trPr>
          <w:trHeight w:val="300"/>
        </w:trPr>
        <w:tc>
          <w:tcPr>
            <w:tcW w:w="2835" w:type="dxa"/>
            <w:tcBorders>
              <w:top w:val="nil"/>
              <w:left w:val="nil"/>
              <w:bottom w:val="nil"/>
              <w:right w:val="nil"/>
            </w:tcBorders>
            <w:shd w:val="clear" w:color="auto" w:fill="auto"/>
            <w:vAlign w:val="center"/>
            <w:hideMark/>
          </w:tcPr>
          <w:p w14:paraId="59BB35E6" w14:textId="77777777" w:rsidR="00CD054C" w:rsidRPr="008A6DE3" w:rsidRDefault="00CD054C" w:rsidP="007200AB">
            <w:pPr>
              <w:pStyle w:val="P68B1DB1-Normal8"/>
              <w:spacing w:after="0" w:line="240" w:lineRule="auto"/>
              <w:rPr>
                <w:lang w:val="en-GB"/>
              </w:rPr>
            </w:pPr>
            <w:r w:rsidRPr="008A6DE3">
              <w:rPr>
                <w:lang w:val="en-GB"/>
              </w:rPr>
              <w:t>Revenue</w:t>
            </w:r>
          </w:p>
        </w:tc>
        <w:tc>
          <w:tcPr>
            <w:tcW w:w="1134" w:type="dxa"/>
            <w:tcBorders>
              <w:top w:val="nil"/>
              <w:left w:val="nil"/>
              <w:bottom w:val="nil"/>
              <w:right w:val="nil"/>
            </w:tcBorders>
            <w:shd w:val="clear" w:color="auto" w:fill="auto"/>
            <w:vAlign w:val="center"/>
            <w:hideMark/>
          </w:tcPr>
          <w:p w14:paraId="7E0F996F"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328,885</w:t>
            </w:r>
          </w:p>
        </w:tc>
        <w:tc>
          <w:tcPr>
            <w:tcW w:w="1134" w:type="dxa"/>
            <w:tcBorders>
              <w:top w:val="nil"/>
              <w:left w:val="nil"/>
              <w:bottom w:val="nil"/>
              <w:right w:val="nil"/>
            </w:tcBorders>
            <w:shd w:val="clear" w:color="auto" w:fill="auto"/>
            <w:vAlign w:val="center"/>
            <w:hideMark/>
          </w:tcPr>
          <w:p w14:paraId="377E3235"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459,423</w:t>
            </w:r>
          </w:p>
        </w:tc>
        <w:tc>
          <w:tcPr>
            <w:tcW w:w="993" w:type="dxa"/>
            <w:tcBorders>
              <w:top w:val="nil"/>
              <w:left w:val="nil"/>
              <w:bottom w:val="nil"/>
              <w:right w:val="nil"/>
            </w:tcBorders>
            <w:shd w:val="clear" w:color="000000" w:fill="E3F1F7"/>
            <w:vAlign w:val="center"/>
            <w:hideMark/>
          </w:tcPr>
          <w:p w14:paraId="7F58F0E5"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-28.4%</w:t>
            </w:r>
          </w:p>
        </w:tc>
        <w:tc>
          <w:tcPr>
            <w:tcW w:w="1134" w:type="dxa"/>
            <w:tcBorders>
              <w:top w:val="nil"/>
              <w:left w:val="nil"/>
              <w:bottom w:val="nil"/>
              <w:right w:val="nil"/>
            </w:tcBorders>
            <w:shd w:val="clear" w:color="auto" w:fill="auto"/>
            <w:vAlign w:val="center"/>
            <w:hideMark/>
          </w:tcPr>
          <w:p w14:paraId="121E72A3"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116,133</w:t>
            </w:r>
          </w:p>
        </w:tc>
        <w:tc>
          <w:tcPr>
            <w:tcW w:w="992" w:type="dxa"/>
            <w:tcBorders>
              <w:top w:val="nil"/>
              <w:left w:val="nil"/>
              <w:bottom w:val="nil"/>
              <w:right w:val="nil"/>
            </w:tcBorders>
            <w:shd w:val="clear" w:color="auto" w:fill="auto"/>
            <w:vAlign w:val="center"/>
            <w:hideMark/>
          </w:tcPr>
          <w:p w14:paraId="35208AD7"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122,914</w:t>
            </w:r>
          </w:p>
        </w:tc>
        <w:tc>
          <w:tcPr>
            <w:tcW w:w="994" w:type="dxa"/>
            <w:tcBorders>
              <w:top w:val="nil"/>
              <w:left w:val="nil"/>
              <w:bottom w:val="nil"/>
              <w:right w:val="nil"/>
            </w:tcBorders>
            <w:shd w:val="clear" w:color="000000" w:fill="E3F1F7"/>
            <w:vAlign w:val="center"/>
            <w:hideMark/>
          </w:tcPr>
          <w:p w14:paraId="3C7B39B7"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-5.5%</w:t>
            </w:r>
          </w:p>
        </w:tc>
      </w:tr>
      <w:tr w:rsidR="00CD054C" w:rsidRPr="008A6DE3" w14:paraId="082ADC99" w14:textId="77777777" w:rsidTr="00E6316F">
        <w:trPr>
          <w:trHeight w:val="300"/>
        </w:trPr>
        <w:tc>
          <w:tcPr>
            <w:tcW w:w="2835" w:type="dxa"/>
            <w:tcBorders>
              <w:top w:val="nil"/>
              <w:left w:val="nil"/>
              <w:bottom w:val="nil"/>
              <w:right w:val="nil"/>
            </w:tcBorders>
            <w:shd w:val="clear" w:color="auto" w:fill="auto"/>
            <w:vAlign w:val="center"/>
            <w:hideMark/>
          </w:tcPr>
          <w:p w14:paraId="6EA5D976" w14:textId="77777777" w:rsidR="00CD054C" w:rsidRPr="008A6DE3" w:rsidRDefault="00CD054C" w:rsidP="007200AB">
            <w:pPr>
              <w:pStyle w:val="P68B1DB1-Normal8"/>
              <w:spacing w:after="0" w:line="240" w:lineRule="auto"/>
              <w:rPr>
                <w:lang w:val="en-GB"/>
              </w:rPr>
            </w:pPr>
            <w:r w:rsidRPr="008A6DE3">
              <w:rPr>
                <w:lang w:val="en-GB"/>
              </w:rPr>
              <w:t>EBITDA*</w:t>
            </w:r>
          </w:p>
        </w:tc>
        <w:tc>
          <w:tcPr>
            <w:tcW w:w="1134" w:type="dxa"/>
            <w:tcBorders>
              <w:top w:val="nil"/>
              <w:left w:val="nil"/>
              <w:bottom w:val="nil"/>
              <w:right w:val="nil"/>
            </w:tcBorders>
            <w:shd w:val="clear" w:color="auto" w:fill="auto"/>
            <w:vAlign w:val="center"/>
            <w:hideMark/>
          </w:tcPr>
          <w:p w14:paraId="6B946EF0"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151,098</w:t>
            </w:r>
          </w:p>
        </w:tc>
        <w:tc>
          <w:tcPr>
            <w:tcW w:w="1134" w:type="dxa"/>
            <w:tcBorders>
              <w:top w:val="nil"/>
              <w:left w:val="nil"/>
              <w:bottom w:val="nil"/>
              <w:right w:val="nil"/>
            </w:tcBorders>
            <w:shd w:val="clear" w:color="auto" w:fill="auto"/>
            <w:vAlign w:val="center"/>
            <w:hideMark/>
          </w:tcPr>
          <w:p w14:paraId="3870DCC2"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199,438</w:t>
            </w:r>
          </w:p>
        </w:tc>
        <w:tc>
          <w:tcPr>
            <w:tcW w:w="993" w:type="dxa"/>
            <w:tcBorders>
              <w:top w:val="nil"/>
              <w:left w:val="nil"/>
              <w:bottom w:val="nil"/>
              <w:right w:val="nil"/>
            </w:tcBorders>
            <w:shd w:val="clear" w:color="000000" w:fill="E3F1F7"/>
            <w:vAlign w:val="center"/>
            <w:hideMark/>
          </w:tcPr>
          <w:p w14:paraId="5CD1C3C9"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-24.2%</w:t>
            </w:r>
          </w:p>
        </w:tc>
        <w:tc>
          <w:tcPr>
            <w:tcW w:w="1134" w:type="dxa"/>
            <w:tcBorders>
              <w:top w:val="nil"/>
              <w:left w:val="nil"/>
              <w:bottom w:val="nil"/>
              <w:right w:val="nil"/>
            </w:tcBorders>
            <w:shd w:val="clear" w:color="auto" w:fill="auto"/>
            <w:vAlign w:val="center"/>
            <w:hideMark/>
          </w:tcPr>
          <w:p w14:paraId="7650D088"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54,580</w:t>
            </w:r>
          </w:p>
        </w:tc>
        <w:tc>
          <w:tcPr>
            <w:tcW w:w="992" w:type="dxa"/>
            <w:tcBorders>
              <w:top w:val="nil"/>
              <w:left w:val="nil"/>
              <w:bottom w:val="nil"/>
              <w:right w:val="nil"/>
            </w:tcBorders>
            <w:shd w:val="clear" w:color="auto" w:fill="auto"/>
            <w:vAlign w:val="center"/>
            <w:hideMark/>
          </w:tcPr>
          <w:p w14:paraId="155CDB6F" w14:textId="77777777" w:rsidR="00CD054C" w:rsidRPr="00E6316F" w:rsidRDefault="00CD054C" w:rsidP="007200AB">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63,890</w:t>
            </w:r>
          </w:p>
        </w:tc>
        <w:tc>
          <w:tcPr>
            <w:tcW w:w="994" w:type="dxa"/>
            <w:tcBorders>
              <w:top w:val="nil"/>
              <w:left w:val="nil"/>
              <w:bottom w:val="nil"/>
              <w:right w:val="nil"/>
            </w:tcBorders>
            <w:shd w:val="clear" w:color="000000" w:fill="E3F1F7"/>
            <w:vAlign w:val="center"/>
            <w:hideMark/>
          </w:tcPr>
          <w:p w14:paraId="265AE5B3"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-14.6%</w:t>
            </w:r>
          </w:p>
        </w:tc>
      </w:tr>
      <w:tr w:rsidR="00CD054C" w:rsidRPr="008A6DE3" w14:paraId="28D731D9" w14:textId="77777777" w:rsidTr="00E6316F">
        <w:trPr>
          <w:trHeight w:val="300"/>
        </w:trPr>
        <w:tc>
          <w:tcPr>
            <w:tcW w:w="2835" w:type="dxa"/>
            <w:tcBorders>
              <w:top w:val="nil"/>
              <w:left w:val="nil"/>
              <w:bottom w:val="nil"/>
              <w:right w:val="nil"/>
            </w:tcBorders>
            <w:shd w:val="clear" w:color="auto" w:fill="auto"/>
            <w:vAlign w:val="center"/>
            <w:hideMark/>
          </w:tcPr>
          <w:p w14:paraId="6F5D8184" w14:textId="77777777" w:rsidR="00CD054C" w:rsidRPr="008A6DE3" w:rsidRDefault="00CD054C" w:rsidP="007200AB">
            <w:pPr>
              <w:pStyle w:val="P68B1DB1-Normal11"/>
              <w:spacing w:after="0" w:line="240" w:lineRule="auto"/>
              <w:jc w:val="right"/>
              <w:rPr>
                <w:lang w:val="en-GB"/>
              </w:rPr>
            </w:pPr>
            <w:r w:rsidRPr="008A6DE3">
              <w:rPr>
                <w:lang w:val="en-GB"/>
              </w:rPr>
              <w:t>EBITDA margin</w:t>
            </w:r>
          </w:p>
        </w:tc>
        <w:tc>
          <w:tcPr>
            <w:tcW w:w="1134" w:type="dxa"/>
            <w:tcBorders>
              <w:top w:val="nil"/>
              <w:left w:val="nil"/>
              <w:bottom w:val="nil"/>
              <w:right w:val="nil"/>
            </w:tcBorders>
            <w:shd w:val="clear" w:color="auto" w:fill="auto"/>
            <w:vAlign w:val="center"/>
            <w:hideMark/>
          </w:tcPr>
          <w:p w14:paraId="713E9E09"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45.9%</w:t>
            </w:r>
          </w:p>
        </w:tc>
        <w:tc>
          <w:tcPr>
            <w:tcW w:w="1134" w:type="dxa"/>
            <w:tcBorders>
              <w:top w:val="nil"/>
              <w:left w:val="nil"/>
              <w:bottom w:val="nil"/>
              <w:right w:val="nil"/>
            </w:tcBorders>
            <w:shd w:val="clear" w:color="auto" w:fill="auto"/>
            <w:vAlign w:val="center"/>
            <w:hideMark/>
          </w:tcPr>
          <w:p w14:paraId="0A41AD7E"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43.4%</w:t>
            </w:r>
          </w:p>
        </w:tc>
        <w:tc>
          <w:tcPr>
            <w:tcW w:w="993" w:type="dxa"/>
            <w:tcBorders>
              <w:top w:val="nil"/>
              <w:left w:val="nil"/>
              <w:bottom w:val="nil"/>
              <w:right w:val="nil"/>
            </w:tcBorders>
            <w:shd w:val="clear" w:color="000000" w:fill="E3F1F7"/>
            <w:vAlign w:val="center"/>
            <w:hideMark/>
          </w:tcPr>
          <w:p w14:paraId="14A975BF"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 </w:t>
            </w:r>
          </w:p>
        </w:tc>
        <w:tc>
          <w:tcPr>
            <w:tcW w:w="1134" w:type="dxa"/>
            <w:tcBorders>
              <w:top w:val="nil"/>
              <w:left w:val="nil"/>
              <w:bottom w:val="nil"/>
              <w:right w:val="nil"/>
            </w:tcBorders>
            <w:shd w:val="clear" w:color="auto" w:fill="auto"/>
            <w:vAlign w:val="center"/>
            <w:hideMark/>
          </w:tcPr>
          <w:p w14:paraId="4416D1FD"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47.0%</w:t>
            </w:r>
          </w:p>
        </w:tc>
        <w:tc>
          <w:tcPr>
            <w:tcW w:w="992" w:type="dxa"/>
            <w:tcBorders>
              <w:top w:val="nil"/>
              <w:left w:val="nil"/>
              <w:bottom w:val="nil"/>
              <w:right w:val="nil"/>
            </w:tcBorders>
            <w:shd w:val="clear" w:color="auto" w:fill="auto"/>
            <w:vAlign w:val="center"/>
            <w:hideMark/>
          </w:tcPr>
          <w:p w14:paraId="3A82BA31"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52.0%</w:t>
            </w:r>
          </w:p>
        </w:tc>
        <w:tc>
          <w:tcPr>
            <w:tcW w:w="994" w:type="dxa"/>
            <w:tcBorders>
              <w:top w:val="nil"/>
              <w:left w:val="nil"/>
              <w:bottom w:val="nil"/>
              <w:right w:val="nil"/>
            </w:tcBorders>
            <w:shd w:val="clear" w:color="000000" w:fill="E3F1F7"/>
            <w:vAlign w:val="center"/>
            <w:hideMark/>
          </w:tcPr>
          <w:p w14:paraId="442DB720"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 </w:t>
            </w:r>
          </w:p>
        </w:tc>
      </w:tr>
      <w:tr w:rsidR="000E40B7" w:rsidRPr="008A6DE3" w14:paraId="5AE29BA1" w14:textId="77777777" w:rsidTr="00E6316F">
        <w:trPr>
          <w:trHeight w:val="300"/>
        </w:trPr>
        <w:tc>
          <w:tcPr>
            <w:tcW w:w="2835" w:type="dxa"/>
            <w:tcBorders>
              <w:top w:val="nil"/>
              <w:left w:val="nil"/>
              <w:bottom w:val="nil"/>
              <w:right w:val="nil"/>
            </w:tcBorders>
            <w:shd w:val="clear" w:color="auto" w:fill="auto"/>
            <w:vAlign w:val="center"/>
          </w:tcPr>
          <w:p w14:paraId="7D8FF5CE" w14:textId="28F99820" w:rsidR="000E40B7" w:rsidRPr="008A6DE3" w:rsidRDefault="000E40B7" w:rsidP="000E40B7">
            <w:pPr>
              <w:pStyle w:val="P68B1DB1-Normal8"/>
              <w:spacing w:after="0" w:line="240" w:lineRule="auto"/>
              <w:rPr>
                <w:lang w:val="en-GB"/>
              </w:rPr>
            </w:pPr>
            <w:r>
              <w:rPr>
                <w:lang w:val="en-GB"/>
              </w:rPr>
              <w:t>Adj. EBITDA**</w:t>
            </w:r>
          </w:p>
        </w:tc>
        <w:tc>
          <w:tcPr>
            <w:tcW w:w="1134" w:type="dxa"/>
            <w:tcBorders>
              <w:top w:val="nil"/>
              <w:left w:val="nil"/>
              <w:bottom w:val="nil"/>
              <w:right w:val="nil"/>
            </w:tcBorders>
            <w:shd w:val="clear" w:color="auto" w:fill="auto"/>
            <w:vAlign w:val="center"/>
          </w:tcPr>
          <w:p w14:paraId="16D5C883" w14:textId="527F10DC" w:rsidR="000E40B7" w:rsidRPr="00E6316F" w:rsidRDefault="000E40B7" w:rsidP="006D74E9">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szCs w:val="18"/>
              </w:rPr>
              <w:t>131,27</w:t>
            </w:r>
            <w:r w:rsidR="00F21283" w:rsidRPr="00E6316F">
              <w:rPr>
                <w:rFonts w:asciiTheme="minorHAnsi" w:hAnsiTheme="minorHAnsi" w:cstheme="minorHAnsi"/>
                <w:szCs w:val="18"/>
                <w:lang w:val="ru-RU"/>
              </w:rPr>
              <w:t>4</w:t>
            </w:r>
          </w:p>
        </w:tc>
        <w:tc>
          <w:tcPr>
            <w:tcW w:w="1134" w:type="dxa"/>
            <w:tcBorders>
              <w:top w:val="nil"/>
              <w:left w:val="nil"/>
              <w:bottom w:val="nil"/>
              <w:right w:val="nil"/>
            </w:tcBorders>
            <w:shd w:val="clear" w:color="auto" w:fill="auto"/>
            <w:vAlign w:val="center"/>
          </w:tcPr>
          <w:p w14:paraId="227A19FD" w14:textId="724D3C6B"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szCs w:val="18"/>
              </w:rPr>
              <w:t>222,477</w:t>
            </w:r>
          </w:p>
        </w:tc>
        <w:tc>
          <w:tcPr>
            <w:tcW w:w="993" w:type="dxa"/>
            <w:tcBorders>
              <w:top w:val="nil"/>
              <w:left w:val="nil"/>
              <w:bottom w:val="nil"/>
              <w:right w:val="nil"/>
            </w:tcBorders>
            <w:shd w:val="clear" w:color="000000" w:fill="E3F1F7"/>
            <w:vAlign w:val="center"/>
          </w:tcPr>
          <w:p w14:paraId="4143D4EE" w14:textId="402EB34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iCs/>
                <w:szCs w:val="18"/>
              </w:rPr>
              <w:t>-41.0%</w:t>
            </w:r>
          </w:p>
        </w:tc>
        <w:tc>
          <w:tcPr>
            <w:tcW w:w="1134" w:type="dxa"/>
            <w:tcBorders>
              <w:top w:val="nil"/>
              <w:left w:val="nil"/>
              <w:bottom w:val="nil"/>
              <w:right w:val="nil"/>
            </w:tcBorders>
            <w:shd w:val="clear" w:color="auto" w:fill="auto"/>
            <w:vAlign w:val="center"/>
          </w:tcPr>
          <w:p w14:paraId="624C7604" w14:textId="021AE501"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szCs w:val="18"/>
              </w:rPr>
              <w:t>48,458</w:t>
            </w:r>
          </w:p>
        </w:tc>
        <w:tc>
          <w:tcPr>
            <w:tcW w:w="992" w:type="dxa"/>
            <w:tcBorders>
              <w:top w:val="nil"/>
              <w:left w:val="nil"/>
              <w:bottom w:val="nil"/>
              <w:right w:val="nil"/>
            </w:tcBorders>
            <w:shd w:val="clear" w:color="auto" w:fill="auto"/>
            <w:vAlign w:val="center"/>
          </w:tcPr>
          <w:p w14:paraId="2A586334" w14:textId="5068A674"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szCs w:val="18"/>
              </w:rPr>
              <w:t>57,155</w:t>
            </w:r>
          </w:p>
        </w:tc>
        <w:tc>
          <w:tcPr>
            <w:tcW w:w="994" w:type="dxa"/>
            <w:tcBorders>
              <w:top w:val="nil"/>
              <w:left w:val="nil"/>
              <w:bottom w:val="nil"/>
              <w:right w:val="nil"/>
            </w:tcBorders>
            <w:shd w:val="clear" w:color="000000" w:fill="E3F1F7"/>
            <w:vAlign w:val="center"/>
          </w:tcPr>
          <w:p w14:paraId="1BE27D03" w14:textId="03224561"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iCs/>
                <w:szCs w:val="18"/>
              </w:rPr>
              <w:t>-15.2%</w:t>
            </w:r>
          </w:p>
        </w:tc>
      </w:tr>
      <w:tr w:rsidR="000E40B7" w:rsidRPr="008A6DE3" w14:paraId="6749D85C" w14:textId="77777777" w:rsidTr="00E6316F">
        <w:trPr>
          <w:trHeight w:val="300"/>
        </w:trPr>
        <w:tc>
          <w:tcPr>
            <w:tcW w:w="2835" w:type="dxa"/>
            <w:tcBorders>
              <w:top w:val="nil"/>
              <w:left w:val="nil"/>
              <w:bottom w:val="nil"/>
              <w:right w:val="nil"/>
            </w:tcBorders>
            <w:shd w:val="clear" w:color="auto" w:fill="auto"/>
            <w:vAlign w:val="center"/>
            <w:hideMark/>
          </w:tcPr>
          <w:p w14:paraId="62A028E6" w14:textId="77777777" w:rsidR="000E40B7" w:rsidRPr="008A6DE3" w:rsidRDefault="000E40B7" w:rsidP="000E40B7">
            <w:pPr>
              <w:pStyle w:val="P68B1DB1-Normal8"/>
              <w:spacing w:after="0" w:line="240" w:lineRule="auto"/>
              <w:rPr>
                <w:lang w:val="en-GB"/>
              </w:rPr>
            </w:pPr>
            <w:r w:rsidRPr="008A6DE3">
              <w:rPr>
                <w:lang w:val="en-GB"/>
              </w:rPr>
              <w:t>Net profit</w:t>
            </w:r>
          </w:p>
        </w:tc>
        <w:tc>
          <w:tcPr>
            <w:tcW w:w="1134" w:type="dxa"/>
            <w:tcBorders>
              <w:top w:val="nil"/>
              <w:left w:val="nil"/>
              <w:bottom w:val="nil"/>
              <w:right w:val="nil"/>
            </w:tcBorders>
            <w:shd w:val="clear" w:color="auto" w:fill="auto"/>
            <w:vAlign w:val="center"/>
            <w:hideMark/>
          </w:tcPr>
          <w:p w14:paraId="354DDBF1"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56,775</w:t>
            </w:r>
          </w:p>
        </w:tc>
        <w:tc>
          <w:tcPr>
            <w:tcW w:w="1134" w:type="dxa"/>
            <w:tcBorders>
              <w:top w:val="nil"/>
              <w:left w:val="nil"/>
              <w:bottom w:val="nil"/>
              <w:right w:val="nil"/>
            </w:tcBorders>
            <w:shd w:val="clear" w:color="auto" w:fill="auto"/>
            <w:vAlign w:val="center"/>
            <w:hideMark/>
          </w:tcPr>
          <w:p w14:paraId="06FB84F8"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165,501</w:t>
            </w:r>
          </w:p>
        </w:tc>
        <w:tc>
          <w:tcPr>
            <w:tcW w:w="993" w:type="dxa"/>
            <w:tcBorders>
              <w:top w:val="nil"/>
              <w:left w:val="nil"/>
              <w:bottom w:val="nil"/>
              <w:right w:val="nil"/>
            </w:tcBorders>
            <w:shd w:val="clear" w:color="000000" w:fill="E3F1F7"/>
            <w:vAlign w:val="center"/>
            <w:hideMark/>
          </w:tcPr>
          <w:p w14:paraId="7A28DE74" w14:textId="7777777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-65.7%</w:t>
            </w:r>
          </w:p>
        </w:tc>
        <w:tc>
          <w:tcPr>
            <w:tcW w:w="1134" w:type="dxa"/>
            <w:tcBorders>
              <w:top w:val="nil"/>
              <w:left w:val="nil"/>
              <w:bottom w:val="nil"/>
              <w:right w:val="nil"/>
            </w:tcBorders>
            <w:shd w:val="clear" w:color="auto" w:fill="auto"/>
            <w:vAlign w:val="center"/>
            <w:hideMark/>
          </w:tcPr>
          <w:p w14:paraId="0CEB0978"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15,278</w:t>
            </w:r>
          </w:p>
        </w:tc>
        <w:tc>
          <w:tcPr>
            <w:tcW w:w="992" w:type="dxa"/>
            <w:tcBorders>
              <w:top w:val="nil"/>
              <w:left w:val="nil"/>
              <w:bottom w:val="nil"/>
              <w:right w:val="nil"/>
            </w:tcBorders>
            <w:shd w:val="clear" w:color="auto" w:fill="auto"/>
            <w:vAlign w:val="center"/>
            <w:hideMark/>
          </w:tcPr>
          <w:p w14:paraId="2FD707B4"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36,453</w:t>
            </w:r>
          </w:p>
        </w:tc>
        <w:tc>
          <w:tcPr>
            <w:tcW w:w="994" w:type="dxa"/>
            <w:tcBorders>
              <w:top w:val="nil"/>
              <w:left w:val="nil"/>
              <w:bottom w:val="nil"/>
              <w:right w:val="nil"/>
            </w:tcBorders>
            <w:shd w:val="clear" w:color="000000" w:fill="E3F1F7"/>
            <w:vAlign w:val="center"/>
            <w:hideMark/>
          </w:tcPr>
          <w:p w14:paraId="674F4653" w14:textId="7777777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-58.1%</w:t>
            </w:r>
          </w:p>
        </w:tc>
      </w:tr>
      <w:tr w:rsidR="000E40B7" w:rsidRPr="008A6DE3" w14:paraId="6CB793D3" w14:textId="77777777" w:rsidTr="00E6316F">
        <w:trPr>
          <w:trHeight w:val="300"/>
        </w:trPr>
        <w:tc>
          <w:tcPr>
            <w:tcW w:w="2835" w:type="dxa"/>
            <w:tcBorders>
              <w:top w:val="nil"/>
              <w:left w:val="nil"/>
              <w:bottom w:val="nil"/>
              <w:right w:val="nil"/>
            </w:tcBorders>
            <w:shd w:val="clear" w:color="auto" w:fill="auto"/>
            <w:vAlign w:val="center"/>
            <w:hideMark/>
          </w:tcPr>
          <w:p w14:paraId="16FE2514" w14:textId="2CF68AA1" w:rsidR="000E40B7" w:rsidRPr="008A6DE3" w:rsidRDefault="000E40B7" w:rsidP="000E40B7">
            <w:pPr>
              <w:pStyle w:val="xmsonormal"/>
              <w:rPr>
                <w:color w:val="000000"/>
                <w:lang w:val="en-GB"/>
              </w:rPr>
            </w:pPr>
            <w:r w:rsidRPr="008A6DE3">
              <w:rPr>
                <w:color w:val="000000"/>
                <w:lang w:val="en-GB"/>
              </w:rPr>
              <w:t>Adj. net profit</w:t>
            </w:r>
            <w:r w:rsidRPr="008A6DE3">
              <w:rPr>
                <w:lang w:val="en-GB"/>
              </w:rPr>
              <w:t>**</w:t>
            </w:r>
            <w:r>
              <w:rPr>
                <w:lang w:val="en-GB"/>
              </w:rPr>
              <w:t>*</w:t>
            </w:r>
          </w:p>
        </w:tc>
        <w:tc>
          <w:tcPr>
            <w:tcW w:w="1134" w:type="dxa"/>
            <w:tcBorders>
              <w:top w:val="nil"/>
              <w:left w:val="nil"/>
              <w:bottom w:val="nil"/>
              <w:right w:val="nil"/>
            </w:tcBorders>
            <w:shd w:val="clear" w:color="auto" w:fill="auto"/>
            <w:vAlign w:val="center"/>
            <w:hideMark/>
          </w:tcPr>
          <w:p w14:paraId="2EE13A12"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82,896</w:t>
            </w:r>
          </w:p>
        </w:tc>
        <w:tc>
          <w:tcPr>
            <w:tcW w:w="1134" w:type="dxa"/>
            <w:tcBorders>
              <w:top w:val="nil"/>
              <w:left w:val="nil"/>
              <w:bottom w:val="nil"/>
              <w:right w:val="nil"/>
            </w:tcBorders>
            <w:shd w:val="clear" w:color="auto" w:fill="auto"/>
            <w:vAlign w:val="center"/>
            <w:hideMark/>
          </w:tcPr>
          <w:p w14:paraId="117D9B29"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150,199</w:t>
            </w:r>
          </w:p>
        </w:tc>
        <w:tc>
          <w:tcPr>
            <w:tcW w:w="993" w:type="dxa"/>
            <w:tcBorders>
              <w:top w:val="nil"/>
              <w:left w:val="nil"/>
              <w:bottom w:val="nil"/>
              <w:right w:val="nil"/>
            </w:tcBorders>
            <w:shd w:val="clear" w:color="000000" w:fill="E3F1F7"/>
            <w:vAlign w:val="center"/>
            <w:hideMark/>
          </w:tcPr>
          <w:p w14:paraId="1AB62679" w14:textId="7777777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-44.8%</w:t>
            </w:r>
          </w:p>
        </w:tc>
        <w:tc>
          <w:tcPr>
            <w:tcW w:w="1134" w:type="dxa"/>
            <w:tcBorders>
              <w:top w:val="nil"/>
              <w:left w:val="nil"/>
              <w:bottom w:val="nil"/>
              <w:right w:val="nil"/>
            </w:tcBorders>
            <w:shd w:val="clear" w:color="auto" w:fill="auto"/>
            <w:vAlign w:val="center"/>
            <w:hideMark/>
          </w:tcPr>
          <w:p w14:paraId="58EEBABC"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27,124</w:t>
            </w:r>
          </w:p>
        </w:tc>
        <w:tc>
          <w:tcPr>
            <w:tcW w:w="992" w:type="dxa"/>
            <w:tcBorders>
              <w:top w:val="nil"/>
              <w:left w:val="nil"/>
              <w:bottom w:val="nil"/>
              <w:right w:val="nil"/>
            </w:tcBorders>
            <w:shd w:val="clear" w:color="auto" w:fill="auto"/>
            <w:vAlign w:val="center"/>
            <w:hideMark/>
          </w:tcPr>
          <w:p w14:paraId="597EA2C6"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41,646</w:t>
            </w:r>
          </w:p>
        </w:tc>
        <w:tc>
          <w:tcPr>
            <w:tcW w:w="994" w:type="dxa"/>
            <w:tcBorders>
              <w:top w:val="nil"/>
              <w:left w:val="nil"/>
              <w:bottom w:val="nil"/>
              <w:right w:val="nil"/>
            </w:tcBorders>
            <w:shd w:val="clear" w:color="000000" w:fill="E3F1F7"/>
            <w:vAlign w:val="center"/>
            <w:hideMark/>
          </w:tcPr>
          <w:p w14:paraId="6A377605" w14:textId="7777777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-34.9%</w:t>
            </w:r>
          </w:p>
        </w:tc>
      </w:tr>
      <w:tr w:rsidR="000E40B7" w:rsidRPr="008A6DE3" w14:paraId="543C4910" w14:textId="77777777" w:rsidTr="00E6316F">
        <w:trPr>
          <w:trHeight w:val="315"/>
        </w:trPr>
        <w:tc>
          <w:tcPr>
            <w:tcW w:w="2835" w:type="dxa"/>
            <w:tcBorders>
              <w:top w:val="nil"/>
              <w:left w:val="nil"/>
              <w:bottom w:val="nil"/>
              <w:right w:val="nil"/>
            </w:tcBorders>
            <w:shd w:val="clear" w:color="auto" w:fill="auto"/>
            <w:vAlign w:val="center"/>
            <w:hideMark/>
          </w:tcPr>
          <w:p w14:paraId="59AF0913" w14:textId="77777777" w:rsidR="000E40B7" w:rsidRPr="008A6DE3" w:rsidRDefault="000E40B7" w:rsidP="000E40B7">
            <w:pPr>
              <w:pStyle w:val="P68B1DB1-Normal9"/>
              <w:spacing w:after="0" w:line="240" w:lineRule="auto"/>
              <w:rPr>
                <w:lang w:val="en-GB"/>
              </w:rPr>
            </w:pPr>
            <w:r w:rsidRPr="008A6DE3">
              <w:rPr>
                <w:lang w:val="en-GB"/>
              </w:rPr>
              <w:t>Free cash flow</w:t>
            </w:r>
          </w:p>
        </w:tc>
        <w:tc>
          <w:tcPr>
            <w:tcW w:w="1134" w:type="dxa"/>
            <w:tcBorders>
              <w:top w:val="nil"/>
              <w:left w:val="nil"/>
              <w:bottom w:val="nil"/>
              <w:right w:val="nil"/>
            </w:tcBorders>
            <w:shd w:val="clear" w:color="auto" w:fill="auto"/>
            <w:vAlign w:val="center"/>
            <w:hideMark/>
          </w:tcPr>
          <w:p w14:paraId="2AFC0EAC"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80,977</w:t>
            </w:r>
          </w:p>
        </w:tc>
        <w:tc>
          <w:tcPr>
            <w:tcW w:w="1134" w:type="dxa"/>
            <w:tcBorders>
              <w:top w:val="nil"/>
              <w:left w:val="nil"/>
              <w:bottom w:val="nil"/>
              <w:right w:val="nil"/>
            </w:tcBorders>
            <w:shd w:val="clear" w:color="auto" w:fill="auto"/>
            <w:vAlign w:val="center"/>
            <w:hideMark/>
          </w:tcPr>
          <w:p w14:paraId="22CB9E20"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81,539</w:t>
            </w:r>
          </w:p>
        </w:tc>
        <w:tc>
          <w:tcPr>
            <w:tcW w:w="993" w:type="dxa"/>
            <w:tcBorders>
              <w:top w:val="nil"/>
              <w:left w:val="nil"/>
              <w:bottom w:val="nil"/>
              <w:right w:val="nil"/>
            </w:tcBorders>
            <w:shd w:val="clear" w:color="000000" w:fill="E3F1F7"/>
            <w:vAlign w:val="center"/>
            <w:hideMark/>
          </w:tcPr>
          <w:p w14:paraId="787DE998" w14:textId="7777777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-0.7%</w:t>
            </w:r>
          </w:p>
        </w:tc>
        <w:tc>
          <w:tcPr>
            <w:tcW w:w="1134" w:type="dxa"/>
            <w:tcBorders>
              <w:top w:val="nil"/>
              <w:left w:val="nil"/>
              <w:bottom w:val="single" w:sz="8" w:space="0" w:color="auto"/>
              <w:right w:val="nil"/>
            </w:tcBorders>
            <w:shd w:val="clear" w:color="auto" w:fill="auto"/>
            <w:vAlign w:val="center"/>
            <w:hideMark/>
          </w:tcPr>
          <w:p w14:paraId="1177605C"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20,861</w:t>
            </w:r>
          </w:p>
        </w:tc>
        <w:tc>
          <w:tcPr>
            <w:tcW w:w="992" w:type="dxa"/>
            <w:tcBorders>
              <w:top w:val="nil"/>
              <w:left w:val="nil"/>
              <w:bottom w:val="single" w:sz="8" w:space="0" w:color="auto"/>
              <w:right w:val="nil"/>
            </w:tcBorders>
            <w:shd w:val="clear" w:color="auto" w:fill="auto"/>
            <w:vAlign w:val="center"/>
            <w:hideMark/>
          </w:tcPr>
          <w:p w14:paraId="2BB871BB" w14:textId="77777777" w:rsidR="000E40B7" w:rsidRPr="00E6316F" w:rsidRDefault="000E40B7" w:rsidP="000E40B7">
            <w:pPr>
              <w:pStyle w:val="P68B1DB1-Normal9"/>
              <w:spacing w:after="0" w:line="240" w:lineRule="auto"/>
              <w:jc w:val="center"/>
              <w:rPr>
                <w:rFonts w:asciiTheme="minorHAnsi" w:hAnsiTheme="minorHAnsi" w:cstheme="minorHAnsi"/>
                <w:lang w:val="en-GB"/>
              </w:rPr>
            </w:pPr>
            <w:r w:rsidRPr="00E6316F">
              <w:rPr>
                <w:rFonts w:asciiTheme="minorHAnsi" w:hAnsiTheme="minorHAnsi" w:cstheme="minorHAnsi"/>
                <w:lang w:val="en-GB"/>
              </w:rPr>
              <w:t>40,669</w:t>
            </w:r>
          </w:p>
        </w:tc>
        <w:tc>
          <w:tcPr>
            <w:tcW w:w="994" w:type="dxa"/>
            <w:tcBorders>
              <w:top w:val="nil"/>
              <w:left w:val="nil"/>
              <w:bottom w:val="single" w:sz="8" w:space="0" w:color="auto"/>
              <w:right w:val="nil"/>
            </w:tcBorders>
            <w:shd w:val="clear" w:color="000000" w:fill="E3F1F7"/>
            <w:vAlign w:val="center"/>
            <w:hideMark/>
          </w:tcPr>
          <w:p w14:paraId="5DEFD146" w14:textId="77777777" w:rsidR="000E40B7" w:rsidRPr="00E6316F" w:rsidRDefault="000E40B7" w:rsidP="000E40B7">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-48.7%</w:t>
            </w:r>
          </w:p>
        </w:tc>
      </w:tr>
      <w:tr w:rsidR="000E40B7" w:rsidRPr="008A6DE3" w14:paraId="6FC25EE1" w14:textId="77777777" w:rsidTr="00E6316F">
        <w:trPr>
          <w:trHeight w:val="315"/>
        </w:trPr>
        <w:tc>
          <w:tcPr>
            <w:tcW w:w="2835" w:type="dxa"/>
            <w:tcBorders>
              <w:top w:val="single" w:sz="8" w:space="0" w:color="auto"/>
              <w:left w:val="nil"/>
              <w:bottom w:val="single" w:sz="8" w:space="0" w:color="auto"/>
              <w:right w:val="nil"/>
            </w:tcBorders>
            <w:shd w:val="clear" w:color="auto" w:fill="auto"/>
            <w:vAlign w:val="center"/>
            <w:hideMark/>
          </w:tcPr>
          <w:p w14:paraId="27CBD477" w14:textId="77777777" w:rsidR="000E40B7" w:rsidRPr="008A6DE3" w:rsidRDefault="000E40B7" w:rsidP="000E40B7">
            <w:pPr>
              <w:pStyle w:val="P68B1DB1-Normal5"/>
              <w:spacing w:after="0" w:line="240" w:lineRule="auto"/>
              <w:rPr>
                <w:lang w:val="en-GB"/>
              </w:rPr>
            </w:pPr>
            <w:r w:rsidRPr="008A6DE3">
              <w:rPr>
                <w:lang w:val="en-GB"/>
              </w:rPr>
              <w:t xml:space="preserve"> </w:t>
            </w:r>
          </w:p>
        </w:tc>
        <w:tc>
          <w:tcPr>
            <w:tcW w:w="1134" w:type="dxa"/>
            <w:tcBorders>
              <w:top w:val="single" w:sz="8" w:space="0" w:color="auto"/>
              <w:left w:val="nil"/>
              <w:bottom w:val="single" w:sz="8" w:space="0" w:color="auto"/>
              <w:right w:val="nil"/>
            </w:tcBorders>
            <w:shd w:val="clear" w:color="auto" w:fill="auto"/>
            <w:vAlign w:val="center"/>
            <w:hideMark/>
          </w:tcPr>
          <w:p w14:paraId="51A2910D" w14:textId="6FB6B7B6" w:rsidR="000E40B7" w:rsidRPr="00E6316F" w:rsidRDefault="000E40B7" w:rsidP="006D74E9">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30</w:t>
            </w:r>
            <w:r w:rsidR="00F21283" w:rsidRPr="00E6316F">
              <w:rPr>
                <w:rFonts w:asciiTheme="minorHAnsi" w:hAnsiTheme="minorHAnsi" w:cstheme="minorHAnsi"/>
                <w:lang w:val="en-US"/>
              </w:rPr>
              <w:t>.</w:t>
            </w:r>
            <w:r w:rsidR="00F21283" w:rsidRPr="00E6316F">
              <w:rPr>
                <w:rFonts w:asciiTheme="minorHAnsi" w:hAnsiTheme="minorHAnsi" w:cstheme="minorHAnsi"/>
                <w:lang w:val="ru-RU"/>
              </w:rPr>
              <w:t>09.</w:t>
            </w:r>
            <w:r w:rsidRPr="00E6316F">
              <w:rPr>
                <w:rFonts w:asciiTheme="minorHAnsi" w:hAnsiTheme="minorHAnsi" w:cstheme="minorHAnsi"/>
                <w:lang w:val="en-GB"/>
              </w:rPr>
              <w:t>2023</w:t>
            </w:r>
          </w:p>
        </w:tc>
        <w:tc>
          <w:tcPr>
            <w:tcW w:w="1134" w:type="dxa"/>
            <w:tcBorders>
              <w:top w:val="single" w:sz="8" w:space="0" w:color="auto"/>
              <w:left w:val="nil"/>
              <w:bottom w:val="single" w:sz="8" w:space="0" w:color="auto"/>
              <w:right w:val="nil"/>
            </w:tcBorders>
            <w:shd w:val="clear" w:color="auto" w:fill="auto"/>
            <w:vAlign w:val="center"/>
            <w:hideMark/>
          </w:tcPr>
          <w:p w14:paraId="64A385EC" w14:textId="4FB2C19E" w:rsidR="000E40B7" w:rsidRPr="00E6316F" w:rsidRDefault="000E40B7" w:rsidP="006D74E9">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31</w:t>
            </w:r>
            <w:r w:rsidR="00F21283" w:rsidRPr="00E6316F">
              <w:rPr>
                <w:rFonts w:asciiTheme="minorHAnsi" w:hAnsiTheme="minorHAnsi" w:cstheme="minorHAnsi"/>
                <w:lang w:val="ru-RU"/>
              </w:rPr>
              <w:t>.12.</w:t>
            </w:r>
            <w:r w:rsidRPr="00E6316F">
              <w:rPr>
                <w:rFonts w:asciiTheme="minorHAnsi" w:hAnsiTheme="minorHAnsi" w:cstheme="minorHAnsi"/>
                <w:lang w:val="en-GB"/>
              </w:rPr>
              <w:t>2022</w:t>
            </w:r>
          </w:p>
        </w:tc>
        <w:tc>
          <w:tcPr>
            <w:tcW w:w="993" w:type="dxa"/>
            <w:tcBorders>
              <w:top w:val="single" w:sz="8" w:space="0" w:color="auto"/>
              <w:left w:val="nil"/>
              <w:bottom w:val="single" w:sz="8" w:space="0" w:color="auto"/>
              <w:right w:val="nil"/>
            </w:tcBorders>
            <w:shd w:val="clear" w:color="000000" w:fill="E3F1F7"/>
            <w:vAlign w:val="center"/>
            <w:hideMark/>
          </w:tcPr>
          <w:p w14:paraId="7055A5A5" w14:textId="77777777" w:rsidR="000E40B7" w:rsidRPr="00E6316F" w:rsidRDefault="000E40B7" w:rsidP="000E40B7">
            <w:pPr>
              <w:pStyle w:val="P68B1DB1-Normal12"/>
              <w:spacing w:after="0" w:line="240" w:lineRule="auto"/>
              <w:rPr>
                <w:rFonts w:asciiTheme="minorHAnsi" w:hAnsiTheme="minorHAnsi" w:cstheme="minorHAnsi"/>
                <w:lang w:val="en-GB"/>
              </w:rPr>
            </w:pPr>
            <w:r w:rsidRPr="00E6316F">
              <w:rPr>
                <w:rFonts w:asciiTheme="minorHAnsi" w:hAnsiTheme="minorHAnsi" w:cstheme="minorHAnsi"/>
                <w:lang w:val="en-GB"/>
              </w:rPr>
              <w:t> </w:t>
            </w:r>
          </w:p>
        </w:tc>
        <w:tc>
          <w:tcPr>
            <w:tcW w:w="1134" w:type="dxa"/>
            <w:tcBorders>
              <w:top w:val="nil"/>
              <w:left w:val="nil"/>
              <w:bottom w:val="single" w:sz="8" w:space="0" w:color="auto"/>
              <w:right w:val="nil"/>
            </w:tcBorders>
            <w:shd w:val="clear" w:color="auto" w:fill="auto"/>
            <w:noWrap/>
            <w:vAlign w:val="bottom"/>
            <w:hideMark/>
          </w:tcPr>
          <w:p w14:paraId="20C08EE6" w14:textId="77777777" w:rsidR="000E40B7" w:rsidRPr="00E6316F" w:rsidRDefault="000E40B7" w:rsidP="000E40B7">
            <w:pPr>
              <w:pStyle w:val="P68B1DB1-Normal13"/>
              <w:spacing w:after="0" w:line="240" w:lineRule="auto"/>
              <w:rPr>
                <w:rFonts w:asciiTheme="minorHAnsi" w:hAnsiTheme="minorHAnsi" w:cstheme="minorHAnsi"/>
                <w:lang w:val="en-GB"/>
              </w:rPr>
            </w:pPr>
            <w:r w:rsidRPr="00E6316F">
              <w:rPr>
                <w:rFonts w:asciiTheme="minorHAnsi" w:hAnsiTheme="minorHAnsi" w:cstheme="minorHAnsi"/>
                <w:lang w:val="en-GB"/>
              </w:rPr>
              <w:t> </w:t>
            </w:r>
          </w:p>
        </w:tc>
        <w:tc>
          <w:tcPr>
            <w:tcW w:w="992" w:type="dxa"/>
            <w:tcBorders>
              <w:top w:val="nil"/>
              <w:left w:val="nil"/>
              <w:bottom w:val="single" w:sz="8" w:space="0" w:color="auto"/>
              <w:right w:val="nil"/>
            </w:tcBorders>
            <w:shd w:val="clear" w:color="auto" w:fill="auto"/>
            <w:noWrap/>
            <w:vAlign w:val="bottom"/>
            <w:hideMark/>
          </w:tcPr>
          <w:p w14:paraId="1636CCDF" w14:textId="77777777" w:rsidR="000E40B7" w:rsidRPr="00E6316F" w:rsidRDefault="000E40B7" w:rsidP="000E40B7">
            <w:pPr>
              <w:pStyle w:val="P68B1DB1-Normal13"/>
              <w:spacing w:after="0" w:line="240" w:lineRule="auto"/>
              <w:rPr>
                <w:rFonts w:asciiTheme="minorHAnsi" w:hAnsiTheme="minorHAnsi" w:cstheme="minorHAnsi"/>
                <w:lang w:val="en-GB"/>
              </w:rPr>
            </w:pPr>
            <w:r w:rsidRPr="00E6316F">
              <w:rPr>
                <w:rFonts w:asciiTheme="minorHAnsi" w:hAnsiTheme="minorHAnsi" w:cstheme="minorHAnsi"/>
                <w:lang w:val="en-GB"/>
              </w:rPr>
              <w:t> </w:t>
            </w:r>
          </w:p>
        </w:tc>
        <w:tc>
          <w:tcPr>
            <w:tcW w:w="994" w:type="dxa"/>
            <w:tcBorders>
              <w:top w:val="nil"/>
              <w:left w:val="nil"/>
              <w:bottom w:val="single" w:sz="8" w:space="0" w:color="auto"/>
              <w:right w:val="nil"/>
            </w:tcBorders>
            <w:shd w:val="clear" w:color="auto" w:fill="auto"/>
            <w:noWrap/>
            <w:vAlign w:val="bottom"/>
            <w:hideMark/>
          </w:tcPr>
          <w:p w14:paraId="4F5E4D25" w14:textId="77777777" w:rsidR="000E40B7" w:rsidRPr="00E6316F" w:rsidRDefault="000E40B7" w:rsidP="000E40B7">
            <w:pPr>
              <w:pStyle w:val="P68B1DB1-Normal13"/>
              <w:spacing w:after="0" w:line="240" w:lineRule="auto"/>
              <w:rPr>
                <w:rFonts w:asciiTheme="minorHAnsi" w:hAnsiTheme="minorHAnsi" w:cstheme="minorHAnsi"/>
                <w:lang w:val="en-GB"/>
              </w:rPr>
            </w:pPr>
            <w:r w:rsidRPr="00E6316F">
              <w:rPr>
                <w:rFonts w:asciiTheme="minorHAnsi" w:hAnsiTheme="minorHAnsi" w:cstheme="minorHAnsi"/>
                <w:lang w:val="en-GB"/>
              </w:rPr>
              <w:t> </w:t>
            </w:r>
          </w:p>
        </w:tc>
      </w:tr>
      <w:tr w:rsidR="000E40B7" w:rsidRPr="008A6DE3" w14:paraId="78C3FE16" w14:textId="77777777" w:rsidTr="00E6316F">
        <w:trPr>
          <w:trHeight w:val="300"/>
        </w:trPr>
        <w:tc>
          <w:tcPr>
            <w:tcW w:w="2835" w:type="dxa"/>
            <w:tcBorders>
              <w:top w:val="nil"/>
              <w:left w:val="nil"/>
              <w:bottom w:val="nil"/>
              <w:right w:val="nil"/>
            </w:tcBorders>
            <w:shd w:val="clear" w:color="auto" w:fill="auto"/>
            <w:vAlign w:val="center"/>
            <w:hideMark/>
          </w:tcPr>
          <w:p w14:paraId="0EBEC0CC" w14:textId="77777777" w:rsidR="000E40B7" w:rsidRPr="008A6DE3" w:rsidRDefault="000E40B7" w:rsidP="000E40B7">
            <w:pPr>
              <w:pStyle w:val="P68B1DB1-Normal8"/>
              <w:spacing w:after="0" w:line="240" w:lineRule="auto"/>
              <w:rPr>
                <w:lang w:val="en-GB"/>
              </w:rPr>
            </w:pPr>
            <w:r w:rsidRPr="008A6DE3">
              <w:rPr>
                <w:lang w:val="en-GB"/>
              </w:rPr>
              <w:lastRenderedPageBreak/>
              <w:t>Net debt</w:t>
            </w:r>
          </w:p>
        </w:tc>
        <w:tc>
          <w:tcPr>
            <w:tcW w:w="1134" w:type="dxa"/>
            <w:tcBorders>
              <w:top w:val="nil"/>
              <w:left w:val="nil"/>
              <w:bottom w:val="nil"/>
              <w:right w:val="nil"/>
            </w:tcBorders>
            <w:shd w:val="clear" w:color="auto" w:fill="auto"/>
            <w:vAlign w:val="center"/>
            <w:hideMark/>
          </w:tcPr>
          <w:p w14:paraId="46F70A88" w14:textId="17BAB805" w:rsidR="000E40B7" w:rsidRPr="00E6316F" w:rsidRDefault="000E40B7" w:rsidP="006D74E9">
            <w:pPr>
              <w:pStyle w:val="P68B1DB1-Normal9"/>
              <w:spacing w:after="0" w:line="240" w:lineRule="auto"/>
              <w:jc w:val="center"/>
              <w:rPr>
                <w:rFonts w:ascii="Calibri" w:hAnsi="Calibri" w:cs="Calibri"/>
                <w:lang w:val="ru-RU"/>
              </w:rPr>
            </w:pPr>
            <w:r w:rsidRPr="00E6316F">
              <w:rPr>
                <w:rFonts w:ascii="Calibri" w:hAnsi="Calibri" w:cs="Calibri"/>
                <w:lang w:val="en-GB"/>
              </w:rPr>
              <w:t>227,85</w:t>
            </w:r>
            <w:r w:rsidR="00F21283" w:rsidRPr="00E6316F">
              <w:rPr>
                <w:rFonts w:ascii="Calibri" w:hAnsi="Calibri" w:cs="Calibri"/>
                <w:lang w:val="ru-RU"/>
              </w:rPr>
              <w:t>3</w:t>
            </w:r>
          </w:p>
        </w:tc>
        <w:tc>
          <w:tcPr>
            <w:tcW w:w="1134" w:type="dxa"/>
            <w:tcBorders>
              <w:top w:val="nil"/>
              <w:left w:val="nil"/>
              <w:bottom w:val="nil"/>
              <w:right w:val="nil"/>
            </w:tcBorders>
            <w:shd w:val="clear" w:color="auto" w:fill="auto"/>
            <w:vAlign w:val="center"/>
            <w:hideMark/>
          </w:tcPr>
          <w:p w14:paraId="0E5BD4A2" w14:textId="77777777" w:rsidR="000E40B7" w:rsidRPr="00E6316F" w:rsidRDefault="000E40B7" w:rsidP="000E40B7">
            <w:pPr>
              <w:pStyle w:val="P68B1DB1-Normal9"/>
              <w:spacing w:after="0" w:line="240" w:lineRule="auto"/>
              <w:jc w:val="center"/>
              <w:rPr>
                <w:rFonts w:ascii="Calibri" w:hAnsi="Calibri" w:cs="Calibri"/>
                <w:lang w:val="en-GB"/>
              </w:rPr>
            </w:pPr>
            <w:r w:rsidRPr="00E6316F">
              <w:rPr>
                <w:rFonts w:ascii="Calibri" w:hAnsi="Calibri" w:cs="Calibri"/>
                <w:lang w:val="en-GB"/>
              </w:rPr>
              <w:t>180,338</w:t>
            </w:r>
          </w:p>
        </w:tc>
        <w:tc>
          <w:tcPr>
            <w:tcW w:w="993" w:type="dxa"/>
            <w:tcBorders>
              <w:top w:val="nil"/>
              <w:left w:val="nil"/>
              <w:bottom w:val="nil"/>
              <w:right w:val="nil"/>
            </w:tcBorders>
            <w:shd w:val="clear" w:color="000000" w:fill="E3F1F7"/>
            <w:vAlign w:val="center"/>
            <w:hideMark/>
          </w:tcPr>
          <w:p w14:paraId="73F8FA6E" w14:textId="77777777" w:rsidR="000E40B7" w:rsidRPr="006D74E9" w:rsidRDefault="000E40B7" w:rsidP="000E40B7">
            <w:pPr>
              <w:pStyle w:val="P68B1DB1-Normal12"/>
              <w:spacing w:after="0" w:line="240" w:lineRule="auto"/>
              <w:rPr>
                <w:lang w:val="en-GB"/>
              </w:rPr>
            </w:pPr>
            <w:r w:rsidRPr="006D74E9">
              <w:rPr>
                <w:lang w:val="en-GB"/>
              </w:rPr>
              <w:t> </w:t>
            </w:r>
          </w:p>
        </w:tc>
        <w:tc>
          <w:tcPr>
            <w:tcW w:w="1134" w:type="dxa"/>
            <w:tcBorders>
              <w:top w:val="nil"/>
              <w:left w:val="nil"/>
              <w:bottom w:val="nil"/>
              <w:right w:val="nil"/>
            </w:tcBorders>
            <w:shd w:val="clear" w:color="auto" w:fill="auto"/>
            <w:noWrap/>
            <w:vAlign w:val="bottom"/>
            <w:hideMark/>
          </w:tcPr>
          <w:p w14:paraId="31AC34EA" w14:textId="77777777" w:rsidR="000E40B7" w:rsidRPr="008A6DE3" w:rsidRDefault="000E40B7" w:rsidP="000E40B7">
            <w:pPr>
              <w:spacing w:after="0" w:line="240" w:lineRule="auto"/>
              <w:rPr>
                <w:rFonts w:eastAsia="Times New Roman" w:cs="Calibri"/>
                <w:color w:val="000000"/>
                <w:sz w:val="18"/>
              </w:rPr>
            </w:pPr>
          </w:p>
        </w:tc>
        <w:tc>
          <w:tcPr>
            <w:tcW w:w="992" w:type="dxa"/>
            <w:tcBorders>
              <w:top w:val="nil"/>
              <w:left w:val="nil"/>
              <w:bottom w:val="nil"/>
              <w:right w:val="nil"/>
            </w:tcBorders>
            <w:shd w:val="clear" w:color="auto" w:fill="auto"/>
            <w:noWrap/>
            <w:vAlign w:val="bottom"/>
            <w:hideMark/>
          </w:tcPr>
          <w:p w14:paraId="3676BE83" w14:textId="77777777" w:rsidR="000E40B7" w:rsidRPr="008A6DE3" w:rsidRDefault="000E40B7" w:rsidP="000E40B7">
            <w:pPr>
              <w:spacing w:after="0" w:line="240" w:lineRule="auto"/>
              <w:rPr>
                <w:rFonts w:ascii="Times New Roman" w:eastAsia="Times New Roman" w:hAnsi="Times New Roman"/>
                <w:sz w:val="20"/>
              </w:rPr>
            </w:pPr>
          </w:p>
        </w:tc>
        <w:tc>
          <w:tcPr>
            <w:tcW w:w="994" w:type="dxa"/>
            <w:tcBorders>
              <w:top w:val="nil"/>
              <w:left w:val="nil"/>
              <w:bottom w:val="nil"/>
              <w:right w:val="nil"/>
            </w:tcBorders>
            <w:shd w:val="clear" w:color="auto" w:fill="auto"/>
            <w:noWrap/>
            <w:vAlign w:val="bottom"/>
            <w:hideMark/>
          </w:tcPr>
          <w:p w14:paraId="047788B3" w14:textId="77777777" w:rsidR="000E40B7" w:rsidRPr="008A6DE3" w:rsidRDefault="000E40B7" w:rsidP="000E40B7">
            <w:pPr>
              <w:spacing w:after="0" w:line="240" w:lineRule="auto"/>
              <w:rPr>
                <w:rFonts w:ascii="Times New Roman" w:eastAsia="Times New Roman" w:hAnsi="Times New Roman"/>
                <w:sz w:val="20"/>
              </w:rPr>
            </w:pPr>
          </w:p>
        </w:tc>
      </w:tr>
      <w:tr w:rsidR="000E40B7" w:rsidRPr="008A6DE3" w14:paraId="07D45181" w14:textId="77777777" w:rsidTr="00E6316F">
        <w:trPr>
          <w:trHeight w:val="315"/>
        </w:trPr>
        <w:tc>
          <w:tcPr>
            <w:tcW w:w="2835" w:type="dxa"/>
            <w:tcBorders>
              <w:top w:val="nil"/>
              <w:left w:val="nil"/>
              <w:bottom w:val="single" w:sz="8" w:space="0" w:color="auto"/>
              <w:right w:val="nil"/>
            </w:tcBorders>
            <w:shd w:val="clear" w:color="auto" w:fill="auto"/>
            <w:vAlign w:val="center"/>
            <w:hideMark/>
          </w:tcPr>
          <w:p w14:paraId="11F781A3" w14:textId="248F8240" w:rsidR="000E40B7" w:rsidRPr="008A6DE3" w:rsidRDefault="000E40B7" w:rsidP="000E40B7">
            <w:pPr>
              <w:pStyle w:val="P68B1DB1-Normal8"/>
              <w:spacing w:after="0" w:line="240" w:lineRule="auto"/>
              <w:rPr>
                <w:lang w:val="en-GB"/>
              </w:rPr>
            </w:pPr>
            <w:r w:rsidRPr="008A6DE3">
              <w:rPr>
                <w:lang w:val="en-GB"/>
              </w:rPr>
              <w:t>ND/</w:t>
            </w:r>
            <w:r w:rsidR="00A5582A">
              <w:rPr>
                <w:lang w:val="en-GB"/>
              </w:rPr>
              <w:t xml:space="preserve">adj. </w:t>
            </w:r>
            <w:r w:rsidRPr="008A6DE3">
              <w:rPr>
                <w:lang w:val="en-GB"/>
              </w:rPr>
              <w:t>LTM EBITDA</w:t>
            </w:r>
          </w:p>
        </w:tc>
        <w:tc>
          <w:tcPr>
            <w:tcW w:w="1134" w:type="dxa"/>
            <w:tcBorders>
              <w:top w:val="nil"/>
              <w:left w:val="nil"/>
              <w:bottom w:val="single" w:sz="8" w:space="0" w:color="auto"/>
              <w:right w:val="nil"/>
            </w:tcBorders>
            <w:shd w:val="clear" w:color="auto" w:fill="auto"/>
            <w:vAlign w:val="center"/>
            <w:hideMark/>
          </w:tcPr>
          <w:p w14:paraId="5F35166A" w14:textId="713267B0" w:rsidR="000E40B7" w:rsidRPr="00E6316F" w:rsidRDefault="000E40B7" w:rsidP="006D74E9">
            <w:pPr>
              <w:pStyle w:val="P68B1DB1-Normal9"/>
              <w:spacing w:after="0" w:line="240" w:lineRule="auto"/>
              <w:jc w:val="center"/>
              <w:rPr>
                <w:rFonts w:ascii="Calibri" w:hAnsi="Calibri" w:cs="Calibri"/>
                <w:lang w:val="en-GB"/>
              </w:rPr>
            </w:pPr>
            <w:r w:rsidRPr="00E6316F">
              <w:rPr>
                <w:rFonts w:ascii="Calibri" w:hAnsi="Calibri" w:cs="Calibri"/>
                <w:lang w:val="en-GB"/>
              </w:rPr>
              <w:t>1.</w:t>
            </w:r>
            <w:r w:rsidR="00A5582A" w:rsidRPr="00E6316F">
              <w:rPr>
                <w:rFonts w:ascii="Calibri" w:hAnsi="Calibri" w:cs="Calibri"/>
                <w:lang w:val="en-GB"/>
              </w:rPr>
              <w:t>3</w:t>
            </w:r>
            <w:r w:rsidRPr="00E6316F">
              <w:rPr>
                <w:rFonts w:ascii="Calibri" w:hAnsi="Calibri" w:cs="Calibri"/>
                <w:lang w:val="en-GB"/>
              </w:rPr>
              <w:t>x</w:t>
            </w:r>
          </w:p>
        </w:tc>
        <w:tc>
          <w:tcPr>
            <w:tcW w:w="1134" w:type="dxa"/>
            <w:tcBorders>
              <w:top w:val="nil"/>
              <w:left w:val="nil"/>
              <w:bottom w:val="single" w:sz="8" w:space="0" w:color="auto"/>
              <w:right w:val="nil"/>
            </w:tcBorders>
            <w:shd w:val="clear" w:color="auto" w:fill="auto"/>
            <w:vAlign w:val="center"/>
            <w:hideMark/>
          </w:tcPr>
          <w:p w14:paraId="12A9D64C" w14:textId="77777777" w:rsidR="000E40B7" w:rsidRPr="00E6316F" w:rsidRDefault="000E40B7" w:rsidP="000E40B7">
            <w:pPr>
              <w:pStyle w:val="P68B1DB1-Normal9"/>
              <w:spacing w:after="0" w:line="240" w:lineRule="auto"/>
              <w:jc w:val="center"/>
              <w:rPr>
                <w:rFonts w:ascii="Calibri" w:hAnsi="Calibri" w:cs="Calibri"/>
                <w:lang w:val="en-GB"/>
              </w:rPr>
            </w:pPr>
            <w:r w:rsidRPr="00E6316F">
              <w:rPr>
                <w:rFonts w:ascii="Calibri" w:hAnsi="Calibri" w:cs="Calibri"/>
                <w:lang w:val="en-GB"/>
              </w:rPr>
              <w:t>0.7x</w:t>
            </w:r>
          </w:p>
        </w:tc>
        <w:tc>
          <w:tcPr>
            <w:tcW w:w="993" w:type="dxa"/>
            <w:tcBorders>
              <w:top w:val="nil"/>
              <w:left w:val="nil"/>
              <w:bottom w:val="single" w:sz="8" w:space="0" w:color="auto"/>
              <w:right w:val="nil"/>
            </w:tcBorders>
            <w:shd w:val="clear" w:color="000000" w:fill="E3F1F7"/>
            <w:vAlign w:val="center"/>
            <w:hideMark/>
          </w:tcPr>
          <w:p w14:paraId="188EE9C5" w14:textId="77777777" w:rsidR="000E40B7" w:rsidRPr="006D74E9" w:rsidRDefault="000E40B7" w:rsidP="000E40B7">
            <w:pPr>
              <w:pStyle w:val="P68B1DB1-Normal12"/>
              <w:spacing w:after="0" w:line="240" w:lineRule="auto"/>
              <w:rPr>
                <w:lang w:val="en-GB"/>
              </w:rPr>
            </w:pPr>
            <w:r w:rsidRPr="006D74E9">
              <w:rPr>
                <w:lang w:val="en-GB"/>
              </w:rPr>
              <w:t> </w:t>
            </w:r>
          </w:p>
        </w:tc>
        <w:tc>
          <w:tcPr>
            <w:tcW w:w="1134" w:type="dxa"/>
            <w:tcBorders>
              <w:top w:val="nil"/>
              <w:left w:val="nil"/>
              <w:bottom w:val="single" w:sz="8" w:space="0" w:color="auto"/>
              <w:right w:val="nil"/>
            </w:tcBorders>
            <w:shd w:val="clear" w:color="auto" w:fill="auto"/>
            <w:noWrap/>
            <w:vAlign w:val="bottom"/>
            <w:hideMark/>
          </w:tcPr>
          <w:p w14:paraId="3DAADAF8" w14:textId="77777777" w:rsidR="000E40B7" w:rsidRPr="008A6DE3" w:rsidRDefault="000E40B7" w:rsidP="000E40B7">
            <w:pPr>
              <w:pStyle w:val="P68B1DB1-Normal13"/>
              <w:spacing w:after="0" w:line="240" w:lineRule="auto"/>
              <w:rPr>
                <w:lang w:val="en-GB"/>
              </w:rPr>
            </w:pPr>
            <w:r w:rsidRPr="008A6DE3">
              <w:rPr>
                <w:lang w:val="en-GB"/>
              </w:rPr>
              <w:t> </w:t>
            </w:r>
          </w:p>
        </w:tc>
        <w:tc>
          <w:tcPr>
            <w:tcW w:w="992" w:type="dxa"/>
            <w:tcBorders>
              <w:top w:val="nil"/>
              <w:left w:val="nil"/>
              <w:bottom w:val="single" w:sz="8" w:space="0" w:color="auto"/>
              <w:right w:val="nil"/>
            </w:tcBorders>
            <w:shd w:val="clear" w:color="auto" w:fill="auto"/>
            <w:noWrap/>
            <w:vAlign w:val="bottom"/>
            <w:hideMark/>
          </w:tcPr>
          <w:p w14:paraId="5E9F42F8" w14:textId="77777777" w:rsidR="000E40B7" w:rsidRPr="008A6DE3" w:rsidRDefault="000E40B7" w:rsidP="000E40B7">
            <w:pPr>
              <w:pStyle w:val="P68B1DB1-Normal13"/>
              <w:spacing w:after="0" w:line="240" w:lineRule="auto"/>
              <w:rPr>
                <w:lang w:val="en-GB"/>
              </w:rPr>
            </w:pPr>
            <w:r w:rsidRPr="008A6DE3">
              <w:rPr>
                <w:lang w:val="en-GB"/>
              </w:rPr>
              <w:t> </w:t>
            </w:r>
          </w:p>
        </w:tc>
        <w:tc>
          <w:tcPr>
            <w:tcW w:w="994" w:type="dxa"/>
            <w:tcBorders>
              <w:top w:val="nil"/>
              <w:left w:val="nil"/>
              <w:bottom w:val="single" w:sz="8" w:space="0" w:color="auto"/>
              <w:right w:val="nil"/>
            </w:tcBorders>
            <w:shd w:val="clear" w:color="auto" w:fill="auto"/>
            <w:noWrap/>
            <w:vAlign w:val="bottom"/>
            <w:hideMark/>
          </w:tcPr>
          <w:p w14:paraId="1ED90CFF" w14:textId="77777777" w:rsidR="000E40B7" w:rsidRPr="008A6DE3" w:rsidRDefault="000E40B7" w:rsidP="000E40B7">
            <w:pPr>
              <w:pStyle w:val="P68B1DB1-Normal13"/>
              <w:spacing w:after="0" w:line="240" w:lineRule="auto"/>
              <w:rPr>
                <w:lang w:val="en-GB"/>
              </w:rPr>
            </w:pPr>
            <w:r w:rsidRPr="008A6DE3">
              <w:rPr>
                <w:lang w:val="en-GB"/>
              </w:rPr>
              <w:t> </w:t>
            </w:r>
          </w:p>
        </w:tc>
      </w:tr>
    </w:tbl>
    <w:p w14:paraId="7747848C" w14:textId="77777777" w:rsidR="00CD054C" w:rsidRPr="008A6DE3" w:rsidRDefault="00CD054C" w:rsidP="00CD054C">
      <w:pPr>
        <w:pStyle w:val="aa"/>
        <w:tabs>
          <w:tab w:val="clear" w:pos="9026"/>
          <w:tab w:val="right" w:pos="8789"/>
        </w:tabs>
        <w:rPr>
          <w:rFonts w:asciiTheme="minorHAnsi" w:hAnsiTheme="minorHAnsi" w:cstheme="minorHAnsi"/>
          <w:i/>
          <w:sz w:val="18"/>
          <w:lang w:val="en-GB"/>
        </w:rPr>
      </w:pPr>
    </w:p>
    <w:tbl>
      <w:tblPr>
        <w:tblW w:w="9214" w:type="dxa"/>
        <w:tblLook w:val="04A0" w:firstRow="1" w:lastRow="0" w:firstColumn="1" w:lastColumn="0" w:noHBand="0" w:noVBand="1"/>
      </w:tblPr>
      <w:tblGrid>
        <w:gridCol w:w="2835"/>
        <w:gridCol w:w="1134"/>
        <w:gridCol w:w="1134"/>
        <w:gridCol w:w="993"/>
        <w:gridCol w:w="1134"/>
        <w:gridCol w:w="992"/>
        <w:gridCol w:w="992"/>
      </w:tblGrid>
      <w:tr w:rsidR="00CD054C" w:rsidRPr="008A6DE3" w14:paraId="6F4FE10F" w14:textId="77777777" w:rsidTr="007200AB">
        <w:trPr>
          <w:trHeight w:val="330"/>
        </w:trPr>
        <w:tc>
          <w:tcPr>
            <w:tcW w:w="9214" w:type="dxa"/>
            <w:gridSpan w:val="7"/>
            <w:tcBorders>
              <w:top w:val="nil"/>
              <w:left w:val="nil"/>
              <w:bottom w:val="single" w:sz="8" w:space="0" w:color="auto"/>
              <w:right w:val="nil"/>
            </w:tcBorders>
            <w:shd w:val="clear" w:color="000000" w:fill="2B87A2"/>
            <w:vAlign w:val="center"/>
            <w:hideMark/>
          </w:tcPr>
          <w:p w14:paraId="0DB4E207" w14:textId="77777777" w:rsidR="00CD054C" w:rsidRPr="008A6DE3" w:rsidRDefault="00CD054C" w:rsidP="007200AB">
            <w:pPr>
              <w:pStyle w:val="P68B1DB1-Normal14"/>
              <w:spacing w:after="0" w:line="240" w:lineRule="auto"/>
              <w:jc w:val="center"/>
              <w:rPr>
                <w:lang w:val="en-GB"/>
              </w:rPr>
            </w:pPr>
            <w:r w:rsidRPr="008A6DE3">
              <w:rPr>
                <w:lang w:val="en-GB"/>
              </w:rPr>
              <w:t>Operating highlights</w:t>
            </w:r>
          </w:p>
        </w:tc>
      </w:tr>
      <w:tr w:rsidR="00CD054C" w:rsidRPr="008A6DE3" w14:paraId="70124D85" w14:textId="77777777" w:rsidTr="007200AB">
        <w:trPr>
          <w:trHeight w:val="345"/>
        </w:trPr>
        <w:tc>
          <w:tcPr>
            <w:tcW w:w="9214" w:type="dxa"/>
            <w:gridSpan w:val="7"/>
            <w:tcBorders>
              <w:top w:val="single" w:sz="8" w:space="0" w:color="auto"/>
              <w:left w:val="nil"/>
              <w:bottom w:val="single" w:sz="8" w:space="0" w:color="auto"/>
              <w:right w:val="nil"/>
            </w:tcBorders>
            <w:shd w:val="clear" w:color="000000" w:fill="2B87A2"/>
            <w:vAlign w:val="center"/>
            <w:hideMark/>
          </w:tcPr>
          <w:p w14:paraId="6679F754" w14:textId="77777777" w:rsidR="00CD054C" w:rsidRPr="008A6DE3" w:rsidRDefault="00CD054C" w:rsidP="007200AB">
            <w:pPr>
              <w:pStyle w:val="P68B1DB1-Normal15"/>
              <w:spacing w:after="0" w:line="240" w:lineRule="auto"/>
              <w:jc w:val="center"/>
              <w:rPr>
                <w:lang w:val="en-GB"/>
              </w:rPr>
            </w:pPr>
            <w:r w:rsidRPr="008A6DE3">
              <w:rPr>
                <w:lang w:val="en-GB"/>
              </w:rPr>
              <w:t>Production volumes by category</w:t>
            </w:r>
          </w:p>
        </w:tc>
      </w:tr>
      <w:tr w:rsidR="00CD054C" w:rsidRPr="008A6DE3" w14:paraId="3B2C0456" w14:textId="77777777" w:rsidTr="00E6316F">
        <w:trPr>
          <w:trHeight w:val="540"/>
        </w:trPr>
        <w:tc>
          <w:tcPr>
            <w:tcW w:w="2835" w:type="dxa"/>
            <w:tcBorders>
              <w:top w:val="nil"/>
              <w:left w:val="nil"/>
              <w:bottom w:val="nil"/>
              <w:right w:val="nil"/>
            </w:tcBorders>
            <w:shd w:val="clear" w:color="auto" w:fill="auto"/>
            <w:vAlign w:val="center"/>
            <w:hideMark/>
          </w:tcPr>
          <w:p w14:paraId="0934D8C3" w14:textId="77777777" w:rsidR="00CD054C" w:rsidRPr="008A6DE3" w:rsidRDefault="00CD054C" w:rsidP="007200AB">
            <w:pPr>
              <w:pStyle w:val="P68B1DB1-Normal5"/>
              <w:spacing w:after="0" w:line="240" w:lineRule="auto"/>
              <w:rPr>
                <w:lang w:val="en-GB"/>
              </w:rPr>
            </w:pPr>
            <w:proofErr w:type="spellStart"/>
            <w:r w:rsidRPr="008A6DE3">
              <w:rPr>
                <w:lang w:val="en-GB"/>
              </w:rPr>
              <w:t>kt</w:t>
            </w:r>
            <w:proofErr w:type="spellEnd"/>
          </w:p>
        </w:tc>
        <w:tc>
          <w:tcPr>
            <w:tcW w:w="1134" w:type="dxa"/>
            <w:tcBorders>
              <w:top w:val="nil"/>
              <w:left w:val="nil"/>
              <w:bottom w:val="nil"/>
              <w:right w:val="nil"/>
            </w:tcBorders>
            <w:shd w:val="clear" w:color="auto" w:fill="auto"/>
            <w:vAlign w:val="center"/>
            <w:hideMark/>
          </w:tcPr>
          <w:p w14:paraId="4B6C6477"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9M 2023</w:t>
            </w:r>
          </w:p>
        </w:tc>
        <w:tc>
          <w:tcPr>
            <w:tcW w:w="1134" w:type="dxa"/>
            <w:tcBorders>
              <w:top w:val="nil"/>
              <w:left w:val="nil"/>
              <w:bottom w:val="nil"/>
              <w:right w:val="nil"/>
            </w:tcBorders>
            <w:shd w:val="clear" w:color="auto" w:fill="auto"/>
            <w:vAlign w:val="center"/>
            <w:hideMark/>
          </w:tcPr>
          <w:p w14:paraId="185708D7"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9M 2022</w:t>
            </w:r>
          </w:p>
        </w:tc>
        <w:tc>
          <w:tcPr>
            <w:tcW w:w="993" w:type="dxa"/>
            <w:tcBorders>
              <w:top w:val="nil"/>
              <w:left w:val="nil"/>
              <w:bottom w:val="nil"/>
              <w:right w:val="nil"/>
            </w:tcBorders>
            <w:shd w:val="clear" w:color="000000" w:fill="E3F1F7"/>
            <w:vAlign w:val="center"/>
            <w:hideMark/>
          </w:tcPr>
          <w:p w14:paraId="5DFAF140" w14:textId="59E935E4" w:rsidR="00CD054C" w:rsidRPr="00E6316F" w:rsidRDefault="00CD054C">
            <w:pPr>
              <w:pStyle w:val="P68B1DB1-Normal7"/>
              <w:spacing w:after="0" w:line="240" w:lineRule="auto"/>
              <w:jc w:val="center"/>
              <w:rPr>
                <w:rFonts w:asciiTheme="minorHAnsi" w:hAnsiTheme="minorHAnsi" w:cstheme="minorHAnsi"/>
                <w:lang w:val="en-GB"/>
              </w:rPr>
            </w:pPr>
            <w:r w:rsidRPr="00E6316F">
              <w:rPr>
                <w:rFonts w:asciiTheme="minorHAnsi" w:hAnsiTheme="minorHAnsi" w:cstheme="minorHAnsi"/>
                <w:lang w:val="en-GB"/>
              </w:rPr>
              <w:t>Change %</w:t>
            </w:r>
          </w:p>
        </w:tc>
        <w:tc>
          <w:tcPr>
            <w:tcW w:w="1134" w:type="dxa"/>
            <w:tcBorders>
              <w:top w:val="nil"/>
              <w:left w:val="nil"/>
              <w:bottom w:val="nil"/>
              <w:right w:val="nil"/>
            </w:tcBorders>
            <w:shd w:val="clear" w:color="auto" w:fill="auto"/>
            <w:vAlign w:val="center"/>
            <w:hideMark/>
          </w:tcPr>
          <w:p w14:paraId="7F061996"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3Q 2023</w:t>
            </w:r>
          </w:p>
        </w:tc>
        <w:tc>
          <w:tcPr>
            <w:tcW w:w="992" w:type="dxa"/>
            <w:tcBorders>
              <w:top w:val="nil"/>
              <w:left w:val="nil"/>
              <w:bottom w:val="nil"/>
              <w:right w:val="nil"/>
            </w:tcBorders>
            <w:shd w:val="clear" w:color="auto" w:fill="auto"/>
            <w:vAlign w:val="center"/>
            <w:hideMark/>
          </w:tcPr>
          <w:p w14:paraId="28107A91" w14:textId="77777777" w:rsidR="00CD054C" w:rsidRPr="00E6316F" w:rsidRDefault="00CD054C" w:rsidP="007200AB">
            <w:pPr>
              <w:pStyle w:val="P68B1DB1-Normal6"/>
              <w:spacing w:after="0" w:line="240" w:lineRule="auto"/>
              <w:jc w:val="center"/>
              <w:rPr>
                <w:rFonts w:asciiTheme="minorHAnsi" w:hAnsiTheme="minorHAnsi" w:cstheme="minorHAnsi"/>
                <w:lang w:val="en-GB"/>
              </w:rPr>
            </w:pPr>
            <w:r w:rsidRPr="00E6316F">
              <w:rPr>
                <w:rFonts w:asciiTheme="minorHAnsi" w:hAnsiTheme="minorHAnsi" w:cstheme="minorHAnsi"/>
                <w:lang w:val="en-GB"/>
              </w:rPr>
              <w:t>3Q 2022</w:t>
            </w:r>
          </w:p>
        </w:tc>
        <w:tc>
          <w:tcPr>
            <w:tcW w:w="992" w:type="dxa"/>
            <w:tcBorders>
              <w:top w:val="nil"/>
              <w:left w:val="nil"/>
              <w:bottom w:val="nil"/>
              <w:right w:val="nil"/>
            </w:tcBorders>
            <w:shd w:val="clear" w:color="000000" w:fill="E3F1F7"/>
            <w:vAlign w:val="center"/>
            <w:hideMark/>
          </w:tcPr>
          <w:p w14:paraId="1B3AD5E2" w14:textId="77777777" w:rsidR="00CD054C" w:rsidRPr="00E6316F" w:rsidRDefault="00CD054C" w:rsidP="007200AB">
            <w:pPr>
              <w:pStyle w:val="P68B1DB1-Normal7"/>
              <w:spacing w:after="0" w:line="240" w:lineRule="auto"/>
              <w:jc w:val="center"/>
              <w:rPr>
                <w:rFonts w:asciiTheme="minorHAnsi" w:hAnsiTheme="minorHAnsi" w:cstheme="minorHAnsi"/>
                <w:lang w:val="en-GB"/>
              </w:rPr>
            </w:pPr>
            <w:r w:rsidRPr="00E6316F">
              <w:rPr>
                <w:rFonts w:asciiTheme="minorHAnsi" w:hAnsiTheme="minorHAnsi" w:cstheme="minorHAnsi"/>
                <w:lang w:val="en-GB"/>
              </w:rPr>
              <w:t>Change %</w:t>
            </w:r>
          </w:p>
        </w:tc>
      </w:tr>
      <w:tr w:rsidR="00CD054C" w:rsidRPr="008A6DE3" w14:paraId="08CFF197" w14:textId="77777777" w:rsidTr="00E6316F">
        <w:trPr>
          <w:trHeight w:val="480"/>
        </w:trPr>
        <w:tc>
          <w:tcPr>
            <w:tcW w:w="2835" w:type="dxa"/>
            <w:tcBorders>
              <w:top w:val="nil"/>
              <w:left w:val="nil"/>
              <w:bottom w:val="nil"/>
              <w:right w:val="nil"/>
            </w:tcBorders>
            <w:shd w:val="clear" w:color="auto" w:fill="auto"/>
            <w:vAlign w:val="center"/>
            <w:hideMark/>
          </w:tcPr>
          <w:p w14:paraId="22AF2ACA" w14:textId="77777777" w:rsidR="00CD054C" w:rsidRPr="008A6DE3" w:rsidRDefault="00CD054C" w:rsidP="007200AB">
            <w:pPr>
              <w:pStyle w:val="P68B1DB1-Normal12"/>
              <w:spacing w:after="0" w:line="240" w:lineRule="auto"/>
              <w:rPr>
                <w:lang w:val="en-GB"/>
              </w:rPr>
            </w:pPr>
            <w:r w:rsidRPr="008A6DE3">
              <w:rPr>
                <w:lang w:val="en-GB"/>
              </w:rPr>
              <w:t>Phosphate-based fertilizers and feed phosphates</w:t>
            </w:r>
          </w:p>
        </w:tc>
        <w:tc>
          <w:tcPr>
            <w:tcW w:w="1134" w:type="dxa"/>
            <w:tcBorders>
              <w:top w:val="nil"/>
              <w:left w:val="nil"/>
              <w:bottom w:val="nil"/>
              <w:right w:val="nil"/>
            </w:tcBorders>
            <w:shd w:val="clear" w:color="auto" w:fill="auto"/>
            <w:vAlign w:val="center"/>
            <w:hideMark/>
          </w:tcPr>
          <w:p w14:paraId="35094F2A"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6,396.3</w:t>
            </w:r>
          </w:p>
        </w:tc>
        <w:tc>
          <w:tcPr>
            <w:tcW w:w="1134" w:type="dxa"/>
            <w:tcBorders>
              <w:top w:val="nil"/>
              <w:left w:val="nil"/>
              <w:bottom w:val="nil"/>
              <w:right w:val="nil"/>
            </w:tcBorders>
            <w:shd w:val="clear" w:color="auto" w:fill="auto"/>
            <w:vAlign w:val="center"/>
            <w:hideMark/>
          </w:tcPr>
          <w:p w14:paraId="412ED88C"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6,184.2</w:t>
            </w:r>
          </w:p>
        </w:tc>
        <w:tc>
          <w:tcPr>
            <w:tcW w:w="993" w:type="dxa"/>
            <w:tcBorders>
              <w:top w:val="nil"/>
              <w:left w:val="nil"/>
              <w:bottom w:val="nil"/>
              <w:right w:val="nil"/>
            </w:tcBorders>
            <w:shd w:val="clear" w:color="000000" w:fill="E3F1F7"/>
            <w:vAlign w:val="center"/>
            <w:hideMark/>
          </w:tcPr>
          <w:p w14:paraId="3D3647FA"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3.4%</w:t>
            </w:r>
          </w:p>
        </w:tc>
        <w:tc>
          <w:tcPr>
            <w:tcW w:w="1134" w:type="dxa"/>
            <w:tcBorders>
              <w:top w:val="nil"/>
              <w:left w:val="nil"/>
              <w:bottom w:val="nil"/>
              <w:right w:val="nil"/>
            </w:tcBorders>
            <w:shd w:val="clear" w:color="auto" w:fill="auto"/>
            <w:vAlign w:val="center"/>
            <w:hideMark/>
          </w:tcPr>
          <w:p w14:paraId="667428D8"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2,169.4</w:t>
            </w:r>
          </w:p>
        </w:tc>
        <w:tc>
          <w:tcPr>
            <w:tcW w:w="992" w:type="dxa"/>
            <w:tcBorders>
              <w:top w:val="nil"/>
              <w:left w:val="nil"/>
              <w:bottom w:val="nil"/>
              <w:right w:val="nil"/>
            </w:tcBorders>
            <w:shd w:val="clear" w:color="auto" w:fill="auto"/>
            <w:vAlign w:val="center"/>
            <w:hideMark/>
          </w:tcPr>
          <w:p w14:paraId="114FDD4F"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2,130.2</w:t>
            </w:r>
          </w:p>
        </w:tc>
        <w:tc>
          <w:tcPr>
            <w:tcW w:w="992" w:type="dxa"/>
            <w:tcBorders>
              <w:top w:val="nil"/>
              <w:left w:val="nil"/>
              <w:bottom w:val="nil"/>
              <w:right w:val="nil"/>
            </w:tcBorders>
            <w:shd w:val="clear" w:color="000000" w:fill="E3F1F7"/>
            <w:vAlign w:val="center"/>
            <w:hideMark/>
          </w:tcPr>
          <w:p w14:paraId="3FE9D653"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1.8%</w:t>
            </w:r>
          </w:p>
        </w:tc>
      </w:tr>
      <w:tr w:rsidR="00CD054C" w:rsidRPr="008A6DE3" w14:paraId="1B0C8CFD" w14:textId="77777777" w:rsidTr="00E6316F">
        <w:trPr>
          <w:trHeight w:val="300"/>
        </w:trPr>
        <w:tc>
          <w:tcPr>
            <w:tcW w:w="2835" w:type="dxa"/>
            <w:tcBorders>
              <w:top w:val="nil"/>
              <w:left w:val="nil"/>
              <w:bottom w:val="nil"/>
              <w:right w:val="nil"/>
            </w:tcBorders>
            <w:shd w:val="clear" w:color="auto" w:fill="auto"/>
            <w:vAlign w:val="center"/>
            <w:hideMark/>
          </w:tcPr>
          <w:p w14:paraId="2C73F39D" w14:textId="77777777" w:rsidR="00CD054C" w:rsidRPr="008A6DE3" w:rsidRDefault="00CD054C" w:rsidP="007200AB">
            <w:pPr>
              <w:pStyle w:val="P68B1DB1-Normal12"/>
              <w:spacing w:after="0" w:line="240" w:lineRule="auto"/>
              <w:rPr>
                <w:lang w:val="en-GB"/>
              </w:rPr>
            </w:pPr>
            <w:r w:rsidRPr="008A6DE3">
              <w:rPr>
                <w:lang w:val="en-GB"/>
              </w:rPr>
              <w:t>Nitrogen-based fertilizers</w:t>
            </w:r>
          </w:p>
        </w:tc>
        <w:tc>
          <w:tcPr>
            <w:tcW w:w="1134" w:type="dxa"/>
            <w:tcBorders>
              <w:top w:val="nil"/>
              <w:left w:val="nil"/>
              <w:bottom w:val="nil"/>
              <w:right w:val="nil"/>
            </w:tcBorders>
            <w:shd w:val="clear" w:color="auto" w:fill="auto"/>
            <w:vAlign w:val="center"/>
            <w:hideMark/>
          </w:tcPr>
          <w:p w14:paraId="7755ABFE"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1,959.1</w:t>
            </w:r>
          </w:p>
        </w:tc>
        <w:tc>
          <w:tcPr>
            <w:tcW w:w="1134" w:type="dxa"/>
            <w:tcBorders>
              <w:top w:val="nil"/>
              <w:left w:val="nil"/>
              <w:bottom w:val="nil"/>
              <w:right w:val="nil"/>
            </w:tcBorders>
            <w:shd w:val="clear" w:color="auto" w:fill="auto"/>
            <w:vAlign w:val="center"/>
            <w:hideMark/>
          </w:tcPr>
          <w:p w14:paraId="2CB426EF"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1,875.4</w:t>
            </w:r>
          </w:p>
        </w:tc>
        <w:tc>
          <w:tcPr>
            <w:tcW w:w="993" w:type="dxa"/>
            <w:tcBorders>
              <w:top w:val="nil"/>
              <w:left w:val="nil"/>
              <w:bottom w:val="nil"/>
              <w:right w:val="nil"/>
            </w:tcBorders>
            <w:shd w:val="clear" w:color="000000" w:fill="E3F1F7"/>
            <w:vAlign w:val="center"/>
            <w:hideMark/>
          </w:tcPr>
          <w:p w14:paraId="16467BD0"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4.5%</w:t>
            </w:r>
          </w:p>
        </w:tc>
        <w:tc>
          <w:tcPr>
            <w:tcW w:w="1134" w:type="dxa"/>
            <w:tcBorders>
              <w:top w:val="nil"/>
              <w:left w:val="nil"/>
              <w:bottom w:val="nil"/>
              <w:right w:val="nil"/>
            </w:tcBorders>
            <w:shd w:val="clear" w:color="auto" w:fill="auto"/>
            <w:vAlign w:val="center"/>
            <w:hideMark/>
          </w:tcPr>
          <w:p w14:paraId="29089E00"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640.2</w:t>
            </w:r>
          </w:p>
        </w:tc>
        <w:tc>
          <w:tcPr>
            <w:tcW w:w="992" w:type="dxa"/>
            <w:tcBorders>
              <w:top w:val="nil"/>
              <w:left w:val="nil"/>
              <w:bottom w:val="nil"/>
              <w:right w:val="nil"/>
            </w:tcBorders>
            <w:shd w:val="clear" w:color="auto" w:fill="auto"/>
            <w:vAlign w:val="center"/>
            <w:hideMark/>
          </w:tcPr>
          <w:p w14:paraId="4AA22BC2"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609.8</w:t>
            </w:r>
          </w:p>
        </w:tc>
        <w:tc>
          <w:tcPr>
            <w:tcW w:w="992" w:type="dxa"/>
            <w:tcBorders>
              <w:top w:val="nil"/>
              <w:left w:val="nil"/>
              <w:bottom w:val="nil"/>
              <w:right w:val="nil"/>
            </w:tcBorders>
            <w:shd w:val="clear" w:color="000000" w:fill="E3F1F7"/>
            <w:vAlign w:val="center"/>
            <w:hideMark/>
          </w:tcPr>
          <w:p w14:paraId="4A758F70"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5.0%</w:t>
            </w:r>
          </w:p>
        </w:tc>
      </w:tr>
      <w:tr w:rsidR="00CD054C" w:rsidRPr="008A6DE3" w14:paraId="0AAF6161" w14:textId="77777777" w:rsidTr="00E6316F">
        <w:trPr>
          <w:trHeight w:val="315"/>
        </w:trPr>
        <w:tc>
          <w:tcPr>
            <w:tcW w:w="2835" w:type="dxa"/>
            <w:tcBorders>
              <w:top w:val="nil"/>
              <w:left w:val="nil"/>
              <w:bottom w:val="single" w:sz="8" w:space="0" w:color="auto"/>
              <w:right w:val="nil"/>
            </w:tcBorders>
            <w:shd w:val="clear" w:color="auto" w:fill="auto"/>
            <w:vAlign w:val="center"/>
            <w:hideMark/>
          </w:tcPr>
          <w:p w14:paraId="4B897C75" w14:textId="77777777" w:rsidR="00CD054C" w:rsidRPr="008A6DE3" w:rsidRDefault="00CD054C" w:rsidP="007200AB">
            <w:pPr>
              <w:pStyle w:val="P68B1DB1-Normal12"/>
              <w:spacing w:after="0" w:line="240" w:lineRule="auto"/>
              <w:rPr>
                <w:lang w:val="en-GB"/>
              </w:rPr>
            </w:pPr>
            <w:r w:rsidRPr="008A6DE3">
              <w:rPr>
                <w:lang w:val="en-GB"/>
              </w:rPr>
              <w:t>Other products</w:t>
            </w:r>
          </w:p>
        </w:tc>
        <w:tc>
          <w:tcPr>
            <w:tcW w:w="1134" w:type="dxa"/>
            <w:tcBorders>
              <w:top w:val="nil"/>
              <w:left w:val="nil"/>
              <w:bottom w:val="single" w:sz="8" w:space="0" w:color="auto"/>
              <w:right w:val="nil"/>
            </w:tcBorders>
            <w:shd w:val="clear" w:color="auto" w:fill="auto"/>
            <w:vAlign w:val="center"/>
            <w:hideMark/>
          </w:tcPr>
          <w:p w14:paraId="74787755"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218.0</w:t>
            </w:r>
          </w:p>
        </w:tc>
        <w:tc>
          <w:tcPr>
            <w:tcW w:w="1134" w:type="dxa"/>
            <w:tcBorders>
              <w:top w:val="nil"/>
              <w:left w:val="nil"/>
              <w:bottom w:val="single" w:sz="8" w:space="0" w:color="auto"/>
              <w:right w:val="nil"/>
            </w:tcBorders>
            <w:shd w:val="clear" w:color="auto" w:fill="auto"/>
            <w:vAlign w:val="center"/>
            <w:hideMark/>
          </w:tcPr>
          <w:p w14:paraId="4C86E81F"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205.6</w:t>
            </w:r>
          </w:p>
        </w:tc>
        <w:tc>
          <w:tcPr>
            <w:tcW w:w="993" w:type="dxa"/>
            <w:tcBorders>
              <w:top w:val="nil"/>
              <w:left w:val="nil"/>
              <w:bottom w:val="single" w:sz="8" w:space="0" w:color="auto"/>
              <w:right w:val="nil"/>
            </w:tcBorders>
            <w:shd w:val="clear" w:color="000000" w:fill="E3F1F7"/>
            <w:vAlign w:val="center"/>
            <w:hideMark/>
          </w:tcPr>
          <w:p w14:paraId="6E83CAD8"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6.0%</w:t>
            </w:r>
          </w:p>
        </w:tc>
        <w:tc>
          <w:tcPr>
            <w:tcW w:w="1134" w:type="dxa"/>
            <w:tcBorders>
              <w:top w:val="nil"/>
              <w:left w:val="nil"/>
              <w:bottom w:val="single" w:sz="8" w:space="0" w:color="auto"/>
              <w:right w:val="nil"/>
            </w:tcBorders>
            <w:shd w:val="clear" w:color="auto" w:fill="auto"/>
            <w:vAlign w:val="center"/>
            <w:hideMark/>
          </w:tcPr>
          <w:p w14:paraId="5109BBA6"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79.2</w:t>
            </w:r>
          </w:p>
        </w:tc>
        <w:tc>
          <w:tcPr>
            <w:tcW w:w="992" w:type="dxa"/>
            <w:tcBorders>
              <w:top w:val="nil"/>
              <w:left w:val="nil"/>
              <w:bottom w:val="single" w:sz="8" w:space="0" w:color="auto"/>
              <w:right w:val="nil"/>
            </w:tcBorders>
            <w:shd w:val="clear" w:color="auto" w:fill="auto"/>
            <w:vAlign w:val="center"/>
            <w:hideMark/>
          </w:tcPr>
          <w:p w14:paraId="7D70C0D1" w14:textId="77777777" w:rsidR="00CD054C" w:rsidRPr="00E6316F" w:rsidRDefault="00CD054C" w:rsidP="007200AB">
            <w:pPr>
              <w:pStyle w:val="P68B1DB1-Normal12"/>
              <w:spacing w:after="0" w:line="240" w:lineRule="auto"/>
              <w:jc w:val="center"/>
              <w:rPr>
                <w:rFonts w:asciiTheme="minorHAnsi" w:hAnsiTheme="minorHAnsi" w:cstheme="minorHAnsi"/>
                <w:lang w:val="en-GB"/>
              </w:rPr>
            </w:pPr>
            <w:r w:rsidRPr="00E6316F">
              <w:rPr>
                <w:rFonts w:asciiTheme="minorHAnsi" w:hAnsiTheme="minorHAnsi" w:cstheme="minorHAnsi"/>
                <w:lang w:val="en-GB"/>
              </w:rPr>
              <w:t>74.9</w:t>
            </w:r>
          </w:p>
        </w:tc>
        <w:tc>
          <w:tcPr>
            <w:tcW w:w="992" w:type="dxa"/>
            <w:tcBorders>
              <w:top w:val="nil"/>
              <w:left w:val="nil"/>
              <w:bottom w:val="single" w:sz="8" w:space="0" w:color="auto"/>
              <w:right w:val="nil"/>
            </w:tcBorders>
            <w:shd w:val="clear" w:color="000000" w:fill="E3F1F7"/>
            <w:vAlign w:val="center"/>
            <w:hideMark/>
          </w:tcPr>
          <w:p w14:paraId="69A2193E" w14:textId="77777777" w:rsidR="00CD054C" w:rsidRPr="00E6316F" w:rsidRDefault="00CD054C" w:rsidP="007200AB">
            <w:pPr>
              <w:pStyle w:val="P68B1DB1-Normal10"/>
              <w:spacing w:after="0" w:line="240" w:lineRule="auto"/>
              <w:jc w:val="center"/>
              <w:rPr>
                <w:rFonts w:asciiTheme="minorHAnsi" w:hAnsiTheme="minorHAnsi" w:cstheme="minorHAnsi"/>
                <w:lang w:val="en-GB"/>
              </w:rPr>
            </w:pPr>
            <w:r w:rsidRPr="00E6316F">
              <w:rPr>
                <w:rFonts w:asciiTheme="minorHAnsi" w:hAnsiTheme="minorHAnsi" w:cstheme="minorHAnsi"/>
                <w:lang w:val="en-GB"/>
              </w:rPr>
              <w:t>5.8%</w:t>
            </w:r>
          </w:p>
        </w:tc>
      </w:tr>
      <w:tr w:rsidR="00CD054C" w:rsidRPr="008A6DE3" w14:paraId="080CF829" w14:textId="77777777" w:rsidTr="00E6316F">
        <w:trPr>
          <w:trHeight w:val="315"/>
        </w:trPr>
        <w:tc>
          <w:tcPr>
            <w:tcW w:w="2835" w:type="dxa"/>
            <w:tcBorders>
              <w:top w:val="nil"/>
              <w:left w:val="nil"/>
              <w:bottom w:val="single" w:sz="8" w:space="0" w:color="auto"/>
              <w:right w:val="nil"/>
            </w:tcBorders>
            <w:shd w:val="clear" w:color="auto" w:fill="auto"/>
            <w:vAlign w:val="center"/>
            <w:hideMark/>
          </w:tcPr>
          <w:p w14:paraId="05377167" w14:textId="5C1979AD" w:rsidR="00CD054C" w:rsidRPr="008A6DE3" w:rsidRDefault="00CD054C" w:rsidP="007200AB">
            <w:pPr>
              <w:pStyle w:val="P68B1DB1-Normal16"/>
              <w:spacing w:after="0" w:line="240" w:lineRule="auto"/>
              <w:rPr>
                <w:lang w:val="en-GB"/>
              </w:rPr>
            </w:pPr>
            <w:r w:rsidRPr="008A6DE3">
              <w:rPr>
                <w:lang w:val="en-GB"/>
              </w:rPr>
              <w:t xml:space="preserve">TOTAL </w:t>
            </w:r>
            <w:r w:rsidR="00ED5A24" w:rsidRPr="008A6DE3">
              <w:rPr>
                <w:lang w:val="en-GB"/>
              </w:rPr>
              <w:t>product</w:t>
            </w:r>
            <w:r w:rsidR="00D45902" w:rsidRPr="008A6DE3">
              <w:rPr>
                <w:lang w:val="en-GB"/>
              </w:rPr>
              <w:t>ion</w:t>
            </w:r>
          </w:p>
        </w:tc>
        <w:tc>
          <w:tcPr>
            <w:tcW w:w="1134" w:type="dxa"/>
            <w:tcBorders>
              <w:top w:val="nil"/>
              <w:left w:val="nil"/>
              <w:bottom w:val="single" w:sz="8" w:space="0" w:color="auto"/>
              <w:right w:val="nil"/>
            </w:tcBorders>
            <w:shd w:val="clear" w:color="auto" w:fill="auto"/>
            <w:vAlign w:val="center"/>
            <w:hideMark/>
          </w:tcPr>
          <w:p w14:paraId="3B062182" w14:textId="77777777" w:rsidR="00CD054C" w:rsidRPr="00E6316F" w:rsidRDefault="00CD054C" w:rsidP="007200AB">
            <w:pPr>
              <w:pStyle w:val="P68B1DB1-Normal16"/>
              <w:spacing w:after="0" w:line="240" w:lineRule="auto"/>
              <w:jc w:val="center"/>
              <w:rPr>
                <w:rFonts w:asciiTheme="minorHAnsi" w:hAnsiTheme="minorHAnsi" w:cstheme="minorHAnsi"/>
                <w:lang w:val="en-GB"/>
              </w:rPr>
            </w:pPr>
            <w:r w:rsidRPr="00E6316F">
              <w:rPr>
                <w:rFonts w:asciiTheme="minorHAnsi" w:hAnsiTheme="minorHAnsi" w:cstheme="minorHAnsi"/>
                <w:lang w:val="en-GB"/>
              </w:rPr>
              <w:t>8,573.4</w:t>
            </w:r>
          </w:p>
        </w:tc>
        <w:tc>
          <w:tcPr>
            <w:tcW w:w="1134" w:type="dxa"/>
            <w:tcBorders>
              <w:top w:val="nil"/>
              <w:left w:val="nil"/>
              <w:bottom w:val="single" w:sz="8" w:space="0" w:color="auto"/>
              <w:right w:val="nil"/>
            </w:tcBorders>
            <w:shd w:val="clear" w:color="auto" w:fill="auto"/>
            <w:vAlign w:val="center"/>
            <w:hideMark/>
          </w:tcPr>
          <w:p w14:paraId="75404EB1" w14:textId="77777777" w:rsidR="00CD054C" w:rsidRPr="00E6316F" w:rsidRDefault="00CD054C" w:rsidP="007200AB">
            <w:pPr>
              <w:pStyle w:val="P68B1DB1-Normal16"/>
              <w:spacing w:after="0" w:line="240" w:lineRule="auto"/>
              <w:jc w:val="center"/>
              <w:rPr>
                <w:rFonts w:asciiTheme="minorHAnsi" w:hAnsiTheme="minorHAnsi" w:cstheme="minorHAnsi"/>
                <w:lang w:val="en-GB"/>
              </w:rPr>
            </w:pPr>
            <w:r w:rsidRPr="00E6316F">
              <w:rPr>
                <w:rFonts w:asciiTheme="minorHAnsi" w:hAnsiTheme="minorHAnsi" w:cstheme="minorHAnsi"/>
                <w:lang w:val="en-GB"/>
              </w:rPr>
              <w:t>8,265.2</w:t>
            </w:r>
          </w:p>
        </w:tc>
        <w:tc>
          <w:tcPr>
            <w:tcW w:w="993" w:type="dxa"/>
            <w:tcBorders>
              <w:top w:val="nil"/>
              <w:left w:val="nil"/>
              <w:bottom w:val="single" w:sz="8" w:space="0" w:color="auto"/>
              <w:right w:val="nil"/>
            </w:tcBorders>
            <w:shd w:val="clear" w:color="000000" w:fill="E3F1F7"/>
            <w:vAlign w:val="center"/>
            <w:hideMark/>
          </w:tcPr>
          <w:p w14:paraId="3F17CDAB" w14:textId="77777777" w:rsidR="00CD054C" w:rsidRPr="00E6316F" w:rsidRDefault="00CD054C" w:rsidP="007200AB">
            <w:pPr>
              <w:pStyle w:val="P68B1DB1-Normal17"/>
              <w:spacing w:after="0" w:line="240" w:lineRule="auto"/>
              <w:jc w:val="center"/>
              <w:rPr>
                <w:rFonts w:asciiTheme="minorHAnsi" w:hAnsiTheme="minorHAnsi" w:cstheme="minorHAnsi"/>
                <w:lang w:val="en-GB"/>
              </w:rPr>
            </w:pPr>
            <w:r w:rsidRPr="00E6316F">
              <w:rPr>
                <w:rFonts w:asciiTheme="minorHAnsi" w:hAnsiTheme="minorHAnsi" w:cstheme="minorHAnsi"/>
                <w:lang w:val="en-GB"/>
              </w:rPr>
              <w:t>3.7%</w:t>
            </w:r>
          </w:p>
        </w:tc>
        <w:tc>
          <w:tcPr>
            <w:tcW w:w="1134" w:type="dxa"/>
            <w:tcBorders>
              <w:top w:val="nil"/>
              <w:left w:val="nil"/>
              <w:bottom w:val="single" w:sz="8" w:space="0" w:color="auto"/>
              <w:right w:val="nil"/>
            </w:tcBorders>
            <w:shd w:val="clear" w:color="auto" w:fill="auto"/>
            <w:vAlign w:val="center"/>
            <w:hideMark/>
          </w:tcPr>
          <w:p w14:paraId="0F39EC38" w14:textId="77777777" w:rsidR="00CD054C" w:rsidRPr="00E6316F" w:rsidRDefault="00CD054C" w:rsidP="007200AB">
            <w:pPr>
              <w:pStyle w:val="P68B1DB1-Normal16"/>
              <w:spacing w:after="0" w:line="240" w:lineRule="auto"/>
              <w:jc w:val="center"/>
              <w:rPr>
                <w:rFonts w:asciiTheme="minorHAnsi" w:hAnsiTheme="minorHAnsi" w:cstheme="minorHAnsi"/>
                <w:lang w:val="en-GB"/>
              </w:rPr>
            </w:pPr>
            <w:r w:rsidRPr="00E6316F">
              <w:rPr>
                <w:rFonts w:asciiTheme="minorHAnsi" w:hAnsiTheme="minorHAnsi" w:cstheme="minorHAnsi"/>
                <w:lang w:val="en-GB"/>
              </w:rPr>
              <w:t>2,888.8</w:t>
            </w:r>
          </w:p>
        </w:tc>
        <w:tc>
          <w:tcPr>
            <w:tcW w:w="992" w:type="dxa"/>
            <w:tcBorders>
              <w:top w:val="nil"/>
              <w:left w:val="nil"/>
              <w:bottom w:val="single" w:sz="8" w:space="0" w:color="auto"/>
              <w:right w:val="nil"/>
            </w:tcBorders>
            <w:shd w:val="clear" w:color="auto" w:fill="auto"/>
            <w:vAlign w:val="center"/>
            <w:hideMark/>
          </w:tcPr>
          <w:p w14:paraId="3C27E4AE" w14:textId="77777777" w:rsidR="00CD054C" w:rsidRPr="00E6316F" w:rsidRDefault="00CD054C" w:rsidP="007200AB">
            <w:pPr>
              <w:pStyle w:val="P68B1DB1-Normal16"/>
              <w:spacing w:after="0" w:line="240" w:lineRule="auto"/>
              <w:jc w:val="center"/>
              <w:rPr>
                <w:rFonts w:asciiTheme="minorHAnsi" w:hAnsiTheme="minorHAnsi" w:cstheme="minorHAnsi"/>
                <w:lang w:val="en-GB"/>
              </w:rPr>
            </w:pPr>
            <w:r w:rsidRPr="00E6316F">
              <w:rPr>
                <w:rFonts w:asciiTheme="minorHAnsi" w:hAnsiTheme="minorHAnsi" w:cstheme="minorHAnsi"/>
                <w:lang w:val="en-GB"/>
              </w:rPr>
              <w:t>2,814.9</w:t>
            </w:r>
          </w:p>
        </w:tc>
        <w:tc>
          <w:tcPr>
            <w:tcW w:w="992" w:type="dxa"/>
            <w:tcBorders>
              <w:top w:val="nil"/>
              <w:left w:val="nil"/>
              <w:bottom w:val="single" w:sz="8" w:space="0" w:color="auto"/>
              <w:right w:val="nil"/>
            </w:tcBorders>
            <w:shd w:val="clear" w:color="000000" w:fill="E3F1F7"/>
            <w:vAlign w:val="center"/>
            <w:hideMark/>
          </w:tcPr>
          <w:p w14:paraId="617CB3DC" w14:textId="77777777" w:rsidR="00CD054C" w:rsidRPr="00E6316F" w:rsidRDefault="00CD054C" w:rsidP="007200AB">
            <w:pPr>
              <w:pStyle w:val="P68B1DB1-Normal17"/>
              <w:spacing w:after="0" w:line="240" w:lineRule="auto"/>
              <w:jc w:val="center"/>
              <w:rPr>
                <w:rFonts w:asciiTheme="minorHAnsi" w:hAnsiTheme="minorHAnsi" w:cstheme="minorHAnsi"/>
                <w:lang w:val="en-GB"/>
              </w:rPr>
            </w:pPr>
            <w:r w:rsidRPr="00E6316F">
              <w:rPr>
                <w:rFonts w:asciiTheme="minorHAnsi" w:hAnsiTheme="minorHAnsi" w:cstheme="minorHAnsi"/>
                <w:lang w:val="en-GB"/>
              </w:rPr>
              <w:t>2.6%</w:t>
            </w:r>
          </w:p>
        </w:tc>
      </w:tr>
      <w:tr w:rsidR="00CD054C" w:rsidRPr="008A6DE3" w14:paraId="29AF052B" w14:textId="77777777" w:rsidTr="007200AB">
        <w:trPr>
          <w:trHeight w:val="345"/>
        </w:trPr>
        <w:tc>
          <w:tcPr>
            <w:tcW w:w="9214" w:type="dxa"/>
            <w:gridSpan w:val="7"/>
            <w:tcBorders>
              <w:top w:val="single" w:sz="8" w:space="0" w:color="auto"/>
              <w:left w:val="nil"/>
              <w:bottom w:val="single" w:sz="8" w:space="0" w:color="auto"/>
              <w:right w:val="nil"/>
            </w:tcBorders>
            <w:shd w:val="clear" w:color="000000" w:fill="2B87A2"/>
            <w:vAlign w:val="center"/>
            <w:hideMark/>
          </w:tcPr>
          <w:p w14:paraId="7498EC52" w14:textId="77777777" w:rsidR="00CD054C" w:rsidRPr="008A6DE3" w:rsidRDefault="00CD054C" w:rsidP="007200AB">
            <w:pPr>
              <w:pStyle w:val="P68B1DB1-Normal15"/>
              <w:spacing w:after="0" w:line="240" w:lineRule="auto"/>
              <w:jc w:val="center"/>
              <w:rPr>
                <w:lang w:val="en-GB"/>
              </w:rPr>
            </w:pPr>
            <w:r w:rsidRPr="008A6DE3">
              <w:rPr>
                <w:lang w:val="en-GB"/>
              </w:rPr>
              <w:t>Sales volumes by category</w:t>
            </w:r>
          </w:p>
        </w:tc>
      </w:tr>
      <w:tr w:rsidR="00CD054C" w:rsidRPr="008A6DE3" w14:paraId="241FB0A2" w14:textId="77777777" w:rsidTr="00E6316F">
        <w:trPr>
          <w:trHeight w:val="480"/>
        </w:trPr>
        <w:tc>
          <w:tcPr>
            <w:tcW w:w="2835" w:type="dxa"/>
            <w:tcBorders>
              <w:top w:val="nil"/>
              <w:left w:val="nil"/>
              <w:bottom w:val="nil"/>
              <w:right w:val="nil"/>
            </w:tcBorders>
            <w:shd w:val="clear" w:color="auto" w:fill="auto"/>
            <w:vAlign w:val="center"/>
            <w:hideMark/>
          </w:tcPr>
          <w:p w14:paraId="3A66145E" w14:textId="77777777" w:rsidR="00CD054C" w:rsidRPr="008A6DE3" w:rsidRDefault="00CD054C" w:rsidP="007200AB">
            <w:pPr>
              <w:pStyle w:val="P68B1DB1-Normal5"/>
              <w:spacing w:after="0" w:line="240" w:lineRule="auto"/>
              <w:rPr>
                <w:lang w:val="en-GB"/>
              </w:rPr>
            </w:pPr>
            <w:r w:rsidRPr="008A6DE3">
              <w:rPr>
                <w:lang w:val="en-GB"/>
              </w:rPr>
              <w:t>kt</w:t>
            </w:r>
          </w:p>
        </w:tc>
        <w:tc>
          <w:tcPr>
            <w:tcW w:w="1134" w:type="dxa"/>
            <w:tcBorders>
              <w:top w:val="nil"/>
              <w:left w:val="nil"/>
              <w:bottom w:val="nil"/>
              <w:right w:val="nil"/>
            </w:tcBorders>
            <w:shd w:val="clear" w:color="auto" w:fill="auto"/>
            <w:vAlign w:val="center"/>
            <w:hideMark/>
          </w:tcPr>
          <w:p w14:paraId="79283A81" w14:textId="77777777" w:rsidR="00CD054C" w:rsidRPr="00E6316F" w:rsidRDefault="00CD054C" w:rsidP="007200AB">
            <w:pPr>
              <w:pStyle w:val="P68B1DB1-Normal6"/>
              <w:spacing w:after="0" w:line="240" w:lineRule="auto"/>
              <w:jc w:val="center"/>
              <w:rPr>
                <w:rFonts w:ascii="Calibri" w:hAnsi="Calibri" w:cs="Calibri"/>
                <w:lang w:val="en-GB"/>
              </w:rPr>
            </w:pPr>
            <w:r w:rsidRPr="00E6316F">
              <w:rPr>
                <w:rFonts w:ascii="Calibri" w:hAnsi="Calibri" w:cs="Calibri"/>
                <w:lang w:val="en-GB"/>
              </w:rPr>
              <w:t>9M 2023</w:t>
            </w:r>
          </w:p>
        </w:tc>
        <w:tc>
          <w:tcPr>
            <w:tcW w:w="1134" w:type="dxa"/>
            <w:tcBorders>
              <w:top w:val="nil"/>
              <w:left w:val="nil"/>
              <w:bottom w:val="nil"/>
              <w:right w:val="nil"/>
            </w:tcBorders>
            <w:shd w:val="clear" w:color="auto" w:fill="auto"/>
            <w:vAlign w:val="center"/>
            <w:hideMark/>
          </w:tcPr>
          <w:p w14:paraId="17595755" w14:textId="77777777" w:rsidR="00CD054C" w:rsidRPr="00E6316F" w:rsidRDefault="00CD054C" w:rsidP="007200AB">
            <w:pPr>
              <w:pStyle w:val="P68B1DB1-Normal6"/>
              <w:spacing w:after="0" w:line="240" w:lineRule="auto"/>
              <w:jc w:val="center"/>
              <w:rPr>
                <w:rFonts w:ascii="Calibri" w:hAnsi="Calibri" w:cs="Calibri"/>
                <w:lang w:val="en-GB"/>
              </w:rPr>
            </w:pPr>
            <w:r w:rsidRPr="00E6316F">
              <w:rPr>
                <w:rFonts w:ascii="Calibri" w:hAnsi="Calibri" w:cs="Calibri"/>
                <w:lang w:val="en-GB"/>
              </w:rPr>
              <w:t>9M 2022</w:t>
            </w:r>
          </w:p>
        </w:tc>
        <w:tc>
          <w:tcPr>
            <w:tcW w:w="993" w:type="dxa"/>
            <w:tcBorders>
              <w:top w:val="nil"/>
              <w:left w:val="nil"/>
              <w:bottom w:val="nil"/>
              <w:right w:val="nil"/>
            </w:tcBorders>
            <w:shd w:val="clear" w:color="000000" w:fill="E3F1F7"/>
            <w:vAlign w:val="center"/>
            <w:hideMark/>
          </w:tcPr>
          <w:p w14:paraId="59782414" w14:textId="62C552B4" w:rsidR="00CD054C" w:rsidRPr="00E6316F" w:rsidRDefault="00CD054C">
            <w:pPr>
              <w:pStyle w:val="P68B1DB1-Normal7"/>
              <w:spacing w:after="0" w:line="240" w:lineRule="auto"/>
              <w:jc w:val="center"/>
              <w:rPr>
                <w:rFonts w:ascii="Calibri" w:cs="Calibri"/>
                <w:lang w:val="en-GB"/>
              </w:rPr>
            </w:pPr>
            <w:r w:rsidRPr="00E6316F">
              <w:rPr>
                <w:rFonts w:ascii="Calibri" w:cs="Calibri"/>
                <w:lang w:val="en-GB"/>
              </w:rPr>
              <w:t xml:space="preserve">Change % </w:t>
            </w:r>
          </w:p>
        </w:tc>
        <w:tc>
          <w:tcPr>
            <w:tcW w:w="1134" w:type="dxa"/>
            <w:tcBorders>
              <w:top w:val="nil"/>
              <w:left w:val="nil"/>
              <w:bottom w:val="nil"/>
              <w:right w:val="nil"/>
            </w:tcBorders>
            <w:shd w:val="clear" w:color="auto" w:fill="auto"/>
            <w:vAlign w:val="center"/>
            <w:hideMark/>
          </w:tcPr>
          <w:p w14:paraId="710D090D" w14:textId="77777777" w:rsidR="00CD054C" w:rsidRPr="00E6316F" w:rsidRDefault="00CD054C" w:rsidP="007200AB">
            <w:pPr>
              <w:pStyle w:val="P68B1DB1-Normal6"/>
              <w:spacing w:after="0" w:line="240" w:lineRule="auto"/>
              <w:jc w:val="center"/>
              <w:rPr>
                <w:rFonts w:ascii="Calibri" w:hAnsi="Calibri" w:cs="Calibri"/>
                <w:lang w:val="en-GB"/>
              </w:rPr>
            </w:pPr>
            <w:r w:rsidRPr="00E6316F">
              <w:rPr>
                <w:rFonts w:ascii="Calibri" w:hAnsi="Calibri" w:cs="Calibri"/>
                <w:lang w:val="en-GB"/>
              </w:rPr>
              <w:t>3Q 2023</w:t>
            </w:r>
          </w:p>
        </w:tc>
        <w:tc>
          <w:tcPr>
            <w:tcW w:w="992" w:type="dxa"/>
            <w:tcBorders>
              <w:top w:val="nil"/>
              <w:left w:val="nil"/>
              <w:bottom w:val="nil"/>
              <w:right w:val="nil"/>
            </w:tcBorders>
            <w:shd w:val="clear" w:color="auto" w:fill="auto"/>
            <w:vAlign w:val="center"/>
            <w:hideMark/>
          </w:tcPr>
          <w:p w14:paraId="1C21263F" w14:textId="77777777" w:rsidR="00CD054C" w:rsidRPr="00E6316F" w:rsidRDefault="00CD054C" w:rsidP="007200AB">
            <w:pPr>
              <w:pStyle w:val="P68B1DB1-Normal6"/>
              <w:spacing w:after="0" w:line="240" w:lineRule="auto"/>
              <w:jc w:val="center"/>
              <w:rPr>
                <w:rFonts w:ascii="Calibri" w:hAnsi="Calibri" w:cs="Calibri"/>
                <w:lang w:val="en-GB"/>
              </w:rPr>
            </w:pPr>
            <w:r w:rsidRPr="00E6316F">
              <w:rPr>
                <w:rFonts w:ascii="Calibri" w:hAnsi="Calibri" w:cs="Calibri"/>
                <w:lang w:val="en-GB"/>
              </w:rPr>
              <w:t>3Q 2022</w:t>
            </w:r>
          </w:p>
        </w:tc>
        <w:tc>
          <w:tcPr>
            <w:tcW w:w="992" w:type="dxa"/>
            <w:tcBorders>
              <w:top w:val="nil"/>
              <w:left w:val="nil"/>
              <w:bottom w:val="nil"/>
              <w:right w:val="nil"/>
            </w:tcBorders>
            <w:shd w:val="clear" w:color="000000" w:fill="E3F1F7"/>
            <w:vAlign w:val="center"/>
            <w:hideMark/>
          </w:tcPr>
          <w:p w14:paraId="3EC4EF5E" w14:textId="77777777" w:rsidR="00CD054C" w:rsidRPr="00E6316F" w:rsidRDefault="00CD054C" w:rsidP="007200AB">
            <w:pPr>
              <w:pStyle w:val="P68B1DB1-Normal7"/>
              <w:spacing w:after="0" w:line="240" w:lineRule="auto"/>
              <w:jc w:val="center"/>
              <w:rPr>
                <w:rFonts w:ascii="Calibri" w:cs="Calibri"/>
                <w:lang w:val="en-GB"/>
              </w:rPr>
            </w:pPr>
            <w:r w:rsidRPr="00E6316F">
              <w:rPr>
                <w:rFonts w:ascii="Calibri" w:cs="Calibri"/>
                <w:lang w:val="en-GB"/>
              </w:rPr>
              <w:t>Change %</w:t>
            </w:r>
          </w:p>
        </w:tc>
      </w:tr>
      <w:tr w:rsidR="00CD054C" w:rsidRPr="008A6DE3" w14:paraId="0E96F113" w14:textId="77777777" w:rsidTr="00E6316F">
        <w:trPr>
          <w:trHeight w:val="480"/>
        </w:trPr>
        <w:tc>
          <w:tcPr>
            <w:tcW w:w="2835" w:type="dxa"/>
            <w:tcBorders>
              <w:top w:val="nil"/>
              <w:left w:val="nil"/>
              <w:bottom w:val="nil"/>
              <w:right w:val="nil"/>
            </w:tcBorders>
            <w:shd w:val="clear" w:color="auto" w:fill="auto"/>
            <w:vAlign w:val="center"/>
            <w:hideMark/>
          </w:tcPr>
          <w:p w14:paraId="6EC7F544" w14:textId="77777777" w:rsidR="00CD054C" w:rsidRPr="008A6DE3" w:rsidRDefault="00CD054C" w:rsidP="007200AB">
            <w:pPr>
              <w:pStyle w:val="P68B1DB1-Normal12"/>
              <w:spacing w:after="0" w:line="240" w:lineRule="auto"/>
              <w:rPr>
                <w:lang w:val="en-GB"/>
              </w:rPr>
            </w:pPr>
            <w:r w:rsidRPr="008A6DE3">
              <w:rPr>
                <w:lang w:val="en-GB"/>
              </w:rPr>
              <w:t>Phosphate-based fertilizers and feed phosphates</w:t>
            </w:r>
          </w:p>
        </w:tc>
        <w:tc>
          <w:tcPr>
            <w:tcW w:w="1134" w:type="dxa"/>
            <w:tcBorders>
              <w:top w:val="nil"/>
              <w:left w:val="nil"/>
              <w:bottom w:val="nil"/>
              <w:right w:val="nil"/>
            </w:tcBorders>
            <w:shd w:val="clear" w:color="auto" w:fill="auto"/>
            <w:vAlign w:val="center"/>
            <w:hideMark/>
          </w:tcPr>
          <w:p w14:paraId="0819174F" w14:textId="77777777" w:rsidR="00CD054C" w:rsidRPr="00E6316F" w:rsidRDefault="00CD054C" w:rsidP="007200AB">
            <w:pPr>
              <w:pStyle w:val="P68B1DB1-Normal12"/>
              <w:spacing w:after="0" w:line="240" w:lineRule="auto"/>
              <w:jc w:val="center"/>
              <w:rPr>
                <w:lang w:val="en-GB"/>
              </w:rPr>
            </w:pPr>
            <w:r w:rsidRPr="00E6316F">
              <w:rPr>
                <w:lang w:val="en-GB"/>
              </w:rPr>
              <w:t>6,594.8</w:t>
            </w:r>
          </w:p>
        </w:tc>
        <w:tc>
          <w:tcPr>
            <w:tcW w:w="1134" w:type="dxa"/>
            <w:tcBorders>
              <w:top w:val="nil"/>
              <w:left w:val="nil"/>
              <w:bottom w:val="nil"/>
              <w:right w:val="nil"/>
            </w:tcBorders>
            <w:shd w:val="clear" w:color="auto" w:fill="auto"/>
            <w:vAlign w:val="center"/>
            <w:hideMark/>
          </w:tcPr>
          <w:p w14:paraId="459FF0DD" w14:textId="77777777" w:rsidR="00CD054C" w:rsidRPr="00E6316F" w:rsidRDefault="00CD054C" w:rsidP="007200AB">
            <w:pPr>
              <w:pStyle w:val="P68B1DB1-Normal12"/>
              <w:spacing w:after="0" w:line="240" w:lineRule="auto"/>
              <w:jc w:val="center"/>
              <w:rPr>
                <w:lang w:val="en-GB"/>
              </w:rPr>
            </w:pPr>
            <w:r w:rsidRPr="00E6316F">
              <w:rPr>
                <w:lang w:val="en-GB"/>
              </w:rPr>
              <w:t>6,390.0</w:t>
            </w:r>
          </w:p>
        </w:tc>
        <w:tc>
          <w:tcPr>
            <w:tcW w:w="993" w:type="dxa"/>
            <w:tcBorders>
              <w:top w:val="nil"/>
              <w:left w:val="nil"/>
              <w:bottom w:val="nil"/>
              <w:right w:val="nil"/>
            </w:tcBorders>
            <w:shd w:val="clear" w:color="000000" w:fill="E3F1F7"/>
            <w:vAlign w:val="center"/>
            <w:hideMark/>
          </w:tcPr>
          <w:p w14:paraId="23E82CD9" w14:textId="77777777" w:rsidR="00CD054C" w:rsidRPr="00E6316F" w:rsidRDefault="00CD054C" w:rsidP="007200AB">
            <w:pPr>
              <w:pStyle w:val="P68B1DB1-Normal10"/>
              <w:spacing w:after="0" w:line="240" w:lineRule="auto"/>
              <w:jc w:val="center"/>
              <w:rPr>
                <w:rFonts w:ascii="Calibri" w:hAnsi="Calibri" w:cs="Calibri"/>
                <w:lang w:val="en-GB"/>
              </w:rPr>
            </w:pPr>
            <w:r w:rsidRPr="00E6316F">
              <w:rPr>
                <w:rFonts w:ascii="Calibri" w:hAnsi="Calibri" w:cs="Calibri"/>
                <w:lang w:val="en-GB"/>
              </w:rPr>
              <w:t>3.2%</w:t>
            </w:r>
          </w:p>
        </w:tc>
        <w:tc>
          <w:tcPr>
            <w:tcW w:w="1134" w:type="dxa"/>
            <w:tcBorders>
              <w:top w:val="nil"/>
              <w:left w:val="nil"/>
              <w:bottom w:val="nil"/>
              <w:right w:val="nil"/>
            </w:tcBorders>
            <w:shd w:val="clear" w:color="auto" w:fill="auto"/>
            <w:vAlign w:val="center"/>
            <w:hideMark/>
          </w:tcPr>
          <w:p w14:paraId="1D0D3D27" w14:textId="77777777" w:rsidR="00CD054C" w:rsidRPr="00E6316F" w:rsidRDefault="00CD054C" w:rsidP="007200AB">
            <w:pPr>
              <w:pStyle w:val="P68B1DB1-Normal12"/>
              <w:spacing w:after="0" w:line="240" w:lineRule="auto"/>
              <w:jc w:val="center"/>
              <w:rPr>
                <w:lang w:val="en-GB"/>
              </w:rPr>
            </w:pPr>
            <w:r w:rsidRPr="00E6316F">
              <w:rPr>
                <w:lang w:val="en-GB"/>
              </w:rPr>
              <w:t>2,476.9</w:t>
            </w:r>
          </w:p>
        </w:tc>
        <w:tc>
          <w:tcPr>
            <w:tcW w:w="992" w:type="dxa"/>
            <w:tcBorders>
              <w:top w:val="nil"/>
              <w:left w:val="nil"/>
              <w:bottom w:val="nil"/>
              <w:right w:val="nil"/>
            </w:tcBorders>
            <w:shd w:val="clear" w:color="auto" w:fill="auto"/>
            <w:vAlign w:val="center"/>
            <w:hideMark/>
          </w:tcPr>
          <w:p w14:paraId="1FEFBD1D" w14:textId="77777777" w:rsidR="00CD054C" w:rsidRPr="00E6316F" w:rsidRDefault="00CD054C" w:rsidP="007200AB">
            <w:pPr>
              <w:pStyle w:val="P68B1DB1-Normal12"/>
              <w:spacing w:after="0" w:line="240" w:lineRule="auto"/>
              <w:jc w:val="center"/>
              <w:rPr>
                <w:lang w:val="en-GB"/>
              </w:rPr>
            </w:pPr>
            <w:r w:rsidRPr="00E6316F">
              <w:rPr>
                <w:lang w:val="en-GB"/>
              </w:rPr>
              <w:t>2,054.7</w:t>
            </w:r>
          </w:p>
        </w:tc>
        <w:tc>
          <w:tcPr>
            <w:tcW w:w="992" w:type="dxa"/>
            <w:tcBorders>
              <w:top w:val="nil"/>
              <w:left w:val="nil"/>
              <w:bottom w:val="nil"/>
              <w:right w:val="nil"/>
            </w:tcBorders>
            <w:shd w:val="clear" w:color="000000" w:fill="E3F1F7"/>
            <w:vAlign w:val="center"/>
            <w:hideMark/>
          </w:tcPr>
          <w:p w14:paraId="4B36C100" w14:textId="77777777" w:rsidR="00CD054C" w:rsidRPr="00E6316F" w:rsidRDefault="00CD054C" w:rsidP="007200AB">
            <w:pPr>
              <w:pStyle w:val="P68B1DB1-Normal10"/>
              <w:spacing w:after="0" w:line="240" w:lineRule="auto"/>
              <w:jc w:val="center"/>
              <w:rPr>
                <w:rFonts w:ascii="Calibri" w:hAnsi="Calibri" w:cs="Calibri"/>
                <w:lang w:val="en-GB"/>
              </w:rPr>
            </w:pPr>
            <w:r w:rsidRPr="00E6316F">
              <w:rPr>
                <w:rFonts w:ascii="Calibri" w:hAnsi="Calibri" w:cs="Calibri"/>
                <w:lang w:val="en-GB"/>
              </w:rPr>
              <w:t>20.5%</w:t>
            </w:r>
          </w:p>
        </w:tc>
      </w:tr>
      <w:tr w:rsidR="00CD054C" w:rsidRPr="008A6DE3" w14:paraId="07B02294" w14:textId="77777777" w:rsidTr="00E6316F">
        <w:trPr>
          <w:trHeight w:val="300"/>
        </w:trPr>
        <w:tc>
          <w:tcPr>
            <w:tcW w:w="2835" w:type="dxa"/>
            <w:tcBorders>
              <w:top w:val="nil"/>
              <w:left w:val="nil"/>
              <w:bottom w:val="nil"/>
              <w:right w:val="nil"/>
            </w:tcBorders>
            <w:shd w:val="clear" w:color="auto" w:fill="auto"/>
            <w:vAlign w:val="center"/>
            <w:hideMark/>
          </w:tcPr>
          <w:p w14:paraId="4FAB11BC" w14:textId="77777777" w:rsidR="00CD054C" w:rsidRPr="008A6DE3" w:rsidRDefault="00CD054C" w:rsidP="007200AB">
            <w:pPr>
              <w:pStyle w:val="P68B1DB1-Normal12"/>
              <w:spacing w:after="0" w:line="240" w:lineRule="auto"/>
              <w:rPr>
                <w:lang w:val="en-GB"/>
              </w:rPr>
            </w:pPr>
            <w:r w:rsidRPr="008A6DE3">
              <w:rPr>
                <w:lang w:val="en-GB"/>
              </w:rPr>
              <w:t>Nitrogen-based fertilizers</w:t>
            </w:r>
          </w:p>
        </w:tc>
        <w:tc>
          <w:tcPr>
            <w:tcW w:w="1134" w:type="dxa"/>
            <w:tcBorders>
              <w:top w:val="nil"/>
              <w:left w:val="nil"/>
              <w:bottom w:val="nil"/>
              <w:right w:val="nil"/>
            </w:tcBorders>
            <w:shd w:val="clear" w:color="auto" w:fill="auto"/>
            <w:vAlign w:val="center"/>
            <w:hideMark/>
          </w:tcPr>
          <w:p w14:paraId="70D43D19" w14:textId="77777777" w:rsidR="00CD054C" w:rsidRPr="00E6316F" w:rsidRDefault="00CD054C" w:rsidP="007200AB">
            <w:pPr>
              <w:pStyle w:val="P68B1DB1-Normal12"/>
              <w:spacing w:after="0" w:line="240" w:lineRule="auto"/>
              <w:jc w:val="center"/>
              <w:rPr>
                <w:lang w:val="en-GB"/>
              </w:rPr>
            </w:pPr>
            <w:r w:rsidRPr="00E6316F">
              <w:rPr>
                <w:lang w:val="en-GB"/>
              </w:rPr>
              <w:t>1,908.6</w:t>
            </w:r>
          </w:p>
        </w:tc>
        <w:tc>
          <w:tcPr>
            <w:tcW w:w="1134" w:type="dxa"/>
            <w:tcBorders>
              <w:top w:val="nil"/>
              <w:left w:val="nil"/>
              <w:bottom w:val="nil"/>
              <w:right w:val="nil"/>
            </w:tcBorders>
            <w:shd w:val="clear" w:color="auto" w:fill="auto"/>
            <w:vAlign w:val="center"/>
            <w:hideMark/>
          </w:tcPr>
          <w:p w14:paraId="1938E630" w14:textId="77777777" w:rsidR="00CD054C" w:rsidRPr="00E6316F" w:rsidRDefault="00CD054C" w:rsidP="007200AB">
            <w:pPr>
              <w:pStyle w:val="P68B1DB1-Normal12"/>
              <w:spacing w:after="0" w:line="240" w:lineRule="auto"/>
              <w:jc w:val="center"/>
              <w:rPr>
                <w:lang w:val="en-GB"/>
              </w:rPr>
            </w:pPr>
            <w:r w:rsidRPr="00E6316F">
              <w:rPr>
                <w:lang w:val="en-GB"/>
              </w:rPr>
              <w:t>1,922.1</w:t>
            </w:r>
          </w:p>
        </w:tc>
        <w:tc>
          <w:tcPr>
            <w:tcW w:w="993" w:type="dxa"/>
            <w:tcBorders>
              <w:top w:val="nil"/>
              <w:left w:val="nil"/>
              <w:bottom w:val="nil"/>
              <w:right w:val="nil"/>
            </w:tcBorders>
            <w:shd w:val="clear" w:color="000000" w:fill="E3F1F7"/>
            <w:vAlign w:val="center"/>
            <w:hideMark/>
          </w:tcPr>
          <w:p w14:paraId="36E38DE3" w14:textId="77777777" w:rsidR="00CD054C" w:rsidRPr="00E6316F" w:rsidRDefault="00CD054C" w:rsidP="007200AB">
            <w:pPr>
              <w:pStyle w:val="P68B1DB1-Normal10"/>
              <w:spacing w:after="0" w:line="240" w:lineRule="auto"/>
              <w:jc w:val="center"/>
              <w:rPr>
                <w:rFonts w:ascii="Calibri" w:hAnsi="Calibri" w:cs="Calibri"/>
                <w:lang w:val="en-GB"/>
              </w:rPr>
            </w:pPr>
            <w:r w:rsidRPr="00E6316F">
              <w:rPr>
                <w:rFonts w:ascii="Calibri" w:hAnsi="Calibri" w:cs="Calibri"/>
                <w:lang w:val="en-GB"/>
              </w:rPr>
              <w:t>-0.7%</w:t>
            </w:r>
          </w:p>
        </w:tc>
        <w:tc>
          <w:tcPr>
            <w:tcW w:w="1134" w:type="dxa"/>
            <w:tcBorders>
              <w:top w:val="nil"/>
              <w:left w:val="nil"/>
              <w:bottom w:val="nil"/>
              <w:right w:val="nil"/>
            </w:tcBorders>
            <w:shd w:val="clear" w:color="auto" w:fill="auto"/>
            <w:vAlign w:val="center"/>
            <w:hideMark/>
          </w:tcPr>
          <w:p w14:paraId="52C71E1F" w14:textId="77777777" w:rsidR="00CD054C" w:rsidRPr="00E6316F" w:rsidRDefault="00CD054C" w:rsidP="007200AB">
            <w:pPr>
              <w:pStyle w:val="P68B1DB1-Normal12"/>
              <w:spacing w:after="0" w:line="240" w:lineRule="auto"/>
              <w:jc w:val="center"/>
              <w:rPr>
                <w:lang w:val="en-GB"/>
              </w:rPr>
            </w:pPr>
            <w:r w:rsidRPr="00E6316F">
              <w:rPr>
                <w:lang w:val="en-GB"/>
              </w:rPr>
              <w:t>592.4</w:t>
            </w:r>
          </w:p>
        </w:tc>
        <w:tc>
          <w:tcPr>
            <w:tcW w:w="992" w:type="dxa"/>
            <w:tcBorders>
              <w:top w:val="nil"/>
              <w:left w:val="nil"/>
              <w:bottom w:val="nil"/>
              <w:right w:val="nil"/>
            </w:tcBorders>
            <w:shd w:val="clear" w:color="auto" w:fill="auto"/>
            <w:vAlign w:val="center"/>
            <w:hideMark/>
          </w:tcPr>
          <w:p w14:paraId="3BDB713D" w14:textId="77777777" w:rsidR="00CD054C" w:rsidRPr="00E6316F" w:rsidRDefault="00CD054C" w:rsidP="007200AB">
            <w:pPr>
              <w:pStyle w:val="P68B1DB1-Normal12"/>
              <w:spacing w:after="0" w:line="240" w:lineRule="auto"/>
              <w:jc w:val="center"/>
              <w:rPr>
                <w:lang w:val="en-GB"/>
              </w:rPr>
            </w:pPr>
            <w:r w:rsidRPr="00E6316F">
              <w:rPr>
                <w:lang w:val="en-GB"/>
              </w:rPr>
              <w:t>575.7</w:t>
            </w:r>
          </w:p>
        </w:tc>
        <w:tc>
          <w:tcPr>
            <w:tcW w:w="992" w:type="dxa"/>
            <w:tcBorders>
              <w:top w:val="nil"/>
              <w:left w:val="nil"/>
              <w:bottom w:val="nil"/>
              <w:right w:val="nil"/>
            </w:tcBorders>
            <w:shd w:val="clear" w:color="000000" w:fill="E3F1F7"/>
            <w:vAlign w:val="center"/>
            <w:hideMark/>
          </w:tcPr>
          <w:p w14:paraId="6C94132A" w14:textId="77777777" w:rsidR="00CD054C" w:rsidRPr="00E6316F" w:rsidRDefault="00CD054C" w:rsidP="007200AB">
            <w:pPr>
              <w:pStyle w:val="P68B1DB1-Normal10"/>
              <w:spacing w:after="0" w:line="240" w:lineRule="auto"/>
              <w:jc w:val="center"/>
              <w:rPr>
                <w:rFonts w:ascii="Calibri" w:hAnsi="Calibri" w:cs="Calibri"/>
                <w:lang w:val="en-GB"/>
              </w:rPr>
            </w:pPr>
            <w:r w:rsidRPr="00E6316F">
              <w:rPr>
                <w:rFonts w:ascii="Calibri" w:hAnsi="Calibri" w:cs="Calibri"/>
                <w:lang w:val="en-GB"/>
              </w:rPr>
              <w:t>2.9%</w:t>
            </w:r>
          </w:p>
        </w:tc>
      </w:tr>
      <w:tr w:rsidR="00CD054C" w:rsidRPr="008A6DE3" w14:paraId="4FDBDA4F" w14:textId="77777777" w:rsidTr="00E6316F">
        <w:trPr>
          <w:trHeight w:val="315"/>
        </w:trPr>
        <w:tc>
          <w:tcPr>
            <w:tcW w:w="2835" w:type="dxa"/>
            <w:tcBorders>
              <w:top w:val="nil"/>
              <w:left w:val="nil"/>
              <w:bottom w:val="single" w:sz="8" w:space="0" w:color="auto"/>
              <w:right w:val="nil"/>
            </w:tcBorders>
            <w:shd w:val="clear" w:color="auto" w:fill="auto"/>
            <w:vAlign w:val="center"/>
            <w:hideMark/>
          </w:tcPr>
          <w:p w14:paraId="0B2B4609" w14:textId="77777777" w:rsidR="00CD054C" w:rsidRPr="008A6DE3" w:rsidRDefault="00CD054C" w:rsidP="007200AB">
            <w:pPr>
              <w:pStyle w:val="P68B1DB1-Normal12"/>
              <w:spacing w:after="0" w:line="240" w:lineRule="auto"/>
              <w:rPr>
                <w:lang w:val="en-GB"/>
              </w:rPr>
            </w:pPr>
            <w:r w:rsidRPr="008A6DE3">
              <w:rPr>
                <w:lang w:val="en-GB"/>
              </w:rPr>
              <w:t>Other products</w:t>
            </w:r>
          </w:p>
        </w:tc>
        <w:tc>
          <w:tcPr>
            <w:tcW w:w="1134" w:type="dxa"/>
            <w:tcBorders>
              <w:top w:val="nil"/>
              <w:left w:val="nil"/>
              <w:bottom w:val="single" w:sz="8" w:space="0" w:color="auto"/>
              <w:right w:val="nil"/>
            </w:tcBorders>
            <w:shd w:val="clear" w:color="auto" w:fill="auto"/>
            <w:vAlign w:val="center"/>
            <w:hideMark/>
          </w:tcPr>
          <w:p w14:paraId="162A7893" w14:textId="77777777" w:rsidR="00CD054C" w:rsidRPr="00E6316F" w:rsidRDefault="00CD054C" w:rsidP="007200AB">
            <w:pPr>
              <w:pStyle w:val="P68B1DB1-Normal12"/>
              <w:spacing w:after="0" w:line="240" w:lineRule="auto"/>
              <w:jc w:val="center"/>
              <w:rPr>
                <w:lang w:val="en-GB"/>
              </w:rPr>
            </w:pPr>
            <w:r w:rsidRPr="00E6316F">
              <w:rPr>
                <w:lang w:val="en-GB"/>
              </w:rPr>
              <w:t>163.0</w:t>
            </w:r>
          </w:p>
        </w:tc>
        <w:tc>
          <w:tcPr>
            <w:tcW w:w="1134" w:type="dxa"/>
            <w:tcBorders>
              <w:top w:val="nil"/>
              <w:left w:val="nil"/>
              <w:bottom w:val="single" w:sz="8" w:space="0" w:color="auto"/>
              <w:right w:val="nil"/>
            </w:tcBorders>
            <w:shd w:val="clear" w:color="auto" w:fill="auto"/>
            <w:vAlign w:val="center"/>
            <w:hideMark/>
          </w:tcPr>
          <w:p w14:paraId="766066CE" w14:textId="77777777" w:rsidR="00CD054C" w:rsidRPr="00E6316F" w:rsidRDefault="00CD054C" w:rsidP="007200AB">
            <w:pPr>
              <w:pStyle w:val="P68B1DB1-Normal12"/>
              <w:spacing w:after="0" w:line="240" w:lineRule="auto"/>
              <w:jc w:val="center"/>
              <w:rPr>
                <w:lang w:val="en-GB"/>
              </w:rPr>
            </w:pPr>
            <w:r w:rsidRPr="00E6316F">
              <w:rPr>
                <w:lang w:val="en-GB"/>
              </w:rPr>
              <w:t>139.9</w:t>
            </w:r>
          </w:p>
        </w:tc>
        <w:tc>
          <w:tcPr>
            <w:tcW w:w="993" w:type="dxa"/>
            <w:tcBorders>
              <w:top w:val="nil"/>
              <w:left w:val="nil"/>
              <w:bottom w:val="single" w:sz="8" w:space="0" w:color="auto"/>
              <w:right w:val="nil"/>
            </w:tcBorders>
            <w:shd w:val="clear" w:color="000000" w:fill="E3F1F7"/>
            <w:vAlign w:val="center"/>
            <w:hideMark/>
          </w:tcPr>
          <w:p w14:paraId="6B54F102" w14:textId="77777777" w:rsidR="00CD054C" w:rsidRPr="00E6316F" w:rsidRDefault="00CD054C" w:rsidP="007200AB">
            <w:pPr>
              <w:pStyle w:val="P68B1DB1-Normal10"/>
              <w:spacing w:after="0" w:line="240" w:lineRule="auto"/>
              <w:jc w:val="center"/>
              <w:rPr>
                <w:rFonts w:ascii="Calibri" w:hAnsi="Calibri" w:cs="Calibri"/>
                <w:lang w:val="en-GB"/>
              </w:rPr>
            </w:pPr>
            <w:r w:rsidRPr="00E6316F">
              <w:rPr>
                <w:rFonts w:ascii="Calibri" w:hAnsi="Calibri" w:cs="Calibri"/>
                <w:lang w:val="en-GB"/>
              </w:rPr>
              <w:t>16.5%</w:t>
            </w:r>
          </w:p>
        </w:tc>
        <w:tc>
          <w:tcPr>
            <w:tcW w:w="1134" w:type="dxa"/>
            <w:tcBorders>
              <w:top w:val="nil"/>
              <w:left w:val="nil"/>
              <w:bottom w:val="single" w:sz="8" w:space="0" w:color="auto"/>
              <w:right w:val="nil"/>
            </w:tcBorders>
            <w:shd w:val="clear" w:color="auto" w:fill="auto"/>
            <w:vAlign w:val="center"/>
            <w:hideMark/>
          </w:tcPr>
          <w:p w14:paraId="34AEC374" w14:textId="77777777" w:rsidR="00CD054C" w:rsidRPr="00E6316F" w:rsidRDefault="00CD054C" w:rsidP="007200AB">
            <w:pPr>
              <w:pStyle w:val="P68B1DB1-Normal12"/>
              <w:spacing w:after="0" w:line="240" w:lineRule="auto"/>
              <w:jc w:val="center"/>
              <w:rPr>
                <w:lang w:val="en-GB"/>
              </w:rPr>
            </w:pPr>
            <w:r w:rsidRPr="00E6316F">
              <w:rPr>
                <w:lang w:val="en-GB"/>
              </w:rPr>
              <w:t>51.4</w:t>
            </w:r>
          </w:p>
        </w:tc>
        <w:tc>
          <w:tcPr>
            <w:tcW w:w="992" w:type="dxa"/>
            <w:tcBorders>
              <w:top w:val="nil"/>
              <w:left w:val="nil"/>
              <w:bottom w:val="single" w:sz="8" w:space="0" w:color="auto"/>
              <w:right w:val="nil"/>
            </w:tcBorders>
            <w:shd w:val="clear" w:color="auto" w:fill="auto"/>
            <w:vAlign w:val="center"/>
            <w:hideMark/>
          </w:tcPr>
          <w:p w14:paraId="2F8CF802" w14:textId="77777777" w:rsidR="00CD054C" w:rsidRPr="00E6316F" w:rsidRDefault="00CD054C" w:rsidP="007200AB">
            <w:pPr>
              <w:pStyle w:val="P68B1DB1-Normal12"/>
              <w:spacing w:after="0" w:line="240" w:lineRule="auto"/>
              <w:jc w:val="center"/>
              <w:rPr>
                <w:lang w:val="en-GB"/>
              </w:rPr>
            </w:pPr>
            <w:r w:rsidRPr="00E6316F">
              <w:rPr>
                <w:lang w:val="en-GB"/>
              </w:rPr>
              <w:t>39.2</w:t>
            </w:r>
          </w:p>
        </w:tc>
        <w:tc>
          <w:tcPr>
            <w:tcW w:w="992" w:type="dxa"/>
            <w:tcBorders>
              <w:top w:val="nil"/>
              <w:left w:val="nil"/>
              <w:bottom w:val="single" w:sz="8" w:space="0" w:color="auto"/>
              <w:right w:val="nil"/>
            </w:tcBorders>
            <w:shd w:val="clear" w:color="000000" w:fill="E3F1F7"/>
            <w:vAlign w:val="center"/>
            <w:hideMark/>
          </w:tcPr>
          <w:p w14:paraId="4E13276A" w14:textId="77777777" w:rsidR="00CD054C" w:rsidRPr="00E6316F" w:rsidRDefault="00CD054C" w:rsidP="007200AB">
            <w:pPr>
              <w:pStyle w:val="P68B1DB1-Normal10"/>
              <w:spacing w:after="0" w:line="240" w:lineRule="auto"/>
              <w:jc w:val="center"/>
              <w:rPr>
                <w:rFonts w:ascii="Calibri" w:hAnsi="Calibri" w:cs="Calibri"/>
                <w:lang w:val="en-GB"/>
              </w:rPr>
            </w:pPr>
            <w:r w:rsidRPr="00E6316F">
              <w:rPr>
                <w:rFonts w:ascii="Calibri" w:hAnsi="Calibri" w:cs="Calibri"/>
                <w:lang w:val="en-GB"/>
              </w:rPr>
              <w:t>31.1%</w:t>
            </w:r>
          </w:p>
        </w:tc>
      </w:tr>
      <w:tr w:rsidR="00CD054C" w:rsidRPr="008A6DE3" w14:paraId="585A0A72" w14:textId="77777777" w:rsidTr="00E6316F">
        <w:trPr>
          <w:trHeight w:val="315"/>
        </w:trPr>
        <w:tc>
          <w:tcPr>
            <w:tcW w:w="2835" w:type="dxa"/>
            <w:tcBorders>
              <w:top w:val="nil"/>
              <w:left w:val="nil"/>
              <w:bottom w:val="single" w:sz="8" w:space="0" w:color="auto"/>
              <w:right w:val="nil"/>
            </w:tcBorders>
            <w:shd w:val="clear" w:color="auto" w:fill="auto"/>
            <w:vAlign w:val="center"/>
            <w:hideMark/>
          </w:tcPr>
          <w:p w14:paraId="4052E982" w14:textId="6797B6AE" w:rsidR="00CD054C" w:rsidRPr="008A6DE3" w:rsidRDefault="00CD054C" w:rsidP="007200AB">
            <w:pPr>
              <w:pStyle w:val="P68B1DB1-Normal16"/>
              <w:spacing w:after="0" w:line="240" w:lineRule="auto"/>
              <w:rPr>
                <w:lang w:val="en-GB"/>
              </w:rPr>
            </w:pPr>
            <w:r w:rsidRPr="008A6DE3">
              <w:rPr>
                <w:lang w:val="en-GB"/>
              </w:rPr>
              <w:t xml:space="preserve">TOTAL </w:t>
            </w:r>
            <w:r w:rsidR="00D45902" w:rsidRPr="008A6DE3">
              <w:rPr>
                <w:lang w:val="en-GB"/>
              </w:rPr>
              <w:t>production</w:t>
            </w:r>
          </w:p>
        </w:tc>
        <w:tc>
          <w:tcPr>
            <w:tcW w:w="1134" w:type="dxa"/>
            <w:tcBorders>
              <w:top w:val="nil"/>
              <w:left w:val="nil"/>
              <w:bottom w:val="single" w:sz="8" w:space="0" w:color="auto"/>
              <w:right w:val="nil"/>
            </w:tcBorders>
            <w:shd w:val="clear" w:color="auto" w:fill="auto"/>
            <w:vAlign w:val="center"/>
            <w:hideMark/>
          </w:tcPr>
          <w:p w14:paraId="47D4EDC7" w14:textId="77777777" w:rsidR="00CD054C" w:rsidRPr="00E6316F" w:rsidRDefault="00CD054C" w:rsidP="007200AB">
            <w:pPr>
              <w:pStyle w:val="P68B1DB1-Normal16"/>
              <w:spacing w:after="0" w:line="240" w:lineRule="auto"/>
              <w:jc w:val="center"/>
              <w:rPr>
                <w:lang w:val="en-GB"/>
              </w:rPr>
            </w:pPr>
            <w:r w:rsidRPr="00E6316F">
              <w:rPr>
                <w:lang w:val="en-GB"/>
              </w:rPr>
              <w:t>8,666.4</w:t>
            </w:r>
          </w:p>
        </w:tc>
        <w:tc>
          <w:tcPr>
            <w:tcW w:w="1134" w:type="dxa"/>
            <w:tcBorders>
              <w:top w:val="nil"/>
              <w:left w:val="nil"/>
              <w:bottom w:val="single" w:sz="8" w:space="0" w:color="auto"/>
              <w:right w:val="nil"/>
            </w:tcBorders>
            <w:shd w:val="clear" w:color="auto" w:fill="auto"/>
            <w:vAlign w:val="center"/>
            <w:hideMark/>
          </w:tcPr>
          <w:p w14:paraId="4EB2C50E" w14:textId="77777777" w:rsidR="00CD054C" w:rsidRPr="00E6316F" w:rsidRDefault="00CD054C" w:rsidP="007200AB">
            <w:pPr>
              <w:pStyle w:val="P68B1DB1-Normal16"/>
              <w:spacing w:after="0" w:line="240" w:lineRule="auto"/>
              <w:jc w:val="center"/>
              <w:rPr>
                <w:lang w:val="en-GB"/>
              </w:rPr>
            </w:pPr>
            <w:r w:rsidRPr="00E6316F">
              <w:rPr>
                <w:lang w:val="en-GB"/>
              </w:rPr>
              <w:t>8,452.0</w:t>
            </w:r>
          </w:p>
        </w:tc>
        <w:tc>
          <w:tcPr>
            <w:tcW w:w="993" w:type="dxa"/>
            <w:tcBorders>
              <w:top w:val="nil"/>
              <w:left w:val="nil"/>
              <w:bottom w:val="single" w:sz="8" w:space="0" w:color="auto"/>
              <w:right w:val="nil"/>
            </w:tcBorders>
            <w:shd w:val="clear" w:color="000000" w:fill="E3F1F7"/>
            <w:vAlign w:val="center"/>
            <w:hideMark/>
          </w:tcPr>
          <w:p w14:paraId="3B3E9B27" w14:textId="77777777" w:rsidR="00CD054C" w:rsidRPr="00E6316F" w:rsidRDefault="00CD054C" w:rsidP="007200AB">
            <w:pPr>
              <w:pStyle w:val="P68B1DB1-Normal17"/>
              <w:spacing w:after="0" w:line="240" w:lineRule="auto"/>
              <w:jc w:val="center"/>
              <w:rPr>
                <w:rFonts w:ascii="Calibri" w:hAnsi="Calibri" w:cs="Calibri"/>
                <w:lang w:val="en-GB"/>
              </w:rPr>
            </w:pPr>
            <w:r w:rsidRPr="00E6316F">
              <w:rPr>
                <w:rFonts w:ascii="Calibri" w:hAnsi="Calibri" w:cs="Calibri"/>
                <w:lang w:val="en-GB"/>
              </w:rPr>
              <w:t>2.5%</w:t>
            </w:r>
          </w:p>
        </w:tc>
        <w:tc>
          <w:tcPr>
            <w:tcW w:w="1134" w:type="dxa"/>
            <w:tcBorders>
              <w:top w:val="nil"/>
              <w:left w:val="nil"/>
              <w:bottom w:val="single" w:sz="8" w:space="0" w:color="auto"/>
              <w:right w:val="nil"/>
            </w:tcBorders>
            <w:shd w:val="clear" w:color="auto" w:fill="auto"/>
            <w:vAlign w:val="center"/>
            <w:hideMark/>
          </w:tcPr>
          <w:p w14:paraId="6BD304AD" w14:textId="77777777" w:rsidR="00CD054C" w:rsidRPr="00E6316F" w:rsidRDefault="00CD054C" w:rsidP="007200AB">
            <w:pPr>
              <w:pStyle w:val="P68B1DB1-Normal16"/>
              <w:spacing w:after="0" w:line="240" w:lineRule="auto"/>
              <w:jc w:val="center"/>
              <w:rPr>
                <w:lang w:val="en-GB"/>
              </w:rPr>
            </w:pPr>
            <w:r w:rsidRPr="00E6316F">
              <w:rPr>
                <w:lang w:val="en-GB"/>
              </w:rPr>
              <w:t>3,120.7</w:t>
            </w:r>
          </w:p>
        </w:tc>
        <w:tc>
          <w:tcPr>
            <w:tcW w:w="992" w:type="dxa"/>
            <w:tcBorders>
              <w:top w:val="nil"/>
              <w:left w:val="nil"/>
              <w:bottom w:val="single" w:sz="8" w:space="0" w:color="auto"/>
              <w:right w:val="nil"/>
            </w:tcBorders>
            <w:shd w:val="clear" w:color="auto" w:fill="auto"/>
            <w:vAlign w:val="center"/>
            <w:hideMark/>
          </w:tcPr>
          <w:p w14:paraId="19675510" w14:textId="77777777" w:rsidR="00CD054C" w:rsidRPr="00E6316F" w:rsidRDefault="00CD054C" w:rsidP="007200AB">
            <w:pPr>
              <w:pStyle w:val="P68B1DB1-Normal16"/>
              <w:spacing w:after="0" w:line="240" w:lineRule="auto"/>
              <w:jc w:val="center"/>
              <w:rPr>
                <w:lang w:val="en-GB"/>
              </w:rPr>
            </w:pPr>
            <w:r w:rsidRPr="00E6316F">
              <w:rPr>
                <w:lang w:val="en-GB"/>
              </w:rPr>
              <w:t>2,669.6</w:t>
            </w:r>
          </w:p>
        </w:tc>
        <w:tc>
          <w:tcPr>
            <w:tcW w:w="992" w:type="dxa"/>
            <w:tcBorders>
              <w:top w:val="nil"/>
              <w:left w:val="nil"/>
              <w:bottom w:val="single" w:sz="8" w:space="0" w:color="auto"/>
              <w:right w:val="nil"/>
            </w:tcBorders>
            <w:shd w:val="clear" w:color="000000" w:fill="E3F1F7"/>
            <w:vAlign w:val="center"/>
            <w:hideMark/>
          </w:tcPr>
          <w:p w14:paraId="2C37162A" w14:textId="77777777" w:rsidR="00CD054C" w:rsidRPr="00E6316F" w:rsidRDefault="00CD054C" w:rsidP="007200AB">
            <w:pPr>
              <w:pStyle w:val="P68B1DB1-Normal17"/>
              <w:spacing w:after="0" w:line="240" w:lineRule="auto"/>
              <w:jc w:val="center"/>
              <w:rPr>
                <w:rFonts w:ascii="Calibri" w:hAnsi="Calibri" w:cs="Calibri"/>
                <w:lang w:val="en-GB"/>
              </w:rPr>
            </w:pPr>
            <w:r w:rsidRPr="00E6316F">
              <w:rPr>
                <w:rFonts w:ascii="Calibri" w:hAnsi="Calibri" w:cs="Calibri"/>
                <w:lang w:val="en-GB"/>
              </w:rPr>
              <w:t>16.9%</w:t>
            </w:r>
          </w:p>
        </w:tc>
      </w:tr>
    </w:tbl>
    <w:p w14:paraId="114F924E" w14:textId="77777777" w:rsidR="00CD054C" w:rsidRPr="008A6DE3" w:rsidRDefault="00CD054C" w:rsidP="00CD054C">
      <w:pPr>
        <w:pStyle w:val="aa"/>
        <w:rPr>
          <w:rFonts w:asciiTheme="minorHAnsi" w:hAnsiTheme="minorHAnsi" w:cstheme="minorHAnsi"/>
          <w:i/>
          <w:sz w:val="18"/>
          <w:lang w:val="en-GB"/>
        </w:rPr>
      </w:pPr>
    </w:p>
    <w:p w14:paraId="34AC7A7A" w14:textId="77777777" w:rsidR="00CD054C" w:rsidRPr="008A6DE3" w:rsidRDefault="00CD054C" w:rsidP="00CD054C">
      <w:pPr>
        <w:pStyle w:val="P68B1DB1-Footer18"/>
        <w:rPr>
          <w:lang w:val="en-GB"/>
        </w:rPr>
      </w:pPr>
      <w:r w:rsidRPr="008A6DE3">
        <w:rPr>
          <w:lang w:val="en-GB"/>
        </w:rPr>
        <w:t>RUB/USD exchange rate: average 9M 2023 rate: 82.6934; average 9M 2022 rate: 70.6135; as of 30 September 2023: 97.4147; as of 31 December 2022: 70.3375.</w:t>
      </w:r>
    </w:p>
    <w:p w14:paraId="57E36061" w14:textId="77777777" w:rsidR="00CD054C" w:rsidRPr="008A6DE3" w:rsidRDefault="00CD054C" w:rsidP="00CD054C">
      <w:pPr>
        <w:pStyle w:val="P68B1DB1-Footer18"/>
        <w:rPr>
          <w:lang w:val="en-GB"/>
        </w:rPr>
      </w:pPr>
      <w:r w:rsidRPr="008A6DE3">
        <w:rPr>
          <w:lang w:val="en-GB"/>
        </w:rPr>
        <w:t>* EBITDA is calculated as operating profit adjusted for depreciation and amortisation.</w:t>
      </w:r>
    </w:p>
    <w:p w14:paraId="006F08FA" w14:textId="74C1576B" w:rsidR="00A5582A" w:rsidRDefault="00A5582A" w:rsidP="00CD054C">
      <w:pPr>
        <w:pStyle w:val="P68B1DB1-Footer18"/>
        <w:tabs>
          <w:tab w:val="clear" w:pos="4513"/>
          <w:tab w:val="clear" w:pos="9026"/>
        </w:tabs>
        <w:snapToGrid w:val="0"/>
        <w:rPr>
          <w:lang w:val="en-GB"/>
        </w:rPr>
      </w:pPr>
      <w:r w:rsidRPr="00A5582A">
        <w:rPr>
          <w:lang w:val="en-GB"/>
        </w:rPr>
        <w:t>** Adj. EBITDA is EBITDA as reported minus FX differences from operating activities.</w:t>
      </w:r>
    </w:p>
    <w:p w14:paraId="48F53CB5" w14:textId="0199B2DA" w:rsidR="00CD054C" w:rsidRPr="008A6DE3" w:rsidRDefault="00CD054C" w:rsidP="00CD054C">
      <w:pPr>
        <w:pStyle w:val="P68B1DB1-Footer18"/>
        <w:tabs>
          <w:tab w:val="clear" w:pos="4513"/>
          <w:tab w:val="clear" w:pos="9026"/>
        </w:tabs>
        <w:snapToGrid w:val="0"/>
        <w:rPr>
          <w:lang w:val="en-GB"/>
        </w:rPr>
      </w:pPr>
      <w:r w:rsidRPr="008A6DE3">
        <w:rPr>
          <w:lang w:val="en-GB"/>
        </w:rPr>
        <w:t>**</w:t>
      </w:r>
      <w:r w:rsidR="00A5582A">
        <w:rPr>
          <w:lang w:val="en-GB"/>
        </w:rPr>
        <w:t>*</w:t>
      </w:r>
      <w:r w:rsidR="00802E00" w:rsidRPr="008A6DE3">
        <w:rPr>
          <w:lang w:val="en-GB"/>
        </w:rPr>
        <w:t xml:space="preserve"> </w:t>
      </w:r>
      <w:r w:rsidRPr="008A6DE3">
        <w:rPr>
          <w:lang w:val="en-GB"/>
        </w:rPr>
        <w:t>Adj. net profit is net profit as reported minus FX gain or loss.</w:t>
      </w:r>
    </w:p>
    <w:p w14:paraId="0326D2EF" w14:textId="77777777" w:rsidR="00CD054C" w:rsidRPr="008A6DE3" w:rsidRDefault="00CD054C" w:rsidP="00CD054C">
      <w:pPr>
        <w:pStyle w:val="MediumGrid1-Accent21"/>
        <w:snapToGrid w:val="0"/>
        <w:spacing w:after="0" w:line="240" w:lineRule="auto"/>
        <w:ind w:left="0"/>
        <w:contextualSpacing w:val="0"/>
        <w:jc w:val="both"/>
        <w:rPr>
          <w:rFonts w:asciiTheme="minorHAnsi" w:hAnsiTheme="minorHAnsi" w:cstheme="minorHAnsi"/>
        </w:rPr>
      </w:pPr>
    </w:p>
    <w:p w14:paraId="0376D2E0" w14:textId="1D65DE90" w:rsidR="00CD054C" w:rsidRPr="008A6DE3" w:rsidRDefault="00CD054C" w:rsidP="008F2D19">
      <w:pPr>
        <w:pStyle w:val="P68B1DB1-Normal2"/>
        <w:shd w:val="clear" w:color="auto" w:fill="FFFFFF"/>
        <w:spacing w:line="240" w:lineRule="auto"/>
        <w:jc w:val="both"/>
        <w:rPr>
          <w:color w:val="FF0000"/>
          <w:lang w:val="en-GB"/>
        </w:rPr>
      </w:pPr>
      <w:r w:rsidRPr="008A6DE3">
        <w:rPr>
          <w:lang w:val="en-GB"/>
        </w:rPr>
        <w:t>The year-on-year decrease in EBITDA in 9M reflects lower global fertilizer prices in 2023; however, EBITDA margin remain</w:t>
      </w:r>
      <w:r w:rsidR="000D7B80" w:rsidRPr="008A6DE3">
        <w:rPr>
          <w:lang w:val="en-GB"/>
        </w:rPr>
        <w:t>ed</w:t>
      </w:r>
      <w:r w:rsidRPr="008A6DE3">
        <w:rPr>
          <w:lang w:val="en-GB"/>
        </w:rPr>
        <w:t xml:space="preserve"> high, driven by factors such as production growth, a decrease in the cost of key feedstocks and flexible production chains that enabled the Company to focus</w:t>
      </w:r>
      <w:r w:rsidR="001236DB" w:rsidRPr="008A6DE3">
        <w:rPr>
          <w:lang w:val="en-GB"/>
        </w:rPr>
        <w:t xml:space="preserve"> its output</w:t>
      </w:r>
      <w:r w:rsidRPr="008A6DE3">
        <w:rPr>
          <w:lang w:val="en-GB"/>
        </w:rPr>
        <w:t xml:space="preserve"> on the highest-margin products in the current environment.</w:t>
      </w:r>
    </w:p>
    <w:p w14:paraId="008489C3" w14:textId="1C02E341" w:rsidR="00CD054C" w:rsidRPr="008A6DE3" w:rsidRDefault="006D2E0E" w:rsidP="008F2D19">
      <w:pPr>
        <w:pStyle w:val="P68B1DB1-Normal2"/>
        <w:shd w:val="clear" w:color="auto" w:fill="FFFFFF"/>
        <w:spacing w:line="240" w:lineRule="auto"/>
        <w:jc w:val="both"/>
        <w:rPr>
          <w:color w:val="FF0000"/>
          <w:lang w:val="en-GB"/>
        </w:rPr>
      </w:pPr>
      <w:r w:rsidRPr="008A6DE3">
        <w:rPr>
          <w:lang w:val="en-GB"/>
        </w:rPr>
        <w:t>Thanks to its</w:t>
      </w:r>
      <w:r w:rsidR="00CD054C" w:rsidRPr="008A6DE3">
        <w:rPr>
          <w:lang w:val="en-GB"/>
        </w:rPr>
        <w:t xml:space="preserve"> flexible sales policy</w:t>
      </w:r>
      <w:r w:rsidRPr="008A6DE3">
        <w:rPr>
          <w:lang w:val="en-GB"/>
        </w:rPr>
        <w:t>, the Company</w:t>
      </w:r>
      <w:r w:rsidR="00CD054C" w:rsidRPr="008A6DE3">
        <w:rPr>
          <w:lang w:val="en-GB"/>
        </w:rPr>
        <w:t xml:space="preserve"> greatly increase</w:t>
      </w:r>
      <w:r w:rsidRPr="008A6DE3">
        <w:rPr>
          <w:lang w:val="en-GB"/>
        </w:rPr>
        <w:t>d</w:t>
      </w:r>
      <w:r w:rsidR="00CD054C" w:rsidRPr="008A6DE3">
        <w:rPr>
          <w:lang w:val="en-GB"/>
        </w:rPr>
        <w:t xml:space="preserve"> fertilizer sales in 3Q 2023 not only to </w:t>
      </w:r>
      <w:r w:rsidRPr="008A6DE3">
        <w:rPr>
          <w:lang w:val="en-GB"/>
        </w:rPr>
        <w:t>its</w:t>
      </w:r>
      <w:r w:rsidR="00CD054C" w:rsidRPr="008A6DE3">
        <w:rPr>
          <w:lang w:val="en-GB"/>
        </w:rPr>
        <w:t xml:space="preserve"> priority domestic market (where farmers</w:t>
      </w:r>
      <w:r w:rsidRPr="008A6DE3">
        <w:rPr>
          <w:lang w:val="en-GB"/>
        </w:rPr>
        <w:t>’</w:t>
      </w:r>
      <w:r w:rsidR="00CD054C" w:rsidRPr="008A6DE3">
        <w:rPr>
          <w:lang w:val="en-GB"/>
        </w:rPr>
        <w:t xml:space="preserve"> demand </w:t>
      </w:r>
      <w:r w:rsidRPr="008A6DE3">
        <w:rPr>
          <w:lang w:val="en-GB"/>
        </w:rPr>
        <w:t xml:space="preserve">was met </w:t>
      </w:r>
      <w:r w:rsidR="00CD054C" w:rsidRPr="008A6DE3">
        <w:rPr>
          <w:lang w:val="en-GB"/>
        </w:rPr>
        <w:t>in full) but also to key export markets, where there a seasonal increase in demand</w:t>
      </w:r>
      <w:r w:rsidRPr="008A6DE3">
        <w:rPr>
          <w:lang w:val="en-GB"/>
        </w:rPr>
        <w:t xml:space="preserve"> was observed</w:t>
      </w:r>
      <w:r w:rsidR="00CD054C" w:rsidRPr="008A6DE3">
        <w:rPr>
          <w:lang w:val="en-GB"/>
        </w:rPr>
        <w:t>. For example, sales (primarily of MAP) to Brazil rose nearly fourfold year-on-year, driven by new MAP production capacities at the Volkhov complex. Sales also increased in Western Europe, where seasonal demand recovered following last year</w:t>
      </w:r>
      <w:r w:rsidR="003E154D" w:rsidRPr="008A6DE3">
        <w:rPr>
          <w:lang w:val="en-GB"/>
        </w:rPr>
        <w:t>’</w:t>
      </w:r>
      <w:r w:rsidR="00CD054C" w:rsidRPr="008A6DE3">
        <w:rPr>
          <w:lang w:val="en-GB"/>
        </w:rPr>
        <w:t xml:space="preserve">s contraction, when farmers postponed fertilizer purchases because of high prices. </w:t>
      </w:r>
      <w:r w:rsidR="00CD054C" w:rsidRPr="008A6DE3">
        <w:rPr>
          <w:color w:val="FF0000"/>
          <w:lang w:val="en-GB"/>
        </w:rPr>
        <w:t xml:space="preserve"> </w:t>
      </w:r>
    </w:p>
    <w:p w14:paraId="77A5B2A8" w14:textId="30D0A847" w:rsidR="00CD054C" w:rsidRPr="008A6DE3" w:rsidRDefault="00CD054C" w:rsidP="008F2D19">
      <w:pPr>
        <w:pStyle w:val="P68B1DB1-Normal2"/>
        <w:shd w:val="clear" w:color="auto" w:fill="FFFFFF"/>
        <w:spacing w:line="240" w:lineRule="auto"/>
        <w:jc w:val="both"/>
        <w:rPr>
          <w:lang w:val="en-GB"/>
        </w:rPr>
      </w:pPr>
      <w:r w:rsidRPr="008A6DE3">
        <w:rPr>
          <w:lang w:val="en-GB"/>
        </w:rPr>
        <w:t>Higher sales volumes during the last quarter alongside the start of a recovery in global fertilizer prices led to an increase in working capital (</w:t>
      </w:r>
      <w:r w:rsidR="00901149" w:rsidRPr="008A6DE3">
        <w:rPr>
          <w:lang w:val="en-GB"/>
        </w:rPr>
        <w:t>owing</w:t>
      </w:r>
      <w:r w:rsidRPr="008A6DE3">
        <w:rPr>
          <w:lang w:val="en-GB"/>
        </w:rPr>
        <w:t xml:space="preserve"> to an increase in accounts receivable and inventory growth). This outflow had an impact on free cash flow, which was down year-on-year but up 25% compared with the previous quarter. </w:t>
      </w:r>
    </w:p>
    <w:p w14:paraId="2AC3D1C8" w14:textId="35C0BCE8" w:rsidR="00CD054C" w:rsidRPr="008A6DE3" w:rsidRDefault="00CD054C" w:rsidP="008F2D19">
      <w:pPr>
        <w:pStyle w:val="P68B1DB1-Normal2"/>
        <w:shd w:val="clear" w:color="auto" w:fill="FFFFFF"/>
        <w:spacing w:line="240" w:lineRule="auto"/>
        <w:jc w:val="both"/>
        <w:rPr>
          <w:lang w:val="en-GB"/>
        </w:rPr>
      </w:pPr>
      <w:r w:rsidRPr="008A6DE3">
        <w:rPr>
          <w:lang w:val="en-GB"/>
        </w:rPr>
        <w:t xml:space="preserve">Thanks to its strong financial position, controlled capital investments and robust generation of free cash flow the Company </w:t>
      </w:r>
      <w:r w:rsidR="00901149" w:rsidRPr="008A6DE3">
        <w:rPr>
          <w:lang w:val="en-GB"/>
        </w:rPr>
        <w:t xml:space="preserve">was able to </w:t>
      </w:r>
      <w:r w:rsidRPr="008A6DE3">
        <w:rPr>
          <w:lang w:val="en-GB"/>
        </w:rPr>
        <w:t>service all its debt obligations on time and in full, including those denominated in foreign currency. As of the end of 9M 2023, the Company</w:t>
      </w:r>
      <w:r w:rsidR="00901149" w:rsidRPr="008A6DE3">
        <w:rPr>
          <w:lang w:val="en-GB"/>
        </w:rPr>
        <w:t>’</w:t>
      </w:r>
      <w:r w:rsidRPr="008A6DE3">
        <w:rPr>
          <w:lang w:val="en-GB"/>
        </w:rPr>
        <w:t>s debt load remained at a comfortable level. As of 30 September 2023, net debt amounted to RUB 227.9 billion, and the net debt/</w:t>
      </w:r>
      <w:r w:rsidR="001D2862">
        <w:rPr>
          <w:lang w:val="en-GB"/>
        </w:rPr>
        <w:t xml:space="preserve">adj. </w:t>
      </w:r>
      <w:r w:rsidRPr="008A6DE3">
        <w:rPr>
          <w:lang w:val="en-GB"/>
        </w:rPr>
        <w:t>EBITDA ratio was 1.</w:t>
      </w:r>
      <w:r w:rsidR="002A578F">
        <w:rPr>
          <w:lang w:val="en-GB"/>
        </w:rPr>
        <w:t>3</w:t>
      </w:r>
      <w:r w:rsidRPr="008A6DE3">
        <w:rPr>
          <w:lang w:val="en-GB"/>
        </w:rPr>
        <w:t>x. The growth in rouble-denominated debt was driven to a large extent by the weakening of the rouble against the US dollar throughout 2023 and the revaluation of the Company</w:t>
      </w:r>
      <w:r w:rsidR="00901149" w:rsidRPr="008A6DE3">
        <w:rPr>
          <w:lang w:val="en-GB"/>
        </w:rPr>
        <w:t>’</w:t>
      </w:r>
      <w:r w:rsidRPr="008A6DE3">
        <w:rPr>
          <w:lang w:val="en-GB"/>
        </w:rPr>
        <w:t xml:space="preserve">s FX-denominated debt at new rates at the end 3Q. </w:t>
      </w:r>
    </w:p>
    <w:p w14:paraId="3553A951" w14:textId="77777777" w:rsidR="00CD054C" w:rsidRPr="008A6DE3" w:rsidRDefault="00CD054C" w:rsidP="008F2D19">
      <w:pPr>
        <w:pStyle w:val="P68B1DB1-Normal19"/>
        <w:shd w:val="clear" w:color="auto" w:fill="FFFFFF"/>
        <w:spacing w:line="240" w:lineRule="auto"/>
        <w:jc w:val="both"/>
        <w:rPr>
          <w:lang w:val="en-GB"/>
        </w:rPr>
      </w:pPr>
      <w:r w:rsidRPr="008A6DE3">
        <w:rPr>
          <w:lang w:val="en-GB"/>
        </w:rPr>
        <w:t>Market situation in 3Q 2023</w:t>
      </w:r>
    </w:p>
    <w:p w14:paraId="65936316" w14:textId="03A2F1DB" w:rsidR="00CD054C" w:rsidRPr="008A6DE3" w:rsidRDefault="00CD054C" w:rsidP="008F2D19">
      <w:pPr>
        <w:pStyle w:val="P68B1DB1-Normal2"/>
        <w:shd w:val="clear" w:color="auto" w:fill="FFFFFF"/>
        <w:spacing w:line="240" w:lineRule="auto"/>
        <w:jc w:val="both"/>
        <w:rPr>
          <w:lang w:val="en-GB"/>
        </w:rPr>
      </w:pPr>
      <w:r w:rsidRPr="008A6DE3">
        <w:rPr>
          <w:lang w:val="en-GB"/>
        </w:rPr>
        <w:lastRenderedPageBreak/>
        <w:t>The global mineral fertilizer market is showing signs of recovery following a marked decline in 2022. The recovery in demand is being supported by relatively favourable fertilizer and crop price parity and low fertilizer stocks in key markets. According to the IFA and other industry organisations, global fertilizer consumption in 2023 may grow by 2%–4%, or 6–7 million tonnes of primary nutrient, with further recovery in 2024.</w:t>
      </w:r>
    </w:p>
    <w:p w14:paraId="624D3AF3" w14:textId="77777777" w:rsidR="00CD054C" w:rsidRPr="008A6DE3" w:rsidRDefault="00CD054C" w:rsidP="008F2D19">
      <w:pPr>
        <w:pStyle w:val="P68B1DB1-Normal2"/>
        <w:shd w:val="clear" w:color="auto" w:fill="FFFFFF"/>
        <w:spacing w:line="240" w:lineRule="auto"/>
        <w:jc w:val="both"/>
        <w:rPr>
          <w:lang w:val="en-GB"/>
        </w:rPr>
      </w:pPr>
      <w:r w:rsidRPr="008A6DE3">
        <w:rPr>
          <w:lang w:val="en-GB"/>
        </w:rPr>
        <w:t>Fertilizer prices in June–July 2023 reached their lowest levels in the last two years and began to gradually recover during the third quarter as a result of a widespread increase in demand.</w:t>
      </w:r>
    </w:p>
    <w:p w14:paraId="47DB7510" w14:textId="0A74A0C5" w:rsidR="00CD054C" w:rsidRPr="008A6DE3" w:rsidRDefault="00CD054C" w:rsidP="008F2D19">
      <w:pPr>
        <w:pStyle w:val="P68B1DB1-Normal2"/>
        <w:shd w:val="clear" w:color="auto" w:fill="FFFFFF"/>
        <w:spacing w:line="240" w:lineRule="auto"/>
        <w:jc w:val="both"/>
        <w:rPr>
          <w:lang w:val="en-GB"/>
        </w:rPr>
      </w:pPr>
      <w:r w:rsidRPr="008A6DE3">
        <w:rPr>
          <w:lang w:val="en-GB"/>
        </w:rPr>
        <w:t>An uptick in seasonal demand in key markets for phosphate-based fertilizers (Brazil and India) and off-season interest from the US domestic market supported an increase in DAP/MAP prices in July–August, from USD</w:t>
      </w:r>
      <w:r w:rsidRPr="008A6DE3">
        <w:rPr>
          <w:rFonts w:ascii="Segoe UI Symbol" w:hAnsi="Segoe UI Symbol" w:cs="Segoe UI Symbol"/>
          <w:lang w:val="en-GB"/>
        </w:rPr>
        <w:t>⁠</w:t>
      </w:r>
      <w:r w:rsidR="00B16821" w:rsidRPr="008A6DE3">
        <w:rPr>
          <w:rFonts w:ascii="Segoe UI Symbol" w:hAnsi="Segoe UI Symbol" w:cs="Segoe UI Symbol"/>
          <w:lang w:val="en-GB"/>
        </w:rPr>
        <w:t xml:space="preserve"> </w:t>
      </w:r>
      <w:r w:rsidRPr="008A6DE3">
        <w:rPr>
          <w:lang w:val="en-GB"/>
        </w:rPr>
        <w:t>405 per tonne (FOB Baltic) to USD 490 per tonne (FOB Baltic); prices subsequent</w:t>
      </w:r>
      <w:r w:rsidR="00B16821" w:rsidRPr="008A6DE3">
        <w:rPr>
          <w:lang w:val="en-GB"/>
        </w:rPr>
        <w:t>ly</w:t>
      </w:r>
      <w:r w:rsidRPr="008A6DE3">
        <w:rPr>
          <w:lang w:val="en-GB"/>
        </w:rPr>
        <w:t xml:space="preserve"> stabilised in the range of USD 500–510 per tonne (FOB Baltic) in September 2023. The average price for MAP in 3Q 2023 was USD 468 per tonne (FOB Baltic).</w:t>
      </w:r>
    </w:p>
    <w:p w14:paraId="4926B929" w14:textId="7C96FB33" w:rsidR="00CD054C" w:rsidRPr="008A6DE3" w:rsidRDefault="00CD054C" w:rsidP="008F2D19">
      <w:pPr>
        <w:pStyle w:val="P68B1DB1-Normal2"/>
        <w:shd w:val="clear" w:color="auto" w:fill="FFFFFF"/>
        <w:spacing w:line="240" w:lineRule="auto"/>
        <w:jc w:val="both"/>
        <w:rPr>
          <w:lang w:val="en-GB"/>
        </w:rPr>
      </w:pPr>
      <w:r w:rsidRPr="008A6DE3">
        <w:rPr>
          <w:lang w:val="en-GB"/>
        </w:rPr>
        <w:t>The market for nitrogen-based fertilizers in 3Q 2023 was mark</w:t>
      </w:r>
      <w:r w:rsidR="00B16821" w:rsidRPr="008A6DE3">
        <w:rPr>
          <w:lang w:val="en-GB"/>
        </w:rPr>
        <w:t>ed</w:t>
      </w:r>
      <w:r w:rsidRPr="008A6DE3">
        <w:rPr>
          <w:lang w:val="en-GB"/>
        </w:rPr>
        <w:t xml:space="preserve"> by high price volatility: prices during the quarter fluctuated by USD 150 per tonne owing to disruptions at key producers (in the Middle East, South-</w:t>
      </w:r>
      <w:r w:rsidR="00B16821" w:rsidRPr="008A6DE3">
        <w:rPr>
          <w:lang w:val="en-GB"/>
        </w:rPr>
        <w:t>E</w:t>
      </w:r>
      <w:r w:rsidRPr="008A6DE3">
        <w:rPr>
          <w:lang w:val="en-GB"/>
        </w:rPr>
        <w:t>ast Asia and West Africa), while seasonal demand picked up in Latin American markets and later in India. One of the key factors driving price fluctuations was inconsistency in terms of urea export volumes from China. Urea prices in 3Q 2023 ranged from USD 270 to USD 420 per tonne (FOB Baltic), with an average of USD 343 per tonne (FOB Baltic). The average export price for ammonium nitrate was USD 228 per tonne (FOB Baltic).</w:t>
      </w:r>
    </w:p>
    <w:p w14:paraId="6D9A2545" w14:textId="77777777" w:rsidR="00CD054C" w:rsidRPr="008A6DE3" w:rsidRDefault="00CD054C" w:rsidP="008F2D19">
      <w:pPr>
        <w:pStyle w:val="P68B1DB1-Normal2"/>
        <w:shd w:val="clear" w:color="auto" w:fill="FFFFFF"/>
        <w:spacing w:line="240" w:lineRule="auto"/>
        <w:jc w:val="both"/>
        <w:rPr>
          <w:lang w:val="en-GB"/>
        </w:rPr>
      </w:pPr>
      <w:r w:rsidRPr="008A6DE3">
        <w:rPr>
          <w:lang w:val="en-GB"/>
        </w:rPr>
        <w:t>The prices of key commodities remained relatively stable: the price of sulphur was USD 58 per tonne (FOB Baltic), and the price of standard potassium chloride was USD 282 per tonne (FOB Baltic).</w:t>
      </w:r>
    </w:p>
    <w:p w14:paraId="4D94BDEE" w14:textId="77777777" w:rsidR="00CD054C" w:rsidRPr="008A6DE3" w:rsidRDefault="00CD054C" w:rsidP="008F2D19">
      <w:pPr>
        <w:pStyle w:val="P68B1DB1-Normal19"/>
        <w:shd w:val="clear" w:color="auto" w:fill="FFFFFF"/>
        <w:spacing w:line="240" w:lineRule="auto"/>
        <w:jc w:val="both"/>
        <w:rPr>
          <w:lang w:val="en-GB"/>
        </w:rPr>
      </w:pPr>
      <w:r w:rsidRPr="008A6DE3">
        <w:rPr>
          <w:lang w:val="en-GB"/>
        </w:rPr>
        <w:t>Outlook for 4Q 2023</w:t>
      </w:r>
    </w:p>
    <w:p w14:paraId="5E4722A9" w14:textId="12B531BE" w:rsidR="00CD054C" w:rsidRPr="008A6DE3" w:rsidRDefault="00CD054C" w:rsidP="008F2D19">
      <w:pPr>
        <w:pStyle w:val="P68B1DB1-Normal2"/>
        <w:shd w:val="clear" w:color="auto" w:fill="FFFFFF"/>
        <w:spacing w:line="240" w:lineRule="auto"/>
        <w:jc w:val="both"/>
        <w:rPr>
          <w:lang w:val="en-GB"/>
        </w:rPr>
      </w:pPr>
      <w:r w:rsidRPr="008A6DE3">
        <w:rPr>
          <w:lang w:val="en-GB"/>
        </w:rPr>
        <w:t xml:space="preserve">At the moment, the main mineral fertilizer markets are marked by ongoing demand, including for the build-up of comfortable carryover stocks for the new spring season. Restrictions on Chinese exports of both nitrogen- and phosphate-based fertilizers </w:t>
      </w:r>
      <w:r w:rsidR="008A6DE3" w:rsidRPr="008A6DE3">
        <w:rPr>
          <w:lang w:val="en-GB"/>
        </w:rPr>
        <w:t>have</w:t>
      </w:r>
      <w:r w:rsidRPr="008A6DE3">
        <w:rPr>
          <w:lang w:val="en-GB"/>
        </w:rPr>
        <w:t xml:space="preserve"> created </w:t>
      </w:r>
      <w:r w:rsidR="007959EB">
        <w:rPr>
          <w:lang w:val="en-GB"/>
        </w:rPr>
        <w:t xml:space="preserve">an </w:t>
      </w:r>
      <w:r w:rsidRPr="008A6DE3">
        <w:rPr>
          <w:lang w:val="en-GB"/>
        </w:rPr>
        <w:t>additional supply constraint in the market</w:t>
      </w:r>
      <w:r w:rsidR="008A6DE3" w:rsidRPr="008A6DE3">
        <w:rPr>
          <w:lang w:val="en-GB"/>
        </w:rPr>
        <w:t>,</w:t>
      </w:r>
      <w:r w:rsidRPr="008A6DE3">
        <w:rPr>
          <w:lang w:val="en-GB"/>
        </w:rPr>
        <w:t xml:space="preserve"> </w:t>
      </w:r>
      <w:r w:rsidR="008A6DE3" w:rsidRPr="008A6DE3">
        <w:rPr>
          <w:lang w:val="en-GB"/>
        </w:rPr>
        <w:t>supporting</w:t>
      </w:r>
      <w:r w:rsidRPr="008A6DE3">
        <w:rPr>
          <w:lang w:val="en-GB"/>
        </w:rPr>
        <w:t xml:space="preserve"> prices at their current levels.</w:t>
      </w:r>
    </w:p>
    <w:p w14:paraId="6A098702" w14:textId="77777777" w:rsidR="00CD054C" w:rsidRPr="008A6DE3" w:rsidRDefault="00CD054C" w:rsidP="00CD054C">
      <w:pPr>
        <w:spacing w:after="0" w:line="240" w:lineRule="auto"/>
        <w:rPr>
          <w:rFonts w:asciiTheme="minorHAnsi" w:hAnsiTheme="minorHAnsi" w:cstheme="minorHAnsi"/>
          <w:b/>
        </w:rPr>
      </w:pPr>
    </w:p>
    <w:p w14:paraId="0A8D3ADC" w14:textId="77777777" w:rsidR="00CD054C" w:rsidRPr="008A6DE3" w:rsidRDefault="00CD054C" w:rsidP="00CD054C">
      <w:pPr>
        <w:pStyle w:val="P68B1DB1-Normal1"/>
        <w:spacing w:after="0" w:line="240" w:lineRule="auto"/>
        <w:rPr>
          <w:lang w:val="en-GB"/>
        </w:rPr>
      </w:pPr>
      <w:r w:rsidRPr="008A6DE3">
        <w:rPr>
          <w:lang w:val="en-GB"/>
        </w:rPr>
        <w:t>For further information, please contact:</w:t>
      </w:r>
    </w:p>
    <w:p w14:paraId="6717C94F" w14:textId="77777777" w:rsidR="00CD054C" w:rsidRPr="008A6DE3" w:rsidRDefault="00CD054C" w:rsidP="00CD054C">
      <w:pPr>
        <w:spacing w:after="0" w:line="240" w:lineRule="auto"/>
        <w:rPr>
          <w:rFonts w:asciiTheme="minorHAnsi" w:hAnsiTheme="minorHAnsi" w:cstheme="minorHAnsi"/>
        </w:rPr>
      </w:pPr>
    </w:p>
    <w:p w14:paraId="1692CF2B" w14:textId="77777777" w:rsidR="00CD054C" w:rsidRPr="008A6DE3" w:rsidRDefault="00CD054C" w:rsidP="00CD054C">
      <w:pPr>
        <w:pStyle w:val="P68B1DB1-Normal2"/>
        <w:snapToGrid w:val="0"/>
        <w:spacing w:after="0" w:line="240" w:lineRule="auto"/>
        <w:rPr>
          <w:lang w:val="en-GB"/>
        </w:rPr>
      </w:pPr>
      <w:r w:rsidRPr="008A6DE3">
        <w:rPr>
          <w:lang w:val="en-GB"/>
        </w:rPr>
        <w:t>PJSC PhosAgro</w:t>
      </w:r>
    </w:p>
    <w:p w14:paraId="19225494" w14:textId="77777777" w:rsidR="00CD054C" w:rsidRPr="008A6DE3" w:rsidRDefault="00CD054C" w:rsidP="00CD054C">
      <w:pPr>
        <w:pStyle w:val="P68B1DB1-Normal2"/>
        <w:snapToGrid w:val="0"/>
        <w:spacing w:after="0" w:line="240" w:lineRule="auto"/>
        <w:rPr>
          <w:lang w:val="en-GB"/>
        </w:rPr>
      </w:pPr>
      <w:r w:rsidRPr="008A6DE3">
        <w:rPr>
          <w:lang w:val="en-GB"/>
        </w:rPr>
        <w:t>Andrey Serov, Head of the Investor Relations Department</w:t>
      </w:r>
    </w:p>
    <w:p w14:paraId="55136ED5" w14:textId="77777777" w:rsidR="00CD054C" w:rsidRPr="008A6DE3" w:rsidRDefault="00CD054C" w:rsidP="00CD054C">
      <w:pPr>
        <w:pStyle w:val="P68B1DB1-Normal2"/>
        <w:snapToGrid w:val="0"/>
        <w:spacing w:after="0" w:line="240" w:lineRule="auto"/>
        <w:rPr>
          <w:lang w:val="en-GB"/>
        </w:rPr>
      </w:pPr>
      <w:r w:rsidRPr="008A6DE3">
        <w:rPr>
          <w:lang w:val="en-GB"/>
        </w:rPr>
        <w:t>+7 495 231 2747 ext. 2183</w:t>
      </w:r>
    </w:p>
    <w:p w14:paraId="658FBCA4" w14:textId="77777777" w:rsidR="00CD054C" w:rsidRPr="008A6DE3" w:rsidRDefault="00E6316F" w:rsidP="00CD054C">
      <w:pPr>
        <w:spacing w:after="0" w:line="240" w:lineRule="auto"/>
        <w:rPr>
          <w:rFonts w:asciiTheme="minorHAnsi" w:hAnsiTheme="minorHAnsi" w:cstheme="minorHAnsi"/>
        </w:rPr>
      </w:pPr>
      <w:hyperlink r:id="rId9" w:history="1">
        <w:r w:rsidR="00CD054C" w:rsidRPr="008A6DE3">
          <w:rPr>
            <w:rStyle w:val="a7"/>
            <w:rFonts w:asciiTheme="minorHAnsi" w:hAnsiTheme="minorHAnsi" w:cstheme="minorHAnsi"/>
          </w:rPr>
          <w:t>ir@phosagro.ru</w:t>
        </w:r>
      </w:hyperlink>
    </w:p>
    <w:p w14:paraId="5644C28F" w14:textId="77777777" w:rsidR="00CD054C" w:rsidRPr="008A6DE3" w:rsidRDefault="00CD054C" w:rsidP="00CD054C">
      <w:pPr>
        <w:spacing w:after="0" w:line="240" w:lineRule="auto"/>
        <w:rPr>
          <w:rFonts w:asciiTheme="minorHAnsi" w:hAnsiTheme="minorHAnsi" w:cstheme="minorHAnsi"/>
        </w:rPr>
      </w:pPr>
    </w:p>
    <w:p w14:paraId="26E8BFC4" w14:textId="77777777" w:rsidR="00CD054C" w:rsidRPr="008A6DE3" w:rsidRDefault="00CD054C" w:rsidP="00CD054C">
      <w:pPr>
        <w:pStyle w:val="P68B1DB1-Normal2"/>
        <w:snapToGrid w:val="0"/>
        <w:spacing w:after="0" w:line="240" w:lineRule="auto"/>
        <w:rPr>
          <w:lang w:val="en-GB"/>
        </w:rPr>
      </w:pPr>
      <w:r w:rsidRPr="008A6DE3">
        <w:rPr>
          <w:lang w:val="en-GB"/>
        </w:rPr>
        <w:t xml:space="preserve">Timur Belov, Press Officer </w:t>
      </w:r>
    </w:p>
    <w:p w14:paraId="4A11978C" w14:textId="77777777" w:rsidR="00CD054C" w:rsidRPr="009A7F0D" w:rsidRDefault="00CD054C" w:rsidP="00CD054C">
      <w:pPr>
        <w:pStyle w:val="P68B1DB1-Normal2"/>
        <w:snapToGrid w:val="0"/>
        <w:spacing w:after="0" w:line="240" w:lineRule="auto"/>
        <w:rPr>
          <w:lang w:val="en-US"/>
        </w:rPr>
      </w:pPr>
      <w:r w:rsidRPr="009A7F0D">
        <w:rPr>
          <w:lang w:val="en-US"/>
        </w:rPr>
        <w:t xml:space="preserve">+7 495 231 2747 </w:t>
      </w:r>
      <w:proofErr w:type="spellStart"/>
      <w:r w:rsidRPr="008A6DE3">
        <w:rPr>
          <w:lang w:val="en-GB"/>
        </w:rPr>
        <w:t>ext</w:t>
      </w:r>
      <w:proofErr w:type="spellEnd"/>
      <w:r w:rsidRPr="009A7F0D">
        <w:rPr>
          <w:lang w:val="en-US"/>
        </w:rPr>
        <w:t>. 2652</w:t>
      </w:r>
    </w:p>
    <w:p w14:paraId="1FEFAB6E" w14:textId="77777777" w:rsidR="00CD054C" w:rsidRPr="009A7F0D" w:rsidRDefault="00CD054C" w:rsidP="00CD054C">
      <w:pPr>
        <w:spacing w:after="0" w:line="240" w:lineRule="auto"/>
        <w:rPr>
          <w:rStyle w:val="a7"/>
          <w:rFonts w:cstheme="minorHAnsi"/>
          <w:lang w:val="en-US"/>
        </w:rPr>
      </w:pPr>
      <w:proofErr w:type="spellStart"/>
      <w:r w:rsidRPr="008A6DE3">
        <w:rPr>
          <w:rStyle w:val="a7"/>
          <w:rFonts w:cstheme="minorHAnsi"/>
        </w:rPr>
        <w:t>pr</w:t>
      </w:r>
      <w:proofErr w:type="spellEnd"/>
      <w:r w:rsidRPr="009A7F0D">
        <w:rPr>
          <w:rStyle w:val="a7"/>
          <w:rFonts w:cstheme="minorHAnsi"/>
          <w:lang w:val="en-US"/>
        </w:rPr>
        <w:t>@</w:t>
      </w:r>
      <w:proofErr w:type="spellStart"/>
      <w:r w:rsidRPr="008A6DE3">
        <w:rPr>
          <w:rStyle w:val="a7"/>
          <w:rFonts w:cstheme="minorHAnsi"/>
        </w:rPr>
        <w:t>phosagro</w:t>
      </w:r>
      <w:proofErr w:type="spellEnd"/>
      <w:r w:rsidRPr="009A7F0D">
        <w:rPr>
          <w:rStyle w:val="a7"/>
          <w:rFonts w:cstheme="minorHAnsi"/>
          <w:lang w:val="en-US"/>
        </w:rPr>
        <w:t>.</w:t>
      </w:r>
      <w:proofErr w:type="spellStart"/>
      <w:r w:rsidRPr="008A6DE3">
        <w:rPr>
          <w:rStyle w:val="a7"/>
          <w:rFonts w:cstheme="minorHAnsi"/>
        </w:rPr>
        <w:t>ru</w:t>
      </w:r>
      <w:proofErr w:type="spellEnd"/>
    </w:p>
    <w:p w14:paraId="15983D2C" w14:textId="2F6918EF" w:rsidR="008279B2" w:rsidRPr="009A7F0D" w:rsidRDefault="00CD054C" w:rsidP="008F2D19">
      <w:pPr>
        <w:pStyle w:val="P68B1DB1-Normal20"/>
        <w:shd w:val="clear" w:color="auto" w:fill="FFFFFF"/>
        <w:spacing w:line="240" w:lineRule="auto"/>
        <w:ind w:firstLine="567"/>
        <w:jc w:val="both"/>
        <w:rPr>
          <w:lang w:val="en-US"/>
        </w:rPr>
      </w:pPr>
      <w:r w:rsidRPr="009A7F0D">
        <w:rPr>
          <w:lang w:val="en-US"/>
        </w:rPr>
        <w:t xml:space="preserve"> </w:t>
      </w:r>
    </w:p>
    <w:p w14:paraId="4438DB07" w14:textId="77777777" w:rsidR="008F2D19" w:rsidRPr="008F2D19" w:rsidRDefault="008F2D19" w:rsidP="008F2D19">
      <w:pPr>
        <w:pStyle w:val="P68B1DB1-Normal22"/>
        <w:snapToGrid w:val="0"/>
        <w:spacing w:before="240"/>
        <w:rPr>
          <w:rFonts w:asciiTheme="minorHAnsi" w:hAnsiTheme="minorHAnsi" w:cstheme="minorHAnsi"/>
          <w:sz w:val="22"/>
          <w:szCs w:val="22"/>
          <w:lang w:val="en-GB"/>
        </w:rPr>
      </w:pPr>
      <w:r w:rsidRPr="008F2D19">
        <w:rPr>
          <w:rFonts w:asciiTheme="minorHAnsi" w:hAnsiTheme="minorHAnsi" w:cstheme="minorHAnsi"/>
          <w:sz w:val="22"/>
          <w:szCs w:val="22"/>
          <w:lang w:val="en-GB"/>
        </w:rPr>
        <w:t>About the Company</w:t>
      </w:r>
    </w:p>
    <w:p w14:paraId="54376652" w14:textId="2EF611DB" w:rsidR="008F2D19" w:rsidRPr="008F2D19" w:rsidRDefault="008F2D19" w:rsidP="008F2D19">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PhosAgro (www.phosagro.ru) is a vertically integrated Russian company and one of the world’s leading producers of mineral phosphorous fertilizers and of high-grade apatite concentrate grading 39% P2O5 and higher. </w:t>
      </w:r>
      <w:r w:rsidR="00C15A17" w:rsidRPr="00C15A17">
        <w:rPr>
          <w:rFonts w:asciiTheme="minorHAnsi" w:hAnsiTheme="minorHAnsi" w:cstheme="minorHAnsi"/>
          <w:b w:val="0"/>
          <w:i/>
          <w:iCs/>
          <w:color w:val="auto"/>
          <w:sz w:val="22"/>
          <w:szCs w:val="22"/>
          <w:lang w:val="en-GB"/>
        </w:rPr>
        <w:t>PhosAgro’s high-performance fertilizers produce crops with advanced features</w:t>
      </w:r>
      <w:r w:rsidRPr="008F2D19">
        <w:rPr>
          <w:rFonts w:asciiTheme="minorHAnsi" w:hAnsiTheme="minorHAnsi" w:cstheme="minorHAnsi"/>
          <w:b w:val="0"/>
          <w:i/>
          <w:iCs/>
          <w:color w:val="auto"/>
          <w:sz w:val="22"/>
          <w:szCs w:val="22"/>
          <w:lang w:val="en-GB"/>
        </w:rPr>
        <w:t>.</w:t>
      </w:r>
    </w:p>
    <w:p w14:paraId="6C5D3C44" w14:textId="77777777" w:rsidR="008F2D19" w:rsidRPr="008F2D19" w:rsidRDefault="008F2D19" w:rsidP="008F2D19">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w:t>
      </w:r>
      <w:r w:rsidRPr="008F2D19">
        <w:rPr>
          <w:rFonts w:asciiTheme="minorHAnsi" w:hAnsiTheme="minorHAnsi" w:cstheme="minorHAnsi"/>
          <w:b w:val="0"/>
          <w:i/>
          <w:iCs/>
          <w:color w:val="auto"/>
          <w:sz w:val="22"/>
          <w:szCs w:val="22"/>
          <w:lang w:val="en-GB"/>
        </w:rPr>
        <w:lastRenderedPageBreak/>
        <w:t>and the only producer in Russia of monocalcium phosphate feed (MCP), and the only producer in Russia of nepheline concentrate.</w:t>
      </w:r>
    </w:p>
    <w:p w14:paraId="4FDDECCC" w14:textId="77777777" w:rsidR="008F2D19" w:rsidRPr="008F2D19" w:rsidRDefault="008F2D19" w:rsidP="008F2D19">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0FD21DC3" w14:textId="77777777" w:rsidR="008F2D19" w:rsidRPr="008F2D19" w:rsidRDefault="008F2D19" w:rsidP="008F2D19">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79B4144C" w14:textId="0ACC788B" w:rsidR="00C246DE" w:rsidRPr="008F2D19" w:rsidRDefault="008F2D19" w:rsidP="008F2D19">
      <w:pPr>
        <w:rPr>
          <w:sz w:val="18"/>
          <w:szCs w:val="18"/>
          <w:lang w:val="en-US"/>
        </w:rPr>
      </w:pPr>
      <w:r w:rsidRPr="008F2D19">
        <w:rPr>
          <w:rFonts w:asciiTheme="minorHAnsi" w:hAnsiTheme="minorHAnsi" w:cstheme="minorHAnsi"/>
          <w:bCs/>
          <w:i/>
          <w:iCs/>
        </w:rPr>
        <w:t xml:space="preserve">More information about PhosAgro PJSC can be found on our site: </w:t>
      </w:r>
      <w:hyperlink r:id="rId10" w:history="1">
        <w:r w:rsidRPr="008F2D19">
          <w:rPr>
            <w:rFonts w:asciiTheme="minorHAnsi" w:hAnsiTheme="minorHAnsi" w:cstheme="minorHAnsi"/>
            <w:bCs/>
            <w:i/>
            <w:iCs/>
          </w:rPr>
          <w:t>www.phosagro.ru</w:t>
        </w:r>
      </w:hyperlink>
    </w:p>
    <w:p w14:paraId="0C7B9E73" w14:textId="77777777" w:rsidR="00C246DE" w:rsidRPr="008F2D19" w:rsidRDefault="00C246DE" w:rsidP="00C246DE">
      <w:pPr>
        <w:rPr>
          <w:sz w:val="18"/>
          <w:szCs w:val="18"/>
          <w:lang w:val="en-US"/>
        </w:rPr>
      </w:pPr>
    </w:p>
    <w:p w14:paraId="7D7A5866" w14:textId="77777777" w:rsidR="00C246DE" w:rsidRPr="008F2D19" w:rsidRDefault="00C246DE" w:rsidP="00C246DE">
      <w:pPr>
        <w:rPr>
          <w:i/>
          <w:iCs/>
          <w:color w:val="000000"/>
          <w:sz w:val="18"/>
          <w:szCs w:val="18"/>
          <w:lang w:val="en-US"/>
        </w:rPr>
      </w:pPr>
    </w:p>
    <w:p w14:paraId="599E2ADA" w14:textId="77777777" w:rsidR="00C246DE" w:rsidRPr="008F2D19" w:rsidRDefault="00C246DE" w:rsidP="00C246DE">
      <w:pPr>
        <w:tabs>
          <w:tab w:val="left" w:pos="1440"/>
        </w:tabs>
        <w:rPr>
          <w:i/>
          <w:iCs/>
          <w:color w:val="000000"/>
          <w:sz w:val="18"/>
          <w:szCs w:val="18"/>
          <w:lang w:val="en-US"/>
        </w:rPr>
      </w:pPr>
      <w:r w:rsidRPr="008F2D19">
        <w:rPr>
          <w:i/>
          <w:iCs/>
          <w:color w:val="000000"/>
          <w:sz w:val="18"/>
          <w:szCs w:val="18"/>
          <w:lang w:val="en-US"/>
        </w:rPr>
        <w:tab/>
      </w:r>
    </w:p>
    <w:p w14:paraId="23DED952" w14:textId="77777777" w:rsidR="00C246DE" w:rsidRPr="008F2D19" w:rsidRDefault="00C246DE" w:rsidP="00C246DE">
      <w:pPr>
        <w:rPr>
          <w:i/>
          <w:iCs/>
          <w:color w:val="000000"/>
          <w:sz w:val="18"/>
          <w:szCs w:val="18"/>
          <w:lang w:val="en-US"/>
        </w:rPr>
      </w:pPr>
    </w:p>
    <w:p w14:paraId="3743D663" w14:textId="77777777" w:rsidR="00C246DE" w:rsidRPr="008F2D19" w:rsidRDefault="00C246DE" w:rsidP="00C246DE">
      <w:pPr>
        <w:rPr>
          <w:sz w:val="18"/>
          <w:szCs w:val="18"/>
          <w:lang w:val="en-US"/>
        </w:rPr>
        <w:sectPr w:rsidR="00C246DE" w:rsidRPr="008F2D19" w:rsidSect="008F2D19">
          <w:headerReference w:type="default" r:id="rId11"/>
          <w:headerReference w:type="first" r:id="rId12"/>
          <w:footnotePr>
            <w:numRestart w:val="eachPage"/>
          </w:footnotePr>
          <w:pgSz w:w="11907" w:h="16840" w:code="9"/>
          <w:pgMar w:top="1440" w:right="1077" w:bottom="1077" w:left="1440" w:header="567" w:footer="567" w:gutter="0"/>
          <w:pgNumType w:start="1"/>
          <w:cols w:space="708"/>
          <w:docGrid w:linePitch="360"/>
        </w:sectPr>
      </w:pPr>
    </w:p>
    <w:tbl>
      <w:tblPr>
        <w:tblW w:w="9412" w:type="dxa"/>
        <w:tblLayout w:type="fixed"/>
        <w:tblCellMar>
          <w:left w:w="85" w:type="dxa"/>
          <w:right w:w="85" w:type="dxa"/>
        </w:tblCellMar>
        <w:tblLook w:val="04A0" w:firstRow="1" w:lastRow="0" w:firstColumn="1" w:lastColumn="0" w:noHBand="0" w:noVBand="1"/>
      </w:tblPr>
      <w:tblGrid>
        <w:gridCol w:w="4706"/>
        <w:gridCol w:w="850"/>
        <w:gridCol w:w="964"/>
        <w:gridCol w:w="964"/>
        <w:gridCol w:w="964"/>
        <w:gridCol w:w="964"/>
      </w:tblGrid>
      <w:tr w:rsidR="00C15A17" w:rsidRPr="00C15A17" w14:paraId="535CEA75" w14:textId="77777777" w:rsidTr="00ED6D31">
        <w:trPr>
          <w:cantSplit/>
        </w:trPr>
        <w:tc>
          <w:tcPr>
            <w:tcW w:w="4706" w:type="dxa"/>
            <w:vAlign w:val="bottom"/>
          </w:tcPr>
          <w:p w14:paraId="0B0D95D3"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highlight w:val="yellow"/>
                <w:lang w:eastAsia="ru-RU"/>
              </w:rPr>
            </w:pPr>
          </w:p>
        </w:tc>
        <w:tc>
          <w:tcPr>
            <w:tcW w:w="850" w:type="dxa"/>
            <w:vAlign w:val="bottom"/>
          </w:tcPr>
          <w:p w14:paraId="233977ED"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bCs/>
                <w:spacing w:val="-2"/>
                <w:sz w:val="18"/>
                <w:szCs w:val="18"/>
                <w:highlight w:val="yellow"/>
                <w:lang w:eastAsia="ru-RU"/>
              </w:rPr>
            </w:pPr>
          </w:p>
        </w:tc>
        <w:tc>
          <w:tcPr>
            <w:tcW w:w="1928" w:type="dxa"/>
            <w:gridSpan w:val="2"/>
            <w:tcBorders>
              <w:bottom w:val="single" w:sz="4" w:space="0" w:color="auto"/>
            </w:tcBorders>
            <w:vAlign w:val="bottom"/>
          </w:tcPr>
          <w:p w14:paraId="6EBA8261"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bCs/>
                <w:spacing w:val="-2"/>
                <w:sz w:val="18"/>
                <w:szCs w:val="18"/>
                <w:lang w:val="ru-RU" w:eastAsia="ru-RU"/>
              </w:rPr>
            </w:pPr>
            <w:r w:rsidRPr="00C15A17">
              <w:rPr>
                <w:rFonts w:ascii="Arial" w:eastAsia="Times New Roman" w:hAnsi="Arial" w:cs="Arial"/>
                <w:b/>
                <w:bCs/>
                <w:spacing w:val="-2"/>
                <w:sz w:val="18"/>
                <w:szCs w:val="18"/>
                <w:lang w:eastAsia="ru-RU"/>
              </w:rPr>
              <w:t>Nine months ended</w:t>
            </w:r>
            <w:r w:rsidRPr="00C15A17">
              <w:rPr>
                <w:rFonts w:ascii="Arial" w:eastAsia="Times New Roman" w:hAnsi="Arial" w:cs="Arial"/>
                <w:b/>
                <w:bCs/>
                <w:spacing w:val="-2"/>
                <w:sz w:val="18"/>
                <w:szCs w:val="18"/>
                <w:lang w:val="ru-RU" w:eastAsia="ru-RU"/>
              </w:rPr>
              <w:t xml:space="preserve"> </w:t>
            </w:r>
          </w:p>
          <w:p w14:paraId="0428C7CA"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bCs/>
                <w:spacing w:val="-2"/>
                <w:sz w:val="18"/>
                <w:szCs w:val="18"/>
                <w:lang w:val="ru-RU" w:eastAsia="ru-RU"/>
              </w:rPr>
            </w:pPr>
            <w:r w:rsidRPr="00C15A17">
              <w:rPr>
                <w:rFonts w:ascii="Arial" w:eastAsia="Times New Roman" w:hAnsi="Arial" w:cs="Arial"/>
                <w:b/>
                <w:bCs/>
                <w:spacing w:val="-2"/>
                <w:sz w:val="18"/>
                <w:szCs w:val="18"/>
                <w:lang w:eastAsia="ru-RU"/>
              </w:rPr>
              <w:t>30 September</w:t>
            </w:r>
          </w:p>
        </w:tc>
        <w:tc>
          <w:tcPr>
            <w:tcW w:w="1928" w:type="dxa"/>
            <w:gridSpan w:val="2"/>
            <w:tcBorders>
              <w:bottom w:val="single" w:sz="4" w:space="0" w:color="auto"/>
            </w:tcBorders>
          </w:tcPr>
          <w:p w14:paraId="2B85504C"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bCs/>
                <w:spacing w:val="-2"/>
                <w:sz w:val="18"/>
                <w:szCs w:val="18"/>
                <w:lang w:val="ru-RU" w:eastAsia="ru-RU"/>
              </w:rPr>
            </w:pPr>
            <w:r w:rsidRPr="00C15A17">
              <w:rPr>
                <w:rFonts w:ascii="Arial" w:eastAsia="Times New Roman" w:hAnsi="Arial" w:cs="Arial"/>
                <w:b/>
                <w:bCs/>
                <w:spacing w:val="-2"/>
                <w:sz w:val="18"/>
                <w:szCs w:val="18"/>
                <w:lang w:eastAsia="ru-RU"/>
              </w:rPr>
              <w:t>Three months ended</w:t>
            </w:r>
          </w:p>
          <w:p w14:paraId="34664B20"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C15A17">
              <w:rPr>
                <w:rFonts w:ascii="Arial" w:eastAsia="Times New Roman" w:hAnsi="Arial" w:cs="Arial"/>
                <w:b/>
                <w:bCs/>
                <w:spacing w:val="-2"/>
                <w:sz w:val="18"/>
                <w:szCs w:val="18"/>
                <w:lang w:eastAsia="ru-RU"/>
              </w:rPr>
              <w:t>30 September</w:t>
            </w:r>
          </w:p>
        </w:tc>
      </w:tr>
      <w:tr w:rsidR="00C15A17" w:rsidRPr="00C15A17" w14:paraId="08BC17E9" w14:textId="77777777" w:rsidTr="00ED6D31">
        <w:trPr>
          <w:cantSplit/>
        </w:trPr>
        <w:tc>
          <w:tcPr>
            <w:tcW w:w="4706" w:type="dxa"/>
            <w:tcBorders>
              <w:bottom w:val="single" w:sz="4" w:space="0" w:color="auto"/>
            </w:tcBorders>
            <w:vAlign w:val="bottom"/>
          </w:tcPr>
          <w:p w14:paraId="2E9B708F"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i/>
                <w:iCs/>
                <w:spacing w:val="-2"/>
                <w:sz w:val="18"/>
                <w:szCs w:val="18"/>
                <w:highlight w:val="yellow"/>
                <w:lang w:eastAsia="ru-RU"/>
              </w:rPr>
            </w:pPr>
            <w:r w:rsidRPr="00C15A17">
              <w:rPr>
                <w:rFonts w:ascii="Arial" w:eastAsia="Times New Roman" w:hAnsi="Arial" w:cs="Arial"/>
                <w:i/>
                <w:iCs/>
                <w:spacing w:val="-2"/>
                <w:sz w:val="18"/>
                <w:szCs w:val="18"/>
                <w:lang w:eastAsia="ru-RU"/>
              </w:rPr>
              <w:t>RUB million</w:t>
            </w:r>
          </w:p>
        </w:tc>
        <w:tc>
          <w:tcPr>
            <w:tcW w:w="850" w:type="dxa"/>
            <w:tcBorders>
              <w:bottom w:val="single" w:sz="4" w:space="0" w:color="auto"/>
            </w:tcBorders>
            <w:vAlign w:val="bottom"/>
          </w:tcPr>
          <w:p w14:paraId="1C39E090" w14:textId="1F8569CD"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bCs/>
                <w:spacing w:val="-2"/>
                <w:sz w:val="18"/>
                <w:szCs w:val="18"/>
                <w:highlight w:val="yellow"/>
                <w:lang w:eastAsia="ru-RU"/>
              </w:rPr>
            </w:pPr>
          </w:p>
        </w:tc>
        <w:tc>
          <w:tcPr>
            <w:tcW w:w="964" w:type="dxa"/>
            <w:tcBorders>
              <w:top w:val="single" w:sz="4" w:space="0" w:color="auto"/>
              <w:bottom w:val="single" w:sz="4" w:space="0" w:color="auto"/>
            </w:tcBorders>
            <w:vAlign w:val="bottom"/>
          </w:tcPr>
          <w:p w14:paraId="7368BA2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C15A17">
              <w:rPr>
                <w:rFonts w:ascii="Arial" w:eastAsia="Times New Roman" w:hAnsi="Arial" w:cs="Arial"/>
                <w:b/>
                <w:bCs/>
                <w:spacing w:val="-2"/>
                <w:sz w:val="18"/>
                <w:szCs w:val="18"/>
                <w:lang w:val="ru-RU" w:eastAsia="ru-RU"/>
              </w:rPr>
              <w:t>202</w:t>
            </w:r>
            <w:r w:rsidRPr="00C15A17">
              <w:rPr>
                <w:rFonts w:ascii="Arial" w:eastAsia="Times New Roman" w:hAnsi="Arial" w:cs="Arial"/>
                <w:b/>
                <w:bCs/>
                <w:spacing w:val="-2"/>
                <w:sz w:val="18"/>
                <w:szCs w:val="18"/>
                <w:lang w:val="en-US" w:eastAsia="ru-RU"/>
              </w:rPr>
              <w:t>3</w:t>
            </w:r>
          </w:p>
        </w:tc>
        <w:tc>
          <w:tcPr>
            <w:tcW w:w="964" w:type="dxa"/>
            <w:tcBorders>
              <w:top w:val="single" w:sz="4" w:space="0" w:color="auto"/>
              <w:bottom w:val="single" w:sz="4" w:space="0" w:color="auto"/>
            </w:tcBorders>
            <w:vAlign w:val="bottom"/>
          </w:tcPr>
          <w:p w14:paraId="13BA025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C15A17">
              <w:rPr>
                <w:rFonts w:ascii="Arial" w:eastAsia="Times New Roman" w:hAnsi="Arial" w:cs="Arial"/>
                <w:b/>
                <w:bCs/>
                <w:spacing w:val="-2"/>
                <w:sz w:val="18"/>
                <w:szCs w:val="18"/>
                <w:lang w:eastAsia="ru-RU"/>
              </w:rPr>
              <w:t>2022</w:t>
            </w:r>
          </w:p>
        </w:tc>
        <w:tc>
          <w:tcPr>
            <w:tcW w:w="964" w:type="dxa"/>
            <w:tcBorders>
              <w:top w:val="single" w:sz="4" w:space="0" w:color="auto"/>
              <w:bottom w:val="single" w:sz="4" w:space="0" w:color="auto"/>
            </w:tcBorders>
            <w:vAlign w:val="bottom"/>
          </w:tcPr>
          <w:p w14:paraId="61F9C3C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8"/>
                <w:szCs w:val="18"/>
                <w:lang w:eastAsia="ru-RU"/>
              </w:rPr>
            </w:pPr>
            <w:r w:rsidRPr="00C15A17">
              <w:rPr>
                <w:rFonts w:ascii="Arial" w:eastAsia="Times New Roman" w:hAnsi="Arial" w:cs="Arial"/>
                <w:b/>
                <w:bCs/>
                <w:spacing w:val="-2"/>
                <w:sz w:val="18"/>
                <w:szCs w:val="18"/>
                <w:lang w:val="ru-RU" w:eastAsia="ru-RU"/>
              </w:rPr>
              <w:t>202</w:t>
            </w:r>
            <w:r w:rsidRPr="00C15A17">
              <w:rPr>
                <w:rFonts w:ascii="Arial" w:eastAsia="Times New Roman" w:hAnsi="Arial" w:cs="Arial"/>
                <w:b/>
                <w:bCs/>
                <w:spacing w:val="-2"/>
                <w:sz w:val="18"/>
                <w:szCs w:val="18"/>
                <w:lang w:val="en-US" w:eastAsia="ru-RU"/>
              </w:rPr>
              <w:t>3</w:t>
            </w:r>
          </w:p>
        </w:tc>
        <w:tc>
          <w:tcPr>
            <w:tcW w:w="964" w:type="dxa"/>
            <w:tcBorders>
              <w:top w:val="single" w:sz="4" w:space="0" w:color="auto"/>
              <w:bottom w:val="single" w:sz="4" w:space="0" w:color="auto"/>
            </w:tcBorders>
            <w:vAlign w:val="bottom"/>
          </w:tcPr>
          <w:p w14:paraId="45D7F41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8"/>
                <w:szCs w:val="18"/>
                <w:lang w:eastAsia="ru-RU"/>
              </w:rPr>
            </w:pPr>
            <w:r w:rsidRPr="00C15A17">
              <w:rPr>
                <w:rFonts w:ascii="Arial" w:eastAsia="Times New Roman" w:hAnsi="Arial" w:cs="Arial"/>
                <w:b/>
                <w:bCs/>
                <w:spacing w:val="-2"/>
                <w:sz w:val="18"/>
                <w:szCs w:val="18"/>
                <w:lang w:eastAsia="ru-RU"/>
              </w:rPr>
              <w:t>2022</w:t>
            </w:r>
          </w:p>
        </w:tc>
      </w:tr>
      <w:tr w:rsidR="00C15A17" w:rsidRPr="00C15A17" w14:paraId="06CD5B0D" w14:textId="77777777" w:rsidTr="00ED6D31">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32EDFB4B"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highlight w:val="yellow"/>
                <w:lang w:eastAsia="ru-RU"/>
              </w:rPr>
            </w:pPr>
          </w:p>
        </w:tc>
        <w:tc>
          <w:tcPr>
            <w:tcW w:w="850" w:type="dxa"/>
            <w:tcBorders>
              <w:top w:val="single" w:sz="4" w:space="0" w:color="auto"/>
              <w:left w:val="nil"/>
              <w:right w:val="nil"/>
            </w:tcBorders>
            <w:vAlign w:val="bottom"/>
          </w:tcPr>
          <w:p w14:paraId="6ECE482E"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964" w:type="dxa"/>
            <w:tcBorders>
              <w:top w:val="single" w:sz="4" w:space="0" w:color="auto"/>
              <w:left w:val="nil"/>
              <w:right w:val="nil"/>
            </w:tcBorders>
            <w:vAlign w:val="bottom"/>
          </w:tcPr>
          <w:p w14:paraId="7AB4080A"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964" w:type="dxa"/>
            <w:tcBorders>
              <w:top w:val="single" w:sz="4" w:space="0" w:color="auto"/>
              <w:left w:val="nil"/>
              <w:right w:val="nil"/>
            </w:tcBorders>
            <w:vAlign w:val="bottom"/>
          </w:tcPr>
          <w:p w14:paraId="67A5673C"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tcPr>
          <w:p w14:paraId="4F764F86"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tcPr>
          <w:p w14:paraId="08D5A2A5"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r>
      <w:tr w:rsidR="00C15A17" w:rsidRPr="00C15A17" w14:paraId="72F4A870" w14:textId="77777777" w:rsidTr="00ED6D31">
        <w:tblPrEx>
          <w:tblLook w:val="0000" w:firstRow="0" w:lastRow="0" w:firstColumn="0" w:lastColumn="0" w:noHBand="0" w:noVBand="0"/>
        </w:tblPrEx>
        <w:trPr>
          <w:cantSplit/>
        </w:trPr>
        <w:tc>
          <w:tcPr>
            <w:tcW w:w="4706" w:type="dxa"/>
            <w:tcBorders>
              <w:left w:val="nil"/>
              <w:bottom w:val="nil"/>
              <w:right w:val="nil"/>
            </w:tcBorders>
            <w:vAlign w:val="bottom"/>
          </w:tcPr>
          <w:p w14:paraId="0F2AC3AA"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Revenues</w:t>
            </w:r>
          </w:p>
        </w:tc>
        <w:tc>
          <w:tcPr>
            <w:tcW w:w="850" w:type="dxa"/>
            <w:tcBorders>
              <w:left w:val="nil"/>
              <w:bottom w:val="nil"/>
              <w:right w:val="nil"/>
            </w:tcBorders>
            <w:vAlign w:val="bottom"/>
          </w:tcPr>
          <w:p w14:paraId="76A0FE3C"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964" w:type="dxa"/>
            <w:tcBorders>
              <w:left w:val="nil"/>
              <w:bottom w:val="nil"/>
              <w:right w:val="nil"/>
            </w:tcBorders>
            <w:vAlign w:val="bottom"/>
          </w:tcPr>
          <w:p w14:paraId="19464DD1"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ru-RU" w:eastAsia="en-US"/>
              </w:rPr>
            </w:pPr>
            <w:r w:rsidRPr="00C15A17">
              <w:rPr>
                <w:rFonts w:ascii="Arial" w:eastAsia="Times New Roman" w:hAnsi="Arial" w:cs="Arial"/>
                <w:spacing w:val="-2"/>
                <w:sz w:val="18"/>
                <w:szCs w:val="18"/>
                <w:lang w:val="ru-RU" w:eastAsia="ru-RU"/>
              </w:rPr>
              <w:t>328,885</w:t>
            </w:r>
          </w:p>
        </w:tc>
        <w:tc>
          <w:tcPr>
            <w:tcW w:w="964" w:type="dxa"/>
            <w:tcBorders>
              <w:left w:val="nil"/>
              <w:bottom w:val="nil"/>
              <w:right w:val="nil"/>
            </w:tcBorders>
            <w:vAlign w:val="bottom"/>
          </w:tcPr>
          <w:p w14:paraId="392414E1"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ru-RU" w:eastAsia="ru-RU"/>
              </w:rPr>
              <w:t>459,423</w:t>
            </w:r>
          </w:p>
        </w:tc>
        <w:tc>
          <w:tcPr>
            <w:tcW w:w="964" w:type="dxa"/>
            <w:tcBorders>
              <w:left w:val="nil"/>
              <w:bottom w:val="nil"/>
              <w:right w:val="nil"/>
            </w:tcBorders>
          </w:tcPr>
          <w:p w14:paraId="3841E04B"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en-US" w:eastAsia="en-US"/>
              </w:rPr>
              <w:t>116</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133</w:t>
            </w:r>
          </w:p>
        </w:tc>
        <w:tc>
          <w:tcPr>
            <w:tcW w:w="964" w:type="dxa"/>
            <w:tcBorders>
              <w:left w:val="nil"/>
              <w:bottom w:val="nil"/>
              <w:right w:val="nil"/>
            </w:tcBorders>
            <w:vAlign w:val="bottom"/>
          </w:tcPr>
          <w:p w14:paraId="52466DF1"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1</w:t>
            </w:r>
            <w:r w:rsidRPr="00C15A17">
              <w:rPr>
                <w:rFonts w:ascii="Arial" w:eastAsia="Times New Roman" w:hAnsi="Arial" w:cs="Arial"/>
                <w:color w:val="000000"/>
                <w:sz w:val="18"/>
                <w:szCs w:val="18"/>
                <w:lang w:val="en-US" w:eastAsia="en-US"/>
              </w:rPr>
              <w:t>22</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914</w:t>
            </w:r>
          </w:p>
        </w:tc>
      </w:tr>
      <w:tr w:rsidR="00C15A17" w:rsidRPr="00C15A17" w14:paraId="4BE362B9"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2EEED47D"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Cost of Group products sold</w:t>
            </w:r>
          </w:p>
        </w:tc>
        <w:tc>
          <w:tcPr>
            <w:tcW w:w="850" w:type="dxa"/>
            <w:tcBorders>
              <w:top w:val="nil"/>
              <w:left w:val="nil"/>
              <w:right w:val="nil"/>
            </w:tcBorders>
            <w:vAlign w:val="bottom"/>
          </w:tcPr>
          <w:p w14:paraId="1B5A865F" w14:textId="5C389824"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964" w:type="dxa"/>
            <w:tcBorders>
              <w:top w:val="nil"/>
              <w:left w:val="nil"/>
              <w:right w:val="nil"/>
            </w:tcBorders>
            <w:vAlign w:val="bottom"/>
          </w:tcPr>
          <w:p w14:paraId="7AE19E82"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color w:val="000000"/>
                <w:spacing w:val="-2"/>
                <w:sz w:val="18"/>
                <w:szCs w:val="18"/>
                <w:lang w:val="ru-RU" w:eastAsia="en-US"/>
              </w:rPr>
              <w:t>(171,699)</w:t>
            </w:r>
          </w:p>
        </w:tc>
        <w:tc>
          <w:tcPr>
            <w:tcW w:w="964" w:type="dxa"/>
            <w:tcBorders>
              <w:top w:val="nil"/>
              <w:left w:val="nil"/>
              <w:right w:val="nil"/>
            </w:tcBorders>
            <w:vAlign w:val="bottom"/>
          </w:tcPr>
          <w:p w14:paraId="3C8AE3AD"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eastAsia="ru-RU"/>
              </w:rPr>
            </w:pPr>
            <w:r w:rsidRPr="00C15A17">
              <w:rPr>
                <w:rFonts w:ascii="Arial" w:eastAsia="Times New Roman" w:hAnsi="Arial" w:cs="Arial"/>
                <w:color w:val="000000"/>
                <w:spacing w:val="-2"/>
                <w:sz w:val="18"/>
                <w:szCs w:val="18"/>
                <w:lang w:val="ru-RU" w:eastAsia="en-US"/>
              </w:rPr>
              <w:t>(201,268)</w:t>
            </w:r>
          </w:p>
        </w:tc>
        <w:tc>
          <w:tcPr>
            <w:tcW w:w="964" w:type="dxa"/>
            <w:tcBorders>
              <w:top w:val="nil"/>
              <w:left w:val="nil"/>
              <w:right w:val="nil"/>
            </w:tcBorders>
          </w:tcPr>
          <w:p w14:paraId="374D46D4" w14:textId="77777777" w:rsidR="00C15A17" w:rsidRPr="00C15A17" w:rsidRDefault="00C15A17" w:rsidP="00C15A17">
            <w:pPr>
              <w:widowControl w:val="0"/>
              <w:spacing w:after="0" w:line="240" w:lineRule="auto"/>
              <w:ind w:right="-57"/>
              <w:jc w:val="right"/>
              <w:rPr>
                <w:rFonts w:ascii="Arial" w:eastAsia="Times New Roman" w:hAnsi="Arial" w:cs="Arial"/>
                <w:bCs/>
                <w:color w:val="000000"/>
                <w:spacing w:val="-2"/>
                <w:sz w:val="18"/>
                <w:szCs w:val="18"/>
                <w:lang w:val="en-US" w:eastAsia="en-US"/>
              </w:rPr>
            </w:pPr>
            <w:r w:rsidRPr="00C15A17">
              <w:rPr>
                <w:rFonts w:ascii="Arial" w:eastAsia="Times New Roman" w:hAnsi="Arial" w:cs="Arial"/>
                <w:bCs/>
                <w:color w:val="000000"/>
                <w:sz w:val="18"/>
                <w:szCs w:val="18"/>
                <w:lang w:val="ru-RU" w:eastAsia="en-US"/>
              </w:rPr>
              <w:t>(5</w:t>
            </w:r>
            <w:r w:rsidRPr="00C15A17">
              <w:rPr>
                <w:rFonts w:ascii="Arial" w:eastAsia="Times New Roman" w:hAnsi="Arial" w:cs="Arial"/>
                <w:bCs/>
                <w:color w:val="000000"/>
                <w:sz w:val="18"/>
                <w:szCs w:val="18"/>
                <w:lang w:val="en-US" w:eastAsia="en-US"/>
              </w:rPr>
              <w:t>9</w:t>
            </w:r>
            <w:r w:rsidRPr="00C15A17">
              <w:rPr>
                <w:rFonts w:ascii="Arial" w:eastAsia="Times New Roman" w:hAnsi="Arial" w:cs="Arial"/>
                <w:bCs/>
                <w:color w:val="000000"/>
                <w:sz w:val="18"/>
                <w:szCs w:val="18"/>
                <w:lang w:val="ru-RU" w:eastAsia="en-US"/>
              </w:rPr>
              <w:t>,</w:t>
            </w:r>
            <w:r w:rsidRPr="00C15A17">
              <w:rPr>
                <w:rFonts w:ascii="Arial" w:eastAsia="Times New Roman" w:hAnsi="Arial" w:cs="Arial"/>
                <w:bCs/>
                <w:color w:val="000000"/>
                <w:sz w:val="18"/>
                <w:szCs w:val="18"/>
                <w:lang w:val="en-US" w:eastAsia="en-US"/>
              </w:rPr>
              <w:t>885</w:t>
            </w:r>
            <w:r w:rsidRPr="00C15A17">
              <w:rPr>
                <w:rFonts w:ascii="Arial" w:eastAsia="Times New Roman" w:hAnsi="Arial" w:cs="Arial"/>
                <w:bCs/>
                <w:color w:val="000000"/>
                <w:sz w:val="18"/>
                <w:szCs w:val="18"/>
                <w:lang w:val="ru-RU" w:eastAsia="en-US"/>
              </w:rPr>
              <w:t>)</w:t>
            </w:r>
          </w:p>
        </w:tc>
        <w:tc>
          <w:tcPr>
            <w:tcW w:w="964" w:type="dxa"/>
            <w:tcBorders>
              <w:top w:val="nil"/>
              <w:left w:val="nil"/>
              <w:right w:val="nil"/>
            </w:tcBorders>
            <w:vAlign w:val="bottom"/>
          </w:tcPr>
          <w:p w14:paraId="2AA30AD5" w14:textId="77777777" w:rsidR="00C15A17" w:rsidRPr="00C15A17" w:rsidRDefault="00C15A17" w:rsidP="00C15A17">
            <w:pPr>
              <w:widowControl w:val="0"/>
              <w:spacing w:after="0" w:line="240" w:lineRule="auto"/>
              <w:ind w:right="-57"/>
              <w:jc w:val="right"/>
              <w:rPr>
                <w:rFonts w:ascii="Arial" w:eastAsia="Times New Roman" w:hAnsi="Arial" w:cs="Arial"/>
                <w:bCs/>
                <w:color w:val="000000"/>
                <w:spacing w:val="-2"/>
                <w:sz w:val="18"/>
                <w:szCs w:val="18"/>
                <w:lang w:val="en-US" w:eastAsia="en-US"/>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57</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529</w:t>
            </w:r>
            <w:r w:rsidRPr="00C15A17">
              <w:rPr>
                <w:rFonts w:ascii="Arial" w:eastAsia="Times New Roman" w:hAnsi="Arial" w:cs="Arial"/>
                <w:color w:val="000000"/>
                <w:sz w:val="18"/>
                <w:szCs w:val="18"/>
                <w:lang w:val="ru-RU" w:eastAsia="en-US"/>
              </w:rPr>
              <w:t>)</w:t>
            </w:r>
          </w:p>
        </w:tc>
      </w:tr>
      <w:tr w:rsidR="00C15A17" w:rsidRPr="00C15A17" w14:paraId="43663D22"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6D4F28C6"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Cost of products for resale</w:t>
            </w:r>
          </w:p>
        </w:tc>
        <w:tc>
          <w:tcPr>
            <w:tcW w:w="850" w:type="dxa"/>
            <w:tcBorders>
              <w:top w:val="nil"/>
              <w:left w:val="nil"/>
              <w:right w:val="nil"/>
            </w:tcBorders>
            <w:vAlign w:val="bottom"/>
          </w:tcPr>
          <w:p w14:paraId="10DC1E68"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964" w:type="dxa"/>
            <w:tcBorders>
              <w:top w:val="nil"/>
              <w:left w:val="nil"/>
              <w:right w:val="nil"/>
            </w:tcBorders>
            <w:vAlign w:val="bottom"/>
          </w:tcPr>
          <w:p w14:paraId="6787339A"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color w:val="000000"/>
                <w:spacing w:val="-2"/>
                <w:sz w:val="18"/>
                <w:szCs w:val="18"/>
                <w:lang w:val="ru-RU" w:eastAsia="en-US"/>
              </w:rPr>
              <w:t>(12,964)</w:t>
            </w:r>
          </w:p>
        </w:tc>
        <w:tc>
          <w:tcPr>
            <w:tcW w:w="964" w:type="dxa"/>
            <w:tcBorders>
              <w:top w:val="nil"/>
              <w:left w:val="nil"/>
              <w:right w:val="nil"/>
            </w:tcBorders>
            <w:vAlign w:val="bottom"/>
          </w:tcPr>
          <w:p w14:paraId="48D38126"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pacing w:val="-2"/>
                <w:sz w:val="18"/>
                <w:szCs w:val="18"/>
                <w:lang w:val="ru-RU" w:eastAsia="en-US"/>
              </w:rPr>
              <w:t>(12,122)</w:t>
            </w:r>
          </w:p>
        </w:tc>
        <w:tc>
          <w:tcPr>
            <w:tcW w:w="964" w:type="dxa"/>
            <w:tcBorders>
              <w:top w:val="nil"/>
              <w:left w:val="nil"/>
              <w:right w:val="nil"/>
            </w:tcBorders>
          </w:tcPr>
          <w:p w14:paraId="750E5F5A" w14:textId="77777777" w:rsidR="00C15A17" w:rsidRPr="00C15A17" w:rsidRDefault="00C15A17" w:rsidP="00C15A17">
            <w:pPr>
              <w:widowControl w:val="0"/>
              <w:spacing w:after="0" w:line="240" w:lineRule="auto"/>
              <w:ind w:right="-57"/>
              <w:jc w:val="right"/>
              <w:rPr>
                <w:rFonts w:ascii="Arial" w:eastAsia="Times New Roman" w:hAnsi="Arial" w:cs="Arial"/>
                <w:bCs/>
                <w:color w:val="000000"/>
                <w:spacing w:val="-2"/>
                <w:sz w:val="18"/>
                <w:szCs w:val="18"/>
                <w:lang w:val="en-US" w:eastAsia="en-US"/>
              </w:rPr>
            </w:pPr>
            <w:r w:rsidRPr="00C15A17">
              <w:rPr>
                <w:rFonts w:ascii="Arial" w:eastAsia="Times New Roman" w:hAnsi="Arial" w:cs="Arial"/>
                <w:bCs/>
                <w:color w:val="000000"/>
                <w:sz w:val="18"/>
                <w:szCs w:val="18"/>
                <w:lang w:val="ru-RU" w:eastAsia="en-US"/>
              </w:rPr>
              <w:t>(2,</w:t>
            </w:r>
            <w:r w:rsidRPr="00C15A17">
              <w:rPr>
                <w:rFonts w:ascii="Arial" w:eastAsia="Times New Roman" w:hAnsi="Arial" w:cs="Arial"/>
                <w:bCs/>
                <w:color w:val="000000"/>
                <w:sz w:val="18"/>
                <w:szCs w:val="18"/>
                <w:lang w:val="en-US" w:eastAsia="en-US"/>
              </w:rPr>
              <w:t>356</w:t>
            </w:r>
            <w:r w:rsidRPr="00C15A17">
              <w:rPr>
                <w:rFonts w:ascii="Arial" w:eastAsia="Times New Roman" w:hAnsi="Arial" w:cs="Arial"/>
                <w:bCs/>
                <w:color w:val="000000"/>
                <w:sz w:val="18"/>
                <w:szCs w:val="18"/>
                <w:lang w:val="ru-RU" w:eastAsia="en-US"/>
              </w:rPr>
              <w:t>)</w:t>
            </w:r>
          </w:p>
        </w:tc>
        <w:tc>
          <w:tcPr>
            <w:tcW w:w="964" w:type="dxa"/>
            <w:tcBorders>
              <w:top w:val="nil"/>
              <w:left w:val="nil"/>
              <w:right w:val="nil"/>
            </w:tcBorders>
            <w:vAlign w:val="bottom"/>
          </w:tcPr>
          <w:p w14:paraId="436CE3A6" w14:textId="77777777" w:rsidR="00C15A17" w:rsidRPr="00C15A17" w:rsidRDefault="00C15A17" w:rsidP="00C15A17">
            <w:pPr>
              <w:widowControl w:val="0"/>
              <w:spacing w:after="0" w:line="240" w:lineRule="auto"/>
              <w:ind w:right="-57"/>
              <w:jc w:val="right"/>
              <w:rPr>
                <w:rFonts w:ascii="Arial" w:eastAsia="Times New Roman" w:hAnsi="Arial" w:cs="Arial"/>
                <w:bCs/>
                <w:color w:val="000000"/>
                <w:spacing w:val="-2"/>
                <w:sz w:val="18"/>
                <w:szCs w:val="18"/>
                <w:lang w:val="en-US" w:eastAsia="en-US"/>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4</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728</w:t>
            </w:r>
            <w:r w:rsidRPr="00C15A17">
              <w:rPr>
                <w:rFonts w:ascii="Arial" w:eastAsia="Times New Roman" w:hAnsi="Arial" w:cs="Arial"/>
                <w:color w:val="000000"/>
                <w:sz w:val="18"/>
                <w:szCs w:val="18"/>
                <w:lang w:val="ru-RU" w:eastAsia="en-US"/>
              </w:rPr>
              <w:t>)</w:t>
            </w:r>
          </w:p>
        </w:tc>
      </w:tr>
      <w:tr w:rsidR="00C15A17" w:rsidRPr="00C15A17" w14:paraId="1239B093" w14:textId="77777777" w:rsidTr="00ED6D31">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4444156C"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nil"/>
              <w:left w:val="nil"/>
              <w:bottom w:val="single" w:sz="4" w:space="0" w:color="auto"/>
              <w:right w:val="nil"/>
            </w:tcBorders>
            <w:vAlign w:val="bottom"/>
          </w:tcPr>
          <w:p w14:paraId="02F6A26F"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US" w:eastAsia="ru-RU"/>
              </w:rPr>
            </w:pPr>
          </w:p>
        </w:tc>
        <w:tc>
          <w:tcPr>
            <w:tcW w:w="964" w:type="dxa"/>
            <w:tcBorders>
              <w:top w:val="nil"/>
              <w:left w:val="nil"/>
              <w:bottom w:val="single" w:sz="4" w:space="0" w:color="auto"/>
              <w:right w:val="nil"/>
            </w:tcBorders>
            <w:vAlign w:val="bottom"/>
          </w:tcPr>
          <w:p w14:paraId="4AC239C4"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964" w:type="dxa"/>
            <w:tcBorders>
              <w:top w:val="nil"/>
              <w:left w:val="nil"/>
              <w:bottom w:val="single" w:sz="4" w:space="0" w:color="auto"/>
              <w:right w:val="nil"/>
            </w:tcBorders>
            <w:vAlign w:val="bottom"/>
          </w:tcPr>
          <w:p w14:paraId="182EEBF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nil"/>
              <w:left w:val="nil"/>
              <w:bottom w:val="single" w:sz="4" w:space="0" w:color="auto"/>
              <w:right w:val="nil"/>
            </w:tcBorders>
          </w:tcPr>
          <w:p w14:paraId="5B1E884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nil"/>
              <w:left w:val="nil"/>
              <w:bottom w:val="single" w:sz="4" w:space="0" w:color="auto"/>
              <w:right w:val="nil"/>
            </w:tcBorders>
          </w:tcPr>
          <w:p w14:paraId="3D5F75D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C15A17" w:rsidRPr="00C15A17" w14:paraId="2CA121E4" w14:textId="77777777" w:rsidTr="00ED6D31">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4A37B298"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right w:val="nil"/>
            </w:tcBorders>
            <w:vAlign w:val="bottom"/>
          </w:tcPr>
          <w:p w14:paraId="55CB5E1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US" w:eastAsia="ru-RU"/>
              </w:rPr>
            </w:pPr>
          </w:p>
        </w:tc>
        <w:tc>
          <w:tcPr>
            <w:tcW w:w="964" w:type="dxa"/>
            <w:tcBorders>
              <w:top w:val="single" w:sz="4" w:space="0" w:color="auto"/>
              <w:left w:val="nil"/>
              <w:right w:val="nil"/>
            </w:tcBorders>
            <w:vAlign w:val="bottom"/>
          </w:tcPr>
          <w:p w14:paraId="75E56F45"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964" w:type="dxa"/>
            <w:tcBorders>
              <w:top w:val="single" w:sz="4" w:space="0" w:color="auto"/>
              <w:left w:val="nil"/>
              <w:right w:val="nil"/>
            </w:tcBorders>
            <w:vAlign w:val="bottom"/>
          </w:tcPr>
          <w:p w14:paraId="7DEA9EE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vAlign w:val="bottom"/>
          </w:tcPr>
          <w:p w14:paraId="2CDDFE7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vAlign w:val="bottom"/>
          </w:tcPr>
          <w:p w14:paraId="5B782E9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C15A17" w:rsidRPr="00C15A17" w14:paraId="2339596D"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3C9DEE09"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C15A17">
              <w:rPr>
                <w:rFonts w:ascii="Arial" w:eastAsia="Times New Roman" w:hAnsi="Arial" w:cs="Arial"/>
                <w:b/>
                <w:spacing w:val="-2"/>
                <w:sz w:val="18"/>
                <w:szCs w:val="18"/>
                <w:lang w:eastAsia="ru-RU"/>
              </w:rPr>
              <w:t>Gross profit</w:t>
            </w:r>
          </w:p>
        </w:tc>
        <w:tc>
          <w:tcPr>
            <w:tcW w:w="850" w:type="dxa"/>
            <w:tcBorders>
              <w:left w:val="nil"/>
              <w:right w:val="nil"/>
            </w:tcBorders>
            <w:vAlign w:val="bottom"/>
          </w:tcPr>
          <w:p w14:paraId="11C1B0AE"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eastAsia="ru-RU"/>
              </w:rPr>
            </w:pPr>
          </w:p>
        </w:tc>
        <w:tc>
          <w:tcPr>
            <w:tcW w:w="964" w:type="dxa"/>
            <w:tcBorders>
              <w:left w:val="nil"/>
              <w:right w:val="nil"/>
            </w:tcBorders>
            <w:vAlign w:val="bottom"/>
          </w:tcPr>
          <w:p w14:paraId="4EA3BBC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ru-RU" w:eastAsia="ru-RU"/>
              </w:rPr>
              <w:t>144,222</w:t>
            </w:r>
          </w:p>
        </w:tc>
        <w:tc>
          <w:tcPr>
            <w:tcW w:w="964" w:type="dxa"/>
            <w:tcBorders>
              <w:left w:val="nil"/>
              <w:right w:val="nil"/>
            </w:tcBorders>
            <w:vAlign w:val="bottom"/>
          </w:tcPr>
          <w:p w14:paraId="7A67C6D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ru-RU" w:eastAsia="ru-RU"/>
              </w:rPr>
              <w:t>246</w:t>
            </w:r>
            <w:r w:rsidRPr="00C15A17">
              <w:rPr>
                <w:rFonts w:ascii="Arial" w:eastAsia="Times New Roman" w:hAnsi="Arial" w:cs="Arial"/>
                <w:b/>
                <w:spacing w:val="-2"/>
                <w:sz w:val="18"/>
                <w:szCs w:val="18"/>
                <w:lang w:val="en-US" w:eastAsia="ru-RU"/>
              </w:rPr>
              <w:t>,</w:t>
            </w:r>
            <w:r w:rsidRPr="00C15A17">
              <w:rPr>
                <w:rFonts w:ascii="Arial" w:eastAsia="Times New Roman" w:hAnsi="Arial" w:cs="Arial"/>
                <w:b/>
                <w:spacing w:val="-2"/>
                <w:sz w:val="18"/>
                <w:szCs w:val="18"/>
                <w:lang w:val="ru-RU" w:eastAsia="ru-RU"/>
              </w:rPr>
              <w:t>033</w:t>
            </w:r>
          </w:p>
        </w:tc>
        <w:tc>
          <w:tcPr>
            <w:tcW w:w="964" w:type="dxa"/>
            <w:tcBorders>
              <w:left w:val="nil"/>
              <w:right w:val="nil"/>
            </w:tcBorders>
          </w:tcPr>
          <w:p w14:paraId="7A430DA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53</w:t>
            </w:r>
            <w:r w:rsidRPr="00C15A17">
              <w:rPr>
                <w:rFonts w:ascii="Arial" w:eastAsia="Times New Roman" w:hAnsi="Arial" w:cs="Arial"/>
                <w:b/>
                <w:color w:val="000000"/>
                <w:sz w:val="18"/>
                <w:szCs w:val="18"/>
                <w:lang w:val="ru-RU" w:eastAsia="en-US"/>
              </w:rPr>
              <w:t>,</w:t>
            </w:r>
            <w:r w:rsidRPr="00C15A17">
              <w:rPr>
                <w:rFonts w:ascii="Arial" w:eastAsia="Times New Roman" w:hAnsi="Arial" w:cs="Arial"/>
                <w:b/>
                <w:color w:val="000000"/>
                <w:sz w:val="18"/>
                <w:szCs w:val="18"/>
                <w:lang w:val="en-US" w:eastAsia="en-US"/>
              </w:rPr>
              <w:t>892</w:t>
            </w:r>
          </w:p>
        </w:tc>
        <w:tc>
          <w:tcPr>
            <w:tcW w:w="964" w:type="dxa"/>
            <w:tcBorders>
              <w:left w:val="nil"/>
              <w:right w:val="nil"/>
            </w:tcBorders>
          </w:tcPr>
          <w:p w14:paraId="796E9AE6"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6</w:t>
            </w:r>
            <w:r w:rsidRPr="00C15A17">
              <w:rPr>
                <w:rFonts w:ascii="Arial" w:eastAsia="Times New Roman" w:hAnsi="Arial" w:cs="Arial"/>
                <w:b/>
                <w:color w:val="000000"/>
                <w:sz w:val="18"/>
                <w:szCs w:val="18"/>
                <w:lang w:val="ru-RU" w:eastAsia="en-US"/>
              </w:rPr>
              <w:t>0,</w:t>
            </w:r>
            <w:r w:rsidRPr="00C15A17">
              <w:rPr>
                <w:rFonts w:ascii="Arial" w:eastAsia="Times New Roman" w:hAnsi="Arial" w:cs="Arial"/>
                <w:b/>
                <w:color w:val="000000"/>
                <w:sz w:val="18"/>
                <w:szCs w:val="18"/>
                <w:lang w:val="en-US" w:eastAsia="en-US"/>
              </w:rPr>
              <w:t>657</w:t>
            </w:r>
          </w:p>
        </w:tc>
      </w:tr>
      <w:tr w:rsidR="00C15A17" w:rsidRPr="00C15A17" w14:paraId="7804373C"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6A28656A"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50" w:type="dxa"/>
            <w:tcBorders>
              <w:left w:val="nil"/>
              <w:right w:val="nil"/>
            </w:tcBorders>
            <w:vAlign w:val="bottom"/>
          </w:tcPr>
          <w:p w14:paraId="2AC783E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964" w:type="dxa"/>
            <w:tcBorders>
              <w:left w:val="nil"/>
              <w:right w:val="nil"/>
            </w:tcBorders>
            <w:vAlign w:val="bottom"/>
          </w:tcPr>
          <w:p w14:paraId="431BFA1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964" w:type="dxa"/>
            <w:tcBorders>
              <w:left w:val="nil"/>
              <w:right w:val="nil"/>
            </w:tcBorders>
            <w:vAlign w:val="bottom"/>
          </w:tcPr>
          <w:p w14:paraId="23559DD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964" w:type="dxa"/>
            <w:tcBorders>
              <w:left w:val="nil"/>
              <w:right w:val="nil"/>
            </w:tcBorders>
          </w:tcPr>
          <w:p w14:paraId="2695335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964" w:type="dxa"/>
            <w:tcBorders>
              <w:left w:val="nil"/>
              <w:right w:val="nil"/>
            </w:tcBorders>
          </w:tcPr>
          <w:p w14:paraId="44E09D6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C15A17" w:rsidRPr="00C15A17" w14:paraId="078515A4"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54C7F46D"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Administrative and selling overhead expenses</w:t>
            </w:r>
          </w:p>
        </w:tc>
        <w:tc>
          <w:tcPr>
            <w:tcW w:w="850" w:type="dxa"/>
            <w:tcBorders>
              <w:top w:val="nil"/>
              <w:left w:val="nil"/>
              <w:bottom w:val="nil"/>
              <w:right w:val="nil"/>
            </w:tcBorders>
            <w:vAlign w:val="bottom"/>
          </w:tcPr>
          <w:p w14:paraId="15F8EEB7" w14:textId="02317F8A" w:rsidR="00C15A17" w:rsidRPr="009A7F0D"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964" w:type="dxa"/>
            <w:tcBorders>
              <w:top w:val="nil"/>
              <w:left w:val="nil"/>
              <w:bottom w:val="nil"/>
              <w:right w:val="nil"/>
            </w:tcBorders>
            <w:vAlign w:val="bottom"/>
          </w:tcPr>
          <w:p w14:paraId="09EA924A"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(23,659)</w:t>
            </w:r>
          </w:p>
        </w:tc>
        <w:tc>
          <w:tcPr>
            <w:tcW w:w="964" w:type="dxa"/>
            <w:tcBorders>
              <w:top w:val="nil"/>
              <w:left w:val="nil"/>
              <w:bottom w:val="nil"/>
              <w:right w:val="nil"/>
            </w:tcBorders>
            <w:vAlign w:val="bottom"/>
          </w:tcPr>
          <w:p w14:paraId="06FAD004"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35</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135</w:t>
            </w:r>
            <w:r w:rsidRPr="00C15A17">
              <w:rPr>
                <w:rFonts w:ascii="Arial" w:eastAsia="Times New Roman" w:hAnsi="Arial" w:cs="Arial"/>
                <w:spacing w:val="-2"/>
                <w:sz w:val="18"/>
                <w:szCs w:val="18"/>
                <w:lang w:val="en-US" w:eastAsia="ru-RU"/>
              </w:rPr>
              <w:t>)</w:t>
            </w:r>
          </w:p>
        </w:tc>
        <w:tc>
          <w:tcPr>
            <w:tcW w:w="964" w:type="dxa"/>
            <w:tcBorders>
              <w:top w:val="nil"/>
              <w:left w:val="nil"/>
              <w:bottom w:val="nil"/>
              <w:right w:val="nil"/>
            </w:tcBorders>
          </w:tcPr>
          <w:p w14:paraId="5F0AE698" w14:textId="77777777" w:rsidR="00C15A17" w:rsidRPr="00C15A17" w:rsidRDefault="00C15A17" w:rsidP="00C15A17">
            <w:pPr>
              <w:widowControl w:val="0"/>
              <w:spacing w:after="0" w:line="240" w:lineRule="auto"/>
              <w:ind w:right="-57"/>
              <w:jc w:val="right"/>
              <w:rPr>
                <w:rFonts w:ascii="Arial" w:eastAsia="Times New Roman" w:hAnsi="Arial" w:cs="Arial"/>
                <w:bCs/>
                <w:color w:val="000000"/>
                <w:spacing w:val="-2"/>
                <w:sz w:val="18"/>
                <w:szCs w:val="18"/>
                <w:lang w:val="en-US" w:eastAsia="en-US"/>
              </w:rPr>
            </w:pPr>
            <w:r w:rsidRPr="00C15A17">
              <w:rPr>
                <w:rFonts w:ascii="Arial" w:eastAsia="Times New Roman" w:hAnsi="Arial" w:cs="Arial"/>
                <w:bCs/>
                <w:color w:val="000000"/>
                <w:sz w:val="18"/>
                <w:szCs w:val="18"/>
                <w:lang w:val="ru-RU" w:eastAsia="en-US"/>
              </w:rPr>
              <w:t>(8,</w:t>
            </w:r>
            <w:r w:rsidRPr="00C15A17">
              <w:rPr>
                <w:rFonts w:ascii="Arial" w:eastAsia="Times New Roman" w:hAnsi="Arial" w:cs="Arial"/>
                <w:bCs/>
                <w:color w:val="000000"/>
                <w:sz w:val="18"/>
                <w:szCs w:val="18"/>
                <w:lang w:val="en-US" w:eastAsia="en-US"/>
              </w:rPr>
              <w:t>507</w:t>
            </w:r>
            <w:r w:rsidRPr="00C15A17">
              <w:rPr>
                <w:rFonts w:ascii="Arial" w:eastAsia="Times New Roman" w:hAnsi="Arial" w:cs="Arial"/>
                <w:bCs/>
                <w:color w:val="000000"/>
                <w:sz w:val="18"/>
                <w:szCs w:val="18"/>
                <w:lang w:val="ru-RU" w:eastAsia="en-US"/>
              </w:rPr>
              <w:t>)</w:t>
            </w:r>
          </w:p>
        </w:tc>
        <w:tc>
          <w:tcPr>
            <w:tcW w:w="964" w:type="dxa"/>
            <w:tcBorders>
              <w:top w:val="nil"/>
              <w:left w:val="nil"/>
              <w:bottom w:val="nil"/>
              <w:right w:val="nil"/>
            </w:tcBorders>
            <w:vAlign w:val="bottom"/>
          </w:tcPr>
          <w:p w14:paraId="403D3773" w14:textId="77777777" w:rsidR="00C15A17" w:rsidRPr="00C15A17" w:rsidRDefault="00C15A17" w:rsidP="00C15A17">
            <w:pPr>
              <w:widowControl w:val="0"/>
              <w:spacing w:after="0" w:line="240" w:lineRule="auto"/>
              <w:ind w:right="-57"/>
              <w:jc w:val="right"/>
              <w:rPr>
                <w:rFonts w:ascii="Arial" w:eastAsia="Times New Roman" w:hAnsi="Arial" w:cs="Arial"/>
                <w:bCs/>
                <w:color w:val="000000"/>
                <w:spacing w:val="-2"/>
                <w:sz w:val="18"/>
                <w:szCs w:val="18"/>
                <w:lang w:val="en-US" w:eastAsia="en-US"/>
              </w:rPr>
            </w:pPr>
            <w:r w:rsidRPr="00C15A17">
              <w:rPr>
                <w:rFonts w:ascii="Arial" w:eastAsia="Times New Roman" w:hAnsi="Arial" w:cs="Arial"/>
                <w:color w:val="000000"/>
                <w:sz w:val="18"/>
                <w:szCs w:val="18"/>
                <w:lang w:val="ru-RU" w:eastAsia="en-US"/>
              </w:rPr>
              <w:t>(6,</w:t>
            </w:r>
            <w:r w:rsidRPr="00C15A17">
              <w:rPr>
                <w:rFonts w:ascii="Arial" w:eastAsia="Times New Roman" w:hAnsi="Arial" w:cs="Arial"/>
                <w:color w:val="000000"/>
                <w:sz w:val="18"/>
                <w:szCs w:val="18"/>
                <w:lang w:val="en-US" w:eastAsia="en-US"/>
              </w:rPr>
              <w:t>705</w:t>
            </w:r>
            <w:r w:rsidRPr="00C15A17">
              <w:rPr>
                <w:rFonts w:ascii="Arial" w:eastAsia="Times New Roman" w:hAnsi="Arial" w:cs="Arial"/>
                <w:color w:val="000000"/>
                <w:sz w:val="18"/>
                <w:szCs w:val="18"/>
                <w:lang w:val="ru-RU" w:eastAsia="en-US"/>
              </w:rPr>
              <w:t>)</w:t>
            </w:r>
          </w:p>
        </w:tc>
      </w:tr>
      <w:tr w:rsidR="00C15A17" w:rsidRPr="00C15A17" w14:paraId="4A158E37"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179BE669"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Taxes, other than income tax, net</w:t>
            </w:r>
          </w:p>
        </w:tc>
        <w:tc>
          <w:tcPr>
            <w:tcW w:w="850" w:type="dxa"/>
            <w:tcBorders>
              <w:top w:val="nil"/>
              <w:left w:val="nil"/>
              <w:bottom w:val="nil"/>
              <w:right w:val="nil"/>
            </w:tcBorders>
            <w:vAlign w:val="bottom"/>
          </w:tcPr>
          <w:p w14:paraId="52E2F59A" w14:textId="3FF6782C" w:rsidR="00C15A17" w:rsidRPr="009A7F0D"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964" w:type="dxa"/>
            <w:tcBorders>
              <w:top w:val="nil"/>
              <w:left w:val="nil"/>
              <w:right w:val="nil"/>
            </w:tcBorders>
            <w:vAlign w:val="bottom"/>
          </w:tcPr>
          <w:p w14:paraId="67F4FC45"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(9,219)</w:t>
            </w:r>
          </w:p>
        </w:tc>
        <w:tc>
          <w:tcPr>
            <w:tcW w:w="964" w:type="dxa"/>
            <w:tcBorders>
              <w:top w:val="nil"/>
              <w:left w:val="nil"/>
              <w:bottom w:val="nil"/>
              <w:right w:val="nil"/>
            </w:tcBorders>
            <w:vAlign w:val="bottom"/>
          </w:tcPr>
          <w:p w14:paraId="3C7ECF6A"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8</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087</w:t>
            </w:r>
            <w:r w:rsidRPr="00C15A17">
              <w:rPr>
                <w:rFonts w:ascii="Arial" w:eastAsia="Times New Roman" w:hAnsi="Arial" w:cs="Arial"/>
                <w:spacing w:val="-2"/>
                <w:sz w:val="18"/>
                <w:szCs w:val="18"/>
                <w:lang w:val="en-US" w:eastAsia="ru-RU"/>
              </w:rPr>
              <w:t>)</w:t>
            </w:r>
          </w:p>
        </w:tc>
        <w:tc>
          <w:tcPr>
            <w:tcW w:w="964" w:type="dxa"/>
            <w:tcBorders>
              <w:top w:val="nil"/>
              <w:left w:val="nil"/>
              <w:bottom w:val="nil"/>
              <w:right w:val="nil"/>
            </w:tcBorders>
          </w:tcPr>
          <w:p w14:paraId="67E7E202"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3</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209</w:t>
            </w:r>
            <w:r w:rsidRPr="00C15A17">
              <w:rPr>
                <w:rFonts w:ascii="Arial" w:eastAsia="Times New Roman" w:hAnsi="Arial" w:cs="Arial"/>
                <w:color w:val="000000"/>
                <w:sz w:val="18"/>
                <w:szCs w:val="18"/>
                <w:lang w:val="ru-RU" w:eastAsia="en-US"/>
              </w:rPr>
              <w:t>)</w:t>
            </w:r>
          </w:p>
        </w:tc>
        <w:tc>
          <w:tcPr>
            <w:tcW w:w="964" w:type="dxa"/>
            <w:tcBorders>
              <w:top w:val="nil"/>
              <w:left w:val="nil"/>
              <w:bottom w:val="nil"/>
              <w:right w:val="nil"/>
            </w:tcBorders>
            <w:vAlign w:val="bottom"/>
          </w:tcPr>
          <w:p w14:paraId="45D65206"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(2,</w:t>
            </w:r>
            <w:r w:rsidRPr="00C15A17">
              <w:rPr>
                <w:rFonts w:ascii="Arial" w:eastAsia="Times New Roman" w:hAnsi="Arial" w:cs="Arial"/>
                <w:color w:val="000000"/>
                <w:sz w:val="18"/>
                <w:szCs w:val="18"/>
                <w:lang w:val="en-US" w:eastAsia="en-US"/>
              </w:rPr>
              <w:t>851</w:t>
            </w:r>
            <w:r w:rsidRPr="00C15A17">
              <w:rPr>
                <w:rFonts w:ascii="Arial" w:eastAsia="Times New Roman" w:hAnsi="Arial" w:cs="Arial"/>
                <w:color w:val="000000"/>
                <w:sz w:val="18"/>
                <w:szCs w:val="18"/>
                <w:lang w:val="ru-RU" w:eastAsia="en-US"/>
              </w:rPr>
              <w:t>)</w:t>
            </w:r>
          </w:p>
        </w:tc>
      </w:tr>
      <w:tr w:rsidR="00C15A17" w:rsidRPr="00C15A17" w14:paraId="4E3F9E40"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37FDAC3F"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Other expenses, net</w:t>
            </w:r>
          </w:p>
        </w:tc>
        <w:tc>
          <w:tcPr>
            <w:tcW w:w="850" w:type="dxa"/>
            <w:tcBorders>
              <w:top w:val="nil"/>
              <w:left w:val="nil"/>
              <w:right w:val="nil"/>
            </w:tcBorders>
            <w:vAlign w:val="bottom"/>
          </w:tcPr>
          <w:p w14:paraId="19C5C5AE" w14:textId="6D6CFBD0"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964" w:type="dxa"/>
            <w:tcBorders>
              <w:top w:val="nil"/>
              <w:left w:val="nil"/>
              <w:right w:val="nil"/>
            </w:tcBorders>
            <w:vAlign w:val="bottom"/>
          </w:tcPr>
          <w:p w14:paraId="533D610D"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(4,152)</w:t>
            </w:r>
          </w:p>
        </w:tc>
        <w:tc>
          <w:tcPr>
            <w:tcW w:w="964" w:type="dxa"/>
            <w:tcBorders>
              <w:top w:val="nil"/>
              <w:left w:val="nil"/>
              <w:right w:val="nil"/>
            </w:tcBorders>
            <w:vAlign w:val="bottom"/>
          </w:tcPr>
          <w:p w14:paraId="74C11C71"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2</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985</w:t>
            </w:r>
            <w:r w:rsidRPr="00C15A17">
              <w:rPr>
                <w:rFonts w:ascii="Arial" w:eastAsia="Times New Roman" w:hAnsi="Arial" w:cs="Arial"/>
                <w:spacing w:val="-2"/>
                <w:sz w:val="18"/>
                <w:szCs w:val="18"/>
                <w:lang w:val="en-US" w:eastAsia="ru-RU"/>
              </w:rPr>
              <w:t>)</w:t>
            </w:r>
          </w:p>
        </w:tc>
        <w:tc>
          <w:tcPr>
            <w:tcW w:w="964" w:type="dxa"/>
            <w:tcBorders>
              <w:top w:val="nil"/>
              <w:left w:val="nil"/>
              <w:right w:val="nil"/>
            </w:tcBorders>
          </w:tcPr>
          <w:p w14:paraId="2F6D0A65"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eastAsia="ru-RU"/>
              </w:rPr>
            </w:pPr>
            <w:r w:rsidRPr="00C15A17">
              <w:rPr>
                <w:rFonts w:ascii="Arial" w:eastAsia="Times New Roman" w:hAnsi="Arial" w:cs="Arial"/>
                <w:sz w:val="18"/>
                <w:szCs w:val="18"/>
                <w:lang w:val="ru-RU" w:eastAsia="ru-RU"/>
              </w:rPr>
              <w:t>(</w:t>
            </w:r>
            <w:r w:rsidRPr="00C15A17">
              <w:rPr>
                <w:rFonts w:ascii="Arial" w:eastAsia="Times New Roman" w:hAnsi="Arial" w:cs="Arial"/>
                <w:sz w:val="18"/>
                <w:szCs w:val="18"/>
                <w:lang w:val="en-US" w:eastAsia="ru-RU"/>
              </w:rPr>
              <w:t>2</w:t>
            </w:r>
            <w:r w:rsidRPr="00C15A17">
              <w:rPr>
                <w:rFonts w:ascii="Arial" w:eastAsia="Times New Roman" w:hAnsi="Arial" w:cs="Arial"/>
                <w:sz w:val="18"/>
                <w:szCs w:val="18"/>
                <w:lang w:val="ru-RU" w:eastAsia="ru-RU"/>
              </w:rPr>
              <w:t>,</w:t>
            </w:r>
            <w:r w:rsidRPr="00C15A17">
              <w:rPr>
                <w:rFonts w:ascii="Arial" w:eastAsia="Times New Roman" w:hAnsi="Arial" w:cs="Arial"/>
                <w:sz w:val="18"/>
                <w:szCs w:val="18"/>
                <w:lang w:val="en-US" w:eastAsia="ru-RU"/>
              </w:rPr>
              <w:t>082</w:t>
            </w:r>
            <w:r w:rsidRPr="00C15A17">
              <w:rPr>
                <w:rFonts w:ascii="Arial" w:eastAsia="Times New Roman" w:hAnsi="Arial" w:cs="Arial"/>
                <w:sz w:val="18"/>
                <w:szCs w:val="18"/>
                <w:lang w:val="ru-RU" w:eastAsia="ru-RU"/>
              </w:rPr>
              <w:t>)</w:t>
            </w:r>
          </w:p>
        </w:tc>
        <w:tc>
          <w:tcPr>
            <w:tcW w:w="964" w:type="dxa"/>
            <w:tcBorders>
              <w:top w:val="nil"/>
              <w:left w:val="nil"/>
              <w:right w:val="nil"/>
            </w:tcBorders>
            <w:vAlign w:val="bottom"/>
          </w:tcPr>
          <w:p w14:paraId="05349B8A"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eastAsia="ru-RU"/>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1,223</w:t>
            </w:r>
            <w:r w:rsidRPr="00C15A17">
              <w:rPr>
                <w:rFonts w:ascii="Arial" w:eastAsia="Times New Roman" w:hAnsi="Arial" w:cs="Arial"/>
                <w:color w:val="000000"/>
                <w:sz w:val="18"/>
                <w:szCs w:val="18"/>
                <w:lang w:val="ru-RU" w:eastAsia="en-US"/>
              </w:rPr>
              <w:t>)</w:t>
            </w:r>
          </w:p>
        </w:tc>
      </w:tr>
      <w:tr w:rsidR="00C15A17" w:rsidRPr="00C15A17" w14:paraId="60A9500A"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79A6E206"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Foreign exchange gain/(loss) from operating activities, net</w:t>
            </w:r>
          </w:p>
        </w:tc>
        <w:tc>
          <w:tcPr>
            <w:tcW w:w="850" w:type="dxa"/>
            <w:tcBorders>
              <w:top w:val="nil"/>
              <w:left w:val="nil"/>
              <w:right w:val="nil"/>
            </w:tcBorders>
            <w:vAlign w:val="bottom"/>
          </w:tcPr>
          <w:p w14:paraId="123A0C26" w14:textId="09054484"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right w:val="nil"/>
            </w:tcBorders>
            <w:vAlign w:val="bottom"/>
          </w:tcPr>
          <w:p w14:paraId="57F0CCF8"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ru-RU" w:eastAsia="ru-RU"/>
              </w:rPr>
            </w:pPr>
            <w:r w:rsidRPr="00C15A17">
              <w:rPr>
                <w:rFonts w:ascii="Arial" w:eastAsia="Times New Roman" w:hAnsi="Arial" w:cs="Arial"/>
                <w:color w:val="000000"/>
                <w:spacing w:val="-2"/>
                <w:sz w:val="18"/>
                <w:szCs w:val="18"/>
                <w:lang w:val="ru-RU" w:eastAsia="en-US"/>
              </w:rPr>
              <w:t>19,824</w:t>
            </w:r>
          </w:p>
        </w:tc>
        <w:tc>
          <w:tcPr>
            <w:tcW w:w="964" w:type="dxa"/>
            <w:tcBorders>
              <w:top w:val="nil"/>
              <w:left w:val="nil"/>
              <w:right w:val="nil"/>
            </w:tcBorders>
            <w:vAlign w:val="bottom"/>
          </w:tcPr>
          <w:p w14:paraId="4BF424A7"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en-US" w:eastAsia="ru-RU"/>
              </w:rPr>
              <w:t>(2</w:t>
            </w:r>
            <w:r w:rsidRPr="00C15A17">
              <w:rPr>
                <w:rFonts w:ascii="Arial" w:eastAsia="Times New Roman" w:hAnsi="Arial" w:cs="Arial"/>
                <w:spacing w:val="-2"/>
                <w:sz w:val="18"/>
                <w:szCs w:val="18"/>
                <w:lang w:val="ru-RU" w:eastAsia="ru-RU"/>
              </w:rPr>
              <w:t>3</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039</w:t>
            </w:r>
            <w:r w:rsidRPr="00C15A17">
              <w:rPr>
                <w:rFonts w:ascii="Arial" w:eastAsia="Times New Roman" w:hAnsi="Arial" w:cs="Arial"/>
                <w:spacing w:val="-2"/>
                <w:sz w:val="18"/>
                <w:szCs w:val="18"/>
                <w:lang w:val="en-US" w:eastAsia="ru-RU"/>
              </w:rPr>
              <w:t>)</w:t>
            </w:r>
          </w:p>
        </w:tc>
        <w:tc>
          <w:tcPr>
            <w:tcW w:w="964" w:type="dxa"/>
            <w:tcBorders>
              <w:top w:val="nil"/>
              <w:left w:val="nil"/>
              <w:right w:val="nil"/>
            </w:tcBorders>
            <w:vAlign w:val="bottom"/>
          </w:tcPr>
          <w:p w14:paraId="702EFD59"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color w:val="000000"/>
                <w:sz w:val="18"/>
                <w:szCs w:val="18"/>
                <w:lang w:val="en-US" w:eastAsia="en-US"/>
              </w:rPr>
              <w:t>6</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122</w:t>
            </w:r>
          </w:p>
        </w:tc>
        <w:tc>
          <w:tcPr>
            <w:tcW w:w="964" w:type="dxa"/>
            <w:tcBorders>
              <w:top w:val="nil"/>
              <w:left w:val="nil"/>
              <w:right w:val="nil"/>
            </w:tcBorders>
            <w:vAlign w:val="bottom"/>
          </w:tcPr>
          <w:p w14:paraId="55BA21A3" w14:textId="77777777" w:rsidR="00C15A17" w:rsidRPr="00C15A17" w:rsidRDefault="00C15A17" w:rsidP="00C15A17">
            <w:pPr>
              <w:widowControl w:val="0"/>
              <w:spacing w:after="0" w:line="240" w:lineRule="auto"/>
              <w:jc w:val="right"/>
              <w:rPr>
                <w:rFonts w:ascii="Arial" w:eastAsia="Times New Roman" w:hAnsi="Arial" w:cs="Arial"/>
                <w:color w:val="000000"/>
                <w:sz w:val="18"/>
                <w:szCs w:val="18"/>
                <w:lang w:val="ru-RU" w:eastAsia="en-US"/>
              </w:rPr>
            </w:pPr>
            <w:r w:rsidRPr="00C15A17">
              <w:rPr>
                <w:rFonts w:ascii="Arial" w:eastAsia="Times New Roman" w:hAnsi="Arial" w:cs="Arial"/>
                <w:color w:val="000000"/>
                <w:sz w:val="18"/>
                <w:szCs w:val="18"/>
                <w:lang w:val="en-US" w:eastAsia="en-US"/>
              </w:rPr>
              <w:t>6</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735</w:t>
            </w:r>
          </w:p>
        </w:tc>
      </w:tr>
      <w:tr w:rsidR="00C15A17" w:rsidRPr="00C15A17" w14:paraId="329F2840" w14:textId="77777777" w:rsidTr="00ED6D31">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5A708A10"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nil"/>
              <w:left w:val="nil"/>
              <w:bottom w:val="single" w:sz="4" w:space="0" w:color="auto"/>
              <w:right w:val="nil"/>
            </w:tcBorders>
            <w:vAlign w:val="bottom"/>
          </w:tcPr>
          <w:p w14:paraId="2A6D8060"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vAlign w:val="bottom"/>
          </w:tcPr>
          <w:p w14:paraId="45E2A05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nil"/>
              <w:left w:val="nil"/>
              <w:bottom w:val="single" w:sz="4" w:space="0" w:color="auto"/>
              <w:right w:val="nil"/>
            </w:tcBorders>
            <w:vAlign w:val="bottom"/>
          </w:tcPr>
          <w:p w14:paraId="222D1B2B"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nil"/>
              <w:left w:val="nil"/>
              <w:bottom w:val="single" w:sz="4" w:space="0" w:color="auto"/>
              <w:right w:val="nil"/>
            </w:tcBorders>
          </w:tcPr>
          <w:p w14:paraId="37780EF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nil"/>
              <w:left w:val="nil"/>
              <w:bottom w:val="single" w:sz="4" w:space="0" w:color="auto"/>
              <w:right w:val="nil"/>
            </w:tcBorders>
          </w:tcPr>
          <w:p w14:paraId="13E4265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C15A17" w:rsidRPr="00C15A17" w14:paraId="66AE1B8E" w14:textId="77777777" w:rsidTr="00ED6D31">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1ED800E2"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right w:val="nil"/>
            </w:tcBorders>
            <w:vAlign w:val="bottom"/>
          </w:tcPr>
          <w:p w14:paraId="5FA6AB93"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18111F9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vAlign w:val="bottom"/>
          </w:tcPr>
          <w:p w14:paraId="63F4A62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tcPr>
          <w:p w14:paraId="3B9669D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tcPr>
          <w:p w14:paraId="1467A19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C15A17" w:rsidRPr="00C15A17" w14:paraId="2DD3DCEE"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4063F54C"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C15A17">
              <w:rPr>
                <w:rFonts w:ascii="Arial" w:eastAsia="Times New Roman" w:hAnsi="Arial" w:cs="Arial"/>
                <w:b/>
                <w:spacing w:val="-2"/>
                <w:sz w:val="18"/>
                <w:szCs w:val="18"/>
                <w:lang w:eastAsia="ru-RU"/>
              </w:rPr>
              <w:t>Operating profit</w:t>
            </w:r>
          </w:p>
        </w:tc>
        <w:tc>
          <w:tcPr>
            <w:tcW w:w="850" w:type="dxa"/>
            <w:tcBorders>
              <w:left w:val="nil"/>
              <w:right w:val="nil"/>
            </w:tcBorders>
            <w:vAlign w:val="bottom"/>
          </w:tcPr>
          <w:p w14:paraId="55C62EDD"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2F00AE5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ru-RU" w:eastAsia="ru-RU"/>
              </w:rPr>
              <w:t>127,016</w:t>
            </w:r>
          </w:p>
        </w:tc>
        <w:tc>
          <w:tcPr>
            <w:tcW w:w="964" w:type="dxa"/>
            <w:tcBorders>
              <w:left w:val="nil"/>
              <w:right w:val="nil"/>
            </w:tcBorders>
            <w:vAlign w:val="bottom"/>
          </w:tcPr>
          <w:p w14:paraId="482D72E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en-US" w:eastAsia="ru-RU"/>
              </w:rPr>
              <w:t>1</w:t>
            </w:r>
            <w:r w:rsidRPr="00C15A17">
              <w:rPr>
                <w:rFonts w:ascii="Arial" w:eastAsia="Times New Roman" w:hAnsi="Arial" w:cs="Arial"/>
                <w:b/>
                <w:spacing w:val="-2"/>
                <w:sz w:val="18"/>
                <w:szCs w:val="18"/>
                <w:lang w:val="ru-RU" w:eastAsia="ru-RU"/>
              </w:rPr>
              <w:t>76</w:t>
            </w:r>
            <w:r w:rsidRPr="00C15A17">
              <w:rPr>
                <w:rFonts w:ascii="Arial" w:eastAsia="Times New Roman" w:hAnsi="Arial" w:cs="Arial"/>
                <w:b/>
                <w:spacing w:val="-2"/>
                <w:sz w:val="18"/>
                <w:szCs w:val="18"/>
                <w:lang w:val="en-US" w:eastAsia="ru-RU"/>
              </w:rPr>
              <w:t>,</w:t>
            </w:r>
            <w:r w:rsidRPr="00C15A17">
              <w:rPr>
                <w:rFonts w:ascii="Arial" w:eastAsia="Times New Roman" w:hAnsi="Arial" w:cs="Arial"/>
                <w:b/>
                <w:spacing w:val="-2"/>
                <w:sz w:val="18"/>
                <w:szCs w:val="18"/>
                <w:lang w:val="ru-RU" w:eastAsia="ru-RU"/>
              </w:rPr>
              <w:t>787</w:t>
            </w:r>
          </w:p>
        </w:tc>
        <w:tc>
          <w:tcPr>
            <w:tcW w:w="964" w:type="dxa"/>
            <w:tcBorders>
              <w:left w:val="nil"/>
              <w:right w:val="nil"/>
            </w:tcBorders>
          </w:tcPr>
          <w:p w14:paraId="129E21A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color w:val="000000"/>
                <w:spacing w:val="-2"/>
                <w:sz w:val="18"/>
                <w:szCs w:val="18"/>
                <w:lang w:val="en-US" w:eastAsia="en-US"/>
              </w:rPr>
            </w:pPr>
            <w:r w:rsidRPr="00C15A17">
              <w:rPr>
                <w:rFonts w:ascii="Arial" w:eastAsia="Times New Roman" w:hAnsi="Arial" w:cs="Arial"/>
                <w:b/>
                <w:bCs/>
                <w:color w:val="000000"/>
                <w:sz w:val="18"/>
                <w:szCs w:val="18"/>
                <w:lang w:val="en-US" w:eastAsia="en-US"/>
              </w:rPr>
              <w:t>46</w:t>
            </w:r>
            <w:r w:rsidRPr="00C15A17">
              <w:rPr>
                <w:rFonts w:ascii="Arial" w:eastAsia="Times New Roman" w:hAnsi="Arial" w:cs="Arial"/>
                <w:b/>
                <w:bCs/>
                <w:color w:val="000000"/>
                <w:sz w:val="18"/>
                <w:szCs w:val="18"/>
                <w:lang w:val="ru-RU" w:eastAsia="en-US"/>
              </w:rPr>
              <w:t>,</w:t>
            </w:r>
            <w:r w:rsidRPr="00C15A17">
              <w:rPr>
                <w:rFonts w:ascii="Arial" w:eastAsia="Times New Roman" w:hAnsi="Arial" w:cs="Arial"/>
                <w:b/>
                <w:bCs/>
                <w:color w:val="000000"/>
                <w:sz w:val="18"/>
                <w:szCs w:val="18"/>
                <w:lang w:val="en-US" w:eastAsia="en-US"/>
              </w:rPr>
              <w:t>216</w:t>
            </w:r>
          </w:p>
        </w:tc>
        <w:tc>
          <w:tcPr>
            <w:tcW w:w="964" w:type="dxa"/>
            <w:tcBorders>
              <w:left w:val="nil"/>
              <w:right w:val="nil"/>
            </w:tcBorders>
          </w:tcPr>
          <w:p w14:paraId="577E92D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color w:val="000000"/>
                <w:spacing w:val="-2"/>
                <w:sz w:val="18"/>
                <w:szCs w:val="18"/>
                <w:lang w:val="en-US" w:eastAsia="en-US"/>
              </w:rPr>
            </w:pPr>
            <w:r w:rsidRPr="00C15A17">
              <w:rPr>
                <w:rFonts w:ascii="Arial" w:eastAsia="Times New Roman" w:hAnsi="Arial" w:cs="Arial"/>
                <w:b/>
                <w:bCs/>
                <w:color w:val="000000"/>
                <w:sz w:val="18"/>
                <w:szCs w:val="18"/>
                <w:lang w:val="en-US" w:eastAsia="en-US"/>
              </w:rPr>
              <w:t>56</w:t>
            </w:r>
            <w:r w:rsidRPr="00C15A17">
              <w:rPr>
                <w:rFonts w:ascii="Arial" w:eastAsia="Times New Roman" w:hAnsi="Arial" w:cs="Arial"/>
                <w:b/>
                <w:bCs/>
                <w:color w:val="000000"/>
                <w:sz w:val="18"/>
                <w:szCs w:val="18"/>
                <w:lang w:val="ru-RU" w:eastAsia="en-US"/>
              </w:rPr>
              <w:t>,</w:t>
            </w:r>
            <w:r w:rsidRPr="00C15A17">
              <w:rPr>
                <w:rFonts w:ascii="Arial" w:eastAsia="Times New Roman" w:hAnsi="Arial" w:cs="Arial"/>
                <w:b/>
                <w:bCs/>
                <w:color w:val="000000"/>
                <w:sz w:val="18"/>
                <w:szCs w:val="18"/>
                <w:lang w:val="en-US" w:eastAsia="en-US"/>
              </w:rPr>
              <w:t>613</w:t>
            </w:r>
          </w:p>
        </w:tc>
      </w:tr>
      <w:tr w:rsidR="00C15A17" w:rsidRPr="00C15A17" w14:paraId="1203E5B6"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33CF715A"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50" w:type="dxa"/>
            <w:tcBorders>
              <w:left w:val="nil"/>
              <w:right w:val="nil"/>
            </w:tcBorders>
            <w:vAlign w:val="bottom"/>
          </w:tcPr>
          <w:p w14:paraId="383C49D6"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left w:val="nil"/>
              <w:right w:val="nil"/>
            </w:tcBorders>
            <w:vAlign w:val="bottom"/>
          </w:tcPr>
          <w:p w14:paraId="7BE95CCC"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964" w:type="dxa"/>
            <w:tcBorders>
              <w:left w:val="nil"/>
              <w:right w:val="nil"/>
            </w:tcBorders>
            <w:vAlign w:val="bottom"/>
          </w:tcPr>
          <w:p w14:paraId="4299F7F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964" w:type="dxa"/>
            <w:tcBorders>
              <w:left w:val="nil"/>
              <w:right w:val="nil"/>
            </w:tcBorders>
          </w:tcPr>
          <w:p w14:paraId="27C9BFE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964" w:type="dxa"/>
            <w:tcBorders>
              <w:left w:val="nil"/>
              <w:right w:val="nil"/>
            </w:tcBorders>
          </w:tcPr>
          <w:p w14:paraId="01D2E0B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C15A17" w:rsidRPr="00C15A17" w14:paraId="1FFFD15B"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3A903C0E"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Finance income</w:t>
            </w:r>
          </w:p>
        </w:tc>
        <w:tc>
          <w:tcPr>
            <w:tcW w:w="850" w:type="dxa"/>
            <w:tcBorders>
              <w:top w:val="nil"/>
              <w:left w:val="nil"/>
              <w:bottom w:val="nil"/>
              <w:right w:val="nil"/>
            </w:tcBorders>
            <w:vAlign w:val="bottom"/>
          </w:tcPr>
          <w:p w14:paraId="4A5CB3C3" w14:textId="2A222970"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964" w:type="dxa"/>
            <w:tcBorders>
              <w:top w:val="nil"/>
              <w:left w:val="nil"/>
              <w:bottom w:val="nil"/>
              <w:right w:val="nil"/>
            </w:tcBorders>
            <w:vAlign w:val="bottom"/>
          </w:tcPr>
          <w:p w14:paraId="61690F0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2,060</w:t>
            </w:r>
          </w:p>
        </w:tc>
        <w:tc>
          <w:tcPr>
            <w:tcW w:w="964" w:type="dxa"/>
            <w:tcBorders>
              <w:top w:val="nil"/>
              <w:left w:val="nil"/>
              <w:bottom w:val="nil"/>
              <w:right w:val="nil"/>
            </w:tcBorders>
            <w:vAlign w:val="bottom"/>
          </w:tcPr>
          <w:p w14:paraId="1672CC40"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ru-RU" w:eastAsia="en-US"/>
              </w:rPr>
            </w:pPr>
            <w:r w:rsidRPr="00C15A17">
              <w:rPr>
                <w:rFonts w:ascii="Arial" w:eastAsia="Times New Roman" w:hAnsi="Arial" w:cs="Arial"/>
                <w:spacing w:val="-2"/>
                <w:sz w:val="18"/>
                <w:szCs w:val="18"/>
                <w:lang w:val="ru-RU" w:eastAsia="ru-RU"/>
              </w:rPr>
              <w:t>3</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657</w:t>
            </w:r>
          </w:p>
        </w:tc>
        <w:tc>
          <w:tcPr>
            <w:tcW w:w="964" w:type="dxa"/>
            <w:tcBorders>
              <w:top w:val="nil"/>
              <w:left w:val="nil"/>
              <w:bottom w:val="nil"/>
              <w:right w:val="nil"/>
            </w:tcBorders>
          </w:tcPr>
          <w:p w14:paraId="4D127004"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en-US" w:eastAsia="en-US"/>
              </w:rPr>
              <w:t>805</w:t>
            </w:r>
          </w:p>
        </w:tc>
        <w:tc>
          <w:tcPr>
            <w:tcW w:w="964" w:type="dxa"/>
            <w:tcBorders>
              <w:top w:val="nil"/>
              <w:left w:val="nil"/>
              <w:bottom w:val="nil"/>
              <w:right w:val="nil"/>
            </w:tcBorders>
            <w:vAlign w:val="bottom"/>
          </w:tcPr>
          <w:p w14:paraId="57602F34"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1,</w:t>
            </w:r>
            <w:r w:rsidRPr="00C15A17">
              <w:rPr>
                <w:rFonts w:ascii="Arial" w:eastAsia="Times New Roman" w:hAnsi="Arial" w:cs="Arial"/>
                <w:color w:val="000000"/>
                <w:sz w:val="18"/>
                <w:szCs w:val="18"/>
                <w:lang w:val="en-US" w:eastAsia="en-US"/>
              </w:rPr>
              <w:t>748</w:t>
            </w:r>
          </w:p>
        </w:tc>
      </w:tr>
      <w:tr w:rsidR="00C15A17" w:rsidRPr="00C15A17" w14:paraId="7B0DF872"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340F6661"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Finance costs</w:t>
            </w:r>
          </w:p>
        </w:tc>
        <w:tc>
          <w:tcPr>
            <w:tcW w:w="850" w:type="dxa"/>
            <w:tcBorders>
              <w:top w:val="nil"/>
              <w:left w:val="nil"/>
              <w:bottom w:val="nil"/>
              <w:right w:val="nil"/>
            </w:tcBorders>
            <w:vAlign w:val="bottom"/>
          </w:tcPr>
          <w:p w14:paraId="4DD7544E" w14:textId="7B9C6AFA"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964" w:type="dxa"/>
            <w:tcBorders>
              <w:top w:val="nil"/>
              <w:left w:val="nil"/>
              <w:bottom w:val="nil"/>
              <w:right w:val="nil"/>
            </w:tcBorders>
            <w:vAlign w:val="bottom"/>
          </w:tcPr>
          <w:p w14:paraId="58CA0F99"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(5,737)</w:t>
            </w:r>
          </w:p>
        </w:tc>
        <w:tc>
          <w:tcPr>
            <w:tcW w:w="964" w:type="dxa"/>
            <w:tcBorders>
              <w:top w:val="nil"/>
              <w:left w:val="nil"/>
              <w:bottom w:val="nil"/>
              <w:right w:val="nil"/>
            </w:tcBorders>
            <w:vAlign w:val="bottom"/>
          </w:tcPr>
          <w:p w14:paraId="5AC54390"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10</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672</w:t>
            </w:r>
            <w:r w:rsidRPr="00C15A17">
              <w:rPr>
                <w:rFonts w:ascii="Arial" w:eastAsia="Times New Roman" w:hAnsi="Arial" w:cs="Arial"/>
                <w:spacing w:val="-2"/>
                <w:sz w:val="18"/>
                <w:szCs w:val="18"/>
                <w:lang w:val="en-US" w:eastAsia="ru-RU"/>
              </w:rPr>
              <w:t>)</w:t>
            </w:r>
          </w:p>
        </w:tc>
        <w:tc>
          <w:tcPr>
            <w:tcW w:w="964" w:type="dxa"/>
            <w:tcBorders>
              <w:top w:val="nil"/>
              <w:left w:val="nil"/>
              <w:bottom w:val="nil"/>
              <w:right w:val="nil"/>
            </w:tcBorders>
          </w:tcPr>
          <w:p w14:paraId="5CBDC321"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2</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151</w:t>
            </w:r>
            <w:r w:rsidRPr="00C15A17">
              <w:rPr>
                <w:rFonts w:ascii="Arial" w:eastAsia="Times New Roman" w:hAnsi="Arial" w:cs="Arial"/>
                <w:color w:val="000000"/>
                <w:sz w:val="18"/>
                <w:szCs w:val="18"/>
                <w:lang w:val="ru-RU" w:eastAsia="en-US"/>
              </w:rPr>
              <w:t>)</w:t>
            </w:r>
          </w:p>
        </w:tc>
        <w:tc>
          <w:tcPr>
            <w:tcW w:w="964" w:type="dxa"/>
            <w:tcBorders>
              <w:top w:val="nil"/>
              <w:left w:val="nil"/>
              <w:bottom w:val="nil"/>
              <w:right w:val="nil"/>
            </w:tcBorders>
            <w:vAlign w:val="bottom"/>
          </w:tcPr>
          <w:p w14:paraId="76F39E54" w14:textId="77777777" w:rsidR="00C15A17" w:rsidRPr="00C15A17" w:rsidRDefault="00C15A17" w:rsidP="00C15A17">
            <w:pPr>
              <w:widowControl w:val="0"/>
              <w:spacing w:after="0" w:line="240" w:lineRule="auto"/>
              <w:ind w:right="-57"/>
              <w:jc w:val="right"/>
              <w:rPr>
                <w:rFonts w:ascii="Arial" w:eastAsia="Times New Roman" w:hAnsi="Arial" w:cs="Arial"/>
                <w:color w:val="000000"/>
                <w:sz w:val="18"/>
                <w:szCs w:val="18"/>
                <w:lang w:val="ru-RU" w:eastAsia="en-US"/>
              </w:rPr>
            </w:pPr>
            <w:r w:rsidRPr="00C15A17">
              <w:rPr>
                <w:rFonts w:ascii="Arial" w:eastAsia="Times New Roman" w:hAnsi="Arial" w:cs="Arial"/>
                <w:color w:val="000000"/>
                <w:sz w:val="18"/>
                <w:szCs w:val="18"/>
                <w:lang w:val="ru-RU" w:eastAsia="en-US"/>
              </w:rPr>
              <w:t>(1,</w:t>
            </w:r>
            <w:r w:rsidRPr="00C15A17">
              <w:rPr>
                <w:rFonts w:ascii="Arial" w:eastAsia="Times New Roman" w:hAnsi="Arial" w:cs="Arial"/>
                <w:color w:val="000000"/>
                <w:sz w:val="18"/>
                <w:szCs w:val="18"/>
                <w:lang w:val="en-US" w:eastAsia="en-US"/>
              </w:rPr>
              <w:t>162</w:t>
            </w:r>
            <w:r w:rsidRPr="00C15A17">
              <w:rPr>
                <w:rFonts w:ascii="Arial" w:eastAsia="Times New Roman" w:hAnsi="Arial" w:cs="Arial"/>
                <w:color w:val="000000"/>
                <w:sz w:val="18"/>
                <w:szCs w:val="18"/>
                <w:lang w:val="ru-RU" w:eastAsia="en-US"/>
              </w:rPr>
              <w:t>)</w:t>
            </w:r>
          </w:p>
        </w:tc>
      </w:tr>
      <w:tr w:rsidR="00C15A17" w:rsidRPr="00C15A17" w14:paraId="1F24F32D"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62011809"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Foreign exchange</w:t>
            </w:r>
            <w:r w:rsidRPr="00C15A17">
              <w:rPr>
                <w:rFonts w:ascii="Arial" w:eastAsia="Times New Roman" w:hAnsi="Arial" w:cs="Arial"/>
                <w:spacing w:val="-2"/>
                <w:sz w:val="18"/>
                <w:szCs w:val="18"/>
                <w:lang w:val="en-US" w:eastAsia="ru-RU"/>
              </w:rPr>
              <w:t xml:space="preserve"> </w:t>
            </w:r>
            <w:r w:rsidRPr="00C15A17">
              <w:rPr>
                <w:rFonts w:ascii="Arial" w:eastAsia="Times New Roman" w:hAnsi="Arial" w:cs="Arial"/>
                <w:spacing w:val="-2"/>
                <w:sz w:val="18"/>
                <w:szCs w:val="18"/>
                <w:lang w:eastAsia="ru-RU"/>
              </w:rPr>
              <w:t>(loss)/gain from financing activities, net</w:t>
            </w:r>
          </w:p>
        </w:tc>
        <w:tc>
          <w:tcPr>
            <w:tcW w:w="850" w:type="dxa"/>
            <w:tcBorders>
              <w:top w:val="nil"/>
              <w:left w:val="nil"/>
              <w:bottom w:val="nil"/>
              <w:right w:val="nil"/>
            </w:tcBorders>
            <w:vAlign w:val="bottom"/>
          </w:tcPr>
          <w:p w14:paraId="5F03FD64" w14:textId="3AC0E8FD"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right w:val="nil"/>
            </w:tcBorders>
            <w:vAlign w:val="bottom"/>
          </w:tcPr>
          <w:p w14:paraId="371CC34A"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ru-RU" w:eastAsia="ru-RU"/>
              </w:rPr>
              <w:t>(45,945)</w:t>
            </w:r>
          </w:p>
        </w:tc>
        <w:tc>
          <w:tcPr>
            <w:tcW w:w="964" w:type="dxa"/>
            <w:tcBorders>
              <w:top w:val="nil"/>
              <w:left w:val="nil"/>
              <w:right w:val="nil"/>
            </w:tcBorders>
            <w:vAlign w:val="bottom"/>
          </w:tcPr>
          <w:p w14:paraId="657CBF2E"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ru-RU" w:eastAsia="ru-RU"/>
              </w:rPr>
              <w:t>38</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341</w:t>
            </w:r>
          </w:p>
        </w:tc>
        <w:tc>
          <w:tcPr>
            <w:tcW w:w="964" w:type="dxa"/>
            <w:tcBorders>
              <w:top w:val="nil"/>
              <w:left w:val="nil"/>
              <w:right w:val="nil"/>
            </w:tcBorders>
            <w:vAlign w:val="bottom"/>
          </w:tcPr>
          <w:p w14:paraId="7DBF249E"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(1</w:t>
            </w:r>
            <w:r w:rsidRPr="00C15A17">
              <w:rPr>
                <w:rFonts w:ascii="Arial" w:eastAsia="Times New Roman" w:hAnsi="Arial" w:cs="Arial"/>
                <w:color w:val="000000"/>
                <w:sz w:val="18"/>
                <w:szCs w:val="18"/>
                <w:lang w:val="en-US" w:eastAsia="en-US"/>
              </w:rPr>
              <w:t>7</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968</w:t>
            </w:r>
            <w:r w:rsidRPr="00C15A17">
              <w:rPr>
                <w:rFonts w:ascii="Arial" w:eastAsia="Times New Roman" w:hAnsi="Arial" w:cs="Arial"/>
                <w:color w:val="000000"/>
                <w:sz w:val="18"/>
                <w:szCs w:val="18"/>
                <w:lang w:val="ru-RU" w:eastAsia="en-US"/>
              </w:rPr>
              <w:t>)</w:t>
            </w:r>
          </w:p>
        </w:tc>
        <w:tc>
          <w:tcPr>
            <w:tcW w:w="964" w:type="dxa"/>
            <w:tcBorders>
              <w:top w:val="nil"/>
              <w:left w:val="nil"/>
              <w:right w:val="nil"/>
            </w:tcBorders>
            <w:vAlign w:val="bottom"/>
          </w:tcPr>
          <w:p w14:paraId="28ECCA98"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(1</w:t>
            </w:r>
            <w:r w:rsidRPr="00C15A17">
              <w:rPr>
                <w:rFonts w:ascii="Arial" w:eastAsia="Times New Roman" w:hAnsi="Arial" w:cs="Arial"/>
                <w:color w:val="000000"/>
                <w:sz w:val="18"/>
                <w:szCs w:val="18"/>
                <w:lang w:val="en-US" w:eastAsia="en-US"/>
              </w:rPr>
              <w:t>1</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928)</w:t>
            </w:r>
          </w:p>
        </w:tc>
      </w:tr>
      <w:tr w:rsidR="00C15A17" w:rsidRPr="00C15A17" w14:paraId="196FDAF1" w14:textId="77777777" w:rsidTr="00ED6D31">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6791C389"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nil"/>
              <w:left w:val="nil"/>
              <w:bottom w:val="single" w:sz="4" w:space="0" w:color="auto"/>
              <w:right w:val="nil"/>
            </w:tcBorders>
            <w:vAlign w:val="bottom"/>
          </w:tcPr>
          <w:p w14:paraId="5E0755D4"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vAlign w:val="bottom"/>
          </w:tcPr>
          <w:p w14:paraId="5A7497E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nil"/>
              <w:left w:val="nil"/>
              <w:bottom w:val="single" w:sz="4" w:space="0" w:color="auto"/>
              <w:right w:val="nil"/>
            </w:tcBorders>
            <w:vAlign w:val="bottom"/>
          </w:tcPr>
          <w:p w14:paraId="45F47CB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nil"/>
              <w:left w:val="nil"/>
              <w:bottom w:val="single" w:sz="4" w:space="0" w:color="auto"/>
              <w:right w:val="nil"/>
            </w:tcBorders>
          </w:tcPr>
          <w:p w14:paraId="4F6165B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nil"/>
              <w:left w:val="nil"/>
              <w:bottom w:val="single" w:sz="4" w:space="0" w:color="auto"/>
              <w:right w:val="nil"/>
            </w:tcBorders>
          </w:tcPr>
          <w:p w14:paraId="668863F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1A7814DD" w14:textId="77777777" w:rsidTr="00ED6D31">
        <w:tblPrEx>
          <w:tblLook w:val="0000" w:firstRow="0" w:lastRow="0" w:firstColumn="0" w:lastColumn="0" w:noHBand="0" w:noVBand="0"/>
        </w:tblPrEx>
        <w:trPr>
          <w:cantSplit/>
        </w:trPr>
        <w:tc>
          <w:tcPr>
            <w:tcW w:w="4706" w:type="dxa"/>
            <w:tcBorders>
              <w:top w:val="single" w:sz="4" w:space="0" w:color="auto"/>
              <w:left w:val="nil"/>
              <w:bottom w:val="nil"/>
              <w:right w:val="nil"/>
            </w:tcBorders>
            <w:vAlign w:val="bottom"/>
          </w:tcPr>
          <w:p w14:paraId="732F0BB7"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bottom w:val="nil"/>
              <w:right w:val="nil"/>
            </w:tcBorders>
            <w:vAlign w:val="bottom"/>
          </w:tcPr>
          <w:p w14:paraId="6EE16636"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581B13D6"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vAlign w:val="bottom"/>
          </w:tcPr>
          <w:p w14:paraId="21D4DA1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tcPr>
          <w:p w14:paraId="7DBEE2D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tcPr>
          <w:p w14:paraId="1F1241E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67678A7C"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0BC52E1E"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C15A17">
              <w:rPr>
                <w:rFonts w:ascii="Arial" w:eastAsia="Times New Roman" w:hAnsi="Arial" w:cs="Arial"/>
                <w:b/>
                <w:spacing w:val="-2"/>
                <w:sz w:val="18"/>
                <w:szCs w:val="18"/>
                <w:lang w:eastAsia="ru-RU"/>
              </w:rPr>
              <w:t>Profit before tax</w:t>
            </w:r>
          </w:p>
        </w:tc>
        <w:tc>
          <w:tcPr>
            <w:tcW w:w="850" w:type="dxa"/>
            <w:tcBorders>
              <w:top w:val="nil"/>
              <w:left w:val="nil"/>
              <w:right w:val="nil"/>
            </w:tcBorders>
            <w:vAlign w:val="bottom"/>
          </w:tcPr>
          <w:p w14:paraId="2686E17C"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1F85087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ru-RU" w:eastAsia="ru-RU"/>
              </w:rPr>
              <w:t>77,394</w:t>
            </w:r>
          </w:p>
        </w:tc>
        <w:tc>
          <w:tcPr>
            <w:tcW w:w="964" w:type="dxa"/>
            <w:tcBorders>
              <w:left w:val="nil"/>
              <w:right w:val="nil"/>
            </w:tcBorders>
            <w:vAlign w:val="bottom"/>
          </w:tcPr>
          <w:p w14:paraId="4DA1D24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ru-RU" w:eastAsia="ru-RU"/>
              </w:rPr>
              <w:t>208</w:t>
            </w:r>
            <w:r w:rsidRPr="00C15A17">
              <w:rPr>
                <w:rFonts w:ascii="Arial" w:eastAsia="Times New Roman" w:hAnsi="Arial" w:cs="Arial"/>
                <w:b/>
                <w:spacing w:val="-2"/>
                <w:sz w:val="18"/>
                <w:szCs w:val="18"/>
                <w:lang w:val="en-US" w:eastAsia="ru-RU"/>
              </w:rPr>
              <w:t>,</w:t>
            </w:r>
            <w:r w:rsidRPr="00C15A17">
              <w:rPr>
                <w:rFonts w:ascii="Arial" w:eastAsia="Times New Roman" w:hAnsi="Arial" w:cs="Arial"/>
                <w:b/>
                <w:spacing w:val="-2"/>
                <w:sz w:val="18"/>
                <w:szCs w:val="18"/>
                <w:lang w:val="ru-RU" w:eastAsia="ru-RU"/>
              </w:rPr>
              <w:t>113</w:t>
            </w:r>
          </w:p>
        </w:tc>
        <w:tc>
          <w:tcPr>
            <w:tcW w:w="964" w:type="dxa"/>
            <w:tcBorders>
              <w:left w:val="nil"/>
              <w:right w:val="nil"/>
            </w:tcBorders>
          </w:tcPr>
          <w:p w14:paraId="540DF2D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26</w:t>
            </w:r>
            <w:r w:rsidRPr="00C15A17">
              <w:rPr>
                <w:rFonts w:ascii="Arial" w:eastAsia="Times New Roman" w:hAnsi="Arial" w:cs="Arial"/>
                <w:b/>
                <w:color w:val="000000"/>
                <w:sz w:val="18"/>
                <w:szCs w:val="18"/>
                <w:lang w:val="ru-RU" w:eastAsia="en-US"/>
              </w:rPr>
              <w:t>,</w:t>
            </w:r>
            <w:r w:rsidRPr="00C15A17">
              <w:rPr>
                <w:rFonts w:ascii="Arial" w:eastAsia="Times New Roman" w:hAnsi="Arial" w:cs="Arial"/>
                <w:b/>
                <w:color w:val="000000"/>
                <w:sz w:val="18"/>
                <w:szCs w:val="18"/>
                <w:lang w:val="en-US" w:eastAsia="en-US"/>
              </w:rPr>
              <w:t>902</w:t>
            </w:r>
          </w:p>
        </w:tc>
        <w:tc>
          <w:tcPr>
            <w:tcW w:w="964" w:type="dxa"/>
            <w:tcBorders>
              <w:left w:val="nil"/>
              <w:right w:val="nil"/>
            </w:tcBorders>
          </w:tcPr>
          <w:p w14:paraId="36293F2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45</w:t>
            </w:r>
            <w:r w:rsidRPr="00C15A17">
              <w:rPr>
                <w:rFonts w:ascii="Arial" w:eastAsia="Times New Roman" w:hAnsi="Arial" w:cs="Arial"/>
                <w:b/>
                <w:color w:val="000000"/>
                <w:sz w:val="18"/>
                <w:szCs w:val="18"/>
                <w:lang w:val="ru-RU" w:eastAsia="en-US"/>
              </w:rPr>
              <w:t>,</w:t>
            </w:r>
            <w:r w:rsidRPr="00C15A17">
              <w:rPr>
                <w:rFonts w:ascii="Arial" w:eastAsia="Times New Roman" w:hAnsi="Arial" w:cs="Arial"/>
                <w:b/>
                <w:color w:val="000000"/>
                <w:sz w:val="18"/>
                <w:szCs w:val="18"/>
                <w:lang w:val="en-US" w:eastAsia="en-US"/>
              </w:rPr>
              <w:t>271</w:t>
            </w:r>
          </w:p>
        </w:tc>
      </w:tr>
      <w:tr w:rsidR="00C15A17" w:rsidRPr="00C15A17" w14:paraId="7DB25517" w14:textId="77777777" w:rsidTr="00ED6D31">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0A38AB6A"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nil"/>
              <w:left w:val="nil"/>
              <w:bottom w:val="single" w:sz="4" w:space="0" w:color="auto"/>
              <w:right w:val="nil"/>
            </w:tcBorders>
            <w:vAlign w:val="bottom"/>
          </w:tcPr>
          <w:p w14:paraId="3B14B85B"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vAlign w:val="bottom"/>
          </w:tcPr>
          <w:p w14:paraId="24F1536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vAlign w:val="bottom"/>
          </w:tcPr>
          <w:p w14:paraId="59194FD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tcPr>
          <w:p w14:paraId="3B17BDA6"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tcPr>
          <w:p w14:paraId="18D3500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C15A17" w:rsidRPr="00C15A17" w14:paraId="25C3F610" w14:textId="77777777" w:rsidTr="00ED6D31">
        <w:tblPrEx>
          <w:tblLook w:val="0000" w:firstRow="0" w:lastRow="0" w:firstColumn="0" w:lastColumn="0" w:noHBand="0" w:noVBand="0"/>
        </w:tblPrEx>
        <w:trPr>
          <w:cantSplit/>
        </w:trPr>
        <w:tc>
          <w:tcPr>
            <w:tcW w:w="4706" w:type="dxa"/>
            <w:tcBorders>
              <w:top w:val="single" w:sz="4" w:space="0" w:color="auto"/>
              <w:left w:val="nil"/>
              <w:bottom w:val="nil"/>
              <w:right w:val="nil"/>
            </w:tcBorders>
            <w:vAlign w:val="bottom"/>
          </w:tcPr>
          <w:p w14:paraId="3D773BCE"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bottom w:val="nil"/>
              <w:right w:val="nil"/>
            </w:tcBorders>
            <w:vAlign w:val="bottom"/>
          </w:tcPr>
          <w:p w14:paraId="223E2FC5"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46BB5B8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1CB418E6"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4" w:space="0" w:color="auto"/>
              <w:left w:val="nil"/>
              <w:right w:val="nil"/>
            </w:tcBorders>
          </w:tcPr>
          <w:p w14:paraId="442BFFE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4" w:space="0" w:color="auto"/>
              <w:left w:val="nil"/>
              <w:right w:val="nil"/>
            </w:tcBorders>
          </w:tcPr>
          <w:p w14:paraId="670429C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C15A17" w:rsidRPr="00C15A17" w14:paraId="1FCC4666"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69C388D2"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Income tax expense</w:t>
            </w:r>
          </w:p>
        </w:tc>
        <w:tc>
          <w:tcPr>
            <w:tcW w:w="850" w:type="dxa"/>
            <w:tcBorders>
              <w:top w:val="nil"/>
              <w:left w:val="nil"/>
              <w:right w:val="nil"/>
            </w:tcBorders>
            <w:vAlign w:val="bottom"/>
          </w:tcPr>
          <w:p w14:paraId="0D64C54C" w14:textId="15B7089B"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964" w:type="dxa"/>
            <w:tcBorders>
              <w:top w:val="nil"/>
              <w:left w:val="nil"/>
              <w:right w:val="nil"/>
            </w:tcBorders>
            <w:vAlign w:val="bottom"/>
          </w:tcPr>
          <w:p w14:paraId="6DF1A263"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20,619</w:t>
            </w:r>
            <w:r w:rsidRPr="00C15A17">
              <w:rPr>
                <w:rFonts w:ascii="Arial" w:eastAsia="Times New Roman" w:hAnsi="Arial" w:cs="Arial"/>
                <w:spacing w:val="-2"/>
                <w:sz w:val="18"/>
                <w:szCs w:val="18"/>
                <w:lang w:val="en-US" w:eastAsia="ru-RU"/>
              </w:rPr>
              <w:t>)</w:t>
            </w:r>
          </w:p>
        </w:tc>
        <w:tc>
          <w:tcPr>
            <w:tcW w:w="964" w:type="dxa"/>
            <w:tcBorders>
              <w:top w:val="nil"/>
              <w:left w:val="nil"/>
              <w:right w:val="nil"/>
            </w:tcBorders>
            <w:vAlign w:val="bottom"/>
          </w:tcPr>
          <w:p w14:paraId="69EFAF7E"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42</w:t>
            </w:r>
            <w:r w:rsidRPr="00C15A17">
              <w:rPr>
                <w:rFonts w:ascii="Arial" w:eastAsia="Times New Roman" w:hAnsi="Arial" w:cs="Arial"/>
                <w:spacing w:val="-2"/>
                <w:sz w:val="18"/>
                <w:szCs w:val="18"/>
                <w:lang w:val="en-US" w:eastAsia="ru-RU"/>
              </w:rPr>
              <w:t>,</w:t>
            </w:r>
            <w:r w:rsidRPr="00C15A17">
              <w:rPr>
                <w:rFonts w:ascii="Arial" w:eastAsia="Times New Roman" w:hAnsi="Arial" w:cs="Arial"/>
                <w:spacing w:val="-2"/>
                <w:sz w:val="18"/>
                <w:szCs w:val="18"/>
                <w:lang w:val="ru-RU" w:eastAsia="ru-RU"/>
              </w:rPr>
              <w:t>612</w:t>
            </w:r>
            <w:r w:rsidRPr="00C15A17">
              <w:rPr>
                <w:rFonts w:ascii="Arial" w:eastAsia="Times New Roman" w:hAnsi="Arial" w:cs="Arial"/>
                <w:spacing w:val="-2"/>
                <w:sz w:val="18"/>
                <w:szCs w:val="18"/>
                <w:lang w:val="en-US" w:eastAsia="ru-RU"/>
              </w:rPr>
              <w:t>)</w:t>
            </w:r>
          </w:p>
        </w:tc>
        <w:tc>
          <w:tcPr>
            <w:tcW w:w="964" w:type="dxa"/>
            <w:tcBorders>
              <w:top w:val="nil"/>
              <w:left w:val="nil"/>
              <w:right w:val="nil"/>
            </w:tcBorders>
          </w:tcPr>
          <w:p w14:paraId="2B2C549C"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11</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624</w:t>
            </w:r>
            <w:r w:rsidRPr="00C15A17">
              <w:rPr>
                <w:rFonts w:ascii="Arial" w:eastAsia="Times New Roman" w:hAnsi="Arial" w:cs="Arial"/>
                <w:color w:val="000000"/>
                <w:sz w:val="18"/>
                <w:szCs w:val="18"/>
                <w:lang w:val="ru-RU" w:eastAsia="en-US"/>
              </w:rPr>
              <w:t>)</w:t>
            </w:r>
          </w:p>
        </w:tc>
        <w:tc>
          <w:tcPr>
            <w:tcW w:w="964" w:type="dxa"/>
            <w:tcBorders>
              <w:top w:val="nil"/>
              <w:left w:val="nil"/>
              <w:right w:val="nil"/>
            </w:tcBorders>
          </w:tcPr>
          <w:p w14:paraId="5EB6A45C"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8</w:t>
            </w:r>
            <w:r w:rsidRPr="00C15A17">
              <w:rPr>
                <w:rFonts w:ascii="Arial" w:eastAsia="Times New Roman" w:hAnsi="Arial" w:cs="Arial"/>
                <w:color w:val="000000"/>
                <w:sz w:val="18"/>
                <w:szCs w:val="18"/>
                <w:lang w:val="ru-RU" w:eastAsia="en-US"/>
              </w:rPr>
              <w:t>,</w:t>
            </w:r>
            <w:r w:rsidRPr="00C15A17">
              <w:rPr>
                <w:rFonts w:ascii="Arial" w:eastAsia="Times New Roman" w:hAnsi="Arial" w:cs="Arial"/>
                <w:color w:val="000000"/>
                <w:sz w:val="18"/>
                <w:szCs w:val="18"/>
                <w:lang w:val="en-US" w:eastAsia="en-US"/>
              </w:rPr>
              <w:t>818</w:t>
            </w:r>
            <w:r w:rsidRPr="00C15A17">
              <w:rPr>
                <w:rFonts w:ascii="Arial" w:eastAsia="Times New Roman" w:hAnsi="Arial" w:cs="Arial"/>
                <w:color w:val="000000"/>
                <w:sz w:val="18"/>
                <w:szCs w:val="18"/>
                <w:lang w:val="ru-RU" w:eastAsia="en-US"/>
              </w:rPr>
              <w:t>)</w:t>
            </w:r>
          </w:p>
        </w:tc>
      </w:tr>
      <w:tr w:rsidR="00C15A17" w:rsidRPr="00C15A17" w14:paraId="183DACBE" w14:textId="77777777" w:rsidTr="00ED6D31">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7AB57CE2"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nil"/>
              <w:left w:val="nil"/>
              <w:bottom w:val="single" w:sz="4" w:space="0" w:color="auto"/>
              <w:right w:val="nil"/>
            </w:tcBorders>
            <w:vAlign w:val="bottom"/>
          </w:tcPr>
          <w:p w14:paraId="1F84F565"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nil"/>
              <w:left w:val="nil"/>
              <w:bottom w:val="single" w:sz="4" w:space="0" w:color="auto"/>
              <w:right w:val="nil"/>
            </w:tcBorders>
            <w:vAlign w:val="bottom"/>
          </w:tcPr>
          <w:p w14:paraId="4AC6F0F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nil"/>
              <w:left w:val="nil"/>
              <w:bottom w:val="single" w:sz="4" w:space="0" w:color="auto"/>
              <w:right w:val="nil"/>
            </w:tcBorders>
            <w:vAlign w:val="bottom"/>
          </w:tcPr>
          <w:p w14:paraId="4D1631C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nil"/>
              <w:left w:val="nil"/>
              <w:bottom w:val="single" w:sz="4" w:space="0" w:color="auto"/>
              <w:right w:val="nil"/>
            </w:tcBorders>
          </w:tcPr>
          <w:p w14:paraId="67818706"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nil"/>
              <w:left w:val="nil"/>
              <w:bottom w:val="single" w:sz="4" w:space="0" w:color="auto"/>
              <w:right w:val="nil"/>
            </w:tcBorders>
          </w:tcPr>
          <w:p w14:paraId="6F25CD3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28BFC311" w14:textId="77777777" w:rsidTr="00ED6D31">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1118A3B5"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right w:val="nil"/>
            </w:tcBorders>
            <w:vAlign w:val="bottom"/>
          </w:tcPr>
          <w:p w14:paraId="794D1072"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1C7CE06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vAlign w:val="bottom"/>
          </w:tcPr>
          <w:p w14:paraId="7DB8793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tcPr>
          <w:p w14:paraId="290E677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tcPr>
          <w:p w14:paraId="28A3A36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72B279FB"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5FAB1C32"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8"/>
                <w:szCs w:val="18"/>
                <w:lang w:val="en-US" w:eastAsia="ru-RU"/>
              </w:rPr>
            </w:pPr>
            <w:r w:rsidRPr="00C15A17">
              <w:rPr>
                <w:rFonts w:ascii="Arial" w:eastAsia="Times New Roman" w:hAnsi="Arial" w:cs="Arial"/>
                <w:b/>
                <w:spacing w:val="-2"/>
                <w:sz w:val="18"/>
                <w:szCs w:val="18"/>
                <w:lang w:eastAsia="ru-RU"/>
              </w:rPr>
              <w:t xml:space="preserve">Profit for the </w:t>
            </w:r>
            <w:r w:rsidRPr="00C15A17">
              <w:rPr>
                <w:rFonts w:ascii="Arial" w:eastAsia="Times New Roman" w:hAnsi="Arial" w:cs="Arial"/>
                <w:b/>
                <w:spacing w:val="-2"/>
                <w:sz w:val="18"/>
                <w:szCs w:val="18"/>
                <w:lang w:val="en-US" w:eastAsia="ru-RU"/>
              </w:rPr>
              <w:t>period</w:t>
            </w:r>
          </w:p>
        </w:tc>
        <w:tc>
          <w:tcPr>
            <w:tcW w:w="850" w:type="dxa"/>
            <w:tcBorders>
              <w:left w:val="nil"/>
              <w:right w:val="nil"/>
            </w:tcBorders>
            <w:vAlign w:val="bottom"/>
          </w:tcPr>
          <w:p w14:paraId="42658CC5"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4CD63CE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C15A17">
              <w:rPr>
                <w:rFonts w:ascii="Arial" w:eastAsia="Times New Roman" w:hAnsi="Arial" w:cs="Arial"/>
                <w:b/>
                <w:spacing w:val="-2"/>
                <w:sz w:val="18"/>
                <w:szCs w:val="18"/>
                <w:lang w:val="ru-RU" w:eastAsia="ru-RU"/>
              </w:rPr>
              <w:t>56,775</w:t>
            </w:r>
          </w:p>
        </w:tc>
        <w:tc>
          <w:tcPr>
            <w:tcW w:w="964" w:type="dxa"/>
            <w:tcBorders>
              <w:left w:val="nil"/>
              <w:right w:val="nil"/>
            </w:tcBorders>
            <w:vAlign w:val="bottom"/>
          </w:tcPr>
          <w:p w14:paraId="51EB53D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C15A17">
              <w:rPr>
                <w:rFonts w:ascii="Arial" w:eastAsia="Times New Roman" w:hAnsi="Arial" w:cs="Arial"/>
                <w:b/>
                <w:spacing w:val="-2"/>
                <w:sz w:val="18"/>
                <w:szCs w:val="18"/>
                <w:lang w:val="en-US" w:eastAsia="ru-RU"/>
              </w:rPr>
              <w:t>1</w:t>
            </w:r>
            <w:r w:rsidRPr="00C15A17">
              <w:rPr>
                <w:rFonts w:ascii="Arial" w:eastAsia="Times New Roman" w:hAnsi="Arial" w:cs="Arial"/>
                <w:b/>
                <w:spacing w:val="-2"/>
                <w:sz w:val="18"/>
                <w:szCs w:val="18"/>
                <w:lang w:val="ru-RU" w:eastAsia="ru-RU"/>
              </w:rPr>
              <w:t>65</w:t>
            </w:r>
            <w:r w:rsidRPr="00C15A17">
              <w:rPr>
                <w:rFonts w:ascii="Arial" w:eastAsia="Times New Roman" w:hAnsi="Arial" w:cs="Arial"/>
                <w:b/>
                <w:spacing w:val="-2"/>
                <w:sz w:val="18"/>
                <w:szCs w:val="18"/>
                <w:lang w:val="en-US" w:eastAsia="ru-RU"/>
              </w:rPr>
              <w:t>,</w:t>
            </w:r>
            <w:r w:rsidRPr="00C15A17">
              <w:rPr>
                <w:rFonts w:ascii="Arial" w:eastAsia="Times New Roman" w:hAnsi="Arial" w:cs="Arial"/>
                <w:b/>
                <w:spacing w:val="-2"/>
                <w:sz w:val="18"/>
                <w:szCs w:val="18"/>
                <w:lang w:val="ru-RU" w:eastAsia="ru-RU"/>
              </w:rPr>
              <w:t>501</w:t>
            </w:r>
          </w:p>
        </w:tc>
        <w:tc>
          <w:tcPr>
            <w:tcW w:w="964" w:type="dxa"/>
            <w:tcBorders>
              <w:left w:val="nil"/>
              <w:right w:val="nil"/>
            </w:tcBorders>
          </w:tcPr>
          <w:p w14:paraId="4BFD3F5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15</w:t>
            </w:r>
            <w:r w:rsidRPr="00C15A17">
              <w:rPr>
                <w:rFonts w:ascii="Arial" w:eastAsia="Times New Roman" w:hAnsi="Arial" w:cs="Arial"/>
                <w:b/>
                <w:color w:val="000000"/>
                <w:sz w:val="18"/>
                <w:szCs w:val="18"/>
                <w:lang w:val="ru-RU" w:eastAsia="en-US"/>
              </w:rPr>
              <w:t>,</w:t>
            </w:r>
            <w:r w:rsidRPr="00C15A17">
              <w:rPr>
                <w:rFonts w:ascii="Arial" w:eastAsia="Times New Roman" w:hAnsi="Arial" w:cs="Arial"/>
                <w:b/>
                <w:color w:val="000000"/>
                <w:sz w:val="18"/>
                <w:szCs w:val="18"/>
                <w:lang w:val="en-US" w:eastAsia="en-US"/>
              </w:rPr>
              <w:t>278</w:t>
            </w:r>
          </w:p>
        </w:tc>
        <w:tc>
          <w:tcPr>
            <w:tcW w:w="964" w:type="dxa"/>
            <w:tcBorders>
              <w:left w:val="nil"/>
              <w:right w:val="nil"/>
            </w:tcBorders>
          </w:tcPr>
          <w:p w14:paraId="4D73E8B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36</w:t>
            </w:r>
            <w:r w:rsidRPr="00C15A17">
              <w:rPr>
                <w:rFonts w:ascii="Arial" w:eastAsia="Times New Roman" w:hAnsi="Arial" w:cs="Arial"/>
                <w:b/>
                <w:color w:val="000000"/>
                <w:sz w:val="18"/>
                <w:szCs w:val="18"/>
                <w:lang w:val="ru-RU" w:eastAsia="en-US"/>
              </w:rPr>
              <w:t>,</w:t>
            </w:r>
            <w:r w:rsidRPr="00C15A17">
              <w:rPr>
                <w:rFonts w:ascii="Arial" w:eastAsia="Times New Roman" w:hAnsi="Arial" w:cs="Arial"/>
                <w:b/>
                <w:color w:val="000000"/>
                <w:sz w:val="18"/>
                <w:szCs w:val="18"/>
                <w:lang w:val="en-US" w:eastAsia="en-US"/>
              </w:rPr>
              <w:t>453</w:t>
            </w:r>
          </w:p>
        </w:tc>
      </w:tr>
      <w:tr w:rsidR="00C15A17" w:rsidRPr="00C15A17" w14:paraId="1BD5EB6F" w14:textId="77777777" w:rsidTr="00ED6D31">
        <w:tblPrEx>
          <w:tblLook w:val="0000" w:firstRow="0" w:lastRow="0" w:firstColumn="0" w:lastColumn="0" w:noHBand="0" w:noVBand="0"/>
        </w:tblPrEx>
        <w:trPr>
          <w:cantSplit/>
        </w:trPr>
        <w:tc>
          <w:tcPr>
            <w:tcW w:w="4706" w:type="dxa"/>
            <w:tcBorders>
              <w:left w:val="nil"/>
              <w:bottom w:val="nil"/>
              <w:right w:val="nil"/>
            </w:tcBorders>
            <w:vAlign w:val="bottom"/>
          </w:tcPr>
          <w:p w14:paraId="43FE8E6A"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left w:val="nil"/>
              <w:bottom w:val="nil"/>
              <w:right w:val="nil"/>
            </w:tcBorders>
            <w:vAlign w:val="bottom"/>
          </w:tcPr>
          <w:p w14:paraId="17AA58A5"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left w:val="nil"/>
              <w:bottom w:val="nil"/>
              <w:right w:val="nil"/>
            </w:tcBorders>
            <w:vAlign w:val="bottom"/>
          </w:tcPr>
          <w:p w14:paraId="7D17672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left w:val="nil"/>
              <w:bottom w:val="nil"/>
              <w:right w:val="nil"/>
            </w:tcBorders>
            <w:vAlign w:val="bottom"/>
          </w:tcPr>
          <w:p w14:paraId="05DCA89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left w:val="nil"/>
              <w:bottom w:val="nil"/>
              <w:right w:val="nil"/>
            </w:tcBorders>
          </w:tcPr>
          <w:p w14:paraId="7D3BB07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left w:val="nil"/>
              <w:bottom w:val="nil"/>
              <w:right w:val="nil"/>
            </w:tcBorders>
          </w:tcPr>
          <w:p w14:paraId="75ECE33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C15A17" w:rsidRPr="00C15A17" w14:paraId="07D956B0"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78B5C030"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Attributable to:</w:t>
            </w:r>
          </w:p>
        </w:tc>
        <w:tc>
          <w:tcPr>
            <w:tcW w:w="850" w:type="dxa"/>
            <w:tcBorders>
              <w:top w:val="nil"/>
              <w:left w:val="nil"/>
              <w:bottom w:val="nil"/>
              <w:right w:val="nil"/>
            </w:tcBorders>
            <w:vAlign w:val="bottom"/>
          </w:tcPr>
          <w:p w14:paraId="6F9ADA7C"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right w:val="nil"/>
            </w:tcBorders>
            <w:vAlign w:val="bottom"/>
          </w:tcPr>
          <w:p w14:paraId="22BCBA5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top w:val="nil"/>
              <w:left w:val="nil"/>
              <w:bottom w:val="nil"/>
              <w:right w:val="nil"/>
            </w:tcBorders>
            <w:vAlign w:val="bottom"/>
          </w:tcPr>
          <w:p w14:paraId="3D464A3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top w:val="nil"/>
              <w:left w:val="nil"/>
              <w:bottom w:val="nil"/>
              <w:right w:val="nil"/>
            </w:tcBorders>
          </w:tcPr>
          <w:p w14:paraId="4C9AF8C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top w:val="nil"/>
              <w:left w:val="nil"/>
              <w:bottom w:val="nil"/>
              <w:right w:val="nil"/>
            </w:tcBorders>
          </w:tcPr>
          <w:p w14:paraId="7047A6D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C15A17" w:rsidRPr="00C15A17" w14:paraId="07EF2194"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37DF4EB7"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Non-controlling interests*</w:t>
            </w:r>
          </w:p>
        </w:tc>
        <w:tc>
          <w:tcPr>
            <w:tcW w:w="850" w:type="dxa"/>
            <w:tcBorders>
              <w:top w:val="nil"/>
              <w:left w:val="nil"/>
              <w:right w:val="nil"/>
            </w:tcBorders>
            <w:vAlign w:val="bottom"/>
          </w:tcPr>
          <w:p w14:paraId="0CDBA5D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right w:val="nil"/>
            </w:tcBorders>
            <w:vAlign w:val="bottom"/>
          </w:tcPr>
          <w:p w14:paraId="6175D709"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ru-RU" w:eastAsia="ru-RU"/>
              </w:rPr>
              <w:t>19</w:t>
            </w:r>
          </w:p>
        </w:tc>
        <w:tc>
          <w:tcPr>
            <w:tcW w:w="964" w:type="dxa"/>
            <w:tcBorders>
              <w:top w:val="nil"/>
              <w:left w:val="nil"/>
              <w:right w:val="nil"/>
            </w:tcBorders>
            <w:vAlign w:val="bottom"/>
          </w:tcPr>
          <w:p w14:paraId="00C75B60"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ru-RU" w:eastAsia="ru-RU"/>
              </w:rPr>
              <w:t>6</w:t>
            </w:r>
          </w:p>
        </w:tc>
        <w:tc>
          <w:tcPr>
            <w:tcW w:w="964" w:type="dxa"/>
            <w:tcBorders>
              <w:top w:val="nil"/>
              <w:left w:val="nil"/>
              <w:right w:val="nil"/>
            </w:tcBorders>
          </w:tcPr>
          <w:p w14:paraId="7B0922F3"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en-US" w:eastAsia="ru-RU"/>
              </w:rPr>
              <w:t>16</w:t>
            </w:r>
          </w:p>
        </w:tc>
        <w:tc>
          <w:tcPr>
            <w:tcW w:w="964" w:type="dxa"/>
            <w:tcBorders>
              <w:top w:val="nil"/>
              <w:left w:val="nil"/>
              <w:right w:val="nil"/>
            </w:tcBorders>
            <w:vAlign w:val="bottom"/>
          </w:tcPr>
          <w:p w14:paraId="288EC382"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pacing w:val="-2"/>
                <w:sz w:val="18"/>
                <w:szCs w:val="18"/>
                <w:lang w:val="en-US" w:eastAsia="en-US"/>
              </w:rPr>
              <w:t>2</w:t>
            </w:r>
          </w:p>
        </w:tc>
      </w:tr>
      <w:tr w:rsidR="00C15A17" w:rsidRPr="00C15A17" w14:paraId="0AB65017"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7BE7EBF3"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eastAsia="ru-RU"/>
              </w:rPr>
              <w:t>Shareholders of the Company</w:t>
            </w:r>
          </w:p>
        </w:tc>
        <w:tc>
          <w:tcPr>
            <w:tcW w:w="850" w:type="dxa"/>
            <w:tcBorders>
              <w:left w:val="nil"/>
              <w:right w:val="nil"/>
            </w:tcBorders>
            <w:vAlign w:val="bottom"/>
          </w:tcPr>
          <w:p w14:paraId="0B53CA88"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288D839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C15A17">
              <w:rPr>
                <w:rFonts w:ascii="Arial" w:eastAsia="Times New Roman" w:hAnsi="Arial" w:cs="Arial"/>
                <w:color w:val="000000"/>
                <w:spacing w:val="-2"/>
                <w:sz w:val="18"/>
                <w:szCs w:val="18"/>
                <w:lang w:val="ru-RU" w:eastAsia="en-US"/>
              </w:rPr>
              <w:t>56,756</w:t>
            </w:r>
          </w:p>
        </w:tc>
        <w:tc>
          <w:tcPr>
            <w:tcW w:w="964" w:type="dxa"/>
            <w:tcBorders>
              <w:left w:val="nil"/>
              <w:right w:val="nil"/>
            </w:tcBorders>
            <w:vAlign w:val="bottom"/>
          </w:tcPr>
          <w:p w14:paraId="57FF37C9"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en-US" w:eastAsia="ru-RU"/>
              </w:rPr>
              <w:t>1</w:t>
            </w:r>
            <w:r w:rsidRPr="00C15A17">
              <w:rPr>
                <w:rFonts w:ascii="Arial" w:eastAsia="Times New Roman" w:hAnsi="Arial" w:cs="Arial"/>
                <w:spacing w:val="-2"/>
                <w:sz w:val="18"/>
                <w:szCs w:val="18"/>
                <w:lang w:val="ru-RU" w:eastAsia="ru-RU"/>
              </w:rPr>
              <w:t>65</w:t>
            </w:r>
            <w:r w:rsidRPr="00C15A17">
              <w:rPr>
                <w:rFonts w:ascii="Arial" w:eastAsia="Times New Roman" w:hAnsi="Arial" w:cs="Arial"/>
                <w:spacing w:val="-2"/>
                <w:sz w:val="18"/>
                <w:szCs w:val="18"/>
                <w:lang w:val="en-US" w:eastAsia="ru-RU"/>
              </w:rPr>
              <w:t>,495</w:t>
            </w:r>
          </w:p>
        </w:tc>
        <w:tc>
          <w:tcPr>
            <w:tcW w:w="964" w:type="dxa"/>
            <w:tcBorders>
              <w:left w:val="nil"/>
              <w:right w:val="nil"/>
            </w:tcBorders>
          </w:tcPr>
          <w:p w14:paraId="750C0FBB"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ru-RU" w:eastAsia="ru-RU"/>
              </w:rPr>
              <w:t>1</w:t>
            </w:r>
            <w:r w:rsidRPr="00C15A17">
              <w:rPr>
                <w:rFonts w:ascii="Arial" w:eastAsia="Times New Roman" w:hAnsi="Arial" w:cs="Arial"/>
                <w:spacing w:val="-2"/>
                <w:sz w:val="18"/>
                <w:szCs w:val="18"/>
                <w:lang w:val="en-US" w:eastAsia="ru-RU"/>
              </w:rPr>
              <w:t>5</w:t>
            </w:r>
            <w:r w:rsidRPr="00C15A17">
              <w:rPr>
                <w:rFonts w:ascii="Arial" w:eastAsia="Times New Roman" w:hAnsi="Arial" w:cs="Arial"/>
                <w:spacing w:val="-2"/>
                <w:sz w:val="18"/>
                <w:szCs w:val="18"/>
                <w:lang w:val="ru-RU" w:eastAsia="ru-RU"/>
              </w:rPr>
              <w:t>,</w:t>
            </w:r>
            <w:r w:rsidRPr="00C15A17">
              <w:rPr>
                <w:rFonts w:ascii="Arial" w:eastAsia="Times New Roman" w:hAnsi="Arial" w:cs="Arial"/>
                <w:spacing w:val="-2"/>
                <w:sz w:val="18"/>
                <w:szCs w:val="18"/>
                <w:lang w:val="en-US" w:eastAsia="ru-RU"/>
              </w:rPr>
              <w:t>262</w:t>
            </w:r>
          </w:p>
        </w:tc>
        <w:tc>
          <w:tcPr>
            <w:tcW w:w="964" w:type="dxa"/>
            <w:tcBorders>
              <w:left w:val="nil"/>
              <w:right w:val="nil"/>
            </w:tcBorders>
            <w:vAlign w:val="bottom"/>
          </w:tcPr>
          <w:p w14:paraId="6AC4607B"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en-US" w:eastAsia="ru-RU"/>
              </w:rPr>
              <w:t>36,451</w:t>
            </w:r>
          </w:p>
        </w:tc>
      </w:tr>
      <w:tr w:rsidR="00C15A17" w:rsidRPr="00C15A17" w14:paraId="75CC4219" w14:textId="77777777" w:rsidTr="00ED6D31">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0F2B2A25"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left w:val="nil"/>
              <w:bottom w:val="single" w:sz="4" w:space="0" w:color="auto"/>
              <w:right w:val="nil"/>
            </w:tcBorders>
            <w:vAlign w:val="bottom"/>
          </w:tcPr>
          <w:p w14:paraId="05FC923B"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left w:val="nil"/>
              <w:bottom w:val="single" w:sz="4" w:space="0" w:color="auto"/>
              <w:right w:val="nil"/>
            </w:tcBorders>
            <w:vAlign w:val="bottom"/>
          </w:tcPr>
          <w:p w14:paraId="45828B2B"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vAlign w:val="bottom"/>
          </w:tcPr>
          <w:p w14:paraId="3C21D12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tcPr>
          <w:p w14:paraId="7860B70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tcPr>
          <w:p w14:paraId="315A71CB"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781BC8EB" w14:textId="77777777" w:rsidTr="00ED6D31">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3810B29E"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right w:val="nil"/>
            </w:tcBorders>
            <w:vAlign w:val="bottom"/>
          </w:tcPr>
          <w:p w14:paraId="73A122D9"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07C2DBAB"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vAlign w:val="bottom"/>
          </w:tcPr>
          <w:p w14:paraId="5971D3E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tcPr>
          <w:p w14:paraId="7EDB729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top w:val="single" w:sz="4" w:space="0" w:color="auto"/>
              <w:left w:val="nil"/>
              <w:right w:val="nil"/>
            </w:tcBorders>
          </w:tcPr>
          <w:p w14:paraId="43C8596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5807FE4F"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5CF7D827"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Basic and diluted earnings per share (in RUB)</w:t>
            </w:r>
          </w:p>
        </w:tc>
        <w:tc>
          <w:tcPr>
            <w:tcW w:w="850" w:type="dxa"/>
            <w:tcBorders>
              <w:left w:val="nil"/>
              <w:right w:val="nil"/>
            </w:tcBorders>
            <w:vAlign w:val="bottom"/>
          </w:tcPr>
          <w:p w14:paraId="2B2C48E1" w14:textId="29D1DBDB"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964" w:type="dxa"/>
            <w:tcBorders>
              <w:left w:val="nil"/>
              <w:right w:val="nil"/>
            </w:tcBorders>
            <w:vAlign w:val="bottom"/>
          </w:tcPr>
          <w:p w14:paraId="5CF4AB1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color w:val="000000"/>
                <w:spacing w:val="-2"/>
                <w:sz w:val="18"/>
                <w:szCs w:val="18"/>
                <w:lang w:val="ru-RU" w:eastAsia="en-US"/>
              </w:rPr>
              <w:t>438</w:t>
            </w:r>
          </w:p>
        </w:tc>
        <w:tc>
          <w:tcPr>
            <w:tcW w:w="964" w:type="dxa"/>
            <w:tcBorders>
              <w:left w:val="nil"/>
              <w:right w:val="nil"/>
            </w:tcBorders>
            <w:shd w:val="clear" w:color="auto" w:fill="auto"/>
            <w:vAlign w:val="bottom"/>
          </w:tcPr>
          <w:p w14:paraId="31556D66"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pacing w:val="-2"/>
                <w:sz w:val="18"/>
                <w:szCs w:val="18"/>
                <w:lang w:val="en-US" w:eastAsia="en-US"/>
              </w:rPr>
              <w:t>1,278</w:t>
            </w:r>
          </w:p>
        </w:tc>
        <w:tc>
          <w:tcPr>
            <w:tcW w:w="964" w:type="dxa"/>
            <w:tcBorders>
              <w:left w:val="nil"/>
              <w:right w:val="nil"/>
            </w:tcBorders>
          </w:tcPr>
          <w:p w14:paraId="3552B12E"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color w:val="000000"/>
                <w:sz w:val="18"/>
                <w:szCs w:val="18"/>
                <w:lang w:val="ru-RU" w:eastAsia="en-US"/>
              </w:rPr>
              <w:t>1</w:t>
            </w:r>
            <w:r w:rsidRPr="00C15A17">
              <w:rPr>
                <w:rFonts w:ascii="Arial" w:eastAsia="Times New Roman" w:hAnsi="Arial" w:cs="Arial"/>
                <w:color w:val="000000"/>
                <w:sz w:val="18"/>
                <w:szCs w:val="18"/>
                <w:lang w:val="en-US" w:eastAsia="en-US"/>
              </w:rPr>
              <w:t>18</w:t>
            </w:r>
          </w:p>
        </w:tc>
        <w:tc>
          <w:tcPr>
            <w:tcW w:w="964" w:type="dxa"/>
            <w:tcBorders>
              <w:left w:val="nil"/>
              <w:right w:val="nil"/>
            </w:tcBorders>
          </w:tcPr>
          <w:p w14:paraId="4064045B"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en-US" w:eastAsia="ru-RU"/>
              </w:rPr>
              <w:t>282</w:t>
            </w:r>
          </w:p>
        </w:tc>
      </w:tr>
      <w:tr w:rsidR="00C15A17" w:rsidRPr="00C15A17" w14:paraId="4AE6B374" w14:textId="77777777" w:rsidTr="00ED6D31">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45B40214"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left w:val="nil"/>
              <w:bottom w:val="single" w:sz="4" w:space="0" w:color="auto"/>
              <w:right w:val="nil"/>
            </w:tcBorders>
            <w:vAlign w:val="bottom"/>
          </w:tcPr>
          <w:p w14:paraId="25C089E4"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left w:val="nil"/>
              <w:bottom w:val="single" w:sz="4" w:space="0" w:color="auto"/>
              <w:right w:val="nil"/>
            </w:tcBorders>
            <w:vAlign w:val="bottom"/>
          </w:tcPr>
          <w:p w14:paraId="6676B46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vAlign w:val="bottom"/>
          </w:tcPr>
          <w:p w14:paraId="72F31B8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tcPr>
          <w:p w14:paraId="7373AA2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tcPr>
          <w:p w14:paraId="3754CA6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C15A17" w:rsidRPr="00C15A17" w14:paraId="6B8856AE" w14:textId="77777777" w:rsidTr="00ED6D31">
        <w:tblPrEx>
          <w:tblLook w:val="0000" w:firstRow="0" w:lastRow="0" w:firstColumn="0" w:lastColumn="0" w:noHBand="0" w:noVBand="0"/>
        </w:tblPrEx>
        <w:trPr>
          <w:cantSplit/>
        </w:trPr>
        <w:tc>
          <w:tcPr>
            <w:tcW w:w="4706" w:type="dxa"/>
            <w:tcBorders>
              <w:top w:val="single" w:sz="4" w:space="0" w:color="auto"/>
              <w:left w:val="nil"/>
              <w:bottom w:val="nil"/>
              <w:right w:val="nil"/>
            </w:tcBorders>
            <w:vAlign w:val="bottom"/>
          </w:tcPr>
          <w:p w14:paraId="0F7F4CA6"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left w:val="nil"/>
              <w:bottom w:val="nil"/>
              <w:right w:val="nil"/>
            </w:tcBorders>
            <w:vAlign w:val="bottom"/>
          </w:tcPr>
          <w:p w14:paraId="21AC382D"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bottom w:val="nil"/>
              <w:right w:val="nil"/>
            </w:tcBorders>
            <w:vAlign w:val="bottom"/>
          </w:tcPr>
          <w:p w14:paraId="66F3CED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4" w:space="0" w:color="auto"/>
              <w:left w:val="nil"/>
              <w:bottom w:val="nil"/>
              <w:right w:val="nil"/>
            </w:tcBorders>
            <w:vAlign w:val="bottom"/>
          </w:tcPr>
          <w:p w14:paraId="32530CA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4" w:space="0" w:color="auto"/>
              <w:left w:val="nil"/>
              <w:bottom w:val="nil"/>
              <w:right w:val="nil"/>
            </w:tcBorders>
          </w:tcPr>
          <w:p w14:paraId="3719813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4" w:space="0" w:color="auto"/>
              <w:left w:val="nil"/>
              <w:bottom w:val="nil"/>
              <w:right w:val="nil"/>
            </w:tcBorders>
          </w:tcPr>
          <w:p w14:paraId="687F024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C15A17" w:rsidRPr="00C15A17" w14:paraId="779EBF71"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68724413"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i/>
                <w:spacing w:val="-2"/>
                <w:sz w:val="18"/>
                <w:szCs w:val="18"/>
                <w:lang w:val="ru-RU" w:eastAsia="ru-RU"/>
              </w:rPr>
            </w:pPr>
            <w:r w:rsidRPr="00C15A17">
              <w:rPr>
                <w:rFonts w:ascii="Arial" w:eastAsia="Times New Roman" w:hAnsi="Arial" w:cs="Arial"/>
                <w:b/>
                <w:i/>
                <w:spacing w:val="-2"/>
                <w:sz w:val="18"/>
                <w:szCs w:val="18"/>
                <w:lang w:eastAsia="ru-RU"/>
              </w:rPr>
              <w:t xml:space="preserve">Other comprehensive </w:t>
            </w:r>
            <w:r w:rsidRPr="00C15A17">
              <w:rPr>
                <w:rFonts w:ascii="Arial" w:eastAsia="Times New Roman" w:hAnsi="Arial" w:cs="Arial"/>
                <w:b/>
                <w:i/>
                <w:spacing w:val="-2"/>
                <w:sz w:val="18"/>
                <w:szCs w:val="18"/>
                <w:lang w:val="en-US" w:eastAsia="ru-RU"/>
              </w:rPr>
              <w:t>loss</w:t>
            </w:r>
          </w:p>
        </w:tc>
        <w:tc>
          <w:tcPr>
            <w:tcW w:w="850" w:type="dxa"/>
            <w:tcBorders>
              <w:top w:val="nil"/>
              <w:left w:val="nil"/>
              <w:right w:val="nil"/>
            </w:tcBorders>
            <w:vAlign w:val="bottom"/>
          </w:tcPr>
          <w:p w14:paraId="02AA784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bottom w:val="nil"/>
              <w:right w:val="nil"/>
            </w:tcBorders>
            <w:vAlign w:val="bottom"/>
          </w:tcPr>
          <w:p w14:paraId="60D4FA6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top w:val="nil"/>
              <w:left w:val="nil"/>
              <w:bottom w:val="nil"/>
              <w:right w:val="nil"/>
            </w:tcBorders>
            <w:vAlign w:val="bottom"/>
          </w:tcPr>
          <w:p w14:paraId="6598487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top w:val="nil"/>
              <w:left w:val="nil"/>
              <w:bottom w:val="nil"/>
              <w:right w:val="nil"/>
            </w:tcBorders>
          </w:tcPr>
          <w:p w14:paraId="1E2113C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top w:val="nil"/>
              <w:left w:val="nil"/>
              <w:bottom w:val="nil"/>
              <w:right w:val="nil"/>
            </w:tcBorders>
          </w:tcPr>
          <w:p w14:paraId="75FFF67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C15A17" w:rsidRPr="00C15A17" w14:paraId="2A10049C" w14:textId="77777777" w:rsidTr="00ED6D31">
        <w:tblPrEx>
          <w:tblLook w:val="0000" w:firstRow="0" w:lastRow="0" w:firstColumn="0" w:lastColumn="0" w:noHBand="0" w:noVBand="0"/>
        </w:tblPrEx>
        <w:trPr>
          <w:cantSplit/>
        </w:trPr>
        <w:tc>
          <w:tcPr>
            <w:tcW w:w="4706" w:type="dxa"/>
            <w:tcBorders>
              <w:top w:val="nil"/>
              <w:left w:val="nil"/>
              <w:bottom w:val="nil"/>
            </w:tcBorders>
            <w:vAlign w:val="bottom"/>
          </w:tcPr>
          <w:p w14:paraId="20234345"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b/>
                <w:i/>
                <w:spacing w:val="-2"/>
                <w:sz w:val="18"/>
                <w:szCs w:val="18"/>
                <w:lang w:eastAsia="ru-RU"/>
              </w:rPr>
              <w:t>Items that may be reclassified subsequently to profit or loss</w:t>
            </w:r>
          </w:p>
        </w:tc>
        <w:tc>
          <w:tcPr>
            <w:tcW w:w="850" w:type="dxa"/>
            <w:tcBorders>
              <w:top w:val="nil"/>
              <w:bottom w:val="nil"/>
              <w:right w:val="nil"/>
            </w:tcBorders>
            <w:vAlign w:val="bottom"/>
          </w:tcPr>
          <w:p w14:paraId="03D8733B"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right w:val="nil"/>
            </w:tcBorders>
            <w:vAlign w:val="bottom"/>
          </w:tcPr>
          <w:p w14:paraId="21C944A6" w14:textId="77777777" w:rsidR="00C15A17" w:rsidRPr="00C15A17" w:rsidDel="00667381"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964" w:type="dxa"/>
            <w:tcBorders>
              <w:top w:val="nil"/>
              <w:left w:val="nil"/>
              <w:right w:val="nil"/>
            </w:tcBorders>
            <w:vAlign w:val="bottom"/>
          </w:tcPr>
          <w:p w14:paraId="415B603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964" w:type="dxa"/>
            <w:tcBorders>
              <w:top w:val="nil"/>
              <w:left w:val="nil"/>
              <w:right w:val="nil"/>
            </w:tcBorders>
          </w:tcPr>
          <w:p w14:paraId="6986AB2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964" w:type="dxa"/>
            <w:tcBorders>
              <w:top w:val="nil"/>
              <w:left w:val="nil"/>
              <w:right w:val="nil"/>
            </w:tcBorders>
          </w:tcPr>
          <w:p w14:paraId="6E61694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r>
      <w:tr w:rsidR="00C15A17" w:rsidRPr="00C15A17" w14:paraId="48836C2E" w14:textId="77777777" w:rsidTr="00ED6D31">
        <w:tblPrEx>
          <w:tblLook w:val="0000" w:firstRow="0" w:lastRow="0" w:firstColumn="0" w:lastColumn="0" w:noHBand="0" w:noVBand="0"/>
        </w:tblPrEx>
        <w:trPr>
          <w:cantSplit/>
        </w:trPr>
        <w:tc>
          <w:tcPr>
            <w:tcW w:w="4706" w:type="dxa"/>
            <w:tcBorders>
              <w:top w:val="nil"/>
              <w:left w:val="nil"/>
            </w:tcBorders>
            <w:vAlign w:val="bottom"/>
          </w:tcPr>
          <w:p w14:paraId="438DA36C"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Foreign currency translation difference</w:t>
            </w:r>
          </w:p>
        </w:tc>
        <w:tc>
          <w:tcPr>
            <w:tcW w:w="850" w:type="dxa"/>
            <w:tcBorders>
              <w:top w:val="nil"/>
              <w:right w:val="nil"/>
            </w:tcBorders>
            <w:vAlign w:val="bottom"/>
          </w:tcPr>
          <w:p w14:paraId="2BC33C6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7BF110E8"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c>
          <w:tcPr>
            <w:tcW w:w="964" w:type="dxa"/>
            <w:tcBorders>
              <w:left w:val="nil"/>
              <w:right w:val="nil"/>
            </w:tcBorders>
            <w:vAlign w:val="bottom"/>
          </w:tcPr>
          <w:p w14:paraId="6A229E26" w14:textId="77777777" w:rsidR="00C15A17" w:rsidRPr="00C15A17" w:rsidRDefault="00C15A17" w:rsidP="00C15A17">
            <w:pPr>
              <w:widowControl w:val="0"/>
              <w:spacing w:after="0" w:line="240" w:lineRule="auto"/>
              <w:ind w:right="-57"/>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ru-RU" w:eastAsia="ru-RU"/>
              </w:rPr>
              <w:t>(2,929)</w:t>
            </w:r>
          </w:p>
        </w:tc>
        <w:tc>
          <w:tcPr>
            <w:tcW w:w="964" w:type="dxa"/>
            <w:tcBorders>
              <w:left w:val="nil"/>
              <w:right w:val="nil"/>
            </w:tcBorders>
            <w:vAlign w:val="bottom"/>
          </w:tcPr>
          <w:p w14:paraId="4D19FA09"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ru-RU" w:eastAsia="ru-RU"/>
              </w:rPr>
              <w:t>-</w:t>
            </w:r>
          </w:p>
        </w:tc>
        <w:tc>
          <w:tcPr>
            <w:tcW w:w="964" w:type="dxa"/>
            <w:tcBorders>
              <w:left w:val="nil"/>
              <w:right w:val="nil"/>
            </w:tcBorders>
            <w:vAlign w:val="bottom"/>
          </w:tcPr>
          <w:p w14:paraId="789A0A20"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ru-RU" w:eastAsia="ru-RU"/>
              </w:rPr>
              <w:t>-</w:t>
            </w:r>
          </w:p>
        </w:tc>
      </w:tr>
      <w:tr w:rsidR="00C15A17" w:rsidRPr="00C15A17" w14:paraId="41587FA5" w14:textId="77777777" w:rsidTr="00ED6D31">
        <w:tblPrEx>
          <w:tblLook w:val="0000" w:firstRow="0" w:lastRow="0" w:firstColumn="0" w:lastColumn="0" w:noHBand="0" w:noVBand="0"/>
        </w:tblPrEx>
        <w:trPr>
          <w:cantSplit/>
        </w:trPr>
        <w:tc>
          <w:tcPr>
            <w:tcW w:w="4706" w:type="dxa"/>
            <w:tcBorders>
              <w:top w:val="nil"/>
              <w:left w:val="nil"/>
            </w:tcBorders>
            <w:vAlign w:val="bottom"/>
          </w:tcPr>
          <w:p w14:paraId="74D9F29B"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eastAsia="ru-RU"/>
              </w:rPr>
              <w:t>Foreign currency translation difference reclassified to profit or loss upon loss of control over subsidiaries</w:t>
            </w:r>
          </w:p>
        </w:tc>
        <w:tc>
          <w:tcPr>
            <w:tcW w:w="850" w:type="dxa"/>
            <w:tcBorders>
              <w:top w:val="nil"/>
              <w:right w:val="nil"/>
            </w:tcBorders>
            <w:vAlign w:val="bottom"/>
          </w:tcPr>
          <w:p w14:paraId="683D129A"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964" w:type="dxa"/>
            <w:tcBorders>
              <w:left w:val="nil"/>
              <w:right w:val="nil"/>
            </w:tcBorders>
            <w:vAlign w:val="bottom"/>
          </w:tcPr>
          <w:p w14:paraId="09FF862D"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c>
          <w:tcPr>
            <w:tcW w:w="964" w:type="dxa"/>
            <w:tcBorders>
              <w:left w:val="nil"/>
              <w:right w:val="nil"/>
            </w:tcBorders>
            <w:vAlign w:val="bottom"/>
          </w:tcPr>
          <w:p w14:paraId="2ACB12DD" w14:textId="77777777" w:rsidR="00C15A17" w:rsidRPr="00C15A17" w:rsidRDefault="00C15A17" w:rsidP="00C15A17">
            <w:pPr>
              <w:widowControl w:val="0"/>
              <w:spacing w:after="0" w:line="240" w:lineRule="auto"/>
              <w:ind w:right="-57"/>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ru-RU" w:eastAsia="ru-RU"/>
              </w:rPr>
              <w:t>(6,302)</w:t>
            </w:r>
          </w:p>
        </w:tc>
        <w:tc>
          <w:tcPr>
            <w:tcW w:w="964" w:type="dxa"/>
            <w:tcBorders>
              <w:left w:val="nil"/>
              <w:right w:val="nil"/>
            </w:tcBorders>
            <w:vAlign w:val="bottom"/>
          </w:tcPr>
          <w:p w14:paraId="4B9F69B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c>
          <w:tcPr>
            <w:tcW w:w="964" w:type="dxa"/>
            <w:tcBorders>
              <w:left w:val="nil"/>
              <w:right w:val="nil"/>
            </w:tcBorders>
            <w:vAlign w:val="bottom"/>
          </w:tcPr>
          <w:p w14:paraId="3DA6C17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r>
      <w:tr w:rsidR="00C15A17" w:rsidRPr="00C15A17" w14:paraId="7FAAA2E3" w14:textId="77777777" w:rsidTr="00ED6D31">
        <w:tblPrEx>
          <w:tblLook w:val="0000" w:firstRow="0" w:lastRow="0" w:firstColumn="0" w:lastColumn="0" w:noHBand="0" w:noVBand="0"/>
        </w:tblPrEx>
        <w:trPr>
          <w:cantSplit/>
        </w:trPr>
        <w:tc>
          <w:tcPr>
            <w:tcW w:w="4706" w:type="dxa"/>
            <w:tcBorders>
              <w:top w:val="nil"/>
              <w:left w:val="nil"/>
            </w:tcBorders>
            <w:vAlign w:val="bottom"/>
          </w:tcPr>
          <w:p w14:paraId="7B25A41F"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Actuarial losses reclassified to profit or loss upon loss of control over subsidiaries</w:t>
            </w:r>
          </w:p>
        </w:tc>
        <w:tc>
          <w:tcPr>
            <w:tcW w:w="850" w:type="dxa"/>
            <w:tcBorders>
              <w:top w:val="nil"/>
              <w:right w:val="nil"/>
            </w:tcBorders>
            <w:vAlign w:val="bottom"/>
          </w:tcPr>
          <w:p w14:paraId="6E16288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631DB93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c>
          <w:tcPr>
            <w:tcW w:w="964" w:type="dxa"/>
            <w:tcBorders>
              <w:left w:val="nil"/>
              <w:right w:val="nil"/>
            </w:tcBorders>
            <w:vAlign w:val="bottom"/>
          </w:tcPr>
          <w:p w14:paraId="0656EAF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en-US" w:eastAsia="ru-RU"/>
              </w:rPr>
              <w:t>61</w:t>
            </w:r>
          </w:p>
        </w:tc>
        <w:tc>
          <w:tcPr>
            <w:tcW w:w="964" w:type="dxa"/>
            <w:tcBorders>
              <w:left w:val="nil"/>
              <w:right w:val="nil"/>
            </w:tcBorders>
            <w:vAlign w:val="bottom"/>
          </w:tcPr>
          <w:p w14:paraId="4F80CEDC"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c>
          <w:tcPr>
            <w:tcW w:w="964" w:type="dxa"/>
            <w:tcBorders>
              <w:left w:val="nil"/>
              <w:right w:val="nil"/>
            </w:tcBorders>
            <w:vAlign w:val="bottom"/>
          </w:tcPr>
          <w:p w14:paraId="1B8CB28E"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spacing w:val="-2"/>
                <w:sz w:val="18"/>
                <w:szCs w:val="18"/>
                <w:lang w:val="ru-RU" w:eastAsia="ru-RU"/>
              </w:rPr>
              <w:t>-</w:t>
            </w:r>
          </w:p>
        </w:tc>
      </w:tr>
      <w:tr w:rsidR="00C15A17" w:rsidRPr="00C15A17" w14:paraId="5B7F53EE" w14:textId="77777777" w:rsidTr="00ED6D31">
        <w:tblPrEx>
          <w:tblLook w:val="0000" w:firstRow="0" w:lastRow="0" w:firstColumn="0" w:lastColumn="0" w:noHBand="0" w:noVBand="0"/>
        </w:tblPrEx>
        <w:trPr>
          <w:cantSplit/>
        </w:trPr>
        <w:tc>
          <w:tcPr>
            <w:tcW w:w="4706" w:type="dxa"/>
            <w:tcBorders>
              <w:top w:val="nil"/>
              <w:left w:val="nil"/>
              <w:bottom w:val="single" w:sz="4" w:space="0" w:color="auto"/>
            </w:tcBorders>
            <w:vAlign w:val="bottom"/>
          </w:tcPr>
          <w:p w14:paraId="5037CC3C"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nil"/>
              <w:bottom w:val="single" w:sz="4" w:space="0" w:color="auto"/>
              <w:right w:val="nil"/>
            </w:tcBorders>
            <w:vAlign w:val="bottom"/>
          </w:tcPr>
          <w:p w14:paraId="07A2F7B0"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left w:val="nil"/>
              <w:bottom w:val="single" w:sz="4" w:space="0" w:color="auto"/>
              <w:right w:val="nil"/>
            </w:tcBorders>
            <w:vAlign w:val="bottom"/>
          </w:tcPr>
          <w:p w14:paraId="1204BEE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left w:val="nil"/>
              <w:bottom w:val="single" w:sz="4" w:space="0" w:color="auto"/>
              <w:right w:val="nil"/>
            </w:tcBorders>
            <w:vAlign w:val="bottom"/>
          </w:tcPr>
          <w:p w14:paraId="5B1C84F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left w:val="nil"/>
              <w:bottom w:val="single" w:sz="4" w:space="0" w:color="auto"/>
              <w:right w:val="nil"/>
            </w:tcBorders>
          </w:tcPr>
          <w:p w14:paraId="702540BB"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left w:val="nil"/>
              <w:bottom w:val="single" w:sz="4" w:space="0" w:color="auto"/>
              <w:right w:val="nil"/>
            </w:tcBorders>
          </w:tcPr>
          <w:p w14:paraId="603139B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C15A17" w:rsidRPr="00C15A17" w14:paraId="24CBB354" w14:textId="77777777" w:rsidTr="00ED6D31">
        <w:tblPrEx>
          <w:tblLook w:val="0000" w:firstRow="0" w:lastRow="0" w:firstColumn="0" w:lastColumn="0" w:noHBand="0" w:noVBand="0"/>
        </w:tblPrEx>
        <w:trPr>
          <w:cantSplit/>
        </w:trPr>
        <w:tc>
          <w:tcPr>
            <w:tcW w:w="4706" w:type="dxa"/>
            <w:tcBorders>
              <w:top w:val="single" w:sz="4" w:space="0" w:color="auto"/>
              <w:left w:val="nil"/>
            </w:tcBorders>
            <w:vAlign w:val="bottom"/>
          </w:tcPr>
          <w:p w14:paraId="3EC3AB60"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4" w:space="0" w:color="auto"/>
              <w:right w:val="nil"/>
            </w:tcBorders>
            <w:vAlign w:val="bottom"/>
          </w:tcPr>
          <w:p w14:paraId="73925A83"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4" w:space="0" w:color="auto"/>
              <w:left w:val="nil"/>
              <w:right w:val="nil"/>
            </w:tcBorders>
            <w:vAlign w:val="bottom"/>
          </w:tcPr>
          <w:p w14:paraId="50A74F39"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vAlign w:val="bottom"/>
          </w:tcPr>
          <w:p w14:paraId="3D970C7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tcPr>
          <w:p w14:paraId="66C5BAAB"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964" w:type="dxa"/>
            <w:tcBorders>
              <w:top w:val="single" w:sz="4" w:space="0" w:color="auto"/>
              <w:left w:val="nil"/>
              <w:right w:val="nil"/>
            </w:tcBorders>
          </w:tcPr>
          <w:p w14:paraId="4A972DFA"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C15A17" w:rsidRPr="00C15A17" w14:paraId="70666259"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35AB5962"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C15A17">
              <w:rPr>
                <w:rFonts w:ascii="Arial" w:eastAsia="Times New Roman" w:hAnsi="Arial" w:cs="Arial"/>
                <w:b/>
                <w:spacing w:val="-2"/>
                <w:sz w:val="18"/>
                <w:szCs w:val="18"/>
                <w:lang w:eastAsia="ru-RU"/>
              </w:rPr>
              <w:t>Other comprehensive loss for the period</w:t>
            </w:r>
          </w:p>
        </w:tc>
        <w:tc>
          <w:tcPr>
            <w:tcW w:w="850" w:type="dxa"/>
            <w:tcBorders>
              <w:left w:val="nil"/>
              <w:right w:val="nil"/>
            </w:tcBorders>
            <w:vAlign w:val="bottom"/>
          </w:tcPr>
          <w:p w14:paraId="0990E377"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spacing w:val="-2"/>
                <w:sz w:val="18"/>
                <w:szCs w:val="18"/>
                <w:lang w:eastAsia="ru-RU"/>
              </w:rPr>
            </w:pPr>
          </w:p>
        </w:tc>
        <w:tc>
          <w:tcPr>
            <w:tcW w:w="964" w:type="dxa"/>
            <w:tcBorders>
              <w:left w:val="nil"/>
              <w:right w:val="nil"/>
            </w:tcBorders>
            <w:vAlign w:val="bottom"/>
          </w:tcPr>
          <w:p w14:paraId="1672FE10" w14:textId="77777777" w:rsidR="00C15A17" w:rsidRPr="00C15A17" w:rsidRDefault="00C15A17" w:rsidP="00C15A17">
            <w:pPr>
              <w:widowControl w:val="0"/>
              <w:spacing w:after="0" w:line="240" w:lineRule="auto"/>
              <w:jc w:val="right"/>
              <w:rPr>
                <w:rFonts w:ascii="Arial" w:eastAsia="Times New Roman" w:hAnsi="Arial" w:cs="Arial"/>
                <w:b/>
                <w:bCs/>
                <w:spacing w:val="-2"/>
                <w:sz w:val="18"/>
                <w:szCs w:val="18"/>
                <w:lang w:val="en-US" w:eastAsia="ru-RU"/>
              </w:rPr>
            </w:pPr>
            <w:r w:rsidRPr="00C15A17">
              <w:rPr>
                <w:rFonts w:ascii="Arial" w:eastAsia="Times New Roman" w:hAnsi="Arial" w:cs="Arial"/>
                <w:b/>
                <w:spacing w:val="-2"/>
                <w:sz w:val="18"/>
                <w:szCs w:val="18"/>
                <w:lang w:val="ru-RU" w:eastAsia="ru-RU"/>
              </w:rPr>
              <w:t>-</w:t>
            </w:r>
          </w:p>
        </w:tc>
        <w:tc>
          <w:tcPr>
            <w:tcW w:w="964" w:type="dxa"/>
            <w:tcBorders>
              <w:left w:val="nil"/>
              <w:right w:val="nil"/>
            </w:tcBorders>
            <w:vAlign w:val="bottom"/>
          </w:tcPr>
          <w:p w14:paraId="54895745" w14:textId="77777777" w:rsidR="00C15A17" w:rsidRPr="00C15A17" w:rsidRDefault="00C15A17" w:rsidP="00C15A17">
            <w:pPr>
              <w:widowControl w:val="0"/>
              <w:autoSpaceDE w:val="0"/>
              <w:autoSpaceDN w:val="0"/>
              <w:adjustRightInd w:val="0"/>
              <w:spacing w:after="0" w:line="240" w:lineRule="auto"/>
              <w:ind w:right="-57"/>
              <w:jc w:val="right"/>
              <w:rPr>
                <w:rFonts w:ascii="Arial" w:eastAsia="Times New Roman" w:hAnsi="Arial" w:cs="Arial"/>
                <w:b/>
                <w:bCs/>
                <w:spacing w:val="-2"/>
                <w:sz w:val="18"/>
                <w:szCs w:val="18"/>
                <w:lang w:eastAsia="ru-RU"/>
              </w:rPr>
            </w:pPr>
            <w:r w:rsidRPr="00C15A17">
              <w:rPr>
                <w:rFonts w:ascii="Arial" w:eastAsia="Times New Roman" w:hAnsi="Arial" w:cs="Arial"/>
                <w:b/>
                <w:spacing w:val="-2"/>
                <w:sz w:val="18"/>
                <w:szCs w:val="18"/>
                <w:lang w:val="ru-RU" w:eastAsia="ru-RU"/>
              </w:rPr>
              <w:t>(9,170)</w:t>
            </w:r>
          </w:p>
        </w:tc>
        <w:tc>
          <w:tcPr>
            <w:tcW w:w="964" w:type="dxa"/>
            <w:tcBorders>
              <w:left w:val="nil"/>
              <w:right w:val="nil"/>
            </w:tcBorders>
            <w:vAlign w:val="bottom"/>
          </w:tcPr>
          <w:p w14:paraId="33E5D96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spacing w:val="-2"/>
                <w:sz w:val="18"/>
                <w:szCs w:val="18"/>
                <w:lang w:val="ru-RU" w:eastAsia="ru-RU"/>
              </w:rPr>
              <w:t>-</w:t>
            </w:r>
          </w:p>
        </w:tc>
        <w:tc>
          <w:tcPr>
            <w:tcW w:w="964" w:type="dxa"/>
            <w:tcBorders>
              <w:left w:val="nil"/>
              <w:right w:val="nil"/>
            </w:tcBorders>
            <w:vAlign w:val="bottom"/>
          </w:tcPr>
          <w:p w14:paraId="13D1BDA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spacing w:val="-2"/>
                <w:sz w:val="18"/>
                <w:szCs w:val="18"/>
                <w:lang w:val="ru-RU" w:eastAsia="ru-RU"/>
              </w:rPr>
              <w:t>-</w:t>
            </w:r>
          </w:p>
        </w:tc>
      </w:tr>
      <w:tr w:rsidR="00C15A17" w:rsidRPr="00C15A17" w14:paraId="05E86A89" w14:textId="77777777" w:rsidTr="00ED6D31">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22D7DBA2"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50" w:type="dxa"/>
            <w:tcBorders>
              <w:left w:val="nil"/>
              <w:bottom w:val="single" w:sz="4" w:space="0" w:color="auto"/>
              <w:right w:val="nil"/>
            </w:tcBorders>
            <w:vAlign w:val="bottom"/>
          </w:tcPr>
          <w:p w14:paraId="4E118D86"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spacing w:val="-2"/>
                <w:sz w:val="10"/>
                <w:szCs w:val="10"/>
                <w:lang w:eastAsia="ru-RU"/>
              </w:rPr>
            </w:pPr>
          </w:p>
        </w:tc>
        <w:tc>
          <w:tcPr>
            <w:tcW w:w="964" w:type="dxa"/>
            <w:tcBorders>
              <w:left w:val="nil"/>
              <w:bottom w:val="single" w:sz="4" w:space="0" w:color="auto"/>
              <w:right w:val="nil"/>
            </w:tcBorders>
            <w:vAlign w:val="bottom"/>
          </w:tcPr>
          <w:p w14:paraId="126F25F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left w:val="nil"/>
              <w:bottom w:val="single" w:sz="4" w:space="0" w:color="auto"/>
              <w:right w:val="nil"/>
            </w:tcBorders>
            <w:vAlign w:val="bottom"/>
          </w:tcPr>
          <w:p w14:paraId="4D0F8DB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left w:val="nil"/>
              <w:bottom w:val="single" w:sz="4" w:space="0" w:color="auto"/>
              <w:right w:val="nil"/>
            </w:tcBorders>
          </w:tcPr>
          <w:p w14:paraId="68BC159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left w:val="nil"/>
              <w:bottom w:val="single" w:sz="4" w:space="0" w:color="auto"/>
              <w:right w:val="nil"/>
            </w:tcBorders>
          </w:tcPr>
          <w:p w14:paraId="129554F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C15A17" w:rsidRPr="00C15A17" w14:paraId="514F2CE9" w14:textId="77777777" w:rsidTr="00ED6D31">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404BBA19"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50" w:type="dxa"/>
            <w:tcBorders>
              <w:top w:val="single" w:sz="4" w:space="0" w:color="auto"/>
              <w:left w:val="nil"/>
              <w:right w:val="nil"/>
            </w:tcBorders>
            <w:vAlign w:val="bottom"/>
          </w:tcPr>
          <w:p w14:paraId="342F30FE"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spacing w:val="-2"/>
                <w:sz w:val="10"/>
                <w:szCs w:val="10"/>
                <w:lang w:eastAsia="ru-RU"/>
              </w:rPr>
            </w:pPr>
          </w:p>
        </w:tc>
        <w:tc>
          <w:tcPr>
            <w:tcW w:w="964" w:type="dxa"/>
            <w:tcBorders>
              <w:top w:val="single" w:sz="4" w:space="0" w:color="auto"/>
              <w:left w:val="nil"/>
              <w:right w:val="nil"/>
            </w:tcBorders>
            <w:vAlign w:val="bottom"/>
          </w:tcPr>
          <w:p w14:paraId="117746E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top w:val="single" w:sz="4" w:space="0" w:color="auto"/>
              <w:left w:val="nil"/>
              <w:right w:val="nil"/>
            </w:tcBorders>
            <w:vAlign w:val="bottom"/>
          </w:tcPr>
          <w:p w14:paraId="27E8FD51"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top w:val="single" w:sz="4" w:space="0" w:color="auto"/>
              <w:left w:val="nil"/>
              <w:right w:val="nil"/>
            </w:tcBorders>
          </w:tcPr>
          <w:p w14:paraId="304AD2A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top w:val="single" w:sz="4" w:space="0" w:color="auto"/>
              <w:left w:val="nil"/>
              <w:right w:val="nil"/>
            </w:tcBorders>
          </w:tcPr>
          <w:p w14:paraId="417F724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C15A17" w:rsidRPr="00C15A17" w14:paraId="4461DF52"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657AC5CD"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C15A17">
              <w:rPr>
                <w:rFonts w:ascii="Arial" w:eastAsia="Times New Roman" w:hAnsi="Arial" w:cs="Arial"/>
                <w:b/>
                <w:spacing w:val="-2"/>
                <w:sz w:val="18"/>
                <w:szCs w:val="18"/>
                <w:lang w:eastAsia="ru-RU"/>
              </w:rPr>
              <w:t>Total comprehensive income for the period</w:t>
            </w:r>
          </w:p>
        </w:tc>
        <w:tc>
          <w:tcPr>
            <w:tcW w:w="850" w:type="dxa"/>
            <w:tcBorders>
              <w:left w:val="nil"/>
              <w:right w:val="nil"/>
            </w:tcBorders>
            <w:vAlign w:val="bottom"/>
          </w:tcPr>
          <w:p w14:paraId="32033D8A"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spacing w:val="-2"/>
                <w:sz w:val="18"/>
                <w:szCs w:val="18"/>
                <w:lang w:eastAsia="ru-RU"/>
              </w:rPr>
            </w:pPr>
          </w:p>
        </w:tc>
        <w:tc>
          <w:tcPr>
            <w:tcW w:w="964" w:type="dxa"/>
            <w:tcBorders>
              <w:left w:val="nil"/>
              <w:right w:val="nil"/>
            </w:tcBorders>
            <w:vAlign w:val="bottom"/>
          </w:tcPr>
          <w:p w14:paraId="415C987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C15A17">
              <w:rPr>
                <w:rFonts w:ascii="Arial" w:eastAsia="Times New Roman" w:hAnsi="Arial" w:cs="Arial"/>
                <w:b/>
                <w:spacing w:val="-2"/>
                <w:sz w:val="18"/>
                <w:szCs w:val="18"/>
                <w:lang w:val="ru-RU" w:eastAsia="ru-RU"/>
              </w:rPr>
              <w:t>56,775</w:t>
            </w:r>
          </w:p>
        </w:tc>
        <w:tc>
          <w:tcPr>
            <w:tcW w:w="964" w:type="dxa"/>
            <w:tcBorders>
              <w:left w:val="nil"/>
              <w:right w:val="nil"/>
            </w:tcBorders>
            <w:vAlign w:val="bottom"/>
          </w:tcPr>
          <w:p w14:paraId="18521C6C"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C15A17">
              <w:rPr>
                <w:rFonts w:ascii="Arial" w:eastAsia="Times New Roman" w:hAnsi="Arial" w:cs="Arial"/>
                <w:b/>
                <w:spacing w:val="-2"/>
                <w:sz w:val="18"/>
                <w:szCs w:val="18"/>
                <w:lang w:val="en-US" w:eastAsia="ru-RU"/>
              </w:rPr>
              <w:t>156,331</w:t>
            </w:r>
          </w:p>
        </w:tc>
        <w:tc>
          <w:tcPr>
            <w:tcW w:w="964" w:type="dxa"/>
            <w:tcBorders>
              <w:left w:val="nil"/>
              <w:right w:val="nil"/>
            </w:tcBorders>
            <w:vAlign w:val="bottom"/>
          </w:tcPr>
          <w:p w14:paraId="21191322"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15,278</w:t>
            </w:r>
          </w:p>
        </w:tc>
        <w:tc>
          <w:tcPr>
            <w:tcW w:w="964" w:type="dxa"/>
            <w:tcBorders>
              <w:left w:val="nil"/>
              <w:right w:val="nil"/>
            </w:tcBorders>
            <w:vAlign w:val="bottom"/>
          </w:tcPr>
          <w:p w14:paraId="59FFC62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color w:val="000000"/>
                <w:spacing w:val="-2"/>
                <w:sz w:val="18"/>
                <w:szCs w:val="18"/>
                <w:lang w:val="en-US" w:eastAsia="en-US"/>
              </w:rPr>
            </w:pPr>
            <w:r w:rsidRPr="00C15A17">
              <w:rPr>
                <w:rFonts w:ascii="Arial" w:eastAsia="Times New Roman" w:hAnsi="Arial" w:cs="Arial"/>
                <w:b/>
                <w:color w:val="000000"/>
                <w:sz w:val="18"/>
                <w:szCs w:val="18"/>
                <w:lang w:val="en-US" w:eastAsia="en-US"/>
              </w:rPr>
              <w:t>36,453</w:t>
            </w:r>
          </w:p>
        </w:tc>
      </w:tr>
      <w:tr w:rsidR="00C15A17" w:rsidRPr="00C15A17" w14:paraId="39526255" w14:textId="77777777" w:rsidTr="00ED6D31">
        <w:tblPrEx>
          <w:tblLook w:val="0000" w:firstRow="0" w:lastRow="0" w:firstColumn="0" w:lastColumn="0" w:noHBand="0" w:noVBand="0"/>
        </w:tblPrEx>
        <w:trPr>
          <w:cantSplit/>
        </w:trPr>
        <w:tc>
          <w:tcPr>
            <w:tcW w:w="4706" w:type="dxa"/>
            <w:tcBorders>
              <w:left w:val="nil"/>
              <w:bottom w:val="single" w:sz="12" w:space="0" w:color="auto"/>
              <w:right w:val="nil"/>
            </w:tcBorders>
            <w:vAlign w:val="bottom"/>
          </w:tcPr>
          <w:p w14:paraId="79C1311D"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50" w:type="dxa"/>
            <w:tcBorders>
              <w:left w:val="nil"/>
              <w:bottom w:val="single" w:sz="12" w:space="0" w:color="auto"/>
              <w:right w:val="nil"/>
            </w:tcBorders>
            <w:vAlign w:val="bottom"/>
          </w:tcPr>
          <w:p w14:paraId="03862E0F"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b/>
                <w:spacing w:val="-2"/>
                <w:sz w:val="10"/>
                <w:szCs w:val="10"/>
                <w:lang w:eastAsia="ru-RU"/>
              </w:rPr>
            </w:pPr>
          </w:p>
        </w:tc>
        <w:tc>
          <w:tcPr>
            <w:tcW w:w="964" w:type="dxa"/>
            <w:tcBorders>
              <w:left w:val="nil"/>
              <w:bottom w:val="single" w:sz="12" w:space="0" w:color="auto"/>
              <w:right w:val="nil"/>
            </w:tcBorders>
            <w:vAlign w:val="bottom"/>
          </w:tcPr>
          <w:p w14:paraId="4DA1A72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ru-RU" w:eastAsia="ru-RU"/>
              </w:rPr>
            </w:pPr>
          </w:p>
        </w:tc>
        <w:tc>
          <w:tcPr>
            <w:tcW w:w="964" w:type="dxa"/>
            <w:tcBorders>
              <w:left w:val="nil"/>
              <w:bottom w:val="single" w:sz="12" w:space="0" w:color="auto"/>
              <w:right w:val="nil"/>
            </w:tcBorders>
            <w:vAlign w:val="bottom"/>
          </w:tcPr>
          <w:p w14:paraId="4D9560DF"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left w:val="nil"/>
              <w:bottom w:val="single" w:sz="12" w:space="0" w:color="auto"/>
              <w:right w:val="nil"/>
            </w:tcBorders>
          </w:tcPr>
          <w:p w14:paraId="76B23A9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64" w:type="dxa"/>
            <w:tcBorders>
              <w:left w:val="nil"/>
              <w:bottom w:val="single" w:sz="12" w:space="0" w:color="auto"/>
              <w:right w:val="nil"/>
            </w:tcBorders>
          </w:tcPr>
          <w:p w14:paraId="2E7E2B5D"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C15A17" w:rsidRPr="00C15A17" w14:paraId="391DCF08" w14:textId="77777777" w:rsidTr="00ED6D31">
        <w:tblPrEx>
          <w:tblLook w:val="0000" w:firstRow="0" w:lastRow="0" w:firstColumn="0" w:lastColumn="0" w:noHBand="0" w:noVBand="0"/>
        </w:tblPrEx>
        <w:trPr>
          <w:cantSplit/>
        </w:trPr>
        <w:tc>
          <w:tcPr>
            <w:tcW w:w="4706" w:type="dxa"/>
            <w:tcBorders>
              <w:top w:val="single" w:sz="12" w:space="0" w:color="auto"/>
              <w:left w:val="nil"/>
              <w:bottom w:val="nil"/>
              <w:right w:val="nil"/>
            </w:tcBorders>
            <w:vAlign w:val="bottom"/>
          </w:tcPr>
          <w:p w14:paraId="28931EA9"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top w:val="single" w:sz="12" w:space="0" w:color="auto"/>
              <w:left w:val="nil"/>
              <w:bottom w:val="nil"/>
              <w:right w:val="nil"/>
            </w:tcBorders>
            <w:vAlign w:val="bottom"/>
          </w:tcPr>
          <w:p w14:paraId="2F0C13AF"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top w:val="single" w:sz="12" w:space="0" w:color="auto"/>
              <w:left w:val="nil"/>
              <w:right w:val="nil"/>
            </w:tcBorders>
            <w:vAlign w:val="bottom"/>
          </w:tcPr>
          <w:p w14:paraId="7D5BF5B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12" w:space="0" w:color="auto"/>
              <w:left w:val="nil"/>
              <w:right w:val="nil"/>
            </w:tcBorders>
            <w:vAlign w:val="bottom"/>
          </w:tcPr>
          <w:p w14:paraId="4BED6E54"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12" w:space="0" w:color="auto"/>
              <w:left w:val="nil"/>
              <w:right w:val="nil"/>
            </w:tcBorders>
          </w:tcPr>
          <w:p w14:paraId="6EAE5D10"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64" w:type="dxa"/>
            <w:tcBorders>
              <w:top w:val="single" w:sz="12" w:space="0" w:color="auto"/>
              <w:left w:val="nil"/>
              <w:right w:val="nil"/>
            </w:tcBorders>
          </w:tcPr>
          <w:p w14:paraId="323512C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C15A17" w:rsidRPr="00C15A17" w14:paraId="6ADDA601" w14:textId="77777777" w:rsidTr="00ED6D31">
        <w:tblPrEx>
          <w:tblLook w:val="0000" w:firstRow="0" w:lastRow="0" w:firstColumn="0" w:lastColumn="0" w:noHBand="0" w:noVBand="0"/>
        </w:tblPrEx>
        <w:trPr>
          <w:cantSplit/>
        </w:trPr>
        <w:tc>
          <w:tcPr>
            <w:tcW w:w="4706" w:type="dxa"/>
            <w:tcBorders>
              <w:top w:val="nil"/>
              <w:left w:val="nil"/>
              <w:bottom w:val="nil"/>
              <w:right w:val="nil"/>
            </w:tcBorders>
            <w:vAlign w:val="bottom"/>
          </w:tcPr>
          <w:p w14:paraId="479C39FA"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Attributable to:</w:t>
            </w:r>
          </w:p>
        </w:tc>
        <w:tc>
          <w:tcPr>
            <w:tcW w:w="850" w:type="dxa"/>
            <w:tcBorders>
              <w:top w:val="nil"/>
              <w:left w:val="nil"/>
              <w:bottom w:val="nil"/>
              <w:right w:val="nil"/>
            </w:tcBorders>
            <w:vAlign w:val="bottom"/>
          </w:tcPr>
          <w:p w14:paraId="4F68FE04"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09E5C343"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left w:val="nil"/>
              <w:bottom w:val="nil"/>
              <w:right w:val="nil"/>
            </w:tcBorders>
            <w:vAlign w:val="bottom"/>
          </w:tcPr>
          <w:p w14:paraId="4E8092B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left w:val="nil"/>
              <w:bottom w:val="nil"/>
              <w:right w:val="nil"/>
            </w:tcBorders>
          </w:tcPr>
          <w:p w14:paraId="35896B3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64" w:type="dxa"/>
            <w:tcBorders>
              <w:left w:val="nil"/>
              <w:bottom w:val="nil"/>
              <w:right w:val="nil"/>
            </w:tcBorders>
          </w:tcPr>
          <w:p w14:paraId="73E31D0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C15A17" w:rsidRPr="00C15A17" w14:paraId="5E833E4B" w14:textId="77777777" w:rsidTr="00ED6D31">
        <w:tblPrEx>
          <w:tblLook w:val="0000" w:firstRow="0" w:lastRow="0" w:firstColumn="0" w:lastColumn="0" w:noHBand="0" w:noVBand="0"/>
        </w:tblPrEx>
        <w:trPr>
          <w:cantSplit/>
        </w:trPr>
        <w:tc>
          <w:tcPr>
            <w:tcW w:w="4706" w:type="dxa"/>
            <w:tcBorders>
              <w:top w:val="nil"/>
              <w:left w:val="nil"/>
              <w:right w:val="nil"/>
            </w:tcBorders>
            <w:vAlign w:val="bottom"/>
          </w:tcPr>
          <w:p w14:paraId="543655FE"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Non-controlling interests*</w:t>
            </w:r>
          </w:p>
        </w:tc>
        <w:tc>
          <w:tcPr>
            <w:tcW w:w="850" w:type="dxa"/>
            <w:tcBorders>
              <w:top w:val="nil"/>
              <w:left w:val="nil"/>
              <w:right w:val="nil"/>
            </w:tcBorders>
            <w:vAlign w:val="bottom"/>
          </w:tcPr>
          <w:p w14:paraId="438DE530"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top w:val="nil"/>
              <w:left w:val="nil"/>
              <w:right w:val="nil"/>
            </w:tcBorders>
            <w:vAlign w:val="bottom"/>
          </w:tcPr>
          <w:p w14:paraId="359E3C34"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val="en-US" w:eastAsia="ru-RU"/>
              </w:rPr>
            </w:pPr>
            <w:r w:rsidRPr="00C15A17">
              <w:rPr>
                <w:rFonts w:ascii="Arial" w:eastAsia="Times New Roman" w:hAnsi="Arial" w:cs="Arial"/>
                <w:bCs/>
                <w:spacing w:val="-2"/>
                <w:sz w:val="18"/>
                <w:szCs w:val="18"/>
                <w:lang w:val="ru-RU" w:eastAsia="ru-RU"/>
              </w:rPr>
              <w:t>19</w:t>
            </w:r>
          </w:p>
        </w:tc>
        <w:tc>
          <w:tcPr>
            <w:tcW w:w="964" w:type="dxa"/>
            <w:tcBorders>
              <w:top w:val="nil"/>
              <w:left w:val="nil"/>
              <w:right w:val="nil"/>
            </w:tcBorders>
            <w:vAlign w:val="bottom"/>
          </w:tcPr>
          <w:p w14:paraId="12786199" w14:textId="77777777" w:rsidR="00C15A17" w:rsidRPr="00C15A17" w:rsidRDefault="00C15A17" w:rsidP="00C15A17">
            <w:pPr>
              <w:widowControl w:val="0"/>
              <w:spacing w:after="0" w:line="240" w:lineRule="auto"/>
              <w:jc w:val="right"/>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6</w:t>
            </w:r>
          </w:p>
        </w:tc>
        <w:tc>
          <w:tcPr>
            <w:tcW w:w="964" w:type="dxa"/>
            <w:tcBorders>
              <w:top w:val="nil"/>
              <w:left w:val="nil"/>
              <w:right w:val="nil"/>
            </w:tcBorders>
          </w:tcPr>
          <w:p w14:paraId="2F44E1BB"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en-US" w:eastAsia="ru-RU"/>
              </w:rPr>
              <w:t>16</w:t>
            </w:r>
          </w:p>
        </w:tc>
        <w:tc>
          <w:tcPr>
            <w:tcW w:w="964" w:type="dxa"/>
            <w:tcBorders>
              <w:top w:val="nil"/>
              <w:left w:val="nil"/>
              <w:right w:val="nil"/>
            </w:tcBorders>
            <w:vAlign w:val="bottom"/>
          </w:tcPr>
          <w:p w14:paraId="009490CA"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en-US" w:eastAsia="ru-RU"/>
              </w:rPr>
              <w:t>2</w:t>
            </w:r>
          </w:p>
        </w:tc>
      </w:tr>
      <w:tr w:rsidR="00C15A17" w:rsidRPr="00C15A17" w14:paraId="3C4DA15A" w14:textId="77777777" w:rsidTr="00ED6D31">
        <w:tblPrEx>
          <w:tblLook w:val="0000" w:firstRow="0" w:lastRow="0" w:firstColumn="0" w:lastColumn="0" w:noHBand="0" w:noVBand="0"/>
        </w:tblPrEx>
        <w:trPr>
          <w:cantSplit/>
        </w:trPr>
        <w:tc>
          <w:tcPr>
            <w:tcW w:w="4706" w:type="dxa"/>
            <w:tcBorders>
              <w:left w:val="nil"/>
              <w:right w:val="nil"/>
            </w:tcBorders>
            <w:vAlign w:val="bottom"/>
          </w:tcPr>
          <w:p w14:paraId="6BF9A3D4"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8"/>
                <w:szCs w:val="18"/>
                <w:lang w:eastAsia="ru-RU"/>
              </w:rPr>
            </w:pPr>
            <w:r w:rsidRPr="00C15A17">
              <w:rPr>
                <w:rFonts w:ascii="Arial" w:eastAsia="Times New Roman" w:hAnsi="Arial" w:cs="Arial"/>
                <w:spacing w:val="-2"/>
                <w:sz w:val="18"/>
                <w:szCs w:val="18"/>
                <w:lang w:eastAsia="ru-RU"/>
              </w:rPr>
              <w:t>Shareholders of the Parent</w:t>
            </w:r>
          </w:p>
        </w:tc>
        <w:tc>
          <w:tcPr>
            <w:tcW w:w="850" w:type="dxa"/>
            <w:tcBorders>
              <w:left w:val="nil"/>
              <w:right w:val="nil"/>
            </w:tcBorders>
            <w:vAlign w:val="bottom"/>
          </w:tcPr>
          <w:p w14:paraId="630EE67D"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8"/>
                <w:szCs w:val="18"/>
                <w:lang w:eastAsia="ru-RU"/>
              </w:rPr>
            </w:pPr>
          </w:p>
        </w:tc>
        <w:tc>
          <w:tcPr>
            <w:tcW w:w="964" w:type="dxa"/>
            <w:tcBorders>
              <w:left w:val="nil"/>
              <w:right w:val="nil"/>
            </w:tcBorders>
            <w:vAlign w:val="bottom"/>
          </w:tcPr>
          <w:p w14:paraId="4DAD2798"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C15A17">
              <w:rPr>
                <w:rFonts w:ascii="Arial" w:eastAsia="Times New Roman" w:hAnsi="Arial" w:cs="Arial"/>
                <w:spacing w:val="-2"/>
                <w:sz w:val="18"/>
                <w:szCs w:val="18"/>
                <w:lang w:val="ru-RU" w:eastAsia="ru-RU"/>
              </w:rPr>
              <w:t>56,756</w:t>
            </w:r>
          </w:p>
        </w:tc>
        <w:tc>
          <w:tcPr>
            <w:tcW w:w="964" w:type="dxa"/>
            <w:tcBorders>
              <w:left w:val="nil"/>
              <w:right w:val="nil"/>
            </w:tcBorders>
            <w:vAlign w:val="bottom"/>
          </w:tcPr>
          <w:p w14:paraId="06D4D86D"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en-US" w:eastAsia="ru-RU"/>
              </w:rPr>
              <w:t>156,325</w:t>
            </w:r>
          </w:p>
        </w:tc>
        <w:tc>
          <w:tcPr>
            <w:tcW w:w="964" w:type="dxa"/>
            <w:tcBorders>
              <w:left w:val="nil"/>
              <w:right w:val="nil"/>
            </w:tcBorders>
          </w:tcPr>
          <w:p w14:paraId="2E7F77C9"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ru-RU" w:eastAsia="ru-RU"/>
              </w:rPr>
              <w:t>1</w:t>
            </w:r>
            <w:r w:rsidRPr="00C15A17">
              <w:rPr>
                <w:rFonts w:ascii="Arial" w:eastAsia="Times New Roman" w:hAnsi="Arial" w:cs="Arial"/>
                <w:spacing w:val="-2"/>
                <w:sz w:val="18"/>
                <w:szCs w:val="18"/>
                <w:lang w:val="en-US" w:eastAsia="ru-RU"/>
              </w:rPr>
              <w:t>5</w:t>
            </w:r>
            <w:r w:rsidRPr="00C15A17">
              <w:rPr>
                <w:rFonts w:ascii="Arial" w:eastAsia="Times New Roman" w:hAnsi="Arial" w:cs="Arial"/>
                <w:spacing w:val="-2"/>
                <w:sz w:val="18"/>
                <w:szCs w:val="18"/>
                <w:lang w:val="ru-RU" w:eastAsia="ru-RU"/>
              </w:rPr>
              <w:t>,</w:t>
            </w:r>
            <w:r w:rsidRPr="00C15A17">
              <w:rPr>
                <w:rFonts w:ascii="Arial" w:eastAsia="Times New Roman" w:hAnsi="Arial" w:cs="Arial"/>
                <w:spacing w:val="-2"/>
                <w:sz w:val="18"/>
                <w:szCs w:val="18"/>
                <w:lang w:val="en-US" w:eastAsia="ru-RU"/>
              </w:rPr>
              <w:t>262</w:t>
            </w:r>
          </w:p>
        </w:tc>
        <w:tc>
          <w:tcPr>
            <w:tcW w:w="964" w:type="dxa"/>
            <w:tcBorders>
              <w:left w:val="nil"/>
              <w:right w:val="nil"/>
            </w:tcBorders>
            <w:vAlign w:val="bottom"/>
          </w:tcPr>
          <w:p w14:paraId="6B23179C" w14:textId="77777777" w:rsidR="00C15A17" w:rsidRPr="00C15A17" w:rsidRDefault="00C15A17" w:rsidP="00C15A17">
            <w:pPr>
              <w:widowControl w:val="0"/>
              <w:spacing w:after="0" w:line="240" w:lineRule="auto"/>
              <w:jc w:val="right"/>
              <w:rPr>
                <w:rFonts w:ascii="Arial" w:eastAsia="Times New Roman" w:hAnsi="Arial" w:cs="Arial"/>
                <w:color w:val="000000"/>
                <w:spacing w:val="-2"/>
                <w:sz w:val="18"/>
                <w:szCs w:val="18"/>
                <w:lang w:val="en-US" w:eastAsia="en-US"/>
              </w:rPr>
            </w:pPr>
            <w:r w:rsidRPr="00C15A17">
              <w:rPr>
                <w:rFonts w:ascii="Arial" w:eastAsia="Times New Roman" w:hAnsi="Arial" w:cs="Arial"/>
                <w:spacing w:val="-2"/>
                <w:sz w:val="18"/>
                <w:szCs w:val="18"/>
                <w:lang w:val="en-US" w:eastAsia="ru-RU"/>
              </w:rPr>
              <w:t>36</w:t>
            </w:r>
            <w:r w:rsidRPr="00C15A17">
              <w:rPr>
                <w:rFonts w:ascii="Arial" w:eastAsia="Times New Roman" w:hAnsi="Arial" w:cs="Arial"/>
                <w:spacing w:val="-2"/>
                <w:sz w:val="18"/>
                <w:szCs w:val="18"/>
                <w:lang w:val="ru-RU" w:eastAsia="ru-RU"/>
              </w:rPr>
              <w:t>,</w:t>
            </w:r>
            <w:r w:rsidRPr="00C15A17">
              <w:rPr>
                <w:rFonts w:ascii="Arial" w:eastAsia="Times New Roman" w:hAnsi="Arial" w:cs="Arial"/>
                <w:spacing w:val="-2"/>
                <w:sz w:val="18"/>
                <w:szCs w:val="18"/>
                <w:lang w:val="en-US" w:eastAsia="ru-RU"/>
              </w:rPr>
              <w:t>451</w:t>
            </w:r>
          </w:p>
        </w:tc>
      </w:tr>
      <w:tr w:rsidR="00C15A17" w:rsidRPr="00C15A17" w14:paraId="253F2BF1" w14:textId="77777777" w:rsidTr="00ED6D31">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0933BFE8" w14:textId="77777777" w:rsidR="00C15A17" w:rsidRPr="00C15A17" w:rsidRDefault="00C15A17" w:rsidP="00C15A17">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50" w:type="dxa"/>
            <w:tcBorders>
              <w:left w:val="nil"/>
              <w:bottom w:val="single" w:sz="4" w:space="0" w:color="auto"/>
              <w:right w:val="nil"/>
            </w:tcBorders>
            <w:vAlign w:val="bottom"/>
          </w:tcPr>
          <w:p w14:paraId="2155E254" w14:textId="77777777" w:rsidR="00C15A17" w:rsidRPr="00C15A17" w:rsidRDefault="00C15A17" w:rsidP="00C15A17">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964" w:type="dxa"/>
            <w:tcBorders>
              <w:left w:val="nil"/>
              <w:bottom w:val="single" w:sz="4" w:space="0" w:color="auto"/>
              <w:right w:val="nil"/>
            </w:tcBorders>
            <w:vAlign w:val="bottom"/>
          </w:tcPr>
          <w:p w14:paraId="76D8691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vAlign w:val="bottom"/>
          </w:tcPr>
          <w:p w14:paraId="67445026"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tcPr>
          <w:p w14:paraId="42C3B605"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64" w:type="dxa"/>
            <w:tcBorders>
              <w:left w:val="nil"/>
              <w:bottom w:val="single" w:sz="4" w:space="0" w:color="auto"/>
              <w:right w:val="nil"/>
            </w:tcBorders>
          </w:tcPr>
          <w:p w14:paraId="692AAD17" w14:textId="77777777" w:rsidR="00C15A17" w:rsidRPr="00C15A17" w:rsidRDefault="00C15A17" w:rsidP="00C15A17">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bl>
    <w:p w14:paraId="0A1DAFCB" w14:textId="77777777" w:rsidR="00F55BFA" w:rsidRPr="008A6DE3" w:rsidRDefault="00F55BFA" w:rsidP="00B43799">
      <w:pPr>
        <w:widowControl w:val="0"/>
        <w:spacing w:after="0" w:line="240" w:lineRule="auto"/>
        <w:rPr>
          <w:rFonts w:ascii="Arial" w:eastAsia="Times New Roman" w:hAnsi="Arial" w:cs="Arial"/>
          <w:i/>
          <w:iCs/>
          <w:sz w:val="16"/>
          <w:szCs w:val="16"/>
          <w:lang w:eastAsia="en-US"/>
        </w:rPr>
      </w:pPr>
    </w:p>
    <w:p w14:paraId="2FEDB2F9" w14:textId="00026DD7" w:rsidR="00B43799" w:rsidRPr="00C15A17" w:rsidRDefault="00C15A17" w:rsidP="00B43799">
      <w:pPr>
        <w:widowControl w:val="0"/>
        <w:spacing w:after="0" w:line="240" w:lineRule="auto"/>
        <w:rPr>
          <w:rFonts w:ascii="Arial" w:eastAsia="Times New Roman" w:hAnsi="Arial" w:cs="Arial"/>
          <w:i/>
          <w:iCs/>
          <w:sz w:val="16"/>
          <w:szCs w:val="16"/>
          <w:lang w:val="en-US" w:eastAsia="en-US"/>
        </w:rPr>
      </w:pPr>
      <w:r w:rsidRPr="00C15A17">
        <w:rPr>
          <w:rFonts w:ascii="Arial" w:eastAsia="Times New Roman" w:hAnsi="Arial" w:cs="Arial"/>
          <w:i/>
          <w:iCs/>
          <w:sz w:val="16"/>
          <w:szCs w:val="16"/>
          <w:lang w:val="en-US" w:eastAsia="en-US"/>
        </w:rPr>
        <w:t>*Non-controlling interests are the minority shareholders of the subsidiaries of PJSC “PhosAgro”</w:t>
      </w:r>
    </w:p>
    <w:p w14:paraId="4CF7C516" w14:textId="77777777" w:rsidR="002A6006" w:rsidRPr="00C15A17" w:rsidRDefault="002A6006">
      <w:pPr>
        <w:spacing w:after="0" w:line="240" w:lineRule="auto"/>
        <w:rPr>
          <w:lang w:val="en-US"/>
        </w:rPr>
        <w:sectPr w:rsidR="002A6006" w:rsidRPr="00C15A17" w:rsidSect="00F25DDA">
          <w:headerReference w:type="default" r:id="rId13"/>
          <w:footnotePr>
            <w:numRestart w:val="eachPage"/>
          </w:footnotePr>
          <w:pgSz w:w="11907" w:h="16840" w:code="9"/>
          <w:pgMar w:top="1134" w:right="1021" w:bottom="1134" w:left="1531" w:header="567" w:footer="567" w:gutter="0"/>
          <w:pgNumType w:start="1"/>
          <w:cols w:space="708"/>
          <w:docGrid w:linePitch="360"/>
        </w:sectPr>
      </w:pPr>
      <w:r w:rsidRPr="00C15A17">
        <w:rPr>
          <w:lang w:val="en-US"/>
        </w:rPr>
        <w:br w:type="page"/>
      </w:r>
    </w:p>
    <w:p w14:paraId="5850B389" w14:textId="77777777" w:rsidR="002B7022" w:rsidRPr="00C15A17" w:rsidRDefault="002B7022" w:rsidP="002A6006">
      <w:pPr>
        <w:spacing w:after="0" w:line="240" w:lineRule="auto"/>
        <w:rPr>
          <w:lang w:val="en-US"/>
        </w:rPr>
      </w:pPr>
    </w:p>
    <w:tbl>
      <w:tblPr>
        <w:tblW w:w="8561" w:type="dxa"/>
        <w:tblLayout w:type="fixed"/>
        <w:tblCellMar>
          <w:left w:w="85" w:type="dxa"/>
          <w:right w:w="85" w:type="dxa"/>
        </w:tblCellMar>
        <w:tblLook w:val="0000" w:firstRow="0" w:lastRow="0" w:firstColumn="0" w:lastColumn="0" w:noHBand="0" w:noVBand="0"/>
      </w:tblPr>
      <w:tblGrid>
        <w:gridCol w:w="4962"/>
        <w:gridCol w:w="1799"/>
        <w:gridCol w:w="1800"/>
      </w:tblGrid>
      <w:tr w:rsidR="002E7C40" w:rsidRPr="002E7C40" w14:paraId="352A7886" w14:textId="77777777" w:rsidTr="002E7C40">
        <w:trPr>
          <w:cantSplit/>
        </w:trPr>
        <w:tc>
          <w:tcPr>
            <w:tcW w:w="4962" w:type="dxa"/>
            <w:tcBorders>
              <w:top w:val="nil"/>
              <w:left w:val="nil"/>
              <w:bottom w:val="single" w:sz="4" w:space="0" w:color="auto"/>
              <w:right w:val="nil"/>
            </w:tcBorders>
            <w:vAlign w:val="bottom"/>
          </w:tcPr>
          <w:p w14:paraId="229460E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i/>
                <w:iCs/>
                <w:spacing w:val="-2"/>
                <w:sz w:val="18"/>
                <w:szCs w:val="20"/>
                <w:highlight w:val="yellow"/>
                <w:lang w:eastAsia="ru-RU"/>
              </w:rPr>
            </w:pPr>
            <w:r w:rsidRPr="002E7C40">
              <w:rPr>
                <w:rFonts w:ascii="Arial" w:eastAsia="Times New Roman" w:hAnsi="Arial" w:cs="Arial"/>
                <w:i/>
                <w:iCs/>
                <w:spacing w:val="-2"/>
                <w:sz w:val="18"/>
                <w:szCs w:val="20"/>
                <w:lang w:eastAsia="ru-RU"/>
              </w:rPr>
              <w:t>RUB million</w:t>
            </w:r>
          </w:p>
        </w:tc>
        <w:tc>
          <w:tcPr>
            <w:tcW w:w="1799" w:type="dxa"/>
            <w:tcBorders>
              <w:top w:val="nil"/>
              <w:left w:val="nil"/>
              <w:bottom w:val="single" w:sz="4" w:space="0" w:color="auto"/>
              <w:right w:val="nil"/>
            </w:tcBorders>
            <w:vAlign w:val="bottom"/>
          </w:tcPr>
          <w:p w14:paraId="2AB5ADE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bCs/>
                <w:spacing w:val="-2"/>
                <w:sz w:val="18"/>
                <w:szCs w:val="20"/>
                <w:lang w:val="en-US" w:eastAsia="ru-RU"/>
              </w:rPr>
            </w:pPr>
            <w:r w:rsidRPr="002E7C40">
              <w:rPr>
                <w:rFonts w:ascii="Arial" w:eastAsia="Times New Roman" w:hAnsi="Arial" w:cs="Arial"/>
                <w:b/>
                <w:bCs/>
                <w:spacing w:val="-2"/>
                <w:sz w:val="18"/>
                <w:szCs w:val="20"/>
                <w:lang w:eastAsia="ru-RU"/>
              </w:rPr>
              <w:t>30 September 20</w:t>
            </w:r>
            <w:r w:rsidRPr="002E7C40">
              <w:rPr>
                <w:rFonts w:ascii="Arial" w:eastAsia="Times New Roman" w:hAnsi="Arial" w:cs="Arial"/>
                <w:b/>
                <w:bCs/>
                <w:spacing w:val="-2"/>
                <w:sz w:val="18"/>
                <w:szCs w:val="20"/>
                <w:lang w:val="ru-RU" w:eastAsia="ru-RU"/>
              </w:rPr>
              <w:t>2</w:t>
            </w:r>
            <w:r w:rsidRPr="002E7C40">
              <w:rPr>
                <w:rFonts w:ascii="Arial" w:eastAsia="Times New Roman" w:hAnsi="Arial" w:cs="Arial"/>
                <w:b/>
                <w:bCs/>
                <w:spacing w:val="-2"/>
                <w:sz w:val="18"/>
                <w:szCs w:val="20"/>
                <w:lang w:val="en-US" w:eastAsia="ru-RU"/>
              </w:rPr>
              <w:t>3</w:t>
            </w:r>
          </w:p>
        </w:tc>
        <w:tc>
          <w:tcPr>
            <w:tcW w:w="1800" w:type="dxa"/>
            <w:tcBorders>
              <w:top w:val="nil"/>
              <w:left w:val="nil"/>
              <w:bottom w:val="single" w:sz="4" w:space="0" w:color="auto"/>
              <w:right w:val="nil"/>
            </w:tcBorders>
            <w:vAlign w:val="bottom"/>
          </w:tcPr>
          <w:p w14:paraId="16DCF18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bCs/>
                <w:spacing w:val="-2"/>
                <w:sz w:val="18"/>
                <w:szCs w:val="20"/>
                <w:lang w:val="ru-RU" w:eastAsia="ru-RU"/>
              </w:rPr>
            </w:pPr>
            <w:r w:rsidRPr="002E7C40">
              <w:rPr>
                <w:rFonts w:ascii="Arial" w:eastAsia="Times New Roman" w:hAnsi="Arial" w:cs="Arial"/>
                <w:b/>
                <w:bCs/>
                <w:spacing w:val="-2"/>
                <w:sz w:val="18"/>
                <w:szCs w:val="20"/>
                <w:lang w:eastAsia="ru-RU"/>
              </w:rPr>
              <w:t>31 December 2022</w:t>
            </w:r>
          </w:p>
        </w:tc>
      </w:tr>
      <w:tr w:rsidR="002E7C40" w:rsidRPr="002E7C40" w14:paraId="31D186E1" w14:textId="77777777" w:rsidTr="002E7C40">
        <w:trPr>
          <w:cantSplit/>
        </w:trPr>
        <w:tc>
          <w:tcPr>
            <w:tcW w:w="4962" w:type="dxa"/>
            <w:tcBorders>
              <w:top w:val="single" w:sz="4" w:space="0" w:color="auto"/>
              <w:left w:val="nil"/>
              <w:right w:val="nil"/>
            </w:tcBorders>
            <w:vAlign w:val="bottom"/>
          </w:tcPr>
          <w:p w14:paraId="395E742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highlight w:val="yellow"/>
                <w:lang w:eastAsia="ru-RU"/>
              </w:rPr>
            </w:pPr>
          </w:p>
        </w:tc>
        <w:tc>
          <w:tcPr>
            <w:tcW w:w="1799" w:type="dxa"/>
            <w:tcBorders>
              <w:top w:val="single" w:sz="4" w:space="0" w:color="auto"/>
              <w:left w:val="nil"/>
              <w:right w:val="nil"/>
            </w:tcBorders>
            <w:vAlign w:val="bottom"/>
          </w:tcPr>
          <w:p w14:paraId="17340517"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1800" w:type="dxa"/>
            <w:tcBorders>
              <w:top w:val="single" w:sz="4" w:space="0" w:color="auto"/>
              <w:left w:val="nil"/>
              <w:right w:val="nil"/>
            </w:tcBorders>
            <w:vAlign w:val="bottom"/>
          </w:tcPr>
          <w:p w14:paraId="41B40285"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r>
      <w:tr w:rsidR="002E7C40" w:rsidRPr="002E7C40" w14:paraId="48414B4B" w14:textId="77777777" w:rsidTr="002E7C40">
        <w:trPr>
          <w:cantSplit/>
        </w:trPr>
        <w:tc>
          <w:tcPr>
            <w:tcW w:w="4962" w:type="dxa"/>
            <w:tcBorders>
              <w:left w:val="nil"/>
              <w:bottom w:val="nil"/>
              <w:right w:val="nil"/>
            </w:tcBorders>
            <w:vAlign w:val="bottom"/>
          </w:tcPr>
          <w:p w14:paraId="4E30220E"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i/>
                <w:spacing w:val="-2"/>
                <w:sz w:val="18"/>
                <w:szCs w:val="20"/>
                <w:lang w:eastAsia="ru-RU"/>
              </w:rPr>
            </w:pPr>
            <w:r w:rsidRPr="002E7C40">
              <w:rPr>
                <w:rFonts w:ascii="Arial" w:eastAsia="Times New Roman" w:hAnsi="Arial" w:cs="Arial"/>
                <w:b/>
                <w:i/>
                <w:spacing w:val="-2"/>
                <w:sz w:val="18"/>
                <w:szCs w:val="20"/>
                <w:lang w:eastAsia="ru-RU"/>
              </w:rPr>
              <w:t>Assets</w:t>
            </w:r>
          </w:p>
        </w:tc>
        <w:tc>
          <w:tcPr>
            <w:tcW w:w="1799" w:type="dxa"/>
            <w:tcBorders>
              <w:left w:val="nil"/>
              <w:bottom w:val="nil"/>
              <w:right w:val="nil"/>
            </w:tcBorders>
            <w:vAlign w:val="bottom"/>
          </w:tcPr>
          <w:p w14:paraId="73B3C32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highlight w:val="yellow"/>
                <w:lang w:eastAsia="ru-RU"/>
              </w:rPr>
            </w:pPr>
          </w:p>
        </w:tc>
        <w:tc>
          <w:tcPr>
            <w:tcW w:w="1800" w:type="dxa"/>
            <w:tcBorders>
              <w:left w:val="nil"/>
              <w:bottom w:val="nil"/>
              <w:right w:val="nil"/>
            </w:tcBorders>
            <w:vAlign w:val="bottom"/>
          </w:tcPr>
          <w:p w14:paraId="5252A99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404D1271" w14:textId="77777777" w:rsidTr="002E7C40">
        <w:trPr>
          <w:cantSplit/>
        </w:trPr>
        <w:tc>
          <w:tcPr>
            <w:tcW w:w="4962" w:type="dxa"/>
            <w:tcBorders>
              <w:top w:val="nil"/>
              <w:left w:val="nil"/>
              <w:bottom w:val="nil"/>
              <w:right w:val="nil"/>
            </w:tcBorders>
            <w:vAlign w:val="bottom"/>
          </w:tcPr>
          <w:p w14:paraId="0BF247A1"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Property, plant and equipment</w:t>
            </w:r>
          </w:p>
        </w:tc>
        <w:tc>
          <w:tcPr>
            <w:tcW w:w="1799" w:type="dxa"/>
            <w:tcBorders>
              <w:top w:val="nil"/>
              <w:left w:val="nil"/>
              <w:bottom w:val="nil"/>
              <w:right w:val="nil"/>
            </w:tcBorders>
            <w:vAlign w:val="bottom"/>
          </w:tcPr>
          <w:p w14:paraId="25FC8D4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2</w:t>
            </w:r>
            <w:r w:rsidRPr="002E7C40">
              <w:rPr>
                <w:rFonts w:ascii="Arial" w:eastAsia="Times New Roman" w:hAnsi="Arial" w:cs="Arial"/>
                <w:spacing w:val="-2"/>
                <w:sz w:val="18"/>
                <w:szCs w:val="20"/>
                <w:lang w:val="en-US" w:eastAsia="ru-RU"/>
              </w:rPr>
              <w:t>92</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595</w:t>
            </w:r>
          </w:p>
        </w:tc>
        <w:tc>
          <w:tcPr>
            <w:tcW w:w="1800" w:type="dxa"/>
            <w:tcBorders>
              <w:top w:val="nil"/>
              <w:left w:val="nil"/>
              <w:bottom w:val="nil"/>
              <w:right w:val="nil"/>
            </w:tcBorders>
            <w:vAlign w:val="bottom"/>
          </w:tcPr>
          <w:p w14:paraId="64C3A2E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274,522</w:t>
            </w:r>
          </w:p>
        </w:tc>
      </w:tr>
      <w:tr w:rsidR="002E7C40" w:rsidRPr="002E7C40" w14:paraId="074C45AB" w14:textId="77777777" w:rsidTr="002E7C40">
        <w:trPr>
          <w:cantSplit/>
        </w:trPr>
        <w:tc>
          <w:tcPr>
            <w:tcW w:w="4962" w:type="dxa"/>
            <w:tcBorders>
              <w:top w:val="nil"/>
              <w:left w:val="nil"/>
              <w:bottom w:val="nil"/>
              <w:right w:val="nil"/>
            </w:tcBorders>
            <w:vAlign w:val="bottom"/>
          </w:tcPr>
          <w:p w14:paraId="67C95E6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en-US"/>
              </w:rPr>
            </w:pPr>
            <w:r w:rsidRPr="002E7C40">
              <w:rPr>
                <w:rFonts w:ascii="Arial" w:eastAsia="Times New Roman" w:hAnsi="Arial" w:cs="Arial"/>
                <w:spacing w:val="-2"/>
                <w:sz w:val="18"/>
                <w:szCs w:val="20"/>
                <w:lang w:eastAsia="ru-RU"/>
              </w:rPr>
              <w:t>Other non-current assets</w:t>
            </w:r>
          </w:p>
        </w:tc>
        <w:tc>
          <w:tcPr>
            <w:tcW w:w="1799" w:type="dxa"/>
            <w:tcBorders>
              <w:top w:val="nil"/>
              <w:left w:val="nil"/>
              <w:bottom w:val="nil"/>
              <w:right w:val="nil"/>
            </w:tcBorders>
            <w:vAlign w:val="bottom"/>
          </w:tcPr>
          <w:p w14:paraId="1790A90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w:t>
            </w:r>
            <w:r w:rsidRPr="002E7C40">
              <w:rPr>
                <w:rFonts w:ascii="Arial" w:eastAsia="Times New Roman" w:hAnsi="Arial" w:cs="Arial"/>
                <w:spacing w:val="-2"/>
                <w:sz w:val="18"/>
                <w:szCs w:val="20"/>
                <w:lang w:val="en-US" w:eastAsia="ru-RU"/>
              </w:rPr>
              <w:t>2</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504</w:t>
            </w:r>
          </w:p>
        </w:tc>
        <w:tc>
          <w:tcPr>
            <w:tcW w:w="1800" w:type="dxa"/>
            <w:tcBorders>
              <w:top w:val="nil"/>
              <w:left w:val="nil"/>
              <w:bottom w:val="nil"/>
              <w:right w:val="nil"/>
            </w:tcBorders>
            <w:vAlign w:val="bottom"/>
          </w:tcPr>
          <w:p w14:paraId="23B2394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8,546</w:t>
            </w:r>
          </w:p>
        </w:tc>
      </w:tr>
      <w:tr w:rsidR="002E7C40" w:rsidRPr="002E7C40" w14:paraId="75A82F37" w14:textId="77777777" w:rsidTr="002E7C40">
        <w:trPr>
          <w:cantSplit/>
        </w:trPr>
        <w:tc>
          <w:tcPr>
            <w:tcW w:w="4962" w:type="dxa"/>
            <w:tcBorders>
              <w:top w:val="nil"/>
              <w:left w:val="nil"/>
              <w:bottom w:val="nil"/>
              <w:right w:val="nil"/>
            </w:tcBorders>
            <w:vAlign w:val="bottom"/>
          </w:tcPr>
          <w:p w14:paraId="141961A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Deferred tax assets</w:t>
            </w:r>
          </w:p>
        </w:tc>
        <w:tc>
          <w:tcPr>
            <w:tcW w:w="1799" w:type="dxa"/>
            <w:tcBorders>
              <w:top w:val="nil"/>
              <w:left w:val="nil"/>
              <w:bottom w:val="nil"/>
              <w:right w:val="nil"/>
            </w:tcBorders>
            <w:vAlign w:val="bottom"/>
          </w:tcPr>
          <w:p w14:paraId="1B765C4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10</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237</w:t>
            </w:r>
          </w:p>
        </w:tc>
        <w:tc>
          <w:tcPr>
            <w:tcW w:w="1800" w:type="dxa"/>
            <w:tcBorders>
              <w:top w:val="nil"/>
              <w:left w:val="nil"/>
              <w:bottom w:val="nil"/>
              <w:right w:val="nil"/>
            </w:tcBorders>
            <w:vAlign w:val="bottom"/>
          </w:tcPr>
          <w:p w14:paraId="26BE82A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7,903</w:t>
            </w:r>
          </w:p>
        </w:tc>
      </w:tr>
      <w:tr w:rsidR="002E7C40" w:rsidRPr="002E7C40" w14:paraId="7562750B" w14:textId="77777777" w:rsidTr="002E7C40">
        <w:trPr>
          <w:cantSplit/>
        </w:trPr>
        <w:tc>
          <w:tcPr>
            <w:tcW w:w="4962" w:type="dxa"/>
            <w:tcBorders>
              <w:top w:val="nil"/>
              <w:left w:val="nil"/>
              <w:bottom w:val="nil"/>
              <w:right w:val="nil"/>
            </w:tcBorders>
            <w:vAlign w:val="bottom"/>
          </w:tcPr>
          <w:p w14:paraId="5028414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bookmarkStart w:id="1" w:name="_Hlk142341144"/>
            <w:bookmarkStart w:id="2" w:name="_Hlk109929848"/>
            <w:r w:rsidRPr="002E7C40">
              <w:rPr>
                <w:rFonts w:ascii="Arial" w:eastAsia="Times New Roman" w:hAnsi="Arial" w:cs="Arial"/>
                <w:spacing w:val="-2"/>
                <w:sz w:val="18"/>
                <w:szCs w:val="20"/>
                <w:lang w:val="en-US" w:eastAsia="en-US"/>
              </w:rPr>
              <w:t xml:space="preserve">Advances issued for property, plant and equipment </w:t>
            </w:r>
            <w:bookmarkEnd w:id="1"/>
          </w:p>
        </w:tc>
        <w:tc>
          <w:tcPr>
            <w:tcW w:w="1799" w:type="dxa"/>
            <w:tcBorders>
              <w:top w:val="nil"/>
              <w:left w:val="nil"/>
              <w:bottom w:val="nil"/>
              <w:right w:val="nil"/>
            </w:tcBorders>
            <w:vAlign w:val="bottom"/>
          </w:tcPr>
          <w:p w14:paraId="34302CD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9,3</w:t>
            </w:r>
            <w:r w:rsidRPr="002E7C40">
              <w:rPr>
                <w:rFonts w:ascii="Arial" w:eastAsia="Times New Roman" w:hAnsi="Arial" w:cs="Arial"/>
                <w:spacing w:val="-2"/>
                <w:sz w:val="18"/>
                <w:szCs w:val="20"/>
                <w:lang w:val="en-US" w:eastAsia="ru-RU"/>
              </w:rPr>
              <w:t>70</w:t>
            </w:r>
          </w:p>
        </w:tc>
        <w:tc>
          <w:tcPr>
            <w:tcW w:w="1800" w:type="dxa"/>
            <w:tcBorders>
              <w:top w:val="nil"/>
              <w:left w:val="nil"/>
              <w:bottom w:val="nil"/>
              <w:right w:val="nil"/>
            </w:tcBorders>
            <w:vAlign w:val="bottom"/>
          </w:tcPr>
          <w:p w14:paraId="3734886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9,270</w:t>
            </w:r>
          </w:p>
        </w:tc>
      </w:tr>
      <w:tr w:rsidR="002E7C40" w:rsidRPr="002E7C40" w14:paraId="02EAC1D8" w14:textId="77777777" w:rsidTr="002E7C40">
        <w:trPr>
          <w:cantSplit/>
        </w:trPr>
        <w:tc>
          <w:tcPr>
            <w:tcW w:w="4962" w:type="dxa"/>
            <w:tcBorders>
              <w:top w:val="nil"/>
              <w:left w:val="nil"/>
              <w:bottom w:val="nil"/>
              <w:right w:val="nil"/>
            </w:tcBorders>
            <w:vAlign w:val="bottom"/>
          </w:tcPr>
          <w:p w14:paraId="5D3110B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en-US"/>
              </w:rPr>
            </w:pPr>
            <w:r w:rsidRPr="002E7C40">
              <w:rPr>
                <w:rFonts w:ascii="Arial" w:eastAsia="Times New Roman" w:hAnsi="Arial" w:cs="Arial"/>
                <w:spacing w:val="-2"/>
                <w:sz w:val="18"/>
                <w:szCs w:val="20"/>
                <w:lang w:val="en-US" w:eastAsia="ru-RU"/>
              </w:rPr>
              <w:t>Non-current</w:t>
            </w:r>
            <w:r w:rsidRPr="002E7C40">
              <w:rPr>
                <w:rFonts w:ascii="Arial" w:eastAsia="Times New Roman" w:hAnsi="Arial" w:cs="Arial"/>
                <w:spacing w:val="-2"/>
                <w:sz w:val="18"/>
                <w:szCs w:val="20"/>
                <w:lang w:eastAsia="ru-RU"/>
              </w:rPr>
              <w:t xml:space="preserve"> spare parts</w:t>
            </w:r>
          </w:p>
        </w:tc>
        <w:tc>
          <w:tcPr>
            <w:tcW w:w="1799" w:type="dxa"/>
            <w:tcBorders>
              <w:top w:val="nil"/>
              <w:left w:val="nil"/>
              <w:bottom w:val="nil"/>
              <w:right w:val="nil"/>
            </w:tcBorders>
            <w:vAlign w:val="bottom"/>
          </w:tcPr>
          <w:p w14:paraId="4EE8C39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7,</w:t>
            </w:r>
            <w:r w:rsidRPr="002E7C40">
              <w:rPr>
                <w:rFonts w:ascii="Arial" w:eastAsia="Times New Roman" w:hAnsi="Arial" w:cs="Arial"/>
                <w:spacing w:val="-2"/>
                <w:sz w:val="18"/>
                <w:szCs w:val="20"/>
                <w:lang w:val="en-US" w:eastAsia="ru-RU"/>
              </w:rPr>
              <w:t>873</w:t>
            </w:r>
          </w:p>
        </w:tc>
        <w:tc>
          <w:tcPr>
            <w:tcW w:w="1800" w:type="dxa"/>
            <w:tcBorders>
              <w:top w:val="nil"/>
              <w:left w:val="nil"/>
              <w:bottom w:val="nil"/>
              <w:right w:val="nil"/>
            </w:tcBorders>
            <w:vAlign w:val="bottom"/>
          </w:tcPr>
          <w:p w14:paraId="52A444A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5,125</w:t>
            </w:r>
          </w:p>
        </w:tc>
      </w:tr>
      <w:tr w:rsidR="002E7C40" w:rsidRPr="002E7C40" w14:paraId="192B13AC" w14:textId="77777777" w:rsidTr="002E7C40">
        <w:trPr>
          <w:cantSplit/>
        </w:trPr>
        <w:tc>
          <w:tcPr>
            <w:tcW w:w="4962" w:type="dxa"/>
            <w:tcBorders>
              <w:top w:val="nil"/>
              <w:left w:val="nil"/>
              <w:bottom w:val="nil"/>
              <w:right w:val="nil"/>
            </w:tcBorders>
            <w:vAlign w:val="bottom"/>
          </w:tcPr>
          <w:p w14:paraId="031B22A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Right-of-use assets</w:t>
            </w:r>
          </w:p>
        </w:tc>
        <w:tc>
          <w:tcPr>
            <w:tcW w:w="1799" w:type="dxa"/>
            <w:tcBorders>
              <w:top w:val="nil"/>
              <w:left w:val="nil"/>
              <w:bottom w:val="nil"/>
              <w:right w:val="nil"/>
            </w:tcBorders>
            <w:vAlign w:val="bottom"/>
          </w:tcPr>
          <w:p w14:paraId="734753C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7</w:t>
            </w:r>
            <w:r w:rsidRPr="002E7C40">
              <w:rPr>
                <w:rFonts w:ascii="Arial" w:eastAsia="Times New Roman" w:hAnsi="Arial" w:cs="Arial"/>
                <w:spacing w:val="-2"/>
                <w:sz w:val="18"/>
                <w:szCs w:val="20"/>
                <w:lang w:val="ru-RU" w:eastAsia="ru-RU"/>
              </w:rPr>
              <w:t>,12</w:t>
            </w:r>
            <w:r w:rsidRPr="002E7C40">
              <w:rPr>
                <w:rFonts w:ascii="Arial" w:eastAsia="Times New Roman" w:hAnsi="Arial" w:cs="Arial"/>
                <w:spacing w:val="-2"/>
                <w:sz w:val="18"/>
                <w:szCs w:val="20"/>
                <w:lang w:val="en-US" w:eastAsia="ru-RU"/>
              </w:rPr>
              <w:t>1</w:t>
            </w:r>
          </w:p>
        </w:tc>
        <w:tc>
          <w:tcPr>
            <w:tcW w:w="1800" w:type="dxa"/>
            <w:tcBorders>
              <w:top w:val="nil"/>
              <w:left w:val="nil"/>
              <w:bottom w:val="nil"/>
              <w:right w:val="nil"/>
            </w:tcBorders>
            <w:vAlign w:val="bottom"/>
          </w:tcPr>
          <w:p w14:paraId="12671F5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4,277</w:t>
            </w:r>
          </w:p>
        </w:tc>
      </w:tr>
      <w:bookmarkEnd w:id="2"/>
      <w:tr w:rsidR="002E7C40" w:rsidRPr="002E7C40" w14:paraId="11C8B657" w14:textId="77777777" w:rsidTr="002E7C40">
        <w:trPr>
          <w:cantSplit/>
        </w:trPr>
        <w:tc>
          <w:tcPr>
            <w:tcW w:w="4962" w:type="dxa"/>
            <w:tcBorders>
              <w:top w:val="nil"/>
              <w:left w:val="nil"/>
              <w:bottom w:val="nil"/>
              <w:right w:val="nil"/>
            </w:tcBorders>
            <w:vAlign w:val="bottom"/>
          </w:tcPr>
          <w:p w14:paraId="249E5BA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Catalysts</w:t>
            </w:r>
          </w:p>
        </w:tc>
        <w:tc>
          <w:tcPr>
            <w:tcW w:w="1799" w:type="dxa"/>
            <w:tcBorders>
              <w:top w:val="nil"/>
              <w:left w:val="nil"/>
              <w:bottom w:val="nil"/>
              <w:right w:val="nil"/>
            </w:tcBorders>
            <w:vAlign w:val="bottom"/>
          </w:tcPr>
          <w:p w14:paraId="13C6EDC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2,</w:t>
            </w:r>
            <w:r w:rsidRPr="002E7C40">
              <w:rPr>
                <w:rFonts w:ascii="Arial" w:eastAsia="Times New Roman" w:hAnsi="Arial" w:cs="Arial"/>
                <w:spacing w:val="-2"/>
                <w:sz w:val="18"/>
                <w:szCs w:val="20"/>
                <w:lang w:val="en-US" w:eastAsia="ru-RU"/>
              </w:rPr>
              <w:t>681</w:t>
            </w:r>
          </w:p>
        </w:tc>
        <w:tc>
          <w:tcPr>
            <w:tcW w:w="1800" w:type="dxa"/>
            <w:tcBorders>
              <w:top w:val="nil"/>
              <w:left w:val="nil"/>
              <w:bottom w:val="nil"/>
              <w:right w:val="nil"/>
            </w:tcBorders>
            <w:vAlign w:val="bottom"/>
          </w:tcPr>
          <w:p w14:paraId="519D120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1,965</w:t>
            </w:r>
          </w:p>
        </w:tc>
      </w:tr>
      <w:tr w:rsidR="002E7C40" w:rsidRPr="002E7C40" w14:paraId="5022070A" w14:textId="77777777" w:rsidTr="002E7C40">
        <w:trPr>
          <w:cantSplit/>
        </w:trPr>
        <w:tc>
          <w:tcPr>
            <w:tcW w:w="4962" w:type="dxa"/>
            <w:tcBorders>
              <w:top w:val="nil"/>
              <w:left w:val="nil"/>
              <w:bottom w:val="nil"/>
              <w:right w:val="nil"/>
            </w:tcBorders>
            <w:vAlign w:val="bottom"/>
          </w:tcPr>
          <w:p w14:paraId="5C07D26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Intangible assets</w:t>
            </w:r>
          </w:p>
        </w:tc>
        <w:tc>
          <w:tcPr>
            <w:tcW w:w="1799" w:type="dxa"/>
            <w:tcBorders>
              <w:top w:val="nil"/>
              <w:left w:val="nil"/>
              <w:bottom w:val="nil"/>
              <w:right w:val="nil"/>
            </w:tcBorders>
            <w:vAlign w:val="bottom"/>
          </w:tcPr>
          <w:p w14:paraId="4A81160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2,</w:t>
            </w:r>
            <w:r w:rsidRPr="002E7C40">
              <w:rPr>
                <w:rFonts w:ascii="Arial" w:eastAsia="Times New Roman" w:hAnsi="Arial" w:cs="Arial"/>
                <w:spacing w:val="-2"/>
                <w:sz w:val="18"/>
                <w:szCs w:val="20"/>
                <w:lang w:val="en-US" w:eastAsia="ru-RU"/>
              </w:rPr>
              <w:t>299</w:t>
            </w:r>
          </w:p>
        </w:tc>
        <w:tc>
          <w:tcPr>
            <w:tcW w:w="1800" w:type="dxa"/>
            <w:tcBorders>
              <w:top w:val="nil"/>
              <w:left w:val="nil"/>
              <w:bottom w:val="nil"/>
              <w:right w:val="nil"/>
            </w:tcBorders>
            <w:vAlign w:val="bottom"/>
          </w:tcPr>
          <w:p w14:paraId="5537937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2,099</w:t>
            </w:r>
          </w:p>
        </w:tc>
      </w:tr>
      <w:tr w:rsidR="002E7C40" w:rsidRPr="002E7C40" w14:paraId="6F171EC8" w14:textId="77777777" w:rsidTr="002E7C40">
        <w:trPr>
          <w:cantSplit/>
        </w:trPr>
        <w:tc>
          <w:tcPr>
            <w:tcW w:w="4962" w:type="dxa"/>
            <w:tcBorders>
              <w:top w:val="nil"/>
              <w:left w:val="nil"/>
              <w:bottom w:val="nil"/>
              <w:right w:val="nil"/>
            </w:tcBorders>
            <w:vAlign w:val="bottom"/>
          </w:tcPr>
          <w:p w14:paraId="4474E24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Investments in associates</w:t>
            </w:r>
          </w:p>
        </w:tc>
        <w:tc>
          <w:tcPr>
            <w:tcW w:w="1799" w:type="dxa"/>
            <w:tcBorders>
              <w:top w:val="nil"/>
              <w:left w:val="nil"/>
              <w:bottom w:val="nil"/>
              <w:right w:val="nil"/>
            </w:tcBorders>
            <w:vAlign w:val="bottom"/>
          </w:tcPr>
          <w:p w14:paraId="3796460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64</w:t>
            </w:r>
            <w:r w:rsidRPr="002E7C40">
              <w:rPr>
                <w:rFonts w:ascii="Arial" w:eastAsia="Times New Roman" w:hAnsi="Arial" w:cs="Arial"/>
                <w:spacing w:val="-2"/>
                <w:sz w:val="18"/>
                <w:szCs w:val="20"/>
                <w:lang w:val="en-US" w:eastAsia="ru-RU"/>
              </w:rPr>
              <w:t>8</w:t>
            </w:r>
          </w:p>
        </w:tc>
        <w:tc>
          <w:tcPr>
            <w:tcW w:w="1800" w:type="dxa"/>
            <w:tcBorders>
              <w:top w:val="nil"/>
              <w:left w:val="nil"/>
              <w:bottom w:val="nil"/>
              <w:right w:val="nil"/>
            </w:tcBorders>
            <w:vAlign w:val="bottom"/>
          </w:tcPr>
          <w:p w14:paraId="1B0A241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592</w:t>
            </w:r>
          </w:p>
        </w:tc>
      </w:tr>
      <w:tr w:rsidR="002E7C40" w:rsidRPr="002E7C40" w14:paraId="1332F92E" w14:textId="77777777" w:rsidTr="002E7C40">
        <w:trPr>
          <w:cantSplit/>
        </w:trPr>
        <w:tc>
          <w:tcPr>
            <w:tcW w:w="4962" w:type="dxa"/>
            <w:tcBorders>
              <w:top w:val="nil"/>
              <w:left w:val="nil"/>
              <w:bottom w:val="single" w:sz="4" w:space="0" w:color="auto"/>
              <w:right w:val="nil"/>
            </w:tcBorders>
            <w:vAlign w:val="bottom"/>
          </w:tcPr>
          <w:p w14:paraId="6504C0B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nil"/>
              <w:left w:val="nil"/>
              <w:bottom w:val="single" w:sz="4" w:space="0" w:color="auto"/>
              <w:right w:val="nil"/>
            </w:tcBorders>
            <w:vAlign w:val="bottom"/>
          </w:tcPr>
          <w:p w14:paraId="26C48B6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nil"/>
              <w:left w:val="nil"/>
              <w:bottom w:val="single" w:sz="4" w:space="0" w:color="auto"/>
              <w:right w:val="nil"/>
            </w:tcBorders>
            <w:vAlign w:val="bottom"/>
          </w:tcPr>
          <w:p w14:paraId="5D25EE4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361DD10F" w14:textId="77777777" w:rsidTr="002E7C40">
        <w:trPr>
          <w:cantSplit/>
        </w:trPr>
        <w:tc>
          <w:tcPr>
            <w:tcW w:w="4962" w:type="dxa"/>
            <w:tcBorders>
              <w:top w:val="single" w:sz="4" w:space="0" w:color="auto"/>
              <w:left w:val="nil"/>
              <w:right w:val="nil"/>
            </w:tcBorders>
            <w:vAlign w:val="bottom"/>
          </w:tcPr>
          <w:p w14:paraId="258E15F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single" w:sz="4" w:space="0" w:color="auto"/>
              <w:left w:val="nil"/>
              <w:right w:val="nil"/>
            </w:tcBorders>
            <w:vAlign w:val="bottom"/>
          </w:tcPr>
          <w:p w14:paraId="5F17BCC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single" w:sz="4" w:space="0" w:color="auto"/>
              <w:left w:val="nil"/>
              <w:right w:val="nil"/>
            </w:tcBorders>
            <w:vAlign w:val="bottom"/>
          </w:tcPr>
          <w:p w14:paraId="2CB1A54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64D3B8BC" w14:textId="77777777" w:rsidTr="002E7C40">
        <w:trPr>
          <w:cantSplit/>
        </w:trPr>
        <w:tc>
          <w:tcPr>
            <w:tcW w:w="4962" w:type="dxa"/>
            <w:tcBorders>
              <w:left w:val="nil"/>
              <w:right w:val="nil"/>
            </w:tcBorders>
            <w:vAlign w:val="bottom"/>
          </w:tcPr>
          <w:p w14:paraId="30E9FE7F"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Non-current assets</w:t>
            </w:r>
          </w:p>
        </w:tc>
        <w:tc>
          <w:tcPr>
            <w:tcW w:w="1799" w:type="dxa"/>
            <w:tcBorders>
              <w:left w:val="nil"/>
              <w:right w:val="nil"/>
            </w:tcBorders>
            <w:vAlign w:val="bottom"/>
          </w:tcPr>
          <w:p w14:paraId="5AD31A5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3</w:t>
            </w:r>
            <w:r w:rsidRPr="002E7C40">
              <w:rPr>
                <w:rFonts w:ascii="Arial" w:eastAsia="Times New Roman" w:hAnsi="Arial" w:cs="Arial"/>
                <w:b/>
                <w:spacing w:val="-2"/>
                <w:sz w:val="18"/>
                <w:szCs w:val="20"/>
                <w:lang w:val="en-US" w:eastAsia="ru-RU"/>
              </w:rPr>
              <w:t>45</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328</w:t>
            </w:r>
          </w:p>
        </w:tc>
        <w:tc>
          <w:tcPr>
            <w:tcW w:w="1800" w:type="dxa"/>
            <w:tcBorders>
              <w:left w:val="nil"/>
              <w:right w:val="nil"/>
            </w:tcBorders>
            <w:vAlign w:val="bottom"/>
          </w:tcPr>
          <w:p w14:paraId="6FA695F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314,299</w:t>
            </w:r>
          </w:p>
        </w:tc>
      </w:tr>
      <w:tr w:rsidR="002E7C40" w:rsidRPr="002E7C40" w14:paraId="70231CBB" w14:textId="77777777" w:rsidTr="002E7C40">
        <w:trPr>
          <w:cantSplit/>
        </w:trPr>
        <w:tc>
          <w:tcPr>
            <w:tcW w:w="4962" w:type="dxa"/>
            <w:tcBorders>
              <w:left w:val="nil"/>
              <w:bottom w:val="single" w:sz="12" w:space="0" w:color="auto"/>
              <w:right w:val="nil"/>
            </w:tcBorders>
            <w:vAlign w:val="bottom"/>
          </w:tcPr>
          <w:p w14:paraId="2962F15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left w:val="nil"/>
              <w:bottom w:val="single" w:sz="12" w:space="0" w:color="auto"/>
              <w:right w:val="nil"/>
            </w:tcBorders>
            <w:vAlign w:val="bottom"/>
          </w:tcPr>
          <w:p w14:paraId="03FBB15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800" w:type="dxa"/>
            <w:tcBorders>
              <w:left w:val="nil"/>
              <w:bottom w:val="single" w:sz="12" w:space="0" w:color="auto"/>
              <w:right w:val="nil"/>
            </w:tcBorders>
            <w:vAlign w:val="bottom"/>
          </w:tcPr>
          <w:p w14:paraId="69D01E3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6A756DB1" w14:textId="77777777" w:rsidTr="002E7C40">
        <w:trPr>
          <w:cantSplit/>
        </w:trPr>
        <w:tc>
          <w:tcPr>
            <w:tcW w:w="4962" w:type="dxa"/>
            <w:tcBorders>
              <w:top w:val="single" w:sz="12" w:space="0" w:color="auto"/>
              <w:left w:val="nil"/>
              <w:right w:val="nil"/>
            </w:tcBorders>
            <w:vAlign w:val="bottom"/>
          </w:tcPr>
          <w:p w14:paraId="0E12377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i/>
                <w:iCs/>
                <w:spacing w:val="-2"/>
                <w:sz w:val="10"/>
                <w:szCs w:val="10"/>
                <w:lang w:eastAsia="ru-RU"/>
              </w:rPr>
            </w:pPr>
          </w:p>
        </w:tc>
        <w:tc>
          <w:tcPr>
            <w:tcW w:w="1799" w:type="dxa"/>
            <w:tcBorders>
              <w:top w:val="single" w:sz="12" w:space="0" w:color="auto"/>
              <w:left w:val="nil"/>
              <w:right w:val="nil"/>
            </w:tcBorders>
            <w:vAlign w:val="bottom"/>
          </w:tcPr>
          <w:p w14:paraId="7DCBDF5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800" w:type="dxa"/>
            <w:tcBorders>
              <w:top w:val="single" w:sz="12" w:space="0" w:color="auto"/>
              <w:left w:val="nil"/>
              <w:right w:val="nil"/>
            </w:tcBorders>
            <w:vAlign w:val="bottom"/>
          </w:tcPr>
          <w:p w14:paraId="1143A09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48C5DC55" w14:textId="77777777" w:rsidTr="002E7C40">
        <w:trPr>
          <w:cantSplit/>
        </w:trPr>
        <w:tc>
          <w:tcPr>
            <w:tcW w:w="4962" w:type="dxa"/>
            <w:tcBorders>
              <w:top w:val="nil"/>
              <w:left w:val="nil"/>
              <w:bottom w:val="nil"/>
              <w:right w:val="nil"/>
            </w:tcBorders>
            <w:vAlign w:val="bottom"/>
          </w:tcPr>
          <w:p w14:paraId="35FE042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Trade and other receivables</w:t>
            </w:r>
          </w:p>
        </w:tc>
        <w:tc>
          <w:tcPr>
            <w:tcW w:w="1799" w:type="dxa"/>
            <w:tcBorders>
              <w:top w:val="nil"/>
              <w:left w:val="nil"/>
              <w:bottom w:val="nil"/>
              <w:right w:val="nil"/>
            </w:tcBorders>
            <w:vAlign w:val="bottom"/>
          </w:tcPr>
          <w:p w14:paraId="23778C1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5</w:t>
            </w:r>
            <w:r w:rsidRPr="002E7C40">
              <w:rPr>
                <w:rFonts w:ascii="Arial" w:eastAsia="Times New Roman" w:hAnsi="Arial" w:cs="Arial"/>
                <w:spacing w:val="-2"/>
                <w:sz w:val="18"/>
                <w:szCs w:val="20"/>
                <w:lang w:val="en-US" w:eastAsia="ru-RU"/>
              </w:rPr>
              <w:t>7</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440</w:t>
            </w:r>
          </w:p>
        </w:tc>
        <w:tc>
          <w:tcPr>
            <w:tcW w:w="1800" w:type="dxa"/>
            <w:tcBorders>
              <w:top w:val="nil"/>
              <w:left w:val="nil"/>
              <w:bottom w:val="nil"/>
              <w:right w:val="nil"/>
            </w:tcBorders>
            <w:vAlign w:val="bottom"/>
          </w:tcPr>
          <w:p w14:paraId="3C45471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75,741</w:t>
            </w:r>
          </w:p>
        </w:tc>
      </w:tr>
      <w:tr w:rsidR="002E7C40" w:rsidRPr="002E7C40" w14:paraId="01D0C525" w14:textId="77777777" w:rsidTr="002E7C40">
        <w:trPr>
          <w:cantSplit/>
        </w:trPr>
        <w:tc>
          <w:tcPr>
            <w:tcW w:w="4962" w:type="dxa"/>
            <w:tcBorders>
              <w:top w:val="nil"/>
              <w:left w:val="nil"/>
              <w:bottom w:val="nil"/>
              <w:right w:val="nil"/>
            </w:tcBorders>
            <w:vAlign w:val="bottom"/>
          </w:tcPr>
          <w:p w14:paraId="69A2769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Inventories</w:t>
            </w:r>
          </w:p>
        </w:tc>
        <w:tc>
          <w:tcPr>
            <w:tcW w:w="1799" w:type="dxa"/>
            <w:tcBorders>
              <w:top w:val="nil"/>
              <w:left w:val="nil"/>
              <w:bottom w:val="nil"/>
              <w:right w:val="nil"/>
            </w:tcBorders>
            <w:vAlign w:val="bottom"/>
          </w:tcPr>
          <w:p w14:paraId="17A8050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4</w:t>
            </w:r>
            <w:r w:rsidRPr="002E7C40">
              <w:rPr>
                <w:rFonts w:ascii="Arial" w:eastAsia="Times New Roman" w:hAnsi="Arial" w:cs="Arial"/>
                <w:spacing w:val="-2"/>
                <w:sz w:val="18"/>
                <w:szCs w:val="20"/>
                <w:lang w:val="en-US" w:eastAsia="ru-RU"/>
              </w:rPr>
              <w:t>4</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084</w:t>
            </w:r>
          </w:p>
        </w:tc>
        <w:tc>
          <w:tcPr>
            <w:tcW w:w="1800" w:type="dxa"/>
            <w:tcBorders>
              <w:top w:val="nil"/>
              <w:left w:val="nil"/>
              <w:bottom w:val="nil"/>
              <w:right w:val="nil"/>
            </w:tcBorders>
            <w:vAlign w:val="bottom"/>
          </w:tcPr>
          <w:p w14:paraId="23D6C85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39,349</w:t>
            </w:r>
          </w:p>
        </w:tc>
      </w:tr>
      <w:tr w:rsidR="002E7C40" w:rsidRPr="002E7C40" w14:paraId="6D56FFEF" w14:textId="77777777" w:rsidTr="002E7C40">
        <w:trPr>
          <w:cantSplit/>
        </w:trPr>
        <w:tc>
          <w:tcPr>
            <w:tcW w:w="4962" w:type="dxa"/>
            <w:tcBorders>
              <w:top w:val="nil"/>
              <w:left w:val="nil"/>
              <w:bottom w:val="nil"/>
              <w:right w:val="nil"/>
            </w:tcBorders>
            <w:vAlign w:val="bottom"/>
          </w:tcPr>
          <w:p w14:paraId="4127C281"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Cash and cash equivalents</w:t>
            </w:r>
          </w:p>
        </w:tc>
        <w:tc>
          <w:tcPr>
            <w:tcW w:w="1799" w:type="dxa"/>
            <w:tcBorders>
              <w:top w:val="nil"/>
              <w:left w:val="nil"/>
              <w:bottom w:val="nil"/>
              <w:right w:val="nil"/>
            </w:tcBorders>
            <w:vAlign w:val="bottom"/>
          </w:tcPr>
          <w:p w14:paraId="7EB057F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3</w:t>
            </w:r>
            <w:r w:rsidRPr="002E7C40">
              <w:rPr>
                <w:rFonts w:ascii="Arial" w:eastAsia="Times New Roman" w:hAnsi="Arial" w:cs="Arial"/>
                <w:spacing w:val="-2"/>
                <w:sz w:val="18"/>
                <w:szCs w:val="20"/>
                <w:lang w:val="en-US" w:eastAsia="ru-RU"/>
              </w:rPr>
              <w:t>6</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424</w:t>
            </w:r>
          </w:p>
        </w:tc>
        <w:tc>
          <w:tcPr>
            <w:tcW w:w="1800" w:type="dxa"/>
            <w:tcBorders>
              <w:top w:val="nil"/>
              <w:left w:val="nil"/>
              <w:bottom w:val="nil"/>
              <w:right w:val="nil"/>
            </w:tcBorders>
            <w:vAlign w:val="bottom"/>
          </w:tcPr>
          <w:p w14:paraId="4E2B473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13,356</w:t>
            </w:r>
          </w:p>
        </w:tc>
      </w:tr>
      <w:tr w:rsidR="002E7C40" w:rsidRPr="002E7C40" w14:paraId="4C10691F" w14:textId="77777777" w:rsidTr="002E7C40">
        <w:trPr>
          <w:cantSplit/>
        </w:trPr>
        <w:tc>
          <w:tcPr>
            <w:tcW w:w="4962" w:type="dxa"/>
            <w:tcBorders>
              <w:top w:val="nil"/>
              <w:left w:val="nil"/>
              <w:bottom w:val="nil"/>
              <w:right w:val="nil"/>
            </w:tcBorders>
            <w:vAlign w:val="bottom"/>
          </w:tcPr>
          <w:p w14:paraId="3DA56B8F"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VAT and other taxes receivable</w:t>
            </w:r>
          </w:p>
        </w:tc>
        <w:tc>
          <w:tcPr>
            <w:tcW w:w="1799" w:type="dxa"/>
            <w:tcBorders>
              <w:top w:val="nil"/>
              <w:left w:val="nil"/>
              <w:bottom w:val="nil"/>
              <w:right w:val="nil"/>
            </w:tcBorders>
            <w:vAlign w:val="bottom"/>
          </w:tcPr>
          <w:p w14:paraId="6A8FD37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w:t>
            </w:r>
            <w:r w:rsidRPr="002E7C40">
              <w:rPr>
                <w:rFonts w:ascii="Arial" w:eastAsia="Times New Roman" w:hAnsi="Arial" w:cs="Arial"/>
                <w:spacing w:val="-2"/>
                <w:sz w:val="18"/>
                <w:szCs w:val="20"/>
                <w:lang w:val="en-US" w:eastAsia="ru-RU"/>
              </w:rPr>
              <w:t>0</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272</w:t>
            </w:r>
          </w:p>
        </w:tc>
        <w:tc>
          <w:tcPr>
            <w:tcW w:w="1800" w:type="dxa"/>
            <w:tcBorders>
              <w:top w:val="nil"/>
              <w:left w:val="nil"/>
              <w:bottom w:val="nil"/>
              <w:right w:val="nil"/>
            </w:tcBorders>
            <w:vAlign w:val="bottom"/>
          </w:tcPr>
          <w:p w14:paraId="2AB0649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12,565</w:t>
            </w:r>
          </w:p>
        </w:tc>
      </w:tr>
      <w:tr w:rsidR="002E7C40" w:rsidRPr="002E7C40" w14:paraId="720DADF7" w14:textId="77777777" w:rsidTr="002E7C40">
        <w:trPr>
          <w:cantSplit/>
        </w:trPr>
        <w:tc>
          <w:tcPr>
            <w:tcW w:w="4962" w:type="dxa"/>
            <w:tcBorders>
              <w:top w:val="nil"/>
              <w:left w:val="nil"/>
              <w:bottom w:val="nil"/>
              <w:right w:val="nil"/>
            </w:tcBorders>
            <w:vAlign w:val="bottom"/>
          </w:tcPr>
          <w:p w14:paraId="2C9DA9C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Income tax receivable</w:t>
            </w:r>
          </w:p>
        </w:tc>
        <w:tc>
          <w:tcPr>
            <w:tcW w:w="1799" w:type="dxa"/>
            <w:tcBorders>
              <w:top w:val="nil"/>
              <w:left w:val="nil"/>
              <w:bottom w:val="nil"/>
              <w:right w:val="nil"/>
            </w:tcBorders>
            <w:vAlign w:val="bottom"/>
          </w:tcPr>
          <w:p w14:paraId="6E0F06F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258</w:t>
            </w:r>
          </w:p>
        </w:tc>
        <w:tc>
          <w:tcPr>
            <w:tcW w:w="1800" w:type="dxa"/>
            <w:tcBorders>
              <w:top w:val="nil"/>
              <w:left w:val="nil"/>
              <w:bottom w:val="nil"/>
              <w:right w:val="nil"/>
            </w:tcBorders>
            <w:vAlign w:val="bottom"/>
          </w:tcPr>
          <w:p w14:paraId="518B8F8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93</w:t>
            </w:r>
          </w:p>
        </w:tc>
      </w:tr>
      <w:tr w:rsidR="002E7C40" w:rsidRPr="002E7C40" w14:paraId="26FE39E9" w14:textId="77777777" w:rsidTr="002E7C40">
        <w:trPr>
          <w:cantSplit/>
        </w:trPr>
        <w:tc>
          <w:tcPr>
            <w:tcW w:w="4962" w:type="dxa"/>
            <w:tcBorders>
              <w:top w:val="nil"/>
              <w:left w:val="nil"/>
              <w:bottom w:val="nil"/>
              <w:right w:val="nil"/>
            </w:tcBorders>
            <w:vAlign w:val="bottom"/>
          </w:tcPr>
          <w:p w14:paraId="11D7D5F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eastAsia="ru-RU"/>
              </w:rPr>
              <w:t xml:space="preserve">Other </w:t>
            </w:r>
            <w:r w:rsidRPr="002E7C40">
              <w:rPr>
                <w:rFonts w:ascii="Arial" w:eastAsia="Times New Roman" w:hAnsi="Arial" w:cs="Arial"/>
                <w:spacing w:val="-2"/>
                <w:sz w:val="18"/>
                <w:szCs w:val="20"/>
                <w:lang w:val="en-US" w:eastAsia="ru-RU"/>
              </w:rPr>
              <w:t>financial assets</w:t>
            </w:r>
          </w:p>
        </w:tc>
        <w:tc>
          <w:tcPr>
            <w:tcW w:w="1799" w:type="dxa"/>
            <w:tcBorders>
              <w:top w:val="nil"/>
              <w:left w:val="nil"/>
              <w:bottom w:val="nil"/>
              <w:right w:val="nil"/>
            </w:tcBorders>
            <w:vAlign w:val="bottom"/>
          </w:tcPr>
          <w:p w14:paraId="282FBF7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352</w:t>
            </w:r>
          </w:p>
        </w:tc>
        <w:tc>
          <w:tcPr>
            <w:tcW w:w="1800" w:type="dxa"/>
            <w:tcBorders>
              <w:top w:val="nil"/>
              <w:left w:val="nil"/>
              <w:bottom w:val="nil"/>
              <w:right w:val="nil"/>
            </w:tcBorders>
            <w:vAlign w:val="bottom"/>
          </w:tcPr>
          <w:p w14:paraId="4ACFF53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210</w:t>
            </w:r>
          </w:p>
        </w:tc>
      </w:tr>
      <w:tr w:rsidR="002E7C40" w:rsidRPr="002E7C40" w14:paraId="258B190E" w14:textId="77777777" w:rsidTr="002E7C40">
        <w:trPr>
          <w:cantSplit/>
        </w:trPr>
        <w:tc>
          <w:tcPr>
            <w:tcW w:w="4962" w:type="dxa"/>
            <w:tcBorders>
              <w:top w:val="nil"/>
              <w:left w:val="nil"/>
              <w:bottom w:val="single" w:sz="4" w:space="0" w:color="auto"/>
              <w:right w:val="nil"/>
            </w:tcBorders>
            <w:vAlign w:val="bottom"/>
          </w:tcPr>
          <w:p w14:paraId="020062B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nil"/>
              <w:left w:val="nil"/>
              <w:bottom w:val="single" w:sz="4" w:space="0" w:color="auto"/>
              <w:right w:val="nil"/>
            </w:tcBorders>
            <w:vAlign w:val="bottom"/>
          </w:tcPr>
          <w:p w14:paraId="5DCABC7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800" w:type="dxa"/>
            <w:tcBorders>
              <w:top w:val="nil"/>
              <w:left w:val="nil"/>
              <w:bottom w:val="single" w:sz="4" w:space="0" w:color="auto"/>
              <w:right w:val="nil"/>
            </w:tcBorders>
            <w:vAlign w:val="bottom"/>
          </w:tcPr>
          <w:p w14:paraId="45AD546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66B1C4FC" w14:textId="77777777" w:rsidTr="002E7C40">
        <w:trPr>
          <w:cantSplit/>
        </w:trPr>
        <w:tc>
          <w:tcPr>
            <w:tcW w:w="4962" w:type="dxa"/>
            <w:tcBorders>
              <w:top w:val="single" w:sz="4" w:space="0" w:color="auto"/>
              <w:left w:val="nil"/>
              <w:bottom w:val="nil"/>
              <w:right w:val="nil"/>
            </w:tcBorders>
            <w:vAlign w:val="bottom"/>
          </w:tcPr>
          <w:p w14:paraId="644D05A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single" w:sz="4" w:space="0" w:color="auto"/>
              <w:left w:val="nil"/>
              <w:right w:val="nil"/>
            </w:tcBorders>
            <w:vAlign w:val="bottom"/>
          </w:tcPr>
          <w:p w14:paraId="13BC563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800" w:type="dxa"/>
            <w:tcBorders>
              <w:top w:val="single" w:sz="4" w:space="0" w:color="auto"/>
              <w:left w:val="nil"/>
              <w:right w:val="nil"/>
            </w:tcBorders>
            <w:vAlign w:val="bottom"/>
          </w:tcPr>
          <w:p w14:paraId="3B45253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39B1B571" w14:textId="77777777" w:rsidTr="002E7C40">
        <w:trPr>
          <w:cantSplit/>
        </w:trPr>
        <w:tc>
          <w:tcPr>
            <w:tcW w:w="4962" w:type="dxa"/>
            <w:tcBorders>
              <w:top w:val="nil"/>
              <w:left w:val="nil"/>
              <w:right w:val="nil"/>
            </w:tcBorders>
            <w:vAlign w:val="bottom"/>
          </w:tcPr>
          <w:p w14:paraId="4CDEEA1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Current assets</w:t>
            </w:r>
          </w:p>
        </w:tc>
        <w:tc>
          <w:tcPr>
            <w:tcW w:w="1799" w:type="dxa"/>
            <w:tcBorders>
              <w:left w:val="nil"/>
              <w:right w:val="nil"/>
            </w:tcBorders>
            <w:vAlign w:val="bottom"/>
          </w:tcPr>
          <w:p w14:paraId="7FFE8A8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ru-RU" w:eastAsia="ru-RU"/>
              </w:rPr>
            </w:pPr>
            <w:r w:rsidRPr="002E7C40">
              <w:rPr>
                <w:rFonts w:ascii="Arial" w:eastAsia="Times New Roman" w:hAnsi="Arial" w:cs="Arial"/>
                <w:b/>
                <w:spacing w:val="-2"/>
                <w:sz w:val="18"/>
                <w:szCs w:val="20"/>
                <w:lang w:val="ru-RU" w:eastAsia="ru-RU"/>
              </w:rPr>
              <w:t>14</w:t>
            </w:r>
            <w:r w:rsidRPr="002E7C40">
              <w:rPr>
                <w:rFonts w:ascii="Arial" w:eastAsia="Times New Roman" w:hAnsi="Arial" w:cs="Arial"/>
                <w:b/>
                <w:spacing w:val="-2"/>
                <w:sz w:val="18"/>
                <w:szCs w:val="20"/>
                <w:lang w:val="en-US" w:eastAsia="ru-RU"/>
              </w:rPr>
              <w:t>9</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830</w:t>
            </w:r>
          </w:p>
        </w:tc>
        <w:tc>
          <w:tcPr>
            <w:tcW w:w="1800" w:type="dxa"/>
            <w:tcBorders>
              <w:left w:val="nil"/>
              <w:right w:val="nil"/>
            </w:tcBorders>
            <w:vAlign w:val="bottom"/>
          </w:tcPr>
          <w:p w14:paraId="63150D7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141,314</w:t>
            </w:r>
          </w:p>
        </w:tc>
      </w:tr>
      <w:tr w:rsidR="002E7C40" w:rsidRPr="002E7C40" w14:paraId="5026DE9B" w14:textId="77777777" w:rsidTr="002E7C40">
        <w:trPr>
          <w:cantSplit/>
        </w:trPr>
        <w:tc>
          <w:tcPr>
            <w:tcW w:w="4962" w:type="dxa"/>
            <w:tcBorders>
              <w:left w:val="nil"/>
              <w:bottom w:val="single" w:sz="4" w:space="0" w:color="auto"/>
              <w:right w:val="nil"/>
            </w:tcBorders>
            <w:vAlign w:val="bottom"/>
          </w:tcPr>
          <w:p w14:paraId="718A808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left w:val="nil"/>
              <w:bottom w:val="single" w:sz="4" w:space="0" w:color="auto"/>
              <w:right w:val="nil"/>
            </w:tcBorders>
            <w:vAlign w:val="bottom"/>
          </w:tcPr>
          <w:p w14:paraId="402270A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800" w:type="dxa"/>
            <w:tcBorders>
              <w:left w:val="nil"/>
              <w:bottom w:val="single" w:sz="4" w:space="0" w:color="auto"/>
              <w:right w:val="nil"/>
            </w:tcBorders>
            <w:vAlign w:val="bottom"/>
          </w:tcPr>
          <w:p w14:paraId="0447C39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33724865" w14:textId="77777777" w:rsidTr="002E7C40">
        <w:trPr>
          <w:cantSplit/>
        </w:trPr>
        <w:tc>
          <w:tcPr>
            <w:tcW w:w="4962" w:type="dxa"/>
            <w:tcBorders>
              <w:top w:val="single" w:sz="4" w:space="0" w:color="auto"/>
              <w:left w:val="nil"/>
              <w:right w:val="nil"/>
            </w:tcBorders>
            <w:vAlign w:val="bottom"/>
          </w:tcPr>
          <w:p w14:paraId="7E36B1FA"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top w:val="single" w:sz="4" w:space="0" w:color="auto"/>
              <w:left w:val="nil"/>
              <w:right w:val="nil"/>
            </w:tcBorders>
            <w:vAlign w:val="bottom"/>
          </w:tcPr>
          <w:p w14:paraId="0299ACB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800" w:type="dxa"/>
            <w:tcBorders>
              <w:top w:val="single" w:sz="4" w:space="0" w:color="auto"/>
              <w:left w:val="nil"/>
              <w:right w:val="nil"/>
            </w:tcBorders>
            <w:vAlign w:val="bottom"/>
          </w:tcPr>
          <w:p w14:paraId="5C83481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58DBAC9D" w14:textId="77777777" w:rsidTr="002E7C40">
        <w:trPr>
          <w:cantSplit/>
        </w:trPr>
        <w:tc>
          <w:tcPr>
            <w:tcW w:w="4962" w:type="dxa"/>
            <w:tcBorders>
              <w:left w:val="nil"/>
              <w:right w:val="nil"/>
            </w:tcBorders>
            <w:vAlign w:val="bottom"/>
          </w:tcPr>
          <w:p w14:paraId="42501C9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Total assets</w:t>
            </w:r>
          </w:p>
        </w:tc>
        <w:tc>
          <w:tcPr>
            <w:tcW w:w="1799" w:type="dxa"/>
            <w:tcBorders>
              <w:left w:val="nil"/>
              <w:right w:val="nil"/>
            </w:tcBorders>
            <w:vAlign w:val="bottom"/>
          </w:tcPr>
          <w:p w14:paraId="5209CB3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4</w:t>
            </w:r>
            <w:r w:rsidRPr="002E7C40">
              <w:rPr>
                <w:rFonts w:ascii="Arial" w:eastAsia="Times New Roman" w:hAnsi="Arial" w:cs="Arial"/>
                <w:b/>
                <w:spacing w:val="-2"/>
                <w:sz w:val="18"/>
                <w:szCs w:val="20"/>
                <w:lang w:val="en-US" w:eastAsia="ru-RU"/>
              </w:rPr>
              <w:t>9</w:t>
            </w:r>
            <w:r w:rsidRPr="002E7C40">
              <w:rPr>
                <w:rFonts w:ascii="Arial" w:eastAsia="Times New Roman" w:hAnsi="Arial" w:cs="Arial"/>
                <w:b/>
                <w:spacing w:val="-2"/>
                <w:sz w:val="18"/>
                <w:szCs w:val="20"/>
                <w:lang w:val="ru-RU" w:eastAsia="ru-RU"/>
              </w:rPr>
              <w:t>5,</w:t>
            </w:r>
            <w:r w:rsidRPr="002E7C40">
              <w:rPr>
                <w:rFonts w:ascii="Arial" w:eastAsia="Times New Roman" w:hAnsi="Arial" w:cs="Arial"/>
                <w:b/>
                <w:spacing w:val="-2"/>
                <w:sz w:val="18"/>
                <w:szCs w:val="20"/>
                <w:lang w:val="en-US" w:eastAsia="ru-RU"/>
              </w:rPr>
              <w:t>158</w:t>
            </w:r>
          </w:p>
        </w:tc>
        <w:tc>
          <w:tcPr>
            <w:tcW w:w="1800" w:type="dxa"/>
            <w:tcBorders>
              <w:left w:val="nil"/>
              <w:right w:val="nil"/>
            </w:tcBorders>
            <w:vAlign w:val="bottom"/>
          </w:tcPr>
          <w:p w14:paraId="5CC6FCC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455,613</w:t>
            </w:r>
          </w:p>
        </w:tc>
      </w:tr>
      <w:tr w:rsidR="002E7C40" w:rsidRPr="002E7C40" w14:paraId="7A0CAABA" w14:textId="77777777" w:rsidTr="002E7C40">
        <w:trPr>
          <w:cantSplit/>
        </w:trPr>
        <w:tc>
          <w:tcPr>
            <w:tcW w:w="4962" w:type="dxa"/>
            <w:tcBorders>
              <w:left w:val="nil"/>
              <w:bottom w:val="single" w:sz="12" w:space="0" w:color="auto"/>
              <w:right w:val="nil"/>
            </w:tcBorders>
            <w:vAlign w:val="bottom"/>
          </w:tcPr>
          <w:p w14:paraId="7E79F2D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highlight w:val="magenta"/>
                <w:lang w:eastAsia="ru-RU"/>
              </w:rPr>
            </w:pPr>
          </w:p>
        </w:tc>
        <w:tc>
          <w:tcPr>
            <w:tcW w:w="1799" w:type="dxa"/>
            <w:tcBorders>
              <w:left w:val="nil"/>
              <w:bottom w:val="single" w:sz="12" w:space="0" w:color="auto"/>
              <w:right w:val="nil"/>
            </w:tcBorders>
            <w:vAlign w:val="bottom"/>
          </w:tcPr>
          <w:p w14:paraId="7D4B8AC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magenta"/>
                <w:lang w:val="ru-RU" w:eastAsia="ru-RU"/>
              </w:rPr>
            </w:pPr>
          </w:p>
        </w:tc>
        <w:tc>
          <w:tcPr>
            <w:tcW w:w="1800" w:type="dxa"/>
            <w:tcBorders>
              <w:left w:val="nil"/>
              <w:bottom w:val="single" w:sz="12" w:space="0" w:color="auto"/>
              <w:right w:val="nil"/>
            </w:tcBorders>
            <w:vAlign w:val="bottom"/>
          </w:tcPr>
          <w:p w14:paraId="5618374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3D6A087D" w14:textId="77777777" w:rsidTr="002E7C40">
        <w:trPr>
          <w:cantSplit/>
        </w:trPr>
        <w:tc>
          <w:tcPr>
            <w:tcW w:w="4962" w:type="dxa"/>
            <w:tcBorders>
              <w:top w:val="single" w:sz="12" w:space="0" w:color="auto"/>
              <w:left w:val="nil"/>
              <w:right w:val="nil"/>
            </w:tcBorders>
            <w:vAlign w:val="bottom"/>
          </w:tcPr>
          <w:p w14:paraId="52FE93E9" w14:textId="77777777" w:rsidR="002E7C40" w:rsidRPr="002E7C40" w:rsidDel="00CD105E"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top w:val="single" w:sz="12" w:space="0" w:color="auto"/>
              <w:left w:val="nil"/>
              <w:right w:val="nil"/>
            </w:tcBorders>
            <w:vAlign w:val="bottom"/>
          </w:tcPr>
          <w:p w14:paraId="5D0DF94D" w14:textId="77777777" w:rsidR="002E7C40" w:rsidRPr="002E7C40" w:rsidDel="008324A4"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800" w:type="dxa"/>
            <w:tcBorders>
              <w:top w:val="single" w:sz="12" w:space="0" w:color="auto"/>
              <w:left w:val="nil"/>
              <w:right w:val="nil"/>
            </w:tcBorders>
            <w:vAlign w:val="bottom"/>
          </w:tcPr>
          <w:p w14:paraId="7C21F2B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0965EA01" w14:textId="77777777" w:rsidTr="002E7C40">
        <w:trPr>
          <w:cantSplit/>
        </w:trPr>
        <w:tc>
          <w:tcPr>
            <w:tcW w:w="4962" w:type="dxa"/>
            <w:tcBorders>
              <w:left w:val="nil"/>
              <w:bottom w:val="nil"/>
              <w:right w:val="nil"/>
            </w:tcBorders>
            <w:vAlign w:val="bottom"/>
          </w:tcPr>
          <w:p w14:paraId="27D4765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i/>
                <w:spacing w:val="-2"/>
                <w:sz w:val="18"/>
                <w:szCs w:val="20"/>
                <w:lang w:eastAsia="ru-RU"/>
              </w:rPr>
              <w:t>Equity</w:t>
            </w:r>
          </w:p>
        </w:tc>
        <w:tc>
          <w:tcPr>
            <w:tcW w:w="1799" w:type="dxa"/>
            <w:tcBorders>
              <w:left w:val="nil"/>
              <w:bottom w:val="nil"/>
              <w:right w:val="nil"/>
            </w:tcBorders>
            <w:vAlign w:val="bottom"/>
          </w:tcPr>
          <w:p w14:paraId="0D95163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highlight w:val="yellow"/>
                <w:lang w:eastAsia="ru-RU"/>
              </w:rPr>
            </w:pPr>
          </w:p>
        </w:tc>
        <w:tc>
          <w:tcPr>
            <w:tcW w:w="1800" w:type="dxa"/>
            <w:tcBorders>
              <w:left w:val="nil"/>
              <w:bottom w:val="nil"/>
              <w:right w:val="nil"/>
            </w:tcBorders>
            <w:vAlign w:val="bottom"/>
          </w:tcPr>
          <w:p w14:paraId="2B80DB3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7A00012F" w14:textId="77777777" w:rsidTr="002E7C40">
        <w:trPr>
          <w:cantSplit/>
        </w:trPr>
        <w:tc>
          <w:tcPr>
            <w:tcW w:w="4962" w:type="dxa"/>
            <w:tcBorders>
              <w:top w:val="nil"/>
              <w:left w:val="nil"/>
              <w:bottom w:val="nil"/>
              <w:right w:val="nil"/>
            </w:tcBorders>
            <w:vAlign w:val="bottom"/>
          </w:tcPr>
          <w:p w14:paraId="25CEDDD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i/>
                <w:iCs/>
                <w:spacing w:val="-2"/>
                <w:sz w:val="18"/>
                <w:szCs w:val="20"/>
                <w:lang w:eastAsia="ru-RU"/>
              </w:rPr>
            </w:pPr>
            <w:r w:rsidRPr="002E7C40">
              <w:rPr>
                <w:rFonts w:ascii="Arial" w:eastAsia="Times New Roman" w:hAnsi="Arial" w:cs="Arial"/>
                <w:spacing w:val="-2"/>
                <w:sz w:val="18"/>
                <w:szCs w:val="20"/>
                <w:lang w:eastAsia="ru-RU"/>
              </w:rPr>
              <w:t>Share capital</w:t>
            </w:r>
          </w:p>
        </w:tc>
        <w:tc>
          <w:tcPr>
            <w:tcW w:w="1799" w:type="dxa"/>
            <w:tcBorders>
              <w:top w:val="nil"/>
              <w:left w:val="nil"/>
              <w:bottom w:val="nil"/>
              <w:right w:val="nil"/>
            </w:tcBorders>
            <w:vAlign w:val="bottom"/>
          </w:tcPr>
          <w:p w14:paraId="17630EB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372</w:t>
            </w:r>
          </w:p>
        </w:tc>
        <w:tc>
          <w:tcPr>
            <w:tcW w:w="1800" w:type="dxa"/>
            <w:tcBorders>
              <w:top w:val="nil"/>
              <w:left w:val="nil"/>
              <w:bottom w:val="nil"/>
              <w:right w:val="nil"/>
            </w:tcBorders>
            <w:vAlign w:val="bottom"/>
          </w:tcPr>
          <w:p w14:paraId="4E38F44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372</w:t>
            </w:r>
          </w:p>
        </w:tc>
      </w:tr>
      <w:tr w:rsidR="002E7C40" w:rsidRPr="002E7C40" w14:paraId="62E87F74" w14:textId="77777777" w:rsidTr="002E7C40">
        <w:trPr>
          <w:cantSplit/>
        </w:trPr>
        <w:tc>
          <w:tcPr>
            <w:tcW w:w="4962" w:type="dxa"/>
            <w:tcBorders>
              <w:top w:val="nil"/>
              <w:left w:val="nil"/>
              <w:bottom w:val="nil"/>
              <w:right w:val="nil"/>
            </w:tcBorders>
            <w:vAlign w:val="bottom"/>
          </w:tcPr>
          <w:p w14:paraId="6D3A6D8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Share premium</w:t>
            </w:r>
          </w:p>
        </w:tc>
        <w:tc>
          <w:tcPr>
            <w:tcW w:w="1799" w:type="dxa"/>
            <w:tcBorders>
              <w:top w:val="nil"/>
              <w:left w:val="nil"/>
              <w:bottom w:val="nil"/>
              <w:right w:val="nil"/>
            </w:tcBorders>
            <w:vAlign w:val="bottom"/>
          </w:tcPr>
          <w:p w14:paraId="0EE9ABE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7,494</w:t>
            </w:r>
          </w:p>
        </w:tc>
        <w:tc>
          <w:tcPr>
            <w:tcW w:w="1800" w:type="dxa"/>
            <w:tcBorders>
              <w:top w:val="nil"/>
              <w:left w:val="nil"/>
              <w:bottom w:val="nil"/>
              <w:right w:val="nil"/>
            </w:tcBorders>
            <w:vAlign w:val="bottom"/>
          </w:tcPr>
          <w:p w14:paraId="3574F50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7,494</w:t>
            </w:r>
          </w:p>
        </w:tc>
      </w:tr>
      <w:tr w:rsidR="002E7C40" w:rsidRPr="002E7C40" w14:paraId="5D75A37F" w14:textId="77777777" w:rsidTr="002E7C40">
        <w:trPr>
          <w:cantSplit/>
        </w:trPr>
        <w:tc>
          <w:tcPr>
            <w:tcW w:w="4962" w:type="dxa"/>
            <w:tcBorders>
              <w:top w:val="nil"/>
              <w:left w:val="nil"/>
              <w:bottom w:val="nil"/>
              <w:right w:val="nil"/>
            </w:tcBorders>
            <w:shd w:val="clear" w:color="auto" w:fill="auto"/>
            <w:vAlign w:val="bottom"/>
          </w:tcPr>
          <w:p w14:paraId="0C6E7FA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Retained earnings</w:t>
            </w:r>
          </w:p>
        </w:tc>
        <w:tc>
          <w:tcPr>
            <w:tcW w:w="1799" w:type="dxa"/>
            <w:tcBorders>
              <w:top w:val="nil"/>
              <w:left w:val="nil"/>
              <w:bottom w:val="nil"/>
              <w:right w:val="nil"/>
            </w:tcBorders>
            <w:shd w:val="clear" w:color="auto" w:fill="auto"/>
            <w:vAlign w:val="bottom"/>
          </w:tcPr>
          <w:p w14:paraId="28CDC74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w:t>
            </w:r>
            <w:r w:rsidRPr="002E7C40">
              <w:rPr>
                <w:rFonts w:ascii="Arial" w:eastAsia="Times New Roman" w:hAnsi="Arial" w:cs="Arial"/>
                <w:spacing w:val="-2"/>
                <w:sz w:val="18"/>
                <w:szCs w:val="20"/>
                <w:lang w:val="en-US" w:eastAsia="ru-RU"/>
              </w:rPr>
              <w:t>53</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016</w:t>
            </w:r>
          </w:p>
        </w:tc>
        <w:tc>
          <w:tcPr>
            <w:tcW w:w="1800" w:type="dxa"/>
            <w:tcBorders>
              <w:top w:val="nil"/>
              <w:left w:val="nil"/>
              <w:bottom w:val="nil"/>
              <w:right w:val="nil"/>
            </w:tcBorders>
            <w:shd w:val="clear" w:color="auto" w:fill="auto"/>
            <w:vAlign w:val="bottom"/>
          </w:tcPr>
          <w:p w14:paraId="7962C6E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190,664</w:t>
            </w:r>
          </w:p>
        </w:tc>
      </w:tr>
      <w:tr w:rsidR="002E7C40" w:rsidRPr="002E7C40" w14:paraId="1569D3E3" w14:textId="77777777" w:rsidTr="002E7C40">
        <w:trPr>
          <w:cantSplit/>
        </w:trPr>
        <w:tc>
          <w:tcPr>
            <w:tcW w:w="4962" w:type="dxa"/>
            <w:tcBorders>
              <w:top w:val="nil"/>
              <w:left w:val="nil"/>
              <w:bottom w:val="nil"/>
              <w:right w:val="nil"/>
            </w:tcBorders>
            <w:shd w:val="clear" w:color="auto" w:fill="auto"/>
            <w:vAlign w:val="bottom"/>
          </w:tcPr>
          <w:p w14:paraId="050E2AAA"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en-US"/>
              </w:rPr>
              <w:t>Actuarial losses</w:t>
            </w:r>
          </w:p>
        </w:tc>
        <w:tc>
          <w:tcPr>
            <w:tcW w:w="1799" w:type="dxa"/>
            <w:tcBorders>
              <w:top w:val="nil"/>
              <w:left w:val="nil"/>
              <w:bottom w:val="nil"/>
              <w:right w:val="nil"/>
            </w:tcBorders>
            <w:shd w:val="clear" w:color="auto" w:fill="auto"/>
            <w:vAlign w:val="bottom"/>
          </w:tcPr>
          <w:p w14:paraId="63C6595C"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(968)</w:t>
            </w:r>
          </w:p>
        </w:tc>
        <w:tc>
          <w:tcPr>
            <w:tcW w:w="1800" w:type="dxa"/>
            <w:tcBorders>
              <w:top w:val="nil"/>
              <w:left w:val="nil"/>
              <w:bottom w:val="nil"/>
              <w:right w:val="nil"/>
            </w:tcBorders>
            <w:shd w:val="clear" w:color="auto" w:fill="auto"/>
            <w:vAlign w:val="bottom"/>
          </w:tcPr>
          <w:p w14:paraId="4B5EF856"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(968)</w:t>
            </w:r>
          </w:p>
        </w:tc>
      </w:tr>
      <w:tr w:rsidR="002E7C40" w:rsidRPr="002E7C40" w14:paraId="0BB376F2" w14:textId="77777777" w:rsidTr="002E7C40">
        <w:trPr>
          <w:cantSplit/>
        </w:trPr>
        <w:tc>
          <w:tcPr>
            <w:tcW w:w="4962" w:type="dxa"/>
            <w:tcBorders>
              <w:top w:val="nil"/>
              <w:left w:val="nil"/>
              <w:bottom w:val="single" w:sz="4" w:space="0" w:color="auto"/>
              <w:right w:val="nil"/>
            </w:tcBorders>
            <w:vAlign w:val="bottom"/>
          </w:tcPr>
          <w:p w14:paraId="17F25A5F"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val="en-US" w:eastAsia="en-US"/>
              </w:rPr>
            </w:pPr>
          </w:p>
        </w:tc>
        <w:tc>
          <w:tcPr>
            <w:tcW w:w="1799" w:type="dxa"/>
            <w:tcBorders>
              <w:top w:val="nil"/>
              <w:left w:val="nil"/>
              <w:bottom w:val="single" w:sz="4" w:space="0" w:color="auto"/>
              <w:right w:val="nil"/>
            </w:tcBorders>
            <w:vAlign w:val="bottom"/>
          </w:tcPr>
          <w:p w14:paraId="5740C9C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800" w:type="dxa"/>
            <w:tcBorders>
              <w:top w:val="nil"/>
              <w:left w:val="nil"/>
              <w:bottom w:val="single" w:sz="4" w:space="0" w:color="auto"/>
              <w:right w:val="nil"/>
            </w:tcBorders>
            <w:vAlign w:val="bottom"/>
          </w:tcPr>
          <w:p w14:paraId="6B8941F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186271BF" w14:textId="77777777" w:rsidTr="002E7C40">
        <w:trPr>
          <w:cantSplit/>
        </w:trPr>
        <w:tc>
          <w:tcPr>
            <w:tcW w:w="4962" w:type="dxa"/>
            <w:tcBorders>
              <w:top w:val="single" w:sz="4" w:space="0" w:color="auto"/>
              <w:left w:val="nil"/>
              <w:bottom w:val="nil"/>
              <w:right w:val="nil"/>
            </w:tcBorders>
            <w:vAlign w:val="bottom"/>
          </w:tcPr>
          <w:p w14:paraId="7EE6E4F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val="en-US" w:eastAsia="en-US"/>
              </w:rPr>
            </w:pPr>
          </w:p>
        </w:tc>
        <w:tc>
          <w:tcPr>
            <w:tcW w:w="1799" w:type="dxa"/>
            <w:tcBorders>
              <w:top w:val="single" w:sz="4" w:space="0" w:color="auto"/>
              <w:left w:val="nil"/>
              <w:right w:val="nil"/>
            </w:tcBorders>
            <w:vAlign w:val="bottom"/>
          </w:tcPr>
          <w:p w14:paraId="276EF5C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800" w:type="dxa"/>
            <w:tcBorders>
              <w:top w:val="single" w:sz="4" w:space="0" w:color="auto"/>
              <w:left w:val="nil"/>
              <w:right w:val="nil"/>
            </w:tcBorders>
            <w:vAlign w:val="bottom"/>
          </w:tcPr>
          <w:p w14:paraId="66D8708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619E2363" w14:textId="77777777" w:rsidTr="002E7C40">
        <w:trPr>
          <w:cantSplit/>
        </w:trPr>
        <w:tc>
          <w:tcPr>
            <w:tcW w:w="4962" w:type="dxa"/>
            <w:tcBorders>
              <w:top w:val="nil"/>
              <w:left w:val="nil"/>
              <w:bottom w:val="nil"/>
              <w:right w:val="nil"/>
            </w:tcBorders>
            <w:vAlign w:val="bottom"/>
          </w:tcPr>
          <w:p w14:paraId="13B2596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Equity attributable to shareholders of the Parent</w:t>
            </w:r>
          </w:p>
        </w:tc>
        <w:tc>
          <w:tcPr>
            <w:tcW w:w="1799" w:type="dxa"/>
            <w:tcBorders>
              <w:left w:val="nil"/>
              <w:right w:val="nil"/>
            </w:tcBorders>
            <w:vAlign w:val="bottom"/>
          </w:tcPr>
          <w:p w14:paraId="48E367C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1</w:t>
            </w:r>
            <w:r w:rsidRPr="002E7C40">
              <w:rPr>
                <w:rFonts w:ascii="Arial" w:eastAsia="Times New Roman" w:hAnsi="Arial" w:cs="Arial"/>
                <w:b/>
                <w:spacing w:val="-2"/>
                <w:sz w:val="18"/>
                <w:szCs w:val="20"/>
                <w:lang w:val="en-US" w:eastAsia="ru-RU"/>
              </w:rPr>
              <w:t>59</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914</w:t>
            </w:r>
          </w:p>
        </w:tc>
        <w:tc>
          <w:tcPr>
            <w:tcW w:w="1800" w:type="dxa"/>
            <w:tcBorders>
              <w:left w:val="nil"/>
              <w:right w:val="nil"/>
            </w:tcBorders>
            <w:vAlign w:val="bottom"/>
          </w:tcPr>
          <w:p w14:paraId="5711D17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val="en-US" w:eastAsia="ru-RU"/>
              </w:rPr>
              <w:t>197,562</w:t>
            </w:r>
          </w:p>
        </w:tc>
      </w:tr>
      <w:tr w:rsidR="002E7C40" w:rsidRPr="002E7C40" w14:paraId="628AAAB3" w14:textId="77777777" w:rsidTr="002E7C40">
        <w:trPr>
          <w:cantSplit/>
        </w:trPr>
        <w:tc>
          <w:tcPr>
            <w:tcW w:w="4962" w:type="dxa"/>
            <w:tcBorders>
              <w:top w:val="nil"/>
              <w:left w:val="nil"/>
              <w:bottom w:val="nil"/>
              <w:right w:val="nil"/>
            </w:tcBorders>
            <w:vAlign w:val="bottom"/>
          </w:tcPr>
          <w:p w14:paraId="0AC086A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2E7C40">
              <w:rPr>
                <w:rFonts w:ascii="Arial" w:eastAsia="Times New Roman" w:hAnsi="Arial" w:cs="Arial"/>
                <w:spacing w:val="-2"/>
                <w:sz w:val="18"/>
                <w:szCs w:val="18"/>
                <w:lang w:val="en-US" w:eastAsia="ru-RU"/>
              </w:rPr>
              <w:t>Equity attributable to non-controlling interests</w:t>
            </w:r>
          </w:p>
        </w:tc>
        <w:tc>
          <w:tcPr>
            <w:tcW w:w="1799" w:type="dxa"/>
            <w:tcBorders>
              <w:left w:val="nil"/>
              <w:right w:val="nil"/>
            </w:tcBorders>
            <w:vAlign w:val="bottom"/>
          </w:tcPr>
          <w:p w14:paraId="1F63262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20"/>
                <w:lang w:val="en-US" w:eastAsia="ru-RU"/>
              </w:rPr>
            </w:pPr>
            <w:r w:rsidRPr="002E7C40">
              <w:rPr>
                <w:rFonts w:ascii="Arial" w:eastAsia="Times New Roman" w:hAnsi="Arial" w:cs="Arial"/>
                <w:spacing w:val="-2"/>
                <w:sz w:val="18"/>
                <w:szCs w:val="20"/>
                <w:lang w:val="en-US" w:eastAsia="ru-RU"/>
              </w:rPr>
              <w:t>46</w:t>
            </w:r>
          </w:p>
        </w:tc>
        <w:tc>
          <w:tcPr>
            <w:tcW w:w="1800" w:type="dxa"/>
            <w:tcBorders>
              <w:left w:val="nil"/>
              <w:right w:val="nil"/>
            </w:tcBorders>
            <w:vAlign w:val="bottom"/>
          </w:tcPr>
          <w:p w14:paraId="39BB53C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20"/>
                <w:lang w:val="en-US" w:eastAsia="ru-RU"/>
              </w:rPr>
            </w:pPr>
            <w:r w:rsidRPr="002E7C40">
              <w:rPr>
                <w:rFonts w:ascii="Arial" w:eastAsia="Times New Roman" w:hAnsi="Arial" w:cs="Arial"/>
                <w:spacing w:val="-2"/>
                <w:sz w:val="18"/>
                <w:szCs w:val="20"/>
                <w:lang w:val="en-US" w:eastAsia="ru-RU"/>
              </w:rPr>
              <w:t>158</w:t>
            </w:r>
          </w:p>
        </w:tc>
      </w:tr>
      <w:tr w:rsidR="002E7C40" w:rsidRPr="002E7C40" w14:paraId="72EB00F6" w14:textId="77777777" w:rsidTr="002E7C40">
        <w:trPr>
          <w:cantSplit/>
        </w:trPr>
        <w:tc>
          <w:tcPr>
            <w:tcW w:w="4962" w:type="dxa"/>
            <w:tcBorders>
              <w:top w:val="nil"/>
              <w:left w:val="nil"/>
              <w:bottom w:val="single" w:sz="4" w:space="0" w:color="auto"/>
              <w:right w:val="nil"/>
            </w:tcBorders>
            <w:vAlign w:val="bottom"/>
          </w:tcPr>
          <w:p w14:paraId="7CC37CF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val="ru-RU" w:eastAsia="ru-RU"/>
              </w:rPr>
            </w:pPr>
          </w:p>
        </w:tc>
        <w:tc>
          <w:tcPr>
            <w:tcW w:w="1799" w:type="dxa"/>
            <w:tcBorders>
              <w:left w:val="nil"/>
              <w:bottom w:val="single" w:sz="4" w:space="0" w:color="auto"/>
              <w:right w:val="nil"/>
            </w:tcBorders>
            <w:vAlign w:val="bottom"/>
          </w:tcPr>
          <w:p w14:paraId="1D7842C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800" w:type="dxa"/>
            <w:tcBorders>
              <w:left w:val="nil"/>
              <w:bottom w:val="single" w:sz="4" w:space="0" w:color="auto"/>
              <w:right w:val="nil"/>
            </w:tcBorders>
            <w:vAlign w:val="bottom"/>
          </w:tcPr>
          <w:p w14:paraId="29A67BE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6553DAA7" w14:textId="77777777" w:rsidTr="002E7C40">
        <w:trPr>
          <w:cantSplit/>
        </w:trPr>
        <w:tc>
          <w:tcPr>
            <w:tcW w:w="4962" w:type="dxa"/>
            <w:tcBorders>
              <w:top w:val="single" w:sz="4" w:space="0" w:color="auto"/>
              <w:left w:val="nil"/>
              <w:right w:val="nil"/>
            </w:tcBorders>
            <w:vAlign w:val="bottom"/>
          </w:tcPr>
          <w:p w14:paraId="3C90CD3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single" w:sz="4" w:space="0" w:color="auto"/>
              <w:left w:val="nil"/>
              <w:right w:val="nil"/>
            </w:tcBorders>
            <w:vAlign w:val="bottom"/>
          </w:tcPr>
          <w:p w14:paraId="1922023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single" w:sz="4" w:space="0" w:color="auto"/>
              <w:left w:val="nil"/>
              <w:right w:val="nil"/>
            </w:tcBorders>
            <w:vAlign w:val="bottom"/>
          </w:tcPr>
          <w:p w14:paraId="48BBBD2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085FFB20" w14:textId="77777777" w:rsidTr="002E7C40">
        <w:trPr>
          <w:cantSplit/>
        </w:trPr>
        <w:tc>
          <w:tcPr>
            <w:tcW w:w="4962" w:type="dxa"/>
            <w:tcBorders>
              <w:left w:val="nil"/>
              <w:right w:val="nil"/>
            </w:tcBorders>
            <w:vAlign w:val="bottom"/>
          </w:tcPr>
          <w:p w14:paraId="5CF82AEF"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spacing w:val="-2"/>
                <w:sz w:val="18"/>
                <w:szCs w:val="20"/>
                <w:lang w:eastAsia="ru-RU"/>
              </w:rPr>
              <w:t>Total equity</w:t>
            </w:r>
          </w:p>
        </w:tc>
        <w:tc>
          <w:tcPr>
            <w:tcW w:w="1799" w:type="dxa"/>
            <w:tcBorders>
              <w:left w:val="nil"/>
              <w:right w:val="nil"/>
            </w:tcBorders>
            <w:vAlign w:val="bottom"/>
          </w:tcPr>
          <w:p w14:paraId="40EDE74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1</w:t>
            </w:r>
            <w:r w:rsidRPr="002E7C40">
              <w:rPr>
                <w:rFonts w:ascii="Arial" w:eastAsia="Times New Roman" w:hAnsi="Arial" w:cs="Arial"/>
                <w:b/>
                <w:spacing w:val="-2"/>
                <w:sz w:val="18"/>
                <w:szCs w:val="20"/>
                <w:lang w:val="en-US" w:eastAsia="ru-RU"/>
              </w:rPr>
              <w:t>59</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960</w:t>
            </w:r>
          </w:p>
        </w:tc>
        <w:tc>
          <w:tcPr>
            <w:tcW w:w="1800" w:type="dxa"/>
            <w:tcBorders>
              <w:left w:val="nil"/>
              <w:right w:val="nil"/>
            </w:tcBorders>
            <w:vAlign w:val="bottom"/>
          </w:tcPr>
          <w:p w14:paraId="01CF4A3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b/>
                <w:spacing w:val="-2"/>
                <w:sz w:val="18"/>
                <w:szCs w:val="20"/>
                <w:lang w:val="en-US" w:eastAsia="ru-RU"/>
              </w:rPr>
              <w:t>197,720</w:t>
            </w:r>
          </w:p>
        </w:tc>
      </w:tr>
      <w:tr w:rsidR="002E7C40" w:rsidRPr="002E7C40" w14:paraId="21F92DA7" w14:textId="77777777" w:rsidTr="002E7C40">
        <w:trPr>
          <w:cantSplit/>
        </w:trPr>
        <w:tc>
          <w:tcPr>
            <w:tcW w:w="4962" w:type="dxa"/>
            <w:tcBorders>
              <w:left w:val="nil"/>
              <w:bottom w:val="single" w:sz="12" w:space="0" w:color="auto"/>
              <w:right w:val="nil"/>
            </w:tcBorders>
            <w:vAlign w:val="bottom"/>
          </w:tcPr>
          <w:p w14:paraId="6531C2DB"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left w:val="nil"/>
              <w:bottom w:val="single" w:sz="12" w:space="0" w:color="auto"/>
              <w:right w:val="nil"/>
            </w:tcBorders>
            <w:vAlign w:val="bottom"/>
          </w:tcPr>
          <w:p w14:paraId="3468214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800" w:type="dxa"/>
            <w:tcBorders>
              <w:left w:val="nil"/>
              <w:bottom w:val="single" w:sz="12" w:space="0" w:color="auto"/>
              <w:right w:val="nil"/>
            </w:tcBorders>
            <w:vAlign w:val="bottom"/>
          </w:tcPr>
          <w:p w14:paraId="19D1D58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52AE8750" w14:textId="77777777" w:rsidTr="002E7C40">
        <w:trPr>
          <w:cantSplit/>
        </w:trPr>
        <w:tc>
          <w:tcPr>
            <w:tcW w:w="4962" w:type="dxa"/>
            <w:tcBorders>
              <w:top w:val="single" w:sz="12" w:space="0" w:color="auto"/>
              <w:left w:val="nil"/>
              <w:bottom w:val="nil"/>
              <w:right w:val="nil"/>
            </w:tcBorders>
            <w:vAlign w:val="bottom"/>
          </w:tcPr>
          <w:p w14:paraId="6F592D71"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top w:val="single" w:sz="12" w:space="0" w:color="auto"/>
              <w:left w:val="nil"/>
              <w:right w:val="nil"/>
            </w:tcBorders>
            <w:vAlign w:val="bottom"/>
          </w:tcPr>
          <w:p w14:paraId="3A0D159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800" w:type="dxa"/>
            <w:tcBorders>
              <w:top w:val="single" w:sz="12" w:space="0" w:color="auto"/>
              <w:left w:val="nil"/>
              <w:right w:val="nil"/>
            </w:tcBorders>
            <w:vAlign w:val="bottom"/>
          </w:tcPr>
          <w:p w14:paraId="23035A5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2E7C40" w:rsidRPr="002E7C40" w14:paraId="50BEAD89" w14:textId="77777777" w:rsidTr="002E7C40">
        <w:trPr>
          <w:cantSplit/>
        </w:trPr>
        <w:tc>
          <w:tcPr>
            <w:tcW w:w="4962" w:type="dxa"/>
            <w:tcBorders>
              <w:top w:val="nil"/>
              <w:left w:val="nil"/>
              <w:bottom w:val="nil"/>
              <w:right w:val="nil"/>
            </w:tcBorders>
            <w:vAlign w:val="bottom"/>
          </w:tcPr>
          <w:p w14:paraId="0C89E6A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i/>
                <w:spacing w:val="-2"/>
                <w:sz w:val="18"/>
                <w:szCs w:val="20"/>
                <w:lang w:eastAsia="ru-RU"/>
              </w:rPr>
              <w:t>Liabilities</w:t>
            </w:r>
          </w:p>
        </w:tc>
        <w:tc>
          <w:tcPr>
            <w:tcW w:w="1799" w:type="dxa"/>
            <w:tcBorders>
              <w:left w:val="nil"/>
              <w:bottom w:val="nil"/>
              <w:right w:val="nil"/>
            </w:tcBorders>
            <w:vAlign w:val="bottom"/>
          </w:tcPr>
          <w:p w14:paraId="2B8B855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c>
          <w:tcPr>
            <w:tcW w:w="1800" w:type="dxa"/>
            <w:tcBorders>
              <w:left w:val="nil"/>
              <w:bottom w:val="nil"/>
              <w:right w:val="nil"/>
            </w:tcBorders>
            <w:vAlign w:val="bottom"/>
          </w:tcPr>
          <w:p w14:paraId="2287D9E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0FD71C6C" w14:textId="77777777" w:rsidTr="002E7C40">
        <w:trPr>
          <w:cantSplit/>
        </w:trPr>
        <w:tc>
          <w:tcPr>
            <w:tcW w:w="4962" w:type="dxa"/>
            <w:tcBorders>
              <w:top w:val="nil"/>
              <w:left w:val="nil"/>
              <w:bottom w:val="nil"/>
              <w:right w:val="nil"/>
            </w:tcBorders>
            <w:vAlign w:val="bottom"/>
          </w:tcPr>
          <w:p w14:paraId="3E1432F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Loans and borrowings</w:t>
            </w:r>
          </w:p>
        </w:tc>
        <w:tc>
          <w:tcPr>
            <w:tcW w:w="1799" w:type="dxa"/>
            <w:tcBorders>
              <w:top w:val="nil"/>
              <w:left w:val="nil"/>
              <w:bottom w:val="nil"/>
              <w:right w:val="nil"/>
            </w:tcBorders>
            <w:vAlign w:val="bottom"/>
          </w:tcPr>
          <w:p w14:paraId="59518C8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w:t>
            </w:r>
            <w:r w:rsidRPr="002E7C40">
              <w:rPr>
                <w:rFonts w:ascii="Arial" w:eastAsia="Times New Roman" w:hAnsi="Arial" w:cs="Arial"/>
                <w:spacing w:val="-2"/>
                <w:sz w:val="18"/>
                <w:szCs w:val="20"/>
                <w:lang w:val="en-US" w:eastAsia="ru-RU"/>
              </w:rPr>
              <w:t>81</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870</w:t>
            </w:r>
          </w:p>
        </w:tc>
        <w:tc>
          <w:tcPr>
            <w:tcW w:w="1800" w:type="dxa"/>
            <w:tcBorders>
              <w:top w:val="nil"/>
              <w:left w:val="nil"/>
              <w:bottom w:val="nil"/>
              <w:right w:val="nil"/>
            </w:tcBorders>
            <w:vAlign w:val="bottom"/>
          </w:tcPr>
          <w:p w14:paraId="28884BF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109,784</w:t>
            </w:r>
          </w:p>
        </w:tc>
      </w:tr>
      <w:tr w:rsidR="002E7C40" w:rsidRPr="002E7C40" w14:paraId="6CEC1A5A" w14:textId="77777777" w:rsidTr="002E7C40">
        <w:trPr>
          <w:cantSplit/>
        </w:trPr>
        <w:tc>
          <w:tcPr>
            <w:tcW w:w="4962" w:type="dxa"/>
            <w:tcBorders>
              <w:top w:val="nil"/>
              <w:left w:val="nil"/>
              <w:right w:val="nil"/>
            </w:tcBorders>
            <w:vAlign w:val="bottom"/>
          </w:tcPr>
          <w:p w14:paraId="4A6A1EF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spacing w:val="-2"/>
                <w:sz w:val="18"/>
                <w:szCs w:val="20"/>
                <w:lang w:eastAsia="ru-RU"/>
              </w:rPr>
              <w:t>Deferred tax liabilities</w:t>
            </w:r>
          </w:p>
        </w:tc>
        <w:tc>
          <w:tcPr>
            <w:tcW w:w="1799" w:type="dxa"/>
            <w:tcBorders>
              <w:left w:val="nil"/>
              <w:right w:val="nil"/>
            </w:tcBorders>
            <w:vAlign w:val="bottom"/>
          </w:tcPr>
          <w:p w14:paraId="11703A0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11,</w:t>
            </w:r>
            <w:r w:rsidRPr="002E7C40">
              <w:rPr>
                <w:rFonts w:ascii="Arial" w:eastAsia="Times New Roman" w:hAnsi="Arial" w:cs="Arial"/>
                <w:spacing w:val="-2"/>
                <w:sz w:val="18"/>
                <w:szCs w:val="20"/>
                <w:lang w:val="en-US" w:eastAsia="ru-RU"/>
              </w:rPr>
              <w:t>204</w:t>
            </w:r>
          </w:p>
        </w:tc>
        <w:tc>
          <w:tcPr>
            <w:tcW w:w="1800" w:type="dxa"/>
            <w:tcBorders>
              <w:left w:val="nil"/>
              <w:right w:val="nil"/>
            </w:tcBorders>
            <w:vAlign w:val="bottom"/>
          </w:tcPr>
          <w:p w14:paraId="196FB12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spacing w:val="-2"/>
                <w:sz w:val="18"/>
                <w:szCs w:val="20"/>
                <w:lang w:val="en-US" w:eastAsia="ru-RU"/>
              </w:rPr>
              <w:t>17,820</w:t>
            </w:r>
          </w:p>
        </w:tc>
      </w:tr>
      <w:tr w:rsidR="002E7C40" w:rsidRPr="002E7C40" w14:paraId="159236EA" w14:textId="77777777" w:rsidTr="002E7C40">
        <w:trPr>
          <w:cantSplit/>
        </w:trPr>
        <w:tc>
          <w:tcPr>
            <w:tcW w:w="4962" w:type="dxa"/>
            <w:tcBorders>
              <w:top w:val="nil"/>
              <w:left w:val="nil"/>
              <w:bottom w:val="nil"/>
              <w:right w:val="nil"/>
            </w:tcBorders>
            <w:vAlign w:val="bottom"/>
          </w:tcPr>
          <w:p w14:paraId="38BBF23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Lease liabilities</w:t>
            </w:r>
          </w:p>
        </w:tc>
        <w:tc>
          <w:tcPr>
            <w:tcW w:w="1799" w:type="dxa"/>
            <w:tcBorders>
              <w:top w:val="nil"/>
              <w:left w:val="nil"/>
              <w:right w:val="nil"/>
            </w:tcBorders>
            <w:vAlign w:val="bottom"/>
          </w:tcPr>
          <w:p w14:paraId="507A008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2,</w:t>
            </w:r>
            <w:r w:rsidRPr="002E7C40">
              <w:rPr>
                <w:rFonts w:ascii="Arial" w:eastAsia="Times New Roman" w:hAnsi="Arial" w:cs="Arial"/>
                <w:spacing w:val="-2"/>
                <w:sz w:val="18"/>
                <w:szCs w:val="20"/>
                <w:lang w:val="en-US" w:eastAsia="ru-RU"/>
              </w:rPr>
              <w:t>868</w:t>
            </w:r>
          </w:p>
        </w:tc>
        <w:tc>
          <w:tcPr>
            <w:tcW w:w="1800" w:type="dxa"/>
            <w:tcBorders>
              <w:top w:val="nil"/>
              <w:left w:val="nil"/>
              <w:right w:val="nil"/>
            </w:tcBorders>
            <w:vAlign w:val="bottom"/>
          </w:tcPr>
          <w:p w14:paraId="7372C8E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1,660</w:t>
            </w:r>
          </w:p>
        </w:tc>
      </w:tr>
      <w:tr w:rsidR="002E7C40" w:rsidRPr="002E7C40" w14:paraId="604095B2" w14:textId="77777777" w:rsidTr="002E7C40">
        <w:trPr>
          <w:cantSplit/>
        </w:trPr>
        <w:tc>
          <w:tcPr>
            <w:tcW w:w="4962" w:type="dxa"/>
            <w:tcBorders>
              <w:top w:val="nil"/>
              <w:left w:val="nil"/>
              <w:bottom w:val="nil"/>
              <w:right w:val="nil"/>
            </w:tcBorders>
            <w:vAlign w:val="bottom"/>
          </w:tcPr>
          <w:p w14:paraId="25515F3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Defined benefit obligations</w:t>
            </w:r>
          </w:p>
        </w:tc>
        <w:tc>
          <w:tcPr>
            <w:tcW w:w="1799" w:type="dxa"/>
            <w:tcBorders>
              <w:top w:val="nil"/>
              <w:left w:val="nil"/>
              <w:right w:val="nil"/>
            </w:tcBorders>
            <w:vAlign w:val="bottom"/>
          </w:tcPr>
          <w:p w14:paraId="2ADA390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1,0</w:t>
            </w:r>
            <w:r w:rsidRPr="002E7C40">
              <w:rPr>
                <w:rFonts w:ascii="Arial" w:eastAsia="Times New Roman" w:hAnsi="Arial" w:cs="Arial"/>
                <w:spacing w:val="-2"/>
                <w:sz w:val="18"/>
                <w:szCs w:val="20"/>
                <w:lang w:val="en-US" w:eastAsia="ru-RU"/>
              </w:rPr>
              <w:t>79</w:t>
            </w:r>
          </w:p>
        </w:tc>
        <w:tc>
          <w:tcPr>
            <w:tcW w:w="1800" w:type="dxa"/>
            <w:tcBorders>
              <w:top w:val="nil"/>
              <w:left w:val="nil"/>
              <w:right w:val="nil"/>
            </w:tcBorders>
            <w:vAlign w:val="bottom"/>
          </w:tcPr>
          <w:p w14:paraId="10CB3F1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1,050</w:t>
            </w:r>
          </w:p>
        </w:tc>
      </w:tr>
      <w:tr w:rsidR="002E7C40" w:rsidRPr="002E7C40" w14:paraId="43E1E64E" w14:textId="77777777" w:rsidTr="002E7C40">
        <w:trPr>
          <w:cantSplit/>
        </w:trPr>
        <w:tc>
          <w:tcPr>
            <w:tcW w:w="4962" w:type="dxa"/>
            <w:tcBorders>
              <w:top w:val="nil"/>
              <w:left w:val="nil"/>
              <w:bottom w:val="single" w:sz="4" w:space="0" w:color="auto"/>
              <w:right w:val="nil"/>
            </w:tcBorders>
            <w:vAlign w:val="bottom"/>
          </w:tcPr>
          <w:p w14:paraId="28BBB1EB"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left w:val="nil"/>
              <w:bottom w:val="single" w:sz="4" w:space="0" w:color="auto"/>
              <w:right w:val="nil"/>
            </w:tcBorders>
            <w:vAlign w:val="bottom"/>
          </w:tcPr>
          <w:p w14:paraId="3A4FCCF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left w:val="nil"/>
              <w:bottom w:val="single" w:sz="4" w:space="0" w:color="auto"/>
              <w:right w:val="nil"/>
            </w:tcBorders>
            <w:vAlign w:val="bottom"/>
          </w:tcPr>
          <w:p w14:paraId="2276D54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01D6BCC0" w14:textId="77777777" w:rsidTr="002E7C40">
        <w:trPr>
          <w:cantSplit/>
        </w:trPr>
        <w:tc>
          <w:tcPr>
            <w:tcW w:w="4962" w:type="dxa"/>
            <w:tcBorders>
              <w:top w:val="single" w:sz="4" w:space="0" w:color="auto"/>
              <w:left w:val="nil"/>
              <w:right w:val="nil"/>
            </w:tcBorders>
            <w:vAlign w:val="bottom"/>
          </w:tcPr>
          <w:p w14:paraId="4C4D176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single" w:sz="4" w:space="0" w:color="auto"/>
              <w:left w:val="nil"/>
              <w:right w:val="nil"/>
            </w:tcBorders>
            <w:vAlign w:val="bottom"/>
          </w:tcPr>
          <w:p w14:paraId="45089E4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single" w:sz="4" w:space="0" w:color="auto"/>
              <w:left w:val="nil"/>
              <w:right w:val="nil"/>
            </w:tcBorders>
            <w:vAlign w:val="bottom"/>
          </w:tcPr>
          <w:p w14:paraId="76ADBA7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4548B1B2" w14:textId="77777777" w:rsidTr="002E7C40">
        <w:trPr>
          <w:cantSplit/>
        </w:trPr>
        <w:tc>
          <w:tcPr>
            <w:tcW w:w="4962" w:type="dxa"/>
            <w:tcBorders>
              <w:left w:val="nil"/>
              <w:right w:val="nil"/>
            </w:tcBorders>
            <w:vAlign w:val="bottom"/>
          </w:tcPr>
          <w:p w14:paraId="2613C5A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i/>
                <w:iCs/>
                <w:spacing w:val="-2"/>
                <w:sz w:val="18"/>
                <w:szCs w:val="20"/>
                <w:lang w:eastAsia="ru-RU"/>
              </w:rPr>
            </w:pPr>
            <w:r w:rsidRPr="002E7C40">
              <w:rPr>
                <w:rFonts w:ascii="Arial" w:eastAsia="Times New Roman" w:hAnsi="Arial" w:cs="Arial"/>
                <w:b/>
                <w:spacing w:val="-2"/>
                <w:sz w:val="18"/>
                <w:szCs w:val="20"/>
                <w:lang w:eastAsia="ru-RU"/>
              </w:rPr>
              <w:t>Non-current liabilities</w:t>
            </w:r>
          </w:p>
        </w:tc>
        <w:tc>
          <w:tcPr>
            <w:tcW w:w="1799" w:type="dxa"/>
            <w:tcBorders>
              <w:left w:val="nil"/>
              <w:right w:val="nil"/>
            </w:tcBorders>
            <w:vAlign w:val="bottom"/>
          </w:tcPr>
          <w:p w14:paraId="31E2CBC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19</w:t>
            </w:r>
            <w:r w:rsidRPr="002E7C40">
              <w:rPr>
                <w:rFonts w:ascii="Arial" w:eastAsia="Times New Roman" w:hAnsi="Arial" w:cs="Arial"/>
                <w:b/>
                <w:spacing w:val="-2"/>
                <w:sz w:val="18"/>
                <w:szCs w:val="20"/>
                <w:lang w:val="en-US" w:eastAsia="ru-RU"/>
              </w:rPr>
              <w:t>7</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021</w:t>
            </w:r>
          </w:p>
        </w:tc>
        <w:tc>
          <w:tcPr>
            <w:tcW w:w="1800" w:type="dxa"/>
            <w:tcBorders>
              <w:left w:val="nil"/>
              <w:right w:val="nil"/>
            </w:tcBorders>
            <w:vAlign w:val="bottom"/>
          </w:tcPr>
          <w:p w14:paraId="64AFBF3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b/>
                <w:spacing w:val="-2"/>
                <w:sz w:val="18"/>
                <w:szCs w:val="20"/>
                <w:lang w:val="en-US" w:eastAsia="ru-RU"/>
              </w:rPr>
              <w:t>130,314</w:t>
            </w:r>
          </w:p>
        </w:tc>
      </w:tr>
      <w:tr w:rsidR="002E7C40" w:rsidRPr="002E7C40" w14:paraId="2CD41C1D" w14:textId="77777777" w:rsidTr="002E7C40">
        <w:trPr>
          <w:cantSplit/>
        </w:trPr>
        <w:tc>
          <w:tcPr>
            <w:tcW w:w="4962" w:type="dxa"/>
            <w:tcBorders>
              <w:left w:val="nil"/>
              <w:bottom w:val="single" w:sz="12" w:space="0" w:color="auto"/>
              <w:right w:val="nil"/>
            </w:tcBorders>
            <w:vAlign w:val="bottom"/>
          </w:tcPr>
          <w:p w14:paraId="10D5E36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left w:val="nil"/>
              <w:bottom w:val="single" w:sz="12" w:space="0" w:color="auto"/>
              <w:right w:val="nil"/>
            </w:tcBorders>
            <w:vAlign w:val="bottom"/>
          </w:tcPr>
          <w:p w14:paraId="0F6C8AF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800" w:type="dxa"/>
            <w:tcBorders>
              <w:left w:val="nil"/>
              <w:bottom w:val="single" w:sz="12" w:space="0" w:color="auto"/>
              <w:right w:val="nil"/>
            </w:tcBorders>
            <w:vAlign w:val="bottom"/>
          </w:tcPr>
          <w:p w14:paraId="521C902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7980479A" w14:textId="77777777" w:rsidTr="002E7C40">
        <w:trPr>
          <w:cantSplit/>
        </w:trPr>
        <w:tc>
          <w:tcPr>
            <w:tcW w:w="4962" w:type="dxa"/>
            <w:tcBorders>
              <w:top w:val="single" w:sz="12" w:space="0" w:color="auto"/>
              <w:left w:val="nil"/>
              <w:bottom w:val="nil"/>
              <w:right w:val="nil"/>
            </w:tcBorders>
            <w:vAlign w:val="bottom"/>
          </w:tcPr>
          <w:p w14:paraId="6047517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single" w:sz="12" w:space="0" w:color="auto"/>
              <w:left w:val="nil"/>
              <w:bottom w:val="nil"/>
              <w:right w:val="nil"/>
            </w:tcBorders>
            <w:vAlign w:val="bottom"/>
          </w:tcPr>
          <w:p w14:paraId="50DB610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single" w:sz="12" w:space="0" w:color="auto"/>
              <w:left w:val="nil"/>
              <w:bottom w:val="nil"/>
              <w:right w:val="nil"/>
            </w:tcBorders>
            <w:vAlign w:val="bottom"/>
          </w:tcPr>
          <w:p w14:paraId="0B27309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360BA830" w14:textId="77777777" w:rsidTr="002E7C40">
        <w:trPr>
          <w:cantSplit/>
        </w:trPr>
        <w:tc>
          <w:tcPr>
            <w:tcW w:w="4962" w:type="dxa"/>
            <w:tcBorders>
              <w:top w:val="nil"/>
              <w:left w:val="nil"/>
              <w:right w:val="nil"/>
            </w:tcBorders>
            <w:vAlign w:val="bottom"/>
          </w:tcPr>
          <w:p w14:paraId="4947DFF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Loans and borrowings</w:t>
            </w:r>
          </w:p>
        </w:tc>
        <w:tc>
          <w:tcPr>
            <w:tcW w:w="1799" w:type="dxa"/>
            <w:tcBorders>
              <w:top w:val="nil"/>
              <w:left w:val="nil"/>
              <w:right w:val="nil"/>
            </w:tcBorders>
            <w:vAlign w:val="bottom"/>
          </w:tcPr>
          <w:p w14:paraId="67681C3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7</w:t>
            </w:r>
            <w:r w:rsidRPr="002E7C40">
              <w:rPr>
                <w:rFonts w:ascii="Arial" w:eastAsia="Times New Roman" w:hAnsi="Arial" w:cs="Arial"/>
                <w:spacing w:val="-2"/>
                <w:sz w:val="18"/>
                <w:szCs w:val="20"/>
                <w:lang w:val="ru-RU" w:eastAsia="ru-RU"/>
              </w:rPr>
              <w:t>8,</w:t>
            </w:r>
            <w:r w:rsidRPr="002E7C40">
              <w:rPr>
                <w:rFonts w:ascii="Arial" w:eastAsia="Times New Roman" w:hAnsi="Arial" w:cs="Arial"/>
                <w:spacing w:val="-2"/>
                <w:sz w:val="18"/>
                <w:szCs w:val="20"/>
                <w:lang w:val="en-US" w:eastAsia="ru-RU"/>
              </w:rPr>
              <w:t>146</w:t>
            </w:r>
          </w:p>
        </w:tc>
        <w:tc>
          <w:tcPr>
            <w:tcW w:w="1800" w:type="dxa"/>
            <w:tcBorders>
              <w:top w:val="nil"/>
              <w:left w:val="nil"/>
              <w:right w:val="nil"/>
            </w:tcBorders>
            <w:vAlign w:val="bottom"/>
          </w:tcPr>
          <w:p w14:paraId="20108D5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80,974</w:t>
            </w:r>
          </w:p>
        </w:tc>
      </w:tr>
      <w:tr w:rsidR="002E7C40" w:rsidRPr="002E7C40" w14:paraId="238F42D7" w14:textId="77777777" w:rsidTr="002E7C40">
        <w:trPr>
          <w:cantSplit/>
        </w:trPr>
        <w:tc>
          <w:tcPr>
            <w:tcW w:w="4962" w:type="dxa"/>
            <w:tcBorders>
              <w:top w:val="nil"/>
              <w:left w:val="nil"/>
              <w:right w:val="nil"/>
            </w:tcBorders>
            <w:vAlign w:val="bottom"/>
          </w:tcPr>
          <w:p w14:paraId="784001E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eastAsia="ru-RU"/>
              </w:rPr>
              <w:t>Trade and other payables</w:t>
            </w:r>
          </w:p>
        </w:tc>
        <w:tc>
          <w:tcPr>
            <w:tcW w:w="1799" w:type="dxa"/>
            <w:tcBorders>
              <w:top w:val="nil"/>
              <w:left w:val="nil"/>
              <w:right w:val="nil"/>
            </w:tcBorders>
            <w:vAlign w:val="bottom"/>
          </w:tcPr>
          <w:p w14:paraId="6388242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32</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429</w:t>
            </w:r>
          </w:p>
        </w:tc>
        <w:tc>
          <w:tcPr>
            <w:tcW w:w="1800" w:type="dxa"/>
            <w:tcBorders>
              <w:top w:val="nil"/>
              <w:left w:val="nil"/>
              <w:right w:val="nil"/>
            </w:tcBorders>
            <w:vAlign w:val="bottom"/>
          </w:tcPr>
          <w:p w14:paraId="78DF24A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39,412</w:t>
            </w:r>
          </w:p>
        </w:tc>
      </w:tr>
      <w:tr w:rsidR="002E7C40" w:rsidRPr="002E7C40" w14:paraId="26B5C96A" w14:textId="77777777" w:rsidTr="002E7C40">
        <w:trPr>
          <w:cantSplit/>
        </w:trPr>
        <w:tc>
          <w:tcPr>
            <w:tcW w:w="4962" w:type="dxa"/>
            <w:tcBorders>
              <w:top w:val="nil"/>
              <w:left w:val="nil"/>
              <w:right w:val="nil"/>
            </w:tcBorders>
            <w:vAlign w:val="bottom"/>
          </w:tcPr>
          <w:p w14:paraId="4A03EFE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Dividends payable</w:t>
            </w:r>
          </w:p>
        </w:tc>
        <w:tc>
          <w:tcPr>
            <w:tcW w:w="1799" w:type="dxa"/>
            <w:tcBorders>
              <w:top w:val="nil"/>
              <w:left w:val="nil"/>
              <w:right w:val="nil"/>
            </w:tcBorders>
            <w:vAlign w:val="bottom"/>
          </w:tcPr>
          <w:p w14:paraId="7882E4C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14</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716</w:t>
            </w:r>
          </w:p>
        </w:tc>
        <w:tc>
          <w:tcPr>
            <w:tcW w:w="1800" w:type="dxa"/>
            <w:tcBorders>
              <w:top w:val="nil"/>
              <w:left w:val="nil"/>
              <w:right w:val="nil"/>
            </w:tcBorders>
            <w:vAlign w:val="bottom"/>
          </w:tcPr>
          <w:p w14:paraId="508F5B7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82</w:t>
            </w:r>
          </w:p>
        </w:tc>
      </w:tr>
      <w:tr w:rsidR="002E7C40" w:rsidRPr="002E7C40" w14:paraId="41C5A5D9" w14:textId="77777777" w:rsidTr="002E7C40">
        <w:trPr>
          <w:cantSplit/>
        </w:trPr>
        <w:tc>
          <w:tcPr>
            <w:tcW w:w="4962" w:type="dxa"/>
            <w:tcBorders>
              <w:top w:val="nil"/>
              <w:left w:val="nil"/>
              <w:bottom w:val="nil"/>
              <w:right w:val="nil"/>
            </w:tcBorders>
            <w:vAlign w:val="bottom"/>
          </w:tcPr>
          <w:p w14:paraId="26FCBCC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Income tax payable</w:t>
            </w:r>
          </w:p>
        </w:tc>
        <w:tc>
          <w:tcPr>
            <w:tcW w:w="1799" w:type="dxa"/>
            <w:tcBorders>
              <w:top w:val="nil"/>
              <w:left w:val="nil"/>
              <w:bottom w:val="nil"/>
              <w:right w:val="nil"/>
            </w:tcBorders>
            <w:vAlign w:val="bottom"/>
          </w:tcPr>
          <w:p w14:paraId="44A6D56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6</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592</w:t>
            </w:r>
          </w:p>
        </w:tc>
        <w:tc>
          <w:tcPr>
            <w:tcW w:w="1800" w:type="dxa"/>
            <w:tcBorders>
              <w:top w:val="nil"/>
              <w:left w:val="nil"/>
              <w:bottom w:val="nil"/>
              <w:right w:val="nil"/>
            </w:tcBorders>
            <w:vAlign w:val="bottom"/>
          </w:tcPr>
          <w:p w14:paraId="4F566DF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203</w:t>
            </w:r>
          </w:p>
        </w:tc>
      </w:tr>
      <w:tr w:rsidR="002E7C40" w:rsidRPr="002E7C40" w14:paraId="6188DC22" w14:textId="77777777" w:rsidTr="002E7C40">
        <w:trPr>
          <w:cantSplit/>
        </w:trPr>
        <w:tc>
          <w:tcPr>
            <w:tcW w:w="4962" w:type="dxa"/>
            <w:tcBorders>
              <w:top w:val="nil"/>
              <w:left w:val="nil"/>
              <w:bottom w:val="nil"/>
              <w:right w:val="nil"/>
            </w:tcBorders>
            <w:vAlign w:val="bottom"/>
          </w:tcPr>
          <w:p w14:paraId="56785F1B"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VAT and other taxes payable</w:t>
            </w:r>
          </w:p>
        </w:tc>
        <w:tc>
          <w:tcPr>
            <w:tcW w:w="1799" w:type="dxa"/>
            <w:tcBorders>
              <w:top w:val="nil"/>
              <w:left w:val="nil"/>
              <w:bottom w:val="nil"/>
              <w:right w:val="nil"/>
            </w:tcBorders>
            <w:vAlign w:val="bottom"/>
          </w:tcPr>
          <w:p w14:paraId="171A4C6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4</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901</w:t>
            </w:r>
          </w:p>
        </w:tc>
        <w:tc>
          <w:tcPr>
            <w:tcW w:w="1800" w:type="dxa"/>
            <w:tcBorders>
              <w:top w:val="nil"/>
              <w:left w:val="nil"/>
              <w:bottom w:val="nil"/>
              <w:right w:val="nil"/>
            </w:tcBorders>
            <w:vAlign w:val="bottom"/>
          </w:tcPr>
          <w:p w14:paraId="66F1B3B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5,632</w:t>
            </w:r>
          </w:p>
        </w:tc>
      </w:tr>
      <w:tr w:rsidR="002E7C40" w:rsidRPr="002E7C40" w14:paraId="2A6DE599" w14:textId="77777777" w:rsidTr="002E7C40">
        <w:trPr>
          <w:cantSplit/>
        </w:trPr>
        <w:tc>
          <w:tcPr>
            <w:tcW w:w="4962" w:type="dxa"/>
            <w:tcBorders>
              <w:top w:val="nil"/>
              <w:left w:val="nil"/>
              <w:bottom w:val="nil"/>
              <w:right w:val="nil"/>
            </w:tcBorders>
            <w:vAlign w:val="bottom"/>
          </w:tcPr>
          <w:p w14:paraId="5A71DDF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Lease liabilities</w:t>
            </w:r>
          </w:p>
        </w:tc>
        <w:tc>
          <w:tcPr>
            <w:tcW w:w="1799" w:type="dxa"/>
            <w:tcBorders>
              <w:top w:val="nil"/>
              <w:left w:val="nil"/>
              <w:right w:val="nil"/>
            </w:tcBorders>
            <w:vAlign w:val="bottom"/>
          </w:tcPr>
          <w:p w14:paraId="5B01F0A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ru-RU" w:eastAsia="ru-RU"/>
              </w:rPr>
              <w:t>1</w:t>
            </w:r>
            <w:r w:rsidRPr="002E7C40">
              <w:rPr>
                <w:rFonts w:ascii="Arial" w:eastAsia="Times New Roman" w:hAnsi="Arial" w:cs="Arial"/>
                <w:spacing w:val="-2"/>
                <w:sz w:val="18"/>
                <w:szCs w:val="20"/>
                <w:lang w:val="en-US" w:eastAsia="ru-RU"/>
              </w:rPr>
              <w:t>,393</w:t>
            </w:r>
          </w:p>
        </w:tc>
        <w:tc>
          <w:tcPr>
            <w:tcW w:w="1800" w:type="dxa"/>
            <w:tcBorders>
              <w:top w:val="nil"/>
              <w:left w:val="nil"/>
              <w:right w:val="nil"/>
            </w:tcBorders>
            <w:vAlign w:val="bottom"/>
          </w:tcPr>
          <w:p w14:paraId="747AE9F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1,276</w:t>
            </w:r>
          </w:p>
        </w:tc>
      </w:tr>
      <w:tr w:rsidR="002E7C40" w:rsidRPr="002E7C40" w14:paraId="21EC852D" w14:textId="77777777" w:rsidTr="002E7C40">
        <w:trPr>
          <w:cantSplit/>
        </w:trPr>
        <w:tc>
          <w:tcPr>
            <w:tcW w:w="4962" w:type="dxa"/>
            <w:tcBorders>
              <w:top w:val="nil"/>
              <w:left w:val="nil"/>
              <w:bottom w:val="single" w:sz="4" w:space="0" w:color="auto"/>
              <w:right w:val="nil"/>
            </w:tcBorders>
            <w:vAlign w:val="bottom"/>
          </w:tcPr>
          <w:p w14:paraId="550DDBA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nil"/>
              <w:left w:val="nil"/>
              <w:bottom w:val="single" w:sz="4" w:space="0" w:color="auto"/>
              <w:right w:val="nil"/>
            </w:tcBorders>
            <w:vAlign w:val="bottom"/>
          </w:tcPr>
          <w:p w14:paraId="79297FA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nil"/>
              <w:left w:val="nil"/>
              <w:bottom w:val="single" w:sz="4" w:space="0" w:color="auto"/>
              <w:right w:val="nil"/>
            </w:tcBorders>
            <w:vAlign w:val="bottom"/>
          </w:tcPr>
          <w:p w14:paraId="481327D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41620ADA" w14:textId="77777777" w:rsidTr="002E7C40">
        <w:trPr>
          <w:cantSplit/>
        </w:trPr>
        <w:tc>
          <w:tcPr>
            <w:tcW w:w="4962" w:type="dxa"/>
            <w:tcBorders>
              <w:top w:val="single" w:sz="4" w:space="0" w:color="auto"/>
              <w:left w:val="nil"/>
              <w:right w:val="nil"/>
            </w:tcBorders>
            <w:vAlign w:val="bottom"/>
          </w:tcPr>
          <w:p w14:paraId="09BDE4EB"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1799" w:type="dxa"/>
            <w:tcBorders>
              <w:top w:val="single" w:sz="4" w:space="0" w:color="auto"/>
              <w:left w:val="nil"/>
              <w:right w:val="nil"/>
            </w:tcBorders>
            <w:vAlign w:val="bottom"/>
          </w:tcPr>
          <w:p w14:paraId="0E3B7FC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800" w:type="dxa"/>
            <w:tcBorders>
              <w:top w:val="single" w:sz="4" w:space="0" w:color="auto"/>
              <w:left w:val="nil"/>
              <w:right w:val="nil"/>
            </w:tcBorders>
            <w:vAlign w:val="bottom"/>
          </w:tcPr>
          <w:p w14:paraId="1BA26DF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4F7009E3" w14:textId="77777777" w:rsidTr="002E7C40">
        <w:trPr>
          <w:cantSplit/>
        </w:trPr>
        <w:tc>
          <w:tcPr>
            <w:tcW w:w="4962" w:type="dxa"/>
            <w:tcBorders>
              <w:top w:val="nil"/>
              <w:left w:val="nil"/>
              <w:right w:val="nil"/>
            </w:tcBorders>
            <w:vAlign w:val="bottom"/>
          </w:tcPr>
          <w:p w14:paraId="694730C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Current liabilities</w:t>
            </w:r>
          </w:p>
        </w:tc>
        <w:tc>
          <w:tcPr>
            <w:tcW w:w="1799" w:type="dxa"/>
            <w:tcBorders>
              <w:left w:val="nil"/>
              <w:right w:val="nil"/>
            </w:tcBorders>
            <w:vAlign w:val="bottom"/>
          </w:tcPr>
          <w:p w14:paraId="52FC9DB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13</w:t>
            </w:r>
            <w:r w:rsidRPr="002E7C40">
              <w:rPr>
                <w:rFonts w:ascii="Arial" w:eastAsia="Times New Roman" w:hAnsi="Arial" w:cs="Arial"/>
                <w:b/>
                <w:spacing w:val="-2"/>
                <w:sz w:val="18"/>
                <w:szCs w:val="20"/>
                <w:lang w:val="en-US" w:eastAsia="ru-RU"/>
              </w:rPr>
              <w:t>8</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177</w:t>
            </w:r>
          </w:p>
        </w:tc>
        <w:tc>
          <w:tcPr>
            <w:tcW w:w="1800" w:type="dxa"/>
            <w:tcBorders>
              <w:left w:val="nil"/>
              <w:right w:val="nil"/>
            </w:tcBorders>
            <w:vAlign w:val="bottom"/>
          </w:tcPr>
          <w:p w14:paraId="403BC13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127,579</w:t>
            </w:r>
          </w:p>
        </w:tc>
      </w:tr>
      <w:tr w:rsidR="002E7C40" w:rsidRPr="002E7C40" w14:paraId="7ADF5206" w14:textId="77777777" w:rsidTr="002E7C40">
        <w:trPr>
          <w:cantSplit/>
        </w:trPr>
        <w:tc>
          <w:tcPr>
            <w:tcW w:w="4962" w:type="dxa"/>
            <w:tcBorders>
              <w:left w:val="nil"/>
              <w:bottom w:val="single" w:sz="12" w:space="0" w:color="auto"/>
              <w:right w:val="nil"/>
            </w:tcBorders>
            <w:vAlign w:val="bottom"/>
          </w:tcPr>
          <w:p w14:paraId="18381811"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left w:val="nil"/>
              <w:bottom w:val="single" w:sz="12" w:space="0" w:color="auto"/>
              <w:right w:val="nil"/>
            </w:tcBorders>
            <w:vAlign w:val="bottom"/>
          </w:tcPr>
          <w:p w14:paraId="0BE8CF8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800" w:type="dxa"/>
            <w:tcBorders>
              <w:left w:val="nil"/>
              <w:bottom w:val="single" w:sz="12" w:space="0" w:color="auto"/>
              <w:right w:val="nil"/>
            </w:tcBorders>
            <w:vAlign w:val="bottom"/>
          </w:tcPr>
          <w:p w14:paraId="7D6DDDB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3A7B3A06" w14:textId="77777777" w:rsidTr="002E7C40">
        <w:trPr>
          <w:cantSplit/>
        </w:trPr>
        <w:tc>
          <w:tcPr>
            <w:tcW w:w="4962" w:type="dxa"/>
            <w:tcBorders>
              <w:top w:val="single" w:sz="12" w:space="0" w:color="auto"/>
              <w:left w:val="nil"/>
              <w:right w:val="nil"/>
            </w:tcBorders>
            <w:vAlign w:val="bottom"/>
          </w:tcPr>
          <w:p w14:paraId="645AB85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highlight w:val="magenta"/>
                <w:lang w:eastAsia="ru-RU"/>
              </w:rPr>
            </w:pPr>
          </w:p>
        </w:tc>
        <w:tc>
          <w:tcPr>
            <w:tcW w:w="1799" w:type="dxa"/>
            <w:tcBorders>
              <w:top w:val="single" w:sz="12" w:space="0" w:color="auto"/>
              <w:left w:val="nil"/>
              <w:right w:val="nil"/>
            </w:tcBorders>
            <w:vAlign w:val="bottom"/>
          </w:tcPr>
          <w:p w14:paraId="418A1C1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magenta"/>
                <w:lang w:val="ru-RU" w:eastAsia="ru-RU"/>
              </w:rPr>
            </w:pPr>
          </w:p>
        </w:tc>
        <w:tc>
          <w:tcPr>
            <w:tcW w:w="1800" w:type="dxa"/>
            <w:tcBorders>
              <w:top w:val="single" w:sz="12" w:space="0" w:color="auto"/>
              <w:left w:val="nil"/>
              <w:right w:val="nil"/>
            </w:tcBorders>
            <w:vAlign w:val="bottom"/>
          </w:tcPr>
          <w:p w14:paraId="6A64DCE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283634B8" w14:textId="77777777" w:rsidTr="002E7C40">
        <w:trPr>
          <w:cantSplit/>
        </w:trPr>
        <w:tc>
          <w:tcPr>
            <w:tcW w:w="4962" w:type="dxa"/>
            <w:tcBorders>
              <w:left w:val="nil"/>
              <w:right w:val="nil"/>
            </w:tcBorders>
            <w:vAlign w:val="bottom"/>
          </w:tcPr>
          <w:p w14:paraId="246DC32F"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Total equity and liabilities</w:t>
            </w:r>
          </w:p>
        </w:tc>
        <w:tc>
          <w:tcPr>
            <w:tcW w:w="1799" w:type="dxa"/>
            <w:tcBorders>
              <w:left w:val="nil"/>
              <w:right w:val="nil"/>
            </w:tcBorders>
            <w:vAlign w:val="bottom"/>
          </w:tcPr>
          <w:p w14:paraId="04613D7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4</w:t>
            </w:r>
            <w:r w:rsidRPr="002E7C40">
              <w:rPr>
                <w:rFonts w:ascii="Arial" w:eastAsia="Times New Roman" w:hAnsi="Arial" w:cs="Arial"/>
                <w:b/>
                <w:spacing w:val="-2"/>
                <w:sz w:val="18"/>
                <w:szCs w:val="20"/>
                <w:lang w:val="en-US" w:eastAsia="ru-RU"/>
              </w:rPr>
              <w:t>95</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158</w:t>
            </w:r>
          </w:p>
        </w:tc>
        <w:tc>
          <w:tcPr>
            <w:tcW w:w="1800" w:type="dxa"/>
            <w:tcBorders>
              <w:left w:val="nil"/>
              <w:right w:val="nil"/>
            </w:tcBorders>
            <w:vAlign w:val="bottom"/>
          </w:tcPr>
          <w:p w14:paraId="217F358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455,613</w:t>
            </w:r>
          </w:p>
        </w:tc>
      </w:tr>
      <w:tr w:rsidR="002E7C40" w:rsidRPr="002E7C40" w14:paraId="1767B310" w14:textId="77777777" w:rsidTr="002E7C40">
        <w:trPr>
          <w:cantSplit/>
        </w:trPr>
        <w:tc>
          <w:tcPr>
            <w:tcW w:w="4962" w:type="dxa"/>
            <w:tcBorders>
              <w:left w:val="nil"/>
              <w:bottom w:val="single" w:sz="12" w:space="0" w:color="auto"/>
              <w:right w:val="nil"/>
            </w:tcBorders>
            <w:vAlign w:val="bottom"/>
          </w:tcPr>
          <w:p w14:paraId="4291502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1799" w:type="dxa"/>
            <w:tcBorders>
              <w:left w:val="nil"/>
              <w:bottom w:val="single" w:sz="12" w:space="0" w:color="auto"/>
              <w:right w:val="nil"/>
            </w:tcBorders>
            <w:vAlign w:val="bottom"/>
          </w:tcPr>
          <w:p w14:paraId="7C22340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800" w:type="dxa"/>
            <w:tcBorders>
              <w:left w:val="nil"/>
              <w:bottom w:val="single" w:sz="12" w:space="0" w:color="auto"/>
              <w:right w:val="nil"/>
            </w:tcBorders>
            <w:vAlign w:val="bottom"/>
          </w:tcPr>
          <w:p w14:paraId="4733559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green"/>
                <w:lang w:val="ru-RU" w:eastAsia="ru-RU"/>
              </w:rPr>
            </w:pPr>
          </w:p>
        </w:tc>
      </w:tr>
    </w:tbl>
    <w:p w14:paraId="15B725B1" w14:textId="77777777" w:rsidR="002B7022" w:rsidRPr="008A6DE3" w:rsidRDefault="002B7022" w:rsidP="00C40EB0">
      <w:pPr>
        <w:spacing w:after="0" w:line="240" w:lineRule="auto"/>
        <w:rPr>
          <w:rFonts w:ascii="Arial" w:eastAsia="Times New Roman" w:hAnsi="Arial" w:cs="Arial"/>
          <w:sz w:val="18"/>
          <w:szCs w:val="16"/>
          <w:lang w:eastAsia="en-US"/>
        </w:rPr>
      </w:pPr>
      <w:r w:rsidRPr="008A6DE3">
        <w:rPr>
          <w:rFonts w:ascii="Arial" w:eastAsia="Times New Roman" w:hAnsi="Arial" w:cs="Arial"/>
          <w:sz w:val="18"/>
          <w:szCs w:val="16"/>
          <w:lang w:eastAsia="en-US"/>
        </w:rPr>
        <w:br w:type="page"/>
      </w:r>
    </w:p>
    <w:p w14:paraId="2E2DA83B" w14:textId="77777777" w:rsidR="00F55BFA" w:rsidRPr="008A6DE3" w:rsidRDefault="00F55BFA" w:rsidP="00F55BFA">
      <w:pPr>
        <w:rPr>
          <w:rFonts w:ascii="Arial" w:eastAsia="Times New Roman" w:hAnsi="Arial" w:cs="Arial"/>
          <w:sz w:val="18"/>
          <w:szCs w:val="16"/>
          <w:lang w:eastAsia="en-US"/>
        </w:rPr>
        <w:sectPr w:rsidR="00F55BFA" w:rsidRPr="008A6DE3" w:rsidSect="00F25DDA">
          <w:headerReference w:type="default" r:id="rId14"/>
          <w:footnotePr>
            <w:numRestart w:val="eachPage"/>
          </w:footnotePr>
          <w:pgSz w:w="11907" w:h="16840" w:code="9"/>
          <w:pgMar w:top="1134" w:right="1021" w:bottom="1134" w:left="1531" w:header="567" w:footer="567" w:gutter="0"/>
          <w:pgNumType w:start="1"/>
          <w:cols w:space="708"/>
          <w:docGrid w:linePitch="360"/>
        </w:sectPr>
      </w:pPr>
    </w:p>
    <w:p w14:paraId="61F97F45" w14:textId="77777777" w:rsidR="002E7C40" w:rsidRDefault="002E7C40" w:rsidP="00742764">
      <w:pPr>
        <w:widowControl w:val="0"/>
        <w:spacing w:before="120" w:after="120" w:line="240" w:lineRule="auto"/>
        <w:jc w:val="both"/>
        <w:rPr>
          <w:rFonts w:ascii="Arial" w:eastAsia="Times New Roman" w:hAnsi="Arial" w:cs="Arial"/>
          <w:i/>
          <w:iCs/>
          <w:sz w:val="18"/>
          <w:szCs w:val="16"/>
          <w:vertAlign w:val="superscript"/>
          <w:lang w:val="ru-RU" w:eastAsia="en-US"/>
        </w:rPr>
      </w:pPr>
    </w:p>
    <w:tbl>
      <w:tblPr>
        <w:tblW w:w="9356" w:type="dxa"/>
        <w:tblLayout w:type="fixed"/>
        <w:tblCellMar>
          <w:left w:w="85" w:type="dxa"/>
          <w:right w:w="85" w:type="dxa"/>
        </w:tblCellMar>
        <w:tblLook w:val="04A0" w:firstRow="1" w:lastRow="0" w:firstColumn="1" w:lastColumn="0" w:noHBand="0" w:noVBand="1"/>
      </w:tblPr>
      <w:tblGrid>
        <w:gridCol w:w="5954"/>
        <w:gridCol w:w="22"/>
        <w:gridCol w:w="828"/>
        <w:gridCol w:w="1276"/>
        <w:gridCol w:w="1276"/>
      </w:tblGrid>
      <w:tr w:rsidR="002E7C40" w:rsidRPr="002E7C40" w14:paraId="25B1066E" w14:textId="77777777" w:rsidTr="00ED6D31">
        <w:trPr>
          <w:cantSplit/>
        </w:trPr>
        <w:tc>
          <w:tcPr>
            <w:tcW w:w="5954" w:type="dxa"/>
            <w:vAlign w:val="bottom"/>
          </w:tcPr>
          <w:p w14:paraId="1BAC1A3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p>
        </w:tc>
        <w:tc>
          <w:tcPr>
            <w:tcW w:w="850" w:type="dxa"/>
            <w:gridSpan w:val="2"/>
            <w:vAlign w:val="bottom"/>
          </w:tcPr>
          <w:p w14:paraId="347724EC"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bCs/>
                <w:spacing w:val="-2"/>
                <w:sz w:val="18"/>
                <w:szCs w:val="20"/>
                <w:lang w:eastAsia="ru-RU"/>
              </w:rPr>
            </w:pPr>
          </w:p>
        </w:tc>
        <w:tc>
          <w:tcPr>
            <w:tcW w:w="2552" w:type="dxa"/>
            <w:gridSpan w:val="2"/>
            <w:tcBorders>
              <w:bottom w:val="single" w:sz="4" w:space="0" w:color="auto"/>
            </w:tcBorders>
            <w:vAlign w:val="bottom"/>
          </w:tcPr>
          <w:p w14:paraId="59D04341" w14:textId="77777777" w:rsidR="002E7C40" w:rsidRPr="002E7C40" w:rsidRDefault="002E7C40" w:rsidP="002E7C40">
            <w:pPr>
              <w:widowControl w:val="0"/>
              <w:spacing w:after="0" w:line="240" w:lineRule="auto"/>
              <w:jc w:val="center"/>
              <w:rPr>
                <w:rFonts w:ascii="Arial" w:eastAsia="Times New Roman" w:hAnsi="Arial" w:cs="Arial"/>
                <w:b/>
                <w:bCs/>
                <w:spacing w:val="-2"/>
                <w:sz w:val="18"/>
                <w:szCs w:val="20"/>
                <w:lang w:val="en-US" w:eastAsia="en-US"/>
              </w:rPr>
            </w:pPr>
            <w:r w:rsidRPr="002E7C40">
              <w:rPr>
                <w:rFonts w:ascii="Arial" w:eastAsia="Times New Roman" w:hAnsi="Arial" w:cs="Arial"/>
                <w:b/>
                <w:bCs/>
                <w:spacing w:val="-2"/>
                <w:sz w:val="18"/>
                <w:szCs w:val="20"/>
                <w:lang w:eastAsia="ru-RU"/>
              </w:rPr>
              <w:t xml:space="preserve">Nine months ended </w:t>
            </w:r>
            <w:r w:rsidRPr="002E7C40">
              <w:rPr>
                <w:rFonts w:ascii="Arial" w:eastAsia="Times New Roman" w:hAnsi="Arial" w:cs="Arial"/>
                <w:b/>
                <w:bCs/>
                <w:spacing w:val="-2"/>
                <w:sz w:val="18"/>
                <w:szCs w:val="20"/>
                <w:lang w:eastAsia="ru-RU"/>
              </w:rPr>
              <w:br/>
              <w:t>30 September</w:t>
            </w:r>
          </w:p>
        </w:tc>
      </w:tr>
      <w:tr w:rsidR="002E7C40" w:rsidRPr="002E7C40" w14:paraId="37F18875" w14:textId="77777777" w:rsidTr="00ED6D31">
        <w:trPr>
          <w:cantSplit/>
        </w:trPr>
        <w:tc>
          <w:tcPr>
            <w:tcW w:w="5954" w:type="dxa"/>
            <w:tcBorders>
              <w:bottom w:val="single" w:sz="4" w:space="0" w:color="auto"/>
            </w:tcBorders>
            <w:vAlign w:val="bottom"/>
          </w:tcPr>
          <w:p w14:paraId="1350806E"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i/>
                <w:iCs/>
                <w:spacing w:val="-2"/>
                <w:sz w:val="18"/>
                <w:szCs w:val="18"/>
                <w:lang w:eastAsia="ru-RU"/>
              </w:rPr>
              <w:t>RUB million</w:t>
            </w:r>
          </w:p>
        </w:tc>
        <w:tc>
          <w:tcPr>
            <w:tcW w:w="850" w:type="dxa"/>
            <w:gridSpan w:val="2"/>
            <w:tcBorders>
              <w:bottom w:val="single" w:sz="4" w:space="0" w:color="auto"/>
            </w:tcBorders>
            <w:vAlign w:val="bottom"/>
          </w:tcPr>
          <w:p w14:paraId="125BC6F8" w14:textId="185792D2"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Cs/>
                <w:spacing w:val="-2"/>
                <w:sz w:val="18"/>
                <w:szCs w:val="20"/>
                <w:lang w:eastAsia="ru-RU"/>
              </w:rPr>
            </w:pPr>
          </w:p>
        </w:tc>
        <w:tc>
          <w:tcPr>
            <w:tcW w:w="1276" w:type="dxa"/>
            <w:tcBorders>
              <w:top w:val="single" w:sz="4" w:space="0" w:color="auto"/>
              <w:bottom w:val="single" w:sz="4" w:space="0" w:color="auto"/>
            </w:tcBorders>
            <w:vAlign w:val="bottom"/>
          </w:tcPr>
          <w:p w14:paraId="65ECC4C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bCs/>
                <w:spacing w:val="-2"/>
                <w:sz w:val="18"/>
                <w:szCs w:val="20"/>
                <w:lang w:val="en-US" w:eastAsia="ru-RU"/>
              </w:rPr>
            </w:pPr>
            <w:r w:rsidRPr="002E7C40">
              <w:rPr>
                <w:rFonts w:ascii="Arial" w:eastAsia="Times New Roman" w:hAnsi="Arial" w:cs="Arial"/>
                <w:b/>
                <w:bCs/>
                <w:spacing w:val="-2"/>
                <w:sz w:val="18"/>
                <w:szCs w:val="20"/>
                <w:lang w:eastAsia="ru-RU"/>
              </w:rPr>
              <w:t xml:space="preserve"> 2023</w:t>
            </w:r>
          </w:p>
        </w:tc>
        <w:tc>
          <w:tcPr>
            <w:tcW w:w="1276" w:type="dxa"/>
            <w:tcBorders>
              <w:top w:val="single" w:sz="4" w:space="0" w:color="auto"/>
              <w:bottom w:val="single" w:sz="4" w:space="0" w:color="auto"/>
            </w:tcBorders>
            <w:vAlign w:val="bottom"/>
          </w:tcPr>
          <w:p w14:paraId="4744DD7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bCs/>
                <w:spacing w:val="-2"/>
                <w:sz w:val="18"/>
                <w:szCs w:val="20"/>
                <w:lang w:val="ru-RU" w:eastAsia="ru-RU"/>
              </w:rPr>
            </w:pPr>
            <w:r w:rsidRPr="002E7C40">
              <w:rPr>
                <w:rFonts w:ascii="Arial" w:eastAsia="Times New Roman" w:hAnsi="Arial" w:cs="Arial"/>
                <w:b/>
                <w:bCs/>
                <w:spacing w:val="-2"/>
                <w:sz w:val="18"/>
                <w:szCs w:val="20"/>
                <w:lang w:eastAsia="ru-RU"/>
              </w:rPr>
              <w:t>2022</w:t>
            </w:r>
          </w:p>
        </w:tc>
      </w:tr>
      <w:tr w:rsidR="002E7C40" w:rsidRPr="002E7C40" w14:paraId="459C7661"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480CC30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highlight w:val="yellow"/>
                <w:lang w:eastAsia="ru-RU"/>
              </w:rPr>
            </w:pPr>
          </w:p>
        </w:tc>
        <w:tc>
          <w:tcPr>
            <w:tcW w:w="828" w:type="dxa"/>
            <w:tcBorders>
              <w:top w:val="single" w:sz="4" w:space="0" w:color="auto"/>
            </w:tcBorders>
            <w:vAlign w:val="bottom"/>
          </w:tcPr>
          <w:p w14:paraId="2CA1B051"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vAlign w:val="bottom"/>
          </w:tcPr>
          <w:p w14:paraId="51F5DAAF"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1276" w:type="dxa"/>
            <w:tcBorders>
              <w:top w:val="single" w:sz="4" w:space="0" w:color="auto"/>
            </w:tcBorders>
            <w:vAlign w:val="bottom"/>
          </w:tcPr>
          <w:p w14:paraId="5FD33B72"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r>
      <w:tr w:rsidR="002E7C40" w:rsidRPr="002E7C40" w14:paraId="46251B0E" w14:textId="77777777" w:rsidTr="00ED6D31">
        <w:tblPrEx>
          <w:tblLook w:val="0000" w:firstRow="0" w:lastRow="0" w:firstColumn="0" w:lastColumn="0" w:noHBand="0" w:noVBand="0"/>
        </w:tblPrEx>
        <w:trPr>
          <w:cantSplit/>
        </w:trPr>
        <w:tc>
          <w:tcPr>
            <w:tcW w:w="5976" w:type="dxa"/>
            <w:gridSpan w:val="2"/>
            <w:vAlign w:val="bottom"/>
          </w:tcPr>
          <w:p w14:paraId="1E764BA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i/>
                <w:spacing w:val="-2"/>
                <w:sz w:val="18"/>
                <w:szCs w:val="20"/>
                <w:lang w:eastAsia="ru-RU"/>
              </w:rPr>
            </w:pPr>
            <w:r w:rsidRPr="002E7C40">
              <w:rPr>
                <w:rFonts w:ascii="Arial" w:eastAsia="Times New Roman" w:hAnsi="Arial" w:cs="Arial"/>
                <w:b/>
                <w:i/>
                <w:spacing w:val="-2"/>
                <w:sz w:val="18"/>
                <w:szCs w:val="20"/>
                <w:lang w:eastAsia="ru-RU"/>
              </w:rPr>
              <w:t>Cash flows from operating activities</w:t>
            </w:r>
          </w:p>
        </w:tc>
        <w:tc>
          <w:tcPr>
            <w:tcW w:w="828" w:type="dxa"/>
            <w:vAlign w:val="bottom"/>
          </w:tcPr>
          <w:p w14:paraId="3B40BBB4"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vAlign w:val="bottom"/>
          </w:tcPr>
          <w:p w14:paraId="3D6DBC2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highlight w:val="yellow"/>
                <w:lang w:eastAsia="ru-RU"/>
              </w:rPr>
            </w:pPr>
          </w:p>
        </w:tc>
        <w:tc>
          <w:tcPr>
            <w:tcW w:w="1276" w:type="dxa"/>
            <w:vAlign w:val="bottom"/>
          </w:tcPr>
          <w:p w14:paraId="35D84D9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136B9A7A" w14:textId="77777777" w:rsidTr="00ED6D31">
        <w:tblPrEx>
          <w:tblLook w:val="0000" w:firstRow="0" w:lastRow="0" w:firstColumn="0" w:lastColumn="0" w:noHBand="0" w:noVBand="0"/>
        </w:tblPrEx>
        <w:trPr>
          <w:cantSplit/>
        </w:trPr>
        <w:tc>
          <w:tcPr>
            <w:tcW w:w="5976" w:type="dxa"/>
            <w:gridSpan w:val="2"/>
            <w:vAlign w:val="bottom"/>
          </w:tcPr>
          <w:p w14:paraId="188BBE5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Operating profit</w:t>
            </w:r>
          </w:p>
        </w:tc>
        <w:tc>
          <w:tcPr>
            <w:tcW w:w="828" w:type="dxa"/>
            <w:vAlign w:val="bottom"/>
          </w:tcPr>
          <w:p w14:paraId="441178F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6D5AEE3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color w:val="000000"/>
                <w:spacing w:val="-2"/>
                <w:sz w:val="18"/>
                <w:szCs w:val="20"/>
                <w:lang w:val="en-US" w:eastAsia="en-US"/>
              </w:rPr>
            </w:pPr>
            <w:r w:rsidRPr="002E7C40">
              <w:rPr>
                <w:rFonts w:ascii="Arial" w:eastAsia="Times New Roman" w:hAnsi="Arial" w:cs="Arial"/>
                <w:spacing w:val="-2"/>
                <w:sz w:val="18"/>
                <w:szCs w:val="20"/>
                <w:lang w:val="en-US" w:eastAsia="ru-RU"/>
              </w:rPr>
              <w:t>127,016</w:t>
            </w:r>
          </w:p>
        </w:tc>
        <w:tc>
          <w:tcPr>
            <w:tcW w:w="1276" w:type="dxa"/>
            <w:vAlign w:val="bottom"/>
          </w:tcPr>
          <w:p w14:paraId="5471237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176,787</w:t>
            </w:r>
          </w:p>
        </w:tc>
      </w:tr>
      <w:tr w:rsidR="002E7C40" w:rsidRPr="002E7C40" w14:paraId="78396693" w14:textId="77777777" w:rsidTr="00ED6D31">
        <w:tblPrEx>
          <w:tblLook w:val="0000" w:firstRow="0" w:lastRow="0" w:firstColumn="0" w:lastColumn="0" w:noHBand="0" w:noVBand="0"/>
        </w:tblPrEx>
        <w:trPr>
          <w:cantSplit/>
        </w:trPr>
        <w:tc>
          <w:tcPr>
            <w:tcW w:w="5976" w:type="dxa"/>
            <w:gridSpan w:val="2"/>
            <w:vAlign w:val="bottom"/>
          </w:tcPr>
          <w:p w14:paraId="2211FDE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i/>
                <w:iCs/>
                <w:spacing w:val="-2"/>
                <w:sz w:val="18"/>
                <w:szCs w:val="20"/>
                <w:lang w:val="ru-RU" w:eastAsia="ru-RU"/>
              </w:rPr>
            </w:pPr>
            <w:r w:rsidRPr="002E7C40">
              <w:rPr>
                <w:rFonts w:ascii="Arial" w:eastAsia="Times New Roman" w:hAnsi="Arial" w:cs="Arial"/>
                <w:i/>
                <w:iCs/>
                <w:spacing w:val="-2"/>
                <w:sz w:val="18"/>
                <w:szCs w:val="20"/>
                <w:lang w:eastAsia="ru-RU"/>
              </w:rPr>
              <w:t>Adjustments for:</w:t>
            </w:r>
          </w:p>
        </w:tc>
        <w:tc>
          <w:tcPr>
            <w:tcW w:w="828" w:type="dxa"/>
            <w:vAlign w:val="bottom"/>
          </w:tcPr>
          <w:p w14:paraId="274680F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i/>
                <w:iCs/>
                <w:spacing w:val="-2"/>
                <w:sz w:val="18"/>
                <w:szCs w:val="20"/>
                <w:lang w:eastAsia="ru-RU"/>
              </w:rPr>
            </w:pPr>
          </w:p>
        </w:tc>
        <w:tc>
          <w:tcPr>
            <w:tcW w:w="1276" w:type="dxa"/>
            <w:shd w:val="clear" w:color="auto" w:fill="auto"/>
            <w:vAlign w:val="bottom"/>
          </w:tcPr>
          <w:p w14:paraId="56CECC8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c>
          <w:tcPr>
            <w:tcW w:w="1276" w:type="dxa"/>
            <w:vAlign w:val="bottom"/>
          </w:tcPr>
          <w:p w14:paraId="56899C2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13B99BB4" w14:textId="77777777" w:rsidTr="00ED6D31">
        <w:tblPrEx>
          <w:tblLook w:val="0000" w:firstRow="0" w:lastRow="0" w:firstColumn="0" w:lastColumn="0" w:noHBand="0" w:noVBand="0"/>
        </w:tblPrEx>
        <w:trPr>
          <w:cantSplit/>
        </w:trPr>
        <w:tc>
          <w:tcPr>
            <w:tcW w:w="5976" w:type="dxa"/>
            <w:gridSpan w:val="2"/>
            <w:vAlign w:val="bottom"/>
          </w:tcPr>
          <w:p w14:paraId="4D211BC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Depreciation and amortisation</w:t>
            </w:r>
          </w:p>
        </w:tc>
        <w:tc>
          <w:tcPr>
            <w:tcW w:w="828" w:type="dxa"/>
            <w:vAlign w:val="bottom"/>
          </w:tcPr>
          <w:p w14:paraId="0A326274" w14:textId="72A83576"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ru-RU" w:eastAsia="ru-RU"/>
              </w:rPr>
            </w:pPr>
          </w:p>
        </w:tc>
        <w:tc>
          <w:tcPr>
            <w:tcW w:w="1276" w:type="dxa"/>
            <w:shd w:val="clear" w:color="auto" w:fill="auto"/>
            <w:vAlign w:val="bottom"/>
          </w:tcPr>
          <w:p w14:paraId="49F7BD7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24,082</w:t>
            </w:r>
          </w:p>
        </w:tc>
        <w:tc>
          <w:tcPr>
            <w:tcW w:w="1276" w:type="dxa"/>
            <w:vAlign w:val="bottom"/>
          </w:tcPr>
          <w:p w14:paraId="402CDA2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22,651</w:t>
            </w:r>
          </w:p>
        </w:tc>
      </w:tr>
      <w:tr w:rsidR="002E7C40" w:rsidRPr="002E7C40" w14:paraId="35C74E24" w14:textId="77777777" w:rsidTr="00ED6D31">
        <w:tblPrEx>
          <w:tblLook w:val="0000" w:firstRow="0" w:lastRow="0" w:firstColumn="0" w:lastColumn="0" w:noHBand="0" w:noVBand="0"/>
        </w:tblPrEx>
        <w:trPr>
          <w:cantSplit/>
        </w:trPr>
        <w:tc>
          <w:tcPr>
            <w:tcW w:w="5976" w:type="dxa"/>
            <w:gridSpan w:val="2"/>
            <w:vAlign w:val="bottom"/>
          </w:tcPr>
          <w:p w14:paraId="52970F3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Loss on disposal of property, plant and equipment and intangible assets</w:t>
            </w:r>
          </w:p>
        </w:tc>
        <w:tc>
          <w:tcPr>
            <w:tcW w:w="828" w:type="dxa"/>
            <w:vAlign w:val="bottom"/>
          </w:tcPr>
          <w:p w14:paraId="082EE3F5" w14:textId="3A17F265" w:rsidR="002E7C40" w:rsidRPr="009A7F0D"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09EBEBF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186</w:t>
            </w:r>
          </w:p>
        </w:tc>
        <w:tc>
          <w:tcPr>
            <w:tcW w:w="1276" w:type="dxa"/>
            <w:vAlign w:val="bottom"/>
          </w:tcPr>
          <w:p w14:paraId="3AC86B4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260</w:t>
            </w:r>
          </w:p>
        </w:tc>
      </w:tr>
      <w:tr w:rsidR="002E7C40" w:rsidRPr="002E7C40" w14:paraId="71F132BA" w14:textId="77777777" w:rsidTr="00ED6D31">
        <w:tblPrEx>
          <w:tblLook w:val="0000" w:firstRow="0" w:lastRow="0" w:firstColumn="0" w:lastColumn="0" w:noHBand="0" w:noVBand="0"/>
        </w:tblPrEx>
        <w:trPr>
          <w:cantSplit/>
        </w:trPr>
        <w:tc>
          <w:tcPr>
            <w:tcW w:w="5976" w:type="dxa"/>
            <w:gridSpan w:val="2"/>
            <w:tcBorders>
              <w:bottom w:val="single" w:sz="4" w:space="0" w:color="auto"/>
            </w:tcBorders>
            <w:vAlign w:val="bottom"/>
          </w:tcPr>
          <w:p w14:paraId="3A0D976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bottom w:val="single" w:sz="4" w:space="0" w:color="auto"/>
            </w:tcBorders>
            <w:vAlign w:val="bottom"/>
          </w:tcPr>
          <w:p w14:paraId="3675A8C7"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5AD89EC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bottom w:val="single" w:sz="4" w:space="0" w:color="auto"/>
            </w:tcBorders>
            <w:vAlign w:val="bottom"/>
          </w:tcPr>
          <w:p w14:paraId="435012E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23263F51"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4D34067A"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top w:val="single" w:sz="4" w:space="0" w:color="auto"/>
            </w:tcBorders>
            <w:vAlign w:val="bottom"/>
          </w:tcPr>
          <w:p w14:paraId="5FE9485D"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138A140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top w:val="single" w:sz="4" w:space="0" w:color="auto"/>
            </w:tcBorders>
            <w:vAlign w:val="bottom"/>
          </w:tcPr>
          <w:p w14:paraId="332EBD7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0AEF4B2F" w14:textId="77777777" w:rsidTr="00ED6D31">
        <w:tblPrEx>
          <w:tblLook w:val="0000" w:firstRow="0" w:lastRow="0" w:firstColumn="0" w:lastColumn="0" w:noHBand="0" w:noVBand="0"/>
        </w:tblPrEx>
        <w:trPr>
          <w:cantSplit/>
        </w:trPr>
        <w:tc>
          <w:tcPr>
            <w:tcW w:w="5976" w:type="dxa"/>
            <w:gridSpan w:val="2"/>
            <w:vAlign w:val="bottom"/>
          </w:tcPr>
          <w:p w14:paraId="0D57C0C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Operating profit before changes in working capital and provisions</w:t>
            </w:r>
          </w:p>
        </w:tc>
        <w:tc>
          <w:tcPr>
            <w:tcW w:w="828" w:type="dxa"/>
            <w:vAlign w:val="bottom"/>
          </w:tcPr>
          <w:p w14:paraId="7A8C18B0"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6B9C1C2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151,284</w:t>
            </w:r>
          </w:p>
        </w:tc>
        <w:tc>
          <w:tcPr>
            <w:tcW w:w="1276" w:type="dxa"/>
            <w:vAlign w:val="bottom"/>
          </w:tcPr>
          <w:p w14:paraId="5EF227D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199,698</w:t>
            </w:r>
          </w:p>
        </w:tc>
      </w:tr>
      <w:tr w:rsidR="002E7C40" w:rsidRPr="002E7C40" w14:paraId="47FAC158" w14:textId="77777777" w:rsidTr="00ED6D31">
        <w:tblPrEx>
          <w:tblLook w:val="0000" w:firstRow="0" w:lastRow="0" w:firstColumn="0" w:lastColumn="0" w:noHBand="0" w:noVBand="0"/>
        </w:tblPrEx>
        <w:trPr>
          <w:cantSplit/>
        </w:trPr>
        <w:tc>
          <w:tcPr>
            <w:tcW w:w="5976" w:type="dxa"/>
            <w:gridSpan w:val="2"/>
            <w:vAlign w:val="bottom"/>
          </w:tcPr>
          <w:p w14:paraId="1924090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vAlign w:val="bottom"/>
          </w:tcPr>
          <w:p w14:paraId="167AA81C"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1276" w:type="dxa"/>
            <w:shd w:val="clear" w:color="auto" w:fill="auto"/>
            <w:vAlign w:val="bottom"/>
          </w:tcPr>
          <w:p w14:paraId="7A9002D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color w:val="000000"/>
                <w:spacing w:val="-2"/>
                <w:sz w:val="10"/>
                <w:szCs w:val="10"/>
                <w:lang w:val="ru-RU" w:eastAsia="en-US"/>
              </w:rPr>
            </w:pPr>
          </w:p>
        </w:tc>
        <w:tc>
          <w:tcPr>
            <w:tcW w:w="1276" w:type="dxa"/>
            <w:vAlign w:val="bottom"/>
          </w:tcPr>
          <w:p w14:paraId="01CA466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2E7C40" w:rsidRPr="002E7C40" w14:paraId="4EE33412" w14:textId="77777777" w:rsidTr="00ED6D31">
        <w:tblPrEx>
          <w:tblLook w:val="0000" w:firstRow="0" w:lastRow="0" w:firstColumn="0" w:lastColumn="0" w:noHBand="0" w:noVBand="0"/>
        </w:tblPrEx>
        <w:trPr>
          <w:cantSplit/>
        </w:trPr>
        <w:tc>
          <w:tcPr>
            <w:tcW w:w="5976" w:type="dxa"/>
            <w:gridSpan w:val="2"/>
            <w:shd w:val="clear" w:color="auto" w:fill="auto"/>
            <w:vAlign w:val="bottom"/>
          </w:tcPr>
          <w:p w14:paraId="79D8191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eastAsia="ru-RU"/>
              </w:rPr>
              <w:t>Decrease in trade and other receivables</w:t>
            </w:r>
            <w:r w:rsidRPr="002E7C40">
              <w:rPr>
                <w:rFonts w:ascii="Arial" w:eastAsia="Times New Roman" w:hAnsi="Arial" w:cs="Arial"/>
                <w:spacing w:val="-2"/>
                <w:sz w:val="18"/>
                <w:szCs w:val="20"/>
                <w:vertAlign w:val="superscript"/>
                <w:lang w:val="en-US" w:eastAsia="en-US"/>
              </w:rPr>
              <w:t>1</w:t>
            </w:r>
          </w:p>
        </w:tc>
        <w:tc>
          <w:tcPr>
            <w:tcW w:w="828" w:type="dxa"/>
            <w:shd w:val="clear" w:color="auto" w:fill="auto"/>
            <w:vAlign w:val="bottom"/>
          </w:tcPr>
          <w:p w14:paraId="7247B38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43BF9ED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16,783</w:t>
            </w:r>
          </w:p>
        </w:tc>
        <w:tc>
          <w:tcPr>
            <w:tcW w:w="1276" w:type="dxa"/>
            <w:vAlign w:val="bottom"/>
          </w:tcPr>
          <w:p w14:paraId="293E1CC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27,258</w:t>
            </w:r>
          </w:p>
        </w:tc>
      </w:tr>
      <w:tr w:rsidR="002E7C40" w:rsidRPr="002E7C40" w14:paraId="0755B2B0" w14:textId="77777777" w:rsidTr="00ED6D31">
        <w:tblPrEx>
          <w:tblLook w:val="0000" w:firstRow="0" w:lastRow="0" w:firstColumn="0" w:lastColumn="0" w:noHBand="0" w:noVBand="0"/>
        </w:tblPrEx>
        <w:trPr>
          <w:cantSplit/>
        </w:trPr>
        <w:tc>
          <w:tcPr>
            <w:tcW w:w="5976" w:type="dxa"/>
            <w:gridSpan w:val="2"/>
            <w:vAlign w:val="bottom"/>
          </w:tcPr>
          <w:p w14:paraId="7D51635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eastAsia="ru-RU"/>
              </w:rPr>
              <w:t>Decrease in trade and other payables</w:t>
            </w:r>
            <w:r w:rsidRPr="002E7C40">
              <w:rPr>
                <w:rFonts w:ascii="Arial" w:eastAsia="Times New Roman" w:hAnsi="Arial" w:cs="Arial"/>
                <w:spacing w:val="-2"/>
                <w:sz w:val="18"/>
                <w:szCs w:val="20"/>
                <w:vertAlign w:val="superscript"/>
                <w:lang w:val="en-US" w:eastAsia="en-US"/>
              </w:rPr>
              <w:t>1</w:t>
            </w:r>
          </w:p>
        </w:tc>
        <w:tc>
          <w:tcPr>
            <w:tcW w:w="828" w:type="dxa"/>
            <w:vAlign w:val="bottom"/>
          </w:tcPr>
          <w:p w14:paraId="365CE16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24406D10"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(9,821)</w:t>
            </w:r>
          </w:p>
        </w:tc>
        <w:tc>
          <w:tcPr>
            <w:tcW w:w="1276" w:type="dxa"/>
            <w:vAlign w:val="bottom"/>
          </w:tcPr>
          <w:p w14:paraId="56A4B236"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(15,393)</w:t>
            </w:r>
          </w:p>
        </w:tc>
      </w:tr>
      <w:tr w:rsidR="002E7C40" w:rsidRPr="002E7C40" w14:paraId="7E683B5B" w14:textId="77777777" w:rsidTr="00ED6D31">
        <w:tblPrEx>
          <w:tblLook w:val="0000" w:firstRow="0" w:lastRow="0" w:firstColumn="0" w:lastColumn="0" w:noHBand="0" w:noVBand="0"/>
        </w:tblPrEx>
        <w:trPr>
          <w:cantSplit/>
        </w:trPr>
        <w:tc>
          <w:tcPr>
            <w:tcW w:w="5976" w:type="dxa"/>
            <w:gridSpan w:val="2"/>
            <w:vAlign w:val="bottom"/>
          </w:tcPr>
          <w:p w14:paraId="7DB4C11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eastAsia="ru-RU"/>
              </w:rPr>
              <w:t xml:space="preserve">Increase in inventories, </w:t>
            </w:r>
            <w:r w:rsidRPr="002E7C40">
              <w:rPr>
                <w:rFonts w:ascii="Arial" w:eastAsia="Times New Roman" w:hAnsi="Arial" w:cs="Arial"/>
                <w:spacing w:val="-2"/>
                <w:sz w:val="18"/>
                <w:szCs w:val="20"/>
                <w:lang w:val="en-US" w:eastAsia="en-US"/>
              </w:rPr>
              <w:t>catalysts and non-current spare parts</w:t>
            </w:r>
          </w:p>
        </w:tc>
        <w:tc>
          <w:tcPr>
            <w:tcW w:w="828" w:type="dxa"/>
            <w:vAlign w:val="bottom"/>
          </w:tcPr>
          <w:p w14:paraId="1A6036D8"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7824CBD1"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(7,495)</w:t>
            </w:r>
          </w:p>
        </w:tc>
        <w:tc>
          <w:tcPr>
            <w:tcW w:w="1276" w:type="dxa"/>
            <w:vAlign w:val="bottom"/>
          </w:tcPr>
          <w:p w14:paraId="36ABF87A"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(9,955)</w:t>
            </w:r>
          </w:p>
        </w:tc>
      </w:tr>
      <w:tr w:rsidR="002E7C40" w:rsidRPr="002E7C40" w14:paraId="5AB121C2" w14:textId="77777777" w:rsidTr="00ED6D31">
        <w:tblPrEx>
          <w:tblLook w:val="0000" w:firstRow="0" w:lastRow="0" w:firstColumn="0" w:lastColumn="0" w:noHBand="0" w:noVBand="0"/>
        </w:tblPrEx>
        <w:trPr>
          <w:cantSplit/>
        </w:trPr>
        <w:tc>
          <w:tcPr>
            <w:tcW w:w="5976" w:type="dxa"/>
            <w:gridSpan w:val="2"/>
            <w:tcBorders>
              <w:bottom w:val="single" w:sz="4" w:space="0" w:color="auto"/>
            </w:tcBorders>
            <w:vAlign w:val="bottom"/>
          </w:tcPr>
          <w:p w14:paraId="7FBA067E"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bottom w:val="single" w:sz="4" w:space="0" w:color="auto"/>
            </w:tcBorders>
            <w:vAlign w:val="bottom"/>
          </w:tcPr>
          <w:p w14:paraId="1E981A78"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4C3C297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bottom w:val="single" w:sz="4" w:space="0" w:color="auto"/>
            </w:tcBorders>
            <w:vAlign w:val="bottom"/>
          </w:tcPr>
          <w:p w14:paraId="3B0F72B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6AEF1945"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586907A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top w:val="single" w:sz="4" w:space="0" w:color="auto"/>
            </w:tcBorders>
            <w:vAlign w:val="bottom"/>
          </w:tcPr>
          <w:p w14:paraId="5057C5B8"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5249103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top w:val="single" w:sz="4" w:space="0" w:color="auto"/>
            </w:tcBorders>
            <w:vAlign w:val="bottom"/>
          </w:tcPr>
          <w:p w14:paraId="57FEF44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2E7C40" w:rsidRPr="002E7C40" w14:paraId="5C688FDC" w14:textId="77777777" w:rsidTr="00ED6D31">
        <w:tblPrEx>
          <w:tblLook w:val="0000" w:firstRow="0" w:lastRow="0" w:firstColumn="0" w:lastColumn="0" w:noHBand="0" w:noVBand="0"/>
        </w:tblPrEx>
        <w:trPr>
          <w:cantSplit/>
        </w:trPr>
        <w:tc>
          <w:tcPr>
            <w:tcW w:w="5976" w:type="dxa"/>
            <w:gridSpan w:val="2"/>
            <w:vAlign w:val="bottom"/>
          </w:tcPr>
          <w:p w14:paraId="71A94A1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Cash flows from operations before income taxes and interest paid</w:t>
            </w:r>
          </w:p>
        </w:tc>
        <w:tc>
          <w:tcPr>
            <w:tcW w:w="828" w:type="dxa"/>
            <w:vAlign w:val="bottom"/>
          </w:tcPr>
          <w:p w14:paraId="068C9FC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5BDAC1D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150,751</w:t>
            </w:r>
          </w:p>
        </w:tc>
        <w:tc>
          <w:tcPr>
            <w:tcW w:w="1276" w:type="dxa"/>
            <w:vAlign w:val="bottom"/>
          </w:tcPr>
          <w:p w14:paraId="724BAE3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201,608</w:t>
            </w:r>
          </w:p>
        </w:tc>
      </w:tr>
      <w:tr w:rsidR="002E7C40" w:rsidRPr="002E7C40" w14:paraId="08615BAC" w14:textId="77777777" w:rsidTr="00ED6D31">
        <w:tblPrEx>
          <w:tblLook w:val="0000" w:firstRow="0" w:lastRow="0" w:firstColumn="0" w:lastColumn="0" w:noHBand="0" w:noVBand="0"/>
        </w:tblPrEx>
        <w:trPr>
          <w:cantSplit/>
        </w:trPr>
        <w:tc>
          <w:tcPr>
            <w:tcW w:w="5976" w:type="dxa"/>
            <w:gridSpan w:val="2"/>
            <w:vAlign w:val="bottom"/>
          </w:tcPr>
          <w:p w14:paraId="3263D73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vAlign w:val="bottom"/>
          </w:tcPr>
          <w:p w14:paraId="3B435EB3"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shd w:val="clear" w:color="auto" w:fill="auto"/>
            <w:vAlign w:val="bottom"/>
          </w:tcPr>
          <w:p w14:paraId="2294C21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color w:val="000000"/>
                <w:spacing w:val="-2"/>
                <w:sz w:val="10"/>
                <w:szCs w:val="10"/>
                <w:lang w:val="ru-RU" w:eastAsia="en-US"/>
              </w:rPr>
            </w:pPr>
          </w:p>
        </w:tc>
        <w:tc>
          <w:tcPr>
            <w:tcW w:w="1276" w:type="dxa"/>
            <w:vAlign w:val="bottom"/>
          </w:tcPr>
          <w:p w14:paraId="3FE67D4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color w:val="000000"/>
                <w:spacing w:val="-2"/>
                <w:sz w:val="10"/>
                <w:szCs w:val="10"/>
                <w:lang w:val="ru-RU" w:eastAsia="en-US"/>
              </w:rPr>
            </w:pPr>
          </w:p>
        </w:tc>
      </w:tr>
      <w:tr w:rsidR="002E7C40" w:rsidRPr="002E7C40" w14:paraId="6C80ACD7" w14:textId="77777777" w:rsidTr="00ED6D31">
        <w:tblPrEx>
          <w:tblLook w:val="0000" w:firstRow="0" w:lastRow="0" w:firstColumn="0" w:lastColumn="0" w:noHBand="0" w:noVBand="0"/>
        </w:tblPrEx>
        <w:trPr>
          <w:cantSplit/>
        </w:trPr>
        <w:tc>
          <w:tcPr>
            <w:tcW w:w="5976" w:type="dxa"/>
            <w:gridSpan w:val="2"/>
            <w:vAlign w:val="bottom"/>
          </w:tcPr>
          <w:p w14:paraId="1A069C8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Income tax paid</w:t>
            </w:r>
          </w:p>
        </w:tc>
        <w:tc>
          <w:tcPr>
            <w:tcW w:w="828" w:type="dxa"/>
            <w:vAlign w:val="bottom"/>
          </w:tcPr>
          <w:p w14:paraId="0AAF554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0367A97D"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(24,34</w:t>
            </w:r>
            <w:r w:rsidRPr="002E7C40">
              <w:rPr>
                <w:rFonts w:ascii="Arial" w:eastAsia="Times New Roman" w:hAnsi="Arial" w:cs="Arial"/>
                <w:spacing w:val="-2"/>
                <w:sz w:val="18"/>
                <w:szCs w:val="20"/>
                <w:lang w:val="ru-RU" w:eastAsia="ru-RU"/>
              </w:rPr>
              <w:t>5</w:t>
            </w:r>
            <w:r w:rsidRPr="002E7C40">
              <w:rPr>
                <w:rFonts w:ascii="Arial" w:eastAsia="Times New Roman" w:hAnsi="Arial" w:cs="Arial"/>
                <w:spacing w:val="-2"/>
                <w:sz w:val="18"/>
                <w:szCs w:val="20"/>
                <w:lang w:val="en-US" w:eastAsia="ru-RU"/>
              </w:rPr>
              <w:t>)</w:t>
            </w:r>
          </w:p>
        </w:tc>
        <w:tc>
          <w:tcPr>
            <w:tcW w:w="1276" w:type="dxa"/>
            <w:vAlign w:val="bottom"/>
          </w:tcPr>
          <w:p w14:paraId="3ADDDD54"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(38,391)</w:t>
            </w:r>
          </w:p>
        </w:tc>
      </w:tr>
      <w:tr w:rsidR="002E7C40" w:rsidRPr="002E7C40" w14:paraId="38170D14" w14:textId="77777777" w:rsidTr="00ED6D31">
        <w:tblPrEx>
          <w:tblLook w:val="0000" w:firstRow="0" w:lastRow="0" w:firstColumn="0" w:lastColumn="0" w:noHBand="0" w:noVBand="0"/>
        </w:tblPrEx>
        <w:trPr>
          <w:cantSplit/>
        </w:trPr>
        <w:tc>
          <w:tcPr>
            <w:tcW w:w="5976" w:type="dxa"/>
            <w:gridSpan w:val="2"/>
            <w:vAlign w:val="bottom"/>
          </w:tcPr>
          <w:p w14:paraId="1F739F5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Finance costs paid</w:t>
            </w:r>
          </w:p>
        </w:tc>
        <w:tc>
          <w:tcPr>
            <w:tcW w:w="828" w:type="dxa"/>
            <w:vAlign w:val="bottom"/>
          </w:tcPr>
          <w:p w14:paraId="31B430A9"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68BB8062"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(5,254)</w:t>
            </w:r>
          </w:p>
        </w:tc>
        <w:tc>
          <w:tcPr>
            <w:tcW w:w="1276" w:type="dxa"/>
            <w:vAlign w:val="bottom"/>
          </w:tcPr>
          <w:p w14:paraId="7C392A41"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color w:val="000000"/>
                <w:spacing w:val="-2"/>
                <w:sz w:val="18"/>
                <w:szCs w:val="20"/>
                <w:lang w:val="ru-RU" w:eastAsia="en-US"/>
              </w:rPr>
            </w:pPr>
            <w:r w:rsidRPr="002E7C40">
              <w:rPr>
                <w:rFonts w:ascii="Arial" w:eastAsia="Times New Roman" w:hAnsi="Arial" w:cs="Arial"/>
                <w:spacing w:val="-2"/>
                <w:sz w:val="18"/>
                <w:szCs w:val="20"/>
                <w:lang w:val="en-US" w:eastAsia="ru-RU"/>
              </w:rPr>
              <w:t>(3,820)</w:t>
            </w:r>
          </w:p>
        </w:tc>
      </w:tr>
      <w:tr w:rsidR="002E7C40" w:rsidRPr="002E7C40" w14:paraId="2E4687EF" w14:textId="77777777" w:rsidTr="00ED6D31">
        <w:tblPrEx>
          <w:tblLook w:val="0000" w:firstRow="0" w:lastRow="0" w:firstColumn="0" w:lastColumn="0" w:noHBand="0" w:noVBand="0"/>
        </w:tblPrEx>
        <w:trPr>
          <w:cantSplit/>
        </w:trPr>
        <w:tc>
          <w:tcPr>
            <w:tcW w:w="5976" w:type="dxa"/>
            <w:gridSpan w:val="2"/>
            <w:tcBorders>
              <w:bottom w:val="single" w:sz="4" w:space="0" w:color="auto"/>
            </w:tcBorders>
            <w:vAlign w:val="bottom"/>
          </w:tcPr>
          <w:p w14:paraId="675D8FB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bottom w:val="single" w:sz="4" w:space="0" w:color="auto"/>
            </w:tcBorders>
            <w:vAlign w:val="bottom"/>
          </w:tcPr>
          <w:p w14:paraId="0B5EEB9F"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5381F69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bottom w:val="single" w:sz="4" w:space="0" w:color="auto"/>
            </w:tcBorders>
            <w:vAlign w:val="bottom"/>
          </w:tcPr>
          <w:p w14:paraId="3BDD27A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187E24A6"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62D9AEFE"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top w:val="single" w:sz="4" w:space="0" w:color="auto"/>
            </w:tcBorders>
            <w:vAlign w:val="bottom"/>
          </w:tcPr>
          <w:p w14:paraId="541B37F0"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333DE11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top w:val="single" w:sz="4" w:space="0" w:color="auto"/>
            </w:tcBorders>
            <w:vAlign w:val="bottom"/>
          </w:tcPr>
          <w:p w14:paraId="67F0B5D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26ACE260" w14:textId="77777777" w:rsidTr="00ED6D31">
        <w:tblPrEx>
          <w:tblLook w:val="0000" w:firstRow="0" w:lastRow="0" w:firstColumn="0" w:lastColumn="0" w:noHBand="0" w:noVBand="0"/>
        </w:tblPrEx>
        <w:trPr>
          <w:cantSplit/>
        </w:trPr>
        <w:tc>
          <w:tcPr>
            <w:tcW w:w="5976" w:type="dxa"/>
            <w:gridSpan w:val="2"/>
            <w:vAlign w:val="bottom"/>
          </w:tcPr>
          <w:p w14:paraId="3A50B8B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spacing w:val="-2"/>
                <w:sz w:val="18"/>
                <w:szCs w:val="20"/>
                <w:lang w:eastAsia="ru-RU"/>
              </w:rPr>
              <w:t>Cash flows from operating activities</w:t>
            </w:r>
          </w:p>
        </w:tc>
        <w:tc>
          <w:tcPr>
            <w:tcW w:w="828" w:type="dxa"/>
            <w:vAlign w:val="bottom"/>
          </w:tcPr>
          <w:p w14:paraId="45CB181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1B686C3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ru-RU" w:eastAsia="ru-RU"/>
              </w:rPr>
            </w:pPr>
            <w:r w:rsidRPr="002E7C40">
              <w:rPr>
                <w:rFonts w:ascii="Arial" w:eastAsia="Times New Roman" w:hAnsi="Arial" w:cs="Arial"/>
                <w:b/>
                <w:spacing w:val="-2"/>
                <w:sz w:val="18"/>
                <w:szCs w:val="20"/>
                <w:lang w:val="en-US" w:eastAsia="ru-RU"/>
              </w:rPr>
              <w:t>121</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15</w:t>
            </w:r>
            <w:r w:rsidRPr="002E7C40">
              <w:rPr>
                <w:rFonts w:ascii="Arial" w:eastAsia="Times New Roman" w:hAnsi="Arial" w:cs="Arial"/>
                <w:b/>
                <w:spacing w:val="-2"/>
                <w:sz w:val="18"/>
                <w:szCs w:val="20"/>
                <w:lang w:val="ru-RU" w:eastAsia="ru-RU"/>
              </w:rPr>
              <w:t>2</w:t>
            </w:r>
          </w:p>
        </w:tc>
        <w:tc>
          <w:tcPr>
            <w:tcW w:w="1276" w:type="dxa"/>
            <w:vAlign w:val="bottom"/>
          </w:tcPr>
          <w:p w14:paraId="100B905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1</w:t>
            </w:r>
            <w:r w:rsidRPr="002E7C40">
              <w:rPr>
                <w:rFonts w:ascii="Arial" w:eastAsia="Times New Roman" w:hAnsi="Arial" w:cs="Arial"/>
                <w:b/>
                <w:spacing w:val="-2"/>
                <w:sz w:val="18"/>
                <w:szCs w:val="20"/>
                <w:lang w:val="en-US" w:eastAsia="ru-RU"/>
              </w:rPr>
              <w:t>59</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397</w:t>
            </w:r>
          </w:p>
        </w:tc>
      </w:tr>
      <w:tr w:rsidR="002E7C40" w:rsidRPr="002E7C40" w14:paraId="46C184C6" w14:textId="77777777" w:rsidTr="00ED6D31">
        <w:tblPrEx>
          <w:tblLook w:val="0000" w:firstRow="0" w:lastRow="0" w:firstColumn="0" w:lastColumn="0" w:noHBand="0" w:noVBand="0"/>
        </w:tblPrEx>
        <w:trPr>
          <w:cantSplit/>
        </w:trPr>
        <w:tc>
          <w:tcPr>
            <w:tcW w:w="5976" w:type="dxa"/>
            <w:gridSpan w:val="2"/>
            <w:tcBorders>
              <w:bottom w:val="single" w:sz="12" w:space="0" w:color="auto"/>
            </w:tcBorders>
            <w:vAlign w:val="bottom"/>
          </w:tcPr>
          <w:p w14:paraId="51753A0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28" w:type="dxa"/>
            <w:tcBorders>
              <w:bottom w:val="single" w:sz="12" w:space="0" w:color="auto"/>
            </w:tcBorders>
            <w:vAlign w:val="bottom"/>
          </w:tcPr>
          <w:p w14:paraId="193F8DB0"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12" w:space="0" w:color="auto"/>
            </w:tcBorders>
            <w:shd w:val="clear" w:color="auto" w:fill="auto"/>
            <w:vAlign w:val="bottom"/>
          </w:tcPr>
          <w:p w14:paraId="362B516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1276" w:type="dxa"/>
            <w:tcBorders>
              <w:bottom w:val="single" w:sz="12" w:space="0" w:color="auto"/>
            </w:tcBorders>
            <w:vAlign w:val="bottom"/>
          </w:tcPr>
          <w:p w14:paraId="36DFE78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2E7C40" w:rsidRPr="002E7C40" w14:paraId="7C2C69F2" w14:textId="77777777" w:rsidTr="00ED6D31">
        <w:tblPrEx>
          <w:tblLook w:val="0000" w:firstRow="0" w:lastRow="0" w:firstColumn="0" w:lastColumn="0" w:noHBand="0" w:noVBand="0"/>
        </w:tblPrEx>
        <w:trPr>
          <w:cantSplit/>
        </w:trPr>
        <w:tc>
          <w:tcPr>
            <w:tcW w:w="5976" w:type="dxa"/>
            <w:gridSpan w:val="2"/>
            <w:tcBorders>
              <w:top w:val="single" w:sz="12" w:space="0" w:color="auto"/>
            </w:tcBorders>
            <w:vAlign w:val="bottom"/>
          </w:tcPr>
          <w:p w14:paraId="090F874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highlight w:val="yellow"/>
                <w:lang w:eastAsia="ru-RU"/>
              </w:rPr>
            </w:pPr>
          </w:p>
        </w:tc>
        <w:tc>
          <w:tcPr>
            <w:tcW w:w="828" w:type="dxa"/>
            <w:tcBorders>
              <w:top w:val="single" w:sz="12" w:space="0" w:color="auto"/>
            </w:tcBorders>
            <w:vAlign w:val="bottom"/>
          </w:tcPr>
          <w:p w14:paraId="33C4B4F6"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12" w:space="0" w:color="auto"/>
            </w:tcBorders>
            <w:shd w:val="clear" w:color="auto" w:fill="auto"/>
            <w:vAlign w:val="bottom"/>
          </w:tcPr>
          <w:p w14:paraId="1C5F0DD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top w:val="single" w:sz="12" w:space="0" w:color="auto"/>
            </w:tcBorders>
            <w:vAlign w:val="bottom"/>
          </w:tcPr>
          <w:p w14:paraId="05A3E8F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745AE796" w14:textId="77777777" w:rsidTr="00ED6D31">
        <w:tblPrEx>
          <w:tblLook w:val="0000" w:firstRow="0" w:lastRow="0" w:firstColumn="0" w:lastColumn="0" w:noHBand="0" w:noVBand="0"/>
        </w:tblPrEx>
        <w:trPr>
          <w:cantSplit/>
        </w:trPr>
        <w:tc>
          <w:tcPr>
            <w:tcW w:w="5976" w:type="dxa"/>
            <w:gridSpan w:val="2"/>
            <w:vAlign w:val="bottom"/>
          </w:tcPr>
          <w:p w14:paraId="4EE9678B"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i/>
                <w:spacing w:val="-2"/>
                <w:sz w:val="18"/>
                <w:szCs w:val="20"/>
                <w:lang w:eastAsia="ru-RU"/>
              </w:rPr>
              <w:t>Cash flows from investing activities</w:t>
            </w:r>
          </w:p>
        </w:tc>
        <w:tc>
          <w:tcPr>
            <w:tcW w:w="828" w:type="dxa"/>
            <w:vAlign w:val="bottom"/>
          </w:tcPr>
          <w:p w14:paraId="6B36186F"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15544B7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highlight w:val="yellow"/>
                <w:lang w:eastAsia="ru-RU"/>
              </w:rPr>
            </w:pPr>
          </w:p>
        </w:tc>
        <w:tc>
          <w:tcPr>
            <w:tcW w:w="1276" w:type="dxa"/>
            <w:vAlign w:val="bottom"/>
          </w:tcPr>
          <w:p w14:paraId="5DDFF8D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0E724E74" w14:textId="77777777" w:rsidTr="00ED6D31">
        <w:tblPrEx>
          <w:tblLook w:val="0000" w:firstRow="0" w:lastRow="0" w:firstColumn="0" w:lastColumn="0" w:noHBand="0" w:noVBand="0"/>
        </w:tblPrEx>
        <w:trPr>
          <w:cantSplit/>
        </w:trPr>
        <w:tc>
          <w:tcPr>
            <w:tcW w:w="5976" w:type="dxa"/>
            <w:gridSpan w:val="2"/>
            <w:vAlign w:val="bottom"/>
          </w:tcPr>
          <w:p w14:paraId="5E73534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Interest income</w:t>
            </w:r>
          </w:p>
        </w:tc>
        <w:tc>
          <w:tcPr>
            <w:tcW w:w="828" w:type="dxa"/>
            <w:vAlign w:val="bottom"/>
          </w:tcPr>
          <w:p w14:paraId="094E0F3B"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12AAEE6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1,174</w:t>
            </w:r>
          </w:p>
        </w:tc>
        <w:tc>
          <w:tcPr>
            <w:tcW w:w="1276" w:type="dxa"/>
            <w:vAlign w:val="bottom"/>
          </w:tcPr>
          <w:p w14:paraId="4288A01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3</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191</w:t>
            </w:r>
          </w:p>
        </w:tc>
      </w:tr>
      <w:tr w:rsidR="002E7C40" w:rsidRPr="002E7C40" w14:paraId="3A251596" w14:textId="77777777" w:rsidTr="00ED6D31">
        <w:tblPrEx>
          <w:tblLook w:val="0000" w:firstRow="0" w:lastRow="0" w:firstColumn="0" w:lastColumn="0" w:noHBand="0" w:noVBand="0"/>
        </w:tblPrEx>
        <w:trPr>
          <w:cantSplit/>
        </w:trPr>
        <w:tc>
          <w:tcPr>
            <w:tcW w:w="5976" w:type="dxa"/>
            <w:gridSpan w:val="2"/>
            <w:vAlign w:val="bottom"/>
          </w:tcPr>
          <w:p w14:paraId="52385F2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Acquisition of property, plant and equipment and intangible assets</w:t>
            </w:r>
          </w:p>
        </w:tc>
        <w:tc>
          <w:tcPr>
            <w:tcW w:w="828" w:type="dxa"/>
            <w:vAlign w:val="bottom"/>
          </w:tcPr>
          <w:p w14:paraId="57A8338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6ACE0813"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40</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158</w:t>
            </w:r>
            <w:r w:rsidRPr="002E7C40">
              <w:rPr>
                <w:rFonts w:ascii="Arial" w:eastAsia="Times New Roman" w:hAnsi="Arial" w:cs="Arial"/>
                <w:spacing w:val="-2"/>
                <w:sz w:val="18"/>
                <w:szCs w:val="20"/>
                <w:lang w:val="ru-RU" w:eastAsia="ru-RU"/>
              </w:rPr>
              <w:t>)</w:t>
            </w:r>
          </w:p>
        </w:tc>
        <w:tc>
          <w:tcPr>
            <w:tcW w:w="1276" w:type="dxa"/>
            <w:vAlign w:val="bottom"/>
          </w:tcPr>
          <w:p w14:paraId="7D18C406"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41</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998</w:t>
            </w:r>
            <w:r w:rsidRPr="002E7C40">
              <w:rPr>
                <w:rFonts w:ascii="Arial" w:eastAsia="Times New Roman" w:hAnsi="Arial" w:cs="Arial"/>
                <w:spacing w:val="-2"/>
                <w:sz w:val="18"/>
                <w:szCs w:val="20"/>
                <w:lang w:val="ru-RU" w:eastAsia="ru-RU"/>
              </w:rPr>
              <w:t>)</w:t>
            </w:r>
          </w:p>
        </w:tc>
      </w:tr>
      <w:tr w:rsidR="002E7C40" w:rsidRPr="002E7C40" w14:paraId="2EC17717" w14:textId="77777777" w:rsidTr="00ED6D31">
        <w:tblPrEx>
          <w:tblLook w:val="0000" w:firstRow="0" w:lastRow="0" w:firstColumn="0" w:lastColumn="0" w:noHBand="0" w:noVBand="0"/>
        </w:tblPrEx>
        <w:trPr>
          <w:cantSplit/>
          <w:trHeight w:val="60"/>
        </w:trPr>
        <w:tc>
          <w:tcPr>
            <w:tcW w:w="5976" w:type="dxa"/>
            <w:gridSpan w:val="2"/>
            <w:vAlign w:val="bottom"/>
          </w:tcPr>
          <w:p w14:paraId="3BB9FBA0" w14:textId="4C98781C"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val="en-US" w:eastAsia="ru-RU"/>
              </w:rPr>
              <w:t xml:space="preserve">Borrowing cost </w:t>
            </w:r>
            <w:r w:rsidR="006D74E9" w:rsidRPr="002E7C40">
              <w:rPr>
                <w:rFonts w:ascii="Arial" w:eastAsia="Times New Roman" w:hAnsi="Arial" w:cs="Arial"/>
                <w:spacing w:val="-2"/>
                <w:sz w:val="18"/>
                <w:szCs w:val="20"/>
                <w:lang w:val="en-US" w:eastAsia="ru-RU"/>
              </w:rPr>
              <w:t>capitalized</w:t>
            </w:r>
            <w:r w:rsidRPr="002E7C40">
              <w:rPr>
                <w:rFonts w:ascii="Arial" w:eastAsia="Times New Roman" w:hAnsi="Arial" w:cs="Arial"/>
                <w:spacing w:val="-2"/>
                <w:sz w:val="18"/>
                <w:szCs w:val="20"/>
                <w:lang w:val="en-US" w:eastAsia="ru-RU"/>
              </w:rPr>
              <w:t xml:space="preserve"> paid</w:t>
            </w:r>
          </w:p>
        </w:tc>
        <w:tc>
          <w:tcPr>
            <w:tcW w:w="828" w:type="dxa"/>
            <w:vAlign w:val="bottom"/>
          </w:tcPr>
          <w:p w14:paraId="68F704AF" w14:textId="0D9A6BA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677BAC6D"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1,246</w:t>
            </w:r>
            <w:r w:rsidRPr="002E7C40">
              <w:rPr>
                <w:rFonts w:ascii="Arial" w:eastAsia="Times New Roman" w:hAnsi="Arial" w:cs="Arial"/>
                <w:spacing w:val="-2"/>
                <w:sz w:val="18"/>
                <w:szCs w:val="20"/>
                <w:lang w:val="ru-RU" w:eastAsia="ru-RU"/>
              </w:rPr>
              <w:t>)</w:t>
            </w:r>
          </w:p>
        </w:tc>
        <w:tc>
          <w:tcPr>
            <w:tcW w:w="1276" w:type="dxa"/>
            <w:vAlign w:val="bottom"/>
          </w:tcPr>
          <w:p w14:paraId="0E92BF4C"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718</w:t>
            </w:r>
            <w:r w:rsidRPr="002E7C40">
              <w:rPr>
                <w:rFonts w:ascii="Arial" w:eastAsia="Times New Roman" w:hAnsi="Arial" w:cs="Arial"/>
                <w:spacing w:val="-2"/>
                <w:sz w:val="18"/>
                <w:szCs w:val="20"/>
                <w:lang w:val="ru-RU" w:eastAsia="ru-RU"/>
              </w:rPr>
              <w:t>)</w:t>
            </w:r>
          </w:p>
        </w:tc>
      </w:tr>
      <w:tr w:rsidR="002E7C40" w:rsidRPr="002E7C40" w14:paraId="7D1BAF1C" w14:textId="77777777" w:rsidTr="00ED6D31">
        <w:tblPrEx>
          <w:tblLook w:val="0000" w:firstRow="0" w:lastRow="0" w:firstColumn="0" w:lastColumn="0" w:noHBand="0" w:noVBand="0"/>
        </w:tblPrEx>
        <w:trPr>
          <w:cantSplit/>
        </w:trPr>
        <w:tc>
          <w:tcPr>
            <w:tcW w:w="5976" w:type="dxa"/>
            <w:gridSpan w:val="2"/>
            <w:shd w:val="clear" w:color="auto" w:fill="auto"/>
            <w:vAlign w:val="bottom"/>
          </w:tcPr>
          <w:p w14:paraId="4F0274D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Advances issued for right-of-use assets</w:t>
            </w:r>
          </w:p>
        </w:tc>
        <w:tc>
          <w:tcPr>
            <w:tcW w:w="828" w:type="dxa"/>
            <w:shd w:val="clear" w:color="auto" w:fill="auto"/>
            <w:vAlign w:val="bottom"/>
          </w:tcPr>
          <w:p w14:paraId="2C491A86"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0B8B45EC"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(94)</w:t>
            </w:r>
          </w:p>
        </w:tc>
        <w:tc>
          <w:tcPr>
            <w:tcW w:w="1276" w:type="dxa"/>
            <w:shd w:val="clear" w:color="auto" w:fill="auto"/>
            <w:vAlign w:val="bottom"/>
          </w:tcPr>
          <w:p w14:paraId="79062DE5"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(419)</w:t>
            </w:r>
          </w:p>
        </w:tc>
      </w:tr>
      <w:tr w:rsidR="002E7C40" w:rsidRPr="002E7C40" w14:paraId="5879568E" w14:textId="77777777" w:rsidTr="00ED6D31">
        <w:tblPrEx>
          <w:tblLook w:val="0000" w:firstRow="0" w:lastRow="0" w:firstColumn="0" w:lastColumn="0" w:noHBand="0" w:noVBand="0"/>
        </w:tblPrEx>
        <w:trPr>
          <w:cantSplit/>
        </w:trPr>
        <w:tc>
          <w:tcPr>
            <w:tcW w:w="5976" w:type="dxa"/>
            <w:gridSpan w:val="2"/>
            <w:vAlign w:val="bottom"/>
          </w:tcPr>
          <w:p w14:paraId="2A19CE5E"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Cash and cash equivalents disposed as a result of loss of control over subsidiaries</w:t>
            </w:r>
          </w:p>
        </w:tc>
        <w:tc>
          <w:tcPr>
            <w:tcW w:w="828" w:type="dxa"/>
            <w:vAlign w:val="bottom"/>
          </w:tcPr>
          <w:p w14:paraId="3B0EB61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3E6CE80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p>
        </w:tc>
        <w:tc>
          <w:tcPr>
            <w:tcW w:w="1276" w:type="dxa"/>
            <w:vAlign w:val="bottom"/>
          </w:tcPr>
          <w:p w14:paraId="730D18B2"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(36,729)</w:t>
            </w:r>
          </w:p>
        </w:tc>
      </w:tr>
      <w:tr w:rsidR="002E7C40" w:rsidRPr="002E7C40" w14:paraId="54697366" w14:textId="77777777" w:rsidTr="00ED6D31">
        <w:tblPrEx>
          <w:tblLook w:val="0000" w:firstRow="0" w:lastRow="0" w:firstColumn="0" w:lastColumn="0" w:noHBand="0" w:noVBand="0"/>
        </w:tblPrEx>
        <w:trPr>
          <w:cantSplit/>
          <w:trHeight w:val="60"/>
        </w:trPr>
        <w:tc>
          <w:tcPr>
            <w:tcW w:w="5976" w:type="dxa"/>
            <w:gridSpan w:val="2"/>
            <w:vAlign w:val="bottom"/>
          </w:tcPr>
          <w:p w14:paraId="41FA630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Loans issued</w:t>
            </w:r>
          </w:p>
        </w:tc>
        <w:tc>
          <w:tcPr>
            <w:tcW w:w="828" w:type="dxa"/>
            <w:vAlign w:val="bottom"/>
          </w:tcPr>
          <w:p w14:paraId="3DB5A410" w14:textId="7820AB46"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7C63CD3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p>
        </w:tc>
        <w:tc>
          <w:tcPr>
            <w:tcW w:w="1276" w:type="dxa"/>
            <w:vAlign w:val="bottom"/>
          </w:tcPr>
          <w:p w14:paraId="1BC44A77"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(3,130)</w:t>
            </w:r>
          </w:p>
        </w:tc>
      </w:tr>
      <w:tr w:rsidR="002E7C40" w:rsidRPr="002E7C40" w14:paraId="25F3659C" w14:textId="77777777" w:rsidTr="00ED6D31">
        <w:tblPrEx>
          <w:tblLook w:val="0000" w:firstRow="0" w:lastRow="0" w:firstColumn="0" w:lastColumn="0" w:noHBand="0" w:noVBand="0"/>
        </w:tblPrEx>
        <w:trPr>
          <w:cantSplit/>
        </w:trPr>
        <w:tc>
          <w:tcPr>
            <w:tcW w:w="5976" w:type="dxa"/>
            <w:gridSpan w:val="2"/>
            <w:vAlign w:val="bottom"/>
          </w:tcPr>
          <w:p w14:paraId="6C7CE46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eastAsia="ru-RU"/>
              </w:rPr>
              <w:t>Proceeds from disposal of financial assets measured at fair value through profit or loss</w:t>
            </w:r>
          </w:p>
        </w:tc>
        <w:tc>
          <w:tcPr>
            <w:tcW w:w="828" w:type="dxa"/>
            <w:vAlign w:val="bottom"/>
          </w:tcPr>
          <w:p w14:paraId="0E53F14F"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val="en-US" w:eastAsia="ru-RU"/>
              </w:rPr>
            </w:pPr>
          </w:p>
        </w:tc>
        <w:tc>
          <w:tcPr>
            <w:tcW w:w="1276" w:type="dxa"/>
            <w:shd w:val="clear" w:color="auto" w:fill="auto"/>
            <w:vAlign w:val="bottom"/>
          </w:tcPr>
          <w:p w14:paraId="455D10B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p>
        </w:tc>
        <w:tc>
          <w:tcPr>
            <w:tcW w:w="1276" w:type="dxa"/>
            <w:vAlign w:val="bottom"/>
          </w:tcPr>
          <w:p w14:paraId="1E57B625"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1,778</w:t>
            </w:r>
          </w:p>
        </w:tc>
      </w:tr>
      <w:tr w:rsidR="002E7C40" w:rsidRPr="002E7C40" w14:paraId="58F5DFB6" w14:textId="77777777" w:rsidTr="00ED6D31">
        <w:tblPrEx>
          <w:tblLook w:val="0000" w:firstRow="0" w:lastRow="0" w:firstColumn="0" w:lastColumn="0" w:noHBand="0" w:noVBand="0"/>
        </w:tblPrEx>
        <w:trPr>
          <w:cantSplit/>
        </w:trPr>
        <w:tc>
          <w:tcPr>
            <w:tcW w:w="5976" w:type="dxa"/>
            <w:gridSpan w:val="2"/>
            <w:shd w:val="clear" w:color="auto" w:fill="auto"/>
            <w:vAlign w:val="bottom"/>
          </w:tcPr>
          <w:p w14:paraId="058DE60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en-US" w:eastAsia="ru-RU"/>
              </w:rPr>
            </w:pPr>
            <w:bookmarkStart w:id="3" w:name="_Hlk109929781"/>
            <w:r w:rsidRPr="002E7C40">
              <w:rPr>
                <w:rFonts w:ascii="Arial" w:eastAsia="Times New Roman" w:hAnsi="Arial" w:cs="Arial"/>
                <w:spacing w:val="-2"/>
                <w:sz w:val="18"/>
                <w:szCs w:val="20"/>
                <w:lang w:eastAsia="ru-RU"/>
              </w:rPr>
              <w:t>Other</w:t>
            </w:r>
          </w:p>
        </w:tc>
        <w:tc>
          <w:tcPr>
            <w:tcW w:w="828" w:type="dxa"/>
            <w:shd w:val="clear" w:color="auto" w:fill="auto"/>
            <w:vAlign w:val="bottom"/>
          </w:tcPr>
          <w:p w14:paraId="2FBEFBB4"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ru-RU" w:eastAsia="ru-RU"/>
              </w:rPr>
            </w:pPr>
          </w:p>
        </w:tc>
        <w:tc>
          <w:tcPr>
            <w:tcW w:w="1276" w:type="dxa"/>
            <w:shd w:val="clear" w:color="auto" w:fill="auto"/>
            <w:vAlign w:val="bottom"/>
          </w:tcPr>
          <w:p w14:paraId="4CCAFBB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en-US" w:eastAsia="ru-RU"/>
              </w:rPr>
              <w:t>1</w:t>
            </w:r>
            <w:r w:rsidRPr="002E7C40">
              <w:rPr>
                <w:rFonts w:ascii="Arial" w:eastAsia="Times New Roman" w:hAnsi="Arial" w:cs="Arial"/>
                <w:spacing w:val="-2"/>
                <w:sz w:val="18"/>
                <w:szCs w:val="20"/>
                <w:lang w:val="ru-RU" w:eastAsia="ru-RU"/>
              </w:rPr>
              <w:t>49</w:t>
            </w:r>
          </w:p>
        </w:tc>
        <w:tc>
          <w:tcPr>
            <w:tcW w:w="1276" w:type="dxa"/>
            <w:shd w:val="clear" w:color="auto" w:fill="auto"/>
            <w:vAlign w:val="bottom"/>
          </w:tcPr>
          <w:p w14:paraId="22274E5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167</w:t>
            </w:r>
          </w:p>
        </w:tc>
      </w:tr>
      <w:bookmarkEnd w:id="3"/>
      <w:tr w:rsidR="002E7C40" w:rsidRPr="002E7C40" w14:paraId="5A73CD16" w14:textId="77777777" w:rsidTr="00ED6D31">
        <w:tblPrEx>
          <w:tblLook w:val="0000" w:firstRow="0" w:lastRow="0" w:firstColumn="0" w:lastColumn="0" w:noHBand="0" w:noVBand="0"/>
        </w:tblPrEx>
        <w:trPr>
          <w:cantSplit/>
        </w:trPr>
        <w:tc>
          <w:tcPr>
            <w:tcW w:w="5976" w:type="dxa"/>
            <w:gridSpan w:val="2"/>
            <w:tcBorders>
              <w:bottom w:val="single" w:sz="4" w:space="0" w:color="auto"/>
            </w:tcBorders>
            <w:vAlign w:val="bottom"/>
          </w:tcPr>
          <w:p w14:paraId="6B941D1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bottom w:val="single" w:sz="4" w:space="0" w:color="auto"/>
            </w:tcBorders>
            <w:vAlign w:val="bottom"/>
          </w:tcPr>
          <w:p w14:paraId="2C2DACC4"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6F499CC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bottom w:val="single" w:sz="4" w:space="0" w:color="auto"/>
            </w:tcBorders>
            <w:vAlign w:val="bottom"/>
          </w:tcPr>
          <w:p w14:paraId="760FE29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19F0EE68"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278F9AF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top w:val="single" w:sz="4" w:space="0" w:color="auto"/>
            </w:tcBorders>
            <w:vAlign w:val="bottom"/>
          </w:tcPr>
          <w:p w14:paraId="4B37A9C6"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317900C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top w:val="single" w:sz="4" w:space="0" w:color="auto"/>
            </w:tcBorders>
            <w:vAlign w:val="bottom"/>
          </w:tcPr>
          <w:p w14:paraId="0A20733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5CCED1F5" w14:textId="77777777" w:rsidTr="00ED6D31">
        <w:tblPrEx>
          <w:tblLook w:val="0000" w:firstRow="0" w:lastRow="0" w:firstColumn="0" w:lastColumn="0" w:noHBand="0" w:noVBand="0"/>
        </w:tblPrEx>
        <w:trPr>
          <w:cantSplit/>
        </w:trPr>
        <w:tc>
          <w:tcPr>
            <w:tcW w:w="5976" w:type="dxa"/>
            <w:gridSpan w:val="2"/>
            <w:vAlign w:val="bottom"/>
          </w:tcPr>
          <w:p w14:paraId="4AF6D51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Cash flows used in investing activities</w:t>
            </w:r>
          </w:p>
        </w:tc>
        <w:tc>
          <w:tcPr>
            <w:tcW w:w="828" w:type="dxa"/>
            <w:vAlign w:val="bottom"/>
          </w:tcPr>
          <w:p w14:paraId="7A589303"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8"/>
                <w:szCs w:val="20"/>
                <w:highlight w:val="yellow"/>
                <w:lang w:eastAsia="ru-RU"/>
              </w:rPr>
            </w:pPr>
          </w:p>
        </w:tc>
        <w:tc>
          <w:tcPr>
            <w:tcW w:w="1276" w:type="dxa"/>
            <w:shd w:val="clear" w:color="auto" w:fill="auto"/>
            <w:vAlign w:val="bottom"/>
          </w:tcPr>
          <w:p w14:paraId="330CCFE1"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40</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17</w:t>
            </w:r>
            <w:r w:rsidRPr="002E7C40">
              <w:rPr>
                <w:rFonts w:ascii="Arial" w:eastAsia="Times New Roman" w:hAnsi="Arial" w:cs="Arial"/>
                <w:b/>
                <w:spacing w:val="-2"/>
                <w:sz w:val="18"/>
                <w:szCs w:val="20"/>
                <w:lang w:val="ru-RU" w:eastAsia="ru-RU"/>
              </w:rPr>
              <w:t>5)</w:t>
            </w:r>
          </w:p>
        </w:tc>
        <w:tc>
          <w:tcPr>
            <w:tcW w:w="1276" w:type="dxa"/>
            <w:vAlign w:val="bottom"/>
          </w:tcPr>
          <w:p w14:paraId="0D8FB2E6"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77</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858</w:t>
            </w:r>
            <w:r w:rsidRPr="002E7C40">
              <w:rPr>
                <w:rFonts w:ascii="Arial" w:eastAsia="Times New Roman" w:hAnsi="Arial" w:cs="Arial"/>
                <w:b/>
                <w:spacing w:val="-2"/>
                <w:sz w:val="18"/>
                <w:szCs w:val="20"/>
                <w:lang w:val="ru-RU" w:eastAsia="ru-RU"/>
              </w:rPr>
              <w:t>)</w:t>
            </w:r>
          </w:p>
        </w:tc>
      </w:tr>
      <w:tr w:rsidR="002E7C40" w:rsidRPr="002E7C40" w14:paraId="6858563F" w14:textId="77777777" w:rsidTr="00ED6D31">
        <w:tblPrEx>
          <w:tblLook w:val="0000" w:firstRow="0" w:lastRow="0" w:firstColumn="0" w:lastColumn="0" w:noHBand="0" w:noVBand="0"/>
        </w:tblPrEx>
        <w:trPr>
          <w:cantSplit/>
        </w:trPr>
        <w:tc>
          <w:tcPr>
            <w:tcW w:w="5976" w:type="dxa"/>
            <w:gridSpan w:val="2"/>
            <w:tcBorders>
              <w:bottom w:val="single" w:sz="12" w:space="0" w:color="auto"/>
            </w:tcBorders>
            <w:vAlign w:val="bottom"/>
          </w:tcPr>
          <w:p w14:paraId="05598AE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28" w:type="dxa"/>
            <w:tcBorders>
              <w:bottom w:val="single" w:sz="12" w:space="0" w:color="auto"/>
            </w:tcBorders>
            <w:vAlign w:val="bottom"/>
          </w:tcPr>
          <w:p w14:paraId="5731C2A3"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0"/>
                <w:szCs w:val="10"/>
                <w:highlight w:val="yellow"/>
                <w:lang w:eastAsia="ru-RU"/>
              </w:rPr>
            </w:pPr>
          </w:p>
        </w:tc>
        <w:tc>
          <w:tcPr>
            <w:tcW w:w="1276" w:type="dxa"/>
            <w:tcBorders>
              <w:bottom w:val="single" w:sz="12" w:space="0" w:color="auto"/>
            </w:tcBorders>
            <w:shd w:val="clear" w:color="auto" w:fill="auto"/>
            <w:vAlign w:val="bottom"/>
          </w:tcPr>
          <w:p w14:paraId="2B04CC7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276" w:type="dxa"/>
            <w:tcBorders>
              <w:bottom w:val="single" w:sz="12" w:space="0" w:color="auto"/>
            </w:tcBorders>
            <w:vAlign w:val="bottom"/>
          </w:tcPr>
          <w:p w14:paraId="7223F41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2E7C40" w:rsidRPr="002E7C40" w14:paraId="35D6D93C" w14:textId="77777777" w:rsidTr="00ED6D31">
        <w:tblPrEx>
          <w:tblLook w:val="0000" w:firstRow="0" w:lastRow="0" w:firstColumn="0" w:lastColumn="0" w:noHBand="0" w:noVBand="0"/>
        </w:tblPrEx>
        <w:trPr>
          <w:cantSplit/>
        </w:trPr>
        <w:tc>
          <w:tcPr>
            <w:tcW w:w="5976" w:type="dxa"/>
            <w:gridSpan w:val="2"/>
            <w:tcBorders>
              <w:top w:val="single" w:sz="12" w:space="0" w:color="auto"/>
            </w:tcBorders>
            <w:vAlign w:val="bottom"/>
          </w:tcPr>
          <w:p w14:paraId="1FF18FC5"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highlight w:val="yellow"/>
                <w:lang w:eastAsia="ru-RU"/>
              </w:rPr>
            </w:pPr>
          </w:p>
        </w:tc>
        <w:tc>
          <w:tcPr>
            <w:tcW w:w="828" w:type="dxa"/>
            <w:tcBorders>
              <w:top w:val="single" w:sz="12" w:space="0" w:color="auto"/>
            </w:tcBorders>
            <w:vAlign w:val="bottom"/>
          </w:tcPr>
          <w:p w14:paraId="11254D17"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12" w:space="0" w:color="auto"/>
            </w:tcBorders>
            <w:shd w:val="clear" w:color="auto" w:fill="auto"/>
            <w:vAlign w:val="bottom"/>
          </w:tcPr>
          <w:p w14:paraId="5F0B1AA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top w:val="single" w:sz="12" w:space="0" w:color="auto"/>
            </w:tcBorders>
            <w:vAlign w:val="bottom"/>
          </w:tcPr>
          <w:p w14:paraId="4809AA4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30755BED" w14:textId="77777777" w:rsidTr="00ED6D31">
        <w:tblPrEx>
          <w:tblLook w:val="0000" w:firstRow="0" w:lastRow="0" w:firstColumn="0" w:lastColumn="0" w:noHBand="0" w:noVBand="0"/>
        </w:tblPrEx>
        <w:trPr>
          <w:cantSplit/>
        </w:trPr>
        <w:tc>
          <w:tcPr>
            <w:tcW w:w="5976" w:type="dxa"/>
            <w:gridSpan w:val="2"/>
            <w:vAlign w:val="bottom"/>
          </w:tcPr>
          <w:p w14:paraId="0E58B26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i/>
                <w:spacing w:val="-2"/>
                <w:sz w:val="18"/>
                <w:szCs w:val="20"/>
                <w:lang w:eastAsia="ru-RU"/>
              </w:rPr>
              <w:t>Cash flows from financing activities</w:t>
            </w:r>
          </w:p>
        </w:tc>
        <w:tc>
          <w:tcPr>
            <w:tcW w:w="828" w:type="dxa"/>
            <w:vAlign w:val="bottom"/>
          </w:tcPr>
          <w:p w14:paraId="7BC110ED"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38B3497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highlight w:val="yellow"/>
                <w:lang w:eastAsia="ru-RU"/>
              </w:rPr>
            </w:pPr>
          </w:p>
        </w:tc>
        <w:tc>
          <w:tcPr>
            <w:tcW w:w="1276" w:type="dxa"/>
            <w:vAlign w:val="bottom"/>
          </w:tcPr>
          <w:p w14:paraId="5115128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eastAsia="ru-RU"/>
              </w:rPr>
            </w:pPr>
          </w:p>
        </w:tc>
      </w:tr>
      <w:tr w:rsidR="002E7C40" w:rsidRPr="002E7C40" w14:paraId="45726955" w14:textId="77777777" w:rsidTr="00ED6D31">
        <w:tblPrEx>
          <w:tblLook w:val="0000" w:firstRow="0" w:lastRow="0" w:firstColumn="0" w:lastColumn="0" w:noHBand="0" w:noVBand="0"/>
        </w:tblPrEx>
        <w:trPr>
          <w:cantSplit/>
        </w:trPr>
        <w:tc>
          <w:tcPr>
            <w:tcW w:w="5976" w:type="dxa"/>
            <w:gridSpan w:val="2"/>
            <w:vAlign w:val="bottom"/>
          </w:tcPr>
          <w:p w14:paraId="21546F7D"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 xml:space="preserve">Proceeds from borrowings, net of transaction costs </w:t>
            </w:r>
          </w:p>
        </w:tc>
        <w:tc>
          <w:tcPr>
            <w:tcW w:w="828" w:type="dxa"/>
            <w:vAlign w:val="bottom"/>
          </w:tcPr>
          <w:p w14:paraId="3F45C076" w14:textId="043FE5E5" w:rsidR="002E7C40" w:rsidRPr="009A7F0D"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en-US" w:eastAsia="ru-RU"/>
              </w:rPr>
            </w:pPr>
          </w:p>
        </w:tc>
        <w:tc>
          <w:tcPr>
            <w:tcW w:w="1276" w:type="dxa"/>
            <w:shd w:val="clear" w:color="auto" w:fill="auto"/>
            <w:vAlign w:val="bottom"/>
          </w:tcPr>
          <w:p w14:paraId="71F55597"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120</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953</w:t>
            </w:r>
          </w:p>
        </w:tc>
        <w:tc>
          <w:tcPr>
            <w:tcW w:w="1276" w:type="dxa"/>
            <w:vAlign w:val="bottom"/>
          </w:tcPr>
          <w:p w14:paraId="6BE1832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31</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082</w:t>
            </w:r>
          </w:p>
        </w:tc>
      </w:tr>
      <w:tr w:rsidR="002E7C40" w:rsidRPr="002E7C40" w14:paraId="41F48B36" w14:textId="77777777" w:rsidTr="00ED6D31">
        <w:tblPrEx>
          <w:tblLook w:val="0000" w:firstRow="0" w:lastRow="0" w:firstColumn="0" w:lastColumn="0" w:noHBand="0" w:noVBand="0"/>
        </w:tblPrEx>
        <w:trPr>
          <w:cantSplit/>
        </w:trPr>
        <w:tc>
          <w:tcPr>
            <w:tcW w:w="5976" w:type="dxa"/>
            <w:gridSpan w:val="2"/>
            <w:vAlign w:val="bottom"/>
          </w:tcPr>
          <w:p w14:paraId="513FB1D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Repayment of borrowings</w:t>
            </w:r>
          </w:p>
        </w:tc>
        <w:tc>
          <w:tcPr>
            <w:tcW w:w="828" w:type="dxa"/>
            <w:vAlign w:val="bottom"/>
          </w:tcPr>
          <w:p w14:paraId="1395E497" w14:textId="226333F2"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val="ru-RU" w:eastAsia="ru-RU"/>
              </w:rPr>
            </w:pPr>
          </w:p>
        </w:tc>
        <w:tc>
          <w:tcPr>
            <w:tcW w:w="1276" w:type="dxa"/>
            <w:shd w:val="clear" w:color="auto" w:fill="auto"/>
            <w:vAlign w:val="bottom"/>
          </w:tcPr>
          <w:p w14:paraId="786F2EC6"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104</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724</w:t>
            </w:r>
            <w:r w:rsidRPr="002E7C40">
              <w:rPr>
                <w:rFonts w:ascii="Arial" w:eastAsia="Times New Roman" w:hAnsi="Arial" w:cs="Arial"/>
                <w:spacing w:val="-2"/>
                <w:sz w:val="18"/>
                <w:szCs w:val="20"/>
                <w:lang w:val="ru-RU" w:eastAsia="ru-RU"/>
              </w:rPr>
              <w:t>)</w:t>
            </w:r>
          </w:p>
        </w:tc>
        <w:tc>
          <w:tcPr>
            <w:tcW w:w="1276" w:type="dxa"/>
            <w:vAlign w:val="bottom"/>
          </w:tcPr>
          <w:p w14:paraId="5C624B6D"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22</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293</w:t>
            </w:r>
            <w:r w:rsidRPr="002E7C40">
              <w:rPr>
                <w:rFonts w:ascii="Arial" w:eastAsia="Times New Roman" w:hAnsi="Arial" w:cs="Arial"/>
                <w:spacing w:val="-2"/>
                <w:sz w:val="18"/>
                <w:szCs w:val="20"/>
                <w:lang w:val="ru-RU" w:eastAsia="ru-RU"/>
              </w:rPr>
              <w:t>)</w:t>
            </w:r>
          </w:p>
        </w:tc>
      </w:tr>
      <w:tr w:rsidR="002E7C40" w:rsidRPr="002E7C40" w14:paraId="0744CEC5" w14:textId="77777777" w:rsidTr="00ED6D31">
        <w:tblPrEx>
          <w:tblLook w:val="0000" w:firstRow="0" w:lastRow="0" w:firstColumn="0" w:lastColumn="0" w:noHBand="0" w:noVBand="0"/>
        </w:tblPrEx>
        <w:trPr>
          <w:cantSplit/>
        </w:trPr>
        <w:tc>
          <w:tcPr>
            <w:tcW w:w="5976" w:type="dxa"/>
            <w:gridSpan w:val="2"/>
            <w:vAlign w:val="bottom"/>
          </w:tcPr>
          <w:p w14:paraId="5D8D5EB2"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18"/>
                <w:lang w:val="en-US" w:eastAsia="ru-RU"/>
              </w:rPr>
              <w:t>Refund of dividends paid</w:t>
            </w:r>
            <w:r w:rsidRPr="002E7C40">
              <w:rPr>
                <w:rFonts w:ascii="Arial" w:eastAsia="Times New Roman" w:hAnsi="Arial" w:cs="Arial"/>
                <w:spacing w:val="-2"/>
                <w:sz w:val="18"/>
                <w:szCs w:val="18"/>
                <w:vertAlign w:val="superscript"/>
                <w:lang w:val="en-US" w:eastAsia="ru-RU"/>
              </w:rPr>
              <w:t>2</w:t>
            </w:r>
          </w:p>
        </w:tc>
        <w:tc>
          <w:tcPr>
            <w:tcW w:w="828" w:type="dxa"/>
            <w:vAlign w:val="bottom"/>
          </w:tcPr>
          <w:p w14:paraId="1376C8D4"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val="ru-RU" w:eastAsia="ru-RU"/>
              </w:rPr>
            </w:pPr>
          </w:p>
        </w:tc>
        <w:tc>
          <w:tcPr>
            <w:tcW w:w="1276" w:type="dxa"/>
            <w:shd w:val="clear" w:color="auto" w:fill="auto"/>
            <w:vAlign w:val="bottom"/>
          </w:tcPr>
          <w:p w14:paraId="4F0331A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14,716</w:t>
            </w:r>
          </w:p>
        </w:tc>
        <w:tc>
          <w:tcPr>
            <w:tcW w:w="1276" w:type="dxa"/>
            <w:vAlign w:val="bottom"/>
          </w:tcPr>
          <w:p w14:paraId="489495D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p>
        </w:tc>
      </w:tr>
      <w:tr w:rsidR="002E7C40" w:rsidRPr="002E7C40" w14:paraId="5E414900" w14:textId="77777777" w:rsidTr="00ED6D31">
        <w:tblPrEx>
          <w:tblLook w:val="0000" w:firstRow="0" w:lastRow="0" w:firstColumn="0" w:lastColumn="0" w:noHBand="0" w:noVBand="0"/>
        </w:tblPrEx>
        <w:trPr>
          <w:cantSplit/>
        </w:trPr>
        <w:tc>
          <w:tcPr>
            <w:tcW w:w="5976" w:type="dxa"/>
            <w:gridSpan w:val="2"/>
            <w:vAlign w:val="bottom"/>
          </w:tcPr>
          <w:p w14:paraId="75BD0C7E"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Dividends paid to shareholders of the Parent</w:t>
            </w:r>
          </w:p>
        </w:tc>
        <w:tc>
          <w:tcPr>
            <w:tcW w:w="828" w:type="dxa"/>
            <w:vAlign w:val="bottom"/>
          </w:tcPr>
          <w:p w14:paraId="70952F10"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263B6B3B"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94</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487</w:t>
            </w:r>
            <w:r w:rsidRPr="002E7C40">
              <w:rPr>
                <w:rFonts w:ascii="Arial" w:eastAsia="Times New Roman" w:hAnsi="Arial" w:cs="Arial"/>
                <w:spacing w:val="-2"/>
                <w:sz w:val="18"/>
                <w:szCs w:val="20"/>
                <w:lang w:val="ru-RU" w:eastAsia="ru-RU"/>
              </w:rPr>
              <w:t>)</w:t>
            </w:r>
          </w:p>
        </w:tc>
        <w:tc>
          <w:tcPr>
            <w:tcW w:w="1276" w:type="dxa"/>
            <w:vAlign w:val="bottom"/>
          </w:tcPr>
          <w:p w14:paraId="508D77F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p>
        </w:tc>
      </w:tr>
      <w:tr w:rsidR="002E7C40" w:rsidRPr="002E7C40" w14:paraId="04F9CD0B" w14:textId="77777777" w:rsidTr="002E7C40">
        <w:tblPrEx>
          <w:tblLook w:val="0000" w:firstRow="0" w:lastRow="0" w:firstColumn="0" w:lastColumn="0" w:noHBand="0" w:noVBand="0"/>
        </w:tblPrEx>
        <w:trPr>
          <w:cantSplit/>
          <w:trHeight w:val="70"/>
        </w:trPr>
        <w:tc>
          <w:tcPr>
            <w:tcW w:w="5976" w:type="dxa"/>
            <w:gridSpan w:val="2"/>
            <w:vAlign w:val="bottom"/>
          </w:tcPr>
          <w:p w14:paraId="099A7D4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Lease payments</w:t>
            </w:r>
          </w:p>
        </w:tc>
        <w:tc>
          <w:tcPr>
            <w:tcW w:w="828" w:type="dxa"/>
            <w:vAlign w:val="bottom"/>
          </w:tcPr>
          <w:p w14:paraId="06C43B46" w14:textId="52CC95C4"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val="ru-RU" w:eastAsia="ru-RU"/>
              </w:rPr>
            </w:pPr>
          </w:p>
        </w:tc>
        <w:tc>
          <w:tcPr>
            <w:tcW w:w="1276" w:type="dxa"/>
            <w:shd w:val="clear" w:color="auto" w:fill="auto"/>
            <w:vAlign w:val="bottom"/>
          </w:tcPr>
          <w:p w14:paraId="3122AE4B"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1,032</w:t>
            </w:r>
            <w:r w:rsidRPr="002E7C40">
              <w:rPr>
                <w:rFonts w:ascii="Arial" w:eastAsia="Times New Roman" w:hAnsi="Arial" w:cs="Arial"/>
                <w:spacing w:val="-2"/>
                <w:sz w:val="18"/>
                <w:szCs w:val="20"/>
                <w:lang w:val="ru-RU" w:eastAsia="ru-RU"/>
              </w:rPr>
              <w:t>)</w:t>
            </w:r>
          </w:p>
        </w:tc>
        <w:tc>
          <w:tcPr>
            <w:tcW w:w="1276" w:type="dxa"/>
            <w:vAlign w:val="bottom"/>
          </w:tcPr>
          <w:p w14:paraId="1A854020"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1,119</w:t>
            </w:r>
            <w:r w:rsidRPr="002E7C40">
              <w:rPr>
                <w:rFonts w:ascii="Arial" w:eastAsia="Times New Roman" w:hAnsi="Arial" w:cs="Arial"/>
                <w:spacing w:val="-2"/>
                <w:sz w:val="18"/>
                <w:szCs w:val="20"/>
                <w:lang w:val="ru-RU" w:eastAsia="ru-RU"/>
              </w:rPr>
              <w:t>)</w:t>
            </w:r>
          </w:p>
        </w:tc>
      </w:tr>
      <w:tr w:rsidR="002E7C40" w:rsidRPr="002E7C40" w14:paraId="6727FE90" w14:textId="77777777" w:rsidTr="00ED6D31">
        <w:tblPrEx>
          <w:tblLook w:val="0000" w:firstRow="0" w:lastRow="0" w:firstColumn="0" w:lastColumn="0" w:noHBand="0" w:noVBand="0"/>
        </w:tblPrEx>
        <w:trPr>
          <w:cantSplit/>
        </w:trPr>
        <w:tc>
          <w:tcPr>
            <w:tcW w:w="5976" w:type="dxa"/>
            <w:gridSpan w:val="2"/>
            <w:vAlign w:val="bottom"/>
          </w:tcPr>
          <w:p w14:paraId="7E3BC20F"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Dividends paid</w:t>
            </w:r>
            <w:r w:rsidRPr="002E7C40">
              <w:rPr>
                <w:rFonts w:ascii="Arial" w:eastAsia="Times New Roman" w:hAnsi="Arial" w:cs="Arial"/>
                <w:spacing w:val="-2"/>
                <w:sz w:val="18"/>
                <w:szCs w:val="18"/>
                <w:lang w:val="en-US" w:eastAsia="ru-RU"/>
              </w:rPr>
              <w:t xml:space="preserve"> to non-controlling interests</w:t>
            </w:r>
          </w:p>
        </w:tc>
        <w:tc>
          <w:tcPr>
            <w:tcW w:w="828" w:type="dxa"/>
            <w:vAlign w:val="bottom"/>
          </w:tcPr>
          <w:p w14:paraId="5590B9F3"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lang w:eastAsia="ru-RU"/>
              </w:rPr>
            </w:pPr>
          </w:p>
        </w:tc>
        <w:tc>
          <w:tcPr>
            <w:tcW w:w="1276" w:type="dxa"/>
            <w:shd w:val="clear" w:color="auto" w:fill="auto"/>
            <w:vAlign w:val="bottom"/>
          </w:tcPr>
          <w:p w14:paraId="2C3A8CE6"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(131)</w:t>
            </w:r>
          </w:p>
        </w:tc>
        <w:tc>
          <w:tcPr>
            <w:tcW w:w="1276" w:type="dxa"/>
            <w:vAlign w:val="bottom"/>
          </w:tcPr>
          <w:p w14:paraId="5D3C236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p>
        </w:tc>
      </w:tr>
      <w:tr w:rsidR="002E7C40" w:rsidRPr="002E7C40" w14:paraId="4B46B291" w14:textId="77777777" w:rsidTr="00ED6D31">
        <w:tblPrEx>
          <w:tblLook w:val="0000" w:firstRow="0" w:lastRow="0" w:firstColumn="0" w:lastColumn="0" w:noHBand="0" w:noVBand="0"/>
        </w:tblPrEx>
        <w:trPr>
          <w:cantSplit/>
        </w:trPr>
        <w:tc>
          <w:tcPr>
            <w:tcW w:w="5976" w:type="dxa"/>
            <w:gridSpan w:val="2"/>
            <w:tcBorders>
              <w:bottom w:val="single" w:sz="4" w:space="0" w:color="auto"/>
            </w:tcBorders>
            <w:vAlign w:val="bottom"/>
          </w:tcPr>
          <w:p w14:paraId="045DBEB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bottom w:val="single" w:sz="4" w:space="0" w:color="auto"/>
            </w:tcBorders>
            <w:vAlign w:val="bottom"/>
          </w:tcPr>
          <w:p w14:paraId="1B6A5B9B"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5A491D1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bottom w:val="single" w:sz="4" w:space="0" w:color="auto"/>
            </w:tcBorders>
            <w:vAlign w:val="bottom"/>
          </w:tcPr>
          <w:p w14:paraId="41ED64F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195FE689"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723D3AEA"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top w:val="single" w:sz="4" w:space="0" w:color="auto"/>
            </w:tcBorders>
            <w:vAlign w:val="bottom"/>
          </w:tcPr>
          <w:p w14:paraId="320A25D5"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4A5A3BE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top w:val="single" w:sz="4" w:space="0" w:color="auto"/>
            </w:tcBorders>
            <w:vAlign w:val="bottom"/>
          </w:tcPr>
          <w:p w14:paraId="02B94A3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2E7C40" w:rsidRPr="002E7C40" w14:paraId="1B3D6C68" w14:textId="77777777" w:rsidTr="00ED6D31">
        <w:tblPrEx>
          <w:tblLook w:val="0000" w:firstRow="0" w:lastRow="0" w:firstColumn="0" w:lastColumn="0" w:noHBand="0" w:noVBand="0"/>
        </w:tblPrEx>
        <w:trPr>
          <w:cantSplit/>
        </w:trPr>
        <w:tc>
          <w:tcPr>
            <w:tcW w:w="5976" w:type="dxa"/>
            <w:gridSpan w:val="2"/>
            <w:vAlign w:val="bottom"/>
          </w:tcPr>
          <w:p w14:paraId="0F1BDA1C"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b/>
                <w:spacing w:val="-2"/>
                <w:sz w:val="18"/>
                <w:szCs w:val="20"/>
                <w:lang w:eastAsia="ru-RU"/>
              </w:rPr>
              <w:t>Cash flows (used in)/ from financing activities</w:t>
            </w:r>
          </w:p>
        </w:tc>
        <w:tc>
          <w:tcPr>
            <w:tcW w:w="828" w:type="dxa"/>
            <w:vAlign w:val="bottom"/>
          </w:tcPr>
          <w:p w14:paraId="3A8B2177"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8"/>
                <w:szCs w:val="20"/>
                <w:highlight w:val="yellow"/>
                <w:lang w:eastAsia="ru-RU"/>
              </w:rPr>
            </w:pPr>
          </w:p>
        </w:tc>
        <w:tc>
          <w:tcPr>
            <w:tcW w:w="1276" w:type="dxa"/>
            <w:shd w:val="clear" w:color="auto" w:fill="auto"/>
            <w:vAlign w:val="bottom"/>
          </w:tcPr>
          <w:p w14:paraId="068F9C0A"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b/>
                <w:spacing w:val="-2"/>
                <w:sz w:val="18"/>
                <w:szCs w:val="20"/>
                <w:lang w:val="ru-RU" w:eastAsia="ru-RU"/>
              </w:rPr>
            </w:pP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64</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705</w:t>
            </w:r>
            <w:r w:rsidRPr="002E7C40">
              <w:rPr>
                <w:rFonts w:ascii="Arial" w:eastAsia="Times New Roman" w:hAnsi="Arial" w:cs="Arial"/>
                <w:b/>
                <w:spacing w:val="-2"/>
                <w:sz w:val="18"/>
                <w:szCs w:val="20"/>
                <w:lang w:val="ru-RU" w:eastAsia="ru-RU"/>
              </w:rPr>
              <w:t>)</w:t>
            </w:r>
          </w:p>
        </w:tc>
        <w:tc>
          <w:tcPr>
            <w:tcW w:w="1276" w:type="dxa"/>
            <w:vAlign w:val="bottom"/>
          </w:tcPr>
          <w:p w14:paraId="4E61DBE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7</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670</w:t>
            </w:r>
          </w:p>
        </w:tc>
      </w:tr>
      <w:tr w:rsidR="002E7C40" w:rsidRPr="002E7C40" w14:paraId="65B84B69" w14:textId="77777777" w:rsidTr="00ED6D31">
        <w:tblPrEx>
          <w:tblLook w:val="0000" w:firstRow="0" w:lastRow="0" w:firstColumn="0" w:lastColumn="0" w:noHBand="0" w:noVBand="0"/>
        </w:tblPrEx>
        <w:trPr>
          <w:cantSplit/>
        </w:trPr>
        <w:tc>
          <w:tcPr>
            <w:tcW w:w="5976" w:type="dxa"/>
            <w:gridSpan w:val="2"/>
            <w:tcBorders>
              <w:bottom w:val="single" w:sz="12" w:space="0" w:color="auto"/>
            </w:tcBorders>
            <w:vAlign w:val="bottom"/>
          </w:tcPr>
          <w:p w14:paraId="1E749C90"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28" w:type="dxa"/>
            <w:tcBorders>
              <w:bottom w:val="single" w:sz="12" w:space="0" w:color="auto"/>
            </w:tcBorders>
            <w:vAlign w:val="bottom"/>
          </w:tcPr>
          <w:p w14:paraId="7AA6FE6D"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0"/>
                <w:szCs w:val="10"/>
                <w:highlight w:val="yellow"/>
                <w:lang w:eastAsia="ru-RU"/>
              </w:rPr>
            </w:pPr>
          </w:p>
        </w:tc>
        <w:tc>
          <w:tcPr>
            <w:tcW w:w="1276" w:type="dxa"/>
            <w:tcBorders>
              <w:bottom w:val="single" w:sz="12" w:space="0" w:color="auto"/>
            </w:tcBorders>
            <w:shd w:val="clear" w:color="auto" w:fill="auto"/>
            <w:vAlign w:val="bottom"/>
          </w:tcPr>
          <w:p w14:paraId="737B8BB0"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1276" w:type="dxa"/>
            <w:tcBorders>
              <w:bottom w:val="single" w:sz="12" w:space="0" w:color="auto"/>
            </w:tcBorders>
            <w:vAlign w:val="bottom"/>
          </w:tcPr>
          <w:p w14:paraId="65AAD4F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2E7C40" w:rsidRPr="002E7C40" w14:paraId="71E440A9" w14:textId="77777777" w:rsidTr="00ED6D31">
        <w:tblPrEx>
          <w:tblLook w:val="0000" w:firstRow="0" w:lastRow="0" w:firstColumn="0" w:lastColumn="0" w:noHBand="0" w:noVBand="0"/>
        </w:tblPrEx>
        <w:trPr>
          <w:cantSplit/>
        </w:trPr>
        <w:tc>
          <w:tcPr>
            <w:tcW w:w="5976" w:type="dxa"/>
            <w:gridSpan w:val="2"/>
            <w:tcBorders>
              <w:top w:val="single" w:sz="12" w:space="0" w:color="auto"/>
            </w:tcBorders>
            <w:vAlign w:val="bottom"/>
          </w:tcPr>
          <w:p w14:paraId="6A31F2E1"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28" w:type="dxa"/>
            <w:tcBorders>
              <w:top w:val="single" w:sz="12" w:space="0" w:color="auto"/>
            </w:tcBorders>
            <w:vAlign w:val="bottom"/>
          </w:tcPr>
          <w:p w14:paraId="193F859F"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0"/>
                <w:szCs w:val="10"/>
                <w:highlight w:val="yellow"/>
                <w:lang w:eastAsia="ru-RU"/>
              </w:rPr>
            </w:pPr>
          </w:p>
        </w:tc>
        <w:tc>
          <w:tcPr>
            <w:tcW w:w="1276" w:type="dxa"/>
            <w:tcBorders>
              <w:top w:val="single" w:sz="12" w:space="0" w:color="auto"/>
            </w:tcBorders>
            <w:shd w:val="clear" w:color="auto" w:fill="auto"/>
            <w:vAlign w:val="bottom"/>
          </w:tcPr>
          <w:p w14:paraId="34F5DD1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1276" w:type="dxa"/>
            <w:tcBorders>
              <w:top w:val="single" w:sz="12" w:space="0" w:color="auto"/>
            </w:tcBorders>
            <w:vAlign w:val="bottom"/>
          </w:tcPr>
          <w:p w14:paraId="5730456D"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2E7C40" w:rsidRPr="002E7C40" w14:paraId="059CF59E" w14:textId="77777777" w:rsidTr="00ED6D31">
        <w:tblPrEx>
          <w:tblLook w:val="0000" w:firstRow="0" w:lastRow="0" w:firstColumn="0" w:lastColumn="0" w:noHBand="0" w:noVBand="0"/>
        </w:tblPrEx>
        <w:trPr>
          <w:cantSplit/>
        </w:trPr>
        <w:tc>
          <w:tcPr>
            <w:tcW w:w="5976" w:type="dxa"/>
            <w:gridSpan w:val="2"/>
            <w:vAlign w:val="bottom"/>
          </w:tcPr>
          <w:p w14:paraId="5C9179F8"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Net increase in cash and cash equivalents</w:t>
            </w:r>
          </w:p>
        </w:tc>
        <w:tc>
          <w:tcPr>
            <w:tcW w:w="828" w:type="dxa"/>
            <w:vAlign w:val="bottom"/>
          </w:tcPr>
          <w:p w14:paraId="5401128F"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8"/>
                <w:szCs w:val="20"/>
                <w:highlight w:val="yellow"/>
                <w:lang w:eastAsia="ru-RU"/>
              </w:rPr>
            </w:pPr>
          </w:p>
        </w:tc>
        <w:tc>
          <w:tcPr>
            <w:tcW w:w="1276" w:type="dxa"/>
            <w:shd w:val="clear" w:color="auto" w:fill="auto"/>
            <w:vAlign w:val="bottom"/>
          </w:tcPr>
          <w:p w14:paraId="4831CE44"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1</w:t>
            </w:r>
            <w:r w:rsidRPr="002E7C40">
              <w:rPr>
                <w:rFonts w:ascii="Arial" w:eastAsia="Times New Roman" w:hAnsi="Arial" w:cs="Arial"/>
                <w:b/>
                <w:spacing w:val="-2"/>
                <w:sz w:val="18"/>
                <w:szCs w:val="20"/>
                <w:lang w:val="en-US" w:eastAsia="ru-RU"/>
              </w:rPr>
              <w:t>6</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272</w:t>
            </w:r>
          </w:p>
        </w:tc>
        <w:tc>
          <w:tcPr>
            <w:tcW w:w="1276" w:type="dxa"/>
            <w:vAlign w:val="bottom"/>
          </w:tcPr>
          <w:p w14:paraId="39C2EA22"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89</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209</w:t>
            </w:r>
          </w:p>
        </w:tc>
      </w:tr>
      <w:tr w:rsidR="002E7C40" w:rsidRPr="002E7C40" w14:paraId="1CE5D977" w14:textId="77777777" w:rsidTr="00ED6D31">
        <w:tblPrEx>
          <w:tblLook w:val="0000" w:firstRow="0" w:lastRow="0" w:firstColumn="0" w:lastColumn="0" w:noHBand="0" w:noVBand="0"/>
        </w:tblPrEx>
        <w:trPr>
          <w:cantSplit/>
        </w:trPr>
        <w:tc>
          <w:tcPr>
            <w:tcW w:w="5976" w:type="dxa"/>
            <w:gridSpan w:val="2"/>
            <w:vAlign w:val="bottom"/>
          </w:tcPr>
          <w:p w14:paraId="71876B0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28" w:type="dxa"/>
            <w:vAlign w:val="bottom"/>
          </w:tcPr>
          <w:p w14:paraId="73215044"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spacing w:val="-2"/>
                <w:sz w:val="10"/>
                <w:szCs w:val="10"/>
                <w:highlight w:val="yellow"/>
                <w:lang w:eastAsia="ru-RU"/>
              </w:rPr>
            </w:pPr>
          </w:p>
        </w:tc>
        <w:tc>
          <w:tcPr>
            <w:tcW w:w="1276" w:type="dxa"/>
            <w:shd w:val="clear" w:color="auto" w:fill="auto"/>
            <w:vAlign w:val="bottom"/>
          </w:tcPr>
          <w:p w14:paraId="60113C6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76" w:type="dxa"/>
            <w:vAlign w:val="bottom"/>
          </w:tcPr>
          <w:p w14:paraId="10475DCA"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2E7C40" w:rsidRPr="002E7C40" w14:paraId="0DCA5135" w14:textId="77777777" w:rsidTr="00ED6D31">
        <w:tblPrEx>
          <w:tblLook w:val="0000" w:firstRow="0" w:lastRow="0" w:firstColumn="0" w:lastColumn="0" w:noHBand="0" w:noVBand="0"/>
        </w:tblPrEx>
        <w:trPr>
          <w:cantSplit/>
        </w:trPr>
        <w:tc>
          <w:tcPr>
            <w:tcW w:w="5976" w:type="dxa"/>
            <w:gridSpan w:val="2"/>
            <w:vAlign w:val="bottom"/>
          </w:tcPr>
          <w:p w14:paraId="38D45DDB"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Cash and cash equivalents at 1 January</w:t>
            </w:r>
          </w:p>
        </w:tc>
        <w:tc>
          <w:tcPr>
            <w:tcW w:w="828" w:type="dxa"/>
            <w:vAlign w:val="bottom"/>
          </w:tcPr>
          <w:p w14:paraId="46217A2B"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0D5894C6"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13,356</w:t>
            </w:r>
          </w:p>
        </w:tc>
        <w:tc>
          <w:tcPr>
            <w:tcW w:w="1276" w:type="dxa"/>
            <w:vAlign w:val="bottom"/>
          </w:tcPr>
          <w:p w14:paraId="1A50188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21,710</w:t>
            </w:r>
          </w:p>
        </w:tc>
      </w:tr>
      <w:tr w:rsidR="002E7C40" w:rsidRPr="002E7C40" w14:paraId="68B22714" w14:textId="77777777" w:rsidTr="00ED6D31">
        <w:tblPrEx>
          <w:tblLook w:val="0000" w:firstRow="0" w:lastRow="0" w:firstColumn="0" w:lastColumn="0" w:noHBand="0" w:noVBand="0"/>
        </w:tblPrEx>
        <w:trPr>
          <w:cantSplit/>
        </w:trPr>
        <w:tc>
          <w:tcPr>
            <w:tcW w:w="5976" w:type="dxa"/>
            <w:gridSpan w:val="2"/>
            <w:vAlign w:val="bottom"/>
          </w:tcPr>
          <w:p w14:paraId="259A2763"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8"/>
                <w:szCs w:val="20"/>
                <w:lang w:eastAsia="ru-RU"/>
              </w:rPr>
            </w:pPr>
            <w:r w:rsidRPr="002E7C40">
              <w:rPr>
                <w:rFonts w:ascii="Arial" w:eastAsia="Times New Roman" w:hAnsi="Arial" w:cs="Arial"/>
                <w:spacing w:val="-2"/>
                <w:sz w:val="18"/>
                <w:szCs w:val="20"/>
                <w:lang w:eastAsia="ru-RU"/>
              </w:rPr>
              <w:t>Effect of exchange rates fluctuations</w:t>
            </w:r>
          </w:p>
        </w:tc>
        <w:tc>
          <w:tcPr>
            <w:tcW w:w="828" w:type="dxa"/>
            <w:vAlign w:val="bottom"/>
          </w:tcPr>
          <w:p w14:paraId="25E5BF3B"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8"/>
                <w:szCs w:val="20"/>
                <w:highlight w:val="yellow"/>
                <w:lang w:eastAsia="ru-RU"/>
              </w:rPr>
            </w:pPr>
          </w:p>
        </w:tc>
        <w:tc>
          <w:tcPr>
            <w:tcW w:w="1276" w:type="dxa"/>
            <w:shd w:val="clear" w:color="auto" w:fill="auto"/>
            <w:vAlign w:val="bottom"/>
          </w:tcPr>
          <w:p w14:paraId="79E61219"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2E7C40">
              <w:rPr>
                <w:rFonts w:ascii="Arial" w:eastAsia="Times New Roman" w:hAnsi="Arial" w:cs="Arial"/>
                <w:spacing w:val="-2"/>
                <w:sz w:val="18"/>
                <w:szCs w:val="20"/>
                <w:lang w:val="en-US" w:eastAsia="ru-RU"/>
              </w:rPr>
              <w:t>6</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796</w:t>
            </w:r>
          </w:p>
        </w:tc>
        <w:tc>
          <w:tcPr>
            <w:tcW w:w="1276" w:type="dxa"/>
            <w:vAlign w:val="bottom"/>
          </w:tcPr>
          <w:p w14:paraId="0A5136DB" w14:textId="77777777" w:rsidR="002E7C40" w:rsidRPr="002E7C40" w:rsidRDefault="002E7C40" w:rsidP="002E7C40">
            <w:pPr>
              <w:widowControl w:val="0"/>
              <w:autoSpaceDE w:val="0"/>
              <w:autoSpaceDN w:val="0"/>
              <w:adjustRightInd w:val="0"/>
              <w:spacing w:after="0" w:line="240" w:lineRule="auto"/>
              <w:ind w:right="-57"/>
              <w:jc w:val="right"/>
              <w:rPr>
                <w:rFonts w:ascii="Arial" w:eastAsia="Times New Roman" w:hAnsi="Arial" w:cs="Arial"/>
                <w:spacing w:val="-2"/>
                <w:sz w:val="18"/>
                <w:szCs w:val="20"/>
                <w:lang w:val="ru-RU" w:eastAsia="ru-RU"/>
              </w:rPr>
            </w:pP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3</w:t>
            </w:r>
            <w:r w:rsidRPr="002E7C40">
              <w:rPr>
                <w:rFonts w:ascii="Arial" w:eastAsia="Times New Roman" w:hAnsi="Arial" w:cs="Arial"/>
                <w:spacing w:val="-2"/>
                <w:sz w:val="18"/>
                <w:szCs w:val="20"/>
                <w:lang w:val="ru-RU" w:eastAsia="ru-RU"/>
              </w:rPr>
              <w:t>,</w:t>
            </w:r>
            <w:r w:rsidRPr="002E7C40">
              <w:rPr>
                <w:rFonts w:ascii="Arial" w:eastAsia="Times New Roman" w:hAnsi="Arial" w:cs="Arial"/>
                <w:spacing w:val="-2"/>
                <w:sz w:val="18"/>
                <w:szCs w:val="20"/>
                <w:lang w:val="en-US" w:eastAsia="ru-RU"/>
              </w:rPr>
              <w:t>990</w:t>
            </w:r>
            <w:r w:rsidRPr="002E7C40">
              <w:rPr>
                <w:rFonts w:ascii="Arial" w:eastAsia="Times New Roman" w:hAnsi="Arial" w:cs="Arial"/>
                <w:spacing w:val="-2"/>
                <w:sz w:val="18"/>
                <w:szCs w:val="20"/>
                <w:lang w:val="ru-RU" w:eastAsia="ru-RU"/>
              </w:rPr>
              <w:t>)</w:t>
            </w:r>
          </w:p>
        </w:tc>
      </w:tr>
      <w:tr w:rsidR="002E7C40" w:rsidRPr="002E7C40" w14:paraId="7AB11D48" w14:textId="77777777" w:rsidTr="00ED6D31">
        <w:tblPrEx>
          <w:tblLook w:val="0000" w:firstRow="0" w:lastRow="0" w:firstColumn="0" w:lastColumn="0" w:noHBand="0" w:noVBand="0"/>
        </w:tblPrEx>
        <w:trPr>
          <w:cantSplit/>
        </w:trPr>
        <w:tc>
          <w:tcPr>
            <w:tcW w:w="5976" w:type="dxa"/>
            <w:gridSpan w:val="2"/>
            <w:tcBorders>
              <w:bottom w:val="single" w:sz="4" w:space="0" w:color="auto"/>
            </w:tcBorders>
            <w:vAlign w:val="bottom"/>
          </w:tcPr>
          <w:p w14:paraId="15921AF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bottom w:val="single" w:sz="4" w:space="0" w:color="auto"/>
            </w:tcBorders>
            <w:vAlign w:val="bottom"/>
          </w:tcPr>
          <w:p w14:paraId="21210A0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0B8ADDBB"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76" w:type="dxa"/>
            <w:tcBorders>
              <w:bottom w:val="single" w:sz="4" w:space="0" w:color="auto"/>
            </w:tcBorders>
            <w:vAlign w:val="bottom"/>
          </w:tcPr>
          <w:p w14:paraId="6968F5F8"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2E7C40" w:rsidRPr="002E7C40" w14:paraId="57B4B51A" w14:textId="77777777" w:rsidTr="00ED6D31">
        <w:tblPrEx>
          <w:tblLook w:val="0000" w:firstRow="0" w:lastRow="0" w:firstColumn="0" w:lastColumn="0" w:noHBand="0" w:noVBand="0"/>
        </w:tblPrEx>
        <w:trPr>
          <w:cantSplit/>
        </w:trPr>
        <w:tc>
          <w:tcPr>
            <w:tcW w:w="5976" w:type="dxa"/>
            <w:gridSpan w:val="2"/>
            <w:tcBorders>
              <w:top w:val="single" w:sz="4" w:space="0" w:color="auto"/>
            </w:tcBorders>
            <w:vAlign w:val="bottom"/>
          </w:tcPr>
          <w:p w14:paraId="77BD4C76"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spacing w:val="-2"/>
                <w:sz w:val="10"/>
                <w:szCs w:val="10"/>
                <w:lang w:eastAsia="ru-RU"/>
              </w:rPr>
            </w:pPr>
          </w:p>
        </w:tc>
        <w:tc>
          <w:tcPr>
            <w:tcW w:w="828" w:type="dxa"/>
            <w:tcBorders>
              <w:top w:val="single" w:sz="4" w:space="0" w:color="auto"/>
            </w:tcBorders>
            <w:vAlign w:val="bottom"/>
          </w:tcPr>
          <w:p w14:paraId="342B4E11"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7C5EBE1C"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276" w:type="dxa"/>
            <w:tcBorders>
              <w:top w:val="single" w:sz="4" w:space="0" w:color="auto"/>
            </w:tcBorders>
            <w:vAlign w:val="bottom"/>
          </w:tcPr>
          <w:p w14:paraId="59B03381"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2E7C40" w:rsidRPr="002E7C40" w14:paraId="363E4565" w14:textId="77777777" w:rsidTr="00ED6D31">
        <w:tblPrEx>
          <w:tblLook w:val="0000" w:firstRow="0" w:lastRow="0" w:firstColumn="0" w:lastColumn="0" w:noHBand="0" w:noVBand="0"/>
        </w:tblPrEx>
        <w:trPr>
          <w:cantSplit/>
        </w:trPr>
        <w:tc>
          <w:tcPr>
            <w:tcW w:w="5976" w:type="dxa"/>
            <w:gridSpan w:val="2"/>
            <w:vAlign w:val="bottom"/>
          </w:tcPr>
          <w:p w14:paraId="4A948D19"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8"/>
                <w:szCs w:val="20"/>
                <w:lang w:eastAsia="ru-RU"/>
              </w:rPr>
            </w:pPr>
            <w:r w:rsidRPr="002E7C40">
              <w:rPr>
                <w:rFonts w:ascii="Arial" w:eastAsia="Times New Roman" w:hAnsi="Arial" w:cs="Arial"/>
                <w:b/>
                <w:spacing w:val="-2"/>
                <w:sz w:val="18"/>
                <w:szCs w:val="20"/>
                <w:lang w:eastAsia="ru-RU"/>
              </w:rPr>
              <w:t>Cash and cash equivalents at 30 September</w:t>
            </w:r>
          </w:p>
        </w:tc>
        <w:tc>
          <w:tcPr>
            <w:tcW w:w="828" w:type="dxa"/>
            <w:vAlign w:val="bottom"/>
          </w:tcPr>
          <w:p w14:paraId="3FF5CC14" w14:textId="1634A9B8"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b/>
                <w:bCs/>
                <w:spacing w:val="-2"/>
                <w:sz w:val="18"/>
                <w:szCs w:val="20"/>
                <w:lang w:val="en-US" w:eastAsia="ru-RU"/>
              </w:rPr>
            </w:pPr>
          </w:p>
        </w:tc>
        <w:tc>
          <w:tcPr>
            <w:tcW w:w="1276" w:type="dxa"/>
            <w:shd w:val="clear" w:color="auto" w:fill="auto"/>
            <w:vAlign w:val="bottom"/>
          </w:tcPr>
          <w:p w14:paraId="53A2E67E"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ru-RU" w:eastAsia="ru-RU"/>
              </w:rPr>
              <w:t>3</w:t>
            </w:r>
            <w:r w:rsidRPr="002E7C40">
              <w:rPr>
                <w:rFonts w:ascii="Arial" w:eastAsia="Times New Roman" w:hAnsi="Arial" w:cs="Arial"/>
                <w:b/>
                <w:spacing w:val="-2"/>
                <w:sz w:val="18"/>
                <w:szCs w:val="20"/>
                <w:lang w:val="en-US" w:eastAsia="ru-RU"/>
              </w:rPr>
              <w:t>6</w:t>
            </w:r>
            <w:r w:rsidRPr="002E7C40">
              <w:rPr>
                <w:rFonts w:ascii="Arial" w:eastAsia="Times New Roman" w:hAnsi="Arial" w:cs="Arial"/>
                <w:b/>
                <w:spacing w:val="-2"/>
                <w:sz w:val="18"/>
                <w:szCs w:val="20"/>
                <w:lang w:val="ru-RU" w:eastAsia="ru-RU"/>
              </w:rPr>
              <w:t>,</w:t>
            </w:r>
            <w:r w:rsidRPr="002E7C40">
              <w:rPr>
                <w:rFonts w:ascii="Arial" w:eastAsia="Times New Roman" w:hAnsi="Arial" w:cs="Arial"/>
                <w:b/>
                <w:spacing w:val="-2"/>
                <w:sz w:val="18"/>
                <w:szCs w:val="20"/>
                <w:lang w:val="en-US" w:eastAsia="ru-RU"/>
              </w:rPr>
              <w:t>424</w:t>
            </w:r>
          </w:p>
        </w:tc>
        <w:tc>
          <w:tcPr>
            <w:tcW w:w="1276" w:type="dxa"/>
            <w:vAlign w:val="bottom"/>
          </w:tcPr>
          <w:p w14:paraId="2B7157B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8"/>
                <w:szCs w:val="20"/>
                <w:lang w:val="en-US" w:eastAsia="ru-RU"/>
              </w:rPr>
            </w:pPr>
            <w:r w:rsidRPr="002E7C40">
              <w:rPr>
                <w:rFonts w:ascii="Arial" w:eastAsia="Times New Roman" w:hAnsi="Arial" w:cs="Arial"/>
                <w:b/>
                <w:spacing w:val="-2"/>
                <w:sz w:val="18"/>
                <w:szCs w:val="20"/>
                <w:lang w:val="en-US" w:eastAsia="ru-RU"/>
              </w:rPr>
              <w:t>106</w:t>
            </w:r>
            <w:r w:rsidRPr="002E7C40">
              <w:rPr>
                <w:rFonts w:ascii="Arial" w:eastAsia="Times New Roman" w:hAnsi="Arial" w:cs="Arial"/>
                <w:b/>
                <w:spacing w:val="-2"/>
                <w:sz w:val="18"/>
                <w:szCs w:val="20"/>
                <w:lang w:val="ru-RU" w:eastAsia="ru-RU"/>
              </w:rPr>
              <w:t>,92</w:t>
            </w:r>
            <w:r w:rsidRPr="002E7C40">
              <w:rPr>
                <w:rFonts w:ascii="Arial" w:eastAsia="Times New Roman" w:hAnsi="Arial" w:cs="Arial"/>
                <w:b/>
                <w:spacing w:val="-2"/>
                <w:sz w:val="18"/>
                <w:szCs w:val="20"/>
                <w:lang w:val="en-US" w:eastAsia="ru-RU"/>
              </w:rPr>
              <w:t>9</w:t>
            </w:r>
          </w:p>
        </w:tc>
      </w:tr>
      <w:tr w:rsidR="002E7C40" w:rsidRPr="002E7C40" w14:paraId="3380E59E" w14:textId="77777777" w:rsidTr="00ED6D31">
        <w:tblPrEx>
          <w:tblLook w:val="0000" w:firstRow="0" w:lastRow="0" w:firstColumn="0" w:lastColumn="0" w:noHBand="0" w:noVBand="0"/>
        </w:tblPrEx>
        <w:trPr>
          <w:cantSplit/>
        </w:trPr>
        <w:tc>
          <w:tcPr>
            <w:tcW w:w="5976" w:type="dxa"/>
            <w:gridSpan w:val="2"/>
            <w:tcBorders>
              <w:bottom w:val="single" w:sz="12" w:space="0" w:color="auto"/>
            </w:tcBorders>
            <w:vAlign w:val="bottom"/>
          </w:tcPr>
          <w:p w14:paraId="0DF90597" w14:textId="77777777" w:rsidR="002E7C40" w:rsidRPr="002E7C40" w:rsidRDefault="002E7C40" w:rsidP="002E7C40">
            <w:pPr>
              <w:widowControl w:val="0"/>
              <w:autoSpaceDE w:val="0"/>
              <w:autoSpaceDN w:val="0"/>
              <w:adjustRightInd w:val="0"/>
              <w:spacing w:after="0" w:line="240" w:lineRule="auto"/>
              <w:rPr>
                <w:rFonts w:ascii="Arial" w:eastAsia="Times New Roman" w:hAnsi="Arial" w:cs="Arial"/>
                <w:b/>
                <w:spacing w:val="-2"/>
                <w:sz w:val="10"/>
                <w:szCs w:val="10"/>
                <w:lang w:eastAsia="ru-RU"/>
              </w:rPr>
            </w:pPr>
          </w:p>
        </w:tc>
        <w:tc>
          <w:tcPr>
            <w:tcW w:w="828" w:type="dxa"/>
            <w:tcBorders>
              <w:bottom w:val="single" w:sz="12" w:space="0" w:color="auto"/>
            </w:tcBorders>
            <w:vAlign w:val="bottom"/>
          </w:tcPr>
          <w:p w14:paraId="255839CA" w14:textId="77777777" w:rsidR="002E7C40" w:rsidRPr="002E7C40" w:rsidRDefault="002E7C40" w:rsidP="002E7C40">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1276" w:type="dxa"/>
            <w:tcBorders>
              <w:bottom w:val="single" w:sz="12" w:space="0" w:color="auto"/>
            </w:tcBorders>
            <w:shd w:val="clear" w:color="auto" w:fill="auto"/>
            <w:vAlign w:val="bottom"/>
          </w:tcPr>
          <w:p w14:paraId="44ADBC3F"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1276" w:type="dxa"/>
            <w:tcBorders>
              <w:bottom w:val="single" w:sz="12" w:space="0" w:color="auto"/>
            </w:tcBorders>
            <w:vAlign w:val="bottom"/>
          </w:tcPr>
          <w:p w14:paraId="581B89C3" w14:textId="77777777" w:rsidR="002E7C40" w:rsidRPr="002E7C40" w:rsidRDefault="002E7C40" w:rsidP="002E7C40">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bl>
    <w:p w14:paraId="4588EFC3" w14:textId="77777777" w:rsidR="002E7C40" w:rsidRDefault="002E7C40" w:rsidP="00742764">
      <w:pPr>
        <w:widowControl w:val="0"/>
        <w:spacing w:before="120" w:after="120" w:line="240" w:lineRule="auto"/>
        <w:jc w:val="both"/>
        <w:rPr>
          <w:rFonts w:ascii="Arial" w:eastAsia="Times New Roman" w:hAnsi="Arial" w:cs="Arial"/>
          <w:i/>
          <w:iCs/>
          <w:sz w:val="18"/>
          <w:szCs w:val="16"/>
          <w:vertAlign w:val="superscript"/>
          <w:lang w:val="ru-RU" w:eastAsia="en-US"/>
        </w:rPr>
      </w:pPr>
    </w:p>
    <w:p w14:paraId="735D0EC7" w14:textId="77777777" w:rsidR="002E7C40" w:rsidRDefault="002E7C40" w:rsidP="00742764">
      <w:pPr>
        <w:widowControl w:val="0"/>
        <w:spacing w:before="120" w:after="120" w:line="240" w:lineRule="auto"/>
        <w:jc w:val="both"/>
        <w:rPr>
          <w:rFonts w:ascii="Arial" w:eastAsia="Times New Roman" w:hAnsi="Arial" w:cs="Arial"/>
          <w:i/>
          <w:iCs/>
          <w:sz w:val="18"/>
          <w:szCs w:val="16"/>
          <w:lang w:val="en-US" w:eastAsia="en-US"/>
        </w:rPr>
      </w:pPr>
      <w:r w:rsidRPr="002E7C40">
        <w:rPr>
          <w:rFonts w:ascii="Arial" w:eastAsia="Times New Roman" w:hAnsi="Arial" w:cs="Arial"/>
          <w:i/>
          <w:iCs/>
          <w:sz w:val="18"/>
          <w:szCs w:val="16"/>
          <w:lang w:val="en-US" w:eastAsia="en-US"/>
        </w:rPr>
        <w:t xml:space="preserve">1 Changes in trade and other receivables and changes in trade and other payables include effect of foreign exchange differences from operating activities. </w:t>
      </w:r>
    </w:p>
    <w:p w14:paraId="26F158C9" w14:textId="5DE9F4B1" w:rsidR="004356E2" w:rsidRPr="002E7C40" w:rsidRDefault="002E7C40" w:rsidP="00742764">
      <w:pPr>
        <w:widowControl w:val="0"/>
        <w:spacing w:before="120" w:after="120" w:line="240" w:lineRule="auto"/>
        <w:jc w:val="both"/>
        <w:rPr>
          <w:rFonts w:ascii="Arial" w:eastAsia="Times New Roman" w:hAnsi="Arial" w:cs="Arial"/>
          <w:i/>
          <w:iCs/>
          <w:sz w:val="18"/>
          <w:szCs w:val="16"/>
          <w:lang w:val="en-US" w:eastAsia="en-US"/>
        </w:rPr>
      </w:pPr>
      <w:r w:rsidRPr="002E7C40">
        <w:rPr>
          <w:rFonts w:ascii="Arial" w:eastAsia="Times New Roman" w:hAnsi="Arial" w:cs="Arial"/>
          <w:i/>
          <w:iCs/>
          <w:sz w:val="18"/>
          <w:szCs w:val="16"/>
          <w:lang w:val="en-US" w:eastAsia="en-US"/>
        </w:rPr>
        <w:t>2 The Group received cash refund from depositories paid as dividends to parties who were entitled to receive them, but didn’t receive dividends due to reasons beyond the depositories’ control.</w:t>
      </w:r>
    </w:p>
    <w:sectPr w:rsidR="004356E2" w:rsidRPr="002E7C40" w:rsidSect="00F25DDA">
      <w:headerReference w:type="default" r:id="rId15"/>
      <w:footnotePr>
        <w:numRestart w:val="eachPage"/>
      </w:footnotePr>
      <w:pgSz w:w="11907" w:h="16840" w:code="9"/>
      <w:pgMar w:top="1134" w:right="1021" w:bottom="1134" w:left="153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149B" w14:textId="77777777" w:rsidR="007E57F8" w:rsidRDefault="007E57F8" w:rsidP="007A4AC9">
      <w:pPr>
        <w:spacing w:after="0" w:line="240" w:lineRule="auto"/>
      </w:pPr>
      <w:r>
        <w:separator/>
      </w:r>
    </w:p>
  </w:endnote>
  <w:endnote w:type="continuationSeparator" w:id="0">
    <w:p w14:paraId="7097A3E1" w14:textId="77777777" w:rsidR="007E57F8" w:rsidRDefault="007E57F8" w:rsidP="007A4AC9">
      <w:pPr>
        <w:spacing w:after="0" w:line="240" w:lineRule="auto"/>
      </w:pPr>
      <w:r>
        <w:continuationSeparator/>
      </w:r>
    </w:p>
  </w:endnote>
  <w:endnote w:type="continuationNotice" w:id="1">
    <w:p w14:paraId="618E4729" w14:textId="77777777" w:rsidR="007E57F8" w:rsidRDefault="007E5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Foco">
    <w:altName w:val="Arial"/>
    <w:panose1 w:val="020B0504050202020203"/>
    <w:charset w:val="CC"/>
    <w:family w:val="swiss"/>
    <w:pitch w:val="variable"/>
    <w:sig w:usb0="A00002EF" w:usb1="5000205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7861" w14:textId="77777777" w:rsidR="007E57F8" w:rsidRDefault="007E57F8" w:rsidP="007A4AC9">
      <w:pPr>
        <w:spacing w:after="0" w:line="240" w:lineRule="auto"/>
      </w:pPr>
      <w:r>
        <w:separator/>
      </w:r>
    </w:p>
  </w:footnote>
  <w:footnote w:type="continuationSeparator" w:id="0">
    <w:p w14:paraId="3DB5106F" w14:textId="77777777" w:rsidR="007E57F8" w:rsidRDefault="007E57F8" w:rsidP="007A4AC9">
      <w:pPr>
        <w:spacing w:after="0" w:line="240" w:lineRule="auto"/>
      </w:pPr>
      <w:r>
        <w:continuationSeparator/>
      </w:r>
    </w:p>
  </w:footnote>
  <w:footnote w:type="continuationNotice" w:id="1">
    <w:p w14:paraId="66BA46F4" w14:textId="77777777" w:rsidR="007E57F8" w:rsidRDefault="007E5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7404" w14:textId="77777777" w:rsidR="004102A5" w:rsidRPr="00C246DE" w:rsidRDefault="004102A5" w:rsidP="00C246DE">
    <w:pPr>
      <w:pStyle w:val="a8"/>
    </w:pPr>
    <w:r w:rsidRPr="00C246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7A29C" w14:textId="77777777" w:rsidR="004102A5" w:rsidRPr="000952CB" w:rsidRDefault="004102A5" w:rsidP="002A2232">
    <w:pPr>
      <w:pStyle w:val="a8"/>
      <w:pBdr>
        <w:bottom w:val="single" w:sz="4" w:space="1" w:color="auto"/>
      </w:pBdr>
      <w:jc w:val="right"/>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0567" w14:textId="77777777" w:rsidR="00C15A17" w:rsidRPr="00C15A17" w:rsidRDefault="00C15A17" w:rsidP="00C15A17">
    <w:pPr>
      <w:pBdr>
        <w:bottom w:val="single" w:sz="4" w:space="1" w:color="auto"/>
      </w:pBdr>
      <w:spacing w:after="0"/>
      <w:rPr>
        <w:rFonts w:ascii="Arial" w:eastAsia="Times New Roman" w:hAnsi="Arial" w:cs="Arial"/>
        <w:b/>
        <w:bCs/>
        <w:i/>
        <w:sz w:val="20"/>
        <w:szCs w:val="20"/>
        <w:lang w:val="en-US" w:eastAsia="en-US"/>
      </w:rPr>
    </w:pPr>
    <w:r w:rsidRPr="00C15A17">
      <w:rPr>
        <w:rFonts w:ascii="Arial" w:eastAsia="Times New Roman" w:hAnsi="Arial" w:cs="Arial"/>
        <w:b/>
        <w:bCs/>
        <w:i/>
        <w:sz w:val="20"/>
        <w:szCs w:val="20"/>
        <w:lang w:val="en-US" w:eastAsia="en-US"/>
      </w:rPr>
      <w:t xml:space="preserve">PJSC “PhosAgro” </w:t>
    </w:r>
  </w:p>
  <w:p w14:paraId="1FEE1DB6" w14:textId="12AB3A37" w:rsidR="004102A5" w:rsidRPr="00C15A17" w:rsidRDefault="00C15A17" w:rsidP="00C246DE">
    <w:pPr>
      <w:pBdr>
        <w:bottom w:val="single" w:sz="4" w:space="1" w:color="auto"/>
      </w:pBdr>
      <w:rPr>
        <w:rFonts w:ascii="Arial" w:eastAsia="Times New Roman" w:hAnsi="Arial" w:cs="Arial"/>
        <w:i/>
        <w:sz w:val="20"/>
        <w:szCs w:val="20"/>
        <w:lang w:val="en-US" w:eastAsia="en-US"/>
      </w:rPr>
    </w:pPr>
    <w:r w:rsidRPr="00C15A17">
      <w:rPr>
        <w:rFonts w:ascii="Arial" w:eastAsia="Times New Roman" w:hAnsi="Arial" w:cs="Arial"/>
        <w:i/>
        <w:sz w:val="20"/>
        <w:szCs w:val="20"/>
        <w:lang w:val="en-US" w:eastAsia="en-US"/>
      </w:rPr>
      <w:t>Consolidated Interim Condensed Statement of Profit or Loss and Other Comprehensive Income for the three and nine months ended 30 September 2023</w:t>
    </w:r>
    <w:r w:rsidR="004102A5" w:rsidRPr="00C15A17">
      <w:rPr>
        <w:rFonts w:ascii="Arial" w:eastAsia="Times New Roman" w:hAnsi="Arial" w:cs="Arial"/>
        <w:i/>
        <w:sz w:val="20"/>
        <w:szCs w:val="20"/>
        <w:lang w:val="en-US" w:eastAsia="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189A2" w14:textId="77777777" w:rsidR="00C15A17" w:rsidRDefault="00C15A17" w:rsidP="00C15A17">
    <w:pPr>
      <w:pStyle w:val="a8"/>
      <w:rPr>
        <w:rFonts w:ascii="Arial" w:hAnsi="Arial" w:cs="Arial"/>
        <w:b/>
        <w:i/>
        <w:iCs/>
        <w:lang w:val="en-US"/>
      </w:rPr>
    </w:pPr>
    <w:r w:rsidRPr="00C15A17">
      <w:rPr>
        <w:rFonts w:ascii="Arial" w:hAnsi="Arial" w:cs="Arial"/>
        <w:b/>
        <w:i/>
        <w:iCs/>
        <w:lang w:val="en-US"/>
      </w:rPr>
      <w:t xml:space="preserve">PJSC “PhosAgro” </w:t>
    </w:r>
  </w:p>
  <w:p w14:paraId="6A542012" w14:textId="01017B3D" w:rsidR="004102A5" w:rsidRPr="00C15A17" w:rsidRDefault="00C15A17" w:rsidP="00C15A17">
    <w:pPr>
      <w:pStyle w:val="a8"/>
      <w:rPr>
        <w:bCs/>
        <w:i/>
        <w:iCs/>
        <w:lang w:val="en-US"/>
      </w:rPr>
    </w:pPr>
    <w:r w:rsidRPr="00C15A17">
      <w:rPr>
        <w:rFonts w:ascii="Arial" w:hAnsi="Arial" w:cs="Arial"/>
        <w:bCs/>
        <w:i/>
        <w:iCs/>
        <w:lang w:val="en-US"/>
      </w:rPr>
      <w:t>Consolidated Interim Condensed Statement of Financial Position as at 30 September 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90057" w14:textId="422D698B" w:rsidR="002E7C40" w:rsidRPr="002E7C40" w:rsidRDefault="002E7C40" w:rsidP="002E7C40">
    <w:pPr>
      <w:pStyle w:val="a8"/>
      <w:pBdr>
        <w:bottom w:val="single" w:sz="4" w:space="1" w:color="auto"/>
      </w:pBdr>
      <w:rPr>
        <w:rFonts w:ascii="Arial" w:hAnsi="Arial" w:cs="Arial"/>
        <w:b/>
        <w:bCs/>
        <w:i/>
        <w:iCs/>
      </w:rPr>
    </w:pPr>
    <w:r w:rsidRPr="002E7C40">
      <w:rPr>
        <w:rFonts w:ascii="Arial" w:hAnsi="Arial" w:cs="Arial"/>
        <w:b/>
        <w:bCs/>
        <w:i/>
        <w:iCs/>
      </w:rPr>
      <w:t xml:space="preserve">PJSC “PhosAgro” </w:t>
    </w:r>
  </w:p>
  <w:p w14:paraId="79B9CA07" w14:textId="31A48B3A" w:rsidR="004102A5" w:rsidRPr="002E7C40" w:rsidRDefault="002E7C40" w:rsidP="002E7C40">
    <w:pPr>
      <w:pStyle w:val="a8"/>
      <w:pBdr>
        <w:bottom w:val="single" w:sz="4" w:space="1" w:color="auto"/>
      </w:pBdr>
      <w:rPr>
        <w:rFonts w:ascii="Arial" w:hAnsi="Arial" w:cs="Arial"/>
        <w:i/>
        <w:iCs/>
      </w:rPr>
    </w:pPr>
    <w:r w:rsidRPr="002E7C40">
      <w:rPr>
        <w:rFonts w:ascii="Arial" w:hAnsi="Arial" w:cs="Arial"/>
        <w:i/>
        <w:iCs/>
      </w:rPr>
      <w:t>Consolidated Interim Condensed Statement of Cash Flows for the nine months ended 30 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E71"/>
    <w:multiLevelType w:val="hybridMultilevel"/>
    <w:tmpl w:val="19A42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6B02B2B0"/>
    <w:lvl w:ilvl="0" w:tplc="0CA8D552">
      <w:start w:val="1"/>
      <w:numFmt w:val="bullet"/>
      <w:pStyle w:val="a"/>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53B7"/>
    <w:multiLevelType w:val="hybridMultilevel"/>
    <w:tmpl w:val="D5E2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12FBD"/>
    <w:multiLevelType w:val="hybridMultilevel"/>
    <w:tmpl w:val="3AD42622"/>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A2930"/>
    <w:multiLevelType w:val="hybridMultilevel"/>
    <w:tmpl w:val="EFC0396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6307A"/>
    <w:multiLevelType w:val="hybridMultilevel"/>
    <w:tmpl w:val="0FA0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20F"/>
    <w:multiLevelType w:val="hybridMultilevel"/>
    <w:tmpl w:val="D7EAA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83013E9"/>
    <w:multiLevelType w:val="hybridMultilevel"/>
    <w:tmpl w:val="6B3C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9D36C7"/>
    <w:multiLevelType w:val="hybridMultilevel"/>
    <w:tmpl w:val="AD4E2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F470E"/>
    <w:multiLevelType w:val="hybridMultilevel"/>
    <w:tmpl w:val="6D32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41DB6"/>
    <w:multiLevelType w:val="multilevel"/>
    <w:tmpl w:val="2ED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6C78"/>
    <w:multiLevelType w:val="multilevel"/>
    <w:tmpl w:val="19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02D"/>
    <w:multiLevelType w:val="hybridMultilevel"/>
    <w:tmpl w:val="9042973E"/>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4" w15:restartNumberingAfterBreak="0">
    <w:nsid w:val="32A50EE2"/>
    <w:multiLevelType w:val="hybridMultilevel"/>
    <w:tmpl w:val="09E037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2E23483"/>
    <w:multiLevelType w:val="hybridMultilevel"/>
    <w:tmpl w:val="DA0C7A24"/>
    <w:lvl w:ilvl="0" w:tplc="3EF2261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64488"/>
    <w:multiLevelType w:val="hybridMultilevel"/>
    <w:tmpl w:val="7738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4933B3"/>
    <w:multiLevelType w:val="hybridMultilevel"/>
    <w:tmpl w:val="3458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432FE96"/>
    <w:lvl w:ilvl="0">
      <w:start w:val="1"/>
      <w:numFmt w:val="decimal"/>
      <w:lvlText w:val="%1"/>
      <w:lvlJc w:val="left"/>
      <w:pPr>
        <w:tabs>
          <w:tab w:val="num" w:pos="964"/>
        </w:tabs>
        <w:ind w:left="964" w:hanging="964"/>
      </w:pPr>
      <w:rPr>
        <w:rFonts w:ascii="Arial" w:hAnsi="Arial" w:cs="Arial" w:hint="default"/>
        <w:b/>
        <w:color w:val="00B6DA"/>
        <w:sz w:val="20"/>
      </w:rPr>
    </w:lvl>
    <w:lvl w:ilvl="1">
      <w:start w:val="2"/>
      <w:numFmt w:val="lowerLetter"/>
      <w:lvlText w:val="(%2)"/>
      <w:lvlJc w:val="left"/>
      <w:pPr>
        <w:tabs>
          <w:tab w:val="num" w:pos="3658"/>
        </w:tabs>
        <w:ind w:left="3658" w:hanging="964"/>
      </w:pPr>
      <w:rPr>
        <w:rFonts w:hint="default"/>
        <w:b/>
      </w:rPr>
    </w:lvl>
    <w:lvl w:ilvl="2">
      <w:start w:val="2"/>
      <w:numFmt w:val="lowerRoman"/>
      <w:lvlText w:val="(%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04512E"/>
    <w:multiLevelType w:val="hybridMultilevel"/>
    <w:tmpl w:val="D5CED666"/>
    <w:lvl w:ilvl="0" w:tplc="04090001">
      <w:start w:val="1"/>
      <w:numFmt w:val="bullet"/>
      <w:lvlText w:val=""/>
      <w:lvlJc w:val="left"/>
      <w:pPr>
        <w:ind w:left="2062" w:hanging="360"/>
      </w:pPr>
      <w:rPr>
        <w:rFonts w:ascii="Symbol" w:hAnsi="Symbol" w:hint="default"/>
      </w:rPr>
    </w:lvl>
    <w:lvl w:ilvl="1" w:tplc="B186F270">
      <w:start w:val="1"/>
      <w:numFmt w:val="bullet"/>
      <w:lvlText w:val=""/>
      <w:lvlJc w:val="left"/>
      <w:pPr>
        <w:ind w:left="6315" w:hanging="360"/>
      </w:pPr>
      <w:rPr>
        <w:rFonts w:ascii="Wingdings" w:hAnsi="Wingdings" w:hint="default"/>
        <w:lang w:val="ru-RU"/>
      </w:rPr>
    </w:lvl>
    <w:lvl w:ilvl="2" w:tplc="04090005">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442513DC"/>
    <w:multiLevelType w:val="hybridMultilevel"/>
    <w:tmpl w:val="AF2EEE16"/>
    <w:lvl w:ilvl="0" w:tplc="53D69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64C14"/>
    <w:multiLevelType w:val="hybridMultilevel"/>
    <w:tmpl w:val="01BAA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DC2CE3"/>
    <w:multiLevelType w:val="hybridMultilevel"/>
    <w:tmpl w:val="52F2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B502E"/>
    <w:multiLevelType w:val="hybridMultilevel"/>
    <w:tmpl w:val="60064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BB0EE8"/>
    <w:multiLevelType w:val="hybridMultilevel"/>
    <w:tmpl w:val="2EB4FE38"/>
    <w:name w:val="Notes Pag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E71461"/>
    <w:multiLevelType w:val="hybridMultilevel"/>
    <w:tmpl w:val="DD14E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9B5182"/>
    <w:multiLevelType w:val="hybridMultilevel"/>
    <w:tmpl w:val="7162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B6F6F"/>
    <w:multiLevelType w:val="hybridMultilevel"/>
    <w:tmpl w:val="93AA4702"/>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B27C1"/>
    <w:multiLevelType w:val="hybridMultilevel"/>
    <w:tmpl w:val="A1EEBAC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58003228"/>
    <w:multiLevelType w:val="hybridMultilevel"/>
    <w:tmpl w:val="E028E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4E4B09"/>
    <w:multiLevelType w:val="hybridMultilevel"/>
    <w:tmpl w:val="DF7E7C74"/>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437B0"/>
    <w:multiLevelType w:val="hybridMultilevel"/>
    <w:tmpl w:val="2EC8F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6AE7EB8"/>
    <w:multiLevelType w:val="hybridMultilevel"/>
    <w:tmpl w:val="46C69C30"/>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2A13B1"/>
    <w:multiLevelType w:val="hybridMultilevel"/>
    <w:tmpl w:val="612A0A3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030FF"/>
    <w:multiLevelType w:val="singleLevel"/>
    <w:tmpl w:val="06F64BC0"/>
    <w:lvl w:ilvl="0">
      <w:start w:val="1"/>
      <w:numFmt w:val="bullet"/>
      <w:pStyle w:val="2"/>
      <w:lvlText w:val="-"/>
      <w:lvlJc w:val="left"/>
      <w:pPr>
        <w:tabs>
          <w:tab w:val="num" w:pos="680"/>
        </w:tabs>
        <w:ind w:left="680" w:hanging="340"/>
      </w:pPr>
      <w:rPr>
        <w:rFonts w:ascii="Times New Roman" w:hAnsi="Times New Roman" w:hint="default"/>
      </w:rPr>
    </w:lvl>
  </w:abstractNum>
  <w:abstractNum w:abstractNumId="36"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E14D8"/>
    <w:multiLevelType w:val="hybridMultilevel"/>
    <w:tmpl w:val="CA1C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A6207A"/>
    <w:multiLevelType w:val="hybridMultilevel"/>
    <w:tmpl w:val="63DED0D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9E2255F"/>
    <w:multiLevelType w:val="hybridMultilevel"/>
    <w:tmpl w:val="50C4E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265984"/>
    <w:multiLevelType w:val="hybridMultilevel"/>
    <w:tmpl w:val="C756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195590"/>
    <w:multiLevelType w:val="hybridMultilevel"/>
    <w:tmpl w:val="AE52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B00ACD"/>
    <w:multiLevelType w:val="hybridMultilevel"/>
    <w:tmpl w:val="751E7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0"/>
  </w:num>
  <w:num w:numId="3">
    <w:abstractNumId w:val="1"/>
  </w:num>
  <w:num w:numId="4">
    <w:abstractNumId w:val="35"/>
  </w:num>
  <w:num w:numId="5">
    <w:abstractNumId w:val="7"/>
  </w:num>
  <w:num w:numId="6">
    <w:abstractNumId w:val="29"/>
  </w:num>
  <w:num w:numId="7">
    <w:abstractNumId w:val="34"/>
  </w:num>
  <w:num w:numId="8">
    <w:abstractNumId w:val="33"/>
  </w:num>
  <w:num w:numId="9">
    <w:abstractNumId w:val="25"/>
  </w:num>
  <w:num w:numId="10">
    <w:abstractNumId w:val="5"/>
  </w:num>
  <w:num w:numId="11">
    <w:abstractNumId w:val="12"/>
  </w:num>
  <w:num w:numId="12">
    <w:abstractNumId w:val="23"/>
  </w:num>
  <w:num w:numId="13">
    <w:abstractNumId w:val="6"/>
  </w:num>
  <w:num w:numId="14">
    <w:abstractNumId w:val="28"/>
  </w:num>
  <w:num w:numId="15">
    <w:abstractNumId w:val="39"/>
  </w:num>
  <w:num w:numId="16">
    <w:abstractNumId w:val="27"/>
  </w:num>
  <w:num w:numId="17">
    <w:abstractNumId w:val="4"/>
  </w:num>
  <w:num w:numId="18">
    <w:abstractNumId w:val="38"/>
  </w:num>
  <w:num w:numId="19">
    <w:abstractNumId w:val="2"/>
  </w:num>
  <w:num w:numId="20">
    <w:abstractNumId w:val="11"/>
  </w:num>
  <w:num w:numId="21">
    <w:abstractNumId w:val="17"/>
  </w:num>
  <w:num w:numId="22">
    <w:abstractNumId w:val="42"/>
  </w:num>
  <w:num w:numId="23">
    <w:abstractNumId w:val="10"/>
  </w:num>
  <w:num w:numId="24">
    <w:abstractNumId w:val="13"/>
  </w:num>
  <w:num w:numId="25">
    <w:abstractNumId w:val="24"/>
  </w:num>
  <w:num w:numId="26">
    <w:abstractNumId w:val="19"/>
  </w:num>
  <w:num w:numId="27">
    <w:abstractNumId w:val="32"/>
  </w:num>
  <w:num w:numId="28">
    <w:abstractNumId w:val="14"/>
  </w:num>
  <w:num w:numId="29">
    <w:abstractNumId w:val="26"/>
  </w:num>
  <w:num w:numId="30">
    <w:abstractNumId w:val="18"/>
  </w:num>
  <w:num w:numId="31">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21"/>
  </w:num>
  <w:num w:numId="35">
    <w:abstractNumId w:val="36"/>
  </w:num>
  <w:num w:numId="36">
    <w:abstractNumId w:val="37"/>
  </w:num>
  <w:num w:numId="37">
    <w:abstractNumId w:val="16"/>
  </w:num>
  <w:num w:numId="38">
    <w:abstractNumId w:val="31"/>
  </w:num>
  <w:num w:numId="39">
    <w:abstractNumId w:val="22"/>
  </w:num>
  <w:num w:numId="40">
    <w:abstractNumId w:val="0"/>
  </w:num>
  <w:num w:numId="41">
    <w:abstractNumId w:val="41"/>
  </w:num>
  <w:num w:numId="42">
    <w:abstractNumId w:val="9"/>
  </w:num>
  <w:num w:numId="43">
    <w:abstractNumId w:val="44"/>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8"/>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19"/>
    <w:rsid w:val="00000846"/>
    <w:rsid w:val="00001942"/>
    <w:rsid w:val="00001D05"/>
    <w:rsid w:val="00001F89"/>
    <w:rsid w:val="00001FEF"/>
    <w:rsid w:val="000025A6"/>
    <w:rsid w:val="0000299F"/>
    <w:rsid w:val="00002C0A"/>
    <w:rsid w:val="000031C7"/>
    <w:rsid w:val="000033D9"/>
    <w:rsid w:val="000035F7"/>
    <w:rsid w:val="00003D5B"/>
    <w:rsid w:val="0000407F"/>
    <w:rsid w:val="00004266"/>
    <w:rsid w:val="000046B4"/>
    <w:rsid w:val="000048AD"/>
    <w:rsid w:val="0000491F"/>
    <w:rsid w:val="00004C4C"/>
    <w:rsid w:val="00005462"/>
    <w:rsid w:val="00005B13"/>
    <w:rsid w:val="00005D00"/>
    <w:rsid w:val="00006652"/>
    <w:rsid w:val="00006824"/>
    <w:rsid w:val="00006D33"/>
    <w:rsid w:val="00006D98"/>
    <w:rsid w:val="00006F31"/>
    <w:rsid w:val="00006F86"/>
    <w:rsid w:val="00007003"/>
    <w:rsid w:val="0000738F"/>
    <w:rsid w:val="00007463"/>
    <w:rsid w:val="00007884"/>
    <w:rsid w:val="00007BB2"/>
    <w:rsid w:val="00010035"/>
    <w:rsid w:val="000101AC"/>
    <w:rsid w:val="00010425"/>
    <w:rsid w:val="000107EB"/>
    <w:rsid w:val="00010804"/>
    <w:rsid w:val="000108FF"/>
    <w:rsid w:val="00010BC6"/>
    <w:rsid w:val="00010F28"/>
    <w:rsid w:val="0001128E"/>
    <w:rsid w:val="000114E0"/>
    <w:rsid w:val="0001156D"/>
    <w:rsid w:val="00011F77"/>
    <w:rsid w:val="000123E0"/>
    <w:rsid w:val="00012440"/>
    <w:rsid w:val="0001275C"/>
    <w:rsid w:val="00012E68"/>
    <w:rsid w:val="000130A8"/>
    <w:rsid w:val="000132A9"/>
    <w:rsid w:val="0001334B"/>
    <w:rsid w:val="000134CC"/>
    <w:rsid w:val="000135DB"/>
    <w:rsid w:val="00013732"/>
    <w:rsid w:val="00013D96"/>
    <w:rsid w:val="0001420A"/>
    <w:rsid w:val="00014243"/>
    <w:rsid w:val="000142FF"/>
    <w:rsid w:val="0001436B"/>
    <w:rsid w:val="00014A4E"/>
    <w:rsid w:val="00014C0F"/>
    <w:rsid w:val="00014D65"/>
    <w:rsid w:val="0001554C"/>
    <w:rsid w:val="00015C30"/>
    <w:rsid w:val="00016C4F"/>
    <w:rsid w:val="00016C96"/>
    <w:rsid w:val="00016CAD"/>
    <w:rsid w:val="0001705B"/>
    <w:rsid w:val="000170E9"/>
    <w:rsid w:val="0001712B"/>
    <w:rsid w:val="000173AA"/>
    <w:rsid w:val="00017A6E"/>
    <w:rsid w:val="00017E02"/>
    <w:rsid w:val="00020333"/>
    <w:rsid w:val="00020546"/>
    <w:rsid w:val="00020B66"/>
    <w:rsid w:val="00020ED1"/>
    <w:rsid w:val="00021061"/>
    <w:rsid w:val="00021212"/>
    <w:rsid w:val="00021942"/>
    <w:rsid w:val="00021A9B"/>
    <w:rsid w:val="00021AC5"/>
    <w:rsid w:val="00021C2A"/>
    <w:rsid w:val="00021E96"/>
    <w:rsid w:val="00022080"/>
    <w:rsid w:val="000220F2"/>
    <w:rsid w:val="00022477"/>
    <w:rsid w:val="000224D8"/>
    <w:rsid w:val="00022D04"/>
    <w:rsid w:val="00022D6A"/>
    <w:rsid w:val="00022F61"/>
    <w:rsid w:val="00023093"/>
    <w:rsid w:val="000231A0"/>
    <w:rsid w:val="0002321D"/>
    <w:rsid w:val="000232F4"/>
    <w:rsid w:val="0002338F"/>
    <w:rsid w:val="0002346E"/>
    <w:rsid w:val="000236F2"/>
    <w:rsid w:val="000239FF"/>
    <w:rsid w:val="00023A0F"/>
    <w:rsid w:val="00023B66"/>
    <w:rsid w:val="00023B75"/>
    <w:rsid w:val="00023ECF"/>
    <w:rsid w:val="00023F60"/>
    <w:rsid w:val="00023FDA"/>
    <w:rsid w:val="00024108"/>
    <w:rsid w:val="000242C3"/>
    <w:rsid w:val="000248C5"/>
    <w:rsid w:val="000249B8"/>
    <w:rsid w:val="00024A85"/>
    <w:rsid w:val="00024C4B"/>
    <w:rsid w:val="00024D3E"/>
    <w:rsid w:val="00024FB8"/>
    <w:rsid w:val="000250CE"/>
    <w:rsid w:val="00025263"/>
    <w:rsid w:val="0002560F"/>
    <w:rsid w:val="00025690"/>
    <w:rsid w:val="000258B0"/>
    <w:rsid w:val="00025943"/>
    <w:rsid w:val="000259CA"/>
    <w:rsid w:val="000261CA"/>
    <w:rsid w:val="00026287"/>
    <w:rsid w:val="000262EE"/>
    <w:rsid w:val="00026959"/>
    <w:rsid w:val="000269E4"/>
    <w:rsid w:val="00026E51"/>
    <w:rsid w:val="00026F3C"/>
    <w:rsid w:val="00027756"/>
    <w:rsid w:val="00027E2E"/>
    <w:rsid w:val="0003041A"/>
    <w:rsid w:val="0003052F"/>
    <w:rsid w:val="00030573"/>
    <w:rsid w:val="0003074B"/>
    <w:rsid w:val="00030886"/>
    <w:rsid w:val="00030B27"/>
    <w:rsid w:val="00030B96"/>
    <w:rsid w:val="00030DA3"/>
    <w:rsid w:val="000311C5"/>
    <w:rsid w:val="00031A2D"/>
    <w:rsid w:val="00032631"/>
    <w:rsid w:val="00032727"/>
    <w:rsid w:val="00033280"/>
    <w:rsid w:val="00033391"/>
    <w:rsid w:val="0003371A"/>
    <w:rsid w:val="000337A4"/>
    <w:rsid w:val="0003392F"/>
    <w:rsid w:val="00033A0F"/>
    <w:rsid w:val="00033F9B"/>
    <w:rsid w:val="0003427B"/>
    <w:rsid w:val="000343CF"/>
    <w:rsid w:val="00034562"/>
    <w:rsid w:val="00034FCB"/>
    <w:rsid w:val="00035212"/>
    <w:rsid w:val="00035718"/>
    <w:rsid w:val="00035BF6"/>
    <w:rsid w:val="00035C51"/>
    <w:rsid w:val="00035C84"/>
    <w:rsid w:val="00035E04"/>
    <w:rsid w:val="00035F83"/>
    <w:rsid w:val="00035F87"/>
    <w:rsid w:val="00036C39"/>
    <w:rsid w:val="00036F02"/>
    <w:rsid w:val="0003703C"/>
    <w:rsid w:val="00037484"/>
    <w:rsid w:val="000374D0"/>
    <w:rsid w:val="00040005"/>
    <w:rsid w:val="00040021"/>
    <w:rsid w:val="000404CE"/>
    <w:rsid w:val="00040827"/>
    <w:rsid w:val="00040C09"/>
    <w:rsid w:val="00040EE1"/>
    <w:rsid w:val="000410F8"/>
    <w:rsid w:val="000412D2"/>
    <w:rsid w:val="000412DF"/>
    <w:rsid w:val="00041301"/>
    <w:rsid w:val="00041324"/>
    <w:rsid w:val="000415CE"/>
    <w:rsid w:val="000415D0"/>
    <w:rsid w:val="00041844"/>
    <w:rsid w:val="00041CAC"/>
    <w:rsid w:val="00041D7A"/>
    <w:rsid w:val="00041E62"/>
    <w:rsid w:val="0004219A"/>
    <w:rsid w:val="00042204"/>
    <w:rsid w:val="000423DF"/>
    <w:rsid w:val="00042534"/>
    <w:rsid w:val="000429C9"/>
    <w:rsid w:val="00042CA7"/>
    <w:rsid w:val="00042DDD"/>
    <w:rsid w:val="00042E0D"/>
    <w:rsid w:val="00043345"/>
    <w:rsid w:val="00043CE0"/>
    <w:rsid w:val="00043FE1"/>
    <w:rsid w:val="000443E6"/>
    <w:rsid w:val="0004442E"/>
    <w:rsid w:val="000444A1"/>
    <w:rsid w:val="0004458B"/>
    <w:rsid w:val="000446D1"/>
    <w:rsid w:val="00044913"/>
    <w:rsid w:val="000449C8"/>
    <w:rsid w:val="00044AF3"/>
    <w:rsid w:val="00044BE5"/>
    <w:rsid w:val="00044C8C"/>
    <w:rsid w:val="000450D4"/>
    <w:rsid w:val="00045760"/>
    <w:rsid w:val="00045801"/>
    <w:rsid w:val="00045C9A"/>
    <w:rsid w:val="0004605B"/>
    <w:rsid w:val="00046422"/>
    <w:rsid w:val="0004646C"/>
    <w:rsid w:val="0004698A"/>
    <w:rsid w:val="00046D5C"/>
    <w:rsid w:val="00046E7E"/>
    <w:rsid w:val="0004708C"/>
    <w:rsid w:val="000470E4"/>
    <w:rsid w:val="00047494"/>
    <w:rsid w:val="00047E4D"/>
    <w:rsid w:val="00047FC5"/>
    <w:rsid w:val="000501BE"/>
    <w:rsid w:val="00050A1A"/>
    <w:rsid w:val="00050D20"/>
    <w:rsid w:val="000510AB"/>
    <w:rsid w:val="00051A5E"/>
    <w:rsid w:val="00051DB4"/>
    <w:rsid w:val="00052003"/>
    <w:rsid w:val="000522DA"/>
    <w:rsid w:val="000528AF"/>
    <w:rsid w:val="00052937"/>
    <w:rsid w:val="00052D1C"/>
    <w:rsid w:val="00052D95"/>
    <w:rsid w:val="00052F52"/>
    <w:rsid w:val="000531C6"/>
    <w:rsid w:val="0005398F"/>
    <w:rsid w:val="00053E20"/>
    <w:rsid w:val="00054513"/>
    <w:rsid w:val="00054CED"/>
    <w:rsid w:val="00054F58"/>
    <w:rsid w:val="00055166"/>
    <w:rsid w:val="00055363"/>
    <w:rsid w:val="000557EF"/>
    <w:rsid w:val="000559BB"/>
    <w:rsid w:val="0005636B"/>
    <w:rsid w:val="00056378"/>
    <w:rsid w:val="000569F1"/>
    <w:rsid w:val="00056BA0"/>
    <w:rsid w:val="00057349"/>
    <w:rsid w:val="0005789D"/>
    <w:rsid w:val="00057B66"/>
    <w:rsid w:val="00057CEF"/>
    <w:rsid w:val="00057ECD"/>
    <w:rsid w:val="000602D1"/>
    <w:rsid w:val="00060358"/>
    <w:rsid w:val="00060854"/>
    <w:rsid w:val="0006094E"/>
    <w:rsid w:val="00060C44"/>
    <w:rsid w:val="00060C87"/>
    <w:rsid w:val="00060DC8"/>
    <w:rsid w:val="00061291"/>
    <w:rsid w:val="000613E2"/>
    <w:rsid w:val="00061AC0"/>
    <w:rsid w:val="00062401"/>
    <w:rsid w:val="0006240E"/>
    <w:rsid w:val="000624D3"/>
    <w:rsid w:val="00062945"/>
    <w:rsid w:val="00062AF6"/>
    <w:rsid w:val="00062BE4"/>
    <w:rsid w:val="00063916"/>
    <w:rsid w:val="00063D93"/>
    <w:rsid w:val="0006400E"/>
    <w:rsid w:val="00064198"/>
    <w:rsid w:val="000643A8"/>
    <w:rsid w:val="00064722"/>
    <w:rsid w:val="00064E70"/>
    <w:rsid w:val="000652DF"/>
    <w:rsid w:val="0006576B"/>
    <w:rsid w:val="00065ABF"/>
    <w:rsid w:val="00065C19"/>
    <w:rsid w:val="000660E9"/>
    <w:rsid w:val="00066584"/>
    <w:rsid w:val="00066B38"/>
    <w:rsid w:val="00066C19"/>
    <w:rsid w:val="00066EEA"/>
    <w:rsid w:val="000676B6"/>
    <w:rsid w:val="00067777"/>
    <w:rsid w:val="00067CC2"/>
    <w:rsid w:val="00067EF0"/>
    <w:rsid w:val="00070072"/>
    <w:rsid w:val="00070081"/>
    <w:rsid w:val="000702E2"/>
    <w:rsid w:val="0007041E"/>
    <w:rsid w:val="00070452"/>
    <w:rsid w:val="00070877"/>
    <w:rsid w:val="000709E0"/>
    <w:rsid w:val="00070A0D"/>
    <w:rsid w:val="00070E48"/>
    <w:rsid w:val="00070FAB"/>
    <w:rsid w:val="0007168D"/>
    <w:rsid w:val="00071814"/>
    <w:rsid w:val="00071C59"/>
    <w:rsid w:val="00072F33"/>
    <w:rsid w:val="00073DD1"/>
    <w:rsid w:val="00073FBC"/>
    <w:rsid w:val="000740BF"/>
    <w:rsid w:val="00074418"/>
    <w:rsid w:val="0007497C"/>
    <w:rsid w:val="00074A6F"/>
    <w:rsid w:val="00075105"/>
    <w:rsid w:val="00075185"/>
    <w:rsid w:val="000756A5"/>
    <w:rsid w:val="00075DAD"/>
    <w:rsid w:val="00076435"/>
    <w:rsid w:val="0007666B"/>
    <w:rsid w:val="000769C3"/>
    <w:rsid w:val="00076BF4"/>
    <w:rsid w:val="00076D71"/>
    <w:rsid w:val="0007775A"/>
    <w:rsid w:val="0008008A"/>
    <w:rsid w:val="0008041E"/>
    <w:rsid w:val="000806D8"/>
    <w:rsid w:val="00080DF3"/>
    <w:rsid w:val="00081066"/>
    <w:rsid w:val="000811F7"/>
    <w:rsid w:val="00081FB9"/>
    <w:rsid w:val="00082152"/>
    <w:rsid w:val="00082166"/>
    <w:rsid w:val="0008228A"/>
    <w:rsid w:val="00082346"/>
    <w:rsid w:val="000827F9"/>
    <w:rsid w:val="00082BC4"/>
    <w:rsid w:val="00082BD3"/>
    <w:rsid w:val="00082C2A"/>
    <w:rsid w:val="00083EA5"/>
    <w:rsid w:val="000843CD"/>
    <w:rsid w:val="00084505"/>
    <w:rsid w:val="000848F5"/>
    <w:rsid w:val="00084D74"/>
    <w:rsid w:val="0008559A"/>
    <w:rsid w:val="00085A43"/>
    <w:rsid w:val="00085CA8"/>
    <w:rsid w:val="000863D0"/>
    <w:rsid w:val="00086590"/>
    <w:rsid w:val="00086607"/>
    <w:rsid w:val="0008699D"/>
    <w:rsid w:val="000869F5"/>
    <w:rsid w:val="00086B83"/>
    <w:rsid w:val="00086C1A"/>
    <w:rsid w:val="00086FB9"/>
    <w:rsid w:val="0008706C"/>
    <w:rsid w:val="000876FE"/>
    <w:rsid w:val="000877C6"/>
    <w:rsid w:val="000879CC"/>
    <w:rsid w:val="00087F9A"/>
    <w:rsid w:val="000900C8"/>
    <w:rsid w:val="000900E7"/>
    <w:rsid w:val="00090AE0"/>
    <w:rsid w:val="00090D00"/>
    <w:rsid w:val="00090DFB"/>
    <w:rsid w:val="00091304"/>
    <w:rsid w:val="000914D1"/>
    <w:rsid w:val="00091897"/>
    <w:rsid w:val="000919B5"/>
    <w:rsid w:val="00091AE6"/>
    <w:rsid w:val="000920F1"/>
    <w:rsid w:val="00092216"/>
    <w:rsid w:val="0009269F"/>
    <w:rsid w:val="000926FE"/>
    <w:rsid w:val="000928B1"/>
    <w:rsid w:val="0009358C"/>
    <w:rsid w:val="00093C3D"/>
    <w:rsid w:val="00093CFF"/>
    <w:rsid w:val="00094140"/>
    <w:rsid w:val="000941F2"/>
    <w:rsid w:val="0009444D"/>
    <w:rsid w:val="0009496D"/>
    <w:rsid w:val="00094E43"/>
    <w:rsid w:val="000952CB"/>
    <w:rsid w:val="00095556"/>
    <w:rsid w:val="000958A6"/>
    <w:rsid w:val="00095B0D"/>
    <w:rsid w:val="000961FF"/>
    <w:rsid w:val="000964AB"/>
    <w:rsid w:val="000966C0"/>
    <w:rsid w:val="00096DAA"/>
    <w:rsid w:val="000972E0"/>
    <w:rsid w:val="0009771E"/>
    <w:rsid w:val="0009775E"/>
    <w:rsid w:val="000A016B"/>
    <w:rsid w:val="000A02C5"/>
    <w:rsid w:val="000A0A6D"/>
    <w:rsid w:val="000A0C72"/>
    <w:rsid w:val="000A0CE6"/>
    <w:rsid w:val="000A0E4F"/>
    <w:rsid w:val="000A0E74"/>
    <w:rsid w:val="000A0F56"/>
    <w:rsid w:val="000A117D"/>
    <w:rsid w:val="000A1495"/>
    <w:rsid w:val="000A1948"/>
    <w:rsid w:val="000A1D03"/>
    <w:rsid w:val="000A1F67"/>
    <w:rsid w:val="000A230B"/>
    <w:rsid w:val="000A23E6"/>
    <w:rsid w:val="000A24DA"/>
    <w:rsid w:val="000A2542"/>
    <w:rsid w:val="000A2698"/>
    <w:rsid w:val="000A2CD3"/>
    <w:rsid w:val="000A3239"/>
    <w:rsid w:val="000A32FD"/>
    <w:rsid w:val="000A3463"/>
    <w:rsid w:val="000A34BC"/>
    <w:rsid w:val="000A34E4"/>
    <w:rsid w:val="000A3824"/>
    <w:rsid w:val="000A3966"/>
    <w:rsid w:val="000A3BDB"/>
    <w:rsid w:val="000A3E72"/>
    <w:rsid w:val="000A3F38"/>
    <w:rsid w:val="000A3FAA"/>
    <w:rsid w:val="000A3FB6"/>
    <w:rsid w:val="000A4488"/>
    <w:rsid w:val="000A45F6"/>
    <w:rsid w:val="000A47A3"/>
    <w:rsid w:val="000A482D"/>
    <w:rsid w:val="000A4AED"/>
    <w:rsid w:val="000A4B0A"/>
    <w:rsid w:val="000A4BB9"/>
    <w:rsid w:val="000A5791"/>
    <w:rsid w:val="000A584B"/>
    <w:rsid w:val="000A59C8"/>
    <w:rsid w:val="000A6173"/>
    <w:rsid w:val="000A6234"/>
    <w:rsid w:val="000A652C"/>
    <w:rsid w:val="000A6D10"/>
    <w:rsid w:val="000A7582"/>
    <w:rsid w:val="000A777A"/>
    <w:rsid w:val="000A782A"/>
    <w:rsid w:val="000A79EC"/>
    <w:rsid w:val="000B0154"/>
    <w:rsid w:val="000B0392"/>
    <w:rsid w:val="000B0492"/>
    <w:rsid w:val="000B0C25"/>
    <w:rsid w:val="000B1134"/>
    <w:rsid w:val="000B130A"/>
    <w:rsid w:val="000B16AB"/>
    <w:rsid w:val="000B1816"/>
    <w:rsid w:val="000B1ABB"/>
    <w:rsid w:val="000B1CBB"/>
    <w:rsid w:val="000B22BE"/>
    <w:rsid w:val="000B248A"/>
    <w:rsid w:val="000B30BF"/>
    <w:rsid w:val="000B3343"/>
    <w:rsid w:val="000B3544"/>
    <w:rsid w:val="000B35CA"/>
    <w:rsid w:val="000B3C60"/>
    <w:rsid w:val="000B3F6D"/>
    <w:rsid w:val="000B4909"/>
    <w:rsid w:val="000B4AB5"/>
    <w:rsid w:val="000B512C"/>
    <w:rsid w:val="000B5493"/>
    <w:rsid w:val="000B5603"/>
    <w:rsid w:val="000B5ABC"/>
    <w:rsid w:val="000B60F7"/>
    <w:rsid w:val="000B627F"/>
    <w:rsid w:val="000B6306"/>
    <w:rsid w:val="000B73A9"/>
    <w:rsid w:val="000B7721"/>
    <w:rsid w:val="000B79AB"/>
    <w:rsid w:val="000B7B56"/>
    <w:rsid w:val="000B7FAA"/>
    <w:rsid w:val="000C0068"/>
    <w:rsid w:val="000C06DA"/>
    <w:rsid w:val="000C1845"/>
    <w:rsid w:val="000C1A99"/>
    <w:rsid w:val="000C1F2F"/>
    <w:rsid w:val="000C2336"/>
    <w:rsid w:val="000C259E"/>
    <w:rsid w:val="000C28CF"/>
    <w:rsid w:val="000C2B71"/>
    <w:rsid w:val="000C2CA7"/>
    <w:rsid w:val="000C3250"/>
    <w:rsid w:val="000C330B"/>
    <w:rsid w:val="000C386C"/>
    <w:rsid w:val="000C3955"/>
    <w:rsid w:val="000C3AE4"/>
    <w:rsid w:val="000C3B03"/>
    <w:rsid w:val="000C3F7B"/>
    <w:rsid w:val="000C4325"/>
    <w:rsid w:val="000C436F"/>
    <w:rsid w:val="000C45B1"/>
    <w:rsid w:val="000C4795"/>
    <w:rsid w:val="000C49C7"/>
    <w:rsid w:val="000C4AC5"/>
    <w:rsid w:val="000C4CC9"/>
    <w:rsid w:val="000C4D8E"/>
    <w:rsid w:val="000C4DA3"/>
    <w:rsid w:val="000C61D1"/>
    <w:rsid w:val="000C656F"/>
    <w:rsid w:val="000C6633"/>
    <w:rsid w:val="000C66F0"/>
    <w:rsid w:val="000C6940"/>
    <w:rsid w:val="000C6F3A"/>
    <w:rsid w:val="000C6F8D"/>
    <w:rsid w:val="000C6FB8"/>
    <w:rsid w:val="000C7092"/>
    <w:rsid w:val="000C72D9"/>
    <w:rsid w:val="000C7631"/>
    <w:rsid w:val="000C7E2A"/>
    <w:rsid w:val="000C7EE7"/>
    <w:rsid w:val="000D0989"/>
    <w:rsid w:val="000D12D3"/>
    <w:rsid w:val="000D12E6"/>
    <w:rsid w:val="000D160C"/>
    <w:rsid w:val="000D1A45"/>
    <w:rsid w:val="000D1AE6"/>
    <w:rsid w:val="000D1AF0"/>
    <w:rsid w:val="000D2B17"/>
    <w:rsid w:val="000D300E"/>
    <w:rsid w:val="000D3406"/>
    <w:rsid w:val="000D3522"/>
    <w:rsid w:val="000D3B36"/>
    <w:rsid w:val="000D3DCD"/>
    <w:rsid w:val="000D3FFC"/>
    <w:rsid w:val="000D415A"/>
    <w:rsid w:val="000D424B"/>
    <w:rsid w:val="000D4483"/>
    <w:rsid w:val="000D4517"/>
    <w:rsid w:val="000D4827"/>
    <w:rsid w:val="000D4C21"/>
    <w:rsid w:val="000D4E2C"/>
    <w:rsid w:val="000D5015"/>
    <w:rsid w:val="000D51C4"/>
    <w:rsid w:val="000D5456"/>
    <w:rsid w:val="000D54B4"/>
    <w:rsid w:val="000D55B1"/>
    <w:rsid w:val="000D5A52"/>
    <w:rsid w:val="000D5AE2"/>
    <w:rsid w:val="000D5C0E"/>
    <w:rsid w:val="000D5E27"/>
    <w:rsid w:val="000D5E28"/>
    <w:rsid w:val="000D5E4B"/>
    <w:rsid w:val="000D6102"/>
    <w:rsid w:val="000D6232"/>
    <w:rsid w:val="000D6886"/>
    <w:rsid w:val="000D72DF"/>
    <w:rsid w:val="000D73AF"/>
    <w:rsid w:val="000D73EF"/>
    <w:rsid w:val="000D7467"/>
    <w:rsid w:val="000D7767"/>
    <w:rsid w:val="000D77C6"/>
    <w:rsid w:val="000D7808"/>
    <w:rsid w:val="000D79F2"/>
    <w:rsid w:val="000D7B80"/>
    <w:rsid w:val="000D7D46"/>
    <w:rsid w:val="000D7DF5"/>
    <w:rsid w:val="000E0465"/>
    <w:rsid w:val="000E0C3F"/>
    <w:rsid w:val="000E11FC"/>
    <w:rsid w:val="000E1570"/>
    <w:rsid w:val="000E17B2"/>
    <w:rsid w:val="000E192A"/>
    <w:rsid w:val="000E19A9"/>
    <w:rsid w:val="000E19F7"/>
    <w:rsid w:val="000E1F78"/>
    <w:rsid w:val="000E2366"/>
    <w:rsid w:val="000E2732"/>
    <w:rsid w:val="000E28C8"/>
    <w:rsid w:val="000E29AA"/>
    <w:rsid w:val="000E2E33"/>
    <w:rsid w:val="000E30DF"/>
    <w:rsid w:val="000E350E"/>
    <w:rsid w:val="000E3797"/>
    <w:rsid w:val="000E3DCA"/>
    <w:rsid w:val="000E40B7"/>
    <w:rsid w:val="000E40D1"/>
    <w:rsid w:val="000E437E"/>
    <w:rsid w:val="000E4A7E"/>
    <w:rsid w:val="000E4EE1"/>
    <w:rsid w:val="000E4FCE"/>
    <w:rsid w:val="000E52C6"/>
    <w:rsid w:val="000E5DF1"/>
    <w:rsid w:val="000E5EAF"/>
    <w:rsid w:val="000E67D8"/>
    <w:rsid w:val="000E6CE3"/>
    <w:rsid w:val="000E6E6C"/>
    <w:rsid w:val="000E7310"/>
    <w:rsid w:val="000E742D"/>
    <w:rsid w:val="000E75A6"/>
    <w:rsid w:val="000E7612"/>
    <w:rsid w:val="000E766E"/>
    <w:rsid w:val="000E7707"/>
    <w:rsid w:val="000F0068"/>
    <w:rsid w:val="000F0527"/>
    <w:rsid w:val="000F077C"/>
    <w:rsid w:val="000F0B47"/>
    <w:rsid w:val="000F0D56"/>
    <w:rsid w:val="000F18AB"/>
    <w:rsid w:val="000F1926"/>
    <w:rsid w:val="000F1A3C"/>
    <w:rsid w:val="000F1E21"/>
    <w:rsid w:val="000F1EF8"/>
    <w:rsid w:val="000F231B"/>
    <w:rsid w:val="000F2668"/>
    <w:rsid w:val="000F28D8"/>
    <w:rsid w:val="000F29AE"/>
    <w:rsid w:val="000F2E19"/>
    <w:rsid w:val="000F2EDC"/>
    <w:rsid w:val="000F2EE9"/>
    <w:rsid w:val="000F2FDE"/>
    <w:rsid w:val="000F3119"/>
    <w:rsid w:val="000F33B8"/>
    <w:rsid w:val="000F340E"/>
    <w:rsid w:val="000F34F2"/>
    <w:rsid w:val="000F3546"/>
    <w:rsid w:val="000F363D"/>
    <w:rsid w:val="000F393A"/>
    <w:rsid w:val="000F429C"/>
    <w:rsid w:val="000F4415"/>
    <w:rsid w:val="000F4524"/>
    <w:rsid w:val="000F5178"/>
    <w:rsid w:val="000F51A9"/>
    <w:rsid w:val="000F546C"/>
    <w:rsid w:val="000F6ACE"/>
    <w:rsid w:val="000F6B8B"/>
    <w:rsid w:val="000F7291"/>
    <w:rsid w:val="000F74DB"/>
    <w:rsid w:val="000F7F80"/>
    <w:rsid w:val="000F7FD7"/>
    <w:rsid w:val="0010036F"/>
    <w:rsid w:val="00100531"/>
    <w:rsid w:val="00100F20"/>
    <w:rsid w:val="00100F7C"/>
    <w:rsid w:val="00101755"/>
    <w:rsid w:val="00101AB6"/>
    <w:rsid w:val="001021C5"/>
    <w:rsid w:val="00102554"/>
    <w:rsid w:val="001025FB"/>
    <w:rsid w:val="001026B0"/>
    <w:rsid w:val="001027CB"/>
    <w:rsid w:val="001029B2"/>
    <w:rsid w:val="00102ACF"/>
    <w:rsid w:val="00102FA9"/>
    <w:rsid w:val="001030D8"/>
    <w:rsid w:val="00103334"/>
    <w:rsid w:val="001036B1"/>
    <w:rsid w:val="00103A7F"/>
    <w:rsid w:val="00103EBA"/>
    <w:rsid w:val="00103F77"/>
    <w:rsid w:val="001040C0"/>
    <w:rsid w:val="00104653"/>
    <w:rsid w:val="00104658"/>
    <w:rsid w:val="001049CF"/>
    <w:rsid w:val="00104D71"/>
    <w:rsid w:val="00104E50"/>
    <w:rsid w:val="00104EA8"/>
    <w:rsid w:val="00105060"/>
    <w:rsid w:val="001051D9"/>
    <w:rsid w:val="001056BF"/>
    <w:rsid w:val="00105EC4"/>
    <w:rsid w:val="00106132"/>
    <w:rsid w:val="001065F1"/>
    <w:rsid w:val="0010679C"/>
    <w:rsid w:val="00106CB5"/>
    <w:rsid w:val="00106D6D"/>
    <w:rsid w:val="00106E8B"/>
    <w:rsid w:val="00106EA7"/>
    <w:rsid w:val="0010709D"/>
    <w:rsid w:val="0010712E"/>
    <w:rsid w:val="001077A2"/>
    <w:rsid w:val="00107F7B"/>
    <w:rsid w:val="001103E2"/>
    <w:rsid w:val="00110739"/>
    <w:rsid w:val="00110853"/>
    <w:rsid w:val="00110A3D"/>
    <w:rsid w:val="00111229"/>
    <w:rsid w:val="001112CE"/>
    <w:rsid w:val="00111460"/>
    <w:rsid w:val="00111BB7"/>
    <w:rsid w:val="00111FCA"/>
    <w:rsid w:val="0011218C"/>
    <w:rsid w:val="0011266F"/>
    <w:rsid w:val="0011269C"/>
    <w:rsid w:val="00112802"/>
    <w:rsid w:val="00112933"/>
    <w:rsid w:val="00114150"/>
    <w:rsid w:val="00114219"/>
    <w:rsid w:val="0011450C"/>
    <w:rsid w:val="001148AD"/>
    <w:rsid w:val="001148D4"/>
    <w:rsid w:val="00114A03"/>
    <w:rsid w:val="00114BE3"/>
    <w:rsid w:val="001151C8"/>
    <w:rsid w:val="0011531B"/>
    <w:rsid w:val="00115826"/>
    <w:rsid w:val="00115982"/>
    <w:rsid w:val="00115EF5"/>
    <w:rsid w:val="0011667B"/>
    <w:rsid w:val="00116886"/>
    <w:rsid w:val="00116EAD"/>
    <w:rsid w:val="00117259"/>
    <w:rsid w:val="00117776"/>
    <w:rsid w:val="001179FE"/>
    <w:rsid w:val="00117A2C"/>
    <w:rsid w:val="00117C3A"/>
    <w:rsid w:val="00120389"/>
    <w:rsid w:val="00120526"/>
    <w:rsid w:val="00120F11"/>
    <w:rsid w:val="00121791"/>
    <w:rsid w:val="00121EAB"/>
    <w:rsid w:val="00122012"/>
    <w:rsid w:val="00122123"/>
    <w:rsid w:val="001223AE"/>
    <w:rsid w:val="001223BC"/>
    <w:rsid w:val="00122463"/>
    <w:rsid w:val="00122D56"/>
    <w:rsid w:val="0012306E"/>
    <w:rsid w:val="001230C3"/>
    <w:rsid w:val="001231F0"/>
    <w:rsid w:val="0012366D"/>
    <w:rsid w:val="001236DB"/>
    <w:rsid w:val="001239B6"/>
    <w:rsid w:val="00123A34"/>
    <w:rsid w:val="00123C6F"/>
    <w:rsid w:val="001246FF"/>
    <w:rsid w:val="0012479B"/>
    <w:rsid w:val="00124B0F"/>
    <w:rsid w:val="00124D9B"/>
    <w:rsid w:val="00124DD4"/>
    <w:rsid w:val="00125006"/>
    <w:rsid w:val="00125103"/>
    <w:rsid w:val="001254EF"/>
    <w:rsid w:val="00125532"/>
    <w:rsid w:val="00125AFD"/>
    <w:rsid w:val="00125B21"/>
    <w:rsid w:val="00126A85"/>
    <w:rsid w:val="00126EBD"/>
    <w:rsid w:val="00127114"/>
    <w:rsid w:val="00127C0D"/>
    <w:rsid w:val="00127F3E"/>
    <w:rsid w:val="001301B8"/>
    <w:rsid w:val="00130CA8"/>
    <w:rsid w:val="00130EF0"/>
    <w:rsid w:val="001313C8"/>
    <w:rsid w:val="001318A0"/>
    <w:rsid w:val="00131D72"/>
    <w:rsid w:val="00131EF2"/>
    <w:rsid w:val="00132615"/>
    <w:rsid w:val="00132EA2"/>
    <w:rsid w:val="001331A7"/>
    <w:rsid w:val="001333D3"/>
    <w:rsid w:val="00133663"/>
    <w:rsid w:val="001336BF"/>
    <w:rsid w:val="0013374B"/>
    <w:rsid w:val="001338C5"/>
    <w:rsid w:val="001339B0"/>
    <w:rsid w:val="0013467D"/>
    <w:rsid w:val="00135406"/>
    <w:rsid w:val="00135BE7"/>
    <w:rsid w:val="00135F0A"/>
    <w:rsid w:val="0013622D"/>
    <w:rsid w:val="001364CD"/>
    <w:rsid w:val="001364F2"/>
    <w:rsid w:val="0013650F"/>
    <w:rsid w:val="00136647"/>
    <w:rsid w:val="001367E8"/>
    <w:rsid w:val="00136C14"/>
    <w:rsid w:val="00136D11"/>
    <w:rsid w:val="00136E0B"/>
    <w:rsid w:val="001370E7"/>
    <w:rsid w:val="001371A5"/>
    <w:rsid w:val="00137346"/>
    <w:rsid w:val="001373D5"/>
    <w:rsid w:val="0013752D"/>
    <w:rsid w:val="0013790B"/>
    <w:rsid w:val="0013798C"/>
    <w:rsid w:val="00137F4C"/>
    <w:rsid w:val="00141286"/>
    <w:rsid w:val="0014158F"/>
    <w:rsid w:val="001417E1"/>
    <w:rsid w:val="0014187C"/>
    <w:rsid w:val="00141ABD"/>
    <w:rsid w:val="001420A1"/>
    <w:rsid w:val="001427FE"/>
    <w:rsid w:val="0014323F"/>
    <w:rsid w:val="00143431"/>
    <w:rsid w:val="001436CD"/>
    <w:rsid w:val="00143CBC"/>
    <w:rsid w:val="0014422E"/>
    <w:rsid w:val="00144547"/>
    <w:rsid w:val="0014469B"/>
    <w:rsid w:val="001447F5"/>
    <w:rsid w:val="00144D0A"/>
    <w:rsid w:val="0014531B"/>
    <w:rsid w:val="001457AB"/>
    <w:rsid w:val="00145842"/>
    <w:rsid w:val="001459DF"/>
    <w:rsid w:val="00145F0B"/>
    <w:rsid w:val="00146066"/>
    <w:rsid w:val="0014634D"/>
    <w:rsid w:val="0014657D"/>
    <w:rsid w:val="00146591"/>
    <w:rsid w:val="00147619"/>
    <w:rsid w:val="00147E7E"/>
    <w:rsid w:val="00147FB8"/>
    <w:rsid w:val="001502B3"/>
    <w:rsid w:val="0015032F"/>
    <w:rsid w:val="00150723"/>
    <w:rsid w:val="0015158B"/>
    <w:rsid w:val="0015170A"/>
    <w:rsid w:val="001518CC"/>
    <w:rsid w:val="00151C16"/>
    <w:rsid w:val="00151D00"/>
    <w:rsid w:val="00151D2E"/>
    <w:rsid w:val="00151EBF"/>
    <w:rsid w:val="0015304B"/>
    <w:rsid w:val="00153380"/>
    <w:rsid w:val="001533A3"/>
    <w:rsid w:val="00153879"/>
    <w:rsid w:val="0015390B"/>
    <w:rsid w:val="001540D4"/>
    <w:rsid w:val="001543B0"/>
    <w:rsid w:val="00154A7E"/>
    <w:rsid w:val="00154B68"/>
    <w:rsid w:val="00154C6E"/>
    <w:rsid w:val="00155238"/>
    <w:rsid w:val="00155565"/>
    <w:rsid w:val="00155A29"/>
    <w:rsid w:val="00155D00"/>
    <w:rsid w:val="00155F74"/>
    <w:rsid w:val="001566CA"/>
    <w:rsid w:val="00156833"/>
    <w:rsid w:val="00156966"/>
    <w:rsid w:val="00156984"/>
    <w:rsid w:val="00156B59"/>
    <w:rsid w:val="00157084"/>
    <w:rsid w:val="001572EB"/>
    <w:rsid w:val="00157546"/>
    <w:rsid w:val="00157FE1"/>
    <w:rsid w:val="00160051"/>
    <w:rsid w:val="001600E7"/>
    <w:rsid w:val="00160569"/>
    <w:rsid w:val="0016065C"/>
    <w:rsid w:val="0016065D"/>
    <w:rsid w:val="001606C8"/>
    <w:rsid w:val="0016077F"/>
    <w:rsid w:val="00160DCF"/>
    <w:rsid w:val="00161144"/>
    <w:rsid w:val="0016115B"/>
    <w:rsid w:val="001611AE"/>
    <w:rsid w:val="001611EB"/>
    <w:rsid w:val="00161601"/>
    <w:rsid w:val="001617AA"/>
    <w:rsid w:val="001618AB"/>
    <w:rsid w:val="0016195A"/>
    <w:rsid w:val="00161BA9"/>
    <w:rsid w:val="00161EA7"/>
    <w:rsid w:val="00161ED9"/>
    <w:rsid w:val="00162393"/>
    <w:rsid w:val="0016270E"/>
    <w:rsid w:val="00162804"/>
    <w:rsid w:val="00163591"/>
    <w:rsid w:val="00163604"/>
    <w:rsid w:val="001636EC"/>
    <w:rsid w:val="001647C5"/>
    <w:rsid w:val="001648CA"/>
    <w:rsid w:val="0016492F"/>
    <w:rsid w:val="00164AEC"/>
    <w:rsid w:val="00164D8B"/>
    <w:rsid w:val="001650C3"/>
    <w:rsid w:val="0016524D"/>
    <w:rsid w:val="00165A30"/>
    <w:rsid w:val="00165F17"/>
    <w:rsid w:val="00165FF5"/>
    <w:rsid w:val="00166357"/>
    <w:rsid w:val="00166853"/>
    <w:rsid w:val="00166A57"/>
    <w:rsid w:val="00166F1A"/>
    <w:rsid w:val="00167028"/>
    <w:rsid w:val="00167462"/>
    <w:rsid w:val="00167558"/>
    <w:rsid w:val="001675FF"/>
    <w:rsid w:val="001678B9"/>
    <w:rsid w:val="00167EB6"/>
    <w:rsid w:val="00167FC4"/>
    <w:rsid w:val="0017004A"/>
    <w:rsid w:val="0017059E"/>
    <w:rsid w:val="001709A2"/>
    <w:rsid w:val="00170B59"/>
    <w:rsid w:val="00170D40"/>
    <w:rsid w:val="00170F2C"/>
    <w:rsid w:val="00171370"/>
    <w:rsid w:val="001713FD"/>
    <w:rsid w:val="001717AF"/>
    <w:rsid w:val="00171EC6"/>
    <w:rsid w:val="001722FB"/>
    <w:rsid w:val="00172ABF"/>
    <w:rsid w:val="00173571"/>
    <w:rsid w:val="0017366D"/>
    <w:rsid w:val="0017373E"/>
    <w:rsid w:val="001740D4"/>
    <w:rsid w:val="0017433E"/>
    <w:rsid w:val="0017461E"/>
    <w:rsid w:val="0017469C"/>
    <w:rsid w:val="001747D3"/>
    <w:rsid w:val="0017487C"/>
    <w:rsid w:val="00174AEE"/>
    <w:rsid w:val="00174D79"/>
    <w:rsid w:val="00174D9A"/>
    <w:rsid w:val="0017506B"/>
    <w:rsid w:val="001756CC"/>
    <w:rsid w:val="00175AAA"/>
    <w:rsid w:val="00175AC8"/>
    <w:rsid w:val="00175DA2"/>
    <w:rsid w:val="0017630E"/>
    <w:rsid w:val="001764FB"/>
    <w:rsid w:val="0017670F"/>
    <w:rsid w:val="00176C03"/>
    <w:rsid w:val="00176C89"/>
    <w:rsid w:val="00176E36"/>
    <w:rsid w:val="001772B1"/>
    <w:rsid w:val="0017750E"/>
    <w:rsid w:val="00177D53"/>
    <w:rsid w:val="00177E82"/>
    <w:rsid w:val="00180722"/>
    <w:rsid w:val="00180737"/>
    <w:rsid w:val="00180980"/>
    <w:rsid w:val="00180B11"/>
    <w:rsid w:val="00180D1C"/>
    <w:rsid w:val="0018133F"/>
    <w:rsid w:val="00181D42"/>
    <w:rsid w:val="00181FA3"/>
    <w:rsid w:val="00181FAC"/>
    <w:rsid w:val="001821E2"/>
    <w:rsid w:val="0018249E"/>
    <w:rsid w:val="0018290E"/>
    <w:rsid w:val="00182BD6"/>
    <w:rsid w:val="00183250"/>
    <w:rsid w:val="00183789"/>
    <w:rsid w:val="00183C8E"/>
    <w:rsid w:val="00183F3E"/>
    <w:rsid w:val="00184342"/>
    <w:rsid w:val="00184462"/>
    <w:rsid w:val="0018466A"/>
    <w:rsid w:val="001851D3"/>
    <w:rsid w:val="0018526A"/>
    <w:rsid w:val="00185366"/>
    <w:rsid w:val="0018544B"/>
    <w:rsid w:val="00185AC5"/>
    <w:rsid w:val="00185AF6"/>
    <w:rsid w:val="0018641F"/>
    <w:rsid w:val="0018654F"/>
    <w:rsid w:val="001865A2"/>
    <w:rsid w:val="0018662F"/>
    <w:rsid w:val="00186E4A"/>
    <w:rsid w:val="00186E6F"/>
    <w:rsid w:val="001870B5"/>
    <w:rsid w:val="00187153"/>
    <w:rsid w:val="00187366"/>
    <w:rsid w:val="0018747D"/>
    <w:rsid w:val="00187483"/>
    <w:rsid w:val="0018754A"/>
    <w:rsid w:val="00187568"/>
    <w:rsid w:val="001875CD"/>
    <w:rsid w:val="0018760B"/>
    <w:rsid w:val="0018794F"/>
    <w:rsid w:val="00187CE9"/>
    <w:rsid w:val="00187E09"/>
    <w:rsid w:val="00187E3C"/>
    <w:rsid w:val="00187E70"/>
    <w:rsid w:val="00190C6D"/>
    <w:rsid w:val="0019106F"/>
    <w:rsid w:val="001913B2"/>
    <w:rsid w:val="00191433"/>
    <w:rsid w:val="0019147D"/>
    <w:rsid w:val="00191733"/>
    <w:rsid w:val="00191F69"/>
    <w:rsid w:val="00191F6B"/>
    <w:rsid w:val="0019202D"/>
    <w:rsid w:val="00192074"/>
    <w:rsid w:val="0019220E"/>
    <w:rsid w:val="00192BD5"/>
    <w:rsid w:val="00192D8D"/>
    <w:rsid w:val="00193305"/>
    <w:rsid w:val="00193343"/>
    <w:rsid w:val="00193678"/>
    <w:rsid w:val="001937B8"/>
    <w:rsid w:val="00193905"/>
    <w:rsid w:val="001939FB"/>
    <w:rsid w:val="00193A35"/>
    <w:rsid w:val="00193B3A"/>
    <w:rsid w:val="00193F55"/>
    <w:rsid w:val="00194384"/>
    <w:rsid w:val="001943EE"/>
    <w:rsid w:val="00194957"/>
    <w:rsid w:val="00194A52"/>
    <w:rsid w:val="0019531B"/>
    <w:rsid w:val="00196056"/>
    <w:rsid w:val="0019623E"/>
    <w:rsid w:val="001962E3"/>
    <w:rsid w:val="001963AE"/>
    <w:rsid w:val="0019642C"/>
    <w:rsid w:val="001966E2"/>
    <w:rsid w:val="00196B56"/>
    <w:rsid w:val="00196E87"/>
    <w:rsid w:val="00197138"/>
    <w:rsid w:val="0019739B"/>
    <w:rsid w:val="001A0200"/>
    <w:rsid w:val="001A0241"/>
    <w:rsid w:val="001A03BB"/>
    <w:rsid w:val="001A099D"/>
    <w:rsid w:val="001A0DF8"/>
    <w:rsid w:val="001A0F7E"/>
    <w:rsid w:val="001A0FB3"/>
    <w:rsid w:val="001A1265"/>
    <w:rsid w:val="001A149D"/>
    <w:rsid w:val="001A160E"/>
    <w:rsid w:val="001A1D38"/>
    <w:rsid w:val="001A1D57"/>
    <w:rsid w:val="001A2219"/>
    <w:rsid w:val="001A25A6"/>
    <w:rsid w:val="001A2B0B"/>
    <w:rsid w:val="001A2C34"/>
    <w:rsid w:val="001A2D8C"/>
    <w:rsid w:val="001A2F90"/>
    <w:rsid w:val="001A3416"/>
    <w:rsid w:val="001A3485"/>
    <w:rsid w:val="001A3D44"/>
    <w:rsid w:val="001A3D77"/>
    <w:rsid w:val="001A4947"/>
    <w:rsid w:val="001A4C47"/>
    <w:rsid w:val="001A4DC4"/>
    <w:rsid w:val="001A5464"/>
    <w:rsid w:val="001A5937"/>
    <w:rsid w:val="001A59DF"/>
    <w:rsid w:val="001A5D12"/>
    <w:rsid w:val="001A66B2"/>
    <w:rsid w:val="001A692E"/>
    <w:rsid w:val="001A6D87"/>
    <w:rsid w:val="001A71B0"/>
    <w:rsid w:val="001A7479"/>
    <w:rsid w:val="001A787D"/>
    <w:rsid w:val="001A7F4B"/>
    <w:rsid w:val="001B04A9"/>
    <w:rsid w:val="001B05D4"/>
    <w:rsid w:val="001B0623"/>
    <w:rsid w:val="001B0645"/>
    <w:rsid w:val="001B0BD8"/>
    <w:rsid w:val="001B0DA1"/>
    <w:rsid w:val="001B0DD5"/>
    <w:rsid w:val="001B14F5"/>
    <w:rsid w:val="001B158C"/>
    <w:rsid w:val="001B177E"/>
    <w:rsid w:val="001B1ADF"/>
    <w:rsid w:val="001B1D09"/>
    <w:rsid w:val="001B204B"/>
    <w:rsid w:val="001B2475"/>
    <w:rsid w:val="001B2695"/>
    <w:rsid w:val="001B2AA1"/>
    <w:rsid w:val="001B2B8A"/>
    <w:rsid w:val="001B2D85"/>
    <w:rsid w:val="001B3046"/>
    <w:rsid w:val="001B3AF0"/>
    <w:rsid w:val="001B3DBA"/>
    <w:rsid w:val="001B3E08"/>
    <w:rsid w:val="001B3FF6"/>
    <w:rsid w:val="001B406F"/>
    <w:rsid w:val="001B49C1"/>
    <w:rsid w:val="001B4BA5"/>
    <w:rsid w:val="001B4F7A"/>
    <w:rsid w:val="001B56DA"/>
    <w:rsid w:val="001B5C66"/>
    <w:rsid w:val="001B5D7C"/>
    <w:rsid w:val="001B5E6E"/>
    <w:rsid w:val="001B60EB"/>
    <w:rsid w:val="001B628D"/>
    <w:rsid w:val="001B62A0"/>
    <w:rsid w:val="001B6645"/>
    <w:rsid w:val="001B68BC"/>
    <w:rsid w:val="001B78FC"/>
    <w:rsid w:val="001B7BFA"/>
    <w:rsid w:val="001B7C37"/>
    <w:rsid w:val="001B7E50"/>
    <w:rsid w:val="001C00B6"/>
    <w:rsid w:val="001C02A8"/>
    <w:rsid w:val="001C02D7"/>
    <w:rsid w:val="001C055F"/>
    <w:rsid w:val="001C0760"/>
    <w:rsid w:val="001C0800"/>
    <w:rsid w:val="001C09EB"/>
    <w:rsid w:val="001C0BE7"/>
    <w:rsid w:val="001C0CDB"/>
    <w:rsid w:val="001C0D96"/>
    <w:rsid w:val="001C0E56"/>
    <w:rsid w:val="001C11D3"/>
    <w:rsid w:val="001C13CE"/>
    <w:rsid w:val="001C1526"/>
    <w:rsid w:val="001C1828"/>
    <w:rsid w:val="001C1AD0"/>
    <w:rsid w:val="001C1E37"/>
    <w:rsid w:val="001C1F71"/>
    <w:rsid w:val="001C2052"/>
    <w:rsid w:val="001C2081"/>
    <w:rsid w:val="001C2261"/>
    <w:rsid w:val="001C279E"/>
    <w:rsid w:val="001C2E09"/>
    <w:rsid w:val="001C307E"/>
    <w:rsid w:val="001C3775"/>
    <w:rsid w:val="001C3A5B"/>
    <w:rsid w:val="001C3DC8"/>
    <w:rsid w:val="001C3F64"/>
    <w:rsid w:val="001C428F"/>
    <w:rsid w:val="001C4290"/>
    <w:rsid w:val="001C4391"/>
    <w:rsid w:val="001C4A76"/>
    <w:rsid w:val="001C568A"/>
    <w:rsid w:val="001C59EC"/>
    <w:rsid w:val="001C5EF6"/>
    <w:rsid w:val="001C6063"/>
    <w:rsid w:val="001C6597"/>
    <w:rsid w:val="001C65E4"/>
    <w:rsid w:val="001C6612"/>
    <w:rsid w:val="001C67F2"/>
    <w:rsid w:val="001C6A0D"/>
    <w:rsid w:val="001C6B25"/>
    <w:rsid w:val="001C6E91"/>
    <w:rsid w:val="001C6E9D"/>
    <w:rsid w:val="001C6EA1"/>
    <w:rsid w:val="001C7061"/>
    <w:rsid w:val="001C7C72"/>
    <w:rsid w:val="001D01D3"/>
    <w:rsid w:val="001D062F"/>
    <w:rsid w:val="001D06C8"/>
    <w:rsid w:val="001D0723"/>
    <w:rsid w:val="001D0751"/>
    <w:rsid w:val="001D081C"/>
    <w:rsid w:val="001D0B9E"/>
    <w:rsid w:val="001D0CA7"/>
    <w:rsid w:val="001D0DB6"/>
    <w:rsid w:val="001D0F21"/>
    <w:rsid w:val="001D1387"/>
    <w:rsid w:val="001D1702"/>
    <w:rsid w:val="001D1762"/>
    <w:rsid w:val="001D1D9E"/>
    <w:rsid w:val="001D1E82"/>
    <w:rsid w:val="001D235E"/>
    <w:rsid w:val="001D23F3"/>
    <w:rsid w:val="001D27EB"/>
    <w:rsid w:val="001D2862"/>
    <w:rsid w:val="001D286A"/>
    <w:rsid w:val="001D291E"/>
    <w:rsid w:val="001D2BD1"/>
    <w:rsid w:val="001D2BEA"/>
    <w:rsid w:val="001D2C61"/>
    <w:rsid w:val="001D2D7B"/>
    <w:rsid w:val="001D37E0"/>
    <w:rsid w:val="001D3908"/>
    <w:rsid w:val="001D39A0"/>
    <w:rsid w:val="001D4158"/>
    <w:rsid w:val="001D43FA"/>
    <w:rsid w:val="001D4569"/>
    <w:rsid w:val="001D48A8"/>
    <w:rsid w:val="001D4995"/>
    <w:rsid w:val="001D4B8E"/>
    <w:rsid w:val="001D5080"/>
    <w:rsid w:val="001D5C32"/>
    <w:rsid w:val="001D5FC1"/>
    <w:rsid w:val="001D603B"/>
    <w:rsid w:val="001D61E2"/>
    <w:rsid w:val="001D636C"/>
    <w:rsid w:val="001D6926"/>
    <w:rsid w:val="001D6B4D"/>
    <w:rsid w:val="001D6C25"/>
    <w:rsid w:val="001D6C94"/>
    <w:rsid w:val="001D6CB4"/>
    <w:rsid w:val="001D70D1"/>
    <w:rsid w:val="001D713A"/>
    <w:rsid w:val="001D7493"/>
    <w:rsid w:val="001D7596"/>
    <w:rsid w:val="001D769F"/>
    <w:rsid w:val="001D7786"/>
    <w:rsid w:val="001D7850"/>
    <w:rsid w:val="001D7D50"/>
    <w:rsid w:val="001D7F48"/>
    <w:rsid w:val="001E0408"/>
    <w:rsid w:val="001E0894"/>
    <w:rsid w:val="001E0BEB"/>
    <w:rsid w:val="001E0F14"/>
    <w:rsid w:val="001E0F43"/>
    <w:rsid w:val="001E132A"/>
    <w:rsid w:val="001E13EF"/>
    <w:rsid w:val="001E1435"/>
    <w:rsid w:val="001E1A11"/>
    <w:rsid w:val="001E1BF9"/>
    <w:rsid w:val="001E2007"/>
    <w:rsid w:val="001E2381"/>
    <w:rsid w:val="001E263A"/>
    <w:rsid w:val="001E282D"/>
    <w:rsid w:val="001E298F"/>
    <w:rsid w:val="001E2A16"/>
    <w:rsid w:val="001E2E7A"/>
    <w:rsid w:val="001E37F6"/>
    <w:rsid w:val="001E3AB1"/>
    <w:rsid w:val="001E3AE1"/>
    <w:rsid w:val="001E4123"/>
    <w:rsid w:val="001E44F9"/>
    <w:rsid w:val="001E4891"/>
    <w:rsid w:val="001E4C5A"/>
    <w:rsid w:val="001E4DE0"/>
    <w:rsid w:val="001E5222"/>
    <w:rsid w:val="001E57E2"/>
    <w:rsid w:val="001E5955"/>
    <w:rsid w:val="001E5A45"/>
    <w:rsid w:val="001E5F8B"/>
    <w:rsid w:val="001E611E"/>
    <w:rsid w:val="001E6935"/>
    <w:rsid w:val="001E6B68"/>
    <w:rsid w:val="001E6C51"/>
    <w:rsid w:val="001E6D13"/>
    <w:rsid w:val="001E6D33"/>
    <w:rsid w:val="001E741E"/>
    <w:rsid w:val="001E78D4"/>
    <w:rsid w:val="001F03E1"/>
    <w:rsid w:val="001F0496"/>
    <w:rsid w:val="001F07A3"/>
    <w:rsid w:val="001F087A"/>
    <w:rsid w:val="001F0D40"/>
    <w:rsid w:val="001F1EE0"/>
    <w:rsid w:val="001F2619"/>
    <w:rsid w:val="001F2644"/>
    <w:rsid w:val="001F2772"/>
    <w:rsid w:val="001F2BA4"/>
    <w:rsid w:val="001F2EE5"/>
    <w:rsid w:val="001F34B6"/>
    <w:rsid w:val="001F375D"/>
    <w:rsid w:val="001F3B31"/>
    <w:rsid w:val="001F3B3C"/>
    <w:rsid w:val="001F3F6C"/>
    <w:rsid w:val="001F415C"/>
    <w:rsid w:val="001F4545"/>
    <w:rsid w:val="001F4588"/>
    <w:rsid w:val="001F4B24"/>
    <w:rsid w:val="001F4C72"/>
    <w:rsid w:val="001F5134"/>
    <w:rsid w:val="001F5329"/>
    <w:rsid w:val="001F54E4"/>
    <w:rsid w:val="001F569F"/>
    <w:rsid w:val="001F5BAF"/>
    <w:rsid w:val="001F5DC2"/>
    <w:rsid w:val="001F65D1"/>
    <w:rsid w:val="001F6718"/>
    <w:rsid w:val="001F6D15"/>
    <w:rsid w:val="001F7053"/>
    <w:rsid w:val="001F708F"/>
    <w:rsid w:val="001F7755"/>
    <w:rsid w:val="001F7F37"/>
    <w:rsid w:val="00200140"/>
    <w:rsid w:val="002004F1"/>
    <w:rsid w:val="002006A3"/>
    <w:rsid w:val="0020091F"/>
    <w:rsid w:val="00200BE4"/>
    <w:rsid w:val="00200FF0"/>
    <w:rsid w:val="00201004"/>
    <w:rsid w:val="00201269"/>
    <w:rsid w:val="002012D1"/>
    <w:rsid w:val="0020152D"/>
    <w:rsid w:val="00201C6F"/>
    <w:rsid w:val="00201C9A"/>
    <w:rsid w:val="00201EB9"/>
    <w:rsid w:val="00201F57"/>
    <w:rsid w:val="00201F59"/>
    <w:rsid w:val="00202184"/>
    <w:rsid w:val="002021CC"/>
    <w:rsid w:val="00202623"/>
    <w:rsid w:val="002028DE"/>
    <w:rsid w:val="00202937"/>
    <w:rsid w:val="00202B62"/>
    <w:rsid w:val="00202E83"/>
    <w:rsid w:val="0020318E"/>
    <w:rsid w:val="00203237"/>
    <w:rsid w:val="002032B4"/>
    <w:rsid w:val="002033E5"/>
    <w:rsid w:val="00203A57"/>
    <w:rsid w:val="00203AA4"/>
    <w:rsid w:val="00204884"/>
    <w:rsid w:val="00204A60"/>
    <w:rsid w:val="00204CCF"/>
    <w:rsid w:val="00204D19"/>
    <w:rsid w:val="00204E49"/>
    <w:rsid w:val="00205012"/>
    <w:rsid w:val="002053AA"/>
    <w:rsid w:val="002054C5"/>
    <w:rsid w:val="0020557C"/>
    <w:rsid w:val="0020601D"/>
    <w:rsid w:val="002060A5"/>
    <w:rsid w:val="00206122"/>
    <w:rsid w:val="002062F7"/>
    <w:rsid w:val="00206561"/>
    <w:rsid w:val="00206576"/>
    <w:rsid w:val="00206C8D"/>
    <w:rsid w:val="002072F6"/>
    <w:rsid w:val="00207BB4"/>
    <w:rsid w:val="00207BD7"/>
    <w:rsid w:val="00207D96"/>
    <w:rsid w:val="00210342"/>
    <w:rsid w:val="002105E0"/>
    <w:rsid w:val="0021073C"/>
    <w:rsid w:val="00210EA6"/>
    <w:rsid w:val="00211186"/>
    <w:rsid w:val="00211458"/>
    <w:rsid w:val="0021175C"/>
    <w:rsid w:val="0021177D"/>
    <w:rsid w:val="00211837"/>
    <w:rsid w:val="00211E2F"/>
    <w:rsid w:val="00211F89"/>
    <w:rsid w:val="002122C1"/>
    <w:rsid w:val="00212746"/>
    <w:rsid w:val="00212905"/>
    <w:rsid w:val="002139FA"/>
    <w:rsid w:val="00213A5C"/>
    <w:rsid w:val="00214562"/>
    <w:rsid w:val="00214D9E"/>
    <w:rsid w:val="0021541C"/>
    <w:rsid w:val="00215A52"/>
    <w:rsid w:val="00215C5A"/>
    <w:rsid w:val="00216611"/>
    <w:rsid w:val="00216B79"/>
    <w:rsid w:val="00216C0E"/>
    <w:rsid w:val="00216F7D"/>
    <w:rsid w:val="00216FAA"/>
    <w:rsid w:val="002171DD"/>
    <w:rsid w:val="00217C4A"/>
    <w:rsid w:val="00220080"/>
    <w:rsid w:val="0022031C"/>
    <w:rsid w:val="00220332"/>
    <w:rsid w:val="002206CC"/>
    <w:rsid w:val="00220989"/>
    <w:rsid w:val="002209DE"/>
    <w:rsid w:val="00220FFD"/>
    <w:rsid w:val="00220FFF"/>
    <w:rsid w:val="0022197B"/>
    <w:rsid w:val="00221A7F"/>
    <w:rsid w:val="00221B58"/>
    <w:rsid w:val="00221C0A"/>
    <w:rsid w:val="0022236A"/>
    <w:rsid w:val="0022268C"/>
    <w:rsid w:val="0022276D"/>
    <w:rsid w:val="00222803"/>
    <w:rsid w:val="00222844"/>
    <w:rsid w:val="00222888"/>
    <w:rsid w:val="002228E7"/>
    <w:rsid w:val="0022363B"/>
    <w:rsid w:val="00223BA8"/>
    <w:rsid w:val="00223FAA"/>
    <w:rsid w:val="0022403C"/>
    <w:rsid w:val="0022456C"/>
    <w:rsid w:val="00224699"/>
    <w:rsid w:val="002248C9"/>
    <w:rsid w:val="00224BD2"/>
    <w:rsid w:val="00224C64"/>
    <w:rsid w:val="00224E95"/>
    <w:rsid w:val="00225A1B"/>
    <w:rsid w:val="00225AEA"/>
    <w:rsid w:val="00225DDE"/>
    <w:rsid w:val="00225E4B"/>
    <w:rsid w:val="00225EEC"/>
    <w:rsid w:val="0022602D"/>
    <w:rsid w:val="002261BB"/>
    <w:rsid w:val="00226289"/>
    <w:rsid w:val="0022646D"/>
    <w:rsid w:val="002269B8"/>
    <w:rsid w:val="002270D6"/>
    <w:rsid w:val="0022795D"/>
    <w:rsid w:val="0023013C"/>
    <w:rsid w:val="00230DB1"/>
    <w:rsid w:val="00231A36"/>
    <w:rsid w:val="00232ADB"/>
    <w:rsid w:val="00232B00"/>
    <w:rsid w:val="0023301B"/>
    <w:rsid w:val="0023308B"/>
    <w:rsid w:val="002330F8"/>
    <w:rsid w:val="002331A7"/>
    <w:rsid w:val="0023322F"/>
    <w:rsid w:val="002332F0"/>
    <w:rsid w:val="00233420"/>
    <w:rsid w:val="00233466"/>
    <w:rsid w:val="002334FE"/>
    <w:rsid w:val="00233DD0"/>
    <w:rsid w:val="00233E85"/>
    <w:rsid w:val="00233F9D"/>
    <w:rsid w:val="002341E4"/>
    <w:rsid w:val="002342ED"/>
    <w:rsid w:val="00234466"/>
    <w:rsid w:val="00234A78"/>
    <w:rsid w:val="00234C23"/>
    <w:rsid w:val="00234CF7"/>
    <w:rsid w:val="00234F2C"/>
    <w:rsid w:val="0023503C"/>
    <w:rsid w:val="002351DF"/>
    <w:rsid w:val="0023523F"/>
    <w:rsid w:val="0023532E"/>
    <w:rsid w:val="002354F8"/>
    <w:rsid w:val="002357B3"/>
    <w:rsid w:val="0023600E"/>
    <w:rsid w:val="0023652E"/>
    <w:rsid w:val="00236DFC"/>
    <w:rsid w:val="002372BA"/>
    <w:rsid w:val="00237787"/>
    <w:rsid w:val="00240281"/>
    <w:rsid w:val="00240321"/>
    <w:rsid w:val="002407C6"/>
    <w:rsid w:val="0024107C"/>
    <w:rsid w:val="002411C6"/>
    <w:rsid w:val="00241821"/>
    <w:rsid w:val="00241BF9"/>
    <w:rsid w:val="00241D43"/>
    <w:rsid w:val="00242AC1"/>
    <w:rsid w:val="00242E73"/>
    <w:rsid w:val="00243003"/>
    <w:rsid w:val="00243328"/>
    <w:rsid w:val="0024359C"/>
    <w:rsid w:val="00243920"/>
    <w:rsid w:val="00243945"/>
    <w:rsid w:val="002439EE"/>
    <w:rsid w:val="00243B15"/>
    <w:rsid w:val="00243E04"/>
    <w:rsid w:val="00243E63"/>
    <w:rsid w:val="002445B4"/>
    <w:rsid w:val="0024482D"/>
    <w:rsid w:val="00244853"/>
    <w:rsid w:val="002449BD"/>
    <w:rsid w:val="00244B76"/>
    <w:rsid w:val="00244D2A"/>
    <w:rsid w:val="00244E19"/>
    <w:rsid w:val="0024549C"/>
    <w:rsid w:val="0024549E"/>
    <w:rsid w:val="00245C5B"/>
    <w:rsid w:val="002463B8"/>
    <w:rsid w:val="00246540"/>
    <w:rsid w:val="002469E6"/>
    <w:rsid w:val="00246A60"/>
    <w:rsid w:val="00247027"/>
    <w:rsid w:val="00247A54"/>
    <w:rsid w:val="00247FDB"/>
    <w:rsid w:val="002503BC"/>
    <w:rsid w:val="0025058A"/>
    <w:rsid w:val="00250796"/>
    <w:rsid w:val="00250937"/>
    <w:rsid w:val="00250B2E"/>
    <w:rsid w:val="002511E6"/>
    <w:rsid w:val="00251383"/>
    <w:rsid w:val="002514EB"/>
    <w:rsid w:val="002516C4"/>
    <w:rsid w:val="00251A93"/>
    <w:rsid w:val="00252FC8"/>
    <w:rsid w:val="0025308E"/>
    <w:rsid w:val="002530DF"/>
    <w:rsid w:val="002532B5"/>
    <w:rsid w:val="00253FAE"/>
    <w:rsid w:val="00254642"/>
    <w:rsid w:val="00254A04"/>
    <w:rsid w:val="002551AA"/>
    <w:rsid w:val="002555FB"/>
    <w:rsid w:val="002558F7"/>
    <w:rsid w:val="0025595F"/>
    <w:rsid w:val="00255AF0"/>
    <w:rsid w:val="00255C08"/>
    <w:rsid w:val="00255F9B"/>
    <w:rsid w:val="00255FE1"/>
    <w:rsid w:val="00256340"/>
    <w:rsid w:val="0025685E"/>
    <w:rsid w:val="002568A0"/>
    <w:rsid w:val="00256950"/>
    <w:rsid w:val="002569B4"/>
    <w:rsid w:val="00257E08"/>
    <w:rsid w:val="00260232"/>
    <w:rsid w:val="002602C6"/>
    <w:rsid w:val="00260674"/>
    <w:rsid w:val="002607A9"/>
    <w:rsid w:val="0026082A"/>
    <w:rsid w:val="002608D9"/>
    <w:rsid w:val="00260B31"/>
    <w:rsid w:val="002611F3"/>
    <w:rsid w:val="002615BE"/>
    <w:rsid w:val="002617C2"/>
    <w:rsid w:val="00261B69"/>
    <w:rsid w:val="00261CAA"/>
    <w:rsid w:val="0026215A"/>
    <w:rsid w:val="002625B0"/>
    <w:rsid w:val="00262F47"/>
    <w:rsid w:val="00263149"/>
    <w:rsid w:val="00263192"/>
    <w:rsid w:val="00263361"/>
    <w:rsid w:val="002635E7"/>
    <w:rsid w:val="00263AFE"/>
    <w:rsid w:val="002647B5"/>
    <w:rsid w:val="0026499C"/>
    <w:rsid w:val="00265704"/>
    <w:rsid w:val="0026592A"/>
    <w:rsid w:val="00265C76"/>
    <w:rsid w:val="00265D21"/>
    <w:rsid w:val="00265DC7"/>
    <w:rsid w:val="002666AE"/>
    <w:rsid w:val="00266855"/>
    <w:rsid w:val="00266B83"/>
    <w:rsid w:val="00266D08"/>
    <w:rsid w:val="00266DFF"/>
    <w:rsid w:val="00267996"/>
    <w:rsid w:val="00267EF9"/>
    <w:rsid w:val="0027023E"/>
    <w:rsid w:val="00270426"/>
    <w:rsid w:val="00270C8D"/>
    <w:rsid w:val="00270DE3"/>
    <w:rsid w:val="00270E19"/>
    <w:rsid w:val="00270ECE"/>
    <w:rsid w:val="00270FB9"/>
    <w:rsid w:val="002710A2"/>
    <w:rsid w:val="002710A6"/>
    <w:rsid w:val="0027127B"/>
    <w:rsid w:val="00271B30"/>
    <w:rsid w:val="00271D03"/>
    <w:rsid w:val="00271F67"/>
    <w:rsid w:val="00272272"/>
    <w:rsid w:val="002722E4"/>
    <w:rsid w:val="002723F9"/>
    <w:rsid w:val="002725E4"/>
    <w:rsid w:val="00272D16"/>
    <w:rsid w:val="002735A7"/>
    <w:rsid w:val="00273AAB"/>
    <w:rsid w:val="0027405B"/>
    <w:rsid w:val="0027439A"/>
    <w:rsid w:val="002746B4"/>
    <w:rsid w:val="00274C8E"/>
    <w:rsid w:val="00274F02"/>
    <w:rsid w:val="00275E2C"/>
    <w:rsid w:val="00276250"/>
    <w:rsid w:val="00277586"/>
    <w:rsid w:val="002775FE"/>
    <w:rsid w:val="0027778C"/>
    <w:rsid w:val="00277871"/>
    <w:rsid w:val="002779C9"/>
    <w:rsid w:val="00277A8B"/>
    <w:rsid w:val="00277B43"/>
    <w:rsid w:val="00277B9D"/>
    <w:rsid w:val="00277ECC"/>
    <w:rsid w:val="00280091"/>
    <w:rsid w:val="002800BA"/>
    <w:rsid w:val="002803F0"/>
    <w:rsid w:val="00280444"/>
    <w:rsid w:val="0028054D"/>
    <w:rsid w:val="002806EE"/>
    <w:rsid w:val="0028072A"/>
    <w:rsid w:val="002809A2"/>
    <w:rsid w:val="00280A40"/>
    <w:rsid w:val="00280BFF"/>
    <w:rsid w:val="00281761"/>
    <w:rsid w:val="00281911"/>
    <w:rsid w:val="00281BDE"/>
    <w:rsid w:val="002823F3"/>
    <w:rsid w:val="002824CB"/>
    <w:rsid w:val="00282695"/>
    <w:rsid w:val="00282FC1"/>
    <w:rsid w:val="002830ED"/>
    <w:rsid w:val="002831CF"/>
    <w:rsid w:val="0028326E"/>
    <w:rsid w:val="00283400"/>
    <w:rsid w:val="002834A8"/>
    <w:rsid w:val="002834AA"/>
    <w:rsid w:val="00283615"/>
    <w:rsid w:val="002837AF"/>
    <w:rsid w:val="002840DC"/>
    <w:rsid w:val="0028467C"/>
    <w:rsid w:val="002848F8"/>
    <w:rsid w:val="00284C79"/>
    <w:rsid w:val="00284E81"/>
    <w:rsid w:val="00284FDD"/>
    <w:rsid w:val="0028511A"/>
    <w:rsid w:val="002852B7"/>
    <w:rsid w:val="00285406"/>
    <w:rsid w:val="0028560B"/>
    <w:rsid w:val="00285AE5"/>
    <w:rsid w:val="00285B4A"/>
    <w:rsid w:val="00285BFC"/>
    <w:rsid w:val="002861F1"/>
    <w:rsid w:val="0028643D"/>
    <w:rsid w:val="00286497"/>
    <w:rsid w:val="00286613"/>
    <w:rsid w:val="00286B4C"/>
    <w:rsid w:val="00286E10"/>
    <w:rsid w:val="00287445"/>
    <w:rsid w:val="002874F2"/>
    <w:rsid w:val="00287AD8"/>
    <w:rsid w:val="00287C41"/>
    <w:rsid w:val="002901E1"/>
    <w:rsid w:val="00290279"/>
    <w:rsid w:val="00290307"/>
    <w:rsid w:val="00290AA0"/>
    <w:rsid w:val="00290F8E"/>
    <w:rsid w:val="0029166C"/>
    <w:rsid w:val="00291BDB"/>
    <w:rsid w:val="00291DCE"/>
    <w:rsid w:val="00291E20"/>
    <w:rsid w:val="00291F7A"/>
    <w:rsid w:val="0029224A"/>
    <w:rsid w:val="00292335"/>
    <w:rsid w:val="00292530"/>
    <w:rsid w:val="002926BC"/>
    <w:rsid w:val="00292901"/>
    <w:rsid w:val="00292CB2"/>
    <w:rsid w:val="00292E13"/>
    <w:rsid w:val="00292EFE"/>
    <w:rsid w:val="00292F78"/>
    <w:rsid w:val="00293157"/>
    <w:rsid w:val="00293299"/>
    <w:rsid w:val="002934BE"/>
    <w:rsid w:val="00293B0A"/>
    <w:rsid w:val="00293BF7"/>
    <w:rsid w:val="00293C6B"/>
    <w:rsid w:val="0029406B"/>
    <w:rsid w:val="0029414C"/>
    <w:rsid w:val="00294AFC"/>
    <w:rsid w:val="00294C0D"/>
    <w:rsid w:val="00294E33"/>
    <w:rsid w:val="00294FB0"/>
    <w:rsid w:val="002957D4"/>
    <w:rsid w:val="002965B3"/>
    <w:rsid w:val="002966CF"/>
    <w:rsid w:val="00296825"/>
    <w:rsid w:val="00296896"/>
    <w:rsid w:val="002969C1"/>
    <w:rsid w:val="00296A19"/>
    <w:rsid w:val="002974BF"/>
    <w:rsid w:val="00297607"/>
    <w:rsid w:val="00297A8E"/>
    <w:rsid w:val="00297EA5"/>
    <w:rsid w:val="002A03EB"/>
    <w:rsid w:val="002A1226"/>
    <w:rsid w:val="002A12E1"/>
    <w:rsid w:val="002A1394"/>
    <w:rsid w:val="002A13C1"/>
    <w:rsid w:val="002A1B5C"/>
    <w:rsid w:val="002A20F4"/>
    <w:rsid w:val="002A2232"/>
    <w:rsid w:val="002A229B"/>
    <w:rsid w:val="002A2378"/>
    <w:rsid w:val="002A2813"/>
    <w:rsid w:val="002A2A93"/>
    <w:rsid w:val="002A2BC2"/>
    <w:rsid w:val="002A2D79"/>
    <w:rsid w:val="002A3003"/>
    <w:rsid w:val="002A3517"/>
    <w:rsid w:val="002A3569"/>
    <w:rsid w:val="002A3581"/>
    <w:rsid w:val="002A392C"/>
    <w:rsid w:val="002A3F69"/>
    <w:rsid w:val="002A43CB"/>
    <w:rsid w:val="002A4568"/>
    <w:rsid w:val="002A4602"/>
    <w:rsid w:val="002A4BA2"/>
    <w:rsid w:val="002A4FB7"/>
    <w:rsid w:val="002A5065"/>
    <w:rsid w:val="002A54DA"/>
    <w:rsid w:val="002A5593"/>
    <w:rsid w:val="002A578F"/>
    <w:rsid w:val="002A5C8A"/>
    <w:rsid w:val="002A5FB9"/>
    <w:rsid w:val="002A6006"/>
    <w:rsid w:val="002A6054"/>
    <w:rsid w:val="002A6283"/>
    <w:rsid w:val="002A635D"/>
    <w:rsid w:val="002A63F2"/>
    <w:rsid w:val="002A68E1"/>
    <w:rsid w:val="002A6EE0"/>
    <w:rsid w:val="002A7210"/>
    <w:rsid w:val="002A7246"/>
    <w:rsid w:val="002A7836"/>
    <w:rsid w:val="002A7FC0"/>
    <w:rsid w:val="002B0546"/>
    <w:rsid w:val="002B0B41"/>
    <w:rsid w:val="002B0CF8"/>
    <w:rsid w:val="002B0D14"/>
    <w:rsid w:val="002B13FF"/>
    <w:rsid w:val="002B146E"/>
    <w:rsid w:val="002B18A7"/>
    <w:rsid w:val="002B1CCC"/>
    <w:rsid w:val="002B249C"/>
    <w:rsid w:val="002B2632"/>
    <w:rsid w:val="002B2C77"/>
    <w:rsid w:val="002B2E22"/>
    <w:rsid w:val="002B2F4E"/>
    <w:rsid w:val="002B3243"/>
    <w:rsid w:val="002B3316"/>
    <w:rsid w:val="002B3812"/>
    <w:rsid w:val="002B3E92"/>
    <w:rsid w:val="002B3EA5"/>
    <w:rsid w:val="002B4242"/>
    <w:rsid w:val="002B42FB"/>
    <w:rsid w:val="002B5143"/>
    <w:rsid w:val="002B52AC"/>
    <w:rsid w:val="002B55E1"/>
    <w:rsid w:val="002B5767"/>
    <w:rsid w:val="002B57E0"/>
    <w:rsid w:val="002B582A"/>
    <w:rsid w:val="002B5F51"/>
    <w:rsid w:val="002B6168"/>
    <w:rsid w:val="002B673F"/>
    <w:rsid w:val="002B6945"/>
    <w:rsid w:val="002B6BF3"/>
    <w:rsid w:val="002B6BFF"/>
    <w:rsid w:val="002B7022"/>
    <w:rsid w:val="002B7848"/>
    <w:rsid w:val="002B7892"/>
    <w:rsid w:val="002B79EF"/>
    <w:rsid w:val="002B7AA6"/>
    <w:rsid w:val="002B7C09"/>
    <w:rsid w:val="002B7E1F"/>
    <w:rsid w:val="002C00D6"/>
    <w:rsid w:val="002C07E6"/>
    <w:rsid w:val="002C0AA4"/>
    <w:rsid w:val="002C0B7B"/>
    <w:rsid w:val="002C0C8E"/>
    <w:rsid w:val="002C151A"/>
    <w:rsid w:val="002C163E"/>
    <w:rsid w:val="002C1DA7"/>
    <w:rsid w:val="002C214E"/>
    <w:rsid w:val="002C24AE"/>
    <w:rsid w:val="002C2921"/>
    <w:rsid w:val="002C2988"/>
    <w:rsid w:val="002C2A34"/>
    <w:rsid w:val="002C2F53"/>
    <w:rsid w:val="002C3723"/>
    <w:rsid w:val="002C37EB"/>
    <w:rsid w:val="002C3945"/>
    <w:rsid w:val="002C3AAA"/>
    <w:rsid w:val="002C3CFC"/>
    <w:rsid w:val="002C3DC0"/>
    <w:rsid w:val="002C3F4A"/>
    <w:rsid w:val="002C404F"/>
    <w:rsid w:val="002C43DD"/>
    <w:rsid w:val="002C47A4"/>
    <w:rsid w:val="002C4A34"/>
    <w:rsid w:val="002C4A49"/>
    <w:rsid w:val="002C4B09"/>
    <w:rsid w:val="002C4DD7"/>
    <w:rsid w:val="002C5036"/>
    <w:rsid w:val="002C533D"/>
    <w:rsid w:val="002C5BF9"/>
    <w:rsid w:val="002C5ED9"/>
    <w:rsid w:val="002C5F76"/>
    <w:rsid w:val="002C5FFD"/>
    <w:rsid w:val="002C6024"/>
    <w:rsid w:val="002C6557"/>
    <w:rsid w:val="002C6BCA"/>
    <w:rsid w:val="002C7236"/>
    <w:rsid w:val="002C72F8"/>
    <w:rsid w:val="002C737F"/>
    <w:rsid w:val="002C763C"/>
    <w:rsid w:val="002C7989"/>
    <w:rsid w:val="002C7ABD"/>
    <w:rsid w:val="002D0650"/>
    <w:rsid w:val="002D08A6"/>
    <w:rsid w:val="002D1202"/>
    <w:rsid w:val="002D1D41"/>
    <w:rsid w:val="002D1D7C"/>
    <w:rsid w:val="002D2021"/>
    <w:rsid w:val="002D20C1"/>
    <w:rsid w:val="002D2EE8"/>
    <w:rsid w:val="002D3125"/>
    <w:rsid w:val="002D3276"/>
    <w:rsid w:val="002D3DC2"/>
    <w:rsid w:val="002D405E"/>
    <w:rsid w:val="002D4196"/>
    <w:rsid w:val="002D4299"/>
    <w:rsid w:val="002D4853"/>
    <w:rsid w:val="002D53E2"/>
    <w:rsid w:val="002D580E"/>
    <w:rsid w:val="002D5A09"/>
    <w:rsid w:val="002D6332"/>
    <w:rsid w:val="002D6A7C"/>
    <w:rsid w:val="002D6B4E"/>
    <w:rsid w:val="002D6CD9"/>
    <w:rsid w:val="002D7018"/>
    <w:rsid w:val="002D71C1"/>
    <w:rsid w:val="002D76ED"/>
    <w:rsid w:val="002D7AE9"/>
    <w:rsid w:val="002D7B1D"/>
    <w:rsid w:val="002E015D"/>
    <w:rsid w:val="002E077C"/>
    <w:rsid w:val="002E090C"/>
    <w:rsid w:val="002E097E"/>
    <w:rsid w:val="002E0DC3"/>
    <w:rsid w:val="002E115E"/>
    <w:rsid w:val="002E13DD"/>
    <w:rsid w:val="002E1A6F"/>
    <w:rsid w:val="002E2213"/>
    <w:rsid w:val="002E23C8"/>
    <w:rsid w:val="002E24F1"/>
    <w:rsid w:val="002E2663"/>
    <w:rsid w:val="002E28D4"/>
    <w:rsid w:val="002E2906"/>
    <w:rsid w:val="002E2C2C"/>
    <w:rsid w:val="002E2EEE"/>
    <w:rsid w:val="002E32CD"/>
    <w:rsid w:val="002E3319"/>
    <w:rsid w:val="002E350E"/>
    <w:rsid w:val="002E383B"/>
    <w:rsid w:val="002E395A"/>
    <w:rsid w:val="002E3C43"/>
    <w:rsid w:val="002E40C3"/>
    <w:rsid w:val="002E4460"/>
    <w:rsid w:val="002E4C4C"/>
    <w:rsid w:val="002E4EA3"/>
    <w:rsid w:val="002E55F3"/>
    <w:rsid w:val="002E5710"/>
    <w:rsid w:val="002E5A8D"/>
    <w:rsid w:val="002E5F40"/>
    <w:rsid w:val="002E6675"/>
    <w:rsid w:val="002E6A95"/>
    <w:rsid w:val="002E6D84"/>
    <w:rsid w:val="002E6F45"/>
    <w:rsid w:val="002E71B9"/>
    <w:rsid w:val="002E78FC"/>
    <w:rsid w:val="002E7C40"/>
    <w:rsid w:val="002E7C55"/>
    <w:rsid w:val="002E7C9B"/>
    <w:rsid w:val="002E7CBA"/>
    <w:rsid w:val="002F02C3"/>
    <w:rsid w:val="002F04B8"/>
    <w:rsid w:val="002F08C0"/>
    <w:rsid w:val="002F08CD"/>
    <w:rsid w:val="002F09CE"/>
    <w:rsid w:val="002F1189"/>
    <w:rsid w:val="002F14A5"/>
    <w:rsid w:val="002F17E3"/>
    <w:rsid w:val="002F1BD1"/>
    <w:rsid w:val="002F1D66"/>
    <w:rsid w:val="002F1FAA"/>
    <w:rsid w:val="002F264F"/>
    <w:rsid w:val="002F2870"/>
    <w:rsid w:val="002F2A10"/>
    <w:rsid w:val="002F2E83"/>
    <w:rsid w:val="002F320C"/>
    <w:rsid w:val="002F3414"/>
    <w:rsid w:val="002F425F"/>
    <w:rsid w:val="002F43C4"/>
    <w:rsid w:val="002F4EE6"/>
    <w:rsid w:val="002F53DD"/>
    <w:rsid w:val="002F57D9"/>
    <w:rsid w:val="002F5C1B"/>
    <w:rsid w:val="002F6307"/>
    <w:rsid w:val="002F6605"/>
    <w:rsid w:val="002F680B"/>
    <w:rsid w:val="002F6C56"/>
    <w:rsid w:val="002F6D22"/>
    <w:rsid w:val="002F6DBC"/>
    <w:rsid w:val="002F6EE0"/>
    <w:rsid w:val="002F727B"/>
    <w:rsid w:val="002F752A"/>
    <w:rsid w:val="002F79C9"/>
    <w:rsid w:val="002F7CF0"/>
    <w:rsid w:val="002F7D08"/>
    <w:rsid w:val="002F7EB4"/>
    <w:rsid w:val="003006D9"/>
    <w:rsid w:val="00300D53"/>
    <w:rsid w:val="00300DD2"/>
    <w:rsid w:val="00301347"/>
    <w:rsid w:val="003016D5"/>
    <w:rsid w:val="0030170F"/>
    <w:rsid w:val="0030172C"/>
    <w:rsid w:val="00301B28"/>
    <w:rsid w:val="00301BC9"/>
    <w:rsid w:val="00302028"/>
    <w:rsid w:val="003021BA"/>
    <w:rsid w:val="00302489"/>
    <w:rsid w:val="0030280D"/>
    <w:rsid w:val="00302F5B"/>
    <w:rsid w:val="00303199"/>
    <w:rsid w:val="00303487"/>
    <w:rsid w:val="0030352D"/>
    <w:rsid w:val="0030371B"/>
    <w:rsid w:val="00303744"/>
    <w:rsid w:val="003037B5"/>
    <w:rsid w:val="00303853"/>
    <w:rsid w:val="00303949"/>
    <w:rsid w:val="003039C0"/>
    <w:rsid w:val="00303D33"/>
    <w:rsid w:val="00303E78"/>
    <w:rsid w:val="003043DF"/>
    <w:rsid w:val="00304917"/>
    <w:rsid w:val="00304A73"/>
    <w:rsid w:val="00304B83"/>
    <w:rsid w:val="003050CC"/>
    <w:rsid w:val="0030512E"/>
    <w:rsid w:val="0030548A"/>
    <w:rsid w:val="00305702"/>
    <w:rsid w:val="00305A49"/>
    <w:rsid w:val="00305ED6"/>
    <w:rsid w:val="0030692A"/>
    <w:rsid w:val="00306AF8"/>
    <w:rsid w:val="00306EC8"/>
    <w:rsid w:val="0030750C"/>
    <w:rsid w:val="003078C0"/>
    <w:rsid w:val="00307ADE"/>
    <w:rsid w:val="00307BB0"/>
    <w:rsid w:val="0031038D"/>
    <w:rsid w:val="00310906"/>
    <w:rsid w:val="00310AF6"/>
    <w:rsid w:val="00311062"/>
    <w:rsid w:val="00311110"/>
    <w:rsid w:val="00311138"/>
    <w:rsid w:val="00311395"/>
    <w:rsid w:val="00311467"/>
    <w:rsid w:val="0031175E"/>
    <w:rsid w:val="003125E1"/>
    <w:rsid w:val="0031285B"/>
    <w:rsid w:val="003128C7"/>
    <w:rsid w:val="003129DE"/>
    <w:rsid w:val="00312C4E"/>
    <w:rsid w:val="00312DAB"/>
    <w:rsid w:val="00313173"/>
    <w:rsid w:val="003133FF"/>
    <w:rsid w:val="003134D3"/>
    <w:rsid w:val="00313A63"/>
    <w:rsid w:val="00313FA7"/>
    <w:rsid w:val="0031436C"/>
    <w:rsid w:val="00314470"/>
    <w:rsid w:val="0031484A"/>
    <w:rsid w:val="00315ADC"/>
    <w:rsid w:val="00315F6C"/>
    <w:rsid w:val="00316091"/>
    <w:rsid w:val="003163AE"/>
    <w:rsid w:val="0031679D"/>
    <w:rsid w:val="0031710C"/>
    <w:rsid w:val="0031766D"/>
    <w:rsid w:val="00317898"/>
    <w:rsid w:val="00317F5B"/>
    <w:rsid w:val="00320252"/>
    <w:rsid w:val="0032050B"/>
    <w:rsid w:val="00320686"/>
    <w:rsid w:val="003206BF"/>
    <w:rsid w:val="00320755"/>
    <w:rsid w:val="00320835"/>
    <w:rsid w:val="00320844"/>
    <w:rsid w:val="00320A33"/>
    <w:rsid w:val="003211A7"/>
    <w:rsid w:val="00321453"/>
    <w:rsid w:val="003215A3"/>
    <w:rsid w:val="00322409"/>
    <w:rsid w:val="00322797"/>
    <w:rsid w:val="00323654"/>
    <w:rsid w:val="00323822"/>
    <w:rsid w:val="0032388F"/>
    <w:rsid w:val="00323E68"/>
    <w:rsid w:val="00324588"/>
    <w:rsid w:val="003247AE"/>
    <w:rsid w:val="00324905"/>
    <w:rsid w:val="00324915"/>
    <w:rsid w:val="00324EE2"/>
    <w:rsid w:val="00324F7B"/>
    <w:rsid w:val="00325225"/>
    <w:rsid w:val="00325616"/>
    <w:rsid w:val="0032577E"/>
    <w:rsid w:val="00325823"/>
    <w:rsid w:val="00325BC0"/>
    <w:rsid w:val="00325D5E"/>
    <w:rsid w:val="00325F1D"/>
    <w:rsid w:val="00325FC2"/>
    <w:rsid w:val="0032639E"/>
    <w:rsid w:val="00326784"/>
    <w:rsid w:val="00326C6D"/>
    <w:rsid w:val="00326CBA"/>
    <w:rsid w:val="00326CFA"/>
    <w:rsid w:val="00327B65"/>
    <w:rsid w:val="00327FA1"/>
    <w:rsid w:val="003300BB"/>
    <w:rsid w:val="003300EB"/>
    <w:rsid w:val="003302D0"/>
    <w:rsid w:val="00330C05"/>
    <w:rsid w:val="00330ED2"/>
    <w:rsid w:val="00331E2E"/>
    <w:rsid w:val="00331F11"/>
    <w:rsid w:val="00331FE5"/>
    <w:rsid w:val="00332211"/>
    <w:rsid w:val="00332572"/>
    <w:rsid w:val="0033288A"/>
    <w:rsid w:val="00333258"/>
    <w:rsid w:val="003332AE"/>
    <w:rsid w:val="003334DA"/>
    <w:rsid w:val="003334F1"/>
    <w:rsid w:val="00333786"/>
    <w:rsid w:val="00333AFD"/>
    <w:rsid w:val="00333B50"/>
    <w:rsid w:val="00333B55"/>
    <w:rsid w:val="003342D8"/>
    <w:rsid w:val="00334687"/>
    <w:rsid w:val="0033482C"/>
    <w:rsid w:val="00334A38"/>
    <w:rsid w:val="00334F09"/>
    <w:rsid w:val="00335164"/>
    <w:rsid w:val="00335192"/>
    <w:rsid w:val="0033543F"/>
    <w:rsid w:val="003356E1"/>
    <w:rsid w:val="00335736"/>
    <w:rsid w:val="003359AC"/>
    <w:rsid w:val="00335EE2"/>
    <w:rsid w:val="00335F49"/>
    <w:rsid w:val="00336093"/>
    <w:rsid w:val="00336730"/>
    <w:rsid w:val="00336808"/>
    <w:rsid w:val="00336A1D"/>
    <w:rsid w:val="00336B18"/>
    <w:rsid w:val="00336F17"/>
    <w:rsid w:val="00336F9A"/>
    <w:rsid w:val="0033711B"/>
    <w:rsid w:val="00337457"/>
    <w:rsid w:val="003374DE"/>
    <w:rsid w:val="00337A39"/>
    <w:rsid w:val="00337B60"/>
    <w:rsid w:val="00340479"/>
    <w:rsid w:val="0034066D"/>
    <w:rsid w:val="00340749"/>
    <w:rsid w:val="00340BF5"/>
    <w:rsid w:val="00341944"/>
    <w:rsid w:val="00341DBF"/>
    <w:rsid w:val="00341EA7"/>
    <w:rsid w:val="0034259D"/>
    <w:rsid w:val="00342871"/>
    <w:rsid w:val="00342EF8"/>
    <w:rsid w:val="00342F24"/>
    <w:rsid w:val="0034352D"/>
    <w:rsid w:val="003435ED"/>
    <w:rsid w:val="0034396A"/>
    <w:rsid w:val="00343AE9"/>
    <w:rsid w:val="00344497"/>
    <w:rsid w:val="00344A8D"/>
    <w:rsid w:val="00344BD1"/>
    <w:rsid w:val="00344FC5"/>
    <w:rsid w:val="00345291"/>
    <w:rsid w:val="003456B7"/>
    <w:rsid w:val="003457BB"/>
    <w:rsid w:val="003459CC"/>
    <w:rsid w:val="00345C09"/>
    <w:rsid w:val="00345FA0"/>
    <w:rsid w:val="00346762"/>
    <w:rsid w:val="0034682C"/>
    <w:rsid w:val="0034692E"/>
    <w:rsid w:val="00346F88"/>
    <w:rsid w:val="0034713B"/>
    <w:rsid w:val="0034734F"/>
    <w:rsid w:val="00347587"/>
    <w:rsid w:val="003477FA"/>
    <w:rsid w:val="00347894"/>
    <w:rsid w:val="00347A0E"/>
    <w:rsid w:val="003505ED"/>
    <w:rsid w:val="00350B77"/>
    <w:rsid w:val="00350DCC"/>
    <w:rsid w:val="00350FA3"/>
    <w:rsid w:val="00351343"/>
    <w:rsid w:val="003514B2"/>
    <w:rsid w:val="00351574"/>
    <w:rsid w:val="00351994"/>
    <w:rsid w:val="00351DE1"/>
    <w:rsid w:val="0035219C"/>
    <w:rsid w:val="003521D4"/>
    <w:rsid w:val="00352A2D"/>
    <w:rsid w:val="00352ED5"/>
    <w:rsid w:val="003538AD"/>
    <w:rsid w:val="00353A8D"/>
    <w:rsid w:val="00353C76"/>
    <w:rsid w:val="00353DD8"/>
    <w:rsid w:val="003540A5"/>
    <w:rsid w:val="00354134"/>
    <w:rsid w:val="00354356"/>
    <w:rsid w:val="0035455E"/>
    <w:rsid w:val="00354666"/>
    <w:rsid w:val="003547CD"/>
    <w:rsid w:val="00354936"/>
    <w:rsid w:val="00354C4D"/>
    <w:rsid w:val="00354E09"/>
    <w:rsid w:val="003555CD"/>
    <w:rsid w:val="003557EE"/>
    <w:rsid w:val="00355AFE"/>
    <w:rsid w:val="00355BD4"/>
    <w:rsid w:val="00355DD2"/>
    <w:rsid w:val="00356024"/>
    <w:rsid w:val="00356465"/>
    <w:rsid w:val="003564CD"/>
    <w:rsid w:val="00356870"/>
    <w:rsid w:val="003607D1"/>
    <w:rsid w:val="00361428"/>
    <w:rsid w:val="0036193D"/>
    <w:rsid w:val="00362471"/>
    <w:rsid w:val="003625A8"/>
    <w:rsid w:val="00362996"/>
    <w:rsid w:val="00362C42"/>
    <w:rsid w:val="00362E92"/>
    <w:rsid w:val="00362ECD"/>
    <w:rsid w:val="00362F1D"/>
    <w:rsid w:val="00363377"/>
    <w:rsid w:val="003639CC"/>
    <w:rsid w:val="00363B31"/>
    <w:rsid w:val="0036441B"/>
    <w:rsid w:val="003648B4"/>
    <w:rsid w:val="00364C11"/>
    <w:rsid w:val="00365105"/>
    <w:rsid w:val="00365246"/>
    <w:rsid w:val="0036534E"/>
    <w:rsid w:val="0036554E"/>
    <w:rsid w:val="00365591"/>
    <w:rsid w:val="00365D4E"/>
    <w:rsid w:val="00365EF0"/>
    <w:rsid w:val="003663E1"/>
    <w:rsid w:val="0036666E"/>
    <w:rsid w:val="00366788"/>
    <w:rsid w:val="003668CF"/>
    <w:rsid w:val="0036692D"/>
    <w:rsid w:val="0036694B"/>
    <w:rsid w:val="003673EC"/>
    <w:rsid w:val="003675B4"/>
    <w:rsid w:val="0036779A"/>
    <w:rsid w:val="00367A42"/>
    <w:rsid w:val="00367C03"/>
    <w:rsid w:val="00367D01"/>
    <w:rsid w:val="00367F52"/>
    <w:rsid w:val="00367F8C"/>
    <w:rsid w:val="0037025D"/>
    <w:rsid w:val="00370996"/>
    <w:rsid w:val="00370D1C"/>
    <w:rsid w:val="00370ECF"/>
    <w:rsid w:val="00370F57"/>
    <w:rsid w:val="00371453"/>
    <w:rsid w:val="00371A08"/>
    <w:rsid w:val="00371A92"/>
    <w:rsid w:val="00371F90"/>
    <w:rsid w:val="00371FCF"/>
    <w:rsid w:val="003726B2"/>
    <w:rsid w:val="003726CA"/>
    <w:rsid w:val="003726CE"/>
    <w:rsid w:val="003726EE"/>
    <w:rsid w:val="003727DD"/>
    <w:rsid w:val="00372EA4"/>
    <w:rsid w:val="0037375D"/>
    <w:rsid w:val="00373CAB"/>
    <w:rsid w:val="00373D3E"/>
    <w:rsid w:val="003742FE"/>
    <w:rsid w:val="003745D8"/>
    <w:rsid w:val="00374B5A"/>
    <w:rsid w:val="00375028"/>
    <w:rsid w:val="00375144"/>
    <w:rsid w:val="00375380"/>
    <w:rsid w:val="00375469"/>
    <w:rsid w:val="0037577B"/>
    <w:rsid w:val="0037580F"/>
    <w:rsid w:val="0037592F"/>
    <w:rsid w:val="00375B41"/>
    <w:rsid w:val="00375F06"/>
    <w:rsid w:val="00376800"/>
    <w:rsid w:val="00376F1C"/>
    <w:rsid w:val="003772B3"/>
    <w:rsid w:val="003774F8"/>
    <w:rsid w:val="003779BC"/>
    <w:rsid w:val="00377A56"/>
    <w:rsid w:val="00380501"/>
    <w:rsid w:val="00380C55"/>
    <w:rsid w:val="00380F61"/>
    <w:rsid w:val="00380F64"/>
    <w:rsid w:val="0038114C"/>
    <w:rsid w:val="00381484"/>
    <w:rsid w:val="00381A32"/>
    <w:rsid w:val="00381AC6"/>
    <w:rsid w:val="00381BE0"/>
    <w:rsid w:val="0038220B"/>
    <w:rsid w:val="00382338"/>
    <w:rsid w:val="00382540"/>
    <w:rsid w:val="00382608"/>
    <w:rsid w:val="00382C6E"/>
    <w:rsid w:val="00382D69"/>
    <w:rsid w:val="00382F08"/>
    <w:rsid w:val="003836C9"/>
    <w:rsid w:val="00383A9B"/>
    <w:rsid w:val="00383B40"/>
    <w:rsid w:val="00383C2A"/>
    <w:rsid w:val="0038440D"/>
    <w:rsid w:val="0038451B"/>
    <w:rsid w:val="0038487C"/>
    <w:rsid w:val="003849C5"/>
    <w:rsid w:val="00384D05"/>
    <w:rsid w:val="00384DDA"/>
    <w:rsid w:val="0038524E"/>
    <w:rsid w:val="00385413"/>
    <w:rsid w:val="00385B14"/>
    <w:rsid w:val="00385B7C"/>
    <w:rsid w:val="00385BED"/>
    <w:rsid w:val="00385C0F"/>
    <w:rsid w:val="00385C11"/>
    <w:rsid w:val="003861DF"/>
    <w:rsid w:val="003863F7"/>
    <w:rsid w:val="003866AA"/>
    <w:rsid w:val="00386A27"/>
    <w:rsid w:val="00386AAB"/>
    <w:rsid w:val="00386C6D"/>
    <w:rsid w:val="00386F1A"/>
    <w:rsid w:val="00386FDD"/>
    <w:rsid w:val="00387120"/>
    <w:rsid w:val="00387664"/>
    <w:rsid w:val="0038776E"/>
    <w:rsid w:val="00390330"/>
    <w:rsid w:val="0039063D"/>
    <w:rsid w:val="003910BB"/>
    <w:rsid w:val="0039127D"/>
    <w:rsid w:val="003913A9"/>
    <w:rsid w:val="00391BE3"/>
    <w:rsid w:val="00391C63"/>
    <w:rsid w:val="00391ECC"/>
    <w:rsid w:val="00392667"/>
    <w:rsid w:val="00392728"/>
    <w:rsid w:val="00392FA0"/>
    <w:rsid w:val="00393398"/>
    <w:rsid w:val="00393516"/>
    <w:rsid w:val="003935A6"/>
    <w:rsid w:val="00393C0A"/>
    <w:rsid w:val="00393FF7"/>
    <w:rsid w:val="003940F5"/>
    <w:rsid w:val="00394480"/>
    <w:rsid w:val="00394FD8"/>
    <w:rsid w:val="00395252"/>
    <w:rsid w:val="0039535F"/>
    <w:rsid w:val="00395F02"/>
    <w:rsid w:val="0039603B"/>
    <w:rsid w:val="0039639C"/>
    <w:rsid w:val="00396479"/>
    <w:rsid w:val="0039686D"/>
    <w:rsid w:val="003968E7"/>
    <w:rsid w:val="00396979"/>
    <w:rsid w:val="00396FEF"/>
    <w:rsid w:val="0039710F"/>
    <w:rsid w:val="003971B8"/>
    <w:rsid w:val="0039739F"/>
    <w:rsid w:val="003974C7"/>
    <w:rsid w:val="003975B5"/>
    <w:rsid w:val="003977E1"/>
    <w:rsid w:val="00397811"/>
    <w:rsid w:val="00397C7D"/>
    <w:rsid w:val="003A0226"/>
    <w:rsid w:val="003A046F"/>
    <w:rsid w:val="003A05FA"/>
    <w:rsid w:val="003A07C4"/>
    <w:rsid w:val="003A07C7"/>
    <w:rsid w:val="003A1303"/>
    <w:rsid w:val="003A16AE"/>
    <w:rsid w:val="003A1BE6"/>
    <w:rsid w:val="003A1D64"/>
    <w:rsid w:val="003A201E"/>
    <w:rsid w:val="003A2200"/>
    <w:rsid w:val="003A22C4"/>
    <w:rsid w:val="003A23AD"/>
    <w:rsid w:val="003A2C9A"/>
    <w:rsid w:val="003A2D0C"/>
    <w:rsid w:val="003A2DC0"/>
    <w:rsid w:val="003A2FCC"/>
    <w:rsid w:val="003A3405"/>
    <w:rsid w:val="003A3717"/>
    <w:rsid w:val="003A39D5"/>
    <w:rsid w:val="003A3D36"/>
    <w:rsid w:val="003A3D6C"/>
    <w:rsid w:val="003A3E38"/>
    <w:rsid w:val="003A4027"/>
    <w:rsid w:val="003A4488"/>
    <w:rsid w:val="003A491D"/>
    <w:rsid w:val="003A4B74"/>
    <w:rsid w:val="003A4BDF"/>
    <w:rsid w:val="003A5234"/>
    <w:rsid w:val="003A533B"/>
    <w:rsid w:val="003A5397"/>
    <w:rsid w:val="003A540D"/>
    <w:rsid w:val="003A589A"/>
    <w:rsid w:val="003A598D"/>
    <w:rsid w:val="003A5D5E"/>
    <w:rsid w:val="003A633D"/>
    <w:rsid w:val="003A662D"/>
    <w:rsid w:val="003A669C"/>
    <w:rsid w:val="003A6AF5"/>
    <w:rsid w:val="003A6BD7"/>
    <w:rsid w:val="003A70F9"/>
    <w:rsid w:val="003A7146"/>
    <w:rsid w:val="003A71F6"/>
    <w:rsid w:val="003A729F"/>
    <w:rsid w:val="003A7541"/>
    <w:rsid w:val="003A79FC"/>
    <w:rsid w:val="003A7CA4"/>
    <w:rsid w:val="003B0536"/>
    <w:rsid w:val="003B1037"/>
    <w:rsid w:val="003B109E"/>
    <w:rsid w:val="003B178B"/>
    <w:rsid w:val="003B1B96"/>
    <w:rsid w:val="003B2450"/>
    <w:rsid w:val="003B2930"/>
    <w:rsid w:val="003B2A9A"/>
    <w:rsid w:val="003B2DA2"/>
    <w:rsid w:val="003B2F6B"/>
    <w:rsid w:val="003B3357"/>
    <w:rsid w:val="003B374A"/>
    <w:rsid w:val="003B3943"/>
    <w:rsid w:val="003B3DCE"/>
    <w:rsid w:val="003B4059"/>
    <w:rsid w:val="003B4279"/>
    <w:rsid w:val="003B4A4B"/>
    <w:rsid w:val="003B4AFC"/>
    <w:rsid w:val="003B4B65"/>
    <w:rsid w:val="003B4EC5"/>
    <w:rsid w:val="003B511A"/>
    <w:rsid w:val="003B5141"/>
    <w:rsid w:val="003B5652"/>
    <w:rsid w:val="003B56C4"/>
    <w:rsid w:val="003B5EEF"/>
    <w:rsid w:val="003B5F6C"/>
    <w:rsid w:val="003B60AB"/>
    <w:rsid w:val="003B6170"/>
    <w:rsid w:val="003B634F"/>
    <w:rsid w:val="003B6493"/>
    <w:rsid w:val="003B6785"/>
    <w:rsid w:val="003B6902"/>
    <w:rsid w:val="003B7733"/>
    <w:rsid w:val="003B78B9"/>
    <w:rsid w:val="003B7A00"/>
    <w:rsid w:val="003B7AEC"/>
    <w:rsid w:val="003B7B6B"/>
    <w:rsid w:val="003B7C21"/>
    <w:rsid w:val="003C0245"/>
    <w:rsid w:val="003C079C"/>
    <w:rsid w:val="003C0D8B"/>
    <w:rsid w:val="003C0DE8"/>
    <w:rsid w:val="003C1A92"/>
    <w:rsid w:val="003C1D08"/>
    <w:rsid w:val="003C2705"/>
    <w:rsid w:val="003C2855"/>
    <w:rsid w:val="003C2A42"/>
    <w:rsid w:val="003C2B60"/>
    <w:rsid w:val="003C2DCB"/>
    <w:rsid w:val="003C2FEC"/>
    <w:rsid w:val="003C3187"/>
    <w:rsid w:val="003C326F"/>
    <w:rsid w:val="003C34B6"/>
    <w:rsid w:val="003C386D"/>
    <w:rsid w:val="003C3D35"/>
    <w:rsid w:val="003C4263"/>
    <w:rsid w:val="003C45C3"/>
    <w:rsid w:val="003C48C4"/>
    <w:rsid w:val="003C4A52"/>
    <w:rsid w:val="003C4FD4"/>
    <w:rsid w:val="003C5267"/>
    <w:rsid w:val="003C535A"/>
    <w:rsid w:val="003C5385"/>
    <w:rsid w:val="003C571C"/>
    <w:rsid w:val="003C5769"/>
    <w:rsid w:val="003C6136"/>
    <w:rsid w:val="003C68DC"/>
    <w:rsid w:val="003C6982"/>
    <w:rsid w:val="003C6A49"/>
    <w:rsid w:val="003C6C72"/>
    <w:rsid w:val="003C7516"/>
    <w:rsid w:val="003C765F"/>
    <w:rsid w:val="003C785C"/>
    <w:rsid w:val="003C7C24"/>
    <w:rsid w:val="003D0137"/>
    <w:rsid w:val="003D0383"/>
    <w:rsid w:val="003D09BF"/>
    <w:rsid w:val="003D0D69"/>
    <w:rsid w:val="003D0ECC"/>
    <w:rsid w:val="003D17E1"/>
    <w:rsid w:val="003D19F2"/>
    <w:rsid w:val="003D1A47"/>
    <w:rsid w:val="003D1B14"/>
    <w:rsid w:val="003D1B74"/>
    <w:rsid w:val="003D1D65"/>
    <w:rsid w:val="003D1E9A"/>
    <w:rsid w:val="003D1F86"/>
    <w:rsid w:val="003D2629"/>
    <w:rsid w:val="003D26A9"/>
    <w:rsid w:val="003D2700"/>
    <w:rsid w:val="003D2813"/>
    <w:rsid w:val="003D3472"/>
    <w:rsid w:val="003D372C"/>
    <w:rsid w:val="003D3828"/>
    <w:rsid w:val="003D38D2"/>
    <w:rsid w:val="003D399C"/>
    <w:rsid w:val="003D3D4F"/>
    <w:rsid w:val="003D41E6"/>
    <w:rsid w:val="003D4227"/>
    <w:rsid w:val="003D42C1"/>
    <w:rsid w:val="003D4414"/>
    <w:rsid w:val="003D4A62"/>
    <w:rsid w:val="003D4B7F"/>
    <w:rsid w:val="003D4C3A"/>
    <w:rsid w:val="003D5054"/>
    <w:rsid w:val="003D5095"/>
    <w:rsid w:val="003D56BE"/>
    <w:rsid w:val="003D5842"/>
    <w:rsid w:val="003D593D"/>
    <w:rsid w:val="003D5A07"/>
    <w:rsid w:val="003D6298"/>
    <w:rsid w:val="003D6302"/>
    <w:rsid w:val="003D6372"/>
    <w:rsid w:val="003D6A90"/>
    <w:rsid w:val="003D6F97"/>
    <w:rsid w:val="003D711B"/>
    <w:rsid w:val="003D7247"/>
    <w:rsid w:val="003D74B7"/>
    <w:rsid w:val="003D7F67"/>
    <w:rsid w:val="003E0412"/>
    <w:rsid w:val="003E0560"/>
    <w:rsid w:val="003E09D2"/>
    <w:rsid w:val="003E0A99"/>
    <w:rsid w:val="003E0B11"/>
    <w:rsid w:val="003E0EF6"/>
    <w:rsid w:val="003E0F17"/>
    <w:rsid w:val="003E0F36"/>
    <w:rsid w:val="003E12D1"/>
    <w:rsid w:val="003E14DC"/>
    <w:rsid w:val="003E154D"/>
    <w:rsid w:val="003E1612"/>
    <w:rsid w:val="003E1981"/>
    <w:rsid w:val="003E1A2A"/>
    <w:rsid w:val="003E1ADA"/>
    <w:rsid w:val="003E1ED7"/>
    <w:rsid w:val="003E22EA"/>
    <w:rsid w:val="003E2435"/>
    <w:rsid w:val="003E2809"/>
    <w:rsid w:val="003E2B6A"/>
    <w:rsid w:val="003E358A"/>
    <w:rsid w:val="003E3652"/>
    <w:rsid w:val="003E3B1C"/>
    <w:rsid w:val="003E3E57"/>
    <w:rsid w:val="003E3FB5"/>
    <w:rsid w:val="003E4007"/>
    <w:rsid w:val="003E4F3B"/>
    <w:rsid w:val="003E50F4"/>
    <w:rsid w:val="003E51F1"/>
    <w:rsid w:val="003E5A75"/>
    <w:rsid w:val="003E5EC6"/>
    <w:rsid w:val="003E656B"/>
    <w:rsid w:val="003E66E1"/>
    <w:rsid w:val="003E697E"/>
    <w:rsid w:val="003E6B51"/>
    <w:rsid w:val="003E72D7"/>
    <w:rsid w:val="003E7747"/>
    <w:rsid w:val="003E7880"/>
    <w:rsid w:val="003E78F4"/>
    <w:rsid w:val="003E7B22"/>
    <w:rsid w:val="003E7BA0"/>
    <w:rsid w:val="003E7C96"/>
    <w:rsid w:val="003E7ECA"/>
    <w:rsid w:val="003F044F"/>
    <w:rsid w:val="003F0496"/>
    <w:rsid w:val="003F0531"/>
    <w:rsid w:val="003F1126"/>
    <w:rsid w:val="003F1419"/>
    <w:rsid w:val="003F1572"/>
    <w:rsid w:val="003F1971"/>
    <w:rsid w:val="003F1B46"/>
    <w:rsid w:val="003F1E52"/>
    <w:rsid w:val="003F2620"/>
    <w:rsid w:val="003F319D"/>
    <w:rsid w:val="003F32D8"/>
    <w:rsid w:val="003F3357"/>
    <w:rsid w:val="003F351E"/>
    <w:rsid w:val="003F3677"/>
    <w:rsid w:val="003F419D"/>
    <w:rsid w:val="003F4230"/>
    <w:rsid w:val="003F4682"/>
    <w:rsid w:val="003F5098"/>
    <w:rsid w:val="003F54B5"/>
    <w:rsid w:val="003F5C7E"/>
    <w:rsid w:val="003F5E88"/>
    <w:rsid w:val="003F604F"/>
    <w:rsid w:val="003F65B5"/>
    <w:rsid w:val="003F6BC4"/>
    <w:rsid w:val="003F6FBC"/>
    <w:rsid w:val="003F76B6"/>
    <w:rsid w:val="003F77C7"/>
    <w:rsid w:val="003F7B7A"/>
    <w:rsid w:val="00400327"/>
    <w:rsid w:val="004006A8"/>
    <w:rsid w:val="00400ED1"/>
    <w:rsid w:val="004010F2"/>
    <w:rsid w:val="00401222"/>
    <w:rsid w:val="00401228"/>
    <w:rsid w:val="00401297"/>
    <w:rsid w:val="00401354"/>
    <w:rsid w:val="004016B8"/>
    <w:rsid w:val="0040199E"/>
    <w:rsid w:val="00401A3E"/>
    <w:rsid w:val="004024E9"/>
    <w:rsid w:val="004031B7"/>
    <w:rsid w:val="0040391B"/>
    <w:rsid w:val="00403C3D"/>
    <w:rsid w:val="00403C55"/>
    <w:rsid w:val="00403DB7"/>
    <w:rsid w:val="00403E0C"/>
    <w:rsid w:val="004046C9"/>
    <w:rsid w:val="00405050"/>
    <w:rsid w:val="0040512F"/>
    <w:rsid w:val="00405BDF"/>
    <w:rsid w:val="00405E59"/>
    <w:rsid w:val="00405EDE"/>
    <w:rsid w:val="004060A9"/>
    <w:rsid w:val="0040650D"/>
    <w:rsid w:val="00406751"/>
    <w:rsid w:val="004069FA"/>
    <w:rsid w:val="00406D66"/>
    <w:rsid w:val="00406D78"/>
    <w:rsid w:val="004073E6"/>
    <w:rsid w:val="004076A3"/>
    <w:rsid w:val="004078D9"/>
    <w:rsid w:val="00407A80"/>
    <w:rsid w:val="00407AE1"/>
    <w:rsid w:val="00407AF9"/>
    <w:rsid w:val="00407CC4"/>
    <w:rsid w:val="00407D2F"/>
    <w:rsid w:val="00407D6C"/>
    <w:rsid w:val="00407E21"/>
    <w:rsid w:val="0041013E"/>
    <w:rsid w:val="004102A5"/>
    <w:rsid w:val="00411250"/>
    <w:rsid w:val="00411932"/>
    <w:rsid w:val="00411A33"/>
    <w:rsid w:val="00411BFC"/>
    <w:rsid w:val="00411DCB"/>
    <w:rsid w:val="00411E77"/>
    <w:rsid w:val="00411F48"/>
    <w:rsid w:val="0041201A"/>
    <w:rsid w:val="00412801"/>
    <w:rsid w:val="00412832"/>
    <w:rsid w:val="0041297C"/>
    <w:rsid w:val="00412DAD"/>
    <w:rsid w:val="00412F74"/>
    <w:rsid w:val="004131AB"/>
    <w:rsid w:val="00413248"/>
    <w:rsid w:val="004133EB"/>
    <w:rsid w:val="00413897"/>
    <w:rsid w:val="0041412F"/>
    <w:rsid w:val="004144A4"/>
    <w:rsid w:val="004144DA"/>
    <w:rsid w:val="00414C3A"/>
    <w:rsid w:val="00414C4C"/>
    <w:rsid w:val="0041502A"/>
    <w:rsid w:val="00415184"/>
    <w:rsid w:val="00416721"/>
    <w:rsid w:val="00416BCA"/>
    <w:rsid w:val="00416EA3"/>
    <w:rsid w:val="004171EA"/>
    <w:rsid w:val="004172A0"/>
    <w:rsid w:val="00417591"/>
    <w:rsid w:val="00417774"/>
    <w:rsid w:val="00420B10"/>
    <w:rsid w:val="00420E79"/>
    <w:rsid w:val="00421554"/>
    <w:rsid w:val="00421CFB"/>
    <w:rsid w:val="00422039"/>
    <w:rsid w:val="00422167"/>
    <w:rsid w:val="00422177"/>
    <w:rsid w:val="004222C9"/>
    <w:rsid w:val="0042267F"/>
    <w:rsid w:val="00422897"/>
    <w:rsid w:val="0042292C"/>
    <w:rsid w:val="004229DF"/>
    <w:rsid w:val="00422A36"/>
    <w:rsid w:val="00422CAB"/>
    <w:rsid w:val="00423178"/>
    <w:rsid w:val="0042323A"/>
    <w:rsid w:val="00423243"/>
    <w:rsid w:val="0042338C"/>
    <w:rsid w:val="00423746"/>
    <w:rsid w:val="00423912"/>
    <w:rsid w:val="00423DC2"/>
    <w:rsid w:val="00424062"/>
    <w:rsid w:val="00424CEE"/>
    <w:rsid w:val="00424D39"/>
    <w:rsid w:val="00424EC5"/>
    <w:rsid w:val="00424FB7"/>
    <w:rsid w:val="00424FC4"/>
    <w:rsid w:val="00425072"/>
    <w:rsid w:val="00425425"/>
    <w:rsid w:val="004255B5"/>
    <w:rsid w:val="00426049"/>
    <w:rsid w:val="0042623B"/>
    <w:rsid w:val="00426681"/>
    <w:rsid w:val="004266D9"/>
    <w:rsid w:val="00426963"/>
    <w:rsid w:val="00426C78"/>
    <w:rsid w:val="00426CEF"/>
    <w:rsid w:val="00427286"/>
    <w:rsid w:val="0042731A"/>
    <w:rsid w:val="004274B2"/>
    <w:rsid w:val="0042763E"/>
    <w:rsid w:val="0042769E"/>
    <w:rsid w:val="004277CC"/>
    <w:rsid w:val="00427AF8"/>
    <w:rsid w:val="00427F0F"/>
    <w:rsid w:val="00427F66"/>
    <w:rsid w:val="00430156"/>
    <w:rsid w:val="004304F8"/>
    <w:rsid w:val="00430A53"/>
    <w:rsid w:val="00430E0E"/>
    <w:rsid w:val="00430E35"/>
    <w:rsid w:val="00430EC4"/>
    <w:rsid w:val="00431078"/>
    <w:rsid w:val="0043116D"/>
    <w:rsid w:val="0043117F"/>
    <w:rsid w:val="00431327"/>
    <w:rsid w:val="0043140F"/>
    <w:rsid w:val="0043183B"/>
    <w:rsid w:val="00431854"/>
    <w:rsid w:val="004318FE"/>
    <w:rsid w:val="00431F20"/>
    <w:rsid w:val="00431F58"/>
    <w:rsid w:val="00431F9E"/>
    <w:rsid w:val="00431FAA"/>
    <w:rsid w:val="00431FC4"/>
    <w:rsid w:val="0043203E"/>
    <w:rsid w:val="00432113"/>
    <w:rsid w:val="00432588"/>
    <w:rsid w:val="00432FBE"/>
    <w:rsid w:val="00433B05"/>
    <w:rsid w:val="00433BB2"/>
    <w:rsid w:val="00433CF2"/>
    <w:rsid w:val="00433D78"/>
    <w:rsid w:val="00433E0E"/>
    <w:rsid w:val="00433F5B"/>
    <w:rsid w:val="0043407D"/>
    <w:rsid w:val="0043418F"/>
    <w:rsid w:val="00434432"/>
    <w:rsid w:val="004346A0"/>
    <w:rsid w:val="00434767"/>
    <w:rsid w:val="00434AA2"/>
    <w:rsid w:val="00434D29"/>
    <w:rsid w:val="004356E2"/>
    <w:rsid w:val="00435C2D"/>
    <w:rsid w:val="00436E08"/>
    <w:rsid w:val="004374A6"/>
    <w:rsid w:val="00437503"/>
    <w:rsid w:val="0043769A"/>
    <w:rsid w:val="00440838"/>
    <w:rsid w:val="00440852"/>
    <w:rsid w:val="004409BE"/>
    <w:rsid w:val="00440D33"/>
    <w:rsid w:val="00440E58"/>
    <w:rsid w:val="00441066"/>
    <w:rsid w:val="0044129C"/>
    <w:rsid w:val="004412DE"/>
    <w:rsid w:val="00441639"/>
    <w:rsid w:val="00441875"/>
    <w:rsid w:val="00441CDD"/>
    <w:rsid w:val="00441D64"/>
    <w:rsid w:val="00441FC1"/>
    <w:rsid w:val="00442194"/>
    <w:rsid w:val="004422E4"/>
    <w:rsid w:val="004425E9"/>
    <w:rsid w:val="004428B1"/>
    <w:rsid w:val="00442B17"/>
    <w:rsid w:val="00442D46"/>
    <w:rsid w:val="0044309B"/>
    <w:rsid w:val="0044326A"/>
    <w:rsid w:val="00443301"/>
    <w:rsid w:val="00443547"/>
    <w:rsid w:val="004438E6"/>
    <w:rsid w:val="00443993"/>
    <w:rsid w:val="00444391"/>
    <w:rsid w:val="00444477"/>
    <w:rsid w:val="004448CB"/>
    <w:rsid w:val="00444ACC"/>
    <w:rsid w:val="00444BCD"/>
    <w:rsid w:val="00445560"/>
    <w:rsid w:val="004458D8"/>
    <w:rsid w:val="00445AC7"/>
    <w:rsid w:val="00445ACE"/>
    <w:rsid w:val="00445CBB"/>
    <w:rsid w:val="00445FB3"/>
    <w:rsid w:val="00446183"/>
    <w:rsid w:val="00446355"/>
    <w:rsid w:val="004465F9"/>
    <w:rsid w:val="00446FA2"/>
    <w:rsid w:val="00447609"/>
    <w:rsid w:val="004477C2"/>
    <w:rsid w:val="00447BB2"/>
    <w:rsid w:val="00447E23"/>
    <w:rsid w:val="00450591"/>
    <w:rsid w:val="00450850"/>
    <w:rsid w:val="0045099C"/>
    <w:rsid w:val="00450CC1"/>
    <w:rsid w:val="00450D92"/>
    <w:rsid w:val="00450DB2"/>
    <w:rsid w:val="00450F2D"/>
    <w:rsid w:val="00450FD9"/>
    <w:rsid w:val="0045105F"/>
    <w:rsid w:val="00451143"/>
    <w:rsid w:val="00451496"/>
    <w:rsid w:val="004514D9"/>
    <w:rsid w:val="004515D2"/>
    <w:rsid w:val="00451C27"/>
    <w:rsid w:val="00451C97"/>
    <w:rsid w:val="00452041"/>
    <w:rsid w:val="004529C5"/>
    <w:rsid w:val="00452C1C"/>
    <w:rsid w:val="00452CF2"/>
    <w:rsid w:val="00452D19"/>
    <w:rsid w:val="00452F3A"/>
    <w:rsid w:val="00452F6D"/>
    <w:rsid w:val="00452FCD"/>
    <w:rsid w:val="004530E9"/>
    <w:rsid w:val="004532F1"/>
    <w:rsid w:val="00453761"/>
    <w:rsid w:val="0045391F"/>
    <w:rsid w:val="00453CAB"/>
    <w:rsid w:val="00453EC1"/>
    <w:rsid w:val="00453EFD"/>
    <w:rsid w:val="00455387"/>
    <w:rsid w:val="00455BA8"/>
    <w:rsid w:val="00455DE8"/>
    <w:rsid w:val="004565C0"/>
    <w:rsid w:val="00456A15"/>
    <w:rsid w:val="0045705B"/>
    <w:rsid w:val="004570FF"/>
    <w:rsid w:val="00457BB7"/>
    <w:rsid w:val="0046016D"/>
    <w:rsid w:val="00460877"/>
    <w:rsid w:val="00460A9F"/>
    <w:rsid w:val="00460BA1"/>
    <w:rsid w:val="00460D0F"/>
    <w:rsid w:val="004614D9"/>
    <w:rsid w:val="004616A7"/>
    <w:rsid w:val="00461B3D"/>
    <w:rsid w:val="0046209B"/>
    <w:rsid w:val="004620AD"/>
    <w:rsid w:val="00462356"/>
    <w:rsid w:val="0046280A"/>
    <w:rsid w:val="004629FB"/>
    <w:rsid w:val="00462FB2"/>
    <w:rsid w:val="0046317E"/>
    <w:rsid w:val="0046329A"/>
    <w:rsid w:val="00463963"/>
    <w:rsid w:val="00463ADB"/>
    <w:rsid w:val="00463AFA"/>
    <w:rsid w:val="00463F80"/>
    <w:rsid w:val="00464205"/>
    <w:rsid w:val="004642C8"/>
    <w:rsid w:val="00464855"/>
    <w:rsid w:val="00464863"/>
    <w:rsid w:val="00464EC3"/>
    <w:rsid w:val="0046524D"/>
    <w:rsid w:val="0046576A"/>
    <w:rsid w:val="004659FE"/>
    <w:rsid w:val="00465BE7"/>
    <w:rsid w:val="00466537"/>
    <w:rsid w:val="00466BC0"/>
    <w:rsid w:val="00466C04"/>
    <w:rsid w:val="004670A0"/>
    <w:rsid w:val="004670CF"/>
    <w:rsid w:val="00467443"/>
    <w:rsid w:val="004675C6"/>
    <w:rsid w:val="00467605"/>
    <w:rsid w:val="0046776B"/>
    <w:rsid w:val="0046780D"/>
    <w:rsid w:val="004701B6"/>
    <w:rsid w:val="0047032E"/>
    <w:rsid w:val="00470A8C"/>
    <w:rsid w:val="0047134C"/>
    <w:rsid w:val="004715D5"/>
    <w:rsid w:val="00471809"/>
    <w:rsid w:val="00471AF7"/>
    <w:rsid w:val="004720A5"/>
    <w:rsid w:val="004724EB"/>
    <w:rsid w:val="004724EC"/>
    <w:rsid w:val="0047255F"/>
    <w:rsid w:val="00472951"/>
    <w:rsid w:val="00472BBA"/>
    <w:rsid w:val="00472C98"/>
    <w:rsid w:val="00472CD2"/>
    <w:rsid w:val="00472D50"/>
    <w:rsid w:val="00472DEA"/>
    <w:rsid w:val="00472FB3"/>
    <w:rsid w:val="00472FEB"/>
    <w:rsid w:val="004731C2"/>
    <w:rsid w:val="004737C7"/>
    <w:rsid w:val="00473D3F"/>
    <w:rsid w:val="0047461A"/>
    <w:rsid w:val="0047605A"/>
    <w:rsid w:val="0047618E"/>
    <w:rsid w:val="004762AD"/>
    <w:rsid w:val="00476692"/>
    <w:rsid w:val="00476822"/>
    <w:rsid w:val="00477769"/>
    <w:rsid w:val="00477E41"/>
    <w:rsid w:val="004806F5"/>
    <w:rsid w:val="00480C8E"/>
    <w:rsid w:val="00481062"/>
    <w:rsid w:val="004813D2"/>
    <w:rsid w:val="0048154F"/>
    <w:rsid w:val="00481872"/>
    <w:rsid w:val="004823DD"/>
    <w:rsid w:val="004828E0"/>
    <w:rsid w:val="00482B47"/>
    <w:rsid w:val="00482D22"/>
    <w:rsid w:val="00482FD8"/>
    <w:rsid w:val="00483015"/>
    <w:rsid w:val="004831EE"/>
    <w:rsid w:val="00483407"/>
    <w:rsid w:val="0048350D"/>
    <w:rsid w:val="0048380E"/>
    <w:rsid w:val="004839F1"/>
    <w:rsid w:val="00483AC8"/>
    <w:rsid w:val="00483C7B"/>
    <w:rsid w:val="00483DE4"/>
    <w:rsid w:val="00484887"/>
    <w:rsid w:val="0048489F"/>
    <w:rsid w:val="00484B18"/>
    <w:rsid w:val="00484C19"/>
    <w:rsid w:val="00484E98"/>
    <w:rsid w:val="00485025"/>
    <w:rsid w:val="004853B4"/>
    <w:rsid w:val="0048576F"/>
    <w:rsid w:val="00485AAB"/>
    <w:rsid w:val="00485D60"/>
    <w:rsid w:val="00486309"/>
    <w:rsid w:val="0048701B"/>
    <w:rsid w:val="00487050"/>
    <w:rsid w:val="004872FA"/>
    <w:rsid w:val="00487BA1"/>
    <w:rsid w:val="00487C84"/>
    <w:rsid w:val="00487FCB"/>
    <w:rsid w:val="00490079"/>
    <w:rsid w:val="00490081"/>
    <w:rsid w:val="0049011E"/>
    <w:rsid w:val="004901B0"/>
    <w:rsid w:val="00490342"/>
    <w:rsid w:val="00490668"/>
    <w:rsid w:val="00490B4D"/>
    <w:rsid w:val="00490C03"/>
    <w:rsid w:val="00490CB7"/>
    <w:rsid w:val="0049147D"/>
    <w:rsid w:val="00491610"/>
    <w:rsid w:val="004919D3"/>
    <w:rsid w:val="004919E3"/>
    <w:rsid w:val="00491A5C"/>
    <w:rsid w:val="00491AC7"/>
    <w:rsid w:val="00491AFE"/>
    <w:rsid w:val="00491BD6"/>
    <w:rsid w:val="004923E6"/>
    <w:rsid w:val="00492956"/>
    <w:rsid w:val="00492CF4"/>
    <w:rsid w:val="00492EF0"/>
    <w:rsid w:val="0049348E"/>
    <w:rsid w:val="004939A2"/>
    <w:rsid w:val="00494167"/>
    <w:rsid w:val="00494F4B"/>
    <w:rsid w:val="0049524C"/>
    <w:rsid w:val="00495533"/>
    <w:rsid w:val="00495683"/>
    <w:rsid w:val="00495713"/>
    <w:rsid w:val="004961B1"/>
    <w:rsid w:val="00496257"/>
    <w:rsid w:val="004967B1"/>
    <w:rsid w:val="00496BEE"/>
    <w:rsid w:val="00496C57"/>
    <w:rsid w:val="004971D4"/>
    <w:rsid w:val="0049730A"/>
    <w:rsid w:val="00497778"/>
    <w:rsid w:val="00497800"/>
    <w:rsid w:val="00497B89"/>
    <w:rsid w:val="00497D81"/>
    <w:rsid w:val="004A0154"/>
    <w:rsid w:val="004A058D"/>
    <w:rsid w:val="004A06A3"/>
    <w:rsid w:val="004A0761"/>
    <w:rsid w:val="004A077A"/>
    <w:rsid w:val="004A093D"/>
    <w:rsid w:val="004A0D98"/>
    <w:rsid w:val="004A16E7"/>
    <w:rsid w:val="004A1EB6"/>
    <w:rsid w:val="004A20CB"/>
    <w:rsid w:val="004A2503"/>
    <w:rsid w:val="004A28FA"/>
    <w:rsid w:val="004A2930"/>
    <w:rsid w:val="004A2B48"/>
    <w:rsid w:val="004A2E1E"/>
    <w:rsid w:val="004A2F6C"/>
    <w:rsid w:val="004A316D"/>
    <w:rsid w:val="004A3190"/>
    <w:rsid w:val="004A34DF"/>
    <w:rsid w:val="004A3AEB"/>
    <w:rsid w:val="004A3DF0"/>
    <w:rsid w:val="004A4104"/>
    <w:rsid w:val="004A418F"/>
    <w:rsid w:val="004A4653"/>
    <w:rsid w:val="004A478E"/>
    <w:rsid w:val="004A4D93"/>
    <w:rsid w:val="004A525F"/>
    <w:rsid w:val="004A5529"/>
    <w:rsid w:val="004A560C"/>
    <w:rsid w:val="004A5786"/>
    <w:rsid w:val="004A5E60"/>
    <w:rsid w:val="004A6219"/>
    <w:rsid w:val="004A6266"/>
    <w:rsid w:val="004A642F"/>
    <w:rsid w:val="004A65CB"/>
    <w:rsid w:val="004A6676"/>
    <w:rsid w:val="004A6BFE"/>
    <w:rsid w:val="004A6C40"/>
    <w:rsid w:val="004A6D33"/>
    <w:rsid w:val="004A6DFC"/>
    <w:rsid w:val="004A6E88"/>
    <w:rsid w:val="004A6F38"/>
    <w:rsid w:val="004A7439"/>
    <w:rsid w:val="004A761F"/>
    <w:rsid w:val="004A7944"/>
    <w:rsid w:val="004A79C0"/>
    <w:rsid w:val="004B0321"/>
    <w:rsid w:val="004B036F"/>
    <w:rsid w:val="004B04D8"/>
    <w:rsid w:val="004B1231"/>
    <w:rsid w:val="004B132F"/>
    <w:rsid w:val="004B13B5"/>
    <w:rsid w:val="004B16B9"/>
    <w:rsid w:val="004B17E1"/>
    <w:rsid w:val="004B1C09"/>
    <w:rsid w:val="004B1DC7"/>
    <w:rsid w:val="004B219B"/>
    <w:rsid w:val="004B21C6"/>
    <w:rsid w:val="004B2400"/>
    <w:rsid w:val="004B251A"/>
    <w:rsid w:val="004B268D"/>
    <w:rsid w:val="004B2756"/>
    <w:rsid w:val="004B2939"/>
    <w:rsid w:val="004B2C6A"/>
    <w:rsid w:val="004B2C7C"/>
    <w:rsid w:val="004B2C7D"/>
    <w:rsid w:val="004B3176"/>
    <w:rsid w:val="004B34E4"/>
    <w:rsid w:val="004B3B52"/>
    <w:rsid w:val="004B3D71"/>
    <w:rsid w:val="004B4165"/>
    <w:rsid w:val="004B4330"/>
    <w:rsid w:val="004B4464"/>
    <w:rsid w:val="004B4497"/>
    <w:rsid w:val="004B45D6"/>
    <w:rsid w:val="004B4A82"/>
    <w:rsid w:val="004B4FAB"/>
    <w:rsid w:val="004B4FBB"/>
    <w:rsid w:val="004B527E"/>
    <w:rsid w:val="004B5951"/>
    <w:rsid w:val="004B5A9C"/>
    <w:rsid w:val="004B5AA2"/>
    <w:rsid w:val="004B5B61"/>
    <w:rsid w:val="004B5BF6"/>
    <w:rsid w:val="004B5C7D"/>
    <w:rsid w:val="004B5CAA"/>
    <w:rsid w:val="004B5E54"/>
    <w:rsid w:val="004B6AD9"/>
    <w:rsid w:val="004B6F8C"/>
    <w:rsid w:val="004B7021"/>
    <w:rsid w:val="004B7129"/>
    <w:rsid w:val="004B7409"/>
    <w:rsid w:val="004B7684"/>
    <w:rsid w:val="004B7815"/>
    <w:rsid w:val="004B7928"/>
    <w:rsid w:val="004B7D24"/>
    <w:rsid w:val="004B7E13"/>
    <w:rsid w:val="004B7E4B"/>
    <w:rsid w:val="004C00F2"/>
    <w:rsid w:val="004C03A5"/>
    <w:rsid w:val="004C057D"/>
    <w:rsid w:val="004C091C"/>
    <w:rsid w:val="004C0E66"/>
    <w:rsid w:val="004C1008"/>
    <w:rsid w:val="004C12A3"/>
    <w:rsid w:val="004C1AD9"/>
    <w:rsid w:val="004C2175"/>
    <w:rsid w:val="004C235A"/>
    <w:rsid w:val="004C26E4"/>
    <w:rsid w:val="004C2AD6"/>
    <w:rsid w:val="004C3560"/>
    <w:rsid w:val="004C396C"/>
    <w:rsid w:val="004C3E6E"/>
    <w:rsid w:val="004C4056"/>
    <w:rsid w:val="004C427B"/>
    <w:rsid w:val="004C4933"/>
    <w:rsid w:val="004C4982"/>
    <w:rsid w:val="004C4A13"/>
    <w:rsid w:val="004C4C8F"/>
    <w:rsid w:val="004C4D82"/>
    <w:rsid w:val="004C524A"/>
    <w:rsid w:val="004C54C2"/>
    <w:rsid w:val="004C5837"/>
    <w:rsid w:val="004C59F4"/>
    <w:rsid w:val="004C5AF8"/>
    <w:rsid w:val="004C5B6A"/>
    <w:rsid w:val="004C5B7B"/>
    <w:rsid w:val="004C6A9A"/>
    <w:rsid w:val="004C6C0C"/>
    <w:rsid w:val="004C6CB8"/>
    <w:rsid w:val="004C6D3C"/>
    <w:rsid w:val="004C719B"/>
    <w:rsid w:val="004C75A3"/>
    <w:rsid w:val="004C75B5"/>
    <w:rsid w:val="004C763F"/>
    <w:rsid w:val="004C7C2D"/>
    <w:rsid w:val="004C7C69"/>
    <w:rsid w:val="004D0374"/>
    <w:rsid w:val="004D0509"/>
    <w:rsid w:val="004D0635"/>
    <w:rsid w:val="004D0796"/>
    <w:rsid w:val="004D1105"/>
    <w:rsid w:val="004D16F5"/>
    <w:rsid w:val="004D2197"/>
    <w:rsid w:val="004D28BA"/>
    <w:rsid w:val="004D3334"/>
    <w:rsid w:val="004D382D"/>
    <w:rsid w:val="004D40ED"/>
    <w:rsid w:val="004D4307"/>
    <w:rsid w:val="004D4497"/>
    <w:rsid w:val="004D465C"/>
    <w:rsid w:val="004D4D82"/>
    <w:rsid w:val="004D5078"/>
    <w:rsid w:val="004D5104"/>
    <w:rsid w:val="004D5336"/>
    <w:rsid w:val="004D54CB"/>
    <w:rsid w:val="004D556F"/>
    <w:rsid w:val="004D562E"/>
    <w:rsid w:val="004D5C25"/>
    <w:rsid w:val="004D5F91"/>
    <w:rsid w:val="004D607D"/>
    <w:rsid w:val="004D694C"/>
    <w:rsid w:val="004D6DA2"/>
    <w:rsid w:val="004D700C"/>
    <w:rsid w:val="004D719D"/>
    <w:rsid w:val="004D756A"/>
    <w:rsid w:val="004D777E"/>
    <w:rsid w:val="004D7CC7"/>
    <w:rsid w:val="004E036F"/>
    <w:rsid w:val="004E03A4"/>
    <w:rsid w:val="004E09D9"/>
    <w:rsid w:val="004E0C8F"/>
    <w:rsid w:val="004E0CC3"/>
    <w:rsid w:val="004E1072"/>
    <w:rsid w:val="004E15BE"/>
    <w:rsid w:val="004E15FD"/>
    <w:rsid w:val="004E1BB8"/>
    <w:rsid w:val="004E21FB"/>
    <w:rsid w:val="004E24A5"/>
    <w:rsid w:val="004E28D9"/>
    <w:rsid w:val="004E2B1E"/>
    <w:rsid w:val="004E322D"/>
    <w:rsid w:val="004E34C0"/>
    <w:rsid w:val="004E3A06"/>
    <w:rsid w:val="004E3B42"/>
    <w:rsid w:val="004E3F8C"/>
    <w:rsid w:val="004E4794"/>
    <w:rsid w:val="004E47AB"/>
    <w:rsid w:val="004E495E"/>
    <w:rsid w:val="004E4DB7"/>
    <w:rsid w:val="004E4E2A"/>
    <w:rsid w:val="004E51EF"/>
    <w:rsid w:val="004E57C6"/>
    <w:rsid w:val="004E581F"/>
    <w:rsid w:val="004E58C5"/>
    <w:rsid w:val="004E5B8D"/>
    <w:rsid w:val="004E5EB5"/>
    <w:rsid w:val="004E6C43"/>
    <w:rsid w:val="004E7038"/>
    <w:rsid w:val="004E74D7"/>
    <w:rsid w:val="004E7546"/>
    <w:rsid w:val="004E7807"/>
    <w:rsid w:val="004E78C3"/>
    <w:rsid w:val="004E79C7"/>
    <w:rsid w:val="004E7AF2"/>
    <w:rsid w:val="004E7B7A"/>
    <w:rsid w:val="004E7D60"/>
    <w:rsid w:val="004E7EB4"/>
    <w:rsid w:val="004F09D4"/>
    <w:rsid w:val="004F1018"/>
    <w:rsid w:val="004F12C6"/>
    <w:rsid w:val="004F155E"/>
    <w:rsid w:val="004F177C"/>
    <w:rsid w:val="004F1862"/>
    <w:rsid w:val="004F1CE7"/>
    <w:rsid w:val="004F2178"/>
    <w:rsid w:val="004F2BDB"/>
    <w:rsid w:val="004F2BEE"/>
    <w:rsid w:val="004F313A"/>
    <w:rsid w:val="004F3569"/>
    <w:rsid w:val="004F4109"/>
    <w:rsid w:val="004F4365"/>
    <w:rsid w:val="004F4369"/>
    <w:rsid w:val="004F440C"/>
    <w:rsid w:val="004F475A"/>
    <w:rsid w:val="004F47BB"/>
    <w:rsid w:val="004F47F6"/>
    <w:rsid w:val="004F4888"/>
    <w:rsid w:val="004F4BDE"/>
    <w:rsid w:val="004F4E68"/>
    <w:rsid w:val="004F5061"/>
    <w:rsid w:val="004F5340"/>
    <w:rsid w:val="004F5372"/>
    <w:rsid w:val="004F5682"/>
    <w:rsid w:val="004F56AA"/>
    <w:rsid w:val="004F5758"/>
    <w:rsid w:val="004F5A51"/>
    <w:rsid w:val="004F5ABE"/>
    <w:rsid w:val="004F5AF9"/>
    <w:rsid w:val="004F5D05"/>
    <w:rsid w:val="004F5E35"/>
    <w:rsid w:val="004F5E6B"/>
    <w:rsid w:val="004F5EEB"/>
    <w:rsid w:val="004F601D"/>
    <w:rsid w:val="004F663F"/>
    <w:rsid w:val="005002B3"/>
    <w:rsid w:val="00500997"/>
    <w:rsid w:val="00500E0F"/>
    <w:rsid w:val="00501468"/>
    <w:rsid w:val="00501A30"/>
    <w:rsid w:val="00501B08"/>
    <w:rsid w:val="00501C69"/>
    <w:rsid w:val="00501DD5"/>
    <w:rsid w:val="00501DDD"/>
    <w:rsid w:val="005020F3"/>
    <w:rsid w:val="005027B4"/>
    <w:rsid w:val="0050295F"/>
    <w:rsid w:val="00502C52"/>
    <w:rsid w:val="00502DBF"/>
    <w:rsid w:val="00502F33"/>
    <w:rsid w:val="005032F1"/>
    <w:rsid w:val="00503471"/>
    <w:rsid w:val="005036E7"/>
    <w:rsid w:val="00503C5B"/>
    <w:rsid w:val="00504186"/>
    <w:rsid w:val="005049AA"/>
    <w:rsid w:val="00504A70"/>
    <w:rsid w:val="00504C1D"/>
    <w:rsid w:val="00504CAE"/>
    <w:rsid w:val="00504FFF"/>
    <w:rsid w:val="00505334"/>
    <w:rsid w:val="00505593"/>
    <w:rsid w:val="00506587"/>
    <w:rsid w:val="005067DC"/>
    <w:rsid w:val="005069E9"/>
    <w:rsid w:val="00507053"/>
    <w:rsid w:val="005070DF"/>
    <w:rsid w:val="005070F2"/>
    <w:rsid w:val="00507177"/>
    <w:rsid w:val="005077A6"/>
    <w:rsid w:val="00507D5A"/>
    <w:rsid w:val="00507D99"/>
    <w:rsid w:val="00507FBB"/>
    <w:rsid w:val="0051024C"/>
    <w:rsid w:val="0051047C"/>
    <w:rsid w:val="0051153E"/>
    <w:rsid w:val="00511904"/>
    <w:rsid w:val="00511C79"/>
    <w:rsid w:val="00511E0F"/>
    <w:rsid w:val="00511E78"/>
    <w:rsid w:val="00512026"/>
    <w:rsid w:val="005122C3"/>
    <w:rsid w:val="00512605"/>
    <w:rsid w:val="00512623"/>
    <w:rsid w:val="00512865"/>
    <w:rsid w:val="00512957"/>
    <w:rsid w:val="00512BBC"/>
    <w:rsid w:val="00512CB2"/>
    <w:rsid w:val="00512CC0"/>
    <w:rsid w:val="00512D38"/>
    <w:rsid w:val="00512F49"/>
    <w:rsid w:val="00513491"/>
    <w:rsid w:val="005136C3"/>
    <w:rsid w:val="0051371F"/>
    <w:rsid w:val="0051383A"/>
    <w:rsid w:val="0051383B"/>
    <w:rsid w:val="00513925"/>
    <w:rsid w:val="00513E5F"/>
    <w:rsid w:val="005141E9"/>
    <w:rsid w:val="00514283"/>
    <w:rsid w:val="00514482"/>
    <w:rsid w:val="0051490C"/>
    <w:rsid w:val="00514E91"/>
    <w:rsid w:val="00514FD5"/>
    <w:rsid w:val="005158AE"/>
    <w:rsid w:val="00515FB4"/>
    <w:rsid w:val="0051648F"/>
    <w:rsid w:val="005174AF"/>
    <w:rsid w:val="00517522"/>
    <w:rsid w:val="00517815"/>
    <w:rsid w:val="005179ED"/>
    <w:rsid w:val="00517EA8"/>
    <w:rsid w:val="00517FD4"/>
    <w:rsid w:val="0052003E"/>
    <w:rsid w:val="005201BD"/>
    <w:rsid w:val="005202E6"/>
    <w:rsid w:val="005203BB"/>
    <w:rsid w:val="00520706"/>
    <w:rsid w:val="005209E8"/>
    <w:rsid w:val="00520DAB"/>
    <w:rsid w:val="00520DEA"/>
    <w:rsid w:val="005210EE"/>
    <w:rsid w:val="005216B9"/>
    <w:rsid w:val="0052179C"/>
    <w:rsid w:val="00521922"/>
    <w:rsid w:val="00521C21"/>
    <w:rsid w:val="00521F73"/>
    <w:rsid w:val="00522140"/>
    <w:rsid w:val="00522246"/>
    <w:rsid w:val="00522284"/>
    <w:rsid w:val="00522332"/>
    <w:rsid w:val="005223E4"/>
    <w:rsid w:val="00522558"/>
    <w:rsid w:val="00522A7E"/>
    <w:rsid w:val="00522A99"/>
    <w:rsid w:val="00522AEE"/>
    <w:rsid w:val="005232F4"/>
    <w:rsid w:val="00523397"/>
    <w:rsid w:val="0052373B"/>
    <w:rsid w:val="00523749"/>
    <w:rsid w:val="005237B3"/>
    <w:rsid w:val="00523A13"/>
    <w:rsid w:val="00523B1B"/>
    <w:rsid w:val="00524B68"/>
    <w:rsid w:val="00524D52"/>
    <w:rsid w:val="00525A54"/>
    <w:rsid w:val="00525AE2"/>
    <w:rsid w:val="00525B64"/>
    <w:rsid w:val="00525CE5"/>
    <w:rsid w:val="00526159"/>
    <w:rsid w:val="0052632A"/>
    <w:rsid w:val="00526412"/>
    <w:rsid w:val="00526A51"/>
    <w:rsid w:val="00527018"/>
    <w:rsid w:val="005271E8"/>
    <w:rsid w:val="0052727D"/>
    <w:rsid w:val="005274B1"/>
    <w:rsid w:val="00527ED2"/>
    <w:rsid w:val="00527EE4"/>
    <w:rsid w:val="005302C1"/>
    <w:rsid w:val="0053033A"/>
    <w:rsid w:val="0053037B"/>
    <w:rsid w:val="0053098D"/>
    <w:rsid w:val="00531672"/>
    <w:rsid w:val="005318F7"/>
    <w:rsid w:val="00531940"/>
    <w:rsid w:val="00531A9C"/>
    <w:rsid w:val="00531D69"/>
    <w:rsid w:val="00532142"/>
    <w:rsid w:val="0053226A"/>
    <w:rsid w:val="005325FB"/>
    <w:rsid w:val="0053273A"/>
    <w:rsid w:val="00532A2E"/>
    <w:rsid w:val="00532F87"/>
    <w:rsid w:val="005336D9"/>
    <w:rsid w:val="00533BF5"/>
    <w:rsid w:val="00534015"/>
    <w:rsid w:val="0053420F"/>
    <w:rsid w:val="00534987"/>
    <w:rsid w:val="0053539A"/>
    <w:rsid w:val="0053596B"/>
    <w:rsid w:val="00535F1D"/>
    <w:rsid w:val="00535F73"/>
    <w:rsid w:val="00535F89"/>
    <w:rsid w:val="00536436"/>
    <w:rsid w:val="00536437"/>
    <w:rsid w:val="005367B9"/>
    <w:rsid w:val="0053685D"/>
    <w:rsid w:val="00536A1D"/>
    <w:rsid w:val="00536C2F"/>
    <w:rsid w:val="005370F4"/>
    <w:rsid w:val="00537221"/>
    <w:rsid w:val="00537237"/>
    <w:rsid w:val="00537404"/>
    <w:rsid w:val="00537B6E"/>
    <w:rsid w:val="005401C2"/>
    <w:rsid w:val="00540369"/>
    <w:rsid w:val="0054041A"/>
    <w:rsid w:val="00540520"/>
    <w:rsid w:val="00540E19"/>
    <w:rsid w:val="00540FEB"/>
    <w:rsid w:val="00541277"/>
    <w:rsid w:val="00541BF3"/>
    <w:rsid w:val="00541DB0"/>
    <w:rsid w:val="00542633"/>
    <w:rsid w:val="00542B73"/>
    <w:rsid w:val="00543891"/>
    <w:rsid w:val="00543922"/>
    <w:rsid w:val="00543C59"/>
    <w:rsid w:val="00543D7D"/>
    <w:rsid w:val="005441B8"/>
    <w:rsid w:val="00544831"/>
    <w:rsid w:val="00544D3A"/>
    <w:rsid w:val="00545B56"/>
    <w:rsid w:val="00545B8F"/>
    <w:rsid w:val="00545F9C"/>
    <w:rsid w:val="00545FA4"/>
    <w:rsid w:val="0054603E"/>
    <w:rsid w:val="005465C3"/>
    <w:rsid w:val="005465FB"/>
    <w:rsid w:val="00546657"/>
    <w:rsid w:val="00546A7D"/>
    <w:rsid w:val="005477E4"/>
    <w:rsid w:val="00547818"/>
    <w:rsid w:val="00550446"/>
    <w:rsid w:val="005504A2"/>
    <w:rsid w:val="00550C5E"/>
    <w:rsid w:val="00551190"/>
    <w:rsid w:val="005517AD"/>
    <w:rsid w:val="0055200E"/>
    <w:rsid w:val="005529DD"/>
    <w:rsid w:val="00552DD7"/>
    <w:rsid w:val="00553057"/>
    <w:rsid w:val="00553430"/>
    <w:rsid w:val="0055399F"/>
    <w:rsid w:val="00553D60"/>
    <w:rsid w:val="00554139"/>
    <w:rsid w:val="00554991"/>
    <w:rsid w:val="00555103"/>
    <w:rsid w:val="0055517E"/>
    <w:rsid w:val="00555568"/>
    <w:rsid w:val="005556D2"/>
    <w:rsid w:val="0055579D"/>
    <w:rsid w:val="00555902"/>
    <w:rsid w:val="00555937"/>
    <w:rsid w:val="00555F83"/>
    <w:rsid w:val="0055603C"/>
    <w:rsid w:val="005566EA"/>
    <w:rsid w:val="005569B4"/>
    <w:rsid w:val="00556E7A"/>
    <w:rsid w:val="0055708A"/>
    <w:rsid w:val="0055714F"/>
    <w:rsid w:val="00557235"/>
    <w:rsid w:val="005573A1"/>
    <w:rsid w:val="005577D0"/>
    <w:rsid w:val="00557A5D"/>
    <w:rsid w:val="0056077A"/>
    <w:rsid w:val="00560821"/>
    <w:rsid w:val="00560A0B"/>
    <w:rsid w:val="00561074"/>
    <w:rsid w:val="00561514"/>
    <w:rsid w:val="00561B12"/>
    <w:rsid w:val="00561BBC"/>
    <w:rsid w:val="00561C0F"/>
    <w:rsid w:val="00561C83"/>
    <w:rsid w:val="00561EEB"/>
    <w:rsid w:val="00561FED"/>
    <w:rsid w:val="005625D7"/>
    <w:rsid w:val="0056264D"/>
    <w:rsid w:val="0056271E"/>
    <w:rsid w:val="00562B1C"/>
    <w:rsid w:val="00562B9B"/>
    <w:rsid w:val="00562D2A"/>
    <w:rsid w:val="005633BF"/>
    <w:rsid w:val="00563B40"/>
    <w:rsid w:val="005640D0"/>
    <w:rsid w:val="005653FC"/>
    <w:rsid w:val="0056545C"/>
    <w:rsid w:val="00565513"/>
    <w:rsid w:val="0056566A"/>
    <w:rsid w:val="0056566B"/>
    <w:rsid w:val="00565A51"/>
    <w:rsid w:val="00566035"/>
    <w:rsid w:val="00566183"/>
    <w:rsid w:val="00566254"/>
    <w:rsid w:val="00566521"/>
    <w:rsid w:val="00566528"/>
    <w:rsid w:val="005665BA"/>
    <w:rsid w:val="005665D8"/>
    <w:rsid w:val="005674A9"/>
    <w:rsid w:val="00567747"/>
    <w:rsid w:val="00567B51"/>
    <w:rsid w:val="00567F1E"/>
    <w:rsid w:val="00570240"/>
    <w:rsid w:val="00570326"/>
    <w:rsid w:val="0057034F"/>
    <w:rsid w:val="0057037C"/>
    <w:rsid w:val="00570397"/>
    <w:rsid w:val="00570541"/>
    <w:rsid w:val="00570CDD"/>
    <w:rsid w:val="00570F73"/>
    <w:rsid w:val="005710CB"/>
    <w:rsid w:val="00571928"/>
    <w:rsid w:val="00571A9B"/>
    <w:rsid w:val="00571B35"/>
    <w:rsid w:val="00572402"/>
    <w:rsid w:val="00572999"/>
    <w:rsid w:val="00572A9F"/>
    <w:rsid w:val="00572CEA"/>
    <w:rsid w:val="00573154"/>
    <w:rsid w:val="00573448"/>
    <w:rsid w:val="0057344B"/>
    <w:rsid w:val="00573469"/>
    <w:rsid w:val="00573DAF"/>
    <w:rsid w:val="00573FC4"/>
    <w:rsid w:val="00573FFA"/>
    <w:rsid w:val="0057430C"/>
    <w:rsid w:val="005743BC"/>
    <w:rsid w:val="00574472"/>
    <w:rsid w:val="005744C8"/>
    <w:rsid w:val="005745A2"/>
    <w:rsid w:val="005745EE"/>
    <w:rsid w:val="005749E5"/>
    <w:rsid w:val="00574F2E"/>
    <w:rsid w:val="00574F7C"/>
    <w:rsid w:val="005752FF"/>
    <w:rsid w:val="005758F2"/>
    <w:rsid w:val="0057590A"/>
    <w:rsid w:val="00575932"/>
    <w:rsid w:val="00575D89"/>
    <w:rsid w:val="0057716E"/>
    <w:rsid w:val="005773CF"/>
    <w:rsid w:val="005775FF"/>
    <w:rsid w:val="0057763B"/>
    <w:rsid w:val="005776B4"/>
    <w:rsid w:val="0057774C"/>
    <w:rsid w:val="00577910"/>
    <w:rsid w:val="005779FA"/>
    <w:rsid w:val="00577A7B"/>
    <w:rsid w:val="00577FBB"/>
    <w:rsid w:val="00580054"/>
    <w:rsid w:val="00580395"/>
    <w:rsid w:val="00580530"/>
    <w:rsid w:val="00580863"/>
    <w:rsid w:val="00580F6E"/>
    <w:rsid w:val="0058103F"/>
    <w:rsid w:val="00581077"/>
    <w:rsid w:val="005810F7"/>
    <w:rsid w:val="00581587"/>
    <w:rsid w:val="00581A9E"/>
    <w:rsid w:val="00581E9F"/>
    <w:rsid w:val="0058222B"/>
    <w:rsid w:val="00582BDD"/>
    <w:rsid w:val="00583805"/>
    <w:rsid w:val="00583DFF"/>
    <w:rsid w:val="005849B0"/>
    <w:rsid w:val="00584C4D"/>
    <w:rsid w:val="00585124"/>
    <w:rsid w:val="00585515"/>
    <w:rsid w:val="0058599B"/>
    <w:rsid w:val="00585F5E"/>
    <w:rsid w:val="005868EA"/>
    <w:rsid w:val="00586918"/>
    <w:rsid w:val="00586976"/>
    <w:rsid w:val="00586CC4"/>
    <w:rsid w:val="00586E6B"/>
    <w:rsid w:val="005871D4"/>
    <w:rsid w:val="005874CB"/>
    <w:rsid w:val="00587C37"/>
    <w:rsid w:val="0059086D"/>
    <w:rsid w:val="00590F99"/>
    <w:rsid w:val="0059147B"/>
    <w:rsid w:val="00591B03"/>
    <w:rsid w:val="00591C33"/>
    <w:rsid w:val="0059202D"/>
    <w:rsid w:val="005923D4"/>
    <w:rsid w:val="00592911"/>
    <w:rsid w:val="00592E79"/>
    <w:rsid w:val="00592FF5"/>
    <w:rsid w:val="00593029"/>
    <w:rsid w:val="005935B3"/>
    <w:rsid w:val="0059373F"/>
    <w:rsid w:val="00593AF3"/>
    <w:rsid w:val="00593E91"/>
    <w:rsid w:val="00593F10"/>
    <w:rsid w:val="00594138"/>
    <w:rsid w:val="0059428D"/>
    <w:rsid w:val="005942CD"/>
    <w:rsid w:val="00594373"/>
    <w:rsid w:val="005946DB"/>
    <w:rsid w:val="005947A6"/>
    <w:rsid w:val="00594C93"/>
    <w:rsid w:val="00594EC0"/>
    <w:rsid w:val="00595335"/>
    <w:rsid w:val="00595BDA"/>
    <w:rsid w:val="00595D7E"/>
    <w:rsid w:val="00595F1F"/>
    <w:rsid w:val="005962DC"/>
    <w:rsid w:val="0059649C"/>
    <w:rsid w:val="005964E7"/>
    <w:rsid w:val="00596AA5"/>
    <w:rsid w:val="00596EE7"/>
    <w:rsid w:val="00596EF8"/>
    <w:rsid w:val="005970E8"/>
    <w:rsid w:val="00597548"/>
    <w:rsid w:val="00597C0A"/>
    <w:rsid w:val="005A07B1"/>
    <w:rsid w:val="005A09AB"/>
    <w:rsid w:val="005A0BAD"/>
    <w:rsid w:val="005A0FEB"/>
    <w:rsid w:val="005A1406"/>
    <w:rsid w:val="005A1859"/>
    <w:rsid w:val="005A1C98"/>
    <w:rsid w:val="005A21C3"/>
    <w:rsid w:val="005A21C8"/>
    <w:rsid w:val="005A2A47"/>
    <w:rsid w:val="005A2AF5"/>
    <w:rsid w:val="005A2BB0"/>
    <w:rsid w:val="005A2C3A"/>
    <w:rsid w:val="005A2EEF"/>
    <w:rsid w:val="005A32C8"/>
    <w:rsid w:val="005A32FC"/>
    <w:rsid w:val="005A34A8"/>
    <w:rsid w:val="005A368C"/>
    <w:rsid w:val="005A3ED5"/>
    <w:rsid w:val="005A4365"/>
    <w:rsid w:val="005A43C5"/>
    <w:rsid w:val="005A4493"/>
    <w:rsid w:val="005A4769"/>
    <w:rsid w:val="005A4886"/>
    <w:rsid w:val="005A48C0"/>
    <w:rsid w:val="005A4D1A"/>
    <w:rsid w:val="005A5E17"/>
    <w:rsid w:val="005A60B6"/>
    <w:rsid w:val="005A634F"/>
    <w:rsid w:val="005A6433"/>
    <w:rsid w:val="005A64B3"/>
    <w:rsid w:val="005A686F"/>
    <w:rsid w:val="005A721A"/>
    <w:rsid w:val="005A723F"/>
    <w:rsid w:val="005A72CD"/>
    <w:rsid w:val="005A74DF"/>
    <w:rsid w:val="005A75C0"/>
    <w:rsid w:val="005A7645"/>
    <w:rsid w:val="005A7CC3"/>
    <w:rsid w:val="005B04BE"/>
    <w:rsid w:val="005B0ED8"/>
    <w:rsid w:val="005B14BA"/>
    <w:rsid w:val="005B17C1"/>
    <w:rsid w:val="005B190E"/>
    <w:rsid w:val="005B19AC"/>
    <w:rsid w:val="005B1C30"/>
    <w:rsid w:val="005B2539"/>
    <w:rsid w:val="005B2583"/>
    <w:rsid w:val="005B2697"/>
    <w:rsid w:val="005B2A53"/>
    <w:rsid w:val="005B2AC0"/>
    <w:rsid w:val="005B2BA0"/>
    <w:rsid w:val="005B2C1A"/>
    <w:rsid w:val="005B2D5F"/>
    <w:rsid w:val="005B37E8"/>
    <w:rsid w:val="005B3C8D"/>
    <w:rsid w:val="005B3D2C"/>
    <w:rsid w:val="005B3D56"/>
    <w:rsid w:val="005B3FAF"/>
    <w:rsid w:val="005B4217"/>
    <w:rsid w:val="005B43C8"/>
    <w:rsid w:val="005B4639"/>
    <w:rsid w:val="005B4753"/>
    <w:rsid w:val="005B4C38"/>
    <w:rsid w:val="005B4CC5"/>
    <w:rsid w:val="005B5047"/>
    <w:rsid w:val="005B5443"/>
    <w:rsid w:val="005B5D0A"/>
    <w:rsid w:val="005B6150"/>
    <w:rsid w:val="005B6580"/>
    <w:rsid w:val="005B6AAC"/>
    <w:rsid w:val="005B6AE9"/>
    <w:rsid w:val="005B6B61"/>
    <w:rsid w:val="005B6C0C"/>
    <w:rsid w:val="005B6E63"/>
    <w:rsid w:val="005B7140"/>
    <w:rsid w:val="005B7367"/>
    <w:rsid w:val="005B7BD7"/>
    <w:rsid w:val="005C0927"/>
    <w:rsid w:val="005C09D6"/>
    <w:rsid w:val="005C0B0E"/>
    <w:rsid w:val="005C1158"/>
    <w:rsid w:val="005C172E"/>
    <w:rsid w:val="005C17EF"/>
    <w:rsid w:val="005C1C78"/>
    <w:rsid w:val="005C1EE5"/>
    <w:rsid w:val="005C2187"/>
    <w:rsid w:val="005C256E"/>
    <w:rsid w:val="005C25E5"/>
    <w:rsid w:val="005C2E30"/>
    <w:rsid w:val="005C32FA"/>
    <w:rsid w:val="005C3480"/>
    <w:rsid w:val="005C369A"/>
    <w:rsid w:val="005C377C"/>
    <w:rsid w:val="005C3A56"/>
    <w:rsid w:val="005C3C6B"/>
    <w:rsid w:val="005C3C8A"/>
    <w:rsid w:val="005C3CFD"/>
    <w:rsid w:val="005C3E15"/>
    <w:rsid w:val="005C3F9C"/>
    <w:rsid w:val="005C5227"/>
    <w:rsid w:val="005C524C"/>
    <w:rsid w:val="005C53DC"/>
    <w:rsid w:val="005C5608"/>
    <w:rsid w:val="005C580A"/>
    <w:rsid w:val="005C5D12"/>
    <w:rsid w:val="005C6756"/>
    <w:rsid w:val="005C6797"/>
    <w:rsid w:val="005C684B"/>
    <w:rsid w:val="005C6A50"/>
    <w:rsid w:val="005C6A89"/>
    <w:rsid w:val="005C717F"/>
    <w:rsid w:val="005C75A4"/>
    <w:rsid w:val="005C75F3"/>
    <w:rsid w:val="005D0043"/>
    <w:rsid w:val="005D023F"/>
    <w:rsid w:val="005D04A3"/>
    <w:rsid w:val="005D0516"/>
    <w:rsid w:val="005D0744"/>
    <w:rsid w:val="005D0969"/>
    <w:rsid w:val="005D0A12"/>
    <w:rsid w:val="005D10AE"/>
    <w:rsid w:val="005D11A9"/>
    <w:rsid w:val="005D11FE"/>
    <w:rsid w:val="005D12C0"/>
    <w:rsid w:val="005D198D"/>
    <w:rsid w:val="005D1A5D"/>
    <w:rsid w:val="005D1A9B"/>
    <w:rsid w:val="005D1AF0"/>
    <w:rsid w:val="005D1C33"/>
    <w:rsid w:val="005D1C57"/>
    <w:rsid w:val="005D1D99"/>
    <w:rsid w:val="005D24E7"/>
    <w:rsid w:val="005D24F9"/>
    <w:rsid w:val="005D25EF"/>
    <w:rsid w:val="005D2F97"/>
    <w:rsid w:val="005D2FCA"/>
    <w:rsid w:val="005D31C0"/>
    <w:rsid w:val="005D3D5A"/>
    <w:rsid w:val="005D3FEE"/>
    <w:rsid w:val="005D4448"/>
    <w:rsid w:val="005D450F"/>
    <w:rsid w:val="005D45FD"/>
    <w:rsid w:val="005D46E8"/>
    <w:rsid w:val="005D4786"/>
    <w:rsid w:val="005D49E1"/>
    <w:rsid w:val="005D4B1C"/>
    <w:rsid w:val="005D4C22"/>
    <w:rsid w:val="005D4F60"/>
    <w:rsid w:val="005D50DE"/>
    <w:rsid w:val="005D57D4"/>
    <w:rsid w:val="005D5970"/>
    <w:rsid w:val="005D5DEA"/>
    <w:rsid w:val="005D6409"/>
    <w:rsid w:val="005D666E"/>
    <w:rsid w:val="005D6743"/>
    <w:rsid w:val="005D7710"/>
    <w:rsid w:val="005D7776"/>
    <w:rsid w:val="005D7DB3"/>
    <w:rsid w:val="005E018E"/>
    <w:rsid w:val="005E1432"/>
    <w:rsid w:val="005E14C2"/>
    <w:rsid w:val="005E1E0B"/>
    <w:rsid w:val="005E2047"/>
    <w:rsid w:val="005E2601"/>
    <w:rsid w:val="005E2D94"/>
    <w:rsid w:val="005E3316"/>
    <w:rsid w:val="005E3B74"/>
    <w:rsid w:val="005E4144"/>
    <w:rsid w:val="005E42BF"/>
    <w:rsid w:val="005E436C"/>
    <w:rsid w:val="005E4488"/>
    <w:rsid w:val="005E49E2"/>
    <w:rsid w:val="005E4A59"/>
    <w:rsid w:val="005E4C29"/>
    <w:rsid w:val="005E4C2B"/>
    <w:rsid w:val="005E4EAB"/>
    <w:rsid w:val="005E5135"/>
    <w:rsid w:val="005E5180"/>
    <w:rsid w:val="005E536A"/>
    <w:rsid w:val="005E547E"/>
    <w:rsid w:val="005E5A4D"/>
    <w:rsid w:val="005E5E57"/>
    <w:rsid w:val="005E5EBC"/>
    <w:rsid w:val="005E681B"/>
    <w:rsid w:val="005E68CD"/>
    <w:rsid w:val="005E6C23"/>
    <w:rsid w:val="005E6C56"/>
    <w:rsid w:val="005E6CB5"/>
    <w:rsid w:val="005E70E4"/>
    <w:rsid w:val="005E7256"/>
    <w:rsid w:val="005E7360"/>
    <w:rsid w:val="005E7CC9"/>
    <w:rsid w:val="005E7E3E"/>
    <w:rsid w:val="005F00E9"/>
    <w:rsid w:val="005F04CF"/>
    <w:rsid w:val="005F0614"/>
    <w:rsid w:val="005F081C"/>
    <w:rsid w:val="005F0AF5"/>
    <w:rsid w:val="005F0FA5"/>
    <w:rsid w:val="005F1019"/>
    <w:rsid w:val="005F120E"/>
    <w:rsid w:val="005F1A5E"/>
    <w:rsid w:val="005F1F61"/>
    <w:rsid w:val="005F2650"/>
    <w:rsid w:val="005F291C"/>
    <w:rsid w:val="005F2BAA"/>
    <w:rsid w:val="005F2D63"/>
    <w:rsid w:val="005F2DB0"/>
    <w:rsid w:val="005F3079"/>
    <w:rsid w:val="005F3270"/>
    <w:rsid w:val="005F33B1"/>
    <w:rsid w:val="005F38B4"/>
    <w:rsid w:val="005F3E5C"/>
    <w:rsid w:val="005F41EF"/>
    <w:rsid w:val="005F449F"/>
    <w:rsid w:val="005F44B1"/>
    <w:rsid w:val="005F4820"/>
    <w:rsid w:val="005F52BC"/>
    <w:rsid w:val="005F548F"/>
    <w:rsid w:val="005F5A11"/>
    <w:rsid w:val="005F5DF4"/>
    <w:rsid w:val="005F5DF7"/>
    <w:rsid w:val="005F62AB"/>
    <w:rsid w:val="005F6EA9"/>
    <w:rsid w:val="005F7148"/>
    <w:rsid w:val="005F728E"/>
    <w:rsid w:val="005F7758"/>
    <w:rsid w:val="00600082"/>
    <w:rsid w:val="00600210"/>
    <w:rsid w:val="00600249"/>
    <w:rsid w:val="006008F1"/>
    <w:rsid w:val="0060092C"/>
    <w:rsid w:val="006009E9"/>
    <w:rsid w:val="00600A06"/>
    <w:rsid w:val="00600DB5"/>
    <w:rsid w:val="00601084"/>
    <w:rsid w:val="006012B7"/>
    <w:rsid w:val="006013A1"/>
    <w:rsid w:val="0060167B"/>
    <w:rsid w:val="006018D0"/>
    <w:rsid w:val="00601BDB"/>
    <w:rsid w:val="0060207D"/>
    <w:rsid w:val="0060244E"/>
    <w:rsid w:val="00602B82"/>
    <w:rsid w:val="00602B8B"/>
    <w:rsid w:val="00602DE5"/>
    <w:rsid w:val="00602EE7"/>
    <w:rsid w:val="006033C0"/>
    <w:rsid w:val="006033E7"/>
    <w:rsid w:val="0060340D"/>
    <w:rsid w:val="006039DD"/>
    <w:rsid w:val="00603B87"/>
    <w:rsid w:val="00603D6C"/>
    <w:rsid w:val="00603F50"/>
    <w:rsid w:val="00603F9D"/>
    <w:rsid w:val="00604127"/>
    <w:rsid w:val="0060428B"/>
    <w:rsid w:val="006044CB"/>
    <w:rsid w:val="00604604"/>
    <w:rsid w:val="00604E44"/>
    <w:rsid w:val="00605077"/>
    <w:rsid w:val="00605293"/>
    <w:rsid w:val="00605633"/>
    <w:rsid w:val="00605B5B"/>
    <w:rsid w:val="00605F19"/>
    <w:rsid w:val="00605FF1"/>
    <w:rsid w:val="00606A83"/>
    <w:rsid w:val="00607298"/>
    <w:rsid w:val="00607372"/>
    <w:rsid w:val="00607554"/>
    <w:rsid w:val="0060759B"/>
    <w:rsid w:val="00607768"/>
    <w:rsid w:val="00607A27"/>
    <w:rsid w:val="00607ADF"/>
    <w:rsid w:val="00607C76"/>
    <w:rsid w:val="00607D09"/>
    <w:rsid w:val="00610556"/>
    <w:rsid w:val="006106BF"/>
    <w:rsid w:val="00610795"/>
    <w:rsid w:val="00610935"/>
    <w:rsid w:val="00610948"/>
    <w:rsid w:val="00611012"/>
    <w:rsid w:val="00611079"/>
    <w:rsid w:val="00611331"/>
    <w:rsid w:val="0061139C"/>
    <w:rsid w:val="00611415"/>
    <w:rsid w:val="00611581"/>
    <w:rsid w:val="00611763"/>
    <w:rsid w:val="006118D5"/>
    <w:rsid w:val="0061191C"/>
    <w:rsid w:val="00611F79"/>
    <w:rsid w:val="00612163"/>
    <w:rsid w:val="0061239C"/>
    <w:rsid w:val="00612B2F"/>
    <w:rsid w:val="00612CE9"/>
    <w:rsid w:val="006131EB"/>
    <w:rsid w:val="0061384C"/>
    <w:rsid w:val="00613EE9"/>
    <w:rsid w:val="006145BD"/>
    <w:rsid w:val="006150D5"/>
    <w:rsid w:val="006154C0"/>
    <w:rsid w:val="0061573F"/>
    <w:rsid w:val="00615B01"/>
    <w:rsid w:val="006163DB"/>
    <w:rsid w:val="00616BA8"/>
    <w:rsid w:val="00616EBD"/>
    <w:rsid w:val="0061720D"/>
    <w:rsid w:val="0061733C"/>
    <w:rsid w:val="006173CD"/>
    <w:rsid w:val="0061759B"/>
    <w:rsid w:val="00617996"/>
    <w:rsid w:val="00617BC3"/>
    <w:rsid w:val="00617CB0"/>
    <w:rsid w:val="00617D91"/>
    <w:rsid w:val="00620014"/>
    <w:rsid w:val="0062065D"/>
    <w:rsid w:val="006213D1"/>
    <w:rsid w:val="00621A77"/>
    <w:rsid w:val="00621AE7"/>
    <w:rsid w:val="00621CB1"/>
    <w:rsid w:val="00622190"/>
    <w:rsid w:val="00622228"/>
    <w:rsid w:val="00622465"/>
    <w:rsid w:val="0062289D"/>
    <w:rsid w:val="006229D0"/>
    <w:rsid w:val="00622CA6"/>
    <w:rsid w:val="00623445"/>
    <w:rsid w:val="0062387C"/>
    <w:rsid w:val="00623A26"/>
    <w:rsid w:val="00623F31"/>
    <w:rsid w:val="006247F7"/>
    <w:rsid w:val="00624969"/>
    <w:rsid w:val="00624A6E"/>
    <w:rsid w:val="00624B23"/>
    <w:rsid w:val="00625289"/>
    <w:rsid w:val="0062539A"/>
    <w:rsid w:val="006256C6"/>
    <w:rsid w:val="0062584B"/>
    <w:rsid w:val="00625BAD"/>
    <w:rsid w:val="00625C7C"/>
    <w:rsid w:val="00626061"/>
    <w:rsid w:val="00626577"/>
    <w:rsid w:val="006265A5"/>
    <w:rsid w:val="006269C7"/>
    <w:rsid w:val="00626B54"/>
    <w:rsid w:val="00626CD1"/>
    <w:rsid w:val="00626FB5"/>
    <w:rsid w:val="00627067"/>
    <w:rsid w:val="00627570"/>
    <w:rsid w:val="0062768A"/>
    <w:rsid w:val="00627D57"/>
    <w:rsid w:val="006306A2"/>
    <w:rsid w:val="00630818"/>
    <w:rsid w:val="00630BAF"/>
    <w:rsid w:val="00630BC9"/>
    <w:rsid w:val="00630C94"/>
    <w:rsid w:val="00630D99"/>
    <w:rsid w:val="006310F2"/>
    <w:rsid w:val="006310FE"/>
    <w:rsid w:val="0063176E"/>
    <w:rsid w:val="00631A42"/>
    <w:rsid w:val="00631B7B"/>
    <w:rsid w:val="00632087"/>
    <w:rsid w:val="00632137"/>
    <w:rsid w:val="006328BD"/>
    <w:rsid w:val="00632B64"/>
    <w:rsid w:val="00632CF7"/>
    <w:rsid w:val="00632F8E"/>
    <w:rsid w:val="006333D7"/>
    <w:rsid w:val="006334EC"/>
    <w:rsid w:val="00633919"/>
    <w:rsid w:val="0063396C"/>
    <w:rsid w:val="00634539"/>
    <w:rsid w:val="006349F2"/>
    <w:rsid w:val="00634C8E"/>
    <w:rsid w:val="00634D2C"/>
    <w:rsid w:val="00635232"/>
    <w:rsid w:val="00635464"/>
    <w:rsid w:val="00635ABB"/>
    <w:rsid w:val="00635F06"/>
    <w:rsid w:val="0063611B"/>
    <w:rsid w:val="0063645C"/>
    <w:rsid w:val="006365AB"/>
    <w:rsid w:val="00636665"/>
    <w:rsid w:val="0063667F"/>
    <w:rsid w:val="00636A4A"/>
    <w:rsid w:val="00636AC7"/>
    <w:rsid w:val="00636F38"/>
    <w:rsid w:val="006372CD"/>
    <w:rsid w:val="006373B2"/>
    <w:rsid w:val="00637521"/>
    <w:rsid w:val="00637B7D"/>
    <w:rsid w:val="00637E57"/>
    <w:rsid w:val="0064057F"/>
    <w:rsid w:val="00640AC8"/>
    <w:rsid w:val="00640C02"/>
    <w:rsid w:val="00640E45"/>
    <w:rsid w:val="00640FA6"/>
    <w:rsid w:val="00640FEE"/>
    <w:rsid w:val="006410DE"/>
    <w:rsid w:val="0064131B"/>
    <w:rsid w:val="00641486"/>
    <w:rsid w:val="00641546"/>
    <w:rsid w:val="006417A3"/>
    <w:rsid w:val="006423D6"/>
    <w:rsid w:val="00642EFE"/>
    <w:rsid w:val="0064320E"/>
    <w:rsid w:val="00643BFB"/>
    <w:rsid w:val="00644683"/>
    <w:rsid w:val="00644B98"/>
    <w:rsid w:val="00644BF3"/>
    <w:rsid w:val="006450FB"/>
    <w:rsid w:val="006452EB"/>
    <w:rsid w:val="006453F1"/>
    <w:rsid w:val="00645695"/>
    <w:rsid w:val="006459C0"/>
    <w:rsid w:val="00645E73"/>
    <w:rsid w:val="00645EF6"/>
    <w:rsid w:val="00645F85"/>
    <w:rsid w:val="006461CF"/>
    <w:rsid w:val="006463E3"/>
    <w:rsid w:val="006464E2"/>
    <w:rsid w:val="0064662A"/>
    <w:rsid w:val="00646C1B"/>
    <w:rsid w:val="00647970"/>
    <w:rsid w:val="0064798D"/>
    <w:rsid w:val="00647B31"/>
    <w:rsid w:val="00647FA7"/>
    <w:rsid w:val="00647FE6"/>
    <w:rsid w:val="00650B00"/>
    <w:rsid w:val="00650E5B"/>
    <w:rsid w:val="0065127E"/>
    <w:rsid w:val="0065163F"/>
    <w:rsid w:val="006517D2"/>
    <w:rsid w:val="006518CC"/>
    <w:rsid w:val="00651F10"/>
    <w:rsid w:val="006522ED"/>
    <w:rsid w:val="00653290"/>
    <w:rsid w:val="006535C7"/>
    <w:rsid w:val="006537AC"/>
    <w:rsid w:val="00653870"/>
    <w:rsid w:val="006545E6"/>
    <w:rsid w:val="00654692"/>
    <w:rsid w:val="00654702"/>
    <w:rsid w:val="00654762"/>
    <w:rsid w:val="00654C03"/>
    <w:rsid w:val="0065509C"/>
    <w:rsid w:val="00655520"/>
    <w:rsid w:val="006556EC"/>
    <w:rsid w:val="00655A14"/>
    <w:rsid w:val="00655AD8"/>
    <w:rsid w:val="00655EBD"/>
    <w:rsid w:val="0065603F"/>
    <w:rsid w:val="0065637A"/>
    <w:rsid w:val="006565C5"/>
    <w:rsid w:val="00656AD8"/>
    <w:rsid w:val="00656D05"/>
    <w:rsid w:val="00656D27"/>
    <w:rsid w:val="0065739D"/>
    <w:rsid w:val="0065748A"/>
    <w:rsid w:val="0065748C"/>
    <w:rsid w:val="00657912"/>
    <w:rsid w:val="00660766"/>
    <w:rsid w:val="006607EE"/>
    <w:rsid w:val="00660A03"/>
    <w:rsid w:val="00660C60"/>
    <w:rsid w:val="0066116D"/>
    <w:rsid w:val="00661975"/>
    <w:rsid w:val="00661F57"/>
    <w:rsid w:val="00661F95"/>
    <w:rsid w:val="0066211B"/>
    <w:rsid w:val="0066255D"/>
    <w:rsid w:val="00662575"/>
    <w:rsid w:val="00662A07"/>
    <w:rsid w:val="00662A2C"/>
    <w:rsid w:val="00662DCE"/>
    <w:rsid w:val="00662FA5"/>
    <w:rsid w:val="006632C8"/>
    <w:rsid w:val="006635B6"/>
    <w:rsid w:val="006639B9"/>
    <w:rsid w:val="00663C35"/>
    <w:rsid w:val="00663CF5"/>
    <w:rsid w:val="00664011"/>
    <w:rsid w:val="00664079"/>
    <w:rsid w:val="0066427B"/>
    <w:rsid w:val="0066475D"/>
    <w:rsid w:val="006648B4"/>
    <w:rsid w:val="00664C02"/>
    <w:rsid w:val="00664E1E"/>
    <w:rsid w:val="00664E7B"/>
    <w:rsid w:val="0066511B"/>
    <w:rsid w:val="0066517A"/>
    <w:rsid w:val="00665341"/>
    <w:rsid w:val="006653FA"/>
    <w:rsid w:val="006654B5"/>
    <w:rsid w:val="00665591"/>
    <w:rsid w:val="00665936"/>
    <w:rsid w:val="00665DA9"/>
    <w:rsid w:val="00666426"/>
    <w:rsid w:val="0066669C"/>
    <w:rsid w:val="00666813"/>
    <w:rsid w:val="00666996"/>
    <w:rsid w:val="00666A2E"/>
    <w:rsid w:val="00666F88"/>
    <w:rsid w:val="00667220"/>
    <w:rsid w:val="00667354"/>
    <w:rsid w:val="00667522"/>
    <w:rsid w:val="006675BD"/>
    <w:rsid w:val="0066781E"/>
    <w:rsid w:val="00667D74"/>
    <w:rsid w:val="006701A4"/>
    <w:rsid w:val="006704F9"/>
    <w:rsid w:val="00670634"/>
    <w:rsid w:val="00670BDC"/>
    <w:rsid w:val="00670DFD"/>
    <w:rsid w:val="006710FD"/>
    <w:rsid w:val="0067121C"/>
    <w:rsid w:val="006713E5"/>
    <w:rsid w:val="006716D5"/>
    <w:rsid w:val="00671A72"/>
    <w:rsid w:val="00671ACF"/>
    <w:rsid w:val="00671F9B"/>
    <w:rsid w:val="00672691"/>
    <w:rsid w:val="006728C0"/>
    <w:rsid w:val="00672D40"/>
    <w:rsid w:val="00672FE1"/>
    <w:rsid w:val="00673156"/>
    <w:rsid w:val="00673237"/>
    <w:rsid w:val="0067336F"/>
    <w:rsid w:val="00673BCD"/>
    <w:rsid w:val="00674402"/>
    <w:rsid w:val="00674560"/>
    <w:rsid w:val="0067472B"/>
    <w:rsid w:val="00674F62"/>
    <w:rsid w:val="00675190"/>
    <w:rsid w:val="00675210"/>
    <w:rsid w:val="00675682"/>
    <w:rsid w:val="00675876"/>
    <w:rsid w:val="00675973"/>
    <w:rsid w:val="00675F98"/>
    <w:rsid w:val="0067643D"/>
    <w:rsid w:val="006766DB"/>
    <w:rsid w:val="006767DF"/>
    <w:rsid w:val="00677262"/>
    <w:rsid w:val="006774E6"/>
    <w:rsid w:val="00677994"/>
    <w:rsid w:val="006779D0"/>
    <w:rsid w:val="00677B75"/>
    <w:rsid w:val="00677D54"/>
    <w:rsid w:val="00677DAD"/>
    <w:rsid w:val="00680133"/>
    <w:rsid w:val="0068013C"/>
    <w:rsid w:val="00680143"/>
    <w:rsid w:val="0068041A"/>
    <w:rsid w:val="0068074A"/>
    <w:rsid w:val="00680882"/>
    <w:rsid w:val="0068120C"/>
    <w:rsid w:val="00681351"/>
    <w:rsid w:val="006815DC"/>
    <w:rsid w:val="00681902"/>
    <w:rsid w:val="006825C4"/>
    <w:rsid w:val="006829E4"/>
    <w:rsid w:val="00682A22"/>
    <w:rsid w:val="00682BBF"/>
    <w:rsid w:val="00683621"/>
    <w:rsid w:val="006837A6"/>
    <w:rsid w:val="0068386E"/>
    <w:rsid w:val="00683B67"/>
    <w:rsid w:val="00684214"/>
    <w:rsid w:val="0068489F"/>
    <w:rsid w:val="006848B0"/>
    <w:rsid w:val="00685073"/>
    <w:rsid w:val="0068568E"/>
    <w:rsid w:val="0068597B"/>
    <w:rsid w:val="00685A46"/>
    <w:rsid w:val="00685D6E"/>
    <w:rsid w:val="006860B0"/>
    <w:rsid w:val="006863C7"/>
    <w:rsid w:val="00686468"/>
    <w:rsid w:val="006866A4"/>
    <w:rsid w:val="00686D22"/>
    <w:rsid w:val="00686EAD"/>
    <w:rsid w:val="00686F80"/>
    <w:rsid w:val="00686FD8"/>
    <w:rsid w:val="00686FE7"/>
    <w:rsid w:val="00687500"/>
    <w:rsid w:val="0068769B"/>
    <w:rsid w:val="00687720"/>
    <w:rsid w:val="0068772C"/>
    <w:rsid w:val="00687E0E"/>
    <w:rsid w:val="00687F62"/>
    <w:rsid w:val="006903B9"/>
    <w:rsid w:val="006905E7"/>
    <w:rsid w:val="0069082E"/>
    <w:rsid w:val="00690C56"/>
    <w:rsid w:val="006913FB"/>
    <w:rsid w:val="00691473"/>
    <w:rsid w:val="0069156D"/>
    <w:rsid w:val="006917D2"/>
    <w:rsid w:val="0069197C"/>
    <w:rsid w:val="00691C88"/>
    <w:rsid w:val="006925BA"/>
    <w:rsid w:val="006928F0"/>
    <w:rsid w:val="00692AD2"/>
    <w:rsid w:val="00692BE1"/>
    <w:rsid w:val="00693138"/>
    <w:rsid w:val="006932D8"/>
    <w:rsid w:val="00693548"/>
    <w:rsid w:val="00693734"/>
    <w:rsid w:val="00693D24"/>
    <w:rsid w:val="00693F00"/>
    <w:rsid w:val="006940B4"/>
    <w:rsid w:val="00694546"/>
    <w:rsid w:val="006951C5"/>
    <w:rsid w:val="006954D6"/>
    <w:rsid w:val="0069571E"/>
    <w:rsid w:val="00695914"/>
    <w:rsid w:val="00695E03"/>
    <w:rsid w:val="00695E57"/>
    <w:rsid w:val="00696122"/>
    <w:rsid w:val="00696127"/>
    <w:rsid w:val="006963C6"/>
    <w:rsid w:val="0069678D"/>
    <w:rsid w:val="00696988"/>
    <w:rsid w:val="00696B36"/>
    <w:rsid w:val="00696C1D"/>
    <w:rsid w:val="006975BB"/>
    <w:rsid w:val="006977B9"/>
    <w:rsid w:val="00697974"/>
    <w:rsid w:val="00697AF2"/>
    <w:rsid w:val="00697DFE"/>
    <w:rsid w:val="006A0146"/>
    <w:rsid w:val="006A0377"/>
    <w:rsid w:val="006A0A76"/>
    <w:rsid w:val="006A0C2E"/>
    <w:rsid w:val="006A15A8"/>
    <w:rsid w:val="006A183C"/>
    <w:rsid w:val="006A188F"/>
    <w:rsid w:val="006A1941"/>
    <w:rsid w:val="006A1B70"/>
    <w:rsid w:val="006A1C33"/>
    <w:rsid w:val="006A1ECD"/>
    <w:rsid w:val="006A1F29"/>
    <w:rsid w:val="006A202F"/>
    <w:rsid w:val="006A276A"/>
    <w:rsid w:val="006A2AE7"/>
    <w:rsid w:val="006A31CF"/>
    <w:rsid w:val="006A3A04"/>
    <w:rsid w:val="006A3A17"/>
    <w:rsid w:val="006A3B4C"/>
    <w:rsid w:val="006A3E51"/>
    <w:rsid w:val="006A3FEF"/>
    <w:rsid w:val="006A40DC"/>
    <w:rsid w:val="006A4782"/>
    <w:rsid w:val="006A48A6"/>
    <w:rsid w:val="006A4A02"/>
    <w:rsid w:val="006A4F30"/>
    <w:rsid w:val="006A5606"/>
    <w:rsid w:val="006A5643"/>
    <w:rsid w:val="006A5914"/>
    <w:rsid w:val="006A5CC2"/>
    <w:rsid w:val="006A6397"/>
    <w:rsid w:val="006A66CB"/>
    <w:rsid w:val="006A67A0"/>
    <w:rsid w:val="006A6FC8"/>
    <w:rsid w:val="006A75DB"/>
    <w:rsid w:val="006A76AF"/>
    <w:rsid w:val="006A790C"/>
    <w:rsid w:val="006A7976"/>
    <w:rsid w:val="006A79D7"/>
    <w:rsid w:val="006A7B4C"/>
    <w:rsid w:val="006A7C66"/>
    <w:rsid w:val="006A7EE1"/>
    <w:rsid w:val="006A7F43"/>
    <w:rsid w:val="006B026A"/>
    <w:rsid w:val="006B0A96"/>
    <w:rsid w:val="006B0D03"/>
    <w:rsid w:val="006B0FDA"/>
    <w:rsid w:val="006B13BC"/>
    <w:rsid w:val="006B1730"/>
    <w:rsid w:val="006B18FA"/>
    <w:rsid w:val="006B190A"/>
    <w:rsid w:val="006B1AC7"/>
    <w:rsid w:val="006B1B9A"/>
    <w:rsid w:val="006B1CAC"/>
    <w:rsid w:val="006B2714"/>
    <w:rsid w:val="006B2732"/>
    <w:rsid w:val="006B28A6"/>
    <w:rsid w:val="006B2AA6"/>
    <w:rsid w:val="006B2B64"/>
    <w:rsid w:val="006B2E1B"/>
    <w:rsid w:val="006B2E9B"/>
    <w:rsid w:val="006B3168"/>
    <w:rsid w:val="006B349C"/>
    <w:rsid w:val="006B3675"/>
    <w:rsid w:val="006B37E0"/>
    <w:rsid w:val="006B3F70"/>
    <w:rsid w:val="006B41ED"/>
    <w:rsid w:val="006B4322"/>
    <w:rsid w:val="006B4E67"/>
    <w:rsid w:val="006B5063"/>
    <w:rsid w:val="006B5325"/>
    <w:rsid w:val="006B57A3"/>
    <w:rsid w:val="006B5CD2"/>
    <w:rsid w:val="006B603A"/>
    <w:rsid w:val="006B613C"/>
    <w:rsid w:val="006B622A"/>
    <w:rsid w:val="006B6449"/>
    <w:rsid w:val="006B6682"/>
    <w:rsid w:val="006B66A5"/>
    <w:rsid w:val="006B7172"/>
    <w:rsid w:val="006B7436"/>
    <w:rsid w:val="006B75CB"/>
    <w:rsid w:val="006B7B24"/>
    <w:rsid w:val="006B7B45"/>
    <w:rsid w:val="006B7CA3"/>
    <w:rsid w:val="006B7E7D"/>
    <w:rsid w:val="006B7F92"/>
    <w:rsid w:val="006C0359"/>
    <w:rsid w:val="006C038E"/>
    <w:rsid w:val="006C058D"/>
    <w:rsid w:val="006C08FD"/>
    <w:rsid w:val="006C0ADD"/>
    <w:rsid w:val="006C0D0D"/>
    <w:rsid w:val="006C1DF9"/>
    <w:rsid w:val="006C2044"/>
    <w:rsid w:val="006C2378"/>
    <w:rsid w:val="006C255F"/>
    <w:rsid w:val="006C25FA"/>
    <w:rsid w:val="006C2600"/>
    <w:rsid w:val="006C281F"/>
    <w:rsid w:val="006C28B5"/>
    <w:rsid w:val="006C2B8F"/>
    <w:rsid w:val="006C2BDD"/>
    <w:rsid w:val="006C306A"/>
    <w:rsid w:val="006C333C"/>
    <w:rsid w:val="006C3BAD"/>
    <w:rsid w:val="006C3CF2"/>
    <w:rsid w:val="006C4209"/>
    <w:rsid w:val="006C4405"/>
    <w:rsid w:val="006C450A"/>
    <w:rsid w:val="006C45F3"/>
    <w:rsid w:val="006C460D"/>
    <w:rsid w:val="006C4633"/>
    <w:rsid w:val="006C4A89"/>
    <w:rsid w:val="006C5EF4"/>
    <w:rsid w:val="006C6464"/>
    <w:rsid w:val="006C667D"/>
    <w:rsid w:val="006C6C47"/>
    <w:rsid w:val="006C6EC0"/>
    <w:rsid w:val="006C755D"/>
    <w:rsid w:val="006C7934"/>
    <w:rsid w:val="006C7B1F"/>
    <w:rsid w:val="006C7C3D"/>
    <w:rsid w:val="006C7D1E"/>
    <w:rsid w:val="006D01E1"/>
    <w:rsid w:val="006D03EB"/>
    <w:rsid w:val="006D05C5"/>
    <w:rsid w:val="006D0C27"/>
    <w:rsid w:val="006D115A"/>
    <w:rsid w:val="006D1173"/>
    <w:rsid w:val="006D14D2"/>
    <w:rsid w:val="006D1DB1"/>
    <w:rsid w:val="006D2030"/>
    <w:rsid w:val="006D21AA"/>
    <w:rsid w:val="006D2B4F"/>
    <w:rsid w:val="006D2CE6"/>
    <w:rsid w:val="006D2DBA"/>
    <w:rsid w:val="006D2E0E"/>
    <w:rsid w:val="006D2F0D"/>
    <w:rsid w:val="006D2FFD"/>
    <w:rsid w:val="006D394A"/>
    <w:rsid w:val="006D3995"/>
    <w:rsid w:val="006D3E11"/>
    <w:rsid w:val="006D3F08"/>
    <w:rsid w:val="006D42D1"/>
    <w:rsid w:val="006D4B79"/>
    <w:rsid w:val="006D4C89"/>
    <w:rsid w:val="006D505F"/>
    <w:rsid w:val="006D53AB"/>
    <w:rsid w:val="006D571C"/>
    <w:rsid w:val="006D5885"/>
    <w:rsid w:val="006D63DA"/>
    <w:rsid w:val="006D73BE"/>
    <w:rsid w:val="006D74E9"/>
    <w:rsid w:val="006D76F0"/>
    <w:rsid w:val="006D7889"/>
    <w:rsid w:val="006E00BC"/>
    <w:rsid w:val="006E01B5"/>
    <w:rsid w:val="006E0307"/>
    <w:rsid w:val="006E0598"/>
    <w:rsid w:val="006E05A4"/>
    <w:rsid w:val="006E06F6"/>
    <w:rsid w:val="006E0756"/>
    <w:rsid w:val="006E0A83"/>
    <w:rsid w:val="006E0E68"/>
    <w:rsid w:val="006E1760"/>
    <w:rsid w:val="006E1CE9"/>
    <w:rsid w:val="006E22F2"/>
    <w:rsid w:val="006E24FD"/>
    <w:rsid w:val="006E259A"/>
    <w:rsid w:val="006E28B6"/>
    <w:rsid w:val="006E2A99"/>
    <w:rsid w:val="006E2DB2"/>
    <w:rsid w:val="006E310E"/>
    <w:rsid w:val="006E33E4"/>
    <w:rsid w:val="006E3670"/>
    <w:rsid w:val="006E3869"/>
    <w:rsid w:val="006E3B9F"/>
    <w:rsid w:val="006E4189"/>
    <w:rsid w:val="006E4D3A"/>
    <w:rsid w:val="006E50E2"/>
    <w:rsid w:val="006E52D7"/>
    <w:rsid w:val="006E533D"/>
    <w:rsid w:val="006E5470"/>
    <w:rsid w:val="006E5F34"/>
    <w:rsid w:val="006E6878"/>
    <w:rsid w:val="006E6B06"/>
    <w:rsid w:val="006E6B1C"/>
    <w:rsid w:val="006E6B7A"/>
    <w:rsid w:val="006E6F65"/>
    <w:rsid w:val="006E7212"/>
    <w:rsid w:val="006E7666"/>
    <w:rsid w:val="006E767F"/>
    <w:rsid w:val="006E7A27"/>
    <w:rsid w:val="006E7B00"/>
    <w:rsid w:val="006E7DC0"/>
    <w:rsid w:val="006F0709"/>
    <w:rsid w:val="006F0CA1"/>
    <w:rsid w:val="006F14E5"/>
    <w:rsid w:val="006F157C"/>
    <w:rsid w:val="006F1AC2"/>
    <w:rsid w:val="006F1BBB"/>
    <w:rsid w:val="006F1C1F"/>
    <w:rsid w:val="006F1D4A"/>
    <w:rsid w:val="006F2563"/>
    <w:rsid w:val="006F2635"/>
    <w:rsid w:val="006F26AA"/>
    <w:rsid w:val="006F29FE"/>
    <w:rsid w:val="006F3368"/>
    <w:rsid w:val="006F33DB"/>
    <w:rsid w:val="006F367C"/>
    <w:rsid w:val="006F3789"/>
    <w:rsid w:val="006F37FA"/>
    <w:rsid w:val="006F3EC2"/>
    <w:rsid w:val="006F3F39"/>
    <w:rsid w:val="006F4157"/>
    <w:rsid w:val="006F4E84"/>
    <w:rsid w:val="006F4EE5"/>
    <w:rsid w:val="006F5739"/>
    <w:rsid w:val="006F5C27"/>
    <w:rsid w:val="006F622F"/>
    <w:rsid w:val="006F6420"/>
    <w:rsid w:val="006F65A0"/>
    <w:rsid w:val="006F6796"/>
    <w:rsid w:val="006F70CF"/>
    <w:rsid w:val="006F7260"/>
    <w:rsid w:val="006F7A55"/>
    <w:rsid w:val="007000ED"/>
    <w:rsid w:val="007003E9"/>
    <w:rsid w:val="007006FC"/>
    <w:rsid w:val="00700765"/>
    <w:rsid w:val="00700CDD"/>
    <w:rsid w:val="00700F2A"/>
    <w:rsid w:val="00701213"/>
    <w:rsid w:val="007019D4"/>
    <w:rsid w:val="00701BB8"/>
    <w:rsid w:val="00701F06"/>
    <w:rsid w:val="00702239"/>
    <w:rsid w:val="00702A86"/>
    <w:rsid w:val="00702B9E"/>
    <w:rsid w:val="00703188"/>
    <w:rsid w:val="007031BB"/>
    <w:rsid w:val="007032FE"/>
    <w:rsid w:val="00703470"/>
    <w:rsid w:val="00703471"/>
    <w:rsid w:val="00703E3F"/>
    <w:rsid w:val="0070426B"/>
    <w:rsid w:val="007046A4"/>
    <w:rsid w:val="0070485A"/>
    <w:rsid w:val="00704D0E"/>
    <w:rsid w:val="00704E80"/>
    <w:rsid w:val="00704FFE"/>
    <w:rsid w:val="00705282"/>
    <w:rsid w:val="007052DB"/>
    <w:rsid w:val="007053BA"/>
    <w:rsid w:val="007059E2"/>
    <w:rsid w:val="00705A60"/>
    <w:rsid w:val="00705B4C"/>
    <w:rsid w:val="00705B56"/>
    <w:rsid w:val="00705B88"/>
    <w:rsid w:val="00705F16"/>
    <w:rsid w:val="00705F7B"/>
    <w:rsid w:val="00705FA6"/>
    <w:rsid w:val="007061AB"/>
    <w:rsid w:val="00706493"/>
    <w:rsid w:val="00706738"/>
    <w:rsid w:val="0070699A"/>
    <w:rsid w:val="00706D7C"/>
    <w:rsid w:val="00707213"/>
    <w:rsid w:val="00707240"/>
    <w:rsid w:val="007074B0"/>
    <w:rsid w:val="007074CB"/>
    <w:rsid w:val="00707627"/>
    <w:rsid w:val="00707BCA"/>
    <w:rsid w:val="00707E0B"/>
    <w:rsid w:val="007100A0"/>
    <w:rsid w:val="0071022D"/>
    <w:rsid w:val="007105E0"/>
    <w:rsid w:val="00710B5A"/>
    <w:rsid w:val="00710BCD"/>
    <w:rsid w:val="00710E4F"/>
    <w:rsid w:val="00711115"/>
    <w:rsid w:val="0071122C"/>
    <w:rsid w:val="007113C0"/>
    <w:rsid w:val="007115E8"/>
    <w:rsid w:val="00711AF9"/>
    <w:rsid w:val="00711D63"/>
    <w:rsid w:val="00711DE1"/>
    <w:rsid w:val="00711FB4"/>
    <w:rsid w:val="007125CC"/>
    <w:rsid w:val="007128E0"/>
    <w:rsid w:val="00712B04"/>
    <w:rsid w:val="00712B8A"/>
    <w:rsid w:val="00712D58"/>
    <w:rsid w:val="00712EB4"/>
    <w:rsid w:val="00713323"/>
    <w:rsid w:val="007137E2"/>
    <w:rsid w:val="00713A28"/>
    <w:rsid w:val="00713CF1"/>
    <w:rsid w:val="00714497"/>
    <w:rsid w:val="00714A63"/>
    <w:rsid w:val="00714A69"/>
    <w:rsid w:val="00714C72"/>
    <w:rsid w:val="00714EB8"/>
    <w:rsid w:val="00715741"/>
    <w:rsid w:val="0071585B"/>
    <w:rsid w:val="00715988"/>
    <w:rsid w:val="00715CF4"/>
    <w:rsid w:val="00715F74"/>
    <w:rsid w:val="00716048"/>
    <w:rsid w:val="007163E0"/>
    <w:rsid w:val="00716921"/>
    <w:rsid w:val="0071711E"/>
    <w:rsid w:val="00717252"/>
    <w:rsid w:val="007172DB"/>
    <w:rsid w:val="007177CE"/>
    <w:rsid w:val="007179A1"/>
    <w:rsid w:val="00717CC8"/>
    <w:rsid w:val="00717E57"/>
    <w:rsid w:val="00720034"/>
    <w:rsid w:val="0072012E"/>
    <w:rsid w:val="00720268"/>
    <w:rsid w:val="0072032D"/>
    <w:rsid w:val="007209E0"/>
    <w:rsid w:val="0072113A"/>
    <w:rsid w:val="00721178"/>
    <w:rsid w:val="00721334"/>
    <w:rsid w:val="0072179E"/>
    <w:rsid w:val="00721CBA"/>
    <w:rsid w:val="00721D58"/>
    <w:rsid w:val="00721DB5"/>
    <w:rsid w:val="00721DE5"/>
    <w:rsid w:val="0072244F"/>
    <w:rsid w:val="007229A6"/>
    <w:rsid w:val="00722BFB"/>
    <w:rsid w:val="0072306A"/>
    <w:rsid w:val="007231C2"/>
    <w:rsid w:val="0072382E"/>
    <w:rsid w:val="00723C25"/>
    <w:rsid w:val="007241B3"/>
    <w:rsid w:val="007242A9"/>
    <w:rsid w:val="00724828"/>
    <w:rsid w:val="00724867"/>
    <w:rsid w:val="00724B77"/>
    <w:rsid w:val="00724C23"/>
    <w:rsid w:val="007257FA"/>
    <w:rsid w:val="00725851"/>
    <w:rsid w:val="00725853"/>
    <w:rsid w:val="00725967"/>
    <w:rsid w:val="00725C7C"/>
    <w:rsid w:val="00725EE3"/>
    <w:rsid w:val="0072601F"/>
    <w:rsid w:val="00726DA3"/>
    <w:rsid w:val="00726E9E"/>
    <w:rsid w:val="007273BD"/>
    <w:rsid w:val="0072744F"/>
    <w:rsid w:val="007276B4"/>
    <w:rsid w:val="00727AC3"/>
    <w:rsid w:val="00727E39"/>
    <w:rsid w:val="007300DF"/>
    <w:rsid w:val="007305FC"/>
    <w:rsid w:val="00730657"/>
    <w:rsid w:val="00730CF3"/>
    <w:rsid w:val="00731388"/>
    <w:rsid w:val="0073157C"/>
    <w:rsid w:val="0073172D"/>
    <w:rsid w:val="0073195A"/>
    <w:rsid w:val="00731B32"/>
    <w:rsid w:val="00732043"/>
    <w:rsid w:val="0073251B"/>
    <w:rsid w:val="00732619"/>
    <w:rsid w:val="00732DDE"/>
    <w:rsid w:val="00732F42"/>
    <w:rsid w:val="0073339C"/>
    <w:rsid w:val="0073375A"/>
    <w:rsid w:val="00733A1D"/>
    <w:rsid w:val="00733DA4"/>
    <w:rsid w:val="00734570"/>
    <w:rsid w:val="007346C3"/>
    <w:rsid w:val="0073497A"/>
    <w:rsid w:val="00734B11"/>
    <w:rsid w:val="00734E8B"/>
    <w:rsid w:val="007351EE"/>
    <w:rsid w:val="00735652"/>
    <w:rsid w:val="00735AED"/>
    <w:rsid w:val="00735BCC"/>
    <w:rsid w:val="00735C54"/>
    <w:rsid w:val="00735F46"/>
    <w:rsid w:val="00735FB0"/>
    <w:rsid w:val="007362E7"/>
    <w:rsid w:val="00736821"/>
    <w:rsid w:val="00736828"/>
    <w:rsid w:val="00736FBE"/>
    <w:rsid w:val="007374E2"/>
    <w:rsid w:val="00737659"/>
    <w:rsid w:val="00737716"/>
    <w:rsid w:val="00740292"/>
    <w:rsid w:val="0074032D"/>
    <w:rsid w:val="00740D5A"/>
    <w:rsid w:val="007414F6"/>
    <w:rsid w:val="007415F9"/>
    <w:rsid w:val="0074162F"/>
    <w:rsid w:val="00741818"/>
    <w:rsid w:val="00741B03"/>
    <w:rsid w:val="00741B15"/>
    <w:rsid w:val="0074227E"/>
    <w:rsid w:val="0074250E"/>
    <w:rsid w:val="00742764"/>
    <w:rsid w:val="00742A3E"/>
    <w:rsid w:val="0074321D"/>
    <w:rsid w:val="007436D9"/>
    <w:rsid w:val="00743817"/>
    <w:rsid w:val="00743CD3"/>
    <w:rsid w:val="00743E25"/>
    <w:rsid w:val="007448C8"/>
    <w:rsid w:val="00744BC4"/>
    <w:rsid w:val="00744EDC"/>
    <w:rsid w:val="00744F3B"/>
    <w:rsid w:val="0074502E"/>
    <w:rsid w:val="00745056"/>
    <w:rsid w:val="007451AD"/>
    <w:rsid w:val="00745C9C"/>
    <w:rsid w:val="00745E64"/>
    <w:rsid w:val="0074651E"/>
    <w:rsid w:val="007467E2"/>
    <w:rsid w:val="00746A60"/>
    <w:rsid w:val="007471F4"/>
    <w:rsid w:val="007471FE"/>
    <w:rsid w:val="007473F4"/>
    <w:rsid w:val="00747504"/>
    <w:rsid w:val="007476AF"/>
    <w:rsid w:val="00747924"/>
    <w:rsid w:val="00747AC8"/>
    <w:rsid w:val="00747C64"/>
    <w:rsid w:val="0075034D"/>
    <w:rsid w:val="00750520"/>
    <w:rsid w:val="007505E9"/>
    <w:rsid w:val="00750B00"/>
    <w:rsid w:val="00750C94"/>
    <w:rsid w:val="00750CC3"/>
    <w:rsid w:val="00750DBC"/>
    <w:rsid w:val="007510D7"/>
    <w:rsid w:val="00751B2C"/>
    <w:rsid w:val="0075230D"/>
    <w:rsid w:val="00752523"/>
    <w:rsid w:val="00752A14"/>
    <w:rsid w:val="00752A43"/>
    <w:rsid w:val="00753046"/>
    <w:rsid w:val="007531B1"/>
    <w:rsid w:val="0075325E"/>
    <w:rsid w:val="00753435"/>
    <w:rsid w:val="00753716"/>
    <w:rsid w:val="0075375F"/>
    <w:rsid w:val="00753CFC"/>
    <w:rsid w:val="00753DF7"/>
    <w:rsid w:val="00754072"/>
    <w:rsid w:val="00754487"/>
    <w:rsid w:val="007546A4"/>
    <w:rsid w:val="00754B60"/>
    <w:rsid w:val="00754D90"/>
    <w:rsid w:val="00755487"/>
    <w:rsid w:val="00755656"/>
    <w:rsid w:val="007559D7"/>
    <w:rsid w:val="00755BAA"/>
    <w:rsid w:val="00755BEE"/>
    <w:rsid w:val="00755C55"/>
    <w:rsid w:val="00755D20"/>
    <w:rsid w:val="0075662B"/>
    <w:rsid w:val="00756DDA"/>
    <w:rsid w:val="0075736F"/>
    <w:rsid w:val="007574F6"/>
    <w:rsid w:val="007575FD"/>
    <w:rsid w:val="00757796"/>
    <w:rsid w:val="00757973"/>
    <w:rsid w:val="00757C79"/>
    <w:rsid w:val="00757CE8"/>
    <w:rsid w:val="0076041C"/>
    <w:rsid w:val="00760628"/>
    <w:rsid w:val="00760A1A"/>
    <w:rsid w:val="007611F1"/>
    <w:rsid w:val="00761C90"/>
    <w:rsid w:val="00761FAF"/>
    <w:rsid w:val="00762215"/>
    <w:rsid w:val="00762372"/>
    <w:rsid w:val="00763235"/>
    <w:rsid w:val="0076349A"/>
    <w:rsid w:val="0076357D"/>
    <w:rsid w:val="00763760"/>
    <w:rsid w:val="00763AA1"/>
    <w:rsid w:val="00763D7F"/>
    <w:rsid w:val="00763DA7"/>
    <w:rsid w:val="0076435E"/>
    <w:rsid w:val="007645A0"/>
    <w:rsid w:val="00764C3D"/>
    <w:rsid w:val="00764FA1"/>
    <w:rsid w:val="007653BF"/>
    <w:rsid w:val="00765407"/>
    <w:rsid w:val="0076565E"/>
    <w:rsid w:val="0076612C"/>
    <w:rsid w:val="007664AD"/>
    <w:rsid w:val="007665EE"/>
    <w:rsid w:val="00766782"/>
    <w:rsid w:val="0076697C"/>
    <w:rsid w:val="00766D74"/>
    <w:rsid w:val="0076702F"/>
    <w:rsid w:val="00767430"/>
    <w:rsid w:val="00767A44"/>
    <w:rsid w:val="00767A76"/>
    <w:rsid w:val="00767EA2"/>
    <w:rsid w:val="007702E8"/>
    <w:rsid w:val="00770369"/>
    <w:rsid w:val="007707BB"/>
    <w:rsid w:val="00770843"/>
    <w:rsid w:val="007716F6"/>
    <w:rsid w:val="00771AEA"/>
    <w:rsid w:val="00771D9D"/>
    <w:rsid w:val="00771DD7"/>
    <w:rsid w:val="00772634"/>
    <w:rsid w:val="0077274B"/>
    <w:rsid w:val="007733AC"/>
    <w:rsid w:val="00773A85"/>
    <w:rsid w:val="00773ACC"/>
    <w:rsid w:val="00773B70"/>
    <w:rsid w:val="00773E84"/>
    <w:rsid w:val="00774217"/>
    <w:rsid w:val="00774439"/>
    <w:rsid w:val="00774520"/>
    <w:rsid w:val="007747D0"/>
    <w:rsid w:val="00774802"/>
    <w:rsid w:val="00774E34"/>
    <w:rsid w:val="00774EC1"/>
    <w:rsid w:val="007752CD"/>
    <w:rsid w:val="00775332"/>
    <w:rsid w:val="00775D85"/>
    <w:rsid w:val="00775DBF"/>
    <w:rsid w:val="007760B2"/>
    <w:rsid w:val="0077681C"/>
    <w:rsid w:val="0077710E"/>
    <w:rsid w:val="007773F7"/>
    <w:rsid w:val="00777780"/>
    <w:rsid w:val="007777C9"/>
    <w:rsid w:val="007803E6"/>
    <w:rsid w:val="00780555"/>
    <w:rsid w:val="00780771"/>
    <w:rsid w:val="00780AFA"/>
    <w:rsid w:val="00780BAA"/>
    <w:rsid w:val="0078137A"/>
    <w:rsid w:val="00781A43"/>
    <w:rsid w:val="007820CF"/>
    <w:rsid w:val="0078236E"/>
    <w:rsid w:val="007826D2"/>
    <w:rsid w:val="00782D21"/>
    <w:rsid w:val="00782DDA"/>
    <w:rsid w:val="007833A4"/>
    <w:rsid w:val="007834A1"/>
    <w:rsid w:val="00783524"/>
    <w:rsid w:val="007837D2"/>
    <w:rsid w:val="0078388C"/>
    <w:rsid w:val="00783C71"/>
    <w:rsid w:val="00783CBA"/>
    <w:rsid w:val="00784026"/>
    <w:rsid w:val="007841E0"/>
    <w:rsid w:val="0078458E"/>
    <w:rsid w:val="007845EA"/>
    <w:rsid w:val="00784615"/>
    <w:rsid w:val="0078474A"/>
    <w:rsid w:val="007848E2"/>
    <w:rsid w:val="00784A73"/>
    <w:rsid w:val="00784ACB"/>
    <w:rsid w:val="00784DAF"/>
    <w:rsid w:val="007853E3"/>
    <w:rsid w:val="00785447"/>
    <w:rsid w:val="00785526"/>
    <w:rsid w:val="00785687"/>
    <w:rsid w:val="0078595D"/>
    <w:rsid w:val="00785E92"/>
    <w:rsid w:val="00786174"/>
    <w:rsid w:val="007861D1"/>
    <w:rsid w:val="0078621C"/>
    <w:rsid w:val="00786279"/>
    <w:rsid w:val="0078689F"/>
    <w:rsid w:val="00786F29"/>
    <w:rsid w:val="00787605"/>
    <w:rsid w:val="0078793B"/>
    <w:rsid w:val="00787D55"/>
    <w:rsid w:val="00787D91"/>
    <w:rsid w:val="00790071"/>
    <w:rsid w:val="007900DC"/>
    <w:rsid w:val="0079016C"/>
    <w:rsid w:val="0079062A"/>
    <w:rsid w:val="0079077B"/>
    <w:rsid w:val="007908EF"/>
    <w:rsid w:val="00790958"/>
    <w:rsid w:val="007909BB"/>
    <w:rsid w:val="00790CB5"/>
    <w:rsid w:val="00790CD9"/>
    <w:rsid w:val="00790D21"/>
    <w:rsid w:val="00790F8D"/>
    <w:rsid w:val="007910A2"/>
    <w:rsid w:val="0079124F"/>
    <w:rsid w:val="007914C1"/>
    <w:rsid w:val="00791A42"/>
    <w:rsid w:val="00791ADA"/>
    <w:rsid w:val="00791C65"/>
    <w:rsid w:val="00792399"/>
    <w:rsid w:val="00792678"/>
    <w:rsid w:val="007929CF"/>
    <w:rsid w:val="007931FB"/>
    <w:rsid w:val="0079349A"/>
    <w:rsid w:val="007938E5"/>
    <w:rsid w:val="00793BE0"/>
    <w:rsid w:val="007947C1"/>
    <w:rsid w:val="00794E2D"/>
    <w:rsid w:val="007956EE"/>
    <w:rsid w:val="007959EB"/>
    <w:rsid w:val="00795B5F"/>
    <w:rsid w:val="00795CB1"/>
    <w:rsid w:val="00795CE3"/>
    <w:rsid w:val="00795DB4"/>
    <w:rsid w:val="0079649E"/>
    <w:rsid w:val="00796C6F"/>
    <w:rsid w:val="0079700B"/>
    <w:rsid w:val="00797154"/>
    <w:rsid w:val="007971A8"/>
    <w:rsid w:val="00797E6C"/>
    <w:rsid w:val="007A009E"/>
    <w:rsid w:val="007A0106"/>
    <w:rsid w:val="007A0B00"/>
    <w:rsid w:val="007A103A"/>
    <w:rsid w:val="007A1094"/>
    <w:rsid w:val="007A1658"/>
    <w:rsid w:val="007A1A52"/>
    <w:rsid w:val="007A20B3"/>
    <w:rsid w:val="007A21A3"/>
    <w:rsid w:val="007A22BA"/>
    <w:rsid w:val="007A22E0"/>
    <w:rsid w:val="007A2C5E"/>
    <w:rsid w:val="007A354D"/>
    <w:rsid w:val="007A3DF9"/>
    <w:rsid w:val="007A421F"/>
    <w:rsid w:val="007A4290"/>
    <w:rsid w:val="007A4755"/>
    <w:rsid w:val="007A4AC4"/>
    <w:rsid w:val="007A4AC9"/>
    <w:rsid w:val="007A4AEA"/>
    <w:rsid w:val="007A4E5E"/>
    <w:rsid w:val="007A4F51"/>
    <w:rsid w:val="007A5673"/>
    <w:rsid w:val="007A58A0"/>
    <w:rsid w:val="007A5AB7"/>
    <w:rsid w:val="007A5B53"/>
    <w:rsid w:val="007A5C7A"/>
    <w:rsid w:val="007A622F"/>
    <w:rsid w:val="007A6322"/>
    <w:rsid w:val="007A63C4"/>
    <w:rsid w:val="007A6620"/>
    <w:rsid w:val="007A6724"/>
    <w:rsid w:val="007A6E0F"/>
    <w:rsid w:val="007A6FD8"/>
    <w:rsid w:val="007A7057"/>
    <w:rsid w:val="007A70C1"/>
    <w:rsid w:val="007A7574"/>
    <w:rsid w:val="007A7591"/>
    <w:rsid w:val="007A7798"/>
    <w:rsid w:val="007A7916"/>
    <w:rsid w:val="007A7DDA"/>
    <w:rsid w:val="007A7FC0"/>
    <w:rsid w:val="007B00BE"/>
    <w:rsid w:val="007B0744"/>
    <w:rsid w:val="007B0CFE"/>
    <w:rsid w:val="007B0D89"/>
    <w:rsid w:val="007B0E88"/>
    <w:rsid w:val="007B12CB"/>
    <w:rsid w:val="007B17B3"/>
    <w:rsid w:val="007B1EF2"/>
    <w:rsid w:val="007B227F"/>
    <w:rsid w:val="007B2332"/>
    <w:rsid w:val="007B2D37"/>
    <w:rsid w:val="007B30B4"/>
    <w:rsid w:val="007B3309"/>
    <w:rsid w:val="007B3465"/>
    <w:rsid w:val="007B34AF"/>
    <w:rsid w:val="007B37D5"/>
    <w:rsid w:val="007B3BDA"/>
    <w:rsid w:val="007B3E49"/>
    <w:rsid w:val="007B48E3"/>
    <w:rsid w:val="007B4A56"/>
    <w:rsid w:val="007B4C3D"/>
    <w:rsid w:val="007B4D47"/>
    <w:rsid w:val="007B4FBD"/>
    <w:rsid w:val="007B5200"/>
    <w:rsid w:val="007B5411"/>
    <w:rsid w:val="007B54D4"/>
    <w:rsid w:val="007B54F3"/>
    <w:rsid w:val="007B55B6"/>
    <w:rsid w:val="007B596E"/>
    <w:rsid w:val="007B5A79"/>
    <w:rsid w:val="007B6116"/>
    <w:rsid w:val="007B6552"/>
    <w:rsid w:val="007B68B4"/>
    <w:rsid w:val="007B69BE"/>
    <w:rsid w:val="007B7776"/>
    <w:rsid w:val="007B7A1B"/>
    <w:rsid w:val="007B7FB1"/>
    <w:rsid w:val="007C0466"/>
    <w:rsid w:val="007C0B1D"/>
    <w:rsid w:val="007C102D"/>
    <w:rsid w:val="007C10F8"/>
    <w:rsid w:val="007C1192"/>
    <w:rsid w:val="007C1529"/>
    <w:rsid w:val="007C17C0"/>
    <w:rsid w:val="007C19D4"/>
    <w:rsid w:val="007C1BF3"/>
    <w:rsid w:val="007C1CDF"/>
    <w:rsid w:val="007C2522"/>
    <w:rsid w:val="007C2525"/>
    <w:rsid w:val="007C2888"/>
    <w:rsid w:val="007C2B5B"/>
    <w:rsid w:val="007C330C"/>
    <w:rsid w:val="007C35E9"/>
    <w:rsid w:val="007C36B6"/>
    <w:rsid w:val="007C3E08"/>
    <w:rsid w:val="007C3F2F"/>
    <w:rsid w:val="007C4E1C"/>
    <w:rsid w:val="007C4F15"/>
    <w:rsid w:val="007C5DB1"/>
    <w:rsid w:val="007C603B"/>
    <w:rsid w:val="007C6247"/>
    <w:rsid w:val="007C6F31"/>
    <w:rsid w:val="007C6F9C"/>
    <w:rsid w:val="007C7438"/>
    <w:rsid w:val="007C7A7B"/>
    <w:rsid w:val="007C7FD2"/>
    <w:rsid w:val="007D0EE0"/>
    <w:rsid w:val="007D110E"/>
    <w:rsid w:val="007D136F"/>
    <w:rsid w:val="007D15F6"/>
    <w:rsid w:val="007D18AD"/>
    <w:rsid w:val="007D1953"/>
    <w:rsid w:val="007D19A1"/>
    <w:rsid w:val="007D1BE6"/>
    <w:rsid w:val="007D222E"/>
    <w:rsid w:val="007D24B1"/>
    <w:rsid w:val="007D28DF"/>
    <w:rsid w:val="007D2D59"/>
    <w:rsid w:val="007D2EE5"/>
    <w:rsid w:val="007D31C2"/>
    <w:rsid w:val="007D31F7"/>
    <w:rsid w:val="007D362B"/>
    <w:rsid w:val="007D3846"/>
    <w:rsid w:val="007D385B"/>
    <w:rsid w:val="007D3F5E"/>
    <w:rsid w:val="007D410F"/>
    <w:rsid w:val="007D4436"/>
    <w:rsid w:val="007D44C5"/>
    <w:rsid w:val="007D4617"/>
    <w:rsid w:val="007D49A1"/>
    <w:rsid w:val="007D4BC1"/>
    <w:rsid w:val="007D4E59"/>
    <w:rsid w:val="007D4E86"/>
    <w:rsid w:val="007D5043"/>
    <w:rsid w:val="007D54CB"/>
    <w:rsid w:val="007D5B75"/>
    <w:rsid w:val="007D5E6F"/>
    <w:rsid w:val="007D5F60"/>
    <w:rsid w:val="007D61AB"/>
    <w:rsid w:val="007D66A3"/>
    <w:rsid w:val="007D6EF5"/>
    <w:rsid w:val="007D7265"/>
    <w:rsid w:val="007D750E"/>
    <w:rsid w:val="007D7712"/>
    <w:rsid w:val="007D7D48"/>
    <w:rsid w:val="007E01EC"/>
    <w:rsid w:val="007E03A6"/>
    <w:rsid w:val="007E075F"/>
    <w:rsid w:val="007E08BE"/>
    <w:rsid w:val="007E08C2"/>
    <w:rsid w:val="007E0D5B"/>
    <w:rsid w:val="007E0FBA"/>
    <w:rsid w:val="007E11A8"/>
    <w:rsid w:val="007E1489"/>
    <w:rsid w:val="007E16C2"/>
    <w:rsid w:val="007E1735"/>
    <w:rsid w:val="007E1814"/>
    <w:rsid w:val="007E1995"/>
    <w:rsid w:val="007E1E37"/>
    <w:rsid w:val="007E2427"/>
    <w:rsid w:val="007E2870"/>
    <w:rsid w:val="007E2BB8"/>
    <w:rsid w:val="007E2E29"/>
    <w:rsid w:val="007E3258"/>
    <w:rsid w:val="007E350C"/>
    <w:rsid w:val="007E37CD"/>
    <w:rsid w:val="007E3800"/>
    <w:rsid w:val="007E39A6"/>
    <w:rsid w:val="007E3A9B"/>
    <w:rsid w:val="007E3D87"/>
    <w:rsid w:val="007E3DCA"/>
    <w:rsid w:val="007E3FD1"/>
    <w:rsid w:val="007E4010"/>
    <w:rsid w:val="007E4038"/>
    <w:rsid w:val="007E4512"/>
    <w:rsid w:val="007E4677"/>
    <w:rsid w:val="007E4C6E"/>
    <w:rsid w:val="007E4DA3"/>
    <w:rsid w:val="007E4DC9"/>
    <w:rsid w:val="007E4FC5"/>
    <w:rsid w:val="007E5226"/>
    <w:rsid w:val="007E53B3"/>
    <w:rsid w:val="007E5424"/>
    <w:rsid w:val="007E57F8"/>
    <w:rsid w:val="007E5AE1"/>
    <w:rsid w:val="007E5F1D"/>
    <w:rsid w:val="007E63D5"/>
    <w:rsid w:val="007E6511"/>
    <w:rsid w:val="007E6607"/>
    <w:rsid w:val="007E66A3"/>
    <w:rsid w:val="007E68D8"/>
    <w:rsid w:val="007E6DEA"/>
    <w:rsid w:val="007E72A2"/>
    <w:rsid w:val="007E7A0F"/>
    <w:rsid w:val="007E7A90"/>
    <w:rsid w:val="007E7A9E"/>
    <w:rsid w:val="007E7D9C"/>
    <w:rsid w:val="007E7EBF"/>
    <w:rsid w:val="007F0897"/>
    <w:rsid w:val="007F0B63"/>
    <w:rsid w:val="007F127C"/>
    <w:rsid w:val="007F1517"/>
    <w:rsid w:val="007F16FE"/>
    <w:rsid w:val="007F177B"/>
    <w:rsid w:val="007F1F87"/>
    <w:rsid w:val="007F1FF0"/>
    <w:rsid w:val="007F2159"/>
    <w:rsid w:val="007F275B"/>
    <w:rsid w:val="007F2D34"/>
    <w:rsid w:val="007F38A0"/>
    <w:rsid w:val="007F39A8"/>
    <w:rsid w:val="007F3B5F"/>
    <w:rsid w:val="007F3EE4"/>
    <w:rsid w:val="007F3F07"/>
    <w:rsid w:val="007F4AFA"/>
    <w:rsid w:val="007F531F"/>
    <w:rsid w:val="007F5425"/>
    <w:rsid w:val="007F555A"/>
    <w:rsid w:val="007F56A2"/>
    <w:rsid w:val="007F5F5D"/>
    <w:rsid w:val="007F6455"/>
    <w:rsid w:val="007F651F"/>
    <w:rsid w:val="007F67D7"/>
    <w:rsid w:val="007F6BAC"/>
    <w:rsid w:val="007F6BF3"/>
    <w:rsid w:val="007F6D4B"/>
    <w:rsid w:val="007F6ECC"/>
    <w:rsid w:val="007F71CF"/>
    <w:rsid w:val="007F73CC"/>
    <w:rsid w:val="007F7A2A"/>
    <w:rsid w:val="007F7BD1"/>
    <w:rsid w:val="007F7C8F"/>
    <w:rsid w:val="007F7DD9"/>
    <w:rsid w:val="007F7E1C"/>
    <w:rsid w:val="0080022B"/>
    <w:rsid w:val="00800855"/>
    <w:rsid w:val="00800C70"/>
    <w:rsid w:val="00801053"/>
    <w:rsid w:val="00801148"/>
    <w:rsid w:val="008011A2"/>
    <w:rsid w:val="0080121D"/>
    <w:rsid w:val="0080156B"/>
    <w:rsid w:val="00801736"/>
    <w:rsid w:val="00801C58"/>
    <w:rsid w:val="00801F8C"/>
    <w:rsid w:val="00802074"/>
    <w:rsid w:val="00802D16"/>
    <w:rsid w:val="00802E00"/>
    <w:rsid w:val="00803239"/>
    <w:rsid w:val="008039E0"/>
    <w:rsid w:val="00803A36"/>
    <w:rsid w:val="00803A69"/>
    <w:rsid w:val="00803C9E"/>
    <w:rsid w:val="00804110"/>
    <w:rsid w:val="00804462"/>
    <w:rsid w:val="00804998"/>
    <w:rsid w:val="00804A73"/>
    <w:rsid w:val="00804D81"/>
    <w:rsid w:val="00804DAB"/>
    <w:rsid w:val="00805DF4"/>
    <w:rsid w:val="00805EB3"/>
    <w:rsid w:val="008060F4"/>
    <w:rsid w:val="0080612C"/>
    <w:rsid w:val="008069C2"/>
    <w:rsid w:val="00806CFD"/>
    <w:rsid w:val="00806DED"/>
    <w:rsid w:val="0080735A"/>
    <w:rsid w:val="00807528"/>
    <w:rsid w:val="008075F6"/>
    <w:rsid w:val="00807B02"/>
    <w:rsid w:val="00807C38"/>
    <w:rsid w:val="00807C3F"/>
    <w:rsid w:val="008105C4"/>
    <w:rsid w:val="00810658"/>
    <w:rsid w:val="00810AF6"/>
    <w:rsid w:val="0081102B"/>
    <w:rsid w:val="00811132"/>
    <w:rsid w:val="0081116B"/>
    <w:rsid w:val="008111FD"/>
    <w:rsid w:val="00811403"/>
    <w:rsid w:val="008115D4"/>
    <w:rsid w:val="0081164C"/>
    <w:rsid w:val="0081189D"/>
    <w:rsid w:val="00811DDC"/>
    <w:rsid w:val="00811FD8"/>
    <w:rsid w:val="008121E0"/>
    <w:rsid w:val="00812352"/>
    <w:rsid w:val="00812609"/>
    <w:rsid w:val="008127AB"/>
    <w:rsid w:val="0081296D"/>
    <w:rsid w:val="00812AD7"/>
    <w:rsid w:val="00812B9E"/>
    <w:rsid w:val="00812D57"/>
    <w:rsid w:val="0081326B"/>
    <w:rsid w:val="008132FC"/>
    <w:rsid w:val="00813755"/>
    <w:rsid w:val="00813C6F"/>
    <w:rsid w:val="00813DC5"/>
    <w:rsid w:val="00814A1E"/>
    <w:rsid w:val="00814CF7"/>
    <w:rsid w:val="008151CD"/>
    <w:rsid w:val="00815444"/>
    <w:rsid w:val="008154B3"/>
    <w:rsid w:val="00815614"/>
    <w:rsid w:val="008156CE"/>
    <w:rsid w:val="008164EE"/>
    <w:rsid w:val="00816BD9"/>
    <w:rsid w:val="00816EA1"/>
    <w:rsid w:val="00817031"/>
    <w:rsid w:val="00817565"/>
    <w:rsid w:val="00817912"/>
    <w:rsid w:val="00817953"/>
    <w:rsid w:val="00817980"/>
    <w:rsid w:val="008200D4"/>
    <w:rsid w:val="0082011D"/>
    <w:rsid w:val="0082054D"/>
    <w:rsid w:val="008206C8"/>
    <w:rsid w:val="008209BE"/>
    <w:rsid w:val="00820B66"/>
    <w:rsid w:val="00820FB0"/>
    <w:rsid w:val="00820FD8"/>
    <w:rsid w:val="00821579"/>
    <w:rsid w:val="00821826"/>
    <w:rsid w:val="00821A41"/>
    <w:rsid w:val="00821EDB"/>
    <w:rsid w:val="00821F8D"/>
    <w:rsid w:val="008224E9"/>
    <w:rsid w:val="00822D8A"/>
    <w:rsid w:val="00823106"/>
    <w:rsid w:val="0082392F"/>
    <w:rsid w:val="00823CF8"/>
    <w:rsid w:val="00823F1D"/>
    <w:rsid w:val="00823F59"/>
    <w:rsid w:val="008244E2"/>
    <w:rsid w:val="008246E0"/>
    <w:rsid w:val="00824DDB"/>
    <w:rsid w:val="00824E06"/>
    <w:rsid w:val="00824F5A"/>
    <w:rsid w:val="00825116"/>
    <w:rsid w:val="00825163"/>
    <w:rsid w:val="0082536C"/>
    <w:rsid w:val="00825390"/>
    <w:rsid w:val="00825629"/>
    <w:rsid w:val="00825773"/>
    <w:rsid w:val="00825778"/>
    <w:rsid w:val="008258B6"/>
    <w:rsid w:val="00825980"/>
    <w:rsid w:val="00825A3F"/>
    <w:rsid w:val="00825C4B"/>
    <w:rsid w:val="008266D8"/>
    <w:rsid w:val="00826AC4"/>
    <w:rsid w:val="00826D82"/>
    <w:rsid w:val="008273BF"/>
    <w:rsid w:val="008276AC"/>
    <w:rsid w:val="008279B2"/>
    <w:rsid w:val="00827B4B"/>
    <w:rsid w:val="00827CF0"/>
    <w:rsid w:val="00827FBE"/>
    <w:rsid w:val="00830A00"/>
    <w:rsid w:val="00830B7A"/>
    <w:rsid w:val="00830E04"/>
    <w:rsid w:val="00831288"/>
    <w:rsid w:val="0083149D"/>
    <w:rsid w:val="00831575"/>
    <w:rsid w:val="00831A57"/>
    <w:rsid w:val="00831E7B"/>
    <w:rsid w:val="008321B7"/>
    <w:rsid w:val="0083225B"/>
    <w:rsid w:val="008328DB"/>
    <w:rsid w:val="00832C00"/>
    <w:rsid w:val="00832EF3"/>
    <w:rsid w:val="00833402"/>
    <w:rsid w:val="00833525"/>
    <w:rsid w:val="0083417A"/>
    <w:rsid w:val="00834607"/>
    <w:rsid w:val="0083460E"/>
    <w:rsid w:val="008346B0"/>
    <w:rsid w:val="008348B4"/>
    <w:rsid w:val="008348E1"/>
    <w:rsid w:val="00834F64"/>
    <w:rsid w:val="0083520C"/>
    <w:rsid w:val="00835509"/>
    <w:rsid w:val="00835789"/>
    <w:rsid w:val="008359B5"/>
    <w:rsid w:val="00835D80"/>
    <w:rsid w:val="00835F69"/>
    <w:rsid w:val="008361AD"/>
    <w:rsid w:val="008364CB"/>
    <w:rsid w:val="008368C8"/>
    <w:rsid w:val="00836B9F"/>
    <w:rsid w:val="00837012"/>
    <w:rsid w:val="0083739B"/>
    <w:rsid w:val="0083747E"/>
    <w:rsid w:val="00837617"/>
    <w:rsid w:val="00837D46"/>
    <w:rsid w:val="008401CE"/>
    <w:rsid w:val="0084049B"/>
    <w:rsid w:val="00840F48"/>
    <w:rsid w:val="008410B2"/>
    <w:rsid w:val="008418EC"/>
    <w:rsid w:val="00842042"/>
    <w:rsid w:val="0084250D"/>
    <w:rsid w:val="0084252D"/>
    <w:rsid w:val="008429AE"/>
    <w:rsid w:val="00842AF1"/>
    <w:rsid w:val="00842C32"/>
    <w:rsid w:val="00842EF1"/>
    <w:rsid w:val="00842F33"/>
    <w:rsid w:val="008431C8"/>
    <w:rsid w:val="008438CD"/>
    <w:rsid w:val="00843CFD"/>
    <w:rsid w:val="00843DB2"/>
    <w:rsid w:val="00844305"/>
    <w:rsid w:val="0084430A"/>
    <w:rsid w:val="0084432B"/>
    <w:rsid w:val="008446EC"/>
    <w:rsid w:val="0084512A"/>
    <w:rsid w:val="008453B6"/>
    <w:rsid w:val="008456CC"/>
    <w:rsid w:val="008457D3"/>
    <w:rsid w:val="0084591F"/>
    <w:rsid w:val="00845B48"/>
    <w:rsid w:val="00846005"/>
    <w:rsid w:val="0084651C"/>
    <w:rsid w:val="0084674F"/>
    <w:rsid w:val="0084696E"/>
    <w:rsid w:val="00846A7C"/>
    <w:rsid w:val="00846AE2"/>
    <w:rsid w:val="00846E18"/>
    <w:rsid w:val="00847043"/>
    <w:rsid w:val="008470B6"/>
    <w:rsid w:val="008473C3"/>
    <w:rsid w:val="0084758C"/>
    <w:rsid w:val="008476EE"/>
    <w:rsid w:val="008479BD"/>
    <w:rsid w:val="00847AF1"/>
    <w:rsid w:val="00847B93"/>
    <w:rsid w:val="00847F09"/>
    <w:rsid w:val="008501E5"/>
    <w:rsid w:val="00850671"/>
    <w:rsid w:val="00850E5B"/>
    <w:rsid w:val="00850E68"/>
    <w:rsid w:val="00850F0C"/>
    <w:rsid w:val="00851122"/>
    <w:rsid w:val="00851398"/>
    <w:rsid w:val="008514D2"/>
    <w:rsid w:val="0085189E"/>
    <w:rsid w:val="008519FC"/>
    <w:rsid w:val="00851B47"/>
    <w:rsid w:val="00851CB8"/>
    <w:rsid w:val="008522F7"/>
    <w:rsid w:val="0085252F"/>
    <w:rsid w:val="00852884"/>
    <w:rsid w:val="008529FD"/>
    <w:rsid w:val="008533E7"/>
    <w:rsid w:val="00853B37"/>
    <w:rsid w:val="00854220"/>
    <w:rsid w:val="00854253"/>
    <w:rsid w:val="008543B9"/>
    <w:rsid w:val="0085474A"/>
    <w:rsid w:val="00854789"/>
    <w:rsid w:val="00854CE2"/>
    <w:rsid w:val="008554A4"/>
    <w:rsid w:val="00855590"/>
    <w:rsid w:val="008556BF"/>
    <w:rsid w:val="008559AD"/>
    <w:rsid w:val="00855AAC"/>
    <w:rsid w:val="00855EB2"/>
    <w:rsid w:val="00856180"/>
    <w:rsid w:val="0085625E"/>
    <w:rsid w:val="008563B2"/>
    <w:rsid w:val="008565DF"/>
    <w:rsid w:val="00856796"/>
    <w:rsid w:val="00857EBF"/>
    <w:rsid w:val="00857ED2"/>
    <w:rsid w:val="008600F5"/>
    <w:rsid w:val="0086046C"/>
    <w:rsid w:val="008606DE"/>
    <w:rsid w:val="00860822"/>
    <w:rsid w:val="0086093D"/>
    <w:rsid w:val="008609FA"/>
    <w:rsid w:val="00860D99"/>
    <w:rsid w:val="00861D65"/>
    <w:rsid w:val="008621B9"/>
    <w:rsid w:val="008624A7"/>
    <w:rsid w:val="0086273F"/>
    <w:rsid w:val="00862BB8"/>
    <w:rsid w:val="00863257"/>
    <w:rsid w:val="00863545"/>
    <w:rsid w:val="008636E2"/>
    <w:rsid w:val="00863A3D"/>
    <w:rsid w:val="00863C31"/>
    <w:rsid w:val="00863CA2"/>
    <w:rsid w:val="00864224"/>
    <w:rsid w:val="0086547A"/>
    <w:rsid w:val="008658BE"/>
    <w:rsid w:val="00866003"/>
    <w:rsid w:val="00866599"/>
    <w:rsid w:val="008666F6"/>
    <w:rsid w:val="00866CA7"/>
    <w:rsid w:val="00866E08"/>
    <w:rsid w:val="00866E28"/>
    <w:rsid w:val="00866F2A"/>
    <w:rsid w:val="0086716C"/>
    <w:rsid w:val="0086750E"/>
    <w:rsid w:val="008675ED"/>
    <w:rsid w:val="00867C61"/>
    <w:rsid w:val="00870723"/>
    <w:rsid w:val="0087085D"/>
    <w:rsid w:val="00870A47"/>
    <w:rsid w:val="00870C40"/>
    <w:rsid w:val="008719EA"/>
    <w:rsid w:val="00871AE0"/>
    <w:rsid w:val="00871C02"/>
    <w:rsid w:val="00871C9B"/>
    <w:rsid w:val="00871E6B"/>
    <w:rsid w:val="00871F65"/>
    <w:rsid w:val="008721C7"/>
    <w:rsid w:val="0087222F"/>
    <w:rsid w:val="008722AE"/>
    <w:rsid w:val="008728A2"/>
    <w:rsid w:val="00872C5D"/>
    <w:rsid w:val="00873275"/>
    <w:rsid w:val="008732D3"/>
    <w:rsid w:val="0087337B"/>
    <w:rsid w:val="008736DB"/>
    <w:rsid w:val="00873856"/>
    <w:rsid w:val="00873DA8"/>
    <w:rsid w:val="00873F9C"/>
    <w:rsid w:val="0087411A"/>
    <w:rsid w:val="00874258"/>
    <w:rsid w:val="00874411"/>
    <w:rsid w:val="00874421"/>
    <w:rsid w:val="008751A3"/>
    <w:rsid w:val="00875211"/>
    <w:rsid w:val="00875239"/>
    <w:rsid w:val="00875273"/>
    <w:rsid w:val="008752D9"/>
    <w:rsid w:val="008754F4"/>
    <w:rsid w:val="00875C48"/>
    <w:rsid w:val="00875DED"/>
    <w:rsid w:val="00875EFD"/>
    <w:rsid w:val="008763D3"/>
    <w:rsid w:val="00876F68"/>
    <w:rsid w:val="008770F5"/>
    <w:rsid w:val="00877C10"/>
    <w:rsid w:val="00877CE6"/>
    <w:rsid w:val="00877D87"/>
    <w:rsid w:val="00877EF1"/>
    <w:rsid w:val="00880035"/>
    <w:rsid w:val="00880366"/>
    <w:rsid w:val="00880B98"/>
    <w:rsid w:val="008812A9"/>
    <w:rsid w:val="0088154B"/>
    <w:rsid w:val="00881898"/>
    <w:rsid w:val="00881CE7"/>
    <w:rsid w:val="00882157"/>
    <w:rsid w:val="00882404"/>
    <w:rsid w:val="008824CD"/>
    <w:rsid w:val="00882534"/>
    <w:rsid w:val="00883058"/>
    <w:rsid w:val="00883135"/>
    <w:rsid w:val="00883398"/>
    <w:rsid w:val="0088346D"/>
    <w:rsid w:val="00883E11"/>
    <w:rsid w:val="00883EC4"/>
    <w:rsid w:val="00883FF1"/>
    <w:rsid w:val="0088436E"/>
    <w:rsid w:val="00884517"/>
    <w:rsid w:val="00884748"/>
    <w:rsid w:val="008848A3"/>
    <w:rsid w:val="00884E25"/>
    <w:rsid w:val="0088563C"/>
    <w:rsid w:val="008858F7"/>
    <w:rsid w:val="00885907"/>
    <w:rsid w:val="00885967"/>
    <w:rsid w:val="00885E7A"/>
    <w:rsid w:val="00885F3B"/>
    <w:rsid w:val="008860A9"/>
    <w:rsid w:val="00886644"/>
    <w:rsid w:val="00886721"/>
    <w:rsid w:val="00886A0D"/>
    <w:rsid w:val="00886ACB"/>
    <w:rsid w:val="00886AEC"/>
    <w:rsid w:val="0088717F"/>
    <w:rsid w:val="00887228"/>
    <w:rsid w:val="008875B2"/>
    <w:rsid w:val="008879E8"/>
    <w:rsid w:val="00887E94"/>
    <w:rsid w:val="008904D4"/>
    <w:rsid w:val="00890797"/>
    <w:rsid w:val="00890821"/>
    <w:rsid w:val="008908D8"/>
    <w:rsid w:val="0089094B"/>
    <w:rsid w:val="00890F88"/>
    <w:rsid w:val="00891281"/>
    <w:rsid w:val="00891306"/>
    <w:rsid w:val="008915FD"/>
    <w:rsid w:val="00891835"/>
    <w:rsid w:val="00891BD5"/>
    <w:rsid w:val="0089226C"/>
    <w:rsid w:val="008924DD"/>
    <w:rsid w:val="00892529"/>
    <w:rsid w:val="008925AE"/>
    <w:rsid w:val="00892824"/>
    <w:rsid w:val="008928DD"/>
    <w:rsid w:val="008928FC"/>
    <w:rsid w:val="00892DD0"/>
    <w:rsid w:val="00892DE7"/>
    <w:rsid w:val="008933D8"/>
    <w:rsid w:val="008936BE"/>
    <w:rsid w:val="008939FD"/>
    <w:rsid w:val="00893B1B"/>
    <w:rsid w:val="00893B5B"/>
    <w:rsid w:val="00893D9C"/>
    <w:rsid w:val="00893F87"/>
    <w:rsid w:val="00893FC7"/>
    <w:rsid w:val="00894318"/>
    <w:rsid w:val="00894345"/>
    <w:rsid w:val="0089440A"/>
    <w:rsid w:val="008944DB"/>
    <w:rsid w:val="00894BFF"/>
    <w:rsid w:val="00894CEE"/>
    <w:rsid w:val="00894CF5"/>
    <w:rsid w:val="00894D79"/>
    <w:rsid w:val="00894DAA"/>
    <w:rsid w:val="00894EA0"/>
    <w:rsid w:val="00895442"/>
    <w:rsid w:val="008954CB"/>
    <w:rsid w:val="00895631"/>
    <w:rsid w:val="0089577B"/>
    <w:rsid w:val="00895F84"/>
    <w:rsid w:val="00895FE0"/>
    <w:rsid w:val="0089620B"/>
    <w:rsid w:val="00896E61"/>
    <w:rsid w:val="0089708C"/>
    <w:rsid w:val="008971E0"/>
    <w:rsid w:val="0089737C"/>
    <w:rsid w:val="008973A1"/>
    <w:rsid w:val="00897682"/>
    <w:rsid w:val="00897CE6"/>
    <w:rsid w:val="00897D91"/>
    <w:rsid w:val="008A0211"/>
    <w:rsid w:val="008A0381"/>
    <w:rsid w:val="008A05BE"/>
    <w:rsid w:val="008A06B5"/>
    <w:rsid w:val="008A09E8"/>
    <w:rsid w:val="008A0A0C"/>
    <w:rsid w:val="008A0D37"/>
    <w:rsid w:val="008A0EA2"/>
    <w:rsid w:val="008A0F8D"/>
    <w:rsid w:val="008A14BD"/>
    <w:rsid w:val="008A1BF2"/>
    <w:rsid w:val="008A1D2B"/>
    <w:rsid w:val="008A1E22"/>
    <w:rsid w:val="008A2046"/>
    <w:rsid w:val="008A3426"/>
    <w:rsid w:val="008A372F"/>
    <w:rsid w:val="008A3986"/>
    <w:rsid w:val="008A39EC"/>
    <w:rsid w:val="008A3B87"/>
    <w:rsid w:val="008A4074"/>
    <w:rsid w:val="008A43CD"/>
    <w:rsid w:val="008A443D"/>
    <w:rsid w:val="008A4A31"/>
    <w:rsid w:val="008A4AA9"/>
    <w:rsid w:val="008A4B31"/>
    <w:rsid w:val="008A4E5D"/>
    <w:rsid w:val="008A5007"/>
    <w:rsid w:val="008A56B1"/>
    <w:rsid w:val="008A5B83"/>
    <w:rsid w:val="008A5CF8"/>
    <w:rsid w:val="008A5E4B"/>
    <w:rsid w:val="008A6064"/>
    <w:rsid w:val="008A61AB"/>
    <w:rsid w:val="008A6429"/>
    <w:rsid w:val="008A6CE6"/>
    <w:rsid w:val="008A6DE3"/>
    <w:rsid w:val="008A70D7"/>
    <w:rsid w:val="008A7419"/>
    <w:rsid w:val="008A778D"/>
    <w:rsid w:val="008A79BF"/>
    <w:rsid w:val="008A7A52"/>
    <w:rsid w:val="008A7E0A"/>
    <w:rsid w:val="008A7EE0"/>
    <w:rsid w:val="008A7F83"/>
    <w:rsid w:val="008B0152"/>
    <w:rsid w:val="008B0408"/>
    <w:rsid w:val="008B0BD3"/>
    <w:rsid w:val="008B1375"/>
    <w:rsid w:val="008B233A"/>
    <w:rsid w:val="008B248B"/>
    <w:rsid w:val="008B2499"/>
    <w:rsid w:val="008B2797"/>
    <w:rsid w:val="008B28C7"/>
    <w:rsid w:val="008B2E74"/>
    <w:rsid w:val="008B2F19"/>
    <w:rsid w:val="008B3210"/>
    <w:rsid w:val="008B344A"/>
    <w:rsid w:val="008B3749"/>
    <w:rsid w:val="008B394B"/>
    <w:rsid w:val="008B3D2C"/>
    <w:rsid w:val="008B3D87"/>
    <w:rsid w:val="008B4013"/>
    <w:rsid w:val="008B4A95"/>
    <w:rsid w:val="008B4FC4"/>
    <w:rsid w:val="008B5EFD"/>
    <w:rsid w:val="008B6936"/>
    <w:rsid w:val="008B6B4E"/>
    <w:rsid w:val="008B6C6B"/>
    <w:rsid w:val="008B6D15"/>
    <w:rsid w:val="008B772F"/>
    <w:rsid w:val="008B782D"/>
    <w:rsid w:val="008B79DD"/>
    <w:rsid w:val="008B7B44"/>
    <w:rsid w:val="008C0093"/>
    <w:rsid w:val="008C009F"/>
    <w:rsid w:val="008C02C8"/>
    <w:rsid w:val="008C0345"/>
    <w:rsid w:val="008C0372"/>
    <w:rsid w:val="008C0BC8"/>
    <w:rsid w:val="008C0FDE"/>
    <w:rsid w:val="008C1145"/>
    <w:rsid w:val="008C1231"/>
    <w:rsid w:val="008C12F0"/>
    <w:rsid w:val="008C1904"/>
    <w:rsid w:val="008C1A62"/>
    <w:rsid w:val="008C2057"/>
    <w:rsid w:val="008C23DC"/>
    <w:rsid w:val="008C26BA"/>
    <w:rsid w:val="008C2727"/>
    <w:rsid w:val="008C28E2"/>
    <w:rsid w:val="008C3697"/>
    <w:rsid w:val="008C3801"/>
    <w:rsid w:val="008C398F"/>
    <w:rsid w:val="008C3D6C"/>
    <w:rsid w:val="008C3F87"/>
    <w:rsid w:val="008C4489"/>
    <w:rsid w:val="008C4595"/>
    <w:rsid w:val="008C480D"/>
    <w:rsid w:val="008C4887"/>
    <w:rsid w:val="008C4AF5"/>
    <w:rsid w:val="008C4EF4"/>
    <w:rsid w:val="008C5040"/>
    <w:rsid w:val="008C5117"/>
    <w:rsid w:val="008C5270"/>
    <w:rsid w:val="008C5303"/>
    <w:rsid w:val="008C565D"/>
    <w:rsid w:val="008C5F25"/>
    <w:rsid w:val="008C6058"/>
    <w:rsid w:val="008C62FF"/>
    <w:rsid w:val="008C6367"/>
    <w:rsid w:val="008C6842"/>
    <w:rsid w:val="008C68C8"/>
    <w:rsid w:val="008C6B2A"/>
    <w:rsid w:val="008C6C3C"/>
    <w:rsid w:val="008C70C8"/>
    <w:rsid w:val="008C7493"/>
    <w:rsid w:val="008C7B87"/>
    <w:rsid w:val="008C7CFC"/>
    <w:rsid w:val="008D03A2"/>
    <w:rsid w:val="008D0607"/>
    <w:rsid w:val="008D0C1C"/>
    <w:rsid w:val="008D0E45"/>
    <w:rsid w:val="008D1081"/>
    <w:rsid w:val="008D109C"/>
    <w:rsid w:val="008D14A9"/>
    <w:rsid w:val="008D1731"/>
    <w:rsid w:val="008D190E"/>
    <w:rsid w:val="008D2BF2"/>
    <w:rsid w:val="008D33F3"/>
    <w:rsid w:val="008D3794"/>
    <w:rsid w:val="008D3B86"/>
    <w:rsid w:val="008D3FC6"/>
    <w:rsid w:val="008D4622"/>
    <w:rsid w:val="008D4960"/>
    <w:rsid w:val="008D544C"/>
    <w:rsid w:val="008D55BA"/>
    <w:rsid w:val="008D5FC6"/>
    <w:rsid w:val="008D60F4"/>
    <w:rsid w:val="008D6335"/>
    <w:rsid w:val="008D6340"/>
    <w:rsid w:val="008D66C2"/>
    <w:rsid w:val="008D672B"/>
    <w:rsid w:val="008D6E05"/>
    <w:rsid w:val="008D74F2"/>
    <w:rsid w:val="008D75BD"/>
    <w:rsid w:val="008D75EC"/>
    <w:rsid w:val="008D799D"/>
    <w:rsid w:val="008D79C3"/>
    <w:rsid w:val="008D7B80"/>
    <w:rsid w:val="008E045F"/>
    <w:rsid w:val="008E0550"/>
    <w:rsid w:val="008E0677"/>
    <w:rsid w:val="008E07C9"/>
    <w:rsid w:val="008E0AD0"/>
    <w:rsid w:val="008E0AF2"/>
    <w:rsid w:val="008E0DB8"/>
    <w:rsid w:val="008E0E49"/>
    <w:rsid w:val="008E1434"/>
    <w:rsid w:val="008E15C3"/>
    <w:rsid w:val="008E1907"/>
    <w:rsid w:val="008E1A2F"/>
    <w:rsid w:val="008E29E4"/>
    <w:rsid w:val="008E2D56"/>
    <w:rsid w:val="008E32D9"/>
    <w:rsid w:val="008E32F0"/>
    <w:rsid w:val="008E3A52"/>
    <w:rsid w:val="008E3BC2"/>
    <w:rsid w:val="008E3D90"/>
    <w:rsid w:val="008E40AA"/>
    <w:rsid w:val="008E40CC"/>
    <w:rsid w:val="008E451B"/>
    <w:rsid w:val="008E4587"/>
    <w:rsid w:val="008E4892"/>
    <w:rsid w:val="008E4A28"/>
    <w:rsid w:val="008E4C08"/>
    <w:rsid w:val="008E511D"/>
    <w:rsid w:val="008E551D"/>
    <w:rsid w:val="008E5630"/>
    <w:rsid w:val="008E5AE1"/>
    <w:rsid w:val="008E5FF9"/>
    <w:rsid w:val="008E63C1"/>
    <w:rsid w:val="008E6528"/>
    <w:rsid w:val="008E6613"/>
    <w:rsid w:val="008E6AFD"/>
    <w:rsid w:val="008E6D37"/>
    <w:rsid w:val="008E6F2F"/>
    <w:rsid w:val="008E7175"/>
    <w:rsid w:val="008E73C3"/>
    <w:rsid w:val="008E7A9A"/>
    <w:rsid w:val="008E7AAF"/>
    <w:rsid w:val="008E7FD1"/>
    <w:rsid w:val="008F03B3"/>
    <w:rsid w:val="008F06B8"/>
    <w:rsid w:val="008F085B"/>
    <w:rsid w:val="008F08C4"/>
    <w:rsid w:val="008F099F"/>
    <w:rsid w:val="008F0F82"/>
    <w:rsid w:val="008F1245"/>
    <w:rsid w:val="008F1720"/>
    <w:rsid w:val="008F22E7"/>
    <w:rsid w:val="008F2338"/>
    <w:rsid w:val="008F2402"/>
    <w:rsid w:val="008F26A3"/>
    <w:rsid w:val="008F276B"/>
    <w:rsid w:val="008F2868"/>
    <w:rsid w:val="008F29FE"/>
    <w:rsid w:val="008F2D19"/>
    <w:rsid w:val="008F31F0"/>
    <w:rsid w:val="008F3999"/>
    <w:rsid w:val="008F3D30"/>
    <w:rsid w:val="008F3E1A"/>
    <w:rsid w:val="008F3E84"/>
    <w:rsid w:val="008F493E"/>
    <w:rsid w:val="008F4CEC"/>
    <w:rsid w:val="008F4DD3"/>
    <w:rsid w:val="008F4EA8"/>
    <w:rsid w:val="008F52F7"/>
    <w:rsid w:val="008F5543"/>
    <w:rsid w:val="008F56EC"/>
    <w:rsid w:val="008F56FD"/>
    <w:rsid w:val="008F57EF"/>
    <w:rsid w:val="008F5962"/>
    <w:rsid w:val="008F6209"/>
    <w:rsid w:val="008F62B2"/>
    <w:rsid w:val="008F62CE"/>
    <w:rsid w:val="008F6553"/>
    <w:rsid w:val="008F694F"/>
    <w:rsid w:val="008F6B2E"/>
    <w:rsid w:val="008F6DEF"/>
    <w:rsid w:val="008F7082"/>
    <w:rsid w:val="008F755A"/>
    <w:rsid w:val="008F78CC"/>
    <w:rsid w:val="008F7A79"/>
    <w:rsid w:val="008F7AA1"/>
    <w:rsid w:val="008F7B22"/>
    <w:rsid w:val="008F7BB0"/>
    <w:rsid w:val="0090025D"/>
    <w:rsid w:val="00900969"/>
    <w:rsid w:val="00900A11"/>
    <w:rsid w:val="00900E36"/>
    <w:rsid w:val="00900E91"/>
    <w:rsid w:val="00901149"/>
    <w:rsid w:val="009019FD"/>
    <w:rsid w:val="00901D6D"/>
    <w:rsid w:val="00901DEB"/>
    <w:rsid w:val="00902566"/>
    <w:rsid w:val="0090263C"/>
    <w:rsid w:val="00902838"/>
    <w:rsid w:val="009028F0"/>
    <w:rsid w:val="00902A82"/>
    <w:rsid w:val="00902C88"/>
    <w:rsid w:val="00903382"/>
    <w:rsid w:val="009036FA"/>
    <w:rsid w:val="00903709"/>
    <w:rsid w:val="00904344"/>
    <w:rsid w:val="009045D0"/>
    <w:rsid w:val="00904754"/>
    <w:rsid w:val="00904A60"/>
    <w:rsid w:val="00904E19"/>
    <w:rsid w:val="009052B4"/>
    <w:rsid w:val="00905365"/>
    <w:rsid w:val="00905D24"/>
    <w:rsid w:val="00905F89"/>
    <w:rsid w:val="0090612A"/>
    <w:rsid w:val="00906640"/>
    <w:rsid w:val="009068CE"/>
    <w:rsid w:val="00906BDB"/>
    <w:rsid w:val="00906FAB"/>
    <w:rsid w:val="00907143"/>
    <w:rsid w:val="00907174"/>
    <w:rsid w:val="00910719"/>
    <w:rsid w:val="0091105F"/>
    <w:rsid w:val="00911097"/>
    <w:rsid w:val="0091114D"/>
    <w:rsid w:val="00911846"/>
    <w:rsid w:val="00911BA1"/>
    <w:rsid w:val="0091213A"/>
    <w:rsid w:val="009129A2"/>
    <w:rsid w:val="00912BFE"/>
    <w:rsid w:val="00912C9B"/>
    <w:rsid w:val="0091304F"/>
    <w:rsid w:val="009135A0"/>
    <w:rsid w:val="009136B9"/>
    <w:rsid w:val="0091381E"/>
    <w:rsid w:val="009138AC"/>
    <w:rsid w:val="00913AC5"/>
    <w:rsid w:val="00913DE6"/>
    <w:rsid w:val="00914042"/>
    <w:rsid w:val="009141B9"/>
    <w:rsid w:val="009142F5"/>
    <w:rsid w:val="0091453D"/>
    <w:rsid w:val="00915E9F"/>
    <w:rsid w:val="00915F83"/>
    <w:rsid w:val="009160D4"/>
    <w:rsid w:val="0091635E"/>
    <w:rsid w:val="0091693E"/>
    <w:rsid w:val="00916A83"/>
    <w:rsid w:val="00916CD7"/>
    <w:rsid w:val="00916F27"/>
    <w:rsid w:val="00916F5A"/>
    <w:rsid w:val="00916F8F"/>
    <w:rsid w:val="0091702E"/>
    <w:rsid w:val="009170E2"/>
    <w:rsid w:val="00917181"/>
    <w:rsid w:val="00917234"/>
    <w:rsid w:val="009173A1"/>
    <w:rsid w:val="0091749F"/>
    <w:rsid w:val="00917592"/>
    <w:rsid w:val="0091782A"/>
    <w:rsid w:val="00917B00"/>
    <w:rsid w:val="009200EE"/>
    <w:rsid w:val="009202F7"/>
    <w:rsid w:val="00920343"/>
    <w:rsid w:val="009203FB"/>
    <w:rsid w:val="009204F5"/>
    <w:rsid w:val="00920756"/>
    <w:rsid w:val="009208BE"/>
    <w:rsid w:val="009208D6"/>
    <w:rsid w:val="0092130B"/>
    <w:rsid w:val="009215F5"/>
    <w:rsid w:val="009223FA"/>
    <w:rsid w:val="009224BA"/>
    <w:rsid w:val="00922573"/>
    <w:rsid w:val="0092261B"/>
    <w:rsid w:val="009229BB"/>
    <w:rsid w:val="009229D3"/>
    <w:rsid w:val="00922B64"/>
    <w:rsid w:val="00922D9B"/>
    <w:rsid w:val="00922F02"/>
    <w:rsid w:val="00922F5D"/>
    <w:rsid w:val="009230DC"/>
    <w:rsid w:val="009235B7"/>
    <w:rsid w:val="00924102"/>
    <w:rsid w:val="00924442"/>
    <w:rsid w:val="00924BDF"/>
    <w:rsid w:val="009250F8"/>
    <w:rsid w:val="009251E7"/>
    <w:rsid w:val="00925725"/>
    <w:rsid w:val="00925C5D"/>
    <w:rsid w:val="00925C69"/>
    <w:rsid w:val="00925E8F"/>
    <w:rsid w:val="00925F21"/>
    <w:rsid w:val="00926499"/>
    <w:rsid w:val="0092654E"/>
    <w:rsid w:val="0092674F"/>
    <w:rsid w:val="0092690A"/>
    <w:rsid w:val="00926946"/>
    <w:rsid w:val="00926995"/>
    <w:rsid w:val="00926BFA"/>
    <w:rsid w:val="0092757B"/>
    <w:rsid w:val="009278FB"/>
    <w:rsid w:val="00927D5D"/>
    <w:rsid w:val="0093007E"/>
    <w:rsid w:val="009300E0"/>
    <w:rsid w:val="00930308"/>
    <w:rsid w:val="0093030F"/>
    <w:rsid w:val="009303F8"/>
    <w:rsid w:val="00930427"/>
    <w:rsid w:val="009306B6"/>
    <w:rsid w:val="0093098E"/>
    <w:rsid w:val="0093165B"/>
    <w:rsid w:val="00931972"/>
    <w:rsid w:val="009319DB"/>
    <w:rsid w:val="00931FF3"/>
    <w:rsid w:val="00933061"/>
    <w:rsid w:val="00933B48"/>
    <w:rsid w:val="00933F39"/>
    <w:rsid w:val="00934307"/>
    <w:rsid w:val="00934952"/>
    <w:rsid w:val="00934E41"/>
    <w:rsid w:val="00935183"/>
    <w:rsid w:val="0093538B"/>
    <w:rsid w:val="00935887"/>
    <w:rsid w:val="00936192"/>
    <w:rsid w:val="009362ED"/>
    <w:rsid w:val="0093689C"/>
    <w:rsid w:val="00936993"/>
    <w:rsid w:val="00936B12"/>
    <w:rsid w:val="00936B5B"/>
    <w:rsid w:val="00936B6F"/>
    <w:rsid w:val="00936FA5"/>
    <w:rsid w:val="00936FC8"/>
    <w:rsid w:val="00937185"/>
    <w:rsid w:val="00937190"/>
    <w:rsid w:val="009371F1"/>
    <w:rsid w:val="009373C8"/>
    <w:rsid w:val="00937F71"/>
    <w:rsid w:val="0094017A"/>
    <w:rsid w:val="00940447"/>
    <w:rsid w:val="00940464"/>
    <w:rsid w:val="00940515"/>
    <w:rsid w:val="00940B78"/>
    <w:rsid w:val="00940B89"/>
    <w:rsid w:val="00940EE8"/>
    <w:rsid w:val="00941256"/>
    <w:rsid w:val="00941300"/>
    <w:rsid w:val="009413C4"/>
    <w:rsid w:val="00941E7E"/>
    <w:rsid w:val="00942080"/>
    <w:rsid w:val="009421FD"/>
    <w:rsid w:val="009422B4"/>
    <w:rsid w:val="00942374"/>
    <w:rsid w:val="009428EF"/>
    <w:rsid w:val="00942BF1"/>
    <w:rsid w:val="00942D33"/>
    <w:rsid w:val="00942DE4"/>
    <w:rsid w:val="00942F03"/>
    <w:rsid w:val="00942F8D"/>
    <w:rsid w:val="00943115"/>
    <w:rsid w:val="00943174"/>
    <w:rsid w:val="009432F0"/>
    <w:rsid w:val="0094356E"/>
    <w:rsid w:val="009436CC"/>
    <w:rsid w:val="009436FD"/>
    <w:rsid w:val="00943709"/>
    <w:rsid w:val="0094392D"/>
    <w:rsid w:val="00943ACE"/>
    <w:rsid w:val="00943C19"/>
    <w:rsid w:val="00943D48"/>
    <w:rsid w:val="00944345"/>
    <w:rsid w:val="00944376"/>
    <w:rsid w:val="009447D2"/>
    <w:rsid w:val="00944938"/>
    <w:rsid w:val="00944D4D"/>
    <w:rsid w:val="009450A3"/>
    <w:rsid w:val="009453D6"/>
    <w:rsid w:val="009454C6"/>
    <w:rsid w:val="0094555D"/>
    <w:rsid w:val="0094562B"/>
    <w:rsid w:val="0094570D"/>
    <w:rsid w:val="0094586A"/>
    <w:rsid w:val="00945BA5"/>
    <w:rsid w:val="00946016"/>
    <w:rsid w:val="00946280"/>
    <w:rsid w:val="009463F9"/>
    <w:rsid w:val="00946852"/>
    <w:rsid w:val="00946872"/>
    <w:rsid w:val="00947285"/>
    <w:rsid w:val="009472DA"/>
    <w:rsid w:val="009473D0"/>
    <w:rsid w:val="00947564"/>
    <w:rsid w:val="0094791A"/>
    <w:rsid w:val="00947BC1"/>
    <w:rsid w:val="00947F07"/>
    <w:rsid w:val="00947FBD"/>
    <w:rsid w:val="0095019F"/>
    <w:rsid w:val="00950223"/>
    <w:rsid w:val="0095023E"/>
    <w:rsid w:val="00950AAC"/>
    <w:rsid w:val="00950DA5"/>
    <w:rsid w:val="00950F39"/>
    <w:rsid w:val="009511E4"/>
    <w:rsid w:val="0095193F"/>
    <w:rsid w:val="009519B8"/>
    <w:rsid w:val="00952411"/>
    <w:rsid w:val="00952A5F"/>
    <w:rsid w:val="00952AC5"/>
    <w:rsid w:val="00952E90"/>
    <w:rsid w:val="00952FA0"/>
    <w:rsid w:val="009531CD"/>
    <w:rsid w:val="00953588"/>
    <w:rsid w:val="00953604"/>
    <w:rsid w:val="00953758"/>
    <w:rsid w:val="009537CA"/>
    <w:rsid w:val="0095385F"/>
    <w:rsid w:val="00953E78"/>
    <w:rsid w:val="0095430D"/>
    <w:rsid w:val="009549BD"/>
    <w:rsid w:val="00954A34"/>
    <w:rsid w:val="00954AC7"/>
    <w:rsid w:val="00954D17"/>
    <w:rsid w:val="009551D7"/>
    <w:rsid w:val="00955520"/>
    <w:rsid w:val="009559AD"/>
    <w:rsid w:val="00955DD6"/>
    <w:rsid w:val="00955E04"/>
    <w:rsid w:val="00956043"/>
    <w:rsid w:val="0095648D"/>
    <w:rsid w:val="009569FD"/>
    <w:rsid w:val="00956A76"/>
    <w:rsid w:val="0095788B"/>
    <w:rsid w:val="00957B1E"/>
    <w:rsid w:val="00957E2A"/>
    <w:rsid w:val="00957F25"/>
    <w:rsid w:val="009602F8"/>
    <w:rsid w:val="00960988"/>
    <w:rsid w:val="00960B44"/>
    <w:rsid w:val="0096105F"/>
    <w:rsid w:val="009611C1"/>
    <w:rsid w:val="00961C7C"/>
    <w:rsid w:val="00961E44"/>
    <w:rsid w:val="00961F3E"/>
    <w:rsid w:val="009628E4"/>
    <w:rsid w:val="009629D2"/>
    <w:rsid w:val="00962DD9"/>
    <w:rsid w:val="009631BE"/>
    <w:rsid w:val="00963D43"/>
    <w:rsid w:val="00963F1F"/>
    <w:rsid w:val="00963F6E"/>
    <w:rsid w:val="00963F92"/>
    <w:rsid w:val="00964173"/>
    <w:rsid w:val="009644FE"/>
    <w:rsid w:val="0096501D"/>
    <w:rsid w:val="0096598E"/>
    <w:rsid w:val="00965A8D"/>
    <w:rsid w:val="009663B1"/>
    <w:rsid w:val="009663E2"/>
    <w:rsid w:val="00966C37"/>
    <w:rsid w:val="00967141"/>
    <w:rsid w:val="00967186"/>
    <w:rsid w:val="00967447"/>
    <w:rsid w:val="009674F1"/>
    <w:rsid w:val="0096764D"/>
    <w:rsid w:val="0096785C"/>
    <w:rsid w:val="00967ADD"/>
    <w:rsid w:val="00967B11"/>
    <w:rsid w:val="00967B37"/>
    <w:rsid w:val="00967F65"/>
    <w:rsid w:val="00970025"/>
    <w:rsid w:val="0097035F"/>
    <w:rsid w:val="009703A3"/>
    <w:rsid w:val="00970A1A"/>
    <w:rsid w:val="00970C34"/>
    <w:rsid w:val="00970E41"/>
    <w:rsid w:val="00971082"/>
    <w:rsid w:val="00971224"/>
    <w:rsid w:val="00971343"/>
    <w:rsid w:val="0097197B"/>
    <w:rsid w:val="00971A91"/>
    <w:rsid w:val="00971F00"/>
    <w:rsid w:val="0097245F"/>
    <w:rsid w:val="00972504"/>
    <w:rsid w:val="00972A4C"/>
    <w:rsid w:val="00972ACC"/>
    <w:rsid w:val="00972D27"/>
    <w:rsid w:val="0097300C"/>
    <w:rsid w:val="00973224"/>
    <w:rsid w:val="009734AD"/>
    <w:rsid w:val="00973C75"/>
    <w:rsid w:val="00974A62"/>
    <w:rsid w:val="00974B64"/>
    <w:rsid w:val="00974D0E"/>
    <w:rsid w:val="00974E2E"/>
    <w:rsid w:val="0097546C"/>
    <w:rsid w:val="009769E9"/>
    <w:rsid w:val="00976BC0"/>
    <w:rsid w:val="00976D49"/>
    <w:rsid w:val="009770A9"/>
    <w:rsid w:val="00977500"/>
    <w:rsid w:val="009779D4"/>
    <w:rsid w:val="00977C3E"/>
    <w:rsid w:val="00977CF0"/>
    <w:rsid w:val="00977DA1"/>
    <w:rsid w:val="009802CB"/>
    <w:rsid w:val="00980440"/>
    <w:rsid w:val="00980AE8"/>
    <w:rsid w:val="00980B82"/>
    <w:rsid w:val="00980CCB"/>
    <w:rsid w:val="009812B2"/>
    <w:rsid w:val="0098137E"/>
    <w:rsid w:val="00981406"/>
    <w:rsid w:val="00981431"/>
    <w:rsid w:val="00981ED0"/>
    <w:rsid w:val="00983B27"/>
    <w:rsid w:val="00984506"/>
    <w:rsid w:val="0098493D"/>
    <w:rsid w:val="00984AE0"/>
    <w:rsid w:val="00984DBF"/>
    <w:rsid w:val="009850C0"/>
    <w:rsid w:val="00985165"/>
    <w:rsid w:val="009857EB"/>
    <w:rsid w:val="009857F3"/>
    <w:rsid w:val="0098588F"/>
    <w:rsid w:val="009860F0"/>
    <w:rsid w:val="009862B7"/>
    <w:rsid w:val="00986434"/>
    <w:rsid w:val="00986716"/>
    <w:rsid w:val="009868F9"/>
    <w:rsid w:val="00986963"/>
    <w:rsid w:val="00986BB7"/>
    <w:rsid w:val="00986ECA"/>
    <w:rsid w:val="00986FFA"/>
    <w:rsid w:val="009873F9"/>
    <w:rsid w:val="0098742D"/>
    <w:rsid w:val="009875F9"/>
    <w:rsid w:val="00987911"/>
    <w:rsid w:val="00990107"/>
    <w:rsid w:val="0099065A"/>
    <w:rsid w:val="00990871"/>
    <w:rsid w:val="00990A5B"/>
    <w:rsid w:val="00991480"/>
    <w:rsid w:val="00991962"/>
    <w:rsid w:val="00991E57"/>
    <w:rsid w:val="00992356"/>
    <w:rsid w:val="009923B1"/>
    <w:rsid w:val="00992623"/>
    <w:rsid w:val="009928FF"/>
    <w:rsid w:val="009929B7"/>
    <w:rsid w:val="00992A33"/>
    <w:rsid w:val="00992A61"/>
    <w:rsid w:val="00992BA2"/>
    <w:rsid w:val="00992C1B"/>
    <w:rsid w:val="0099300D"/>
    <w:rsid w:val="00993B80"/>
    <w:rsid w:val="00993D79"/>
    <w:rsid w:val="00993D97"/>
    <w:rsid w:val="00993DBA"/>
    <w:rsid w:val="009940E6"/>
    <w:rsid w:val="009944F0"/>
    <w:rsid w:val="009948B1"/>
    <w:rsid w:val="00994B0E"/>
    <w:rsid w:val="00994B2A"/>
    <w:rsid w:val="00995457"/>
    <w:rsid w:val="009954A8"/>
    <w:rsid w:val="00995888"/>
    <w:rsid w:val="00995A91"/>
    <w:rsid w:val="00995B5F"/>
    <w:rsid w:val="009961DF"/>
    <w:rsid w:val="009963B0"/>
    <w:rsid w:val="00996752"/>
    <w:rsid w:val="00996AD2"/>
    <w:rsid w:val="00996B22"/>
    <w:rsid w:val="0099712B"/>
    <w:rsid w:val="009971DB"/>
    <w:rsid w:val="009972DD"/>
    <w:rsid w:val="00997340"/>
    <w:rsid w:val="0099765C"/>
    <w:rsid w:val="009A058C"/>
    <w:rsid w:val="009A0653"/>
    <w:rsid w:val="009A08E8"/>
    <w:rsid w:val="009A17A6"/>
    <w:rsid w:val="009A184A"/>
    <w:rsid w:val="009A1E76"/>
    <w:rsid w:val="009A22B3"/>
    <w:rsid w:val="009A2B16"/>
    <w:rsid w:val="009A2C2B"/>
    <w:rsid w:val="009A309B"/>
    <w:rsid w:val="009A352D"/>
    <w:rsid w:val="009A35DB"/>
    <w:rsid w:val="009A3A93"/>
    <w:rsid w:val="009A3E80"/>
    <w:rsid w:val="009A5BAF"/>
    <w:rsid w:val="009A5DDC"/>
    <w:rsid w:val="009A5F21"/>
    <w:rsid w:val="009A5F7A"/>
    <w:rsid w:val="009A6342"/>
    <w:rsid w:val="009A6750"/>
    <w:rsid w:val="009A6762"/>
    <w:rsid w:val="009A67DE"/>
    <w:rsid w:val="009A6AC1"/>
    <w:rsid w:val="009A6B7D"/>
    <w:rsid w:val="009A6B80"/>
    <w:rsid w:val="009A6D75"/>
    <w:rsid w:val="009A7300"/>
    <w:rsid w:val="009A743F"/>
    <w:rsid w:val="009A7583"/>
    <w:rsid w:val="009A7D45"/>
    <w:rsid w:val="009A7F0D"/>
    <w:rsid w:val="009B05AD"/>
    <w:rsid w:val="009B0D07"/>
    <w:rsid w:val="009B0FAE"/>
    <w:rsid w:val="009B1276"/>
    <w:rsid w:val="009B1913"/>
    <w:rsid w:val="009B1B22"/>
    <w:rsid w:val="009B20A1"/>
    <w:rsid w:val="009B2323"/>
    <w:rsid w:val="009B2722"/>
    <w:rsid w:val="009B2B1A"/>
    <w:rsid w:val="009B2D36"/>
    <w:rsid w:val="009B3363"/>
    <w:rsid w:val="009B3384"/>
    <w:rsid w:val="009B3402"/>
    <w:rsid w:val="009B3A45"/>
    <w:rsid w:val="009B43AF"/>
    <w:rsid w:val="009B44E1"/>
    <w:rsid w:val="009B469D"/>
    <w:rsid w:val="009B4838"/>
    <w:rsid w:val="009B4ED0"/>
    <w:rsid w:val="009B50D2"/>
    <w:rsid w:val="009B56F1"/>
    <w:rsid w:val="009B574D"/>
    <w:rsid w:val="009B5836"/>
    <w:rsid w:val="009B5DF1"/>
    <w:rsid w:val="009B5E87"/>
    <w:rsid w:val="009B603C"/>
    <w:rsid w:val="009B6110"/>
    <w:rsid w:val="009B6241"/>
    <w:rsid w:val="009B656D"/>
    <w:rsid w:val="009B6675"/>
    <w:rsid w:val="009B68F6"/>
    <w:rsid w:val="009B6A69"/>
    <w:rsid w:val="009B6EE5"/>
    <w:rsid w:val="009B725B"/>
    <w:rsid w:val="009B73CE"/>
    <w:rsid w:val="009B76F3"/>
    <w:rsid w:val="009B7716"/>
    <w:rsid w:val="009B77C6"/>
    <w:rsid w:val="009B7864"/>
    <w:rsid w:val="009B78EB"/>
    <w:rsid w:val="009B7902"/>
    <w:rsid w:val="009B7E32"/>
    <w:rsid w:val="009B7F3F"/>
    <w:rsid w:val="009C01F6"/>
    <w:rsid w:val="009C05AA"/>
    <w:rsid w:val="009C06D0"/>
    <w:rsid w:val="009C0767"/>
    <w:rsid w:val="009C0A13"/>
    <w:rsid w:val="009C0B55"/>
    <w:rsid w:val="009C0C62"/>
    <w:rsid w:val="009C0E45"/>
    <w:rsid w:val="009C0F86"/>
    <w:rsid w:val="009C1028"/>
    <w:rsid w:val="009C1460"/>
    <w:rsid w:val="009C16A0"/>
    <w:rsid w:val="009C1816"/>
    <w:rsid w:val="009C1AB3"/>
    <w:rsid w:val="009C1DCB"/>
    <w:rsid w:val="009C1F36"/>
    <w:rsid w:val="009C2A7C"/>
    <w:rsid w:val="009C2BDC"/>
    <w:rsid w:val="009C2C4F"/>
    <w:rsid w:val="009C2C77"/>
    <w:rsid w:val="009C2CD9"/>
    <w:rsid w:val="009C31A2"/>
    <w:rsid w:val="009C33EF"/>
    <w:rsid w:val="009C3416"/>
    <w:rsid w:val="009C356E"/>
    <w:rsid w:val="009C36D4"/>
    <w:rsid w:val="009C3DF4"/>
    <w:rsid w:val="009C3E7A"/>
    <w:rsid w:val="009C48AA"/>
    <w:rsid w:val="009C5466"/>
    <w:rsid w:val="009C54E5"/>
    <w:rsid w:val="009C5609"/>
    <w:rsid w:val="009C58EB"/>
    <w:rsid w:val="009C5B01"/>
    <w:rsid w:val="009C5B0B"/>
    <w:rsid w:val="009C5D2F"/>
    <w:rsid w:val="009C5D33"/>
    <w:rsid w:val="009C5F2C"/>
    <w:rsid w:val="009C60C5"/>
    <w:rsid w:val="009C60F6"/>
    <w:rsid w:val="009C6445"/>
    <w:rsid w:val="009C68D4"/>
    <w:rsid w:val="009C6922"/>
    <w:rsid w:val="009C695B"/>
    <w:rsid w:val="009C6A26"/>
    <w:rsid w:val="009C6C99"/>
    <w:rsid w:val="009C7060"/>
    <w:rsid w:val="009C735B"/>
    <w:rsid w:val="009C770B"/>
    <w:rsid w:val="009C7895"/>
    <w:rsid w:val="009C7B7E"/>
    <w:rsid w:val="009C7B87"/>
    <w:rsid w:val="009D033A"/>
    <w:rsid w:val="009D03DA"/>
    <w:rsid w:val="009D03E0"/>
    <w:rsid w:val="009D129D"/>
    <w:rsid w:val="009D167F"/>
    <w:rsid w:val="009D17A5"/>
    <w:rsid w:val="009D1A37"/>
    <w:rsid w:val="009D1AAB"/>
    <w:rsid w:val="009D21BE"/>
    <w:rsid w:val="009D2A06"/>
    <w:rsid w:val="009D2EBA"/>
    <w:rsid w:val="009D3679"/>
    <w:rsid w:val="009D3799"/>
    <w:rsid w:val="009D3B30"/>
    <w:rsid w:val="009D3B99"/>
    <w:rsid w:val="009D3BC6"/>
    <w:rsid w:val="009D47D1"/>
    <w:rsid w:val="009D488F"/>
    <w:rsid w:val="009D4B5D"/>
    <w:rsid w:val="009D5082"/>
    <w:rsid w:val="009D528C"/>
    <w:rsid w:val="009D56D9"/>
    <w:rsid w:val="009D5D1F"/>
    <w:rsid w:val="009D5FA2"/>
    <w:rsid w:val="009D5FCC"/>
    <w:rsid w:val="009D6075"/>
    <w:rsid w:val="009D6BCB"/>
    <w:rsid w:val="009D701D"/>
    <w:rsid w:val="009D79E8"/>
    <w:rsid w:val="009D7D91"/>
    <w:rsid w:val="009D7F60"/>
    <w:rsid w:val="009E05D8"/>
    <w:rsid w:val="009E07F3"/>
    <w:rsid w:val="009E09E8"/>
    <w:rsid w:val="009E0B36"/>
    <w:rsid w:val="009E0D37"/>
    <w:rsid w:val="009E1077"/>
    <w:rsid w:val="009E14DC"/>
    <w:rsid w:val="009E187D"/>
    <w:rsid w:val="009E19BE"/>
    <w:rsid w:val="009E1A3F"/>
    <w:rsid w:val="009E1BF5"/>
    <w:rsid w:val="009E1C7F"/>
    <w:rsid w:val="009E1D51"/>
    <w:rsid w:val="009E1E51"/>
    <w:rsid w:val="009E1F59"/>
    <w:rsid w:val="009E288D"/>
    <w:rsid w:val="009E3064"/>
    <w:rsid w:val="009E30A6"/>
    <w:rsid w:val="009E322A"/>
    <w:rsid w:val="009E32DA"/>
    <w:rsid w:val="009E3338"/>
    <w:rsid w:val="009E399E"/>
    <w:rsid w:val="009E39BD"/>
    <w:rsid w:val="009E3B04"/>
    <w:rsid w:val="009E3EEF"/>
    <w:rsid w:val="009E3F3A"/>
    <w:rsid w:val="009E4649"/>
    <w:rsid w:val="009E49FA"/>
    <w:rsid w:val="009E4BD5"/>
    <w:rsid w:val="009E5D24"/>
    <w:rsid w:val="009E5E78"/>
    <w:rsid w:val="009E5FAD"/>
    <w:rsid w:val="009E5FC1"/>
    <w:rsid w:val="009E607B"/>
    <w:rsid w:val="009E6184"/>
    <w:rsid w:val="009E6221"/>
    <w:rsid w:val="009E637A"/>
    <w:rsid w:val="009E65BE"/>
    <w:rsid w:val="009E6704"/>
    <w:rsid w:val="009E6863"/>
    <w:rsid w:val="009E68AB"/>
    <w:rsid w:val="009E6B55"/>
    <w:rsid w:val="009E742E"/>
    <w:rsid w:val="009E7819"/>
    <w:rsid w:val="009E7F56"/>
    <w:rsid w:val="009F0361"/>
    <w:rsid w:val="009F0B88"/>
    <w:rsid w:val="009F0CCA"/>
    <w:rsid w:val="009F1083"/>
    <w:rsid w:val="009F166D"/>
    <w:rsid w:val="009F183A"/>
    <w:rsid w:val="009F1933"/>
    <w:rsid w:val="009F1D55"/>
    <w:rsid w:val="009F2DD4"/>
    <w:rsid w:val="009F30BB"/>
    <w:rsid w:val="009F30F6"/>
    <w:rsid w:val="009F32EF"/>
    <w:rsid w:val="009F33CF"/>
    <w:rsid w:val="009F357C"/>
    <w:rsid w:val="009F3797"/>
    <w:rsid w:val="009F3F62"/>
    <w:rsid w:val="009F4113"/>
    <w:rsid w:val="009F4787"/>
    <w:rsid w:val="009F4B39"/>
    <w:rsid w:val="009F4D17"/>
    <w:rsid w:val="009F5553"/>
    <w:rsid w:val="009F5D43"/>
    <w:rsid w:val="009F5E43"/>
    <w:rsid w:val="009F623F"/>
    <w:rsid w:val="009F62EA"/>
    <w:rsid w:val="009F64F6"/>
    <w:rsid w:val="009F6FF7"/>
    <w:rsid w:val="009F7105"/>
    <w:rsid w:val="009F73A7"/>
    <w:rsid w:val="009F75E6"/>
    <w:rsid w:val="009F77CC"/>
    <w:rsid w:val="009F7B9F"/>
    <w:rsid w:val="009F7DE2"/>
    <w:rsid w:val="009F7DF5"/>
    <w:rsid w:val="00A0013A"/>
    <w:rsid w:val="00A00AD5"/>
    <w:rsid w:val="00A00CA5"/>
    <w:rsid w:val="00A00CF1"/>
    <w:rsid w:val="00A010ED"/>
    <w:rsid w:val="00A01283"/>
    <w:rsid w:val="00A0158D"/>
    <w:rsid w:val="00A0191E"/>
    <w:rsid w:val="00A01A69"/>
    <w:rsid w:val="00A01D9A"/>
    <w:rsid w:val="00A02161"/>
    <w:rsid w:val="00A0266D"/>
    <w:rsid w:val="00A03062"/>
    <w:rsid w:val="00A03134"/>
    <w:rsid w:val="00A035FE"/>
    <w:rsid w:val="00A0369E"/>
    <w:rsid w:val="00A04006"/>
    <w:rsid w:val="00A0421B"/>
    <w:rsid w:val="00A045F1"/>
    <w:rsid w:val="00A04B86"/>
    <w:rsid w:val="00A04C4D"/>
    <w:rsid w:val="00A04E76"/>
    <w:rsid w:val="00A05234"/>
    <w:rsid w:val="00A05A69"/>
    <w:rsid w:val="00A05C55"/>
    <w:rsid w:val="00A0600A"/>
    <w:rsid w:val="00A065DC"/>
    <w:rsid w:val="00A06616"/>
    <w:rsid w:val="00A06943"/>
    <w:rsid w:val="00A06A0F"/>
    <w:rsid w:val="00A07375"/>
    <w:rsid w:val="00A0739B"/>
    <w:rsid w:val="00A075D8"/>
    <w:rsid w:val="00A07619"/>
    <w:rsid w:val="00A0770D"/>
    <w:rsid w:val="00A078D5"/>
    <w:rsid w:val="00A07E1F"/>
    <w:rsid w:val="00A101BB"/>
    <w:rsid w:val="00A102FB"/>
    <w:rsid w:val="00A106D9"/>
    <w:rsid w:val="00A106ED"/>
    <w:rsid w:val="00A10843"/>
    <w:rsid w:val="00A10CD7"/>
    <w:rsid w:val="00A10E3E"/>
    <w:rsid w:val="00A10ED1"/>
    <w:rsid w:val="00A10FCF"/>
    <w:rsid w:val="00A11747"/>
    <w:rsid w:val="00A119BF"/>
    <w:rsid w:val="00A11E2F"/>
    <w:rsid w:val="00A11F49"/>
    <w:rsid w:val="00A11FD7"/>
    <w:rsid w:val="00A125FB"/>
    <w:rsid w:val="00A12841"/>
    <w:rsid w:val="00A128EB"/>
    <w:rsid w:val="00A12DFB"/>
    <w:rsid w:val="00A13AF1"/>
    <w:rsid w:val="00A13C62"/>
    <w:rsid w:val="00A13E46"/>
    <w:rsid w:val="00A1418A"/>
    <w:rsid w:val="00A141FD"/>
    <w:rsid w:val="00A14299"/>
    <w:rsid w:val="00A14F7C"/>
    <w:rsid w:val="00A1500B"/>
    <w:rsid w:val="00A151CF"/>
    <w:rsid w:val="00A1530D"/>
    <w:rsid w:val="00A1555D"/>
    <w:rsid w:val="00A156F8"/>
    <w:rsid w:val="00A15970"/>
    <w:rsid w:val="00A15A66"/>
    <w:rsid w:val="00A15F7D"/>
    <w:rsid w:val="00A16068"/>
    <w:rsid w:val="00A16315"/>
    <w:rsid w:val="00A169C3"/>
    <w:rsid w:val="00A16AA9"/>
    <w:rsid w:val="00A171FB"/>
    <w:rsid w:val="00A17359"/>
    <w:rsid w:val="00A173B6"/>
    <w:rsid w:val="00A17515"/>
    <w:rsid w:val="00A177D3"/>
    <w:rsid w:val="00A1785C"/>
    <w:rsid w:val="00A17AF8"/>
    <w:rsid w:val="00A17D9A"/>
    <w:rsid w:val="00A17FB2"/>
    <w:rsid w:val="00A20087"/>
    <w:rsid w:val="00A2035D"/>
    <w:rsid w:val="00A205B2"/>
    <w:rsid w:val="00A2089A"/>
    <w:rsid w:val="00A20AC5"/>
    <w:rsid w:val="00A20F46"/>
    <w:rsid w:val="00A20F92"/>
    <w:rsid w:val="00A21241"/>
    <w:rsid w:val="00A214E2"/>
    <w:rsid w:val="00A21A8A"/>
    <w:rsid w:val="00A21D3D"/>
    <w:rsid w:val="00A21FC3"/>
    <w:rsid w:val="00A22BF9"/>
    <w:rsid w:val="00A22D72"/>
    <w:rsid w:val="00A230E5"/>
    <w:rsid w:val="00A23193"/>
    <w:rsid w:val="00A232E6"/>
    <w:rsid w:val="00A242EA"/>
    <w:rsid w:val="00A243C1"/>
    <w:rsid w:val="00A244A4"/>
    <w:rsid w:val="00A248AC"/>
    <w:rsid w:val="00A24B2F"/>
    <w:rsid w:val="00A24D8A"/>
    <w:rsid w:val="00A2512E"/>
    <w:rsid w:val="00A256BD"/>
    <w:rsid w:val="00A25737"/>
    <w:rsid w:val="00A25961"/>
    <w:rsid w:val="00A25ED4"/>
    <w:rsid w:val="00A26126"/>
    <w:rsid w:val="00A26292"/>
    <w:rsid w:val="00A26300"/>
    <w:rsid w:val="00A264B2"/>
    <w:rsid w:val="00A26A3F"/>
    <w:rsid w:val="00A274FB"/>
    <w:rsid w:val="00A2752E"/>
    <w:rsid w:val="00A27B7A"/>
    <w:rsid w:val="00A27CAF"/>
    <w:rsid w:val="00A30676"/>
    <w:rsid w:val="00A3075B"/>
    <w:rsid w:val="00A30C35"/>
    <w:rsid w:val="00A3123E"/>
    <w:rsid w:val="00A313C8"/>
    <w:rsid w:val="00A316FA"/>
    <w:rsid w:val="00A31CA3"/>
    <w:rsid w:val="00A32338"/>
    <w:rsid w:val="00A32438"/>
    <w:rsid w:val="00A325CA"/>
    <w:rsid w:val="00A3269E"/>
    <w:rsid w:val="00A32875"/>
    <w:rsid w:val="00A32A29"/>
    <w:rsid w:val="00A32AC1"/>
    <w:rsid w:val="00A32BAF"/>
    <w:rsid w:val="00A32CFB"/>
    <w:rsid w:val="00A32D7B"/>
    <w:rsid w:val="00A32FE9"/>
    <w:rsid w:val="00A33055"/>
    <w:rsid w:val="00A333ED"/>
    <w:rsid w:val="00A334B6"/>
    <w:rsid w:val="00A335B4"/>
    <w:rsid w:val="00A33A55"/>
    <w:rsid w:val="00A34503"/>
    <w:rsid w:val="00A3495A"/>
    <w:rsid w:val="00A34CD3"/>
    <w:rsid w:val="00A34E24"/>
    <w:rsid w:val="00A3557E"/>
    <w:rsid w:val="00A35624"/>
    <w:rsid w:val="00A356D6"/>
    <w:rsid w:val="00A356EF"/>
    <w:rsid w:val="00A35741"/>
    <w:rsid w:val="00A35743"/>
    <w:rsid w:val="00A35DFD"/>
    <w:rsid w:val="00A35E39"/>
    <w:rsid w:val="00A35E81"/>
    <w:rsid w:val="00A367C5"/>
    <w:rsid w:val="00A368EC"/>
    <w:rsid w:val="00A3709E"/>
    <w:rsid w:val="00A375B8"/>
    <w:rsid w:val="00A377D2"/>
    <w:rsid w:val="00A377DB"/>
    <w:rsid w:val="00A37832"/>
    <w:rsid w:val="00A37E81"/>
    <w:rsid w:val="00A40040"/>
    <w:rsid w:val="00A40551"/>
    <w:rsid w:val="00A4074B"/>
    <w:rsid w:val="00A409E0"/>
    <w:rsid w:val="00A41260"/>
    <w:rsid w:val="00A41BC6"/>
    <w:rsid w:val="00A420E5"/>
    <w:rsid w:val="00A42621"/>
    <w:rsid w:val="00A42839"/>
    <w:rsid w:val="00A4286B"/>
    <w:rsid w:val="00A42A3A"/>
    <w:rsid w:val="00A42A93"/>
    <w:rsid w:val="00A430A7"/>
    <w:rsid w:val="00A43114"/>
    <w:rsid w:val="00A4385B"/>
    <w:rsid w:val="00A4392A"/>
    <w:rsid w:val="00A43E45"/>
    <w:rsid w:val="00A447AB"/>
    <w:rsid w:val="00A44A94"/>
    <w:rsid w:val="00A44E93"/>
    <w:rsid w:val="00A44EE7"/>
    <w:rsid w:val="00A45888"/>
    <w:rsid w:val="00A46090"/>
    <w:rsid w:val="00A461E5"/>
    <w:rsid w:val="00A4646C"/>
    <w:rsid w:val="00A46615"/>
    <w:rsid w:val="00A4687F"/>
    <w:rsid w:val="00A46ADE"/>
    <w:rsid w:val="00A46B92"/>
    <w:rsid w:val="00A46DBF"/>
    <w:rsid w:val="00A4731D"/>
    <w:rsid w:val="00A4758E"/>
    <w:rsid w:val="00A47816"/>
    <w:rsid w:val="00A478C3"/>
    <w:rsid w:val="00A47B1E"/>
    <w:rsid w:val="00A47C21"/>
    <w:rsid w:val="00A47D27"/>
    <w:rsid w:val="00A500C2"/>
    <w:rsid w:val="00A50204"/>
    <w:rsid w:val="00A506E8"/>
    <w:rsid w:val="00A50736"/>
    <w:rsid w:val="00A5096C"/>
    <w:rsid w:val="00A50D0F"/>
    <w:rsid w:val="00A50DFD"/>
    <w:rsid w:val="00A51037"/>
    <w:rsid w:val="00A510C1"/>
    <w:rsid w:val="00A51220"/>
    <w:rsid w:val="00A51272"/>
    <w:rsid w:val="00A51A59"/>
    <w:rsid w:val="00A51C60"/>
    <w:rsid w:val="00A51DD7"/>
    <w:rsid w:val="00A51E1B"/>
    <w:rsid w:val="00A52013"/>
    <w:rsid w:val="00A520F0"/>
    <w:rsid w:val="00A52118"/>
    <w:rsid w:val="00A52358"/>
    <w:rsid w:val="00A526C6"/>
    <w:rsid w:val="00A526E0"/>
    <w:rsid w:val="00A52E63"/>
    <w:rsid w:val="00A52FC4"/>
    <w:rsid w:val="00A53267"/>
    <w:rsid w:val="00A534D5"/>
    <w:rsid w:val="00A5391B"/>
    <w:rsid w:val="00A53BCC"/>
    <w:rsid w:val="00A54C9F"/>
    <w:rsid w:val="00A55002"/>
    <w:rsid w:val="00A5534C"/>
    <w:rsid w:val="00A5582A"/>
    <w:rsid w:val="00A559BE"/>
    <w:rsid w:val="00A56591"/>
    <w:rsid w:val="00A5679A"/>
    <w:rsid w:val="00A56B0A"/>
    <w:rsid w:val="00A56EE6"/>
    <w:rsid w:val="00A570F8"/>
    <w:rsid w:val="00A57524"/>
    <w:rsid w:val="00A57821"/>
    <w:rsid w:val="00A57E4B"/>
    <w:rsid w:val="00A600C0"/>
    <w:rsid w:val="00A600E2"/>
    <w:rsid w:val="00A60337"/>
    <w:rsid w:val="00A60456"/>
    <w:rsid w:val="00A606C3"/>
    <w:rsid w:val="00A607CB"/>
    <w:rsid w:val="00A60A2B"/>
    <w:rsid w:val="00A60AFC"/>
    <w:rsid w:val="00A60D4D"/>
    <w:rsid w:val="00A6181D"/>
    <w:rsid w:val="00A61B6D"/>
    <w:rsid w:val="00A61D2B"/>
    <w:rsid w:val="00A62319"/>
    <w:rsid w:val="00A62847"/>
    <w:rsid w:val="00A62FB9"/>
    <w:rsid w:val="00A6342F"/>
    <w:rsid w:val="00A63B22"/>
    <w:rsid w:val="00A63F10"/>
    <w:rsid w:val="00A6437B"/>
    <w:rsid w:val="00A64E0D"/>
    <w:rsid w:val="00A64F1C"/>
    <w:rsid w:val="00A653A2"/>
    <w:rsid w:val="00A6549D"/>
    <w:rsid w:val="00A65848"/>
    <w:rsid w:val="00A65B4A"/>
    <w:rsid w:val="00A66973"/>
    <w:rsid w:val="00A66DBA"/>
    <w:rsid w:val="00A6728A"/>
    <w:rsid w:val="00A67A24"/>
    <w:rsid w:val="00A67EF2"/>
    <w:rsid w:val="00A7026F"/>
    <w:rsid w:val="00A702F0"/>
    <w:rsid w:val="00A706C7"/>
    <w:rsid w:val="00A707C4"/>
    <w:rsid w:val="00A70899"/>
    <w:rsid w:val="00A712C3"/>
    <w:rsid w:val="00A71934"/>
    <w:rsid w:val="00A71951"/>
    <w:rsid w:val="00A71A8D"/>
    <w:rsid w:val="00A7208E"/>
    <w:rsid w:val="00A72690"/>
    <w:rsid w:val="00A726DA"/>
    <w:rsid w:val="00A72745"/>
    <w:rsid w:val="00A7298A"/>
    <w:rsid w:val="00A72E39"/>
    <w:rsid w:val="00A72EC8"/>
    <w:rsid w:val="00A72F15"/>
    <w:rsid w:val="00A732CF"/>
    <w:rsid w:val="00A73589"/>
    <w:rsid w:val="00A7373C"/>
    <w:rsid w:val="00A73887"/>
    <w:rsid w:val="00A73937"/>
    <w:rsid w:val="00A73950"/>
    <w:rsid w:val="00A744A2"/>
    <w:rsid w:val="00A74640"/>
    <w:rsid w:val="00A74B12"/>
    <w:rsid w:val="00A74B83"/>
    <w:rsid w:val="00A74BEB"/>
    <w:rsid w:val="00A74F68"/>
    <w:rsid w:val="00A752BD"/>
    <w:rsid w:val="00A756B9"/>
    <w:rsid w:val="00A758AC"/>
    <w:rsid w:val="00A7594C"/>
    <w:rsid w:val="00A75A34"/>
    <w:rsid w:val="00A76025"/>
    <w:rsid w:val="00A7607A"/>
    <w:rsid w:val="00A768AF"/>
    <w:rsid w:val="00A76A5B"/>
    <w:rsid w:val="00A76CE2"/>
    <w:rsid w:val="00A76E7B"/>
    <w:rsid w:val="00A771CF"/>
    <w:rsid w:val="00A7731B"/>
    <w:rsid w:val="00A77762"/>
    <w:rsid w:val="00A778BA"/>
    <w:rsid w:val="00A77D77"/>
    <w:rsid w:val="00A77D83"/>
    <w:rsid w:val="00A77FB0"/>
    <w:rsid w:val="00A80325"/>
    <w:rsid w:val="00A80D71"/>
    <w:rsid w:val="00A80E5B"/>
    <w:rsid w:val="00A8187F"/>
    <w:rsid w:val="00A81E41"/>
    <w:rsid w:val="00A82014"/>
    <w:rsid w:val="00A825C1"/>
    <w:rsid w:val="00A827A6"/>
    <w:rsid w:val="00A827AA"/>
    <w:rsid w:val="00A82AF9"/>
    <w:rsid w:val="00A82B0C"/>
    <w:rsid w:val="00A82B9F"/>
    <w:rsid w:val="00A82ED7"/>
    <w:rsid w:val="00A8323C"/>
    <w:rsid w:val="00A83659"/>
    <w:rsid w:val="00A837C5"/>
    <w:rsid w:val="00A83839"/>
    <w:rsid w:val="00A83B7A"/>
    <w:rsid w:val="00A83B97"/>
    <w:rsid w:val="00A84001"/>
    <w:rsid w:val="00A84207"/>
    <w:rsid w:val="00A849EF"/>
    <w:rsid w:val="00A84DED"/>
    <w:rsid w:val="00A854DC"/>
    <w:rsid w:val="00A8556F"/>
    <w:rsid w:val="00A855E3"/>
    <w:rsid w:val="00A856B2"/>
    <w:rsid w:val="00A856FB"/>
    <w:rsid w:val="00A85A2E"/>
    <w:rsid w:val="00A85D69"/>
    <w:rsid w:val="00A85EED"/>
    <w:rsid w:val="00A85F50"/>
    <w:rsid w:val="00A861A7"/>
    <w:rsid w:val="00A86531"/>
    <w:rsid w:val="00A86E3A"/>
    <w:rsid w:val="00A87053"/>
    <w:rsid w:val="00A8723D"/>
    <w:rsid w:val="00A872B1"/>
    <w:rsid w:val="00A87823"/>
    <w:rsid w:val="00A90706"/>
    <w:rsid w:val="00A908D0"/>
    <w:rsid w:val="00A9097F"/>
    <w:rsid w:val="00A909B2"/>
    <w:rsid w:val="00A90A00"/>
    <w:rsid w:val="00A90DC5"/>
    <w:rsid w:val="00A90E8B"/>
    <w:rsid w:val="00A9104D"/>
    <w:rsid w:val="00A91DA6"/>
    <w:rsid w:val="00A92519"/>
    <w:rsid w:val="00A92A66"/>
    <w:rsid w:val="00A92AC7"/>
    <w:rsid w:val="00A92C12"/>
    <w:rsid w:val="00A92C22"/>
    <w:rsid w:val="00A9318E"/>
    <w:rsid w:val="00A936C7"/>
    <w:rsid w:val="00A9378A"/>
    <w:rsid w:val="00A93828"/>
    <w:rsid w:val="00A93840"/>
    <w:rsid w:val="00A93E5F"/>
    <w:rsid w:val="00A943C3"/>
    <w:rsid w:val="00A94444"/>
    <w:rsid w:val="00A94761"/>
    <w:rsid w:val="00A94EA3"/>
    <w:rsid w:val="00A9578D"/>
    <w:rsid w:val="00A95823"/>
    <w:rsid w:val="00A95A75"/>
    <w:rsid w:val="00A95B91"/>
    <w:rsid w:val="00A95E11"/>
    <w:rsid w:val="00A96077"/>
    <w:rsid w:val="00A96745"/>
    <w:rsid w:val="00A967EE"/>
    <w:rsid w:val="00A97011"/>
    <w:rsid w:val="00A97A0C"/>
    <w:rsid w:val="00A97A27"/>
    <w:rsid w:val="00A97D03"/>
    <w:rsid w:val="00A97F7D"/>
    <w:rsid w:val="00AA0405"/>
    <w:rsid w:val="00AA04B5"/>
    <w:rsid w:val="00AA051D"/>
    <w:rsid w:val="00AA0558"/>
    <w:rsid w:val="00AA098A"/>
    <w:rsid w:val="00AA1168"/>
    <w:rsid w:val="00AA11A5"/>
    <w:rsid w:val="00AA17E6"/>
    <w:rsid w:val="00AA1815"/>
    <w:rsid w:val="00AA1B38"/>
    <w:rsid w:val="00AA2004"/>
    <w:rsid w:val="00AA2A67"/>
    <w:rsid w:val="00AA2C66"/>
    <w:rsid w:val="00AA2DC4"/>
    <w:rsid w:val="00AA30E8"/>
    <w:rsid w:val="00AA3172"/>
    <w:rsid w:val="00AA324F"/>
    <w:rsid w:val="00AA3266"/>
    <w:rsid w:val="00AA34F9"/>
    <w:rsid w:val="00AA35B3"/>
    <w:rsid w:val="00AA3D1E"/>
    <w:rsid w:val="00AA3F96"/>
    <w:rsid w:val="00AA47E0"/>
    <w:rsid w:val="00AA47E4"/>
    <w:rsid w:val="00AA490D"/>
    <w:rsid w:val="00AA4D26"/>
    <w:rsid w:val="00AA4DDC"/>
    <w:rsid w:val="00AA5103"/>
    <w:rsid w:val="00AA51F4"/>
    <w:rsid w:val="00AA562C"/>
    <w:rsid w:val="00AA56A3"/>
    <w:rsid w:val="00AA5982"/>
    <w:rsid w:val="00AA5BD4"/>
    <w:rsid w:val="00AA5F62"/>
    <w:rsid w:val="00AA6288"/>
    <w:rsid w:val="00AA6F93"/>
    <w:rsid w:val="00AA76DC"/>
    <w:rsid w:val="00AA7A05"/>
    <w:rsid w:val="00AA7BCE"/>
    <w:rsid w:val="00AA7C17"/>
    <w:rsid w:val="00AB0626"/>
    <w:rsid w:val="00AB0C57"/>
    <w:rsid w:val="00AB0DCF"/>
    <w:rsid w:val="00AB0E6C"/>
    <w:rsid w:val="00AB0FD4"/>
    <w:rsid w:val="00AB1696"/>
    <w:rsid w:val="00AB16DB"/>
    <w:rsid w:val="00AB18F9"/>
    <w:rsid w:val="00AB1B45"/>
    <w:rsid w:val="00AB1D05"/>
    <w:rsid w:val="00AB20A4"/>
    <w:rsid w:val="00AB2173"/>
    <w:rsid w:val="00AB2533"/>
    <w:rsid w:val="00AB27FB"/>
    <w:rsid w:val="00AB2895"/>
    <w:rsid w:val="00AB29CC"/>
    <w:rsid w:val="00AB31AC"/>
    <w:rsid w:val="00AB31C1"/>
    <w:rsid w:val="00AB3319"/>
    <w:rsid w:val="00AB3502"/>
    <w:rsid w:val="00AB35EB"/>
    <w:rsid w:val="00AB36B8"/>
    <w:rsid w:val="00AB3F26"/>
    <w:rsid w:val="00AB41A8"/>
    <w:rsid w:val="00AB4A08"/>
    <w:rsid w:val="00AB510F"/>
    <w:rsid w:val="00AB526A"/>
    <w:rsid w:val="00AB536D"/>
    <w:rsid w:val="00AB5400"/>
    <w:rsid w:val="00AB546C"/>
    <w:rsid w:val="00AB58EC"/>
    <w:rsid w:val="00AB5D4D"/>
    <w:rsid w:val="00AB5F29"/>
    <w:rsid w:val="00AB605E"/>
    <w:rsid w:val="00AB6147"/>
    <w:rsid w:val="00AB6548"/>
    <w:rsid w:val="00AB6895"/>
    <w:rsid w:val="00AB69A6"/>
    <w:rsid w:val="00AB69CB"/>
    <w:rsid w:val="00AB6CF9"/>
    <w:rsid w:val="00AB7B15"/>
    <w:rsid w:val="00AB7D17"/>
    <w:rsid w:val="00AB7E7B"/>
    <w:rsid w:val="00AC0010"/>
    <w:rsid w:val="00AC0166"/>
    <w:rsid w:val="00AC01B4"/>
    <w:rsid w:val="00AC07C6"/>
    <w:rsid w:val="00AC0C2A"/>
    <w:rsid w:val="00AC1191"/>
    <w:rsid w:val="00AC154A"/>
    <w:rsid w:val="00AC1968"/>
    <w:rsid w:val="00AC1ADD"/>
    <w:rsid w:val="00AC1C75"/>
    <w:rsid w:val="00AC2334"/>
    <w:rsid w:val="00AC2444"/>
    <w:rsid w:val="00AC2933"/>
    <w:rsid w:val="00AC2A46"/>
    <w:rsid w:val="00AC2BA7"/>
    <w:rsid w:val="00AC3491"/>
    <w:rsid w:val="00AC352A"/>
    <w:rsid w:val="00AC3987"/>
    <w:rsid w:val="00AC3C08"/>
    <w:rsid w:val="00AC3C7B"/>
    <w:rsid w:val="00AC3CAE"/>
    <w:rsid w:val="00AC3D28"/>
    <w:rsid w:val="00AC444B"/>
    <w:rsid w:val="00AC5007"/>
    <w:rsid w:val="00AC517C"/>
    <w:rsid w:val="00AC51B4"/>
    <w:rsid w:val="00AC561A"/>
    <w:rsid w:val="00AC5B70"/>
    <w:rsid w:val="00AC5E50"/>
    <w:rsid w:val="00AC60C6"/>
    <w:rsid w:val="00AC661E"/>
    <w:rsid w:val="00AC6757"/>
    <w:rsid w:val="00AC6AA5"/>
    <w:rsid w:val="00AC7180"/>
    <w:rsid w:val="00AC7207"/>
    <w:rsid w:val="00AC7509"/>
    <w:rsid w:val="00AC759E"/>
    <w:rsid w:val="00AC7847"/>
    <w:rsid w:val="00AC7B08"/>
    <w:rsid w:val="00AC7D51"/>
    <w:rsid w:val="00AC7DBE"/>
    <w:rsid w:val="00AD05B0"/>
    <w:rsid w:val="00AD0E84"/>
    <w:rsid w:val="00AD1201"/>
    <w:rsid w:val="00AD1260"/>
    <w:rsid w:val="00AD130C"/>
    <w:rsid w:val="00AD232D"/>
    <w:rsid w:val="00AD26E1"/>
    <w:rsid w:val="00AD2993"/>
    <w:rsid w:val="00AD2D52"/>
    <w:rsid w:val="00AD2D79"/>
    <w:rsid w:val="00AD2E5E"/>
    <w:rsid w:val="00AD2E8F"/>
    <w:rsid w:val="00AD3B67"/>
    <w:rsid w:val="00AD4045"/>
    <w:rsid w:val="00AD4587"/>
    <w:rsid w:val="00AD4613"/>
    <w:rsid w:val="00AD468B"/>
    <w:rsid w:val="00AD47D4"/>
    <w:rsid w:val="00AD4990"/>
    <w:rsid w:val="00AD4ADB"/>
    <w:rsid w:val="00AD4D5E"/>
    <w:rsid w:val="00AD4E47"/>
    <w:rsid w:val="00AD525C"/>
    <w:rsid w:val="00AD535E"/>
    <w:rsid w:val="00AD574F"/>
    <w:rsid w:val="00AD58FF"/>
    <w:rsid w:val="00AD5A7C"/>
    <w:rsid w:val="00AD5C0F"/>
    <w:rsid w:val="00AD68F8"/>
    <w:rsid w:val="00AD6B74"/>
    <w:rsid w:val="00AD6BBD"/>
    <w:rsid w:val="00AD6DDE"/>
    <w:rsid w:val="00AD6DE3"/>
    <w:rsid w:val="00AD76C2"/>
    <w:rsid w:val="00AD7B02"/>
    <w:rsid w:val="00AE0045"/>
    <w:rsid w:val="00AE07D0"/>
    <w:rsid w:val="00AE08A4"/>
    <w:rsid w:val="00AE0ADA"/>
    <w:rsid w:val="00AE0BFF"/>
    <w:rsid w:val="00AE0EE3"/>
    <w:rsid w:val="00AE1120"/>
    <w:rsid w:val="00AE1298"/>
    <w:rsid w:val="00AE1661"/>
    <w:rsid w:val="00AE1816"/>
    <w:rsid w:val="00AE25A5"/>
    <w:rsid w:val="00AE26E3"/>
    <w:rsid w:val="00AE2ACE"/>
    <w:rsid w:val="00AE2CF2"/>
    <w:rsid w:val="00AE2E40"/>
    <w:rsid w:val="00AE332B"/>
    <w:rsid w:val="00AE376C"/>
    <w:rsid w:val="00AE3864"/>
    <w:rsid w:val="00AE3A87"/>
    <w:rsid w:val="00AE3C00"/>
    <w:rsid w:val="00AE3C05"/>
    <w:rsid w:val="00AE3C83"/>
    <w:rsid w:val="00AE4702"/>
    <w:rsid w:val="00AE490A"/>
    <w:rsid w:val="00AE4E85"/>
    <w:rsid w:val="00AE4F7D"/>
    <w:rsid w:val="00AE4FC3"/>
    <w:rsid w:val="00AE5437"/>
    <w:rsid w:val="00AE558D"/>
    <w:rsid w:val="00AE561C"/>
    <w:rsid w:val="00AE5813"/>
    <w:rsid w:val="00AE584C"/>
    <w:rsid w:val="00AE5D0F"/>
    <w:rsid w:val="00AE5DF4"/>
    <w:rsid w:val="00AE5E13"/>
    <w:rsid w:val="00AE5F13"/>
    <w:rsid w:val="00AE5FFD"/>
    <w:rsid w:val="00AE6178"/>
    <w:rsid w:val="00AE6215"/>
    <w:rsid w:val="00AE640D"/>
    <w:rsid w:val="00AE6455"/>
    <w:rsid w:val="00AE64C7"/>
    <w:rsid w:val="00AE6B7B"/>
    <w:rsid w:val="00AE6CD3"/>
    <w:rsid w:val="00AE6CF8"/>
    <w:rsid w:val="00AE6E64"/>
    <w:rsid w:val="00AE6FBF"/>
    <w:rsid w:val="00AE73C2"/>
    <w:rsid w:val="00AF08B6"/>
    <w:rsid w:val="00AF0928"/>
    <w:rsid w:val="00AF0ADD"/>
    <w:rsid w:val="00AF0D91"/>
    <w:rsid w:val="00AF0EC5"/>
    <w:rsid w:val="00AF116D"/>
    <w:rsid w:val="00AF1393"/>
    <w:rsid w:val="00AF146D"/>
    <w:rsid w:val="00AF1497"/>
    <w:rsid w:val="00AF172E"/>
    <w:rsid w:val="00AF1892"/>
    <w:rsid w:val="00AF19FF"/>
    <w:rsid w:val="00AF1B6D"/>
    <w:rsid w:val="00AF1D24"/>
    <w:rsid w:val="00AF1EC1"/>
    <w:rsid w:val="00AF202B"/>
    <w:rsid w:val="00AF2B77"/>
    <w:rsid w:val="00AF3EA8"/>
    <w:rsid w:val="00AF3F7D"/>
    <w:rsid w:val="00AF41CC"/>
    <w:rsid w:val="00AF43E3"/>
    <w:rsid w:val="00AF4727"/>
    <w:rsid w:val="00AF4860"/>
    <w:rsid w:val="00AF49D7"/>
    <w:rsid w:val="00AF4B3B"/>
    <w:rsid w:val="00AF4BC0"/>
    <w:rsid w:val="00AF4DAF"/>
    <w:rsid w:val="00AF4EC4"/>
    <w:rsid w:val="00AF4EEC"/>
    <w:rsid w:val="00AF4FAE"/>
    <w:rsid w:val="00AF526A"/>
    <w:rsid w:val="00AF545B"/>
    <w:rsid w:val="00AF5E7B"/>
    <w:rsid w:val="00AF645C"/>
    <w:rsid w:val="00AF6921"/>
    <w:rsid w:val="00AF6A27"/>
    <w:rsid w:val="00AF6F58"/>
    <w:rsid w:val="00AF7063"/>
    <w:rsid w:val="00AF7398"/>
    <w:rsid w:val="00AF78BE"/>
    <w:rsid w:val="00AF7932"/>
    <w:rsid w:val="00AF7A4F"/>
    <w:rsid w:val="00AF7AA1"/>
    <w:rsid w:val="00AF7AA4"/>
    <w:rsid w:val="00AF7C24"/>
    <w:rsid w:val="00AF7EA6"/>
    <w:rsid w:val="00B00022"/>
    <w:rsid w:val="00B002DA"/>
    <w:rsid w:val="00B006CB"/>
    <w:rsid w:val="00B0080F"/>
    <w:rsid w:val="00B008A5"/>
    <w:rsid w:val="00B00EDF"/>
    <w:rsid w:val="00B00F5C"/>
    <w:rsid w:val="00B01299"/>
    <w:rsid w:val="00B01324"/>
    <w:rsid w:val="00B016F4"/>
    <w:rsid w:val="00B02FC1"/>
    <w:rsid w:val="00B02FF4"/>
    <w:rsid w:val="00B02FF9"/>
    <w:rsid w:val="00B034CD"/>
    <w:rsid w:val="00B037C1"/>
    <w:rsid w:val="00B03EED"/>
    <w:rsid w:val="00B03FEE"/>
    <w:rsid w:val="00B0458E"/>
    <w:rsid w:val="00B04D70"/>
    <w:rsid w:val="00B052F1"/>
    <w:rsid w:val="00B053FD"/>
    <w:rsid w:val="00B054BB"/>
    <w:rsid w:val="00B0553F"/>
    <w:rsid w:val="00B05628"/>
    <w:rsid w:val="00B05EAB"/>
    <w:rsid w:val="00B05F87"/>
    <w:rsid w:val="00B05FF7"/>
    <w:rsid w:val="00B06316"/>
    <w:rsid w:val="00B063DD"/>
    <w:rsid w:val="00B06456"/>
    <w:rsid w:val="00B06AD5"/>
    <w:rsid w:val="00B06C50"/>
    <w:rsid w:val="00B07372"/>
    <w:rsid w:val="00B073B0"/>
    <w:rsid w:val="00B0742E"/>
    <w:rsid w:val="00B07672"/>
    <w:rsid w:val="00B10703"/>
    <w:rsid w:val="00B10972"/>
    <w:rsid w:val="00B10999"/>
    <w:rsid w:val="00B10E3C"/>
    <w:rsid w:val="00B11956"/>
    <w:rsid w:val="00B1208A"/>
    <w:rsid w:val="00B124AB"/>
    <w:rsid w:val="00B126AC"/>
    <w:rsid w:val="00B127F7"/>
    <w:rsid w:val="00B12F07"/>
    <w:rsid w:val="00B130C7"/>
    <w:rsid w:val="00B134FA"/>
    <w:rsid w:val="00B1356E"/>
    <w:rsid w:val="00B13BDC"/>
    <w:rsid w:val="00B141C5"/>
    <w:rsid w:val="00B14202"/>
    <w:rsid w:val="00B1498D"/>
    <w:rsid w:val="00B14B95"/>
    <w:rsid w:val="00B14DF5"/>
    <w:rsid w:val="00B15017"/>
    <w:rsid w:val="00B153A3"/>
    <w:rsid w:val="00B15559"/>
    <w:rsid w:val="00B15C80"/>
    <w:rsid w:val="00B15D69"/>
    <w:rsid w:val="00B1607F"/>
    <w:rsid w:val="00B16175"/>
    <w:rsid w:val="00B1676B"/>
    <w:rsid w:val="00B16821"/>
    <w:rsid w:val="00B17181"/>
    <w:rsid w:val="00B175EC"/>
    <w:rsid w:val="00B176CE"/>
    <w:rsid w:val="00B17D53"/>
    <w:rsid w:val="00B20054"/>
    <w:rsid w:val="00B2018C"/>
    <w:rsid w:val="00B205EC"/>
    <w:rsid w:val="00B2063D"/>
    <w:rsid w:val="00B20876"/>
    <w:rsid w:val="00B2098D"/>
    <w:rsid w:val="00B20A4B"/>
    <w:rsid w:val="00B20ACD"/>
    <w:rsid w:val="00B20C35"/>
    <w:rsid w:val="00B20E59"/>
    <w:rsid w:val="00B21CBE"/>
    <w:rsid w:val="00B21EAD"/>
    <w:rsid w:val="00B21FBC"/>
    <w:rsid w:val="00B220C9"/>
    <w:rsid w:val="00B22160"/>
    <w:rsid w:val="00B221D8"/>
    <w:rsid w:val="00B2259F"/>
    <w:rsid w:val="00B23321"/>
    <w:rsid w:val="00B23392"/>
    <w:rsid w:val="00B23EF9"/>
    <w:rsid w:val="00B242C4"/>
    <w:rsid w:val="00B24306"/>
    <w:rsid w:val="00B243FE"/>
    <w:rsid w:val="00B24511"/>
    <w:rsid w:val="00B247EE"/>
    <w:rsid w:val="00B261CE"/>
    <w:rsid w:val="00B263E9"/>
    <w:rsid w:val="00B264CD"/>
    <w:rsid w:val="00B2657E"/>
    <w:rsid w:val="00B2658C"/>
    <w:rsid w:val="00B2678A"/>
    <w:rsid w:val="00B2696A"/>
    <w:rsid w:val="00B26A66"/>
    <w:rsid w:val="00B27092"/>
    <w:rsid w:val="00B271D5"/>
    <w:rsid w:val="00B27A5C"/>
    <w:rsid w:val="00B27C56"/>
    <w:rsid w:val="00B27F51"/>
    <w:rsid w:val="00B301EC"/>
    <w:rsid w:val="00B301EE"/>
    <w:rsid w:val="00B30822"/>
    <w:rsid w:val="00B31054"/>
    <w:rsid w:val="00B31282"/>
    <w:rsid w:val="00B314FA"/>
    <w:rsid w:val="00B318BC"/>
    <w:rsid w:val="00B31AA8"/>
    <w:rsid w:val="00B31E19"/>
    <w:rsid w:val="00B322D6"/>
    <w:rsid w:val="00B32639"/>
    <w:rsid w:val="00B3272B"/>
    <w:rsid w:val="00B32C26"/>
    <w:rsid w:val="00B33152"/>
    <w:rsid w:val="00B33167"/>
    <w:rsid w:val="00B3355D"/>
    <w:rsid w:val="00B335A2"/>
    <w:rsid w:val="00B3363E"/>
    <w:rsid w:val="00B3367F"/>
    <w:rsid w:val="00B33696"/>
    <w:rsid w:val="00B33717"/>
    <w:rsid w:val="00B337F4"/>
    <w:rsid w:val="00B3397B"/>
    <w:rsid w:val="00B339A8"/>
    <w:rsid w:val="00B33C6F"/>
    <w:rsid w:val="00B33CDD"/>
    <w:rsid w:val="00B33D89"/>
    <w:rsid w:val="00B348C8"/>
    <w:rsid w:val="00B34924"/>
    <w:rsid w:val="00B34936"/>
    <w:rsid w:val="00B34E30"/>
    <w:rsid w:val="00B34F91"/>
    <w:rsid w:val="00B35441"/>
    <w:rsid w:val="00B35501"/>
    <w:rsid w:val="00B35E8A"/>
    <w:rsid w:val="00B366B2"/>
    <w:rsid w:val="00B368EB"/>
    <w:rsid w:val="00B36A25"/>
    <w:rsid w:val="00B37128"/>
    <w:rsid w:val="00B37FA1"/>
    <w:rsid w:val="00B402A4"/>
    <w:rsid w:val="00B40411"/>
    <w:rsid w:val="00B408CA"/>
    <w:rsid w:val="00B40C24"/>
    <w:rsid w:val="00B40D88"/>
    <w:rsid w:val="00B40E4A"/>
    <w:rsid w:val="00B41A2B"/>
    <w:rsid w:val="00B41B7B"/>
    <w:rsid w:val="00B424C0"/>
    <w:rsid w:val="00B4251E"/>
    <w:rsid w:val="00B42591"/>
    <w:rsid w:val="00B4310E"/>
    <w:rsid w:val="00B43191"/>
    <w:rsid w:val="00B43217"/>
    <w:rsid w:val="00B432DA"/>
    <w:rsid w:val="00B43799"/>
    <w:rsid w:val="00B439A7"/>
    <w:rsid w:val="00B43D8D"/>
    <w:rsid w:val="00B43FA4"/>
    <w:rsid w:val="00B442A7"/>
    <w:rsid w:val="00B44917"/>
    <w:rsid w:val="00B44CFE"/>
    <w:rsid w:val="00B44F36"/>
    <w:rsid w:val="00B45791"/>
    <w:rsid w:val="00B45B25"/>
    <w:rsid w:val="00B45B80"/>
    <w:rsid w:val="00B45BAD"/>
    <w:rsid w:val="00B45F61"/>
    <w:rsid w:val="00B45FDB"/>
    <w:rsid w:val="00B45FEF"/>
    <w:rsid w:val="00B46228"/>
    <w:rsid w:val="00B46656"/>
    <w:rsid w:val="00B467F4"/>
    <w:rsid w:val="00B46BF9"/>
    <w:rsid w:val="00B46E2F"/>
    <w:rsid w:val="00B471F0"/>
    <w:rsid w:val="00B47A40"/>
    <w:rsid w:val="00B47BBF"/>
    <w:rsid w:val="00B50045"/>
    <w:rsid w:val="00B503CA"/>
    <w:rsid w:val="00B507CA"/>
    <w:rsid w:val="00B50890"/>
    <w:rsid w:val="00B509D0"/>
    <w:rsid w:val="00B50CCE"/>
    <w:rsid w:val="00B510B0"/>
    <w:rsid w:val="00B511B2"/>
    <w:rsid w:val="00B519B3"/>
    <w:rsid w:val="00B51B4A"/>
    <w:rsid w:val="00B51C0C"/>
    <w:rsid w:val="00B51DC8"/>
    <w:rsid w:val="00B51E66"/>
    <w:rsid w:val="00B522F5"/>
    <w:rsid w:val="00B52551"/>
    <w:rsid w:val="00B5287B"/>
    <w:rsid w:val="00B52D94"/>
    <w:rsid w:val="00B531E9"/>
    <w:rsid w:val="00B5393A"/>
    <w:rsid w:val="00B54656"/>
    <w:rsid w:val="00B54778"/>
    <w:rsid w:val="00B54A2B"/>
    <w:rsid w:val="00B54D4F"/>
    <w:rsid w:val="00B55482"/>
    <w:rsid w:val="00B556C0"/>
    <w:rsid w:val="00B5574E"/>
    <w:rsid w:val="00B5577E"/>
    <w:rsid w:val="00B55933"/>
    <w:rsid w:val="00B55C9E"/>
    <w:rsid w:val="00B55DBF"/>
    <w:rsid w:val="00B55DE7"/>
    <w:rsid w:val="00B55E74"/>
    <w:rsid w:val="00B5625C"/>
    <w:rsid w:val="00B56366"/>
    <w:rsid w:val="00B56FB6"/>
    <w:rsid w:val="00B56FC0"/>
    <w:rsid w:val="00B57124"/>
    <w:rsid w:val="00B57194"/>
    <w:rsid w:val="00B57614"/>
    <w:rsid w:val="00B5761C"/>
    <w:rsid w:val="00B5797E"/>
    <w:rsid w:val="00B579A5"/>
    <w:rsid w:val="00B57AB9"/>
    <w:rsid w:val="00B57F1D"/>
    <w:rsid w:val="00B607BC"/>
    <w:rsid w:val="00B60ADD"/>
    <w:rsid w:val="00B60C59"/>
    <w:rsid w:val="00B61006"/>
    <w:rsid w:val="00B61021"/>
    <w:rsid w:val="00B61244"/>
    <w:rsid w:val="00B6161A"/>
    <w:rsid w:val="00B616A4"/>
    <w:rsid w:val="00B61A4C"/>
    <w:rsid w:val="00B61FE1"/>
    <w:rsid w:val="00B621A5"/>
    <w:rsid w:val="00B622D0"/>
    <w:rsid w:val="00B624E4"/>
    <w:rsid w:val="00B62952"/>
    <w:rsid w:val="00B62C00"/>
    <w:rsid w:val="00B63B59"/>
    <w:rsid w:val="00B640E1"/>
    <w:rsid w:val="00B64202"/>
    <w:rsid w:val="00B6434B"/>
    <w:rsid w:val="00B645AB"/>
    <w:rsid w:val="00B64CD8"/>
    <w:rsid w:val="00B64D25"/>
    <w:rsid w:val="00B65234"/>
    <w:rsid w:val="00B652F1"/>
    <w:rsid w:val="00B65316"/>
    <w:rsid w:val="00B6576F"/>
    <w:rsid w:val="00B65D63"/>
    <w:rsid w:val="00B66012"/>
    <w:rsid w:val="00B664FE"/>
    <w:rsid w:val="00B665B8"/>
    <w:rsid w:val="00B66DC1"/>
    <w:rsid w:val="00B66E5F"/>
    <w:rsid w:val="00B66FCD"/>
    <w:rsid w:val="00B6721C"/>
    <w:rsid w:val="00B677A7"/>
    <w:rsid w:val="00B67B92"/>
    <w:rsid w:val="00B67F35"/>
    <w:rsid w:val="00B701B6"/>
    <w:rsid w:val="00B70379"/>
    <w:rsid w:val="00B70AA2"/>
    <w:rsid w:val="00B70AFD"/>
    <w:rsid w:val="00B70E64"/>
    <w:rsid w:val="00B717BC"/>
    <w:rsid w:val="00B71821"/>
    <w:rsid w:val="00B719EB"/>
    <w:rsid w:val="00B71A30"/>
    <w:rsid w:val="00B71D13"/>
    <w:rsid w:val="00B7250B"/>
    <w:rsid w:val="00B7274F"/>
    <w:rsid w:val="00B72859"/>
    <w:rsid w:val="00B72983"/>
    <w:rsid w:val="00B72AC0"/>
    <w:rsid w:val="00B72B39"/>
    <w:rsid w:val="00B73625"/>
    <w:rsid w:val="00B73873"/>
    <w:rsid w:val="00B74171"/>
    <w:rsid w:val="00B74194"/>
    <w:rsid w:val="00B74324"/>
    <w:rsid w:val="00B746A8"/>
    <w:rsid w:val="00B746BA"/>
    <w:rsid w:val="00B751C4"/>
    <w:rsid w:val="00B75503"/>
    <w:rsid w:val="00B7597E"/>
    <w:rsid w:val="00B75CAD"/>
    <w:rsid w:val="00B75E0C"/>
    <w:rsid w:val="00B75E3B"/>
    <w:rsid w:val="00B767E5"/>
    <w:rsid w:val="00B767FE"/>
    <w:rsid w:val="00B769F9"/>
    <w:rsid w:val="00B76AA2"/>
    <w:rsid w:val="00B76D3C"/>
    <w:rsid w:val="00B76EF8"/>
    <w:rsid w:val="00B7730A"/>
    <w:rsid w:val="00B776AA"/>
    <w:rsid w:val="00B77EFB"/>
    <w:rsid w:val="00B801D3"/>
    <w:rsid w:val="00B803B4"/>
    <w:rsid w:val="00B80635"/>
    <w:rsid w:val="00B806CC"/>
    <w:rsid w:val="00B80D1E"/>
    <w:rsid w:val="00B80D42"/>
    <w:rsid w:val="00B80FF8"/>
    <w:rsid w:val="00B814D9"/>
    <w:rsid w:val="00B814F9"/>
    <w:rsid w:val="00B8193E"/>
    <w:rsid w:val="00B81D49"/>
    <w:rsid w:val="00B81EFF"/>
    <w:rsid w:val="00B81FFA"/>
    <w:rsid w:val="00B82138"/>
    <w:rsid w:val="00B8240A"/>
    <w:rsid w:val="00B82A0D"/>
    <w:rsid w:val="00B82A3E"/>
    <w:rsid w:val="00B82C1A"/>
    <w:rsid w:val="00B8392A"/>
    <w:rsid w:val="00B83F3B"/>
    <w:rsid w:val="00B8425C"/>
    <w:rsid w:val="00B847E3"/>
    <w:rsid w:val="00B85186"/>
    <w:rsid w:val="00B85194"/>
    <w:rsid w:val="00B852B5"/>
    <w:rsid w:val="00B85A45"/>
    <w:rsid w:val="00B85AC6"/>
    <w:rsid w:val="00B85B2A"/>
    <w:rsid w:val="00B85F93"/>
    <w:rsid w:val="00B8683D"/>
    <w:rsid w:val="00B86CAD"/>
    <w:rsid w:val="00B86F34"/>
    <w:rsid w:val="00B87469"/>
    <w:rsid w:val="00B87D0E"/>
    <w:rsid w:val="00B90291"/>
    <w:rsid w:val="00B90457"/>
    <w:rsid w:val="00B909A6"/>
    <w:rsid w:val="00B909A7"/>
    <w:rsid w:val="00B90C1B"/>
    <w:rsid w:val="00B90C61"/>
    <w:rsid w:val="00B90E5E"/>
    <w:rsid w:val="00B91990"/>
    <w:rsid w:val="00B91C78"/>
    <w:rsid w:val="00B91EE8"/>
    <w:rsid w:val="00B91F03"/>
    <w:rsid w:val="00B92312"/>
    <w:rsid w:val="00B9258F"/>
    <w:rsid w:val="00B926D1"/>
    <w:rsid w:val="00B9287E"/>
    <w:rsid w:val="00B928DD"/>
    <w:rsid w:val="00B92D09"/>
    <w:rsid w:val="00B92E45"/>
    <w:rsid w:val="00B934A3"/>
    <w:rsid w:val="00B93507"/>
    <w:rsid w:val="00B93AB1"/>
    <w:rsid w:val="00B93CA1"/>
    <w:rsid w:val="00B93D32"/>
    <w:rsid w:val="00B93D46"/>
    <w:rsid w:val="00B93F44"/>
    <w:rsid w:val="00B93F5F"/>
    <w:rsid w:val="00B9426D"/>
    <w:rsid w:val="00B944B7"/>
    <w:rsid w:val="00B94ACA"/>
    <w:rsid w:val="00B94AE9"/>
    <w:rsid w:val="00B94BCF"/>
    <w:rsid w:val="00B94F87"/>
    <w:rsid w:val="00B9525E"/>
    <w:rsid w:val="00B95804"/>
    <w:rsid w:val="00B95FE7"/>
    <w:rsid w:val="00B960BB"/>
    <w:rsid w:val="00B96DFC"/>
    <w:rsid w:val="00B9771F"/>
    <w:rsid w:val="00B97F45"/>
    <w:rsid w:val="00BA000B"/>
    <w:rsid w:val="00BA039F"/>
    <w:rsid w:val="00BA0401"/>
    <w:rsid w:val="00BA05F0"/>
    <w:rsid w:val="00BA0699"/>
    <w:rsid w:val="00BA0908"/>
    <w:rsid w:val="00BA114E"/>
    <w:rsid w:val="00BA1502"/>
    <w:rsid w:val="00BA1BDD"/>
    <w:rsid w:val="00BA1D33"/>
    <w:rsid w:val="00BA1E2B"/>
    <w:rsid w:val="00BA25DE"/>
    <w:rsid w:val="00BA2CB7"/>
    <w:rsid w:val="00BA3018"/>
    <w:rsid w:val="00BA3032"/>
    <w:rsid w:val="00BA3797"/>
    <w:rsid w:val="00BA3A4F"/>
    <w:rsid w:val="00BA3F3D"/>
    <w:rsid w:val="00BA4591"/>
    <w:rsid w:val="00BA48CB"/>
    <w:rsid w:val="00BA48E0"/>
    <w:rsid w:val="00BA4BC7"/>
    <w:rsid w:val="00BA4CCB"/>
    <w:rsid w:val="00BA5A80"/>
    <w:rsid w:val="00BA5C64"/>
    <w:rsid w:val="00BA60A8"/>
    <w:rsid w:val="00BA673E"/>
    <w:rsid w:val="00BA682C"/>
    <w:rsid w:val="00BA6954"/>
    <w:rsid w:val="00BA69B3"/>
    <w:rsid w:val="00BA6E74"/>
    <w:rsid w:val="00BA7392"/>
    <w:rsid w:val="00BA7665"/>
    <w:rsid w:val="00BA7988"/>
    <w:rsid w:val="00BB025C"/>
    <w:rsid w:val="00BB02C1"/>
    <w:rsid w:val="00BB05E3"/>
    <w:rsid w:val="00BB0797"/>
    <w:rsid w:val="00BB0A2F"/>
    <w:rsid w:val="00BB0DED"/>
    <w:rsid w:val="00BB0EE2"/>
    <w:rsid w:val="00BB11E5"/>
    <w:rsid w:val="00BB1933"/>
    <w:rsid w:val="00BB1952"/>
    <w:rsid w:val="00BB1BC2"/>
    <w:rsid w:val="00BB1E3E"/>
    <w:rsid w:val="00BB1EC7"/>
    <w:rsid w:val="00BB230B"/>
    <w:rsid w:val="00BB2627"/>
    <w:rsid w:val="00BB26D4"/>
    <w:rsid w:val="00BB2A7F"/>
    <w:rsid w:val="00BB2EDD"/>
    <w:rsid w:val="00BB3222"/>
    <w:rsid w:val="00BB35D3"/>
    <w:rsid w:val="00BB3654"/>
    <w:rsid w:val="00BB369D"/>
    <w:rsid w:val="00BB3A25"/>
    <w:rsid w:val="00BB4056"/>
    <w:rsid w:val="00BB485B"/>
    <w:rsid w:val="00BB4925"/>
    <w:rsid w:val="00BB4BBD"/>
    <w:rsid w:val="00BB4D6B"/>
    <w:rsid w:val="00BB4F0D"/>
    <w:rsid w:val="00BB5013"/>
    <w:rsid w:val="00BB5254"/>
    <w:rsid w:val="00BB5D86"/>
    <w:rsid w:val="00BB5EE9"/>
    <w:rsid w:val="00BB6132"/>
    <w:rsid w:val="00BB62AF"/>
    <w:rsid w:val="00BB645C"/>
    <w:rsid w:val="00BB6544"/>
    <w:rsid w:val="00BB67F1"/>
    <w:rsid w:val="00BB6FCC"/>
    <w:rsid w:val="00BB7104"/>
    <w:rsid w:val="00BB7357"/>
    <w:rsid w:val="00BB7372"/>
    <w:rsid w:val="00BB73CB"/>
    <w:rsid w:val="00BB79D7"/>
    <w:rsid w:val="00BB7C5C"/>
    <w:rsid w:val="00BB7D84"/>
    <w:rsid w:val="00BB7E84"/>
    <w:rsid w:val="00BC0451"/>
    <w:rsid w:val="00BC0A6A"/>
    <w:rsid w:val="00BC0CC0"/>
    <w:rsid w:val="00BC0DC6"/>
    <w:rsid w:val="00BC1127"/>
    <w:rsid w:val="00BC123A"/>
    <w:rsid w:val="00BC12C4"/>
    <w:rsid w:val="00BC1451"/>
    <w:rsid w:val="00BC1B23"/>
    <w:rsid w:val="00BC1C95"/>
    <w:rsid w:val="00BC22C6"/>
    <w:rsid w:val="00BC2519"/>
    <w:rsid w:val="00BC25D6"/>
    <w:rsid w:val="00BC27C7"/>
    <w:rsid w:val="00BC2BF2"/>
    <w:rsid w:val="00BC2C7E"/>
    <w:rsid w:val="00BC2EBA"/>
    <w:rsid w:val="00BC2F77"/>
    <w:rsid w:val="00BC356E"/>
    <w:rsid w:val="00BC37DE"/>
    <w:rsid w:val="00BC3E3C"/>
    <w:rsid w:val="00BC4441"/>
    <w:rsid w:val="00BC45A1"/>
    <w:rsid w:val="00BC45D0"/>
    <w:rsid w:val="00BC4B33"/>
    <w:rsid w:val="00BC4D2A"/>
    <w:rsid w:val="00BC4D7B"/>
    <w:rsid w:val="00BC5004"/>
    <w:rsid w:val="00BC5231"/>
    <w:rsid w:val="00BC5705"/>
    <w:rsid w:val="00BC58DA"/>
    <w:rsid w:val="00BC5A74"/>
    <w:rsid w:val="00BC5D16"/>
    <w:rsid w:val="00BC5D3F"/>
    <w:rsid w:val="00BC5D9E"/>
    <w:rsid w:val="00BC5F6C"/>
    <w:rsid w:val="00BC6124"/>
    <w:rsid w:val="00BC624A"/>
    <w:rsid w:val="00BC77ED"/>
    <w:rsid w:val="00BC7C43"/>
    <w:rsid w:val="00BD0048"/>
    <w:rsid w:val="00BD01A2"/>
    <w:rsid w:val="00BD04C0"/>
    <w:rsid w:val="00BD0645"/>
    <w:rsid w:val="00BD0699"/>
    <w:rsid w:val="00BD0860"/>
    <w:rsid w:val="00BD0E07"/>
    <w:rsid w:val="00BD12E3"/>
    <w:rsid w:val="00BD18DE"/>
    <w:rsid w:val="00BD1ABB"/>
    <w:rsid w:val="00BD1F60"/>
    <w:rsid w:val="00BD2075"/>
    <w:rsid w:val="00BD2760"/>
    <w:rsid w:val="00BD2C85"/>
    <w:rsid w:val="00BD318B"/>
    <w:rsid w:val="00BD3215"/>
    <w:rsid w:val="00BD3E24"/>
    <w:rsid w:val="00BD3F34"/>
    <w:rsid w:val="00BD40F0"/>
    <w:rsid w:val="00BD43A7"/>
    <w:rsid w:val="00BD52AD"/>
    <w:rsid w:val="00BD56F7"/>
    <w:rsid w:val="00BD5A24"/>
    <w:rsid w:val="00BD5BB9"/>
    <w:rsid w:val="00BD5C4A"/>
    <w:rsid w:val="00BD5CD8"/>
    <w:rsid w:val="00BD6162"/>
    <w:rsid w:val="00BD6439"/>
    <w:rsid w:val="00BD684D"/>
    <w:rsid w:val="00BD6A95"/>
    <w:rsid w:val="00BD70FC"/>
    <w:rsid w:val="00BD7102"/>
    <w:rsid w:val="00BD715E"/>
    <w:rsid w:val="00BD7AAB"/>
    <w:rsid w:val="00BE0368"/>
    <w:rsid w:val="00BE06C0"/>
    <w:rsid w:val="00BE06D5"/>
    <w:rsid w:val="00BE06ED"/>
    <w:rsid w:val="00BE0867"/>
    <w:rsid w:val="00BE0B18"/>
    <w:rsid w:val="00BE0C3A"/>
    <w:rsid w:val="00BE13F4"/>
    <w:rsid w:val="00BE1411"/>
    <w:rsid w:val="00BE1631"/>
    <w:rsid w:val="00BE1B35"/>
    <w:rsid w:val="00BE1DB7"/>
    <w:rsid w:val="00BE2564"/>
    <w:rsid w:val="00BE2978"/>
    <w:rsid w:val="00BE2A71"/>
    <w:rsid w:val="00BE2E9A"/>
    <w:rsid w:val="00BE30F4"/>
    <w:rsid w:val="00BE31E6"/>
    <w:rsid w:val="00BE33B1"/>
    <w:rsid w:val="00BE3627"/>
    <w:rsid w:val="00BE3926"/>
    <w:rsid w:val="00BE39CC"/>
    <w:rsid w:val="00BE4026"/>
    <w:rsid w:val="00BE40BE"/>
    <w:rsid w:val="00BE44A6"/>
    <w:rsid w:val="00BE45A3"/>
    <w:rsid w:val="00BE48AA"/>
    <w:rsid w:val="00BE56D0"/>
    <w:rsid w:val="00BE5F63"/>
    <w:rsid w:val="00BE6114"/>
    <w:rsid w:val="00BE6330"/>
    <w:rsid w:val="00BE689C"/>
    <w:rsid w:val="00BE699E"/>
    <w:rsid w:val="00BE6E71"/>
    <w:rsid w:val="00BE70DC"/>
    <w:rsid w:val="00BE71E8"/>
    <w:rsid w:val="00BE725E"/>
    <w:rsid w:val="00BE7303"/>
    <w:rsid w:val="00BE78F4"/>
    <w:rsid w:val="00BE7D93"/>
    <w:rsid w:val="00BF0285"/>
    <w:rsid w:val="00BF0288"/>
    <w:rsid w:val="00BF043D"/>
    <w:rsid w:val="00BF0470"/>
    <w:rsid w:val="00BF09A0"/>
    <w:rsid w:val="00BF0B21"/>
    <w:rsid w:val="00BF0D19"/>
    <w:rsid w:val="00BF1032"/>
    <w:rsid w:val="00BF19D0"/>
    <w:rsid w:val="00BF1A95"/>
    <w:rsid w:val="00BF217B"/>
    <w:rsid w:val="00BF22DD"/>
    <w:rsid w:val="00BF23A2"/>
    <w:rsid w:val="00BF26C8"/>
    <w:rsid w:val="00BF28F4"/>
    <w:rsid w:val="00BF30AA"/>
    <w:rsid w:val="00BF31A5"/>
    <w:rsid w:val="00BF31AB"/>
    <w:rsid w:val="00BF347B"/>
    <w:rsid w:val="00BF397E"/>
    <w:rsid w:val="00BF3DA8"/>
    <w:rsid w:val="00BF3F5C"/>
    <w:rsid w:val="00BF40EC"/>
    <w:rsid w:val="00BF4141"/>
    <w:rsid w:val="00BF4840"/>
    <w:rsid w:val="00BF4B8B"/>
    <w:rsid w:val="00BF4D76"/>
    <w:rsid w:val="00BF4D93"/>
    <w:rsid w:val="00BF4F46"/>
    <w:rsid w:val="00BF5020"/>
    <w:rsid w:val="00BF5038"/>
    <w:rsid w:val="00BF514D"/>
    <w:rsid w:val="00BF5421"/>
    <w:rsid w:val="00BF55A8"/>
    <w:rsid w:val="00BF55F4"/>
    <w:rsid w:val="00BF5AB5"/>
    <w:rsid w:val="00BF5F4A"/>
    <w:rsid w:val="00BF6385"/>
    <w:rsid w:val="00BF6629"/>
    <w:rsid w:val="00BF67DA"/>
    <w:rsid w:val="00BF6AA1"/>
    <w:rsid w:val="00BF72F4"/>
    <w:rsid w:val="00BF7469"/>
    <w:rsid w:val="00BF764C"/>
    <w:rsid w:val="00BF799F"/>
    <w:rsid w:val="00BF7B90"/>
    <w:rsid w:val="00C00ADD"/>
    <w:rsid w:val="00C00D84"/>
    <w:rsid w:val="00C01413"/>
    <w:rsid w:val="00C01550"/>
    <w:rsid w:val="00C01573"/>
    <w:rsid w:val="00C01611"/>
    <w:rsid w:val="00C01B95"/>
    <w:rsid w:val="00C01C3A"/>
    <w:rsid w:val="00C01F3B"/>
    <w:rsid w:val="00C0200B"/>
    <w:rsid w:val="00C025BE"/>
    <w:rsid w:val="00C027C8"/>
    <w:rsid w:val="00C0292C"/>
    <w:rsid w:val="00C02B48"/>
    <w:rsid w:val="00C02B8B"/>
    <w:rsid w:val="00C02D0E"/>
    <w:rsid w:val="00C02F78"/>
    <w:rsid w:val="00C0300F"/>
    <w:rsid w:val="00C037AE"/>
    <w:rsid w:val="00C03A83"/>
    <w:rsid w:val="00C03CC7"/>
    <w:rsid w:val="00C03D7E"/>
    <w:rsid w:val="00C03E09"/>
    <w:rsid w:val="00C03F4F"/>
    <w:rsid w:val="00C04146"/>
    <w:rsid w:val="00C043C4"/>
    <w:rsid w:val="00C0490F"/>
    <w:rsid w:val="00C04CEB"/>
    <w:rsid w:val="00C04D75"/>
    <w:rsid w:val="00C04ECF"/>
    <w:rsid w:val="00C05171"/>
    <w:rsid w:val="00C052CE"/>
    <w:rsid w:val="00C056B6"/>
    <w:rsid w:val="00C06855"/>
    <w:rsid w:val="00C06A58"/>
    <w:rsid w:val="00C07666"/>
    <w:rsid w:val="00C07A41"/>
    <w:rsid w:val="00C100B1"/>
    <w:rsid w:val="00C100C3"/>
    <w:rsid w:val="00C103C5"/>
    <w:rsid w:val="00C1066D"/>
    <w:rsid w:val="00C1074E"/>
    <w:rsid w:val="00C10CEA"/>
    <w:rsid w:val="00C10EF1"/>
    <w:rsid w:val="00C110D8"/>
    <w:rsid w:val="00C11253"/>
    <w:rsid w:val="00C114BA"/>
    <w:rsid w:val="00C11522"/>
    <w:rsid w:val="00C11904"/>
    <w:rsid w:val="00C11A48"/>
    <w:rsid w:val="00C11B65"/>
    <w:rsid w:val="00C11D1D"/>
    <w:rsid w:val="00C12685"/>
    <w:rsid w:val="00C12AFC"/>
    <w:rsid w:val="00C12D18"/>
    <w:rsid w:val="00C13190"/>
    <w:rsid w:val="00C1358B"/>
    <w:rsid w:val="00C1383D"/>
    <w:rsid w:val="00C13DA3"/>
    <w:rsid w:val="00C13EBA"/>
    <w:rsid w:val="00C140ED"/>
    <w:rsid w:val="00C14372"/>
    <w:rsid w:val="00C14749"/>
    <w:rsid w:val="00C14A57"/>
    <w:rsid w:val="00C14ECD"/>
    <w:rsid w:val="00C14FA4"/>
    <w:rsid w:val="00C1511A"/>
    <w:rsid w:val="00C1551C"/>
    <w:rsid w:val="00C157BC"/>
    <w:rsid w:val="00C15A17"/>
    <w:rsid w:val="00C15A3C"/>
    <w:rsid w:val="00C15D0D"/>
    <w:rsid w:val="00C15FA9"/>
    <w:rsid w:val="00C16225"/>
    <w:rsid w:val="00C1739B"/>
    <w:rsid w:val="00C174A6"/>
    <w:rsid w:val="00C174FF"/>
    <w:rsid w:val="00C17532"/>
    <w:rsid w:val="00C176B5"/>
    <w:rsid w:val="00C17C77"/>
    <w:rsid w:val="00C17DB4"/>
    <w:rsid w:val="00C17DCF"/>
    <w:rsid w:val="00C202D7"/>
    <w:rsid w:val="00C20343"/>
    <w:rsid w:val="00C2054A"/>
    <w:rsid w:val="00C20774"/>
    <w:rsid w:val="00C20806"/>
    <w:rsid w:val="00C20850"/>
    <w:rsid w:val="00C20A57"/>
    <w:rsid w:val="00C20B3D"/>
    <w:rsid w:val="00C20B5D"/>
    <w:rsid w:val="00C20C78"/>
    <w:rsid w:val="00C21186"/>
    <w:rsid w:val="00C21527"/>
    <w:rsid w:val="00C21AAA"/>
    <w:rsid w:val="00C21F06"/>
    <w:rsid w:val="00C21F35"/>
    <w:rsid w:val="00C221BE"/>
    <w:rsid w:val="00C2285E"/>
    <w:rsid w:val="00C22E0F"/>
    <w:rsid w:val="00C230B9"/>
    <w:rsid w:val="00C234D3"/>
    <w:rsid w:val="00C23835"/>
    <w:rsid w:val="00C23FBA"/>
    <w:rsid w:val="00C243BA"/>
    <w:rsid w:val="00C246DE"/>
    <w:rsid w:val="00C247BC"/>
    <w:rsid w:val="00C24BBE"/>
    <w:rsid w:val="00C24F28"/>
    <w:rsid w:val="00C2522B"/>
    <w:rsid w:val="00C25256"/>
    <w:rsid w:val="00C25698"/>
    <w:rsid w:val="00C256ED"/>
    <w:rsid w:val="00C2580B"/>
    <w:rsid w:val="00C260AB"/>
    <w:rsid w:val="00C263CD"/>
    <w:rsid w:val="00C26A05"/>
    <w:rsid w:val="00C26B04"/>
    <w:rsid w:val="00C26F40"/>
    <w:rsid w:val="00C27176"/>
    <w:rsid w:val="00C2744C"/>
    <w:rsid w:val="00C274CD"/>
    <w:rsid w:val="00C27653"/>
    <w:rsid w:val="00C27E89"/>
    <w:rsid w:val="00C301BA"/>
    <w:rsid w:val="00C30DFA"/>
    <w:rsid w:val="00C317DA"/>
    <w:rsid w:val="00C3183F"/>
    <w:rsid w:val="00C31C1A"/>
    <w:rsid w:val="00C31FF5"/>
    <w:rsid w:val="00C32E05"/>
    <w:rsid w:val="00C32F24"/>
    <w:rsid w:val="00C33001"/>
    <w:rsid w:val="00C33420"/>
    <w:rsid w:val="00C33489"/>
    <w:rsid w:val="00C33581"/>
    <w:rsid w:val="00C33B1F"/>
    <w:rsid w:val="00C33EA5"/>
    <w:rsid w:val="00C341C3"/>
    <w:rsid w:val="00C356A5"/>
    <w:rsid w:val="00C356FA"/>
    <w:rsid w:val="00C357F5"/>
    <w:rsid w:val="00C35AE5"/>
    <w:rsid w:val="00C36341"/>
    <w:rsid w:val="00C36477"/>
    <w:rsid w:val="00C36589"/>
    <w:rsid w:val="00C36846"/>
    <w:rsid w:val="00C36992"/>
    <w:rsid w:val="00C36A17"/>
    <w:rsid w:val="00C37259"/>
    <w:rsid w:val="00C37A9E"/>
    <w:rsid w:val="00C4034F"/>
    <w:rsid w:val="00C405B9"/>
    <w:rsid w:val="00C40D21"/>
    <w:rsid w:val="00C40EB0"/>
    <w:rsid w:val="00C410E1"/>
    <w:rsid w:val="00C41346"/>
    <w:rsid w:val="00C413E4"/>
    <w:rsid w:val="00C417EF"/>
    <w:rsid w:val="00C41BA0"/>
    <w:rsid w:val="00C42202"/>
    <w:rsid w:val="00C42821"/>
    <w:rsid w:val="00C4287D"/>
    <w:rsid w:val="00C42A05"/>
    <w:rsid w:val="00C42A78"/>
    <w:rsid w:val="00C42B8E"/>
    <w:rsid w:val="00C4315A"/>
    <w:rsid w:val="00C432BE"/>
    <w:rsid w:val="00C43ACA"/>
    <w:rsid w:val="00C44398"/>
    <w:rsid w:val="00C44563"/>
    <w:rsid w:val="00C44662"/>
    <w:rsid w:val="00C448A3"/>
    <w:rsid w:val="00C44BED"/>
    <w:rsid w:val="00C44FAC"/>
    <w:rsid w:val="00C457DD"/>
    <w:rsid w:val="00C45913"/>
    <w:rsid w:val="00C45F53"/>
    <w:rsid w:val="00C45FC1"/>
    <w:rsid w:val="00C4679F"/>
    <w:rsid w:val="00C46879"/>
    <w:rsid w:val="00C46915"/>
    <w:rsid w:val="00C46A06"/>
    <w:rsid w:val="00C46ED3"/>
    <w:rsid w:val="00C47CB5"/>
    <w:rsid w:val="00C50A33"/>
    <w:rsid w:val="00C50C16"/>
    <w:rsid w:val="00C50F0B"/>
    <w:rsid w:val="00C513A3"/>
    <w:rsid w:val="00C5147B"/>
    <w:rsid w:val="00C51EF2"/>
    <w:rsid w:val="00C520C1"/>
    <w:rsid w:val="00C522DD"/>
    <w:rsid w:val="00C52E4F"/>
    <w:rsid w:val="00C52E5F"/>
    <w:rsid w:val="00C53724"/>
    <w:rsid w:val="00C540B2"/>
    <w:rsid w:val="00C542D6"/>
    <w:rsid w:val="00C54505"/>
    <w:rsid w:val="00C54955"/>
    <w:rsid w:val="00C54C5D"/>
    <w:rsid w:val="00C55128"/>
    <w:rsid w:val="00C55131"/>
    <w:rsid w:val="00C55413"/>
    <w:rsid w:val="00C55AF7"/>
    <w:rsid w:val="00C55B1B"/>
    <w:rsid w:val="00C55C89"/>
    <w:rsid w:val="00C56324"/>
    <w:rsid w:val="00C5637C"/>
    <w:rsid w:val="00C5648E"/>
    <w:rsid w:val="00C56744"/>
    <w:rsid w:val="00C56D4F"/>
    <w:rsid w:val="00C56DDB"/>
    <w:rsid w:val="00C5727F"/>
    <w:rsid w:val="00C575BA"/>
    <w:rsid w:val="00C577A0"/>
    <w:rsid w:val="00C57A41"/>
    <w:rsid w:val="00C57A81"/>
    <w:rsid w:val="00C57E9F"/>
    <w:rsid w:val="00C601FD"/>
    <w:rsid w:val="00C60393"/>
    <w:rsid w:val="00C60953"/>
    <w:rsid w:val="00C609AC"/>
    <w:rsid w:val="00C60BDF"/>
    <w:rsid w:val="00C60C16"/>
    <w:rsid w:val="00C6127C"/>
    <w:rsid w:val="00C61310"/>
    <w:rsid w:val="00C6173E"/>
    <w:rsid w:val="00C617D1"/>
    <w:rsid w:val="00C61E39"/>
    <w:rsid w:val="00C61E78"/>
    <w:rsid w:val="00C62498"/>
    <w:rsid w:val="00C624B7"/>
    <w:rsid w:val="00C62B48"/>
    <w:rsid w:val="00C62FD4"/>
    <w:rsid w:val="00C630B2"/>
    <w:rsid w:val="00C631A1"/>
    <w:rsid w:val="00C632DD"/>
    <w:rsid w:val="00C63BC6"/>
    <w:rsid w:val="00C6481C"/>
    <w:rsid w:val="00C64F60"/>
    <w:rsid w:val="00C655B5"/>
    <w:rsid w:val="00C65627"/>
    <w:rsid w:val="00C658A4"/>
    <w:rsid w:val="00C6593E"/>
    <w:rsid w:val="00C65C2A"/>
    <w:rsid w:val="00C663CE"/>
    <w:rsid w:val="00C663DB"/>
    <w:rsid w:val="00C66561"/>
    <w:rsid w:val="00C66A66"/>
    <w:rsid w:val="00C66D01"/>
    <w:rsid w:val="00C66D06"/>
    <w:rsid w:val="00C6762E"/>
    <w:rsid w:val="00C678A3"/>
    <w:rsid w:val="00C70034"/>
    <w:rsid w:val="00C704B0"/>
    <w:rsid w:val="00C70A9D"/>
    <w:rsid w:val="00C70AC3"/>
    <w:rsid w:val="00C70BB9"/>
    <w:rsid w:val="00C713F4"/>
    <w:rsid w:val="00C716F4"/>
    <w:rsid w:val="00C720AF"/>
    <w:rsid w:val="00C724E4"/>
    <w:rsid w:val="00C72BF4"/>
    <w:rsid w:val="00C73326"/>
    <w:rsid w:val="00C7384B"/>
    <w:rsid w:val="00C73AE2"/>
    <w:rsid w:val="00C73F33"/>
    <w:rsid w:val="00C74660"/>
    <w:rsid w:val="00C74673"/>
    <w:rsid w:val="00C74CFA"/>
    <w:rsid w:val="00C74ED2"/>
    <w:rsid w:val="00C75334"/>
    <w:rsid w:val="00C760CE"/>
    <w:rsid w:val="00C7640A"/>
    <w:rsid w:val="00C764AB"/>
    <w:rsid w:val="00C767C8"/>
    <w:rsid w:val="00C76BFD"/>
    <w:rsid w:val="00C76CC3"/>
    <w:rsid w:val="00C76D70"/>
    <w:rsid w:val="00C76FD8"/>
    <w:rsid w:val="00C77EE0"/>
    <w:rsid w:val="00C8001C"/>
    <w:rsid w:val="00C8011A"/>
    <w:rsid w:val="00C8071C"/>
    <w:rsid w:val="00C80847"/>
    <w:rsid w:val="00C80900"/>
    <w:rsid w:val="00C80EF3"/>
    <w:rsid w:val="00C80FA0"/>
    <w:rsid w:val="00C81297"/>
    <w:rsid w:val="00C81A4A"/>
    <w:rsid w:val="00C81ED1"/>
    <w:rsid w:val="00C8227F"/>
    <w:rsid w:val="00C8241F"/>
    <w:rsid w:val="00C8246D"/>
    <w:rsid w:val="00C82A3C"/>
    <w:rsid w:val="00C83199"/>
    <w:rsid w:val="00C8357E"/>
    <w:rsid w:val="00C838BE"/>
    <w:rsid w:val="00C83A79"/>
    <w:rsid w:val="00C83AA6"/>
    <w:rsid w:val="00C84769"/>
    <w:rsid w:val="00C84A72"/>
    <w:rsid w:val="00C84AA1"/>
    <w:rsid w:val="00C84ACE"/>
    <w:rsid w:val="00C84DD6"/>
    <w:rsid w:val="00C85108"/>
    <w:rsid w:val="00C862CB"/>
    <w:rsid w:val="00C86416"/>
    <w:rsid w:val="00C864A9"/>
    <w:rsid w:val="00C866BD"/>
    <w:rsid w:val="00C8680F"/>
    <w:rsid w:val="00C8696D"/>
    <w:rsid w:val="00C871E5"/>
    <w:rsid w:val="00C872AA"/>
    <w:rsid w:val="00C873DB"/>
    <w:rsid w:val="00C8750B"/>
    <w:rsid w:val="00C879CB"/>
    <w:rsid w:val="00C87B31"/>
    <w:rsid w:val="00C87C10"/>
    <w:rsid w:val="00C90311"/>
    <w:rsid w:val="00C904D5"/>
    <w:rsid w:val="00C90E5D"/>
    <w:rsid w:val="00C91B4A"/>
    <w:rsid w:val="00C91CA8"/>
    <w:rsid w:val="00C91D7D"/>
    <w:rsid w:val="00C91F1D"/>
    <w:rsid w:val="00C92209"/>
    <w:rsid w:val="00C92313"/>
    <w:rsid w:val="00C9264F"/>
    <w:rsid w:val="00C927D4"/>
    <w:rsid w:val="00C92B0D"/>
    <w:rsid w:val="00C92CBB"/>
    <w:rsid w:val="00C937AC"/>
    <w:rsid w:val="00C9386E"/>
    <w:rsid w:val="00C94A36"/>
    <w:rsid w:val="00C94B57"/>
    <w:rsid w:val="00C95480"/>
    <w:rsid w:val="00C95578"/>
    <w:rsid w:val="00C958DC"/>
    <w:rsid w:val="00C95CF6"/>
    <w:rsid w:val="00C95E8B"/>
    <w:rsid w:val="00C95EF5"/>
    <w:rsid w:val="00C96483"/>
    <w:rsid w:val="00C96646"/>
    <w:rsid w:val="00C96674"/>
    <w:rsid w:val="00C9787A"/>
    <w:rsid w:val="00C9793F"/>
    <w:rsid w:val="00C97A62"/>
    <w:rsid w:val="00C97AE6"/>
    <w:rsid w:val="00CA01EB"/>
    <w:rsid w:val="00CA0484"/>
    <w:rsid w:val="00CA0581"/>
    <w:rsid w:val="00CA05C0"/>
    <w:rsid w:val="00CA0943"/>
    <w:rsid w:val="00CA0CE1"/>
    <w:rsid w:val="00CA13FE"/>
    <w:rsid w:val="00CA1C11"/>
    <w:rsid w:val="00CA2446"/>
    <w:rsid w:val="00CA2A5F"/>
    <w:rsid w:val="00CA2C35"/>
    <w:rsid w:val="00CA312A"/>
    <w:rsid w:val="00CA31AE"/>
    <w:rsid w:val="00CA33C8"/>
    <w:rsid w:val="00CA387C"/>
    <w:rsid w:val="00CA3BAF"/>
    <w:rsid w:val="00CA3BE9"/>
    <w:rsid w:val="00CA3F7D"/>
    <w:rsid w:val="00CA4073"/>
    <w:rsid w:val="00CA4096"/>
    <w:rsid w:val="00CA490A"/>
    <w:rsid w:val="00CA56A8"/>
    <w:rsid w:val="00CA5704"/>
    <w:rsid w:val="00CA5734"/>
    <w:rsid w:val="00CA5C6A"/>
    <w:rsid w:val="00CA5D9F"/>
    <w:rsid w:val="00CA5DEE"/>
    <w:rsid w:val="00CA611D"/>
    <w:rsid w:val="00CA6348"/>
    <w:rsid w:val="00CA6B62"/>
    <w:rsid w:val="00CA7107"/>
    <w:rsid w:val="00CA7C97"/>
    <w:rsid w:val="00CA7E49"/>
    <w:rsid w:val="00CB071A"/>
    <w:rsid w:val="00CB075B"/>
    <w:rsid w:val="00CB081D"/>
    <w:rsid w:val="00CB0B38"/>
    <w:rsid w:val="00CB0FCB"/>
    <w:rsid w:val="00CB11AC"/>
    <w:rsid w:val="00CB1709"/>
    <w:rsid w:val="00CB183C"/>
    <w:rsid w:val="00CB19F6"/>
    <w:rsid w:val="00CB1A80"/>
    <w:rsid w:val="00CB1EDD"/>
    <w:rsid w:val="00CB2296"/>
    <w:rsid w:val="00CB2359"/>
    <w:rsid w:val="00CB2392"/>
    <w:rsid w:val="00CB277F"/>
    <w:rsid w:val="00CB29F7"/>
    <w:rsid w:val="00CB2ADB"/>
    <w:rsid w:val="00CB2BB5"/>
    <w:rsid w:val="00CB2D1D"/>
    <w:rsid w:val="00CB2F24"/>
    <w:rsid w:val="00CB376C"/>
    <w:rsid w:val="00CB3E00"/>
    <w:rsid w:val="00CB4678"/>
    <w:rsid w:val="00CB4FFE"/>
    <w:rsid w:val="00CB51E9"/>
    <w:rsid w:val="00CB542A"/>
    <w:rsid w:val="00CB5504"/>
    <w:rsid w:val="00CB58CA"/>
    <w:rsid w:val="00CB5CFF"/>
    <w:rsid w:val="00CB5D3C"/>
    <w:rsid w:val="00CB6564"/>
    <w:rsid w:val="00CB688E"/>
    <w:rsid w:val="00CB69E5"/>
    <w:rsid w:val="00CB6EDB"/>
    <w:rsid w:val="00CB7176"/>
    <w:rsid w:val="00CB7281"/>
    <w:rsid w:val="00CB7543"/>
    <w:rsid w:val="00CB769D"/>
    <w:rsid w:val="00CB7C42"/>
    <w:rsid w:val="00CB7E36"/>
    <w:rsid w:val="00CC0B66"/>
    <w:rsid w:val="00CC0BCA"/>
    <w:rsid w:val="00CC1358"/>
    <w:rsid w:val="00CC16D7"/>
    <w:rsid w:val="00CC1B57"/>
    <w:rsid w:val="00CC1BB2"/>
    <w:rsid w:val="00CC2225"/>
    <w:rsid w:val="00CC2270"/>
    <w:rsid w:val="00CC22A2"/>
    <w:rsid w:val="00CC2354"/>
    <w:rsid w:val="00CC285E"/>
    <w:rsid w:val="00CC29BE"/>
    <w:rsid w:val="00CC2DD7"/>
    <w:rsid w:val="00CC322E"/>
    <w:rsid w:val="00CC3314"/>
    <w:rsid w:val="00CC340E"/>
    <w:rsid w:val="00CC3510"/>
    <w:rsid w:val="00CC4044"/>
    <w:rsid w:val="00CC40ED"/>
    <w:rsid w:val="00CC44CF"/>
    <w:rsid w:val="00CC4861"/>
    <w:rsid w:val="00CC4E17"/>
    <w:rsid w:val="00CC5052"/>
    <w:rsid w:val="00CC52D3"/>
    <w:rsid w:val="00CC552A"/>
    <w:rsid w:val="00CC55E9"/>
    <w:rsid w:val="00CC5C4C"/>
    <w:rsid w:val="00CC5D5E"/>
    <w:rsid w:val="00CC6748"/>
    <w:rsid w:val="00CC6793"/>
    <w:rsid w:val="00CC7119"/>
    <w:rsid w:val="00CC7C21"/>
    <w:rsid w:val="00CC7EA7"/>
    <w:rsid w:val="00CD03A2"/>
    <w:rsid w:val="00CD04C4"/>
    <w:rsid w:val="00CD054C"/>
    <w:rsid w:val="00CD05B0"/>
    <w:rsid w:val="00CD0905"/>
    <w:rsid w:val="00CD091B"/>
    <w:rsid w:val="00CD2324"/>
    <w:rsid w:val="00CD2745"/>
    <w:rsid w:val="00CD2A7E"/>
    <w:rsid w:val="00CD2BAC"/>
    <w:rsid w:val="00CD2D6E"/>
    <w:rsid w:val="00CD354E"/>
    <w:rsid w:val="00CD355B"/>
    <w:rsid w:val="00CD3EA6"/>
    <w:rsid w:val="00CD454C"/>
    <w:rsid w:val="00CD4638"/>
    <w:rsid w:val="00CD4772"/>
    <w:rsid w:val="00CD4D4F"/>
    <w:rsid w:val="00CD4EED"/>
    <w:rsid w:val="00CD5336"/>
    <w:rsid w:val="00CD5644"/>
    <w:rsid w:val="00CD585C"/>
    <w:rsid w:val="00CD617A"/>
    <w:rsid w:val="00CD6C89"/>
    <w:rsid w:val="00CD6D57"/>
    <w:rsid w:val="00CD6E4D"/>
    <w:rsid w:val="00CD7033"/>
    <w:rsid w:val="00CD7491"/>
    <w:rsid w:val="00CD7A0E"/>
    <w:rsid w:val="00CD7C25"/>
    <w:rsid w:val="00CD7CCC"/>
    <w:rsid w:val="00CE0098"/>
    <w:rsid w:val="00CE00B8"/>
    <w:rsid w:val="00CE02E2"/>
    <w:rsid w:val="00CE09CD"/>
    <w:rsid w:val="00CE0A9E"/>
    <w:rsid w:val="00CE0AB3"/>
    <w:rsid w:val="00CE1426"/>
    <w:rsid w:val="00CE1AE2"/>
    <w:rsid w:val="00CE1BE6"/>
    <w:rsid w:val="00CE24A4"/>
    <w:rsid w:val="00CE2B48"/>
    <w:rsid w:val="00CE2DFF"/>
    <w:rsid w:val="00CE31D3"/>
    <w:rsid w:val="00CE3A9F"/>
    <w:rsid w:val="00CE3FF5"/>
    <w:rsid w:val="00CE41FF"/>
    <w:rsid w:val="00CE4301"/>
    <w:rsid w:val="00CE44EF"/>
    <w:rsid w:val="00CE482C"/>
    <w:rsid w:val="00CE4891"/>
    <w:rsid w:val="00CE49E9"/>
    <w:rsid w:val="00CE4CEC"/>
    <w:rsid w:val="00CE52DC"/>
    <w:rsid w:val="00CE5538"/>
    <w:rsid w:val="00CE5633"/>
    <w:rsid w:val="00CE67B5"/>
    <w:rsid w:val="00CE69B8"/>
    <w:rsid w:val="00CE69EA"/>
    <w:rsid w:val="00CE6B15"/>
    <w:rsid w:val="00CE6CB1"/>
    <w:rsid w:val="00CE6E7F"/>
    <w:rsid w:val="00CE6EE2"/>
    <w:rsid w:val="00CE718C"/>
    <w:rsid w:val="00CE7CC0"/>
    <w:rsid w:val="00CE7E8E"/>
    <w:rsid w:val="00CF0158"/>
    <w:rsid w:val="00CF015B"/>
    <w:rsid w:val="00CF0679"/>
    <w:rsid w:val="00CF089E"/>
    <w:rsid w:val="00CF0F05"/>
    <w:rsid w:val="00CF0F88"/>
    <w:rsid w:val="00CF0F96"/>
    <w:rsid w:val="00CF1516"/>
    <w:rsid w:val="00CF1E5C"/>
    <w:rsid w:val="00CF204E"/>
    <w:rsid w:val="00CF20B5"/>
    <w:rsid w:val="00CF2217"/>
    <w:rsid w:val="00CF22E3"/>
    <w:rsid w:val="00CF26FA"/>
    <w:rsid w:val="00CF2EB7"/>
    <w:rsid w:val="00CF2F48"/>
    <w:rsid w:val="00CF2FC1"/>
    <w:rsid w:val="00CF31B0"/>
    <w:rsid w:val="00CF3757"/>
    <w:rsid w:val="00CF37B2"/>
    <w:rsid w:val="00CF3B1B"/>
    <w:rsid w:val="00CF3C54"/>
    <w:rsid w:val="00CF3C6E"/>
    <w:rsid w:val="00CF3CED"/>
    <w:rsid w:val="00CF42F7"/>
    <w:rsid w:val="00CF45DC"/>
    <w:rsid w:val="00CF46A6"/>
    <w:rsid w:val="00CF4984"/>
    <w:rsid w:val="00CF4A4F"/>
    <w:rsid w:val="00CF4AF2"/>
    <w:rsid w:val="00CF4B2D"/>
    <w:rsid w:val="00CF4C19"/>
    <w:rsid w:val="00CF53C3"/>
    <w:rsid w:val="00CF545C"/>
    <w:rsid w:val="00CF5EFF"/>
    <w:rsid w:val="00CF617D"/>
    <w:rsid w:val="00CF6189"/>
    <w:rsid w:val="00CF6864"/>
    <w:rsid w:val="00CF6D07"/>
    <w:rsid w:val="00CF6EF2"/>
    <w:rsid w:val="00CF7314"/>
    <w:rsid w:val="00CF74F9"/>
    <w:rsid w:val="00CF7F66"/>
    <w:rsid w:val="00CF7FC4"/>
    <w:rsid w:val="00D0035E"/>
    <w:rsid w:val="00D00376"/>
    <w:rsid w:val="00D00660"/>
    <w:rsid w:val="00D0067D"/>
    <w:rsid w:val="00D00CFF"/>
    <w:rsid w:val="00D00E87"/>
    <w:rsid w:val="00D00F8A"/>
    <w:rsid w:val="00D01003"/>
    <w:rsid w:val="00D01A5A"/>
    <w:rsid w:val="00D01CF5"/>
    <w:rsid w:val="00D01D1C"/>
    <w:rsid w:val="00D01F3A"/>
    <w:rsid w:val="00D0213D"/>
    <w:rsid w:val="00D02A3A"/>
    <w:rsid w:val="00D02ABC"/>
    <w:rsid w:val="00D031F3"/>
    <w:rsid w:val="00D03810"/>
    <w:rsid w:val="00D03D7D"/>
    <w:rsid w:val="00D041E2"/>
    <w:rsid w:val="00D0483D"/>
    <w:rsid w:val="00D04844"/>
    <w:rsid w:val="00D050B1"/>
    <w:rsid w:val="00D0519B"/>
    <w:rsid w:val="00D05386"/>
    <w:rsid w:val="00D054CA"/>
    <w:rsid w:val="00D05A15"/>
    <w:rsid w:val="00D05C6C"/>
    <w:rsid w:val="00D05D86"/>
    <w:rsid w:val="00D06114"/>
    <w:rsid w:val="00D06685"/>
    <w:rsid w:val="00D06AE9"/>
    <w:rsid w:val="00D06E14"/>
    <w:rsid w:val="00D06E46"/>
    <w:rsid w:val="00D06FD8"/>
    <w:rsid w:val="00D0710B"/>
    <w:rsid w:val="00D0725C"/>
    <w:rsid w:val="00D07843"/>
    <w:rsid w:val="00D07860"/>
    <w:rsid w:val="00D07898"/>
    <w:rsid w:val="00D07B32"/>
    <w:rsid w:val="00D07F6E"/>
    <w:rsid w:val="00D104C2"/>
    <w:rsid w:val="00D108D9"/>
    <w:rsid w:val="00D10943"/>
    <w:rsid w:val="00D10A77"/>
    <w:rsid w:val="00D10BC8"/>
    <w:rsid w:val="00D10DEC"/>
    <w:rsid w:val="00D1105C"/>
    <w:rsid w:val="00D11167"/>
    <w:rsid w:val="00D11B88"/>
    <w:rsid w:val="00D11C96"/>
    <w:rsid w:val="00D11EFB"/>
    <w:rsid w:val="00D1251C"/>
    <w:rsid w:val="00D12CCB"/>
    <w:rsid w:val="00D12F46"/>
    <w:rsid w:val="00D12FB2"/>
    <w:rsid w:val="00D134DD"/>
    <w:rsid w:val="00D1354F"/>
    <w:rsid w:val="00D13DEE"/>
    <w:rsid w:val="00D1407E"/>
    <w:rsid w:val="00D141B2"/>
    <w:rsid w:val="00D145ED"/>
    <w:rsid w:val="00D149B7"/>
    <w:rsid w:val="00D149F5"/>
    <w:rsid w:val="00D14ABB"/>
    <w:rsid w:val="00D14F37"/>
    <w:rsid w:val="00D1554C"/>
    <w:rsid w:val="00D155E3"/>
    <w:rsid w:val="00D1567F"/>
    <w:rsid w:val="00D15890"/>
    <w:rsid w:val="00D1617F"/>
    <w:rsid w:val="00D1658A"/>
    <w:rsid w:val="00D16655"/>
    <w:rsid w:val="00D16EA2"/>
    <w:rsid w:val="00D17588"/>
    <w:rsid w:val="00D17EC4"/>
    <w:rsid w:val="00D20119"/>
    <w:rsid w:val="00D204F9"/>
    <w:rsid w:val="00D20D05"/>
    <w:rsid w:val="00D20EC4"/>
    <w:rsid w:val="00D21136"/>
    <w:rsid w:val="00D211CF"/>
    <w:rsid w:val="00D212A4"/>
    <w:rsid w:val="00D2167E"/>
    <w:rsid w:val="00D2172C"/>
    <w:rsid w:val="00D217A8"/>
    <w:rsid w:val="00D21969"/>
    <w:rsid w:val="00D21ADD"/>
    <w:rsid w:val="00D21F44"/>
    <w:rsid w:val="00D22080"/>
    <w:rsid w:val="00D2278D"/>
    <w:rsid w:val="00D22D60"/>
    <w:rsid w:val="00D22E2B"/>
    <w:rsid w:val="00D231D6"/>
    <w:rsid w:val="00D234FD"/>
    <w:rsid w:val="00D2399B"/>
    <w:rsid w:val="00D23FAE"/>
    <w:rsid w:val="00D246B9"/>
    <w:rsid w:val="00D24932"/>
    <w:rsid w:val="00D24BCF"/>
    <w:rsid w:val="00D2502B"/>
    <w:rsid w:val="00D250A0"/>
    <w:rsid w:val="00D251C0"/>
    <w:rsid w:val="00D2534E"/>
    <w:rsid w:val="00D2536D"/>
    <w:rsid w:val="00D257F6"/>
    <w:rsid w:val="00D25EEE"/>
    <w:rsid w:val="00D25F3F"/>
    <w:rsid w:val="00D269F4"/>
    <w:rsid w:val="00D26DE7"/>
    <w:rsid w:val="00D275E0"/>
    <w:rsid w:val="00D27778"/>
    <w:rsid w:val="00D277E1"/>
    <w:rsid w:val="00D27A02"/>
    <w:rsid w:val="00D27D83"/>
    <w:rsid w:val="00D300A9"/>
    <w:rsid w:val="00D300D8"/>
    <w:rsid w:val="00D3040F"/>
    <w:rsid w:val="00D304D3"/>
    <w:rsid w:val="00D30820"/>
    <w:rsid w:val="00D30EE3"/>
    <w:rsid w:val="00D3100B"/>
    <w:rsid w:val="00D310FA"/>
    <w:rsid w:val="00D3126D"/>
    <w:rsid w:val="00D313D4"/>
    <w:rsid w:val="00D316F7"/>
    <w:rsid w:val="00D318D8"/>
    <w:rsid w:val="00D3198D"/>
    <w:rsid w:val="00D321D5"/>
    <w:rsid w:val="00D321E5"/>
    <w:rsid w:val="00D323C9"/>
    <w:rsid w:val="00D325C6"/>
    <w:rsid w:val="00D3269A"/>
    <w:rsid w:val="00D32A3A"/>
    <w:rsid w:val="00D3307A"/>
    <w:rsid w:val="00D33443"/>
    <w:rsid w:val="00D33DE0"/>
    <w:rsid w:val="00D33E9F"/>
    <w:rsid w:val="00D349B7"/>
    <w:rsid w:val="00D34DF5"/>
    <w:rsid w:val="00D356E2"/>
    <w:rsid w:val="00D35C73"/>
    <w:rsid w:val="00D3674B"/>
    <w:rsid w:val="00D368D8"/>
    <w:rsid w:val="00D36AB4"/>
    <w:rsid w:val="00D36B7E"/>
    <w:rsid w:val="00D36EC4"/>
    <w:rsid w:val="00D36FED"/>
    <w:rsid w:val="00D3722B"/>
    <w:rsid w:val="00D3739F"/>
    <w:rsid w:val="00D373A8"/>
    <w:rsid w:val="00D37594"/>
    <w:rsid w:val="00D376A2"/>
    <w:rsid w:val="00D378B6"/>
    <w:rsid w:val="00D37BD2"/>
    <w:rsid w:val="00D37C99"/>
    <w:rsid w:val="00D37CA4"/>
    <w:rsid w:val="00D37FA3"/>
    <w:rsid w:val="00D40390"/>
    <w:rsid w:val="00D403C7"/>
    <w:rsid w:val="00D403D5"/>
    <w:rsid w:val="00D4057E"/>
    <w:rsid w:val="00D40778"/>
    <w:rsid w:val="00D40961"/>
    <w:rsid w:val="00D40D5A"/>
    <w:rsid w:val="00D41E5D"/>
    <w:rsid w:val="00D42004"/>
    <w:rsid w:val="00D4208B"/>
    <w:rsid w:val="00D42114"/>
    <w:rsid w:val="00D42607"/>
    <w:rsid w:val="00D42776"/>
    <w:rsid w:val="00D42846"/>
    <w:rsid w:val="00D42AAD"/>
    <w:rsid w:val="00D42B03"/>
    <w:rsid w:val="00D42B2A"/>
    <w:rsid w:val="00D42B98"/>
    <w:rsid w:val="00D42C50"/>
    <w:rsid w:val="00D43245"/>
    <w:rsid w:val="00D439F2"/>
    <w:rsid w:val="00D43B3E"/>
    <w:rsid w:val="00D43CE4"/>
    <w:rsid w:val="00D43E19"/>
    <w:rsid w:val="00D43E89"/>
    <w:rsid w:val="00D43ECA"/>
    <w:rsid w:val="00D445EE"/>
    <w:rsid w:val="00D4484F"/>
    <w:rsid w:val="00D44E77"/>
    <w:rsid w:val="00D450D5"/>
    <w:rsid w:val="00D45252"/>
    <w:rsid w:val="00D45902"/>
    <w:rsid w:val="00D460AE"/>
    <w:rsid w:val="00D46485"/>
    <w:rsid w:val="00D4695E"/>
    <w:rsid w:val="00D47616"/>
    <w:rsid w:val="00D47F2C"/>
    <w:rsid w:val="00D5029F"/>
    <w:rsid w:val="00D503F9"/>
    <w:rsid w:val="00D50AAD"/>
    <w:rsid w:val="00D517B2"/>
    <w:rsid w:val="00D51A80"/>
    <w:rsid w:val="00D51B5E"/>
    <w:rsid w:val="00D51C4F"/>
    <w:rsid w:val="00D51DED"/>
    <w:rsid w:val="00D52053"/>
    <w:rsid w:val="00D520B2"/>
    <w:rsid w:val="00D522ED"/>
    <w:rsid w:val="00D5266F"/>
    <w:rsid w:val="00D52710"/>
    <w:rsid w:val="00D529E5"/>
    <w:rsid w:val="00D52AB5"/>
    <w:rsid w:val="00D52FAF"/>
    <w:rsid w:val="00D53129"/>
    <w:rsid w:val="00D536A2"/>
    <w:rsid w:val="00D54D79"/>
    <w:rsid w:val="00D54E1B"/>
    <w:rsid w:val="00D54F46"/>
    <w:rsid w:val="00D55151"/>
    <w:rsid w:val="00D55BA4"/>
    <w:rsid w:val="00D55D91"/>
    <w:rsid w:val="00D56129"/>
    <w:rsid w:val="00D56568"/>
    <w:rsid w:val="00D56693"/>
    <w:rsid w:val="00D56CE8"/>
    <w:rsid w:val="00D571E8"/>
    <w:rsid w:val="00D57321"/>
    <w:rsid w:val="00D5736C"/>
    <w:rsid w:val="00D574DD"/>
    <w:rsid w:val="00D575C9"/>
    <w:rsid w:val="00D5770E"/>
    <w:rsid w:val="00D5783C"/>
    <w:rsid w:val="00D57F1F"/>
    <w:rsid w:val="00D57F9C"/>
    <w:rsid w:val="00D604B9"/>
    <w:rsid w:val="00D605C4"/>
    <w:rsid w:val="00D60708"/>
    <w:rsid w:val="00D60975"/>
    <w:rsid w:val="00D609B0"/>
    <w:rsid w:val="00D60C59"/>
    <w:rsid w:val="00D60CC0"/>
    <w:rsid w:val="00D61624"/>
    <w:rsid w:val="00D61928"/>
    <w:rsid w:val="00D619F5"/>
    <w:rsid w:val="00D62607"/>
    <w:rsid w:val="00D62A7B"/>
    <w:rsid w:val="00D62DFC"/>
    <w:rsid w:val="00D62EA8"/>
    <w:rsid w:val="00D630A0"/>
    <w:rsid w:val="00D633A4"/>
    <w:rsid w:val="00D63406"/>
    <w:rsid w:val="00D63FCF"/>
    <w:rsid w:val="00D643A2"/>
    <w:rsid w:val="00D6442E"/>
    <w:rsid w:val="00D64A81"/>
    <w:rsid w:val="00D6507B"/>
    <w:rsid w:val="00D657AD"/>
    <w:rsid w:val="00D65839"/>
    <w:rsid w:val="00D65A4D"/>
    <w:rsid w:val="00D65B92"/>
    <w:rsid w:val="00D65EFE"/>
    <w:rsid w:val="00D65F74"/>
    <w:rsid w:val="00D66060"/>
    <w:rsid w:val="00D66501"/>
    <w:rsid w:val="00D66767"/>
    <w:rsid w:val="00D66AA2"/>
    <w:rsid w:val="00D6711A"/>
    <w:rsid w:val="00D67243"/>
    <w:rsid w:val="00D674FA"/>
    <w:rsid w:val="00D67535"/>
    <w:rsid w:val="00D67AC3"/>
    <w:rsid w:val="00D67BCC"/>
    <w:rsid w:val="00D702DF"/>
    <w:rsid w:val="00D70770"/>
    <w:rsid w:val="00D70916"/>
    <w:rsid w:val="00D70A0D"/>
    <w:rsid w:val="00D7160C"/>
    <w:rsid w:val="00D7205E"/>
    <w:rsid w:val="00D721AF"/>
    <w:rsid w:val="00D72718"/>
    <w:rsid w:val="00D727AB"/>
    <w:rsid w:val="00D727EE"/>
    <w:rsid w:val="00D73048"/>
    <w:rsid w:val="00D7350B"/>
    <w:rsid w:val="00D736E1"/>
    <w:rsid w:val="00D73D16"/>
    <w:rsid w:val="00D73DB2"/>
    <w:rsid w:val="00D74B4B"/>
    <w:rsid w:val="00D750A3"/>
    <w:rsid w:val="00D75900"/>
    <w:rsid w:val="00D75A45"/>
    <w:rsid w:val="00D75A55"/>
    <w:rsid w:val="00D761EB"/>
    <w:rsid w:val="00D763B1"/>
    <w:rsid w:val="00D766D9"/>
    <w:rsid w:val="00D7682C"/>
    <w:rsid w:val="00D76CA3"/>
    <w:rsid w:val="00D7702C"/>
    <w:rsid w:val="00D7737E"/>
    <w:rsid w:val="00D77934"/>
    <w:rsid w:val="00D77B7D"/>
    <w:rsid w:val="00D77D24"/>
    <w:rsid w:val="00D77D9F"/>
    <w:rsid w:val="00D77DDB"/>
    <w:rsid w:val="00D77E09"/>
    <w:rsid w:val="00D77E0D"/>
    <w:rsid w:val="00D77F75"/>
    <w:rsid w:val="00D801BC"/>
    <w:rsid w:val="00D802E4"/>
    <w:rsid w:val="00D80315"/>
    <w:rsid w:val="00D80338"/>
    <w:rsid w:val="00D81034"/>
    <w:rsid w:val="00D81302"/>
    <w:rsid w:val="00D81581"/>
    <w:rsid w:val="00D815E7"/>
    <w:rsid w:val="00D81AD5"/>
    <w:rsid w:val="00D81BC2"/>
    <w:rsid w:val="00D82117"/>
    <w:rsid w:val="00D821DA"/>
    <w:rsid w:val="00D821F2"/>
    <w:rsid w:val="00D8229D"/>
    <w:rsid w:val="00D824E4"/>
    <w:rsid w:val="00D8294D"/>
    <w:rsid w:val="00D83193"/>
    <w:rsid w:val="00D8385D"/>
    <w:rsid w:val="00D83AD2"/>
    <w:rsid w:val="00D83D0A"/>
    <w:rsid w:val="00D83E4D"/>
    <w:rsid w:val="00D84066"/>
    <w:rsid w:val="00D84134"/>
    <w:rsid w:val="00D841A8"/>
    <w:rsid w:val="00D84494"/>
    <w:rsid w:val="00D84689"/>
    <w:rsid w:val="00D8476D"/>
    <w:rsid w:val="00D849A6"/>
    <w:rsid w:val="00D84A1D"/>
    <w:rsid w:val="00D84DBA"/>
    <w:rsid w:val="00D84DFB"/>
    <w:rsid w:val="00D85165"/>
    <w:rsid w:val="00D85BDE"/>
    <w:rsid w:val="00D8609A"/>
    <w:rsid w:val="00D8661C"/>
    <w:rsid w:val="00D86EE3"/>
    <w:rsid w:val="00D86FCD"/>
    <w:rsid w:val="00D87734"/>
    <w:rsid w:val="00D878CC"/>
    <w:rsid w:val="00D87957"/>
    <w:rsid w:val="00D904B0"/>
    <w:rsid w:val="00D904CB"/>
    <w:rsid w:val="00D90713"/>
    <w:rsid w:val="00D90843"/>
    <w:rsid w:val="00D911D4"/>
    <w:rsid w:val="00D913D0"/>
    <w:rsid w:val="00D92198"/>
    <w:rsid w:val="00D92932"/>
    <w:rsid w:val="00D92982"/>
    <w:rsid w:val="00D92C83"/>
    <w:rsid w:val="00D931A5"/>
    <w:rsid w:val="00D9392A"/>
    <w:rsid w:val="00D93C33"/>
    <w:rsid w:val="00D9411F"/>
    <w:rsid w:val="00D9486A"/>
    <w:rsid w:val="00D94B2D"/>
    <w:rsid w:val="00D94BFF"/>
    <w:rsid w:val="00D94D88"/>
    <w:rsid w:val="00D94FC6"/>
    <w:rsid w:val="00D951DA"/>
    <w:rsid w:val="00D95286"/>
    <w:rsid w:val="00D95657"/>
    <w:rsid w:val="00D968E0"/>
    <w:rsid w:val="00D96A4E"/>
    <w:rsid w:val="00D96E85"/>
    <w:rsid w:val="00D96F58"/>
    <w:rsid w:val="00D96F97"/>
    <w:rsid w:val="00D96FDB"/>
    <w:rsid w:val="00D97286"/>
    <w:rsid w:val="00D97335"/>
    <w:rsid w:val="00D975BA"/>
    <w:rsid w:val="00D97AD0"/>
    <w:rsid w:val="00D97AF7"/>
    <w:rsid w:val="00D97BB2"/>
    <w:rsid w:val="00DA04E1"/>
    <w:rsid w:val="00DA0911"/>
    <w:rsid w:val="00DA09AC"/>
    <w:rsid w:val="00DA0A24"/>
    <w:rsid w:val="00DA0E44"/>
    <w:rsid w:val="00DA1013"/>
    <w:rsid w:val="00DA11CB"/>
    <w:rsid w:val="00DA18E5"/>
    <w:rsid w:val="00DA1CF8"/>
    <w:rsid w:val="00DA2285"/>
    <w:rsid w:val="00DA2AE7"/>
    <w:rsid w:val="00DA2B41"/>
    <w:rsid w:val="00DA307A"/>
    <w:rsid w:val="00DA30CF"/>
    <w:rsid w:val="00DA3785"/>
    <w:rsid w:val="00DA39E6"/>
    <w:rsid w:val="00DA3C83"/>
    <w:rsid w:val="00DA43FC"/>
    <w:rsid w:val="00DA44AE"/>
    <w:rsid w:val="00DA454B"/>
    <w:rsid w:val="00DA4620"/>
    <w:rsid w:val="00DA49FF"/>
    <w:rsid w:val="00DA4B5A"/>
    <w:rsid w:val="00DA5338"/>
    <w:rsid w:val="00DA5581"/>
    <w:rsid w:val="00DA56E7"/>
    <w:rsid w:val="00DA576F"/>
    <w:rsid w:val="00DA5874"/>
    <w:rsid w:val="00DA5937"/>
    <w:rsid w:val="00DA5B58"/>
    <w:rsid w:val="00DA5C5A"/>
    <w:rsid w:val="00DA664D"/>
    <w:rsid w:val="00DA69EF"/>
    <w:rsid w:val="00DA6B21"/>
    <w:rsid w:val="00DA702F"/>
    <w:rsid w:val="00DA7057"/>
    <w:rsid w:val="00DA74CB"/>
    <w:rsid w:val="00DA78F1"/>
    <w:rsid w:val="00DA7BD5"/>
    <w:rsid w:val="00DB04FD"/>
    <w:rsid w:val="00DB09D4"/>
    <w:rsid w:val="00DB1027"/>
    <w:rsid w:val="00DB11C0"/>
    <w:rsid w:val="00DB12E1"/>
    <w:rsid w:val="00DB1307"/>
    <w:rsid w:val="00DB13C8"/>
    <w:rsid w:val="00DB17B8"/>
    <w:rsid w:val="00DB19C4"/>
    <w:rsid w:val="00DB1C28"/>
    <w:rsid w:val="00DB1D42"/>
    <w:rsid w:val="00DB2094"/>
    <w:rsid w:val="00DB2119"/>
    <w:rsid w:val="00DB25BC"/>
    <w:rsid w:val="00DB319F"/>
    <w:rsid w:val="00DB340D"/>
    <w:rsid w:val="00DB3D84"/>
    <w:rsid w:val="00DB426F"/>
    <w:rsid w:val="00DB4C88"/>
    <w:rsid w:val="00DB536A"/>
    <w:rsid w:val="00DB53BE"/>
    <w:rsid w:val="00DB5424"/>
    <w:rsid w:val="00DB5532"/>
    <w:rsid w:val="00DB5682"/>
    <w:rsid w:val="00DB6245"/>
    <w:rsid w:val="00DB7B27"/>
    <w:rsid w:val="00DC02FD"/>
    <w:rsid w:val="00DC046A"/>
    <w:rsid w:val="00DC05F6"/>
    <w:rsid w:val="00DC060F"/>
    <w:rsid w:val="00DC07E2"/>
    <w:rsid w:val="00DC0BB1"/>
    <w:rsid w:val="00DC106B"/>
    <w:rsid w:val="00DC1594"/>
    <w:rsid w:val="00DC15B2"/>
    <w:rsid w:val="00DC18B3"/>
    <w:rsid w:val="00DC1A30"/>
    <w:rsid w:val="00DC1D4E"/>
    <w:rsid w:val="00DC21F3"/>
    <w:rsid w:val="00DC25CC"/>
    <w:rsid w:val="00DC2658"/>
    <w:rsid w:val="00DC3312"/>
    <w:rsid w:val="00DC3681"/>
    <w:rsid w:val="00DC3712"/>
    <w:rsid w:val="00DC371F"/>
    <w:rsid w:val="00DC3B8C"/>
    <w:rsid w:val="00DC3C5D"/>
    <w:rsid w:val="00DC3CF1"/>
    <w:rsid w:val="00DC3DCC"/>
    <w:rsid w:val="00DC3F00"/>
    <w:rsid w:val="00DC3F6C"/>
    <w:rsid w:val="00DC4466"/>
    <w:rsid w:val="00DC459D"/>
    <w:rsid w:val="00DC4645"/>
    <w:rsid w:val="00DC4C59"/>
    <w:rsid w:val="00DC4DBE"/>
    <w:rsid w:val="00DC5012"/>
    <w:rsid w:val="00DC5258"/>
    <w:rsid w:val="00DC52B6"/>
    <w:rsid w:val="00DC5604"/>
    <w:rsid w:val="00DC5682"/>
    <w:rsid w:val="00DC583A"/>
    <w:rsid w:val="00DC5840"/>
    <w:rsid w:val="00DC5CC1"/>
    <w:rsid w:val="00DC5DDD"/>
    <w:rsid w:val="00DC5F50"/>
    <w:rsid w:val="00DC6514"/>
    <w:rsid w:val="00DC654C"/>
    <w:rsid w:val="00DC6AE5"/>
    <w:rsid w:val="00DC6C27"/>
    <w:rsid w:val="00DC7357"/>
    <w:rsid w:val="00DC745C"/>
    <w:rsid w:val="00DC74C2"/>
    <w:rsid w:val="00DC790B"/>
    <w:rsid w:val="00DD0159"/>
    <w:rsid w:val="00DD09A0"/>
    <w:rsid w:val="00DD0A4A"/>
    <w:rsid w:val="00DD12E3"/>
    <w:rsid w:val="00DD13E0"/>
    <w:rsid w:val="00DD1717"/>
    <w:rsid w:val="00DD1723"/>
    <w:rsid w:val="00DD1738"/>
    <w:rsid w:val="00DD178E"/>
    <w:rsid w:val="00DD184D"/>
    <w:rsid w:val="00DD1FEB"/>
    <w:rsid w:val="00DD23E7"/>
    <w:rsid w:val="00DD26BE"/>
    <w:rsid w:val="00DD27F8"/>
    <w:rsid w:val="00DD2C64"/>
    <w:rsid w:val="00DD2D81"/>
    <w:rsid w:val="00DD30C0"/>
    <w:rsid w:val="00DD3A61"/>
    <w:rsid w:val="00DD3BA1"/>
    <w:rsid w:val="00DD3CC7"/>
    <w:rsid w:val="00DD4EA1"/>
    <w:rsid w:val="00DD5320"/>
    <w:rsid w:val="00DD5A39"/>
    <w:rsid w:val="00DD5F70"/>
    <w:rsid w:val="00DD640E"/>
    <w:rsid w:val="00DD66F4"/>
    <w:rsid w:val="00DD696B"/>
    <w:rsid w:val="00DD69E4"/>
    <w:rsid w:val="00DD6AB7"/>
    <w:rsid w:val="00DD6DEB"/>
    <w:rsid w:val="00DD72E5"/>
    <w:rsid w:val="00DD7B2D"/>
    <w:rsid w:val="00DD7F77"/>
    <w:rsid w:val="00DE055B"/>
    <w:rsid w:val="00DE0B58"/>
    <w:rsid w:val="00DE0C9F"/>
    <w:rsid w:val="00DE1019"/>
    <w:rsid w:val="00DE17A8"/>
    <w:rsid w:val="00DE1D4F"/>
    <w:rsid w:val="00DE1F49"/>
    <w:rsid w:val="00DE2135"/>
    <w:rsid w:val="00DE268D"/>
    <w:rsid w:val="00DE2792"/>
    <w:rsid w:val="00DE2A88"/>
    <w:rsid w:val="00DE2B53"/>
    <w:rsid w:val="00DE31C6"/>
    <w:rsid w:val="00DE33A4"/>
    <w:rsid w:val="00DE351A"/>
    <w:rsid w:val="00DE3DBF"/>
    <w:rsid w:val="00DE40FA"/>
    <w:rsid w:val="00DE4321"/>
    <w:rsid w:val="00DE498E"/>
    <w:rsid w:val="00DE4E40"/>
    <w:rsid w:val="00DE5057"/>
    <w:rsid w:val="00DE587B"/>
    <w:rsid w:val="00DE6EB8"/>
    <w:rsid w:val="00DE6F72"/>
    <w:rsid w:val="00DE714C"/>
    <w:rsid w:val="00DE75B3"/>
    <w:rsid w:val="00DE7763"/>
    <w:rsid w:val="00DE7923"/>
    <w:rsid w:val="00DE7BB1"/>
    <w:rsid w:val="00DF0149"/>
    <w:rsid w:val="00DF0246"/>
    <w:rsid w:val="00DF04D9"/>
    <w:rsid w:val="00DF0878"/>
    <w:rsid w:val="00DF0A37"/>
    <w:rsid w:val="00DF0CD0"/>
    <w:rsid w:val="00DF0F66"/>
    <w:rsid w:val="00DF1681"/>
    <w:rsid w:val="00DF1FE3"/>
    <w:rsid w:val="00DF21F6"/>
    <w:rsid w:val="00DF2789"/>
    <w:rsid w:val="00DF2E5D"/>
    <w:rsid w:val="00DF2E84"/>
    <w:rsid w:val="00DF30A0"/>
    <w:rsid w:val="00DF3123"/>
    <w:rsid w:val="00DF316E"/>
    <w:rsid w:val="00DF3448"/>
    <w:rsid w:val="00DF372E"/>
    <w:rsid w:val="00DF3D62"/>
    <w:rsid w:val="00DF45D8"/>
    <w:rsid w:val="00DF4AA0"/>
    <w:rsid w:val="00DF4EBD"/>
    <w:rsid w:val="00DF5226"/>
    <w:rsid w:val="00DF5283"/>
    <w:rsid w:val="00DF530E"/>
    <w:rsid w:val="00DF535C"/>
    <w:rsid w:val="00DF563F"/>
    <w:rsid w:val="00DF5B2B"/>
    <w:rsid w:val="00DF5C9A"/>
    <w:rsid w:val="00DF5EBC"/>
    <w:rsid w:val="00DF5F4B"/>
    <w:rsid w:val="00DF6993"/>
    <w:rsid w:val="00DF6D2D"/>
    <w:rsid w:val="00DF73CB"/>
    <w:rsid w:val="00DF7564"/>
    <w:rsid w:val="00DF75A6"/>
    <w:rsid w:val="00DF77EE"/>
    <w:rsid w:val="00DF7866"/>
    <w:rsid w:val="00DF78A8"/>
    <w:rsid w:val="00DF7A8A"/>
    <w:rsid w:val="00DF7FF5"/>
    <w:rsid w:val="00E008C0"/>
    <w:rsid w:val="00E00DDB"/>
    <w:rsid w:val="00E013D1"/>
    <w:rsid w:val="00E0146D"/>
    <w:rsid w:val="00E01560"/>
    <w:rsid w:val="00E01921"/>
    <w:rsid w:val="00E01FC9"/>
    <w:rsid w:val="00E0267E"/>
    <w:rsid w:val="00E026C4"/>
    <w:rsid w:val="00E02778"/>
    <w:rsid w:val="00E02879"/>
    <w:rsid w:val="00E028BE"/>
    <w:rsid w:val="00E029D5"/>
    <w:rsid w:val="00E0323C"/>
    <w:rsid w:val="00E0386A"/>
    <w:rsid w:val="00E03A47"/>
    <w:rsid w:val="00E03AD1"/>
    <w:rsid w:val="00E03EB8"/>
    <w:rsid w:val="00E04AB6"/>
    <w:rsid w:val="00E05164"/>
    <w:rsid w:val="00E054C5"/>
    <w:rsid w:val="00E05BC4"/>
    <w:rsid w:val="00E05D4E"/>
    <w:rsid w:val="00E05D8F"/>
    <w:rsid w:val="00E05DFE"/>
    <w:rsid w:val="00E06093"/>
    <w:rsid w:val="00E06D7D"/>
    <w:rsid w:val="00E0700F"/>
    <w:rsid w:val="00E07144"/>
    <w:rsid w:val="00E07A6C"/>
    <w:rsid w:val="00E10BD8"/>
    <w:rsid w:val="00E10CCA"/>
    <w:rsid w:val="00E111A9"/>
    <w:rsid w:val="00E1166E"/>
    <w:rsid w:val="00E116E3"/>
    <w:rsid w:val="00E11ACD"/>
    <w:rsid w:val="00E11B4B"/>
    <w:rsid w:val="00E11F23"/>
    <w:rsid w:val="00E11FF0"/>
    <w:rsid w:val="00E128AE"/>
    <w:rsid w:val="00E12AC7"/>
    <w:rsid w:val="00E12B08"/>
    <w:rsid w:val="00E12D47"/>
    <w:rsid w:val="00E1343D"/>
    <w:rsid w:val="00E13892"/>
    <w:rsid w:val="00E1397D"/>
    <w:rsid w:val="00E13B09"/>
    <w:rsid w:val="00E13EB4"/>
    <w:rsid w:val="00E13FAF"/>
    <w:rsid w:val="00E14022"/>
    <w:rsid w:val="00E14321"/>
    <w:rsid w:val="00E14447"/>
    <w:rsid w:val="00E1479D"/>
    <w:rsid w:val="00E14BDE"/>
    <w:rsid w:val="00E14C6C"/>
    <w:rsid w:val="00E1588B"/>
    <w:rsid w:val="00E15EAB"/>
    <w:rsid w:val="00E15EFE"/>
    <w:rsid w:val="00E15FC0"/>
    <w:rsid w:val="00E16E48"/>
    <w:rsid w:val="00E170C2"/>
    <w:rsid w:val="00E173E0"/>
    <w:rsid w:val="00E17BE5"/>
    <w:rsid w:val="00E17C6A"/>
    <w:rsid w:val="00E17DC5"/>
    <w:rsid w:val="00E2002D"/>
    <w:rsid w:val="00E20318"/>
    <w:rsid w:val="00E20937"/>
    <w:rsid w:val="00E20AC8"/>
    <w:rsid w:val="00E20B01"/>
    <w:rsid w:val="00E20DF6"/>
    <w:rsid w:val="00E20E6A"/>
    <w:rsid w:val="00E21036"/>
    <w:rsid w:val="00E212F8"/>
    <w:rsid w:val="00E21474"/>
    <w:rsid w:val="00E21508"/>
    <w:rsid w:val="00E2157D"/>
    <w:rsid w:val="00E2166F"/>
    <w:rsid w:val="00E21942"/>
    <w:rsid w:val="00E22A07"/>
    <w:rsid w:val="00E22F75"/>
    <w:rsid w:val="00E23378"/>
    <w:rsid w:val="00E23891"/>
    <w:rsid w:val="00E23BA9"/>
    <w:rsid w:val="00E24279"/>
    <w:rsid w:val="00E24739"/>
    <w:rsid w:val="00E247D3"/>
    <w:rsid w:val="00E24CA0"/>
    <w:rsid w:val="00E24DEC"/>
    <w:rsid w:val="00E25135"/>
    <w:rsid w:val="00E257BB"/>
    <w:rsid w:val="00E25944"/>
    <w:rsid w:val="00E261E9"/>
    <w:rsid w:val="00E26363"/>
    <w:rsid w:val="00E264B5"/>
    <w:rsid w:val="00E2656B"/>
    <w:rsid w:val="00E26B97"/>
    <w:rsid w:val="00E26C3D"/>
    <w:rsid w:val="00E27083"/>
    <w:rsid w:val="00E27280"/>
    <w:rsid w:val="00E2737D"/>
    <w:rsid w:val="00E27603"/>
    <w:rsid w:val="00E27B9B"/>
    <w:rsid w:val="00E3042E"/>
    <w:rsid w:val="00E3084F"/>
    <w:rsid w:val="00E30A2A"/>
    <w:rsid w:val="00E30BDD"/>
    <w:rsid w:val="00E30C90"/>
    <w:rsid w:val="00E30FC1"/>
    <w:rsid w:val="00E31375"/>
    <w:rsid w:val="00E32104"/>
    <w:rsid w:val="00E32108"/>
    <w:rsid w:val="00E32465"/>
    <w:rsid w:val="00E3249F"/>
    <w:rsid w:val="00E325DA"/>
    <w:rsid w:val="00E32FD2"/>
    <w:rsid w:val="00E332C8"/>
    <w:rsid w:val="00E333C0"/>
    <w:rsid w:val="00E338DF"/>
    <w:rsid w:val="00E33DF1"/>
    <w:rsid w:val="00E33E8F"/>
    <w:rsid w:val="00E33F08"/>
    <w:rsid w:val="00E34091"/>
    <w:rsid w:val="00E3416E"/>
    <w:rsid w:val="00E342E9"/>
    <w:rsid w:val="00E344BF"/>
    <w:rsid w:val="00E34ACA"/>
    <w:rsid w:val="00E34CD4"/>
    <w:rsid w:val="00E34F35"/>
    <w:rsid w:val="00E3507C"/>
    <w:rsid w:val="00E358B4"/>
    <w:rsid w:val="00E35909"/>
    <w:rsid w:val="00E35D6D"/>
    <w:rsid w:val="00E35F70"/>
    <w:rsid w:val="00E3609D"/>
    <w:rsid w:val="00E361EA"/>
    <w:rsid w:val="00E363F2"/>
    <w:rsid w:val="00E3655D"/>
    <w:rsid w:val="00E367AB"/>
    <w:rsid w:val="00E368B3"/>
    <w:rsid w:val="00E368DA"/>
    <w:rsid w:val="00E369AF"/>
    <w:rsid w:val="00E36C52"/>
    <w:rsid w:val="00E36DAC"/>
    <w:rsid w:val="00E36DBD"/>
    <w:rsid w:val="00E36DCD"/>
    <w:rsid w:val="00E37A26"/>
    <w:rsid w:val="00E4001E"/>
    <w:rsid w:val="00E400B9"/>
    <w:rsid w:val="00E4021D"/>
    <w:rsid w:val="00E4026F"/>
    <w:rsid w:val="00E402B6"/>
    <w:rsid w:val="00E41043"/>
    <w:rsid w:val="00E41069"/>
    <w:rsid w:val="00E4187C"/>
    <w:rsid w:val="00E41892"/>
    <w:rsid w:val="00E419E0"/>
    <w:rsid w:val="00E41B5A"/>
    <w:rsid w:val="00E41CF1"/>
    <w:rsid w:val="00E41D18"/>
    <w:rsid w:val="00E41E8B"/>
    <w:rsid w:val="00E42533"/>
    <w:rsid w:val="00E4263F"/>
    <w:rsid w:val="00E42D33"/>
    <w:rsid w:val="00E42DF8"/>
    <w:rsid w:val="00E431CC"/>
    <w:rsid w:val="00E435B2"/>
    <w:rsid w:val="00E439D4"/>
    <w:rsid w:val="00E43A73"/>
    <w:rsid w:val="00E43B8A"/>
    <w:rsid w:val="00E440BD"/>
    <w:rsid w:val="00E4420A"/>
    <w:rsid w:val="00E443CC"/>
    <w:rsid w:val="00E44ACF"/>
    <w:rsid w:val="00E44C3F"/>
    <w:rsid w:val="00E450D3"/>
    <w:rsid w:val="00E45D09"/>
    <w:rsid w:val="00E45F63"/>
    <w:rsid w:val="00E46465"/>
    <w:rsid w:val="00E46850"/>
    <w:rsid w:val="00E47406"/>
    <w:rsid w:val="00E47500"/>
    <w:rsid w:val="00E47731"/>
    <w:rsid w:val="00E477BA"/>
    <w:rsid w:val="00E47E43"/>
    <w:rsid w:val="00E507C8"/>
    <w:rsid w:val="00E5141E"/>
    <w:rsid w:val="00E51B61"/>
    <w:rsid w:val="00E52085"/>
    <w:rsid w:val="00E522A0"/>
    <w:rsid w:val="00E524AB"/>
    <w:rsid w:val="00E53648"/>
    <w:rsid w:val="00E53B8F"/>
    <w:rsid w:val="00E541C3"/>
    <w:rsid w:val="00E54218"/>
    <w:rsid w:val="00E54CA3"/>
    <w:rsid w:val="00E54F73"/>
    <w:rsid w:val="00E55227"/>
    <w:rsid w:val="00E5533C"/>
    <w:rsid w:val="00E556D4"/>
    <w:rsid w:val="00E556F0"/>
    <w:rsid w:val="00E55B3F"/>
    <w:rsid w:val="00E55BBB"/>
    <w:rsid w:val="00E56127"/>
    <w:rsid w:val="00E5623B"/>
    <w:rsid w:val="00E5644D"/>
    <w:rsid w:val="00E56834"/>
    <w:rsid w:val="00E56A66"/>
    <w:rsid w:val="00E56E20"/>
    <w:rsid w:val="00E56EAC"/>
    <w:rsid w:val="00E56F9A"/>
    <w:rsid w:val="00E57395"/>
    <w:rsid w:val="00E57439"/>
    <w:rsid w:val="00E577A9"/>
    <w:rsid w:val="00E600B5"/>
    <w:rsid w:val="00E60939"/>
    <w:rsid w:val="00E60CF2"/>
    <w:rsid w:val="00E60DDE"/>
    <w:rsid w:val="00E60E5F"/>
    <w:rsid w:val="00E60E61"/>
    <w:rsid w:val="00E610EF"/>
    <w:rsid w:val="00E615D5"/>
    <w:rsid w:val="00E61AC5"/>
    <w:rsid w:val="00E61B5A"/>
    <w:rsid w:val="00E61DC4"/>
    <w:rsid w:val="00E6212E"/>
    <w:rsid w:val="00E621E0"/>
    <w:rsid w:val="00E627C8"/>
    <w:rsid w:val="00E6316F"/>
    <w:rsid w:val="00E63197"/>
    <w:rsid w:val="00E63319"/>
    <w:rsid w:val="00E640BE"/>
    <w:rsid w:val="00E641FC"/>
    <w:rsid w:val="00E64388"/>
    <w:rsid w:val="00E6479E"/>
    <w:rsid w:val="00E64BBF"/>
    <w:rsid w:val="00E64DDB"/>
    <w:rsid w:val="00E64E70"/>
    <w:rsid w:val="00E654B6"/>
    <w:rsid w:val="00E656B9"/>
    <w:rsid w:val="00E659DE"/>
    <w:rsid w:val="00E65BAA"/>
    <w:rsid w:val="00E662A4"/>
    <w:rsid w:val="00E66A59"/>
    <w:rsid w:val="00E67167"/>
    <w:rsid w:val="00E678AA"/>
    <w:rsid w:val="00E67D92"/>
    <w:rsid w:val="00E70050"/>
    <w:rsid w:val="00E709CB"/>
    <w:rsid w:val="00E70CFD"/>
    <w:rsid w:val="00E70F10"/>
    <w:rsid w:val="00E70FF2"/>
    <w:rsid w:val="00E714D9"/>
    <w:rsid w:val="00E717AC"/>
    <w:rsid w:val="00E718E6"/>
    <w:rsid w:val="00E71A63"/>
    <w:rsid w:val="00E71B57"/>
    <w:rsid w:val="00E71F09"/>
    <w:rsid w:val="00E71F1E"/>
    <w:rsid w:val="00E722DD"/>
    <w:rsid w:val="00E7246E"/>
    <w:rsid w:val="00E724A9"/>
    <w:rsid w:val="00E724DF"/>
    <w:rsid w:val="00E724F3"/>
    <w:rsid w:val="00E72629"/>
    <w:rsid w:val="00E7266A"/>
    <w:rsid w:val="00E72B41"/>
    <w:rsid w:val="00E72CB1"/>
    <w:rsid w:val="00E72D82"/>
    <w:rsid w:val="00E72E17"/>
    <w:rsid w:val="00E72FE7"/>
    <w:rsid w:val="00E731C7"/>
    <w:rsid w:val="00E733D3"/>
    <w:rsid w:val="00E734F4"/>
    <w:rsid w:val="00E73B9E"/>
    <w:rsid w:val="00E73DB7"/>
    <w:rsid w:val="00E7441E"/>
    <w:rsid w:val="00E745A5"/>
    <w:rsid w:val="00E747C3"/>
    <w:rsid w:val="00E749E7"/>
    <w:rsid w:val="00E74C27"/>
    <w:rsid w:val="00E74D24"/>
    <w:rsid w:val="00E755D2"/>
    <w:rsid w:val="00E75749"/>
    <w:rsid w:val="00E7587B"/>
    <w:rsid w:val="00E75E76"/>
    <w:rsid w:val="00E75EF9"/>
    <w:rsid w:val="00E7612F"/>
    <w:rsid w:val="00E761F8"/>
    <w:rsid w:val="00E76539"/>
    <w:rsid w:val="00E769CF"/>
    <w:rsid w:val="00E76B6B"/>
    <w:rsid w:val="00E76C0D"/>
    <w:rsid w:val="00E76CB2"/>
    <w:rsid w:val="00E76EC1"/>
    <w:rsid w:val="00E7763A"/>
    <w:rsid w:val="00E77A0D"/>
    <w:rsid w:val="00E77ED5"/>
    <w:rsid w:val="00E77F5E"/>
    <w:rsid w:val="00E8035A"/>
    <w:rsid w:val="00E80B36"/>
    <w:rsid w:val="00E80BD5"/>
    <w:rsid w:val="00E80D44"/>
    <w:rsid w:val="00E81096"/>
    <w:rsid w:val="00E81358"/>
    <w:rsid w:val="00E81A02"/>
    <w:rsid w:val="00E81C39"/>
    <w:rsid w:val="00E81CA6"/>
    <w:rsid w:val="00E81CF5"/>
    <w:rsid w:val="00E81FF4"/>
    <w:rsid w:val="00E820D3"/>
    <w:rsid w:val="00E82117"/>
    <w:rsid w:val="00E82443"/>
    <w:rsid w:val="00E82AFB"/>
    <w:rsid w:val="00E82E5D"/>
    <w:rsid w:val="00E82EFB"/>
    <w:rsid w:val="00E83011"/>
    <w:rsid w:val="00E831A4"/>
    <w:rsid w:val="00E834BE"/>
    <w:rsid w:val="00E83741"/>
    <w:rsid w:val="00E83A58"/>
    <w:rsid w:val="00E83B31"/>
    <w:rsid w:val="00E83B96"/>
    <w:rsid w:val="00E83F80"/>
    <w:rsid w:val="00E840F0"/>
    <w:rsid w:val="00E842CD"/>
    <w:rsid w:val="00E845AB"/>
    <w:rsid w:val="00E84673"/>
    <w:rsid w:val="00E84700"/>
    <w:rsid w:val="00E8497B"/>
    <w:rsid w:val="00E849BB"/>
    <w:rsid w:val="00E84AF7"/>
    <w:rsid w:val="00E84CEF"/>
    <w:rsid w:val="00E850B5"/>
    <w:rsid w:val="00E8583C"/>
    <w:rsid w:val="00E858FE"/>
    <w:rsid w:val="00E85FAC"/>
    <w:rsid w:val="00E86115"/>
    <w:rsid w:val="00E86154"/>
    <w:rsid w:val="00E862CC"/>
    <w:rsid w:val="00E864D7"/>
    <w:rsid w:val="00E86758"/>
    <w:rsid w:val="00E86C88"/>
    <w:rsid w:val="00E86F70"/>
    <w:rsid w:val="00E86FB3"/>
    <w:rsid w:val="00E872F5"/>
    <w:rsid w:val="00E872FD"/>
    <w:rsid w:val="00E87491"/>
    <w:rsid w:val="00E87689"/>
    <w:rsid w:val="00E87973"/>
    <w:rsid w:val="00E87AC9"/>
    <w:rsid w:val="00E87B5D"/>
    <w:rsid w:val="00E87D47"/>
    <w:rsid w:val="00E87DF3"/>
    <w:rsid w:val="00E90327"/>
    <w:rsid w:val="00E90407"/>
    <w:rsid w:val="00E9084C"/>
    <w:rsid w:val="00E90A51"/>
    <w:rsid w:val="00E90AA0"/>
    <w:rsid w:val="00E90B35"/>
    <w:rsid w:val="00E90BFB"/>
    <w:rsid w:val="00E90C83"/>
    <w:rsid w:val="00E90E22"/>
    <w:rsid w:val="00E90FAF"/>
    <w:rsid w:val="00E91107"/>
    <w:rsid w:val="00E91127"/>
    <w:rsid w:val="00E912D4"/>
    <w:rsid w:val="00E91427"/>
    <w:rsid w:val="00E914DA"/>
    <w:rsid w:val="00E91DD2"/>
    <w:rsid w:val="00E9265D"/>
    <w:rsid w:val="00E92930"/>
    <w:rsid w:val="00E92DBA"/>
    <w:rsid w:val="00E934CB"/>
    <w:rsid w:val="00E9359F"/>
    <w:rsid w:val="00E93738"/>
    <w:rsid w:val="00E93A99"/>
    <w:rsid w:val="00E946CD"/>
    <w:rsid w:val="00E94A58"/>
    <w:rsid w:val="00E94B3B"/>
    <w:rsid w:val="00E94F8D"/>
    <w:rsid w:val="00E94FFB"/>
    <w:rsid w:val="00E9518D"/>
    <w:rsid w:val="00E95240"/>
    <w:rsid w:val="00E95A4C"/>
    <w:rsid w:val="00E95C19"/>
    <w:rsid w:val="00E95C65"/>
    <w:rsid w:val="00E960DA"/>
    <w:rsid w:val="00E96508"/>
    <w:rsid w:val="00E96739"/>
    <w:rsid w:val="00E97126"/>
    <w:rsid w:val="00E973C8"/>
    <w:rsid w:val="00E97EC1"/>
    <w:rsid w:val="00EA04FB"/>
    <w:rsid w:val="00EA127B"/>
    <w:rsid w:val="00EA13D2"/>
    <w:rsid w:val="00EA13FF"/>
    <w:rsid w:val="00EA14BE"/>
    <w:rsid w:val="00EA1782"/>
    <w:rsid w:val="00EA1AFA"/>
    <w:rsid w:val="00EA1C8B"/>
    <w:rsid w:val="00EA2219"/>
    <w:rsid w:val="00EA2406"/>
    <w:rsid w:val="00EA2466"/>
    <w:rsid w:val="00EA2870"/>
    <w:rsid w:val="00EA29D5"/>
    <w:rsid w:val="00EA3039"/>
    <w:rsid w:val="00EA3161"/>
    <w:rsid w:val="00EA33AA"/>
    <w:rsid w:val="00EA35A8"/>
    <w:rsid w:val="00EA35DD"/>
    <w:rsid w:val="00EA38B7"/>
    <w:rsid w:val="00EA4439"/>
    <w:rsid w:val="00EA465A"/>
    <w:rsid w:val="00EA47CE"/>
    <w:rsid w:val="00EA49AC"/>
    <w:rsid w:val="00EA4E33"/>
    <w:rsid w:val="00EA546A"/>
    <w:rsid w:val="00EA5864"/>
    <w:rsid w:val="00EA58C2"/>
    <w:rsid w:val="00EA596E"/>
    <w:rsid w:val="00EA5A22"/>
    <w:rsid w:val="00EA5A55"/>
    <w:rsid w:val="00EA5D4F"/>
    <w:rsid w:val="00EA60F7"/>
    <w:rsid w:val="00EA675B"/>
    <w:rsid w:val="00EA6958"/>
    <w:rsid w:val="00EA6C9E"/>
    <w:rsid w:val="00EA6D8F"/>
    <w:rsid w:val="00EA7390"/>
    <w:rsid w:val="00EA73F5"/>
    <w:rsid w:val="00EA76B7"/>
    <w:rsid w:val="00EA7B31"/>
    <w:rsid w:val="00EA7B34"/>
    <w:rsid w:val="00EB04B2"/>
    <w:rsid w:val="00EB06D6"/>
    <w:rsid w:val="00EB0741"/>
    <w:rsid w:val="00EB07AD"/>
    <w:rsid w:val="00EB0AAA"/>
    <w:rsid w:val="00EB1391"/>
    <w:rsid w:val="00EB13D0"/>
    <w:rsid w:val="00EB1AD9"/>
    <w:rsid w:val="00EB1AFA"/>
    <w:rsid w:val="00EB20C5"/>
    <w:rsid w:val="00EB217B"/>
    <w:rsid w:val="00EB2603"/>
    <w:rsid w:val="00EB2773"/>
    <w:rsid w:val="00EB296D"/>
    <w:rsid w:val="00EB2CF1"/>
    <w:rsid w:val="00EB393C"/>
    <w:rsid w:val="00EB3B82"/>
    <w:rsid w:val="00EB3F0F"/>
    <w:rsid w:val="00EB40DF"/>
    <w:rsid w:val="00EB423F"/>
    <w:rsid w:val="00EB42D6"/>
    <w:rsid w:val="00EB4368"/>
    <w:rsid w:val="00EB474B"/>
    <w:rsid w:val="00EB54BB"/>
    <w:rsid w:val="00EB5B86"/>
    <w:rsid w:val="00EB5D43"/>
    <w:rsid w:val="00EB62A2"/>
    <w:rsid w:val="00EB63B2"/>
    <w:rsid w:val="00EB6413"/>
    <w:rsid w:val="00EB647B"/>
    <w:rsid w:val="00EB6B40"/>
    <w:rsid w:val="00EB7386"/>
    <w:rsid w:val="00EB762E"/>
    <w:rsid w:val="00EB7B21"/>
    <w:rsid w:val="00EB7C1A"/>
    <w:rsid w:val="00EB7DFC"/>
    <w:rsid w:val="00EC00C6"/>
    <w:rsid w:val="00EC02C0"/>
    <w:rsid w:val="00EC0399"/>
    <w:rsid w:val="00EC0C80"/>
    <w:rsid w:val="00EC1292"/>
    <w:rsid w:val="00EC134E"/>
    <w:rsid w:val="00EC1932"/>
    <w:rsid w:val="00EC1F85"/>
    <w:rsid w:val="00EC2101"/>
    <w:rsid w:val="00EC2BC2"/>
    <w:rsid w:val="00EC2F55"/>
    <w:rsid w:val="00EC30E8"/>
    <w:rsid w:val="00EC3427"/>
    <w:rsid w:val="00EC3B50"/>
    <w:rsid w:val="00EC3CC3"/>
    <w:rsid w:val="00EC42FF"/>
    <w:rsid w:val="00EC439C"/>
    <w:rsid w:val="00EC4529"/>
    <w:rsid w:val="00EC45D0"/>
    <w:rsid w:val="00EC4602"/>
    <w:rsid w:val="00EC4A9F"/>
    <w:rsid w:val="00EC4C38"/>
    <w:rsid w:val="00EC4F02"/>
    <w:rsid w:val="00EC55E3"/>
    <w:rsid w:val="00EC57BE"/>
    <w:rsid w:val="00EC5C33"/>
    <w:rsid w:val="00EC5EB9"/>
    <w:rsid w:val="00EC620E"/>
    <w:rsid w:val="00EC62FE"/>
    <w:rsid w:val="00EC6CA8"/>
    <w:rsid w:val="00EC72E8"/>
    <w:rsid w:val="00EC73A1"/>
    <w:rsid w:val="00EC7744"/>
    <w:rsid w:val="00ED025E"/>
    <w:rsid w:val="00ED0A19"/>
    <w:rsid w:val="00ED0CE8"/>
    <w:rsid w:val="00ED0ED6"/>
    <w:rsid w:val="00ED1945"/>
    <w:rsid w:val="00ED1A8A"/>
    <w:rsid w:val="00ED1D78"/>
    <w:rsid w:val="00ED1DA8"/>
    <w:rsid w:val="00ED285C"/>
    <w:rsid w:val="00ED29DF"/>
    <w:rsid w:val="00ED2B6D"/>
    <w:rsid w:val="00ED2C38"/>
    <w:rsid w:val="00ED31D0"/>
    <w:rsid w:val="00ED3494"/>
    <w:rsid w:val="00ED3772"/>
    <w:rsid w:val="00ED3D78"/>
    <w:rsid w:val="00ED4835"/>
    <w:rsid w:val="00ED4CDD"/>
    <w:rsid w:val="00ED4F6D"/>
    <w:rsid w:val="00ED500E"/>
    <w:rsid w:val="00ED5A24"/>
    <w:rsid w:val="00ED5A4E"/>
    <w:rsid w:val="00ED6396"/>
    <w:rsid w:val="00ED6576"/>
    <w:rsid w:val="00ED6AFF"/>
    <w:rsid w:val="00ED6EBD"/>
    <w:rsid w:val="00ED7194"/>
    <w:rsid w:val="00ED74AB"/>
    <w:rsid w:val="00ED7C71"/>
    <w:rsid w:val="00ED7CAC"/>
    <w:rsid w:val="00ED7DC1"/>
    <w:rsid w:val="00EE03D8"/>
    <w:rsid w:val="00EE06C7"/>
    <w:rsid w:val="00EE13C7"/>
    <w:rsid w:val="00EE16D5"/>
    <w:rsid w:val="00EE1A06"/>
    <w:rsid w:val="00EE1FC0"/>
    <w:rsid w:val="00EE23BF"/>
    <w:rsid w:val="00EE2563"/>
    <w:rsid w:val="00EE2587"/>
    <w:rsid w:val="00EE26F3"/>
    <w:rsid w:val="00EE278A"/>
    <w:rsid w:val="00EE2842"/>
    <w:rsid w:val="00EE2E94"/>
    <w:rsid w:val="00EE32BD"/>
    <w:rsid w:val="00EE3381"/>
    <w:rsid w:val="00EE3712"/>
    <w:rsid w:val="00EE399E"/>
    <w:rsid w:val="00EE42A5"/>
    <w:rsid w:val="00EE45A1"/>
    <w:rsid w:val="00EE465C"/>
    <w:rsid w:val="00EE484A"/>
    <w:rsid w:val="00EE4993"/>
    <w:rsid w:val="00EE4C5C"/>
    <w:rsid w:val="00EE4CCF"/>
    <w:rsid w:val="00EE4CFC"/>
    <w:rsid w:val="00EE4D91"/>
    <w:rsid w:val="00EE4EAC"/>
    <w:rsid w:val="00EE5708"/>
    <w:rsid w:val="00EE5B90"/>
    <w:rsid w:val="00EE60F7"/>
    <w:rsid w:val="00EE66B8"/>
    <w:rsid w:val="00EE6B9E"/>
    <w:rsid w:val="00EE7013"/>
    <w:rsid w:val="00EE7359"/>
    <w:rsid w:val="00EE753A"/>
    <w:rsid w:val="00EE778D"/>
    <w:rsid w:val="00EE7942"/>
    <w:rsid w:val="00EE7B08"/>
    <w:rsid w:val="00EE7DAB"/>
    <w:rsid w:val="00EE7F6C"/>
    <w:rsid w:val="00EF0960"/>
    <w:rsid w:val="00EF134F"/>
    <w:rsid w:val="00EF1389"/>
    <w:rsid w:val="00EF1454"/>
    <w:rsid w:val="00EF17E5"/>
    <w:rsid w:val="00EF19D3"/>
    <w:rsid w:val="00EF1BAC"/>
    <w:rsid w:val="00EF1DE3"/>
    <w:rsid w:val="00EF1EF5"/>
    <w:rsid w:val="00EF1FD0"/>
    <w:rsid w:val="00EF201C"/>
    <w:rsid w:val="00EF22DB"/>
    <w:rsid w:val="00EF28FC"/>
    <w:rsid w:val="00EF2CF4"/>
    <w:rsid w:val="00EF32D6"/>
    <w:rsid w:val="00EF32D9"/>
    <w:rsid w:val="00EF332E"/>
    <w:rsid w:val="00EF3628"/>
    <w:rsid w:val="00EF3A3F"/>
    <w:rsid w:val="00EF3F12"/>
    <w:rsid w:val="00EF4555"/>
    <w:rsid w:val="00EF4745"/>
    <w:rsid w:val="00EF4866"/>
    <w:rsid w:val="00EF48AB"/>
    <w:rsid w:val="00EF54ED"/>
    <w:rsid w:val="00EF5A83"/>
    <w:rsid w:val="00EF5D62"/>
    <w:rsid w:val="00EF635F"/>
    <w:rsid w:val="00EF6602"/>
    <w:rsid w:val="00EF6AC8"/>
    <w:rsid w:val="00EF6DC0"/>
    <w:rsid w:val="00EF7077"/>
    <w:rsid w:val="00EF745C"/>
    <w:rsid w:val="00EF7CE6"/>
    <w:rsid w:val="00F0069C"/>
    <w:rsid w:val="00F01081"/>
    <w:rsid w:val="00F010CF"/>
    <w:rsid w:val="00F015E2"/>
    <w:rsid w:val="00F01C16"/>
    <w:rsid w:val="00F02296"/>
    <w:rsid w:val="00F025B6"/>
    <w:rsid w:val="00F0279B"/>
    <w:rsid w:val="00F02882"/>
    <w:rsid w:val="00F02931"/>
    <w:rsid w:val="00F029C0"/>
    <w:rsid w:val="00F02DA5"/>
    <w:rsid w:val="00F03292"/>
    <w:rsid w:val="00F0355A"/>
    <w:rsid w:val="00F037B4"/>
    <w:rsid w:val="00F03CE4"/>
    <w:rsid w:val="00F03E89"/>
    <w:rsid w:val="00F03FBF"/>
    <w:rsid w:val="00F04063"/>
    <w:rsid w:val="00F041FC"/>
    <w:rsid w:val="00F048E1"/>
    <w:rsid w:val="00F04934"/>
    <w:rsid w:val="00F04CC6"/>
    <w:rsid w:val="00F04F2A"/>
    <w:rsid w:val="00F04F76"/>
    <w:rsid w:val="00F05538"/>
    <w:rsid w:val="00F05789"/>
    <w:rsid w:val="00F05C44"/>
    <w:rsid w:val="00F05E4F"/>
    <w:rsid w:val="00F0604F"/>
    <w:rsid w:val="00F0611F"/>
    <w:rsid w:val="00F0618D"/>
    <w:rsid w:val="00F063BA"/>
    <w:rsid w:val="00F064E6"/>
    <w:rsid w:val="00F065BD"/>
    <w:rsid w:val="00F06C9B"/>
    <w:rsid w:val="00F06DDD"/>
    <w:rsid w:val="00F0708D"/>
    <w:rsid w:val="00F07095"/>
    <w:rsid w:val="00F0710B"/>
    <w:rsid w:val="00F07872"/>
    <w:rsid w:val="00F07B9E"/>
    <w:rsid w:val="00F07BCE"/>
    <w:rsid w:val="00F07D30"/>
    <w:rsid w:val="00F07DD6"/>
    <w:rsid w:val="00F07E02"/>
    <w:rsid w:val="00F10028"/>
    <w:rsid w:val="00F1012D"/>
    <w:rsid w:val="00F10817"/>
    <w:rsid w:val="00F10909"/>
    <w:rsid w:val="00F10A09"/>
    <w:rsid w:val="00F10B00"/>
    <w:rsid w:val="00F10E65"/>
    <w:rsid w:val="00F11125"/>
    <w:rsid w:val="00F1142F"/>
    <w:rsid w:val="00F114C3"/>
    <w:rsid w:val="00F11574"/>
    <w:rsid w:val="00F11994"/>
    <w:rsid w:val="00F11A42"/>
    <w:rsid w:val="00F11BEC"/>
    <w:rsid w:val="00F11E75"/>
    <w:rsid w:val="00F122CB"/>
    <w:rsid w:val="00F1250C"/>
    <w:rsid w:val="00F12597"/>
    <w:rsid w:val="00F128F8"/>
    <w:rsid w:val="00F12A16"/>
    <w:rsid w:val="00F12AC6"/>
    <w:rsid w:val="00F12CB1"/>
    <w:rsid w:val="00F12CFD"/>
    <w:rsid w:val="00F1345C"/>
    <w:rsid w:val="00F13464"/>
    <w:rsid w:val="00F13A9A"/>
    <w:rsid w:val="00F13B76"/>
    <w:rsid w:val="00F13EA4"/>
    <w:rsid w:val="00F13FD0"/>
    <w:rsid w:val="00F140A0"/>
    <w:rsid w:val="00F144D6"/>
    <w:rsid w:val="00F14AA0"/>
    <w:rsid w:val="00F14AD0"/>
    <w:rsid w:val="00F14E76"/>
    <w:rsid w:val="00F14F1F"/>
    <w:rsid w:val="00F14F38"/>
    <w:rsid w:val="00F15041"/>
    <w:rsid w:val="00F153A6"/>
    <w:rsid w:val="00F15514"/>
    <w:rsid w:val="00F155DD"/>
    <w:rsid w:val="00F15A41"/>
    <w:rsid w:val="00F160F9"/>
    <w:rsid w:val="00F16731"/>
    <w:rsid w:val="00F16B6F"/>
    <w:rsid w:val="00F16C8C"/>
    <w:rsid w:val="00F17C97"/>
    <w:rsid w:val="00F20088"/>
    <w:rsid w:val="00F2009A"/>
    <w:rsid w:val="00F201D5"/>
    <w:rsid w:val="00F20578"/>
    <w:rsid w:val="00F20806"/>
    <w:rsid w:val="00F20834"/>
    <w:rsid w:val="00F20D25"/>
    <w:rsid w:val="00F20F6A"/>
    <w:rsid w:val="00F21283"/>
    <w:rsid w:val="00F218D5"/>
    <w:rsid w:val="00F21B76"/>
    <w:rsid w:val="00F21D55"/>
    <w:rsid w:val="00F21D89"/>
    <w:rsid w:val="00F21F27"/>
    <w:rsid w:val="00F21FF6"/>
    <w:rsid w:val="00F22AA4"/>
    <w:rsid w:val="00F22B3D"/>
    <w:rsid w:val="00F22B47"/>
    <w:rsid w:val="00F23771"/>
    <w:rsid w:val="00F23A36"/>
    <w:rsid w:val="00F23D45"/>
    <w:rsid w:val="00F23F2C"/>
    <w:rsid w:val="00F245B7"/>
    <w:rsid w:val="00F245E2"/>
    <w:rsid w:val="00F24F51"/>
    <w:rsid w:val="00F2506E"/>
    <w:rsid w:val="00F250E5"/>
    <w:rsid w:val="00F25223"/>
    <w:rsid w:val="00F25298"/>
    <w:rsid w:val="00F25B02"/>
    <w:rsid w:val="00F25B21"/>
    <w:rsid w:val="00F25CB9"/>
    <w:rsid w:val="00F25DDA"/>
    <w:rsid w:val="00F266C8"/>
    <w:rsid w:val="00F2697B"/>
    <w:rsid w:val="00F26C32"/>
    <w:rsid w:val="00F26EC1"/>
    <w:rsid w:val="00F27028"/>
    <w:rsid w:val="00F27381"/>
    <w:rsid w:val="00F2744F"/>
    <w:rsid w:val="00F275EC"/>
    <w:rsid w:val="00F2769E"/>
    <w:rsid w:val="00F3065C"/>
    <w:rsid w:val="00F306E4"/>
    <w:rsid w:val="00F30769"/>
    <w:rsid w:val="00F309E8"/>
    <w:rsid w:val="00F30A17"/>
    <w:rsid w:val="00F31154"/>
    <w:rsid w:val="00F31326"/>
    <w:rsid w:val="00F3157F"/>
    <w:rsid w:val="00F3186A"/>
    <w:rsid w:val="00F318F9"/>
    <w:rsid w:val="00F31A8A"/>
    <w:rsid w:val="00F31CF9"/>
    <w:rsid w:val="00F32A82"/>
    <w:rsid w:val="00F32C33"/>
    <w:rsid w:val="00F33052"/>
    <w:rsid w:val="00F33122"/>
    <w:rsid w:val="00F331BA"/>
    <w:rsid w:val="00F3383A"/>
    <w:rsid w:val="00F33EAB"/>
    <w:rsid w:val="00F3444B"/>
    <w:rsid w:val="00F34627"/>
    <w:rsid w:val="00F34633"/>
    <w:rsid w:val="00F3469C"/>
    <w:rsid w:val="00F346A2"/>
    <w:rsid w:val="00F34845"/>
    <w:rsid w:val="00F34EE8"/>
    <w:rsid w:val="00F3507D"/>
    <w:rsid w:val="00F35250"/>
    <w:rsid w:val="00F35680"/>
    <w:rsid w:val="00F35715"/>
    <w:rsid w:val="00F37A7D"/>
    <w:rsid w:val="00F37C35"/>
    <w:rsid w:val="00F37D6D"/>
    <w:rsid w:val="00F4006A"/>
    <w:rsid w:val="00F40614"/>
    <w:rsid w:val="00F40A96"/>
    <w:rsid w:val="00F40CBB"/>
    <w:rsid w:val="00F40F9B"/>
    <w:rsid w:val="00F41183"/>
    <w:rsid w:val="00F414BA"/>
    <w:rsid w:val="00F415D8"/>
    <w:rsid w:val="00F4165B"/>
    <w:rsid w:val="00F418F7"/>
    <w:rsid w:val="00F419EC"/>
    <w:rsid w:val="00F41BE6"/>
    <w:rsid w:val="00F41BE7"/>
    <w:rsid w:val="00F41CB6"/>
    <w:rsid w:val="00F4224B"/>
    <w:rsid w:val="00F42551"/>
    <w:rsid w:val="00F426C1"/>
    <w:rsid w:val="00F429F5"/>
    <w:rsid w:val="00F42A86"/>
    <w:rsid w:val="00F4357C"/>
    <w:rsid w:val="00F44206"/>
    <w:rsid w:val="00F442E2"/>
    <w:rsid w:val="00F44870"/>
    <w:rsid w:val="00F44C6E"/>
    <w:rsid w:val="00F450D9"/>
    <w:rsid w:val="00F45CEF"/>
    <w:rsid w:val="00F45D61"/>
    <w:rsid w:val="00F45F7A"/>
    <w:rsid w:val="00F46335"/>
    <w:rsid w:val="00F467C5"/>
    <w:rsid w:val="00F46ED8"/>
    <w:rsid w:val="00F46F71"/>
    <w:rsid w:val="00F472EA"/>
    <w:rsid w:val="00F473E8"/>
    <w:rsid w:val="00F47EB9"/>
    <w:rsid w:val="00F504B5"/>
    <w:rsid w:val="00F50683"/>
    <w:rsid w:val="00F50EAF"/>
    <w:rsid w:val="00F5131B"/>
    <w:rsid w:val="00F515DB"/>
    <w:rsid w:val="00F51F1D"/>
    <w:rsid w:val="00F51F9C"/>
    <w:rsid w:val="00F52194"/>
    <w:rsid w:val="00F523B0"/>
    <w:rsid w:val="00F523F7"/>
    <w:rsid w:val="00F524F7"/>
    <w:rsid w:val="00F525A4"/>
    <w:rsid w:val="00F526C9"/>
    <w:rsid w:val="00F528BA"/>
    <w:rsid w:val="00F5290F"/>
    <w:rsid w:val="00F52AA6"/>
    <w:rsid w:val="00F5333E"/>
    <w:rsid w:val="00F5347B"/>
    <w:rsid w:val="00F534F5"/>
    <w:rsid w:val="00F53621"/>
    <w:rsid w:val="00F53826"/>
    <w:rsid w:val="00F53C83"/>
    <w:rsid w:val="00F53CB0"/>
    <w:rsid w:val="00F53CE4"/>
    <w:rsid w:val="00F53D40"/>
    <w:rsid w:val="00F540E2"/>
    <w:rsid w:val="00F541B1"/>
    <w:rsid w:val="00F5454E"/>
    <w:rsid w:val="00F54735"/>
    <w:rsid w:val="00F549F3"/>
    <w:rsid w:val="00F54C5F"/>
    <w:rsid w:val="00F54D74"/>
    <w:rsid w:val="00F54E9D"/>
    <w:rsid w:val="00F550EC"/>
    <w:rsid w:val="00F552C0"/>
    <w:rsid w:val="00F55315"/>
    <w:rsid w:val="00F5534D"/>
    <w:rsid w:val="00F5559B"/>
    <w:rsid w:val="00F5595B"/>
    <w:rsid w:val="00F55BFA"/>
    <w:rsid w:val="00F55C25"/>
    <w:rsid w:val="00F55EDB"/>
    <w:rsid w:val="00F5615A"/>
    <w:rsid w:val="00F563DB"/>
    <w:rsid w:val="00F56527"/>
    <w:rsid w:val="00F56963"/>
    <w:rsid w:val="00F569F6"/>
    <w:rsid w:val="00F56C1C"/>
    <w:rsid w:val="00F56F49"/>
    <w:rsid w:val="00F57007"/>
    <w:rsid w:val="00F578DC"/>
    <w:rsid w:val="00F579F5"/>
    <w:rsid w:val="00F57AE6"/>
    <w:rsid w:val="00F57EC9"/>
    <w:rsid w:val="00F60760"/>
    <w:rsid w:val="00F609C3"/>
    <w:rsid w:val="00F60A3A"/>
    <w:rsid w:val="00F60C9B"/>
    <w:rsid w:val="00F6119A"/>
    <w:rsid w:val="00F61F05"/>
    <w:rsid w:val="00F62278"/>
    <w:rsid w:val="00F62DE7"/>
    <w:rsid w:val="00F62ED0"/>
    <w:rsid w:val="00F634FA"/>
    <w:rsid w:val="00F63530"/>
    <w:rsid w:val="00F636B3"/>
    <w:rsid w:val="00F63C2C"/>
    <w:rsid w:val="00F63D25"/>
    <w:rsid w:val="00F6400D"/>
    <w:rsid w:val="00F64442"/>
    <w:rsid w:val="00F64463"/>
    <w:rsid w:val="00F64C78"/>
    <w:rsid w:val="00F64F47"/>
    <w:rsid w:val="00F6501B"/>
    <w:rsid w:val="00F650C7"/>
    <w:rsid w:val="00F6529A"/>
    <w:rsid w:val="00F65400"/>
    <w:rsid w:val="00F65458"/>
    <w:rsid w:val="00F6559F"/>
    <w:rsid w:val="00F6565B"/>
    <w:rsid w:val="00F657EC"/>
    <w:rsid w:val="00F65EE9"/>
    <w:rsid w:val="00F65F46"/>
    <w:rsid w:val="00F664BB"/>
    <w:rsid w:val="00F664FD"/>
    <w:rsid w:val="00F66612"/>
    <w:rsid w:val="00F66769"/>
    <w:rsid w:val="00F6683E"/>
    <w:rsid w:val="00F66B92"/>
    <w:rsid w:val="00F66C29"/>
    <w:rsid w:val="00F66CDD"/>
    <w:rsid w:val="00F67134"/>
    <w:rsid w:val="00F67163"/>
    <w:rsid w:val="00F676F2"/>
    <w:rsid w:val="00F67894"/>
    <w:rsid w:val="00F67B25"/>
    <w:rsid w:val="00F70230"/>
    <w:rsid w:val="00F706B4"/>
    <w:rsid w:val="00F70823"/>
    <w:rsid w:val="00F70B3D"/>
    <w:rsid w:val="00F70F0C"/>
    <w:rsid w:val="00F712FE"/>
    <w:rsid w:val="00F7181D"/>
    <w:rsid w:val="00F71C90"/>
    <w:rsid w:val="00F71D7C"/>
    <w:rsid w:val="00F72298"/>
    <w:rsid w:val="00F7246E"/>
    <w:rsid w:val="00F729FF"/>
    <w:rsid w:val="00F72A38"/>
    <w:rsid w:val="00F72AED"/>
    <w:rsid w:val="00F72EDA"/>
    <w:rsid w:val="00F73405"/>
    <w:rsid w:val="00F73996"/>
    <w:rsid w:val="00F73B80"/>
    <w:rsid w:val="00F73F52"/>
    <w:rsid w:val="00F740D9"/>
    <w:rsid w:val="00F742D5"/>
    <w:rsid w:val="00F7447F"/>
    <w:rsid w:val="00F746E1"/>
    <w:rsid w:val="00F746F5"/>
    <w:rsid w:val="00F7483E"/>
    <w:rsid w:val="00F74CE9"/>
    <w:rsid w:val="00F74FAC"/>
    <w:rsid w:val="00F74FB1"/>
    <w:rsid w:val="00F75045"/>
    <w:rsid w:val="00F757C7"/>
    <w:rsid w:val="00F7609E"/>
    <w:rsid w:val="00F76308"/>
    <w:rsid w:val="00F76C2B"/>
    <w:rsid w:val="00F76D11"/>
    <w:rsid w:val="00F773E8"/>
    <w:rsid w:val="00F77486"/>
    <w:rsid w:val="00F774A1"/>
    <w:rsid w:val="00F774DC"/>
    <w:rsid w:val="00F7777F"/>
    <w:rsid w:val="00F77A76"/>
    <w:rsid w:val="00F77C6A"/>
    <w:rsid w:val="00F77C93"/>
    <w:rsid w:val="00F77F83"/>
    <w:rsid w:val="00F80338"/>
    <w:rsid w:val="00F803C2"/>
    <w:rsid w:val="00F80556"/>
    <w:rsid w:val="00F807D4"/>
    <w:rsid w:val="00F80944"/>
    <w:rsid w:val="00F80974"/>
    <w:rsid w:val="00F80987"/>
    <w:rsid w:val="00F80A35"/>
    <w:rsid w:val="00F80B17"/>
    <w:rsid w:val="00F80F05"/>
    <w:rsid w:val="00F8131F"/>
    <w:rsid w:val="00F81607"/>
    <w:rsid w:val="00F81715"/>
    <w:rsid w:val="00F81CF0"/>
    <w:rsid w:val="00F81D5E"/>
    <w:rsid w:val="00F820E6"/>
    <w:rsid w:val="00F824FA"/>
    <w:rsid w:val="00F8267C"/>
    <w:rsid w:val="00F82946"/>
    <w:rsid w:val="00F82AB6"/>
    <w:rsid w:val="00F82B19"/>
    <w:rsid w:val="00F82B4D"/>
    <w:rsid w:val="00F8300C"/>
    <w:rsid w:val="00F838BA"/>
    <w:rsid w:val="00F83A4F"/>
    <w:rsid w:val="00F83CE9"/>
    <w:rsid w:val="00F84736"/>
    <w:rsid w:val="00F847B0"/>
    <w:rsid w:val="00F849E6"/>
    <w:rsid w:val="00F84AAC"/>
    <w:rsid w:val="00F84B1E"/>
    <w:rsid w:val="00F84B29"/>
    <w:rsid w:val="00F84FA8"/>
    <w:rsid w:val="00F84FF9"/>
    <w:rsid w:val="00F851FF"/>
    <w:rsid w:val="00F86251"/>
    <w:rsid w:val="00F86487"/>
    <w:rsid w:val="00F8683F"/>
    <w:rsid w:val="00F86989"/>
    <w:rsid w:val="00F86A81"/>
    <w:rsid w:val="00F87142"/>
    <w:rsid w:val="00F871C3"/>
    <w:rsid w:val="00F87576"/>
    <w:rsid w:val="00F87ACC"/>
    <w:rsid w:val="00F87B71"/>
    <w:rsid w:val="00F9047C"/>
    <w:rsid w:val="00F90B35"/>
    <w:rsid w:val="00F90FD6"/>
    <w:rsid w:val="00F91400"/>
    <w:rsid w:val="00F91A9B"/>
    <w:rsid w:val="00F91FDF"/>
    <w:rsid w:val="00F920CA"/>
    <w:rsid w:val="00F924F4"/>
    <w:rsid w:val="00F92539"/>
    <w:rsid w:val="00F92747"/>
    <w:rsid w:val="00F92775"/>
    <w:rsid w:val="00F927B3"/>
    <w:rsid w:val="00F930ED"/>
    <w:rsid w:val="00F9319C"/>
    <w:rsid w:val="00F931C1"/>
    <w:rsid w:val="00F93211"/>
    <w:rsid w:val="00F9326E"/>
    <w:rsid w:val="00F93377"/>
    <w:rsid w:val="00F936C7"/>
    <w:rsid w:val="00F9374F"/>
    <w:rsid w:val="00F937D1"/>
    <w:rsid w:val="00F93815"/>
    <w:rsid w:val="00F943BF"/>
    <w:rsid w:val="00F94A89"/>
    <w:rsid w:val="00F94AFE"/>
    <w:rsid w:val="00F951C4"/>
    <w:rsid w:val="00F954A6"/>
    <w:rsid w:val="00F95847"/>
    <w:rsid w:val="00F95BB8"/>
    <w:rsid w:val="00F96163"/>
    <w:rsid w:val="00F968C3"/>
    <w:rsid w:val="00F97273"/>
    <w:rsid w:val="00F972CE"/>
    <w:rsid w:val="00F97397"/>
    <w:rsid w:val="00F97418"/>
    <w:rsid w:val="00F97878"/>
    <w:rsid w:val="00F97EA0"/>
    <w:rsid w:val="00F97F3A"/>
    <w:rsid w:val="00F97F8C"/>
    <w:rsid w:val="00FA07B3"/>
    <w:rsid w:val="00FA1101"/>
    <w:rsid w:val="00FA1114"/>
    <w:rsid w:val="00FA1129"/>
    <w:rsid w:val="00FA1325"/>
    <w:rsid w:val="00FA13AB"/>
    <w:rsid w:val="00FA1938"/>
    <w:rsid w:val="00FA1AC5"/>
    <w:rsid w:val="00FA1B3C"/>
    <w:rsid w:val="00FA1C8B"/>
    <w:rsid w:val="00FA1E91"/>
    <w:rsid w:val="00FA20B2"/>
    <w:rsid w:val="00FA2315"/>
    <w:rsid w:val="00FA2622"/>
    <w:rsid w:val="00FA2723"/>
    <w:rsid w:val="00FA29AA"/>
    <w:rsid w:val="00FA2B0E"/>
    <w:rsid w:val="00FA303F"/>
    <w:rsid w:val="00FA306E"/>
    <w:rsid w:val="00FA3A8E"/>
    <w:rsid w:val="00FA3C1E"/>
    <w:rsid w:val="00FA40F9"/>
    <w:rsid w:val="00FA41F3"/>
    <w:rsid w:val="00FA4F20"/>
    <w:rsid w:val="00FA589B"/>
    <w:rsid w:val="00FA613C"/>
    <w:rsid w:val="00FA67EC"/>
    <w:rsid w:val="00FA71DA"/>
    <w:rsid w:val="00FA7EFB"/>
    <w:rsid w:val="00FB0135"/>
    <w:rsid w:val="00FB029D"/>
    <w:rsid w:val="00FB0731"/>
    <w:rsid w:val="00FB0957"/>
    <w:rsid w:val="00FB0B25"/>
    <w:rsid w:val="00FB0E9F"/>
    <w:rsid w:val="00FB1069"/>
    <w:rsid w:val="00FB109C"/>
    <w:rsid w:val="00FB121C"/>
    <w:rsid w:val="00FB1228"/>
    <w:rsid w:val="00FB13BF"/>
    <w:rsid w:val="00FB17AA"/>
    <w:rsid w:val="00FB1D6D"/>
    <w:rsid w:val="00FB2049"/>
    <w:rsid w:val="00FB2307"/>
    <w:rsid w:val="00FB2A15"/>
    <w:rsid w:val="00FB2A84"/>
    <w:rsid w:val="00FB3005"/>
    <w:rsid w:val="00FB3187"/>
    <w:rsid w:val="00FB32AC"/>
    <w:rsid w:val="00FB32E1"/>
    <w:rsid w:val="00FB3B6B"/>
    <w:rsid w:val="00FB3C55"/>
    <w:rsid w:val="00FB4260"/>
    <w:rsid w:val="00FB4286"/>
    <w:rsid w:val="00FB45C2"/>
    <w:rsid w:val="00FB470E"/>
    <w:rsid w:val="00FB4858"/>
    <w:rsid w:val="00FB4CA1"/>
    <w:rsid w:val="00FB4F37"/>
    <w:rsid w:val="00FB5163"/>
    <w:rsid w:val="00FB5366"/>
    <w:rsid w:val="00FB5506"/>
    <w:rsid w:val="00FB5650"/>
    <w:rsid w:val="00FB5659"/>
    <w:rsid w:val="00FB5696"/>
    <w:rsid w:val="00FB574D"/>
    <w:rsid w:val="00FB58FB"/>
    <w:rsid w:val="00FB5A28"/>
    <w:rsid w:val="00FB6116"/>
    <w:rsid w:val="00FB6490"/>
    <w:rsid w:val="00FB67D7"/>
    <w:rsid w:val="00FB6910"/>
    <w:rsid w:val="00FB7256"/>
    <w:rsid w:val="00FB73D1"/>
    <w:rsid w:val="00FB74B6"/>
    <w:rsid w:val="00FB75D6"/>
    <w:rsid w:val="00FB7926"/>
    <w:rsid w:val="00FB7D9D"/>
    <w:rsid w:val="00FC01C2"/>
    <w:rsid w:val="00FC075E"/>
    <w:rsid w:val="00FC096B"/>
    <w:rsid w:val="00FC0E46"/>
    <w:rsid w:val="00FC0FF3"/>
    <w:rsid w:val="00FC13EA"/>
    <w:rsid w:val="00FC160D"/>
    <w:rsid w:val="00FC16D1"/>
    <w:rsid w:val="00FC18E2"/>
    <w:rsid w:val="00FC1BB7"/>
    <w:rsid w:val="00FC1DDB"/>
    <w:rsid w:val="00FC1F6D"/>
    <w:rsid w:val="00FC1FDD"/>
    <w:rsid w:val="00FC223F"/>
    <w:rsid w:val="00FC254C"/>
    <w:rsid w:val="00FC2861"/>
    <w:rsid w:val="00FC2982"/>
    <w:rsid w:val="00FC2AA7"/>
    <w:rsid w:val="00FC2C00"/>
    <w:rsid w:val="00FC2C2A"/>
    <w:rsid w:val="00FC2F3E"/>
    <w:rsid w:val="00FC33E1"/>
    <w:rsid w:val="00FC38F7"/>
    <w:rsid w:val="00FC40D4"/>
    <w:rsid w:val="00FC417E"/>
    <w:rsid w:val="00FC4561"/>
    <w:rsid w:val="00FC469A"/>
    <w:rsid w:val="00FC47FF"/>
    <w:rsid w:val="00FC556A"/>
    <w:rsid w:val="00FC558D"/>
    <w:rsid w:val="00FC55C9"/>
    <w:rsid w:val="00FC5891"/>
    <w:rsid w:val="00FC596A"/>
    <w:rsid w:val="00FC5E54"/>
    <w:rsid w:val="00FC6428"/>
    <w:rsid w:val="00FC6827"/>
    <w:rsid w:val="00FC6E46"/>
    <w:rsid w:val="00FC7177"/>
    <w:rsid w:val="00FC79AD"/>
    <w:rsid w:val="00FD01A8"/>
    <w:rsid w:val="00FD0C25"/>
    <w:rsid w:val="00FD0E40"/>
    <w:rsid w:val="00FD1F58"/>
    <w:rsid w:val="00FD24A4"/>
    <w:rsid w:val="00FD27C0"/>
    <w:rsid w:val="00FD2B9D"/>
    <w:rsid w:val="00FD3293"/>
    <w:rsid w:val="00FD37FF"/>
    <w:rsid w:val="00FD3849"/>
    <w:rsid w:val="00FD39C6"/>
    <w:rsid w:val="00FD3A3C"/>
    <w:rsid w:val="00FD3BE6"/>
    <w:rsid w:val="00FD3D5C"/>
    <w:rsid w:val="00FD4706"/>
    <w:rsid w:val="00FD488D"/>
    <w:rsid w:val="00FD4B90"/>
    <w:rsid w:val="00FD4C63"/>
    <w:rsid w:val="00FD4F5D"/>
    <w:rsid w:val="00FD5052"/>
    <w:rsid w:val="00FD50D1"/>
    <w:rsid w:val="00FD5447"/>
    <w:rsid w:val="00FD57F3"/>
    <w:rsid w:val="00FD5AD4"/>
    <w:rsid w:val="00FD5DEE"/>
    <w:rsid w:val="00FD5EE7"/>
    <w:rsid w:val="00FD5F3C"/>
    <w:rsid w:val="00FD5FBC"/>
    <w:rsid w:val="00FD6089"/>
    <w:rsid w:val="00FD63E1"/>
    <w:rsid w:val="00FD65A8"/>
    <w:rsid w:val="00FD67C6"/>
    <w:rsid w:val="00FD6A78"/>
    <w:rsid w:val="00FD6B63"/>
    <w:rsid w:val="00FD75F9"/>
    <w:rsid w:val="00FD7633"/>
    <w:rsid w:val="00FD7779"/>
    <w:rsid w:val="00FD7784"/>
    <w:rsid w:val="00FD7955"/>
    <w:rsid w:val="00FE056D"/>
    <w:rsid w:val="00FE0D1B"/>
    <w:rsid w:val="00FE0D62"/>
    <w:rsid w:val="00FE12AB"/>
    <w:rsid w:val="00FE1514"/>
    <w:rsid w:val="00FE16EE"/>
    <w:rsid w:val="00FE190A"/>
    <w:rsid w:val="00FE1CFA"/>
    <w:rsid w:val="00FE21A7"/>
    <w:rsid w:val="00FE22F3"/>
    <w:rsid w:val="00FE23E2"/>
    <w:rsid w:val="00FE2711"/>
    <w:rsid w:val="00FE2955"/>
    <w:rsid w:val="00FE296A"/>
    <w:rsid w:val="00FE3415"/>
    <w:rsid w:val="00FE34C2"/>
    <w:rsid w:val="00FE3738"/>
    <w:rsid w:val="00FE3762"/>
    <w:rsid w:val="00FE4328"/>
    <w:rsid w:val="00FE4C7D"/>
    <w:rsid w:val="00FE4CAB"/>
    <w:rsid w:val="00FE4DAC"/>
    <w:rsid w:val="00FE50D3"/>
    <w:rsid w:val="00FE61B5"/>
    <w:rsid w:val="00FE621C"/>
    <w:rsid w:val="00FE6768"/>
    <w:rsid w:val="00FE67B0"/>
    <w:rsid w:val="00FE6A09"/>
    <w:rsid w:val="00FE6FB9"/>
    <w:rsid w:val="00FE7A1E"/>
    <w:rsid w:val="00FE7B29"/>
    <w:rsid w:val="00FE7D3A"/>
    <w:rsid w:val="00FE7E2C"/>
    <w:rsid w:val="00FF0538"/>
    <w:rsid w:val="00FF06B7"/>
    <w:rsid w:val="00FF0723"/>
    <w:rsid w:val="00FF0AA4"/>
    <w:rsid w:val="00FF0DBC"/>
    <w:rsid w:val="00FF12C8"/>
    <w:rsid w:val="00FF1532"/>
    <w:rsid w:val="00FF1AC5"/>
    <w:rsid w:val="00FF1B8D"/>
    <w:rsid w:val="00FF210B"/>
    <w:rsid w:val="00FF21EA"/>
    <w:rsid w:val="00FF22CC"/>
    <w:rsid w:val="00FF246E"/>
    <w:rsid w:val="00FF2977"/>
    <w:rsid w:val="00FF33CE"/>
    <w:rsid w:val="00FF3529"/>
    <w:rsid w:val="00FF36C5"/>
    <w:rsid w:val="00FF38AB"/>
    <w:rsid w:val="00FF39E0"/>
    <w:rsid w:val="00FF3F7D"/>
    <w:rsid w:val="00FF403D"/>
    <w:rsid w:val="00FF4043"/>
    <w:rsid w:val="00FF45AD"/>
    <w:rsid w:val="00FF4E28"/>
    <w:rsid w:val="00FF4F4B"/>
    <w:rsid w:val="00FF535E"/>
    <w:rsid w:val="00FF53F9"/>
    <w:rsid w:val="00FF55EC"/>
    <w:rsid w:val="00FF5823"/>
    <w:rsid w:val="00FF64A9"/>
    <w:rsid w:val="00FF6683"/>
    <w:rsid w:val="00FF6847"/>
    <w:rsid w:val="00FF6D2E"/>
    <w:rsid w:val="00FF7243"/>
    <w:rsid w:val="00FF7605"/>
    <w:rsid w:val="00FF7936"/>
    <w:rsid w:val="00FF7942"/>
    <w:rsid w:val="00FF7BE9"/>
    <w:rsid w:val="00FF7F2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EC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91B"/>
    <w:pPr>
      <w:spacing w:after="200" w:line="276" w:lineRule="auto"/>
    </w:pPr>
    <w:rPr>
      <w:sz w:val="22"/>
      <w:szCs w:val="22"/>
      <w:lang w:val="en-GB" w:eastAsia="zh-CN"/>
    </w:rPr>
  </w:style>
  <w:style w:type="paragraph" w:styleId="1">
    <w:name w:val="heading 1"/>
    <w:basedOn w:val="a1"/>
    <w:next w:val="a1"/>
    <w:link w:val="10"/>
    <w:qFormat/>
    <w:locked/>
    <w:rsid w:val="002D7018"/>
    <w:pPr>
      <w:keepNext/>
      <w:spacing w:before="240" w:after="60"/>
      <w:outlineLvl w:val="0"/>
    </w:pPr>
    <w:rPr>
      <w:rFonts w:ascii="Calibri Light" w:hAnsi="Calibri Light"/>
      <w:b/>
      <w:bCs/>
      <w:kern w:val="32"/>
      <w:sz w:val="32"/>
      <w:szCs w:val="32"/>
    </w:rPr>
  </w:style>
  <w:style w:type="paragraph" w:styleId="20">
    <w:name w:val="heading 2"/>
    <w:basedOn w:val="a2"/>
    <w:next w:val="a2"/>
    <w:link w:val="21"/>
    <w:qFormat/>
    <w:locked/>
    <w:rsid w:val="00870723"/>
    <w:pPr>
      <w:keepNext/>
      <w:tabs>
        <w:tab w:val="num" w:pos="964"/>
      </w:tabs>
      <w:spacing w:before="260" w:after="130" w:line="320" w:lineRule="exact"/>
      <w:ind w:left="964" w:hanging="964"/>
      <w:outlineLvl w:val="1"/>
    </w:pPr>
    <w:rPr>
      <w:rFonts w:ascii="Times New Roman" w:hAnsi="Times New Roman"/>
      <w:b/>
      <w:sz w:val="22"/>
      <w:lang w:val="en-US" w:eastAsia="en-US"/>
    </w:rPr>
  </w:style>
  <w:style w:type="paragraph" w:styleId="3">
    <w:name w:val="heading 3"/>
    <w:basedOn w:val="4"/>
    <w:next w:val="a2"/>
    <w:link w:val="30"/>
    <w:qFormat/>
    <w:locked/>
    <w:rsid w:val="00870723"/>
    <w:pPr>
      <w:tabs>
        <w:tab w:val="clear" w:pos="20"/>
        <w:tab w:val="num" w:pos="0"/>
      </w:tabs>
      <w:spacing w:before="260" w:after="130"/>
      <w:jc w:val="both"/>
      <w:outlineLvl w:val="2"/>
    </w:pPr>
    <w:rPr>
      <w:b/>
      <w:bCs w:val="0"/>
      <w:i/>
      <w:iCs w:val="0"/>
      <w:sz w:val="22"/>
    </w:rPr>
  </w:style>
  <w:style w:type="paragraph" w:styleId="4">
    <w:name w:val="heading 4"/>
    <w:basedOn w:val="5"/>
    <w:next w:val="a2"/>
    <w:link w:val="40"/>
    <w:qFormat/>
    <w:locked/>
    <w:rsid w:val="00870723"/>
    <w:pPr>
      <w:tabs>
        <w:tab w:val="num" w:pos="20"/>
      </w:tabs>
      <w:spacing w:line="280" w:lineRule="exact"/>
      <w:ind w:hanging="964"/>
      <w:outlineLvl w:val="3"/>
    </w:pPr>
    <w:rPr>
      <w:b w:val="0"/>
      <w:sz w:val="24"/>
    </w:rPr>
  </w:style>
  <w:style w:type="paragraph" w:styleId="5">
    <w:name w:val="heading 5"/>
    <w:basedOn w:val="a2"/>
    <w:next w:val="a2"/>
    <w:link w:val="50"/>
    <w:qFormat/>
    <w:locked/>
    <w:rsid w:val="00870723"/>
    <w:pPr>
      <w:keepNext/>
      <w:spacing w:before="400" w:line="260" w:lineRule="exact"/>
      <w:outlineLvl w:val="4"/>
    </w:pPr>
    <w:rPr>
      <w:rFonts w:ascii="Times New Roman" w:hAnsi="Times New Roman"/>
      <w:b/>
      <w:bCs/>
      <w:iCs/>
      <w:sz w:val="22"/>
      <w:lang w:val="en-US" w:eastAsia="en-US"/>
    </w:rPr>
  </w:style>
  <w:style w:type="paragraph" w:styleId="6">
    <w:name w:val="heading 6"/>
    <w:basedOn w:val="a1"/>
    <w:next w:val="a1"/>
    <w:link w:val="60"/>
    <w:qFormat/>
    <w:locked/>
    <w:rsid w:val="00870723"/>
    <w:pPr>
      <w:keepNext/>
      <w:numPr>
        <w:ilvl w:val="12"/>
      </w:numPr>
      <w:overflowPunct w:val="0"/>
      <w:autoSpaceDE w:val="0"/>
      <w:autoSpaceDN w:val="0"/>
      <w:adjustRightInd w:val="0"/>
      <w:spacing w:after="0" w:line="240" w:lineRule="auto"/>
      <w:ind w:right="142"/>
      <w:jc w:val="both"/>
      <w:textAlignment w:val="baseline"/>
      <w:outlineLvl w:val="5"/>
    </w:pPr>
    <w:rPr>
      <w:rFonts w:ascii="Times New Roman" w:hAnsi="Times New Roman"/>
      <w:b/>
      <w:i/>
      <w:iCs/>
      <w:sz w:val="24"/>
      <w:szCs w:val="20"/>
      <w:lang w:eastAsia="en-US"/>
    </w:rPr>
  </w:style>
  <w:style w:type="paragraph" w:styleId="7">
    <w:name w:val="heading 7"/>
    <w:basedOn w:val="a1"/>
    <w:next w:val="a1"/>
    <w:link w:val="70"/>
    <w:qFormat/>
    <w:locked/>
    <w:rsid w:val="00870723"/>
    <w:pPr>
      <w:keepNext/>
      <w:overflowPunct w:val="0"/>
      <w:autoSpaceDE w:val="0"/>
      <w:autoSpaceDN w:val="0"/>
      <w:adjustRightInd w:val="0"/>
      <w:spacing w:after="0" w:line="240" w:lineRule="auto"/>
      <w:ind w:right="142"/>
      <w:jc w:val="both"/>
      <w:textAlignment w:val="baseline"/>
      <w:outlineLvl w:val="6"/>
    </w:pPr>
    <w:rPr>
      <w:rFonts w:ascii="Times New Roman" w:hAnsi="Times New Roman"/>
      <w:b/>
      <w:bCs/>
      <w:i/>
      <w:iCs/>
      <w:color w:val="000000"/>
      <w:sz w:val="24"/>
      <w:szCs w:val="20"/>
      <w:lang w:eastAsia="en-US"/>
    </w:rPr>
  </w:style>
  <w:style w:type="paragraph" w:styleId="8">
    <w:name w:val="heading 8"/>
    <w:basedOn w:val="a1"/>
    <w:next w:val="a1"/>
    <w:link w:val="80"/>
    <w:qFormat/>
    <w:locked/>
    <w:rsid w:val="00870723"/>
    <w:pPr>
      <w:spacing w:before="240" w:after="60" w:line="240" w:lineRule="auto"/>
      <w:jc w:val="both"/>
      <w:outlineLvl w:val="7"/>
    </w:pPr>
    <w:rPr>
      <w:rFonts w:ascii="Arial" w:hAnsi="Arial"/>
      <w:i/>
      <w:sz w:val="20"/>
      <w:szCs w:val="20"/>
      <w:lang w:eastAsia="en-US"/>
    </w:rPr>
  </w:style>
  <w:style w:type="paragraph" w:styleId="9">
    <w:name w:val="heading 9"/>
    <w:basedOn w:val="a1"/>
    <w:next w:val="a1"/>
    <w:link w:val="90"/>
    <w:qFormat/>
    <w:locked/>
    <w:rsid w:val="00870723"/>
    <w:pPr>
      <w:spacing w:before="240" w:after="60" w:line="240" w:lineRule="auto"/>
      <w:jc w:val="both"/>
      <w:outlineLvl w:val="8"/>
    </w:pPr>
    <w:rPr>
      <w:rFonts w:ascii="Arial" w:hAnsi="Arial"/>
      <w:i/>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9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D0ECC"/>
    <w:rPr>
      <w:rFonts w:cs="Times New Roman"/>
      <w:color w:val="0000FF"/>
      <w:u w:val="single"/>
    </w:rPr>
  </w:style>
  <w:style w:type="paragraph" w:customStyle="1" w:styleId="MediumGrid1-Accent21">
    <w:name w:val="Medium Grid 1 - Accent 21"/>
    <w:basedOn w:val="a1"/>
    <w:uiPriority w:val="34"/>
    <w:qFormat/>
    <w:rsid w:val="0088717F"/>
    <w:pPr>
      <w:ind w:left="720"/>
      <w:contextualSpacing/>
    </w:pPr>
  </w:style>
  <w:style w:type="paragraph" w:styleId="a8">
    <w:name w:val="header"/>
    <w:basedOn w:val="a1"/>
    <w:link w:val="a9"/>
    <w:uiPriority w:val="99"/>
    <w:rsid w:val="007A4AC9"/>
    <w:pPr>
      <w:tabs>
        <w:tab w:val="center" w:pos="4513"/>
        <w:tab w:val="right" w:pos="9026"/>
      </w:tabs>
      <w:spacing w:after="0" w:line="240" w:lineRule="auto"/>
    </w:pPr>
    <w:rPr>
      <w:sz w:val="20"/>
      <w:szCs w:val="20"/>
      <w:lang w:val="x-none" w:eastAsia="x-none"/>
    </w:rPr>
  </w:style>
  <w:style w:type="character" w:customStyle="1" w:styleId="a9">
    <w:name w:val="Верхний колонтитул Знак"/>
    <w:link w:val="a8"/>
    <w:uiPriority w:val="99"/>
    <w:locked/>
    <w:rsid w:val="007A4AC9"/>
    <w:rPr>
      <w:rFonts w:cs="Times New Roman"/>
    </w:rPr>
  </w:style>
  <w:style w:type="paragraph" w:styleId="aa">
    <w:name w:val="footer"/>
    <w:basedOn w:val="a1"/>
    <w:link w:val="ab"/>
    <w:uiPriority w:val="99"/>
    <w:rsid w:val="007A4AC9"/>
    <w:pPr>
      <w:tabs>
        <w:tab w:val="center" w:pos="4513"/>
        <w:tab w:val="right" w:pos="9026"/>
      </w:tabs>
      <w:spacing w:after="0" w:line="240" w:lineRule="auto"/>
    </w:pPr>
    <w:rPr>
      <w:sz w:val="20"/>
      <w:szCs w:val="20"/>
      <w:lang w:val="x-none" w:eastAsia="x-none"/>
    </w:rPr>
  </w:style>
  <w:style w:type="character" w:customStyle="1" w:styleId="ab">
    <w:name w:val="Нижний колонтитул Знак"/>
    <w:link w:val="aa"/>
    <w:uiPriority w:val="99"/>
    <w:locked/>
    <w:rsid w:val="007A4AC9"/>
    <w:rPr>
      <w:rFonts w:cs="Times New Roman"/>
    </w:rPr>
  </w:style>
  <w:style w:type="character" w:styleId="ac">
    <w:name w:val="annotation reference"/>
    <w:uiPriority w:val="99"/>
    <w:semiHidden/>
    <w:rsid w:val="003435ED"/>
    <w:rPr>
      <w:rFonts w:cs="Times New Roman"/>
      <w:sz w:val="16"/>
      <w:szCs w:val="16"/>
    </w:rPr>
  </w:style>
  <w:style w:type="paragraph" w:styleId="ad">
    <w:name w:val="annotation text"/>
    <w:basedOn w:val="a1"/>
    <w:link w:val="ae"/>
    <w:uiPriority w:val="99"/>
    <w:semiHidden/>
    <w:rsid w:val="003435ED"/>
    <w:pPr>
      <w:spacing w:line="240" w:lineRule="auto"/>
    </w:pPr>
    <w:rPr>
      <w:sz w:val="20"/>
      <w:szCs w:val="20"/>
      <w:lang w:val="x-none" w:eastAsia="x-none"/>
    </w:rPr>
  </w:style>
  <w:style w:type="character" w:customStyle="1" w:styleId="ae">
    <w:name w:val="Текст примечания Знак"/>
    <w:link w:val="ad"/>
    <w:uiPriority w:val="99"/>
    <w:semiHidden/>
    <w:locked/>
    <w:rsid w:val="003435ED"/>
    <w:rPr>
      <w:rFonts w:cs="Times New Roman"/>
      <w:sz w:val="20"/>
      <w:szCs w:val="20"/>
    </w:rPr>
  </w:style>
  <w:style w:type="paragraph" w:styleId="af">
    <w:name w:val="annotation subject"/>
    <w:basedOn w:val="ad"/>
    <w:next w:val="ad"/>
    <w:link w:val="af0"/>
    <w:rsid w:val="003435ED"/>
    <w:rPr>
      <w:b/>
      <w:bCs/>
    </w:rPr>
  </w:style>
  <w:style w:type="character" w:customStyle="1" w:styleId="af0">
    <w:name w:val="Тема примечания Знак"/>
    <w:link w:val="af"/>
    <w:locked/>
    <w:rsid w:val="003435ED"/>
    <w:rPr>
      <w:rFonts w:cs="Times New Roman"/>
      <w:b/>
      <w:bCs/>
      <w:sz w:val="20"/>
      <w:szCs w:val="20"/>
    </w:rPr>
  </w:style>
  <w:style w:type="paragraph" w:styleId="af1">
    <w:name w:val="Balloon Text"/>
    <w:basedOn w:val="a1"/>
    <w:link w:val="af2"/>
    <w:semiHidden/>
    <w:rsid w:val="003435ED"/>
    <w:pPr>
      <w:spacing w:after="0" w:line="240" w:lineRule="auto"/>
    </w:pPr>
    <w:rPr>
      <w:rFonts w:ascii="Tahoma" w:hAnsi="Tahoma"/>
      <w:sz w:val="16"/>
      <w:szCs w:val="16"/>
      <w:lang w:val="x-none" w:eastAsia="x-none"/>
    </w:rPr>
  </w:style>
  <w:style w:type="character" w:customStyle="1" w:styleId="af2">
    <w:name w:val="Текст выноски Знак"/>
    <w:link w:val="af1"/>
    <w:semiHidden/>
    <w:locked/>
    <w:rsid w:val="003435ED"/>
    <w:rPr>
      <w:rFonts w:ascii="Tahoma" w:hAnsi="Tahoma" w:cs="Tahoma"/>
      <w:sz w:val="16"/>
      <w:szCs w:val="16"/>
    </w:rPr>
  </w:style>
  <w:style w:type="paragraph" w:customStyle="1" w:styleId="Bullet">
    <w:name w:val="Bullet"/>
    <w:basedOn w:val="a2"/>
    <w:next w:val="a2"/>
    <w:uiPriority w:val="99"/>
    <w:rsid w:val="00023ECF"/>
  </w:style>
  <w:style w:type="paragraph" w:styleId="a2">
    <w:name w:val="Body Text"/>
    <w:basedOn w:val="a1"/>
    <w:link w:val="af3"/>
    <w:qFormat/>
    <w:rsid w:val="00023ECF"/>
    <w:pPr>
      <w:spacing w:after="120"/>
    </w:pPr>
    <w:rPr>
      <w:sz w:val="20"/>
      <w:szCs w:val="20"/>
      <w:lang w:val="x-none" w:eastAsia="x-none"/>
    </w:rPr>
  </w:style>
  <w:style w:type="character" w:customStyle="1" w:styleId="af3">
    <w:name w:val="Основной текст Знак"/>
    <w:link w:val="a2"/>
    <w:locked/>
    <w:rsid w:val="00023ECF"/>
    <w:rPr>
      <w:rFonts w:cs="Times New Roman"/>
    </w:rPr>
  </w:style>
  <w:style w:type="paragraph" w:styleId="af4">
    <w:name w:val="Normal (Web)"/>
    <w:basedOn w:val="a1"/>
    <w:uiPriority w:val="99"/>
    <w:unhideWhenUsed/>
    <w:rsid w:val="00255FE1"/>
    <w:pPr>
      <w:spacing w:before="100" w:beforeAutospacing="1" w:after="100" w:afterAutospacing="1" w:line="240" w:lineRule="auto"/>
    </w:pPr>
    <w:rPr>
      <w:rFonts w:ascii="Times New Roman" w:hAnsi="Times New Roman"/>
      <w:sz w:val="24"/>
      <w:szCs w:val="24"/>
      <w:lang w:val="ru-RU" w:eastAsia="en-GB"/>
    </w:rPr>
  </w:style>
  <w:style w:type="paragraph" w:styleId="af5">
    <w:name w:val="Document Map"/>
    <w:basedOn w:val="a1"/>
    <w:link w:val="af6"/>
    <w:uiPriority w:val="99"/>
    <w:semiHidden/>
    <w:unhideWhenUsed/>
    <w:rsid w:val="00DE055B"/>
    <w:pPr>
      <w:spacing w:after="0" w:line="240" w:lineRule="auto"/>
    </w:pPr>
    <w:rPr>
      <w:rFonts w:ascii="Lucida Grande" w:hAnsi="Lucida Grande"/>
      <w:sz w:val="24"/>
      <w:szCs w:val="24"/>
    </w:rPr>
  </w:style>
  <w:style w:type="character" w:customStyle="1" w:styleId="af6">
    <w:name w:val="Схема документа Знак"/>
    <w:link w:val="af5"/>
    <w:uiPriority w:val="99"/>
    <w:semiHidden/>
    <w:rsid w:val="00DE055B"/>
    <w:rPr>
      <w:rFonts w:ascii="Lucida Grande" w:hAnsi="Lucida Grande" w:cs="Lucida Grande"/>
      <w:sz w:val="24"/>
      <w:szCs w:val="24"/>
      <w:lang w:val="en-GB" w:eastAsia="zh-CN"/>
    </w:rPr>
  </w:style>
  <w:style w:type="paragraph" w:customStyle="1" w:styleId="MediumList2-Accent21">
    <w:name w:val="Medium List 2 - Accent 21"/>
    <w:hidden/>
    <w:uiPriority w:val="99"/>
    <w:semiHidden/>
    <w:rsid w:val="005C3F9C"/>
    <w:rPr>
      <w:sz w:val="22"/>
      <w:szCs w:val="22"/>
      <w:lang w:val="en-GB" w:eastAsia="zh-CN"/>
    </w:rPr>
  </w:style>
  <w:style w:type="paragraph" w:styleId="af7">
    <w:name w:val="Block Text"/>
    <w:basedOn w:val="a1"/>
    <w:uiPriority w:val="99"/>
    <w:rsid w:val="00711D63"/>
    <w:pPr>
      <w:spacing w:after="0" w:line="240" w:lineRule="auto"/>
      <w:ind w:left="-426" w:right="-483" w:firstLine="426"/>
      <w:jc w:val="both"/>
    </w:pPr>
    <w:rPr>
      <w:rFonts w:ascii="Times New Roman" w:hAnsi="Times New Roman"/>
      <w:sz w:val="28"/>
      <w:szCs w:val="20"/>
      <w:lang w:val="ru-RU" w:eastAsia="ru-RU"/>
    </w:rPr>
  </w:style>
  <w:style w:type="paragraph" w:styleId="af8">
    <w:name w:val="footnote text"/>
    <w:basedOn w:val="a1"/>
    <w:link w:val="af9"/>
    <w:unhideWhenUsed/>
    <w:rsid w:val="00C2054A"/>
    <w:pPr>
      <w:spacing w:after="0" w:line="240" w:lineRule="auto"/>
    </w:pPr>
    <w:rPr>
      <w:sz w:val="20"/>
      <w:szCs w:val="20"/>
    </w:rPr>
  </w:style>
  <w:style w:type="character" w:customStyle="1" w:styleId="af9">
    <w:name w:val="Текст сноски Знак"/>
    <w:link w:val="af8"/>
    <w:rsid w:val="00C2054A"/>
    <w:rPr>
      <w:sz w:val="20"/>
      <w:szCs w:val="20"/>
      <w:lang w:val="en-GB" w:eastAsia="zh-CN"/>
    </w:rPr>
  </w:style>
  <w:style w:type="character" w:styleId="afa">
    <w:name w:val="footnote reference"/>
    <w:semiHidden/>
    <w:unhideWhenUsed/>
    <w:rsid w:val="00C2054A"/>
    <w:rPr>
      <w:vertAlign w:val="superscript"/>
    </w:rPr>
  </w:style>
  <w:style w:type="paragraph" w:customStyle="1" w:styleId="MarginNoteRight">
    <w:name w:val="Margin Note Right"/>
    <w:basedOn w:val="a1"/>
    <w:uiPriority w:val="99"/>
    <w:rsid w:val="00CD2D6E"/>
    <w:pPr>
      <w:framePr w:w="1134" w:hSpace="181" w:vSpace="181" w:wrap="around" w:vAnchor="text" w:hAnchor="page" w:xAlign="right" w:y="1"/>
      <w:spacing w:after="80" w:line="240" w:lineRule="auto"/>
      <w:jc w:val="both"/>
    </w:pPr>
    <w:rPr>
      <w:rFonts w:ascii="Times New Roman" w:hAnsi="Times New Roman"/>
      <w:sz w:val="16"/>
      <w:szCs w:val="20"/>
      <w:lang w:eastAsia="en-US"/>
    </w:rPr>
  </w:style>
  <w:style w:type="paragraph" w:customStyle="1" w:styleId="Title7">
    <w:name w:val="Title 7"/>
    <w:basedOn w:val="a1"/>
    <w:next w:val="a2"/>
    <w:uiPriority w:val="99"/>
    <w:rsid w:val="00CD2D6E"/>
    <w:pPr>
      <w:keepNext/>
      <w:spacing w:line="240" w:lineRule="auto"/>
      <w:jc w:val="both"/>
    </w:pPr>
    <w:rPr>
      <w:rFonts w:ascii="Times New Roman" w:hAnsi="Times New Roman" w:cs="Times"/>
      <w:i/>
      <w:sz w:val="20"/>
      <w:szCs w:val="24"/>
      <w:lang w:bidi="he-IL"/>
    </w:rPr>
  </w:style>
  <w:style w:type="paragraph" w:customStyle="1" w:styleId="ColorfulList-Accent11">
    <w:name w:val="Colorful List - Accent 11"/>
    <w:basedOn w:val="a1"/>
    <w:uiPriority w:val="34"/>
    <w:qFormat/>
    <w:rsid w:val="00834F64"/>
    <w:pPr>
      <w:ind w:left="720"/>
      <w:contextualSpacing/>
    </w:pPr>
    <w:rPr>
      <w:rFonts w:eastAsia="Calibri"/>
      <w:lang w:val="ru-RU" w:eastAsia="en-US"/>
    </w:rPr>
  </w:style>
  <w:style w:type="paragraph" w:customStyle="1" w:styleId="SubtleEmphasis1">
    <w:name w:val="Subtle Emphasis1"/>
    <w:basedOn w:val="a1"/>
    <w:uiPriority w:val="34"/>
    <w:qFormat/>
    <w:rsid w:val="00DA5338"/>
    <w:pPr>
      <w:ind w:left="708"/>
    </w:pPr>
  </w:style>
  <w:style w:type="character" w:styleId="afb">
    <w:name w:val="FollowedHyperlink"/>
    <w:unhideWhenUsed/>
    <w:rsid w:val="00CD091B"/>
    <w:rPr>
      <w:color w:val="800080"/>
      <w:u w:val="single"/>
    </w:rPr>
  </w:style>
  <w:style w:type="paragraph" w:styleId="afc">
    <w:name w:val="Plain Text"/>
    <w:basedOn w:val="a1"/>
    <w:link w:val="afd"/>
    <w:uiPriority w:val="99"/>
    <w:unhideWhenUsed/>
    <w:rsid w:val="00186E4A"/>
    <w:pPr>
      <w:spacing w:after="0" w:line="240" w:lineRule="auto"/>
    </w:pPr>
    <w:rPr>
      <w:rFonts w:eastAsia="Cambria"/>
      <w:szCs w:val="21"/>
      <w:lang w:val="x-none" w:eastAsia="x-none"/>
    </w:rPr>
  </w:style>
  <w:style w:type="character" w:customStyle="1" w:styleId="afd">
    <w:name w:val="Текст Знак"/>
    <w:link w:val="afc"/>
    <w:uiPriority w:val="99"/>
    <w:rsid w:val="00186E4A"/>
    <w:rPr>
      <w:rFonts w:eastAsia="Cambria" w:cs="Times New Roman"/>
      <w:sz w:val="22"/>
      <w:szCs w:val="21"/>
    </w:rPr>
  </w:style>
  <w:style w:type="character" w:customStyle="1" w:styleId="apple-converted-space">
    <w:name w:val="apple-converted-space"/>
    <w:basedOn w:val="a3"/>
    <w:rsid w:val="00354E09"/>
  </w:style>
  <w:style w:type="paragraph" w:customStyle="1" w:styleId="Body1">
    <w:name w:val="Body 1"/>
    <w:rsid w:val="00035F87"/>
    <w:pPr>
      <w:spacing w:after="200" w:line="276" w:lineRule="auto"/>
      <w:outlineLvl w:val="0"/>
    </w:pPr>
    <w:rPr>
      <w:rFonts w:ascii="Helvetica" w:eastAsia="Arial Unicode MS" w:hAnsi="Helvetica"/>
      <w:color w:val="000000"/>
      <w:sz w:val="22"/>
      <w:u w:color="000000"/>
      <w:lang w:val="en-GB" w:eastAsia="en-GB"/>
    </w:rPr>
  </w:style>
  <w:style w:type="paragraph" w:customStyle="1" w:styleId="PlainTable31">
    <w:name w:val="Plain Table 31"/>
    <w:basedOn w:val="a1"/>
    <w:uiPriority w:val="34"/>
    <w:qFormat/>
    <w:rsid w:val="009C6C99"/>
    <w:pPr>
      <w:ind w:left="708"/>
    </w:pPr>
  </w:style>
  <w:style w:type="paragraph" w:customStyle="1" w:styleId="SubtleEmphasis2">
    <w:name w:val="Subtle Emphasis2"/>
    <w:basedOn w:val="a1"/>
    <w:uiPriority w:val="34"/>
    <w:qFormat/>
    <w:rsid w:val="00A51220"/>
    <w:pPr>
      <w:ind w:left="720"/>
      <w:contextualSpacing/>
    </w:pPr>
    <w:rPr>
      <w:rFonts w:eastAsia="Calibri"/>
      <w:lang w:val="ru-RU" w:eastAsia="en-US"/>
    </w:rPr>
  </w:style>
  <w:style w:type="paragraph" w:customStyle="1" w:styleId="PlainTable21">
    <w:name w:val="Plain Table 21"/>
    <w:hidden/>
    <w:uiPriority w:val="99"/>
    <w:rsid w:val="00B579A5"/>
    <w:rPr>
      <w:sz w:val="22"/>
      <w:szCs w:val="22"/>
      <w:lang w:val="en-GB" w:eastAsia="zh-CN"/>
    </w:rPr>
  </w:style>
  <w:style w:type="paragraph" w:styleId="11">
    <w:name w:val="toc 1"/>
    <w:basedOn w:val="a1"/>
    <w:uiPriority w:val="39"/>
    <w:locked/>
    <w:rsid w:val="0092674F"/>
    <w:pPr>
      <w:tabs>
        <w:tab w:val="right" w:pos="8221"/>
      </w:tabs>
      <w:spacing w:before="260" w:after="0" w:line="240" w:lineRule="auto"/>
      <w:ind w:left="851" w:right="567" w:hanging="851"/>
    </w:pPr>
    <w:rPr>
      <w:rFonts w:ascii="Times New Roman" w:hAnsi="Times New Roman"/>
      <w:sz w:val="28"/>
      <w:szCs w:val="20"/>
      <w:lang w:val="en-US" w:eastAsia="en-US"/>
    </w:rPr>
  </w:style>
  <w:style w:type="paragraph" w:customStyle="1" w:styleId="SubtleEmphasis3">
    <w:name w:val="Subtle Emphasis3"/>
    <w:basedOn w:val="a1"/>
    <w:uiPriority w:val="34"/>
    <w:qFormat/>
    <w:rsid w:val="00733DA4"/>
    <w:pPr>
      <w:ind w:left="720"/>
      <w:contextualSpacing/>
    </w:pPr>
    <w:rPr>
      <w:rFonts w:eastAsia="Calibri"/>
      <w:lang w:eastAsia="en-US"/>
    </w:rPr>
  </w:style>
  <w:style w:type="paragraph" w:customStyle="1" w:styleId="ColorfulGrid-Accent61">
    <w:name w:val="Colorful Grid - Accent 61"/>
    <w:hidden/>
    <w:uiPriority w:val="99"/>
    <w:rsid w:val="00DD5320"/>
    <w:rPr>
      <w:sz w:val="22"/>
      <w:szCs w:val="22"/>
      <w:lang w:val="en-GB" w:eastAsia="zh-CN"/>
    </w:rPr>
  </w:style>
  <w:style w:type="paragraph" w:customStyle="1" w:styleId="PlainTable32">
    <w:name w:val="Plain Table 32"/>
    <w:basedOn w:val="a1"/>
    <w:uiPriority w:val="34"/>
    <w:qFormat/>
    <w:rsid w:val="00A04006"/>
    <w:pPr>
      <w:ind w:left="720"/>
      <w:contextualSpacing/>
    </w:pPr>
    <w:rPr>
      <w:rFonts w:eastAsia="Calibri"/>
      <w:lang w:val="ru-RU" w:eastAsia="en-US"/>
    </w:rPr>
  </w:style>
  <w:style w:type="paragraph" w:customStyle="1" w:styleId="ListTable1Light-Accent41">
    <w:name w:val="List Table 1 Light - Accent 41"/>
    <w:basedOn w:val="a1"/>
    <w:uiPriority w:val="34"/>
    <w:qFormat/>
    <w:rsid w:val="00E30FC1"/>
    <w:pPr>
      <w:spacing w:after="0" w:line="240" w:lineRule="auto"/>
      <w:ind w:left="720"/>
      <w:contextualSpacing/>
    </w:pPr>
    <w:rPr>
      <w:rFonts w:eastAsia="Calibri"/>
      <w:sz w:val="24"/>
      <w:szCs w:val="24"/>
      <w:lang w:eastAsia="en-US"/>
    </w:rPr>
  </w:style>
  <w:style w:type="character" w:customStyle="1" w:styleId="10">
    <w:name w:val="Заголовок 1 Знак"/>
    <w:link w:val="1"/>
    <w:rsid w:val="002D7018"/>
    <w:rPr>
      <w:rFonts w:ascii="Calibri Light" w:eastAsia="Times New Roman" w:hAnsi="Calibri Light" w:cs="Times New Roman"/>
      <w:b/>
      <w:bCs/>
      <w:kern w:val="32"/>
      <w:sz w:val="32"/>
      <w:szCs w:val="32"/>
      <w:lang w:val="en-GB" w:eastAsia="zh-CN"/>
    </w:rPr>
  </w:style>
  <w:style w:type="character" w:customStyle="1" w:styleId="shorttext">
    <w:name w:val="short_text"/>
    <w:rsid w:val="000132A9"/>
  </w:style>
  <w:style w:type="character" w:customStyle="1" w:styleId="21">
    <w:name w:val="Заголовок 2 Знак"/>
    <w:link w:val="20"/>
    <w:rsid w:val="00870723"/>
    <w:rPr>
      <w:rFonts w:ascii="Times New Roman" w:hAnsi="Times New Roman"/>
      <w:b/>
      <w:sz w:val="22"/>
      <w:lang w:val="en-US" w:eastAsia="en-US"/>
    </w:rPr>
  </w:style>
  <w:style w:type="character" w:customStyle="1" w:styleId="30">
    <w:name w:val="Заголовок 3 Знак"/>
    <w:link w:val="3"/>
    <w:rsid w:val="00870723"/>
    <w:rPr>
      <w:rFonts w:ascii="Times New Roman" w:hAnsi="Times New Roman"/>
      <w:b/>
      <w:i/>
      <w:sz w:val="22"/>
      <w:lang w:val="en-US" w:eastAsia="en-US"/>
    </w:rPr>
  </w:style>
  <w:style w:type="character" w:customStyle="1" w:styleId="40">
    <w:name w:val="Заголовок 4 Знак"/>
    <w:link w:val="4"/>
    <w:rsid w:val="00870723"/>
    <w:rPr>
      <w:rFonts w:ascii="Times New Roman" w:hAnsi="Times New Roman"/>
      <w:bCs/>
      <w:iCs/>
      <w:sz w:val="24"/>
      <w:lang w:val="en-US" w:eastAsia="en-US"/>
    </w:rPr>
  </w:style>
  <w:style w:type="character" w:customStyle="1" w:styleId="50">
    <w:name w:val="Заголовок 5 Знак"/>
    <w:link w:val="5"/>
    <w:rsid w:val="00870723"/>
    <w:rPr>
      <w:rFonts w:ascii="Times New Roman" w:hAnsi="Times New Roman"/>
      <w:b/>
      <w:bCs/>
      <w:iCs/>
      <w:sz w:val="22"/>
      <w:lang w:val="en-US" w:eastAsia="en-US"/>
    </w:rPr>
  </w:style>
  <w:style w:type="character" w:customStyle="1" w:styleId="60">
    <w:name w:val="Заголовок 6 Знак"/>
    <w:link w:val="6"/>
    <w:rsid w:val="00870723"/>
    <w:rPr>
      <w:rFonts w:ascii="Times New Roman" w:hAnsi="Times New Roman"/>
      <w:b/>
      <w:i/>
      <w:iCs/>
      <w:sz w:val="24"/>
      <w:lang w:val="en-GB" w:eastAsia="en-US"/>
    </w:rPr>
  </w:style>
  <w:style w:type="character" w:customStyle="1" w:styleId="70">
    <w:name w:val="Заголовок 7 Знак"/>
    <w:link w:val="7"/>
    <w:rsid w:val="00870723"/>
    <w:rPr>
      <w:rFonts w:ascii="Times New Roman" w:hAnsi="Times New Roman"/>
      <w:b/>
      <w:bCs/>
      <w:i/>
      <w:iCs/>
      <w:color w:val="000000"/>
      <w:sz w:val="24"/>
      <w:lang w:val="en-GB" w:eastAsia="en-US"/>
    </w:rPr>
  </w:style>
  <w:style w:type="character" w:customStyle="1" w:styleId="80">
    <w:name w:val="Заголовок 8 Знак"/>
    <w:link w:val="8"/>
    <w:rsid w:val="00870723"/>
    <w:rPr>
      <w:rFonts w:ascii="Arial" w:hAnsi="Arial"/>
      <w:i/>
      <w:lang w:val="en-GB" w:eastAsia="en-US"/>
    </w:rPr>
  </w:style>
  <w:style w:type="character" w:customStyle="1" w:styleId="90">
    <w:name w:val="Заголовок 9 Знак"/>
    <w:link w:val="9"/>
    <w:rsid w:val="00870723"/>
    <w:rPr>
      <w:rFonts w:ascii="Arial" w:hAnsi="Arial"/>
      <w:i/>
      <w:sz w:val="18"/>
      <w:lang w:val="en-GB" w:eastAsia="en-US"/>
    </w:rPr>
  </w:style>
  <w:style w:type="paragraph" w:styleId="22">
    <w:name w:val="toc 2"/>
    <w:basedOn w:val="11"/>
    <w:uiPriority w:val="39"/>
    <w:locked/>
    <w:rsid w:val="00870723"/>
    <w:pPr>
      <w:spacing w:before="0"/>
    </w:pPr>
    <w:rPr>
      <w:sz w:val="24"/>
    </w:rPr>
  </w:style>
  <w:style w:type="paragraph" w:styleId="31">
    <w:name w:val="toc 3"/>
    <w:basedOn w:val="22"/>
    <w:uiPriority w:val="39"/>
    <w:locked/>
    <w:rsid w:val="00870723"/>
    <w:pPr>
      <w:tabs>
        <w:tab w:val="left" w:pos="1418"/>
      </w:tabs>
      <w:ind w:left="1418" w:hanging="1418"/>
    </w:pPr>
  </w:style>
  <w:style w:type="paragraph" w:styleId="41">
    <w:name w:val="toc 4"/>
    <w:basedOn w:val="31"/>
    <w:uiPriority w:val="39"/>
    <w:locked/>
    <w:rsid w:val="00870723"/>
  </w:style>
  <w:style w:type="paragraph" w:styleId="51">
    <w:name w:val="toc 5"/>
    <w:basedOn w:val="a1"/>
    <w:next w:val="a1"/>
    <w:autoRedefine/>
    <w:uiPriority w:val="39"/>
    <w:locked/>
    <w:rsid w:val="00870723"/>
    <w:pPr>
      <w:spacing w:after="0" w:line="240" w:lineRule="auto"/>
      <w:ind w:left="960"/>
    </w:pPr>
    <w:rPr>
      <w:rFonts w:ascii="Times New Roman" w:hAnsi="Times New Roman"/>
      <w:sz w:val="24"/>
      <w:szCs w:val="24"/>
      <w:lang w:val="en-US" w:eastAsia="en-US"/>
    </w:rPr>
  </w:style>
  <w:style w:type="paragraph" w:styleId="61">
    <w:name w:val="toc 6"/>
    <w:basedOn w:val="a1"/>
    <w:next w:val="a1"/>
    <w:autoRedefine/>
    <w:uiPriority w:val="39"/>
    <w:locked/>
    <w:rsid w:val="00870723"/>
    <w:pPr>
      <w:spacing w:after="0" w:line="240" w:lineRule="auto"/>
      <w:ind w:left="1200"/>
    </w:pPr>
    <w:rPr>
      <w:rFonts w:ascii="Times New Roman" w:hAnsi="Times New Roman"/>
      <w:sz w:val="24"/>
      <w:szCs w:val="24"/>
      <w:lang w:val="en-US" w:eastAsia="en-US"/>
    </w:rPr>
  </w:style>
  <w:style w:type="paragraph" w:styleId="71">
    <w:name w:val="toc 7"/>
    <w:basedOn w:val="a1"/>
    <w:next w:val="a1"/>
    <w:autoRedefine/>
    <w:uiPriority w:val="39"/>
    <w:locked/>
    <w:rsid w:val="00870723"/>
    <w:pPr>
      <w:spacing w:after="0" w:line="240" w:lineRule="auto"/>
      <w:ind w:left="1440"/>
    </w:pPr>
    <w:rPr>
      <w:rFonts w:ascii="Times New Roman" w:hAnsi="Times New Roman"/>
      <w:sz w:val="24"/>
      <w:szCs w:val="24"/>
      <w:lang w:val="en-US" w:eastAsia="en-US"/>
    </w:rPr>
  </w:style>
  <w:style w:type="paragraph" w:styleId="81">
    <w:name w:val="toc 8"/>
    <w:basedOn w:val="a1"/>
    <w:next w:val="a1"/>
    <w:autoRedefine/>
    <w:uiPriority w:val="39"/>
    <w:locked/>
    <w:rsid w:val="00870723"/>
    <w:pPr>
      <w:spacing w:after="0" w:line="240" w:lineRule="auto"/>
      <w:ind w:left="1680"/>
    </w:pPr>
    <w:rPr>
      <w:rFonts w:ascii="Times New Roman" w:hAnsi="Times New Roman"/>
      <w:sz w:val="24"/>
      <w:szCs w:val="24"/>
      <w:lang w:val="en-US" w:eastAsia="en-US"/>
    </w:rPr>
  </w:style>
  <w:style w:type="paragraph" w:styleId="91">
    <w:name w:val="toc 9"/>
    <w:basedOn w:val="a1"/>
    <w:next w:val="a1"/>
    <w:autoRedefine/>
    <w:uiPriority w:val="39"/>
    <w:locked/>
    <w:rsid w:val="00870723"/>
    <w:pPr>
      <w:spacing w:after="0" w:line="240" w:lineRule="auto"/>
      <w:ind w:left="1920"/>
    </w:pPr>
    <w:rPr>
      <w:rFonts w:ascii="Times New Roman" w:hAnsi="Times New Roman"/>
      <w:sz w:val="24"/>
      <w:szCs w:val="24"/>
      <w:lang w:val="en-US" w:eastAsia="en-US"/>
    </w:rPr>
  </w:style>
  <w:style w:type="paragraph" w:customStyle="1" w:styleId="AppendixHeading">
    <w:name w:val="Appendix Heading"/>
    <w:basedOn w:val="1"/>
    <w:next w:val="a2"/>
    <w:rsid w:val="00870723"/>
    <w:pPr>
      <w:pageBreakBefore/>
      <w:tabs>
        <w:tab w:val="num" w:pos="0"/>
      </w:tabs>
      <w:spacing w:before="400" w:after="130" w:line="360" w:lineRule="atLeast"/>
      <w:ind w:hanging="964"/>
      <w:outlineLvl w:val="9"/>
    </w:pPr>
    <w:rPr>
      <w:rFonts w:ascii="Times New Roman" w:hAnsi="Times New Roman"/>
      <w:kern w:val="0"/>
      <w:szCs w:val="20"/>
      <w:lang w:val="en-US" w:eastAsia="en-US"/>
    </w:rPr>
  </w:style>
  <w:style w:type="paragraph" w:customStyle="1" w:styleId="AppendixHeading2">
    <w:name w:val="Appendix Heading 2"/>
    <w:basedOn w:val="20"/>
    <w:next w:val="a2"/>
    <w:rsid w:val="00870723"/>
    <w:pPr>
      <w:numPr>
        <w:ilvl w:val="1"/>
        <w:numId w:val="2"/>
      </w:numPr>
      <w:spacing w:before="400" w:after="0"/>
      <w:outlineLvl w:val="9"/>
    </w:pPr>
    <w:rPr>
      <w:bCs/>
      <w:i/>
      <w:iCs/>
    </w:rPr>
  </w:style>
  <w:style w:type="paragraph" w:customStyle="1" w:styleId="AppendixHeading3">
    <w:name w:val="Appendix Heading 3"/>
    <w:basedOn w:val="3"/>
    <w:next w:val="a2"/>
    <w:rsid w:val="00870723"/>
    <w:pPr>
      <w:numPr>
        <w:ilvl w:val="2"/>
        <w:numId w:val="2"/>
      </w:numPr>
      <w:spacing w:before="400" w:after="0"/>
      <w:outlineLvl w:val="9"/>
    </w:pPr>
    <w:rPr>
      <w:bCs/>
      <w:sz w:val="24"/>
    </w:rPr>
  </w:style>
  <w:style w:type="paragraph" w:customStyle="1" w:styleId="AppendixHeading4">
    <w:name w:val="Appendix Heading 4"/>
    <w:basedOn w:val="4"/>
    <w:next w:val="a2"/>
    <w:rsid w:val="00870723"/>
    <w:pPr>
      <w:numPr>
        <w:ilvl w:val="3"/>
        <w:numId w:val="2"/>
      </w:numPr>
      <w:spacing w:after="0"/>
      <w:outlineLvl w:val="9"/>
    </w:pPr>
    <w:rPr>
      <w:bCs w:val="0"/>
      <w:i/>
    </w:rPr>
  </w:style>
  <w:style w:type="paragraph" w:customStyle="1" w:styleId="AppendixHeading5">
    <w:name w:val="Appendix Heading 5"/>
    <w:basedOn w:val="5"/>
    <w:next w:val="a2"/>
    <w:rsid w:val="00870723"/>
    <w:pPr>
      <w:spacing w:after="0"/>
      <w:outlineLvl w:val="9"/>
    </w:pPr>
    <w:rPr>
      <w:b w:val="0"/>
      <w:bCs w:val="0"/>
      <w:iCs w:val="0"/>
    </w:rPr>
  </w:style>
  <w:style w:type="paragraph" w:styleId="a">
    <w:name w:val="List Bullet"/>
    <w:basedOn w:val="a2"/>
    <w:uiPriority w:val="13"/>
    <w:qFormat/>
    <w:rsid w:val="00870723"/>
    <w:pPr>
      <w:numPr>
        <w:numId w:val="3"/>
      </w:numPr>
      <w:spacing w:after="130" w:line="260" w:lineRule="atLeast"/>
      <w:jc w:val="both"/>
    </w:pPr>
    <w:rPr>
      <w:rFonts w:ascii="Times New Roman" w:hAnsi="Times New Roman"/>
      <w:sz w:val="22"/>
      <w:lang w:val="en-US" w:eastAsia="en-US"/>
    </w:rPr>
  </w:style>
  <w:style w:type="paragraph" w:styleId="2">
    <w:name w:val="List Bullet 2"/>
    <w:basedOn w:val="a"/>
    <w:rsid w:val="00870723"/>
    <w:pPr>
      <w:numPr>
        <w:numId w:val="4"/>
      </w:numPr>
    </w:pPr>
  </w:style>
  <w:style w:type="paragraph" w:customStyle="1" w:styleId="PageTitle">
    <w:name w:val="PageTitle"/>
    <w:basedOn w:val="a1"/>
    <w:rsid w:val="00870723"/>
    <w:pPr>
      <w:framePr w:w="5954" w:h="3232" w:hSpace="181" w:wrap="around" w:vAnchor="page" w:hAnchor="page" w:x="2893" w:y="4991"/>
      <w:spacing w:after="0" w:line="240" w:lineRule="auto"/>
      <w:jc w:val="center"/>
    </w:pPr>
    <w:rPr>
      <w:rFonts w:ascii="Times New Roman" w:hAnsi="Times New Roman"/>
      <w:b/>
      <w:sz w:val="32"/>
      <w:szCs w:val="24"/>
      <w:lang w:val="en-US" w:eastAsia="en-US"/>
    </w:rPr>
  </w:style>
  <w:style w:type="paragraph" w:customStyle="1" w:styleId="bullet0">
    <w:name w:val="bullet"/>
    <w:basedOn w:val="a1"/>
    <w:rsid w:val="00870723"/>
    <w:pPr>
      <w:tabs>
        <w:tab w:val="left" w:pos="360"/>
      </w:tabs>
      <w:overflowPunct w:val="0"/>
      <w:autoSpaceDE w:val="0"/>
      <w:autoSpaceDN w:val="0"/>
      <w:adjustRightInd w:val="0"/>
      <w:spacing w:after="0" w:line="260" w:lineRule="atLeast"/>
      <w:ind w:left="357" w:hanging="357"/>
      <w:jc w:val="both"/>
      <w:textAlignment w:val="baseline"/>
    </w:pPr>
    <w:rPr>
      <w:rFonts w:ascii="Times New Roman" w:hAnsi="Times New Roman"/>
      <w:sz w:val="20"/>
      <w:szCs w:val="20"/>
      <w:lang w:eastAsia="en-US"/>
    </w:rPr>
  </w:style>
  <w:style w:type="paragraph" w:styleId="afe">
    <w:name w:val="endnote text"/>
    <w:basedOn w:val="a1"/>
    <w:link w:val="aff"/>
    <w:semiHidden/>
    <w:rsid w:val="00870723"/>
    <w:pPr>
      <w:overflowPunct w:val="0"/>
      <w:autoSpaceDE w:val="0"/>
      <w:autoSpaceDN w:val="0"/>
      <w:adjustRightInd w:val="0"/>
      <w:spacing w:after="0" w:line="240" w:lineRule="auto"/>
      <w:textAlignment w:val="baseline"/>
    </w:pPr>
    <w:rPr>
      <w:rFonts w:ascii="Times New Roman" w:hAnsi="Times New Roman"/>
      <w:sz w:val="20"/>
      <w:szCs w:val="20"/>
      <w:lang w:eastAsia="en-US"/>
    </w:rPr>
  </w:style>
  <w:style w:type="character" w:customStyle="1" w:styleId="aff">
    <w:name w:val="Текст концевой сноски Знак"/>
    <w:link w:val="afe"/>
    <w:semiHidden/>
    <w:rsid w:val="00870723"/>
    <w:rPr>
      <w:rFonts w:ascii="Times New Roman" w:hAnsi="Times New Roman"/>
      <w:lang w:val="en-GB" w:eastAsia="en-US"/>
    </w:rPr>
  </w:style>
  <w:style w:type="character" w:styleId="aff0">
    <w:name w:val="endnote reference"/>
    <w:semiHidden/>
    <w:rsid w:val="00870723"/>
    <w:rPr>
      <w:rFonts w:ascii="Times New Roman" w:hAnsi="Times New Roman"/>
      <w:b/>
      <w:sz w:val="24"/>
      <w:vertAlign w:val="superscript"/>
    </w:rPr>
  </w:style>
  <w:style w:type="paragraph" w:customStyle="1" w:styleId="alttext">
    <w:name w:val="alt_text"/>
    <w:basedOn w:val="a2"/>
    <w:rsid w:val="00870723"/>
    <w:pPr>
      <w:spacing w:before="130" w:after="130" w:line="260" w:lineRule="atLeast"/>
      <w:jc w:val="both"/>
    </w:pPr>
    <w:rPr>
      <w:rFonts w:ascii="Arial" w:hAnsi="Arial"/>
      <w:i/>
      <w:iCs/>
      <w:sz w:val="18"/>
      <w:lang w:val="en-US" w:eastAsia="en-US"/>
    </w:rPr>
  </w:style>
  <w:style w:type="paragraph" w:customStyle="1" w:styleId="tabletext">
    <w:name w:val="table_text"/>
    <w:basedOn w:val="a1"/>
    <w:rsid w:val="00870723"/>
    <w:pPr>
      <w:numPr>
        <w:ilvl w:val="12"/>
      </w:numPr>
      <w:spacing w:before="65" w:after="65" w:line="240" w:lineRule="auto"/>
    </w:pPr>
    <w:rPr>
      <w:rFonts w:ascii="Times New Roman" w:hAnsi="Times New Roman"/>
      <w:sz w:val="20"/>
      <w:szCs w:val="24"/>
      <w:lang w:val="en-US" w:eastAsia="en-US"/>
    </w:rPr>
  </w:style>
  <w:style w:type="paragraph" w:customStyle="1" w:styleId="LetTLH">
    <w:name w:val="LetTLH"/>
    <w:basedOn w:val="a1"/>
    <w:next w:val="a1"/>
    <w:rsid w:val="00870723"/>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eastAsia="en-US"/>
    </w:rPr>
  </w:style>
  <w:style w:type="paragraph" w:customStyle="1" w:styleId="Address">
    <w:name w:val="Address"/>
    <w:basedOn w:val="a1"/>
    <w:next w:val="a1"/>
    <w:rsid w:val="00870723"/>
    <w:pPr>
      <w:tabs>
        <w:tab w:val="right" w:pos="6940"/>
        <w:tab w:val="left" w:pos="7394"/>
      </w:tabs>
      <w:overflowPunct w:val="0"/>
      <w:autoSpaceDE w:val="0"/>
      <w:autoSpaceDN w:val="0"/>
      <w:adjustRightInd w:val="0"/>
      <w:spacing w:after="0" w:line="240" w:lineRule="auto"/>
      <w:jc w:val="both"/>
      <w:textAlignment w:val="baseline"/>
    </w:pPr>
    <w:rPr>
      <w:rFonts w:ascii="Times New Roman" w:hAnsi="Times New Roman"/>
      <w:szCs w:val="20"/>
      <w:lang w:eastAsia="en-US"/>
    </w:rPr>
  </w:style>
  <w:style w:type="paragraph" w:customStyle="1" w:styleId="tabelLinks">
    <w:name w:val="tabelLinks"/>
    <w:basedOn w:val="IAS"/>
    <w:rsid w:val="00870723"/>
    <w:rPr>
      <w:i w:val="0"/>
      <w:sz w:val="18"/>
    </w:rPr>
  </w:style>
  <w:style w:type="paragraph" w:customStyle="1" w:styleId="IAS">
    <w:name w:val="IAS"/>
    <w:basedOn w:val="a1"/>
    <w:rsid w:val="00870723"/>
    <w:pPr>
      <w:overflowPunct w:val="0"/>
      <w:autoSpaceDE w:val="0"/>
      <w:autoSpaceDN w:val="0"/>
      <w:adjustRightInd w:val="0"/>
      <w:spacing w:after="0" w:line="-260" w:lineRule="auto"/>
      <w:textAlignment w:val="baseline"/>
    </w:pPr>
    <w:rPr>
      <w:rFonts w:ascii="Times" w:hAnsi="Times"/>
      <w:i/>
      <w:sz w:val="20"/>
      <w:szCs w:val="20"/>
      <w:lang w:eastAsia="en-US"/>
    </w:rPr>
  </w:style>
  <w:style w:type="paragraph" w:customStyle="1" w:styleId="tab">
    <w:name w:val="tab+"/>
    <w:basedOn w:val="IAS"/>
    <w:rsid w:val="00870723"/>
    <w:pPr>
      <w:ind w:right="91"/>
      <w:jc w:val="right"/>
    </w:pPr>
    <w:rPr>
      <w:rFonts w:ascii="Times New Roman" w:hAnsi="Times New Roman"/>
      <w:i w:val="0"/>
      <w:sz w:val="18"/>
    </w:rPr>
  </w:style>
  <w:style w:type="character" w:customStyle="1" w:styleId="PageNumberpn">
    <w:name w:val="Page Number.pn"/>
    <w:rsid w:val="00870723"/>
  </w:style>
  <w:style w:type="paragraph" w:customStyle="1" w:styleId="tabelheading1">
    <w:name w:val="tabelheading1"/>
    <w:basedOn w:val="tabelLinks"/>
    <w:rsid w:val="00870723"/>
    <w:pPr>
      <w:keepNext/>
    </w:pPr>
    <w:rPr>
      <w:b/>
    </w:rPr>
  </w:style>
  <w:style w:type="paragraph" w:customStyle="1" w:styleId="tabelt">
    <w:name w:val="tabel=.t="/>
    <w:basedOn w:val="a1"/>
    <w:rsid w:val="00870723"/>
    <w:pPr>
      <w:overflowPunct w:val="0"/>
      <w:autoSpaceDE w:val="0"/>
      <w:autoSpaceDN w:val="0"/>
      <w:adjustRightInd w:val="0"/>
      <w:spacing w:after="120" w:line="-60" w:lineRule="auto"/>
      <w:ind w:right="91"/>
      <w:jc w:val="right"/>
      <w:textAlignment w:val="baseline"/>
    </w:pPr>
    <w:rPr>
      <w:rFonts w:ascii="Times New Roman" w:hAnsi="Times New Roman"/>
      <w:szCs w:val="20"/>
      <w:u w:val="double"/>
      <w:lang w:eastAsia="en-US"/>
    </w:rPr>
  </w:style>
  <w:style w:type="paragraph" w:customStyle="1" w:styleId="euroheading">
    <w:name w:val="euro heading"/>
    <w:basedOn w:val="a1"/>
    <w:rsid w:val="00870723"/>
    <w:pPr>
      <w:overflowPunct w:val="0"/>
      <w:autoSpaceDE w:val="0"/>
      <w:autoSpaceDN w:val="0"/>
      <w:adjustRightInd w:val="0"/>
      <w:spacing w:after="0" w:line="260" w:lineRule="atLeast"/>
      <w:jc w:val="both"/>
      <w:textAlignment w:val="baseline"/>
    </w:pPr>
    <w:rPr>
      <w:rFonts w:ascii="Times New Roman" w:hAnsi="Times New Roman"/>
      <w:i/>
      <w:sz w:val="20"/>
      <w:szCs w:val="20"/>
      <w:lang w:eastAsia="en-US"/>
    </w:rPr>
  </w:style>
  <w:style w:type="paragraph" w:customStyle="1" w:styleId="numbertablehead">
    <w:name w:val="number table head"/>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b/>
      <w:sz w:val="20"/>
      <w:szCs w:val="20"/>
      <w:lang w:eastAsia="en-US"/>
    </w:rPr>
  </w:style>
  <w:style w:type="paragraph" w:customStyle="1" w:styleId="numbernegative">
    <w:name w:val="number negative"/>
    <w:basedOn w:val="a1"/>
    <w:rsid w:val="00870723"/>
    <w:pPr>
      <w:overflowPunct w:val="0"/>
      <w:autoSpaceDE w:val="0"/>
      <w:autoSpaceDN w:val="0"/>
      <w:adjustRightInd w:val="0"/>
      <w:spacing w:after="0" w:line="260" w:lineRule="atLeast"/>
      <w:jc w:val="right"/>
      <w:textAlignment w:val="baseline"/>
    </w:pPr>
    <w:rPr>
      <w:rFonts w:ascii="Times New Roman" w:hAnsi="Times New Roman"/>
      <w:sz w:val="20"/>
      <w:szCs w:val="20"/>
      <w:lang w:eastAsia="en-US"/>
    </w:rPr>
  </w:style>
  <w:style w:type="paragraph" w:customStyle="1" w:styleId="numberpositive">
    <w:name w:val="number positive"/>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sz w:val="20"/>
      <w:szCs w:val="20"/>
      <w:lang w:eastAsia="en-US"/>
    </w:rPr>
  </w:style>
  <w:style w:type="paragraph" w:customStyle="1" w:styleId="Text">
    <w:name w:val="Text"/>
    <w:basedOn w:val="a1"/>
    <w:rsid w:val="00870723"/>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szCs w:val="20"/>
      <w:lang w:eastAsia="en-US"/>
    </w:rPr>
  </w:style>
  <w:style w:type="paragraph" w:customStyle="1" w:styleId="body">
    <w:name w:val="body"/>
    <w:basedOn w:val="a1"/>
    <w:rsid w:val="00870723"/>
    <w:pPr>
      <w:keepNext/>
      <w:spacing w:before="260" w:after="260" w:line="240" w:lineRule="auto"/>
      <w:jc w:val="both"/>
    </w:pPr>
    <w:rPr>
      <w:rFonts w:ascii="Times New Roman" w:hAnsi="Times New Roman"/>
      <w:b/>
      <w:bCs/>
      <w:sz w:val="24"/>
      <w:szCs w:val="24"/>
      <w:lang w:val="en-US" w:eastAsia="en-US"/>
    </w:rPr>
  </w:style>
  <w:style w:type="paragraph" w:customStyle="1" w:styleId="Subhead3CharCharChar">
    <w:name w:val="Subhead 3 Char Char Char"/>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a1"/>
    <w:rsid w:val="00870723"/>
    <w:pPr>
      <w:tabs>
        <w:tab w:val="left" w:pos="1531"/>
        <w:tab w:val="left" w:pos="1871"/>
      </w:tabs>
      <w:autoSpaceDE w:val="0"/>
      <w:autoSpaceDN w:val="0"/>
      <w:adjustRightInd w:val="0"/>
      <w:spacing w:after="0" w:line="260" w:lineRule="atLeast"/>
      <w:ind w:left="1531" w:hanging="1531"/>
    </w:pPr>
    <w:rPr>
      <w:rFonts w:ascii="Univers 45 Light" w:hAnsi="Univers 45 Light"/>
      <w:color w:val="000000"/>
      <w:sz w:val="20"/>
      <w:szCs w:val="20"/>
      <w:lang w:val="en-NZ" w:eastAsia="en-NZ"/>
    </w:rPr>
  </w:style>
  <w:style w:type="paragraph" w:customStyle="1" w:styleId="Subhead4">
    <w:name w:val="Subhead 4"/>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a1"/>
    <w:rsid w:val="00870723"/>
    <w:pPr>
      <w:tabs>
        <w:tab w:val="left" w:pos="1134"/>
        <w:tab w:val="left" w:pos="1531"/>
        <w:tab w:val="left" w:pos="1871"/>
      </w:tabs>
      <w:autoSpaceDE w:val="0"/>
      <w:autoSpaceDN w:val="0"/>
      <w:adjustRightInd w:val="0"/>
      <w:spacing w:after="0" w:line="260" w:lineRule="atLeast"/>
      <w:ind w:left="1531" w:hanging="1531"/>
    </w:pPr>
    <w:rPr>
      <w:rFonts w:ascii="Univers 55" w:hAnsi="Univers 55"/>
      <w:b/>
      <w:bCs/>
      <w:color w:val="0C2D83"/>
      <w:sz w:val="20"/>
      <w:szCs w:val="20"/>
      <w:lang w:val="en-NZ" w:eastAsia="en-NZ"/>
    </w:rPr>
  </w:style>
  <w:style w:type="paragraph" w:styleId="32">
    <w:name w:val="Body Text 3"/>
    <w:basedOn w:val="a1"/>
    <w:link w:val="33"/>
    <w:rsid w:val="00870723"/>
    <w:pPr>
      <w:spacing w:after="120" w:line="240" w:lineRule="auto"/>
    </w:pPr>
    <w:rPr>
      <w:rFonts w:ascii="Times New Roman" w:hAnsi="Times New Roman"/>
      <w:sz w:val="16"/>
      <w:szCs w:val="16"/>
      <w:lang w:val="en-US" w:eastAsia="en-US"/>
    </w:rPr>
  </w:style>
  <w:style w:type="character" w:customStyle="1" w:styleId="33">
    <w:name w:val="Основной текст 3 Знак"/>
    <w:link w:val="32"/>
    <w:rsid w:val="00870723"/>
    <w:rPr>
      <w:rFonts w:ascii="Times New Roman" w:hAnsi="Times New Roman"/>
      <w:sz w:val="16"/>
      <w:szCs w:val="16"/>
      <w:lang w:val="en-US" w:eastAsia="en-US"/>
    </w:rPr>
  </w:style>
  <w:style w:type="paragraph" w:customStyle="1" w:styleId="Style11ptBoldJustifiedBefore13ptAfter13pt">
    <w:name w:val="Style 11 pt Bold Justified Before:  13 pt After:  13 pt"/>
    <w:basedOn w:val="a1"/>
    <w:autoRedefine/>
    <w:rsid w:val="00870723"/>
    <w:pPr>
      <w:keepNext/>
      <w:spacing w:before="130" w:after="130" w:line="260" w:lineRule="atLeast"/>
      <w:jc w:val="both"/>
    </w:pPr>
    <w:rPr>
      <w:rFonts w:ascii="Times New Roman" w:hAnsi="Times New Roman"/>
      <w:bCs/>
      <w:szCs w:val="20"/>
      <w:lang w:eastAsia="en-US"/>
    </w:rPr>
  </w:style>
  <w:style w:type="character" w:styleId="aff1">
    <w:name w:val="Emphasis"/>
    <w:qFormat/>
    <w:locked/>
    <w:rsid w:val="00870723"/>
    <w:rPr>
      <w:i/>
      <w:iCs/>
    </w:rPr>
  </w:style>
  <w:style w:type="paragraph" w:customStyle="1" w:styleId="Normal9pt">
    <w:name w:val="Normal + 9 pt"/>
    <w:basedOn w:val="a1"/>
    <w:rsid w:val="00870723"/>
    <w:pPr>
      <w:framePr w:hSpace="180" w:wrap="around" w:hAnchor="margin" w:x="-72" w:y="-1078"/>
      <w:spacing w:after="0" w:line="240" w:lineRule="auto"/>
    </w:pPr>
    <w:rPr>
      <w:rFonts w:ascii="Times New Roman" w:hAnsi="Times New Roman"/>
      <w:sz w:val="18"/>
      <w:szCs w:val="18"/>
      <w:lang w:val="en-US" w:eastAsia="en-US"/>
    </w:rPr>
  </w:style>
  <w:style w:type="character" w:customStyle="1" w:styleId="block">
    <w:name w:val="block"/>
    <w:rsid w:val="00870723"/>
  </w:style>
  <w:style w:type="paragraph" w:customStyle="1" w:styleId="TABS">
    <w:name w:val="TABS"/>
    <w:rsid w:val="00870723"/>
    <w:pPr>
      <w:widowControl w:val="0"/>
      <w:tabs>
        <w:tab w:val="left" w:pos="-1440"/>
        <w:tab w:val="left" w:pos="-720"/>
        <w:tab w:val="left" w:pos="720"/>
        <w:tab w:val="left" w:pos="1440"/>
        <w:tab w:val="left" w:pos="2304"/>
      </w:tabs>
      <w:suppressAutoHyphens/>
      <w:autoSpaceDE w:val="0"/>
      <w:autoSpaceDN w:val="0"/>
      <w:adjustRightInd w:val="0"/>
    </w:pPr>
    <w:rPr>
      <w:rFonts w:ascii="Dutch Roman 12pt" w:hAnsi="Dutch Roman 12pt"/>
      <w:szCs w:val="24"/>
      <w:lang w:val="en-US" w:eastAsia="en-US"/>
    </w:rPr>
  </w:style>
  <w:style w:type="paragraph" w:styleId="23">
    <w:name w:val="Body Text 2"/>
    <w:basedOn w:val="a1"/>
    <w:link w:val="24"/>
    <w:rsid w:val="00870723"/>
    <w:pPr>
      <w:spacing w:after="120" w:line="480" w:lineRule="auto"/>
    </w:pPr>
    <w:rPr>
      <w:rFonts w:ascii="Times New Roman" w:hAnsi="Times New Roman"/>
      <w:sz w:val="24"/>
      <w:szCs w:val="24"/>
      <w:lang w:val="en-US" w:eastAsia="en-US"/>
    </w:rPr>
  </w:style>
  <w:style w:type="character" w:customStyle="1" w:styleId="24">
    <w:name w:val="Основной текст 2 Знак"/>
    <w:link w:val="23"/>
    <w:rsid w:val="00870723"/>
    <w:rPr>
      <w:rFonts w:ascii="Times New Roman" w:hAnsi="Times New Roman"/>
      <w:sz w:val="24"/>
      <w:szCs w:val="24"/>
      <w:lang w:val="en-US" w:eastAsia="en-US"/>
    </w:rPr>
  </w:style>
  <w:style w:type="paragraph" w:customStyle="1" w:styleId="ABCFootnote">
    <w:name w:val="ABC Footnote"/>
    <w:basedOn w:val="af8"/>
    <w:rsid w:val="00870723"/>
    <w:rPr>
      <w:rFonts w:ascii="Times New Roman" w:hAnsi="Times New Roman"/>
      <w:sz w:val="18"/>
      <w:lang w:eastAsia="en-US"/>
    </w:rPr>
  </w:style>
  <w:style w:type="paragraph" w:customStyle="1" w:styleId="tblHeaderText">
    <w:name w:val="tbl'HeaderText"/>
    <w:basedOn w:val="a1"/>
    <w:rsid w:val="00870723"/>
    <w:pPr>
      <w:spacing w:after="0" w:line="240" w:lineRule="auto"/>
      <w:ind w:right="57"/>
      <w:jc w:val="right"/>
    </w:pPr>
    <w:rPr>
      <w:rFonts w:ascii="Times New Roman" w:hAnsi="Times New Roman"/>
      <w:b/>
      <w:spacing w:val="-2"/>
      <w:sz w:val="20"/>
      <w:szCs w:val="20"/>
      <w:lang w:eastAsia="en-US"/>
    </w:rPr>
  </w:style>
  <w:style w:type="paragraph" w:customStyle="1" w:styleId="tblNumber01">
    <w:name w:val="tbl'Number_01"/>
    <w:basedOn w:val="a1"/>
    <w:rsid w:val="00870723"/>
    <w:pPr>
      <w:spacing w:after="0" w:line="240" w:lineRule="auto"/>
      <w:ind w:right="57"/>
      <w:jc w:val="right"/>
    </w:pPr>
    <w:rPr>
      <w:rFonts w:ascii="Times New Roman" w:hAnsi="Times New Roman"/>
      <w:sz w:val="20"/>
      <w:szCs w:val="20"/>
      <w:lang w:eastAsia="en-US"/>
    </w:rPr>
  </w:style>
  <w:style w:type="paragraph" w:customStyle="1" w:styleId="tblText02">
    <w:name w:val="tbl'Text_02"/>
    <w:basedOn w:val="a1"/>
    <w:rsid w:val="00870723"/>
    <w:pPr>
      <w:spacing w:after="0" w:line="240" w:lineRule="auto"/>
      <w:ind w:left="113" w:hanging="113"/>
    </w:pPr>
    <w:rPr>
      <w:rFonts w:ascii="Times New Roman" w:hAnsi="Times New Roman"/>
      <w:sz w:val="20"/>
      <w:szCs w:val="20"/>
      <w:lang w:eastAsia="en-US"/>
    </w:rPr>
  </w:style>
  <w:style w:type="character" w:customStyle="1" w:styleId="-731">
    <w:name w:val="Таблица-сетка 7 цветная — акцент 31"/>
    <w:uiPriority w:val="33"/>
    <w:qFormat/>
    <w:rsid w:val="00870723"/>
    <w:rPr>
      <w:b/>
      <w:bCs/>
      <w:smallCaps/>
      <w:spacing w:val="5"/>
    </w:rPr>
  </w:style>
  <w:style w:type="paragraph" w:customStyle="1" w:styleId="IndependentAuditorsReport">
    <w:name w:val="Independent Auditor's Report"/>
    <w:basedOn w:val="a2"/>
    <w:rsid w:val="00870723"/>
    <w:pPr>
      <w:spacing w:before="240" w:after="0" w:line="240" w:lineRule="auto"/>
      <w:jc w:val="both"/>
    </w:pPr>
    <w:rPr>
      <w:rFonts w:ascii="Times New Roman" w:hAnsi="Times New Roman"/>
      <w:b/>
      <w:sz w:val="22"/>
      <w:lang w:val="en-US" w:eastAsia="en-US"/>
    </w:rPr>
  </w:style>
  <w:style w:type="paragraph" w:customStyle="1" w:styleId="zKISOffAddress">
    <w:name w:val="zKISOffAddress"/>
    <w:basedOn w:val="a1"/>
    <w:rsid w:val="00870723"/>
    <w:pPr>
      <w:framePr w:hSpace="215" w:wrap="around" w:vAnchor="page" w:hAnchor="page" w:x="4282" w:y="1294"/>
      <w:spacing w:after="0" w:line="190" w:lineRule="exact"/>
    </w:pPr>
    <w:rPr>
      <w:rFonts w:ascii="Univers 45 Light" w:hAnsi="Univers 45 Light"/>
      <w:sz w:val="15"/>
      <w:szCs w:val="20"/>
      <w:lang w:val="en-US" w:eastAsia="en-US"/>
    </w:rPr>
  </w:style>
  <w:style w:type="paragraph" w:customStyle="1" w:styleId="zKISDescFooter">
    <w:name w:val="zKISDescFooter"/>
    <w:basedOn w:val="a1"/>
    <w:rsid w:val="00870723"/>
    <w:pPr>
      <w:framePr w:hSpace="284" w:wrap="around" w:vAnchor="page" w:hAnchor="page" w:x="4282" w:y="15905"/>
      <w:spacing w:after="0" w:line="130" w:lineRule="exact"/>
    </w:pPr>
    <w:rPr>
      <w:rFonts w:ascii="Univers 45 Light" w:hAnsi="Univers 45 Light"/>
      <w:sz w:val="11"/>
      <w:szCs w:val="20"/>
      <w:lang w:val="en-US" w:eastAsia="en-US"/>
    </w:rPr>
  </w:style>
  <w:style w:type="paragraph" w:customStyle="1" w:styleId="GridTable4-Accent41">
    <w:name w:val="Grid Table 4 - Accent 41"/>
    <w:hidden/>
    <w:uiPriority w:val="99"/>
    <w:semiHidden/>
    <w:rsid w:val="00870723"/>
    <w:rPr>
      <w:rFonts w:ascii="Times New Roman" w:hAnsi="Times New Roman"/>
      <w:sz w:val="24"/>
      <w:szCs w:val="24"/>
      <w:lang w:val="en-US" w:eastAsia="en-US"/>
    </w:rPr>
  </w:style>
  <w:style w:type="paragraph" w:customStyle="1" w:styleId="Default">
    <w:name w:val="Default"/>
    <w:rsid w:val="00870723"/>
    <w:pPr>
      <w:autoSpaceDE w:val="0"/>
      <w:autoSpaceDN w:val="0"/>
      <w:adjustRightInd w:val="0"/>
    </w:pPr>
    <w:rPr>
      <w:rFonts w:ascii="Univers 45 Light" w:hAnsi="Univers 45 Light" w:cs="Univers 45 Light"/>
      <w:color w:val="000000"/>
      <w:sz w:val="24"/>
      <w:szCs w:val="24"/>
      <w:lang w:val="en-US" w:eastAsia="en-US"/>
    </w:rPr>
  </w:style>
  <w:style w:type="paragraph" w:customStyle="1" w:styleId="Pa25">
    <w:name w:val="Pa25"/>
    <w:basedOn w:val="Default"/>
    <w:next w:val="Default"/>
    <w:uiPriority w:val="99"/>
    <w:rsid w:val="00870723"/>
    <w:pPr>
      <w:spacing w:line="191" w:lineRule="atLeast"/>
    </w:pPr>
    <w:rPr>
      <w:rFonts w:cs="Times New Roman"/>
      <w:color w:val="auto"/>
    </w:rPr>
  </w:style>
  <w:style w:type="character" w:customStyle="1" w:styleId="A11">
    <w:name w:val="A11"/>
    <w:uiPriority w:val="99"/>
    <w:rsid w:val="00870723"/>
    <w:rPr>
      <w:rFonts w:cs="Univers 45 Light"/>
      <w:i/>
      <w:iCs/>
      <w:color w:val="004690"/>
      <w:sz w:val="15"/>
      <w:szCs w:val="15"/>
    </w:rPr>
  </w:style>
  <w:style w:type="paragraph" w:customStyle="1" w:styleId="GridTable5Dark-Accent41">
    <w:name w:val="Grid Table 5 Dark - Accent 41"/>
    <w:basedOn w:val="a1"/>
    <w:uiPriority w:val="34"/>
    <w:qFormat/>
    <w:rsid w:val="00870723"/>
    <w:pPr>
      <w:spacing w:after="0" w:line="240" w:lineRule="auto"/>
      <w:ind w:left="720"/>
      <w:contextualSpacing/>
    </w:pPr>
    <w:rPr>
      <w:rFonts w:ascii="Times New Roman" w:hAnsi="Times New Roman"/>
      <w:sz w:val="24"/>
      <w:szCs w:val="24"/>
      <w:lang w:val="en-US" w:eastAsia="en-US"/>
    </w:rPr>
  </w:style>
  <w:style w:type="paragraph" w:customStyle="1" w:styleId="Report">
    <w:name w:val="Report"/>
    <w:rsid w:val="00870723"/>
    <w:pPr>
      <w:numPr>
        <w:numId w:val="5"/>
      </w:numPr>
      <w:spacing w:after="240"/>
      <w:jc w:val="both"/>
    </w:pPr>
    <w:rPr>
      <w:rFonts w:ascii="Arial" w:hAnsi="Arial"/>
      <w:snapToGrid w:val="0"/>
      <w:lang w:val="en-GB" w:eastAsia="en-US"/>
    </w:rPr>
  </w:style>
  <w:style w:type="paragraph" w:customStyle="1" w:styleId="Z2Opinion">
    <w:name w:val="Z2_Opinion"/>
    <w:basedOn w:val="a1"/>
    <w:next w:val="a2"/>
    <w:rsid w:val="00870723"/>
    <w:pPr>
      <w:spacing w:after="0" w:line="240" w:lineRule="auto"/>
    </w:pPr>
    <w:rPr>
      <w:rFonts w:ascii="Arial" w:eastAsia="Arial Unicode MS" w:hAnsi="Arial" w:cs="Arial"/>
      <w:b/>
      <w:caps/>
      <w:sz w:val="20"/>
      <w:lang w:val="en-US" w:eastAsia="en-US"/>
    </w:rPr>
  </w:style>
  <w:style w:type="paragraph" w:customStyle="1" w:styleId="GridTable2-Accent31">
    <w:name w:val="Grid Table 2 - Accent 31"/>
    <w:hidden/>
    <w:uiPriority w:val="99"/>
    <w:unhideWhenUsed/>
    <w:rsid w:val="00512CC0"/>
    <w:rPr>
      <w:sz w:val="22"/>
      <w:szCs w:val="22"/>
      <w:lang w:val="en-GB" w:eastAsia="zh-CN"/>
    </w:rPr>
  </w:style>
  <w:style w:type="table" w:customStyle="1" w:styleId="ListTable6Colorful-Accent51">
    <w:name w:val="List Table 6 Colorful - Accent 51"/>
    <w:basedOn w:val="a4"/>
    <w:uiPriority w:val="99"/>
    <w:qFormat/>
    <w:rsid w:val="00131EF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41">
    <w:name w:val="Список-таблица 4 — акцент 41"/>
    <w:basedOn w:val="a4"/>
    <w:uiPriority w:val="99"/>
    <w:qFormat/>
    <w:rsid w:val="00ED4F6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1">
    <w:name w:val="Темный список - Акцент 31"/>
    <w:hidden/>
    <w:uiPriority w:val="99"/>
    <w:unhideWhenUsed/>
    <w:rsid w:val="005B37E8"/>
    <w:rPr>
      <w:sz w:val="22"/>
      <w:szCs w:val="22"/>
      <w:lang w:val="en-GB" w:eastAsia="zh-CN"/>
    </w:rPr>
  </w:style>
  <w:style w:type="character" w:customStyle="1" w:styleId="UnresolvedMention1">
    <w:name w:val="Unresolved Mention1"/>
    <w:uiPriority w:val="99"/>
    <w:semiHidden/>
    <w:unhideWhenUsed/>
    <w:rsid w:val="00CF22E3"/>
    <w:rPr>
      <w:color w:val="808080"/>
      <w:shd w:val="clear" w:color="auto" w:fill="E6E6E6"/>
    </w:rPr>
  </w:style>
  <w:style w:type="paragraph" w:styleId="aff2">
    <w:name w:val="List Paragraph"/>
    <w:basedOn w:val="a1"/>
    <w:uiPriority w:val="34"/>
    <w:qFormat/>
    <w:rsid w:val="00AD525C"/>
    <w:pPr>
      <w:spacing w:after="160" w:line="259" w:lineRule="auto"/>
      <w:ind w:left="720"/>
      <w:contextualSpacing/>
    </w:pPr>
    <w:rPr>
      <w:rFonts w:eastAsia="Calibri"/>
      <w:lang w:val="ru-RU" w:eastAsia="en-US"/>
    </w:rPr>
  </w:style>
  <w:style w:type="paragraph" w:styleId="aff3">
    <w:name w:val="Revision"/>
    <w:hidden/>
    <w:uiPriority w:val="99"/>
    <w:semiHidden/>
    <w:rsid w:val="00C52E4F"/>
    <w:rPr>
      <w:sz w:val="22"/>
      <w:szCs w:val="22"/>
      <w:lang w:val="en-GB" w:eastAsia="zh-CN"/>
    </w:rPr>
  </w:style>
  <w:style w:type="paragraph" w:customStyle="1" w:styleId="o">
    <w:name w:val="o"/>
    <w:basedOn w:val="a1"/>
    <w:uiPriority w:val="99"/>
    <w:rsid w:val="0007666B"/>
    <w:pPr>
      <w:spacing w:before="100" w:beforeAutospacing="1" w:after="100" w:afterAutospacing="1" w:line="240" w:lineRule="auto"/>
    </w:pPr>
    <w:rPr>
      <w:rFonts w:ascii="Times New Roman" w:hAnsi="Times New Roman"/>
      <w:sz w:val="24"/>
      <w:szCs w:val="24"/>
    </w:rPr>
  </w:style>
  <w:style w:type="paragraph" w:customStyle="1" w:styleId="12">
    <w:name w:val="Текст1"/>
    <w:rsid w:val="00CD7033"/>
    <w:pPr>
      <w:pBdr>
        <w:top w:val="nil"/>
        <w:left w:val="nil"/>
        <w:bottom w:val="nil"/>
        <w:right w:val="nil"/>
        <w:between w:val="nil"/>
        <w:bar w:val="nil"/>
      </w:pBdr>
      <w:spacing w:after="200" w:line="276" w:lineRule="auto"/>
    </w:pPr>
    <w:rPr>
      <w:rFonts w:eastAsia="Calibri" w:cs="Calibri"/>
      <w:color w:val="000000"/>
      <w:sz w:val="22"/>
      <w:szCs w:val="22"/>
      <w:u w:color="000000"/>
      <w:bdr w:val="nil"/>
      <w:lang w:eastAsia="ru-RU"/>
    </w:rPr>
  </w:style>
  <w:style w:type="paragraph" w:customStyle="1" w:styleId="xmsonormal">
    <w:name w:val="x_msonormal"/>
    <w:basedOn w:val="a1"/>
    <w:uiPriority w:val="99"/>
    <w:rsid w:val="003D6F97"/>
    <w:pPr>
      <w:spacing w:after="0" w:line="240" w:lineRule="auto"/>
    </w:pPr>
    <w:rPr>
      <w:rFonts w:eastAsia="Times New Roman" w:cs="Calibri"/>
      <w:sz w:val="20"/>
      <w:szCs w:val="20"/>
      <w:lang w:val="ru-RU" w:eastAsia="ru-RU"/>
    </w:rPr>
  </w:style>
  <w:style w:type="numbering" w:customStyle="1" w:styleId="13">
    <w:name w:val="Нет списка1"/>
    <w:next w:val="a5"/>
    <w:uiPriority w:val="99"/>
    <w:semiHidden/>
    <w:unhideWhenUsed/>
    <w:rsid w:val="004356E2"/>
  </w:style>
  <w:style w:type="character" w:styleId="aff4">
    <w:name w:val="Book Title"/>
    <w:uiPriority w:val="33"/>
    <w:qFormat/>
    <w:rsid w:val="004356E2"/>
    <w:rPr>
      <w:b/>
      <w:bCs/>
      <w:smallCaps/>
      <w:spacing w:val="5"/>
    </w:rPr>
  </w:style>
  <w:style w:type="character" w:customStyle="1" w:styleId="hps">
    <w:name w:val="hps"/>
    <w:basedOn w:val="a3"/>
    <w:rsid w:val="004356E2"/>
  </w:style>
  <w:style w:type="paragraph" w:customStyle="1" w:styleId="zsubject">
    <w:name w:val="zsubject"/>
    <w:basedOn w:val="IndependentAuditorsReport"/>
    <w:rsid w:val="004356E2"/>
    <w:pPr>
      <w:spacing w:after="120"/>
    </w:pPr>
    <w:rPr>
      <w:rFonts w:ascii="Arial" w:eastAsia="Times New Roman" w:hAnsi="Arial" w:cs="Arial"/>
      <w:sz w:val="24"/>
      <w:szCs w:val="24"/>
    </w:rPr>
  </w:style>
  <w:style w:type="paragraph" w:customStyle="1" w:styleId="Example">
    <w:name w:val="Example"/>
    <w:basedOn w:val="a2"/>
    <w:rsid w:val="004356E2"/>
    <w:pPr>
      <w:spacing w:after="260" w:line="240" w:lineRule="auto"/>
      <w:jc w:val="both"/>
    </w:pPr>
    <w:rPr>
      <w:rFonts w:ascii="Arial" w:eastAsia="Times New Roman" w:hAnsi="Arial" w:cs="Arial"/>
      <w:b/>
      <w:lang w:val="en-US" w:eastAsia="en-US"/>
    </w:rPr>
  </w:style>
  <w:style w:type="paragraph" w:customStyle="1" w:styleId="KAMKNormal">
    <w:name w:val="KAMKNormal"/>
    <w:basedOn w:val="a1"/>
    <w:link w:val="KAMKNormalChar"/>
    <w:rsid w:val="004356E2"/>
    <w:pPr>
      <w:spacing w:before="120" w:after="120" w:line="240" w:lineRule="auto"/>
    </w:pPr>
    <w:rPr>
      <w:rFonts w:ascii="Tahoma" w:eastAsia="Times New Roman" w:hAnsi="Tahoma"/>
      <w:color w:val="000000"/>
      <w:szCs w:val="24"/>
      <w:lang w:val="en-US" w:eastAsia="en-US"/>
    </w:rPr>
  </w:style>
  <w:style w:type="character" w:customStyle="1" w:styleId="KAMKNormalChar">
    <w:name w:val="KAMKNormal Char"/>
    <w:link w:val="KAMKNormal"/>
    <w:rsid w:val="004356E2"/>
    <w:rPr>
      <w:rFonts w:ascii="Tahoma" w:eastAsia="Times New Roman" w:hAnsi="Tahoma"/>
      <w:color w:val="000000"/>
      <w:sz w:val="22"/>
      <w:szCs w:val="24"/>
      <w:lang w:val="en-US" w:eastAsia="en-US"/>
    </w:rPr>
  </w:style>
  <w:style w:type="character" w:customStyle="1" w:styleId="KAMKBold">
    <w:name w:val="KAMKBold"/>
    <w:uiPriority w:val="1"/>
    <w:rsid w:val="004356E2"/>
    <w:rPr>
      <w:rFonts w:ascii="Tahoma" w:hAnsi="Tahoma" w:cs="Times New Roman"/>
      <w:b/>
      <w:sz w:val="22"/>
    </w:rPr>
  </w:style>
  <w:style w:type="character" w:customStyle="1" w:styleId="KAMKItalics">
    <w:name w:val="KAMKItalics"/>
    <w:uiPriority w:val="1"/>
    <w:rsid w:val="004356E2"/>
    <w:rPr>
      <w:rFonts w:ascii="Tahoma" w:hAnsi="Tahoma"/>
      <w:i/>
      <w:sz w:val="22"/>
    </w:rPr>
  </w:style>
  <w:style w:type="paragraph" w:customStyle="1" w:styleId="RNormal">
    <w:name w:val="RNormal"/>
    <w:basedOn w:val="a1"/>
    <w:rsid w:val="004356E2"/>
    <w:pPr>
      <w:spacing w:before="120" w:after="0" w:line="240" w:lineRule="auto"/>
      <w:jc w:val="both"/>
    </w:pPr>
    <w:rPr>
      <w:rFonts w:ascii="Arial" w:eastAsia="Times New Roman" w:hAnsi="Arial" w:cs="Arial"/>
      <w:sz w:val="20"/>
      <w:szCs w:val="24"/>
      <w:lang w:val="en-US" w:eastAsia="en-US"/>
    </w:rPr>
  </w:style>
  <w:style w:type="table" w:customStyle="1" w:styleId="14">
    <w:name w:val="Сетка таблицы1"/>
    <w:basedOn w:val="a4"/>
    <w:next w:val="a6"/>
    <w:rsid w:val="004356E2"/>
    <w:rPr>
      <w:rFonts w:ascii="Tms Rmn" w:eastAsia="Times New Roma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a1"/>
    <w:uiPriority w:val="99"/>
    <w:rsid w:val="004356E2"/>
    <w:pPr>
      <w:autoSpaceDE w:val="0"/>
      <w:autoSpaceDN w:val="0"/>
      <w:spacing w:after="120" w:line="240" w:lineRule="atLeast"/>
    </w:pPr>
    <w:rPr>
      <w:rFonts w:ascii="Univers LT Std 45 Light" w:eastAsia="Calibri" w:hAnsi="Univers LT Std 45 Light"/>
      <w:color w:val="000000"/>
      <w:sz w:val="19"/>
      <w:szCs w:val="19"/>
      <w:lang w:val="ru-RU" w:eastAsia="en-NZ"/>
    </w:rPr>
  </w:style>
  <w:style w:type="paragraph" w:customStyle="1" w:styleId="NoParagraphStyle">
    <w:name w:val="[No Paragraph Style]"/>
    <w:rsid w:val="004356E2"/>
    <w:pPr>
      <w:widowControl w:val="0"/>
      <w:autoSpaceDE w:val="0"/>
      <w:autoSpaceDN w:val="0"/>
      <w:adjustRightInd w:val="0"/>
      <w:spacing w:line="288" w:lineRule="auto"/>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4356E2"/>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a1"/>
    <w:uiPriority w:val="99"/>
    <w:rsid w:val="004356E2"/>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eastAsia="en-NZ"/>
    </w:rPr>
  </w:style>
  <w:style w:type="paragraph" w:customStyle="1" w:styleId="TableHeadSpreads">
    <w:name w:val="Table Head (Spreads)"/>
    <w:basedOn w:val="a1"/>
    <w:uiPriority w:val="99"/>
    <w:rsid w:val="004356E2"/>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eastAsia="en-NZ"/>
    </w:rPr>
  </w:style>
  <w:style w:type="character" w:customStyle="1" w:styleId="LightBluebold">
    <w:name w:val="Light Blue bold"/>
    <w:uiPriority w:val="99"/>
    <w:rsid w:val="004356E2"/>
    <w:rPr>
      <w:rFonts w:ascii="Univers LT Std 45 Light" w:hAnsi="Univers LT Std 45 Light" w:cs="Univers LT Std 45 Light"/>
      <w:b/>
      <w:bCs/>
      <w:color w:val="0091DA"/>
    </w:rPr>
  </w:style>
  <w:style w:type="character" w:customStyle="1" w:styleId="tlid-translation">
    <w:name w:val="tlid-translation"/>
    <w:basedOn w:val="a3"/>
    <w:rsid w:val="004356E2"/>
  </w:style>
  <w:style w:type="paragraph" w:styleId="a0">
    <w:name w:val="Subtitle"/>
    <w:basedOn w:val="a2"/>
    <w:next w:val="a1"/>
    <w:link w:val="aff5"/>
    <w:locked/>
    <w:rsid w:val="004356E2"/>
    <w:pPr>
      <w:numPr>
        <w:numId w:val="32"/>
      </w:numPr>
      <w:spacing w:before="120" w:line="240" w:lineRule="auto"/>
      <w:jc w:val="both"/>
    </w:pPr>
    <w:rPr>
      <w:rFonts w:ascii="Arial" w:eastAsia="Times New Roman" w:hAnsi="Arial"/>
      <w:lang w:val="ru-RU" w:eastAsia="en-US"/>
    </w:rPr>
  </w:style>
  <w:style w:type="character" w:customStyle="1" w:styleId="aff5">
    <w:name w:val="Подзаголовок Знак"/>
    <w:basedOn w:val="a3"/>
    <w:link w:val="a0"/>
    <w:rsid w:val="004356E2"/>
    <w:rPr>
      <w:rFonts w:ascii="Arial" w:eastAsia="Times New Roman" w:hAnsi="Arial"/>
      <w:lang w:eastAsia="en-US"/>
    </w:rPr>
  </w:style>
  <w:style w:type="character" w:customStyle="1" w:styleId="PwCAddressChar">
    <w:name w:val="PwC Address Char"/>
    <w:basedOn w:val="a3"/>
    <w:link w:val="PwCAddress"/>
    <w:locked/>
    <w:rsid w:val="004356E2"/>
    <w:rPr>
      <w:i/>
      <w:noProof/>
      <w:sz w:val="18"/>
      <w:lang w:eastAsia="en-GB"/>
    </w:rPr>
  </w:style>
  <w:style w:type="paragraph" w:customStyle="1" w:styleId="PwCAddress">
    <w:name w:val="PwC Address"/>
    <w:basedOn w:val="a1"/>
    <w:link w:val="PwCAddressChar"/>
    <w:qFormat/>
    <w:rsid w:val="004356E2"/>
    <w:pPr>
      <w:spacing w:after="0" w:line="200" w:lineRule="atLeast"/>
    </w:pPr>
    <w:rPr>
      <w:i/>
      <w:noProof/>
      <w:sz w:val="18"/>
      <w:szCs w:val="20"/>
      <w:lang w:val="ru-RU" w:eastAsia="en-GB"/>
    </w:rPr>
  </w:style>
  <w:style w:type="paragraph" w:customStyle="1" w:styleId="Continued">
    <w:name w:val="Continued"/>
    <w:basedOn w:val="a2"/>
    <w:link w:val="ContinuedChar"/>
    <w:qFormat/>
    <w:rsid w:val="004356E2"/>
    <w:pPr>
      <w:pageBreakBefore/>
      <w:spacing w:after="240" w:line="240" w:lineRule="auto"/>
      <w:ind w:left="567" w:hanging="567"/>
      <w:jc w:val="both"/>
    </w:pPr>
    <w:rPr>
      <w:rFonts w:ascii="Arial Bold" w:eastAsia="Times New Roman" w:hAnsi="Arial Bold"/>
      <w:b/>
      <w:bCs/>
      <w:caps/>
      <w:color w:val="00B6DA"/>
      <w:lang w:val="ru-RU" w:eastAsia="en-US"/>
    </w:rPr>
  </w:style>
  <w:style w:type="character" w:customStyle="1" w:styleId="ContinuedChar">
    <w:name w:val="Continued Char"/>
    <w:basedOn w:val="af3"/>
    <w:link w:val="Continued"/>
    <w:rsid w:val="004356E2"/>
    <w:rPr>
      <w:rFonts w:ascii="Arial Bold" w:eastAsia="Times New Roman" w:hAnsi="Arial Bold" w:cs="Times New Roman"/>
      <w:b/>
      <w:bCs/>
      <w:caps/>
      <w:color w:val="00B6DA"/>
      <w:lang w:eastAsia="en-US"/>
    </w:rPr>
  </w:style>
  <w:style w:type="paragraph" w:customStyle="1" w:styleId="15">
    <w:name w:val="Заголовок оглавления1"/>
    <w:basedOn w:val="1"/>
    <w:next w:val="a1"/>
    <w:uiPriority w:val="39"/>
    <w:unhideWhenUsed/>
    <w:qFormat/>
    <w:rsid w:val="004356E2"/>
    <w:pPr>
      <w:keepLines/>
      <w:widowControl w:val="0"/>
      <w:spacing w:after="0" w:line="259" w:lineRule="auto"/>
      <w:outlineLvl w:val="9"/>
    </w:pPr>
    <w:rPr>
      <w:rFonts w:ascii="Cambria" w:eastAsia="Times New Roman" w:hAnsi="Cambria"/>
      <w:b w:val="0"/>
      <w:bCs w:val="0"/>
      <w:color w:val="003E71"/>
      <w:kern w:val="0"/>
      <w:lang w:val="en-US" w:eastAsia="en-US"/>
    </w:rPr>
  </w:style>
  <w:style w:type="paragraph" w:customStyle="1" w:styleId="Condensed">
    <w:name w:val="Condensed_"/>
    <w:basedOn w:val="a1"/>
    <w:rsid w:val="004356E2"/>
    <w:pPr>
      <w:widowControl w:val="0"/>
      <w:autoSpaceDE w:val="0"/>
      <w:autoSpaceDN w:val="0"/>
      <w:adjustRightInd w:val="0"/>
      <w:spacing w:before="200" w:line="240" w:lineRule="auto"/>
      <w:jc w:val="both"/>
    </w:pPr>
    <w:rPr>
      <w:rFonts w:ascii="Arial" w:eastAsia="Times New Roman" w:hAnsi="Arial" w:cs="Arial"/>
      <w:spacing w:val="-4"/>
      <w:sz w:val="20"/>
      <w:szCs w:val="20"/>
      <w:lang w:val="en-US" w:eastAsia="en-US"/>
    </w:rPr>
  </w:style>
  <w:style w:type="paragraph" w:customStyle="1" w:styleId="Basic-Text">
    <w:name w:val="Basic-Text"/>
    <w:basedOn w:val="a1"/>
    <w:qFormat/>
    <w:rsid w:val="004356E2"/>
    <w:pPr>
      <w:widowControl w:val="0"/>
      <w:autoSpaceDE w:val="0"/>
      <w:autoSpaceDN w:val="0"/>
      <w:adjustRightInd w:val="0"/>
      <w:spacing w:before="200" w:line="240" w:lineRule="auto"/>
      <w:jc w:val="both"/>
    </w:pPr>
    <w:rPr>
      <w:rFonts w:ascii="Arial" w:eastAsia="Times New Roman" w:hAnsi="Arial" w:cs="Arial"/>
      <w:sz w:val="20"/>
      <w:szCs w:val="20"/>
      <w:lang w:val="en-US" w:eastAsia="en-US"/>
    </w:rPr>
  </w:style>
  <w:style w:type="paragraph" w:customStyle="1" w:styleId="bullets">
    <w:name w:val="bullets"/>
    <w:basedOn w:val="a0"/>
    <w:qFormat/>
    <w:rsid w:val="004356E2"/>
    <w:pPr>
      <w:widowControl w:val="0"/>
      <w:numPr>
        <w:numId w:val="34"/>
      </w:numPr>
      <w:spacing w:before="100" w:after="100"/>
      <w:ind w:left="567" w:hanging="567"/>
    </w:pPr>
    <w:rPr>
      <w:rFonts w:cs="Arial"/>
    </w:rPr>
  </w:style>
  <w:style w:type="paragraph" w:styleId="aff6">
    <w:name w:val="Closing"/>
    <w:basedOn w:val="a1"/>
    <w:link w:val="aff7"/>
    <w:semiHidden/>
    <w:unhideWhenUsed/>
    <w:rsid w:val="004356E2"/>
    <w:pPr>
      <w:spacing w:after="0" w:line="240" w:lineRule="auto"/>
      <w:ind w:left="4252"/>
    </w:pPr>
    <w:rPr>
      <w:rFonts w:ascii="Times New Roman" w:eastAsia="Times New Roman" w:hAnsi="Times New Roman"/>
      <w:sz w:val="24"/>
      <w:szCs w:val="24"/>
      <w:lang w:val="en-US" w:eastAsia="en-US"/>
    </w:rPr>
  </w:style>
  <w:style w:type="character" w:customStyle="1" w:styleId="aff7">
    <w:name w:val="Прощание Знак"/>
    <w:basedOn w:val="a3"/>
    <w:link w:val="aff6"/>
    <w:semiHidden/>
    <w:rsid w:val="004356E2"/>
    <w:rPr>
      <w:rFonts w:ascii="Times New Roman" w:eastAsia="Times New Roman" w:hAnsi="Times New Roman"/>
      <w:sz w:val="24"/>
      <w:szCs w:val="24"/>
      <w:lang w:val="en-US" w:eastAsia="en-US"/>
    </w:rPr>
  </w:style>
  <w:style w:type="numbering" w:customStyle="1" w:styleId="PwCListBullets1">
    <w:name w:val="PwC List Bullets 1"/>
    <w:uiPriority w:val="99"/>
    <w:rsid w:val="004356E2"/>
    <w:pPr>
      <w:numPr>
        <w:numId w:val="35"/>
      </w:numPr>
    </w:pPr>
  </w:style>
  <w:style w:type="paragraph" w:customStyle="1" w:styleId="ListBullet41">
    <w:name w:val="List Bullet 41"/>
    <w:basedOn w:val="a2"/>
    <w:next w:val="42"/>
    <w:uiPriority w:val="13"/>
    <w:unhideWhenUsed/>
    <w:rsid w:val="004356E2"/>
    <w:pPr>
      <w:tabs>
        <w:tab w:val="num" w:pos="20"/>
      </w:tabs>
      <w:spacing w:after="180" w:line="264" w:lineRule="auto"/>
      <w:ind w:hanging="964"/>
      <w:contextualSpacing/>
    </w:pPr>
    <w:rPr>
      <w:rFonts w:ascii="Georgia" w:eastAsia="Arial" w:hAnsi="Georgia" w:cs="Arial"/>
      <w:color w:val="000000"/>
      <w:szCs w:val="21"/>
      <w:lang w:val="ru-RU" w:eastAsia="ru-RU" w:bidi="ru-RU"/>
    </w:rPr>
  </w:style>
  <w:style w:type="paragraph" w:styleId="52">
    <w:name w:val="List Bullet 5"/>
    <w:basedOn w:val="a2"/>
    <w:uiPriority w:val="13"/>
    <w:unhideWhenUsed/>
    <w:rsid w:val="004356E2"/>
    <w:pPr>
      <w:tabs>
        <w:tab w:val="num" w:pos="1008"/>
      </w:tabs>
      <w:spacing w:after="240" w:line="240" w:lineRule="atLeast"/>
      <w:ind w:left="1008" w:hanging="1008"/>
      <w:contextualSpacing/>
    </w:pPr>
    <w:rPr>
      <w:rFonts w:ascii="Georgia" w:eastAsia="Arial" w:hAnsi="Georgia" w:cs="Arial"/>
      <w:lang w:val="ru-RU" w:eastAsia="ru-RU" w:bidi="ru-RU"/>
    </w:rPr>
  </w:style>
  <w:style w:type="paragraph" w:customStyle="1" w:styleId="TableBodyRowHeading">
    <w:name w:val="TableBodyRowHeading"/>
    <w:basedOn w:val="a2"/>
    <w:rsid w:val="004356E2"/>
    <w:pPr>
      <w:numPr>
        <w:numId w:val="36"/>
      </w:numPr>
      <w:tabs>
        <w:tab w:val="num" w:pos="6635"/>
      </w:tabs>
      <w:spacing w:after="240" w:line="240" w:lineRule="atLeast"/>
      <w:ind w:left="6635" w:hanging="964"/>
    </w:pPr>
    <w:rPr>
      <w:rFonts w:ascii="Georgia" w:eastAsia="Arial" w:hAnsi="Georgia" w:cs="Arial"/>
      <w:b/>
      <w:sz w:val="17"/>
      <w:lang w:val="ru-RU" w:eastAsia="ru-RU" w:bidi="ru-RU"/>
    </w:rPr>
  </w:style>
  <w:style w:type="table" w:customStyle="1" w:styleId="PwCTableFigures">
    <w:name w:val="PwC Table Figures"/>
    <w:basedOn w:val="a4"/>
    <w:uiPriority w:val="99"/>
    <w:qFormat/>
    <w:rsid w:val="004356E2"/>
    <w:rPr>
      <w:rFonts w:ascii="Arial" w:eastAsia="Arial" w:hAnsi="Arial"/>
      <w:lang w:eastAsia="ru-RU" w:bidi="ru-RU"/>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42">
    <w:name w:val="List Bullet 4"/>
    <w:basedOn w:val="a1"/>
    <w:semiHidden/>
    <w:unhideWhenUsed/>
    <w:rsid w:val="004356E2"/>
    <w:pPr>
      <w:spacing w:after="0" w:line="240" w:lineRule="auto"/>
      <w:contextualSpacing/>
    </w:pPr>
    <w:rPr>
      <w:rFonts w:ascii="Times New Roman" w:eastAsia="Times New Roman" w:hAnsi="Times New Roman"/>
      <w:sz w:val="24"/>
      <w:szCs w:val="24"/>
      <w:lang w:val="en-US" w:eastAsia="en-US"/>
    </w:rPr>
  </w:style>
  <w:style w:type="table" w:customStyle="1" w:styleId="TableGrid2">
    <w:name w:val="Table Grid2"/>
    <w:basedOn w:val="a4"/>
    <w:next w:val="a6"/>
    <w:uiPriority w:val="39"/>
    <w:rsid w:val="004356E2"/>
    <w:rPr>
      <w:rFonts w:ascii="Arial" w:eastAsia="Calibri"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3"/>
    <w:uiPriority w:val="99"/>
    <w:semiHidden/>
    <w:unhideWhenUsed/>
    <w:rsid w:val="002A6006"/>
    <w:rPr>
      <w:color w:val="605E5C"/>
      <w:shd w:val="clear" w:color="auto" w:fill="E1DFDD"/>
    </w:rPr>
  </w:style>
  <w:style w:type="paragraph" w:customStyle="1" w:styleId="P68B1DB1-Normal1">
    <w:name w:val="P68B1DB1-Normal1"/>
    <w:basedOn w:val="a1"/>
    <w:rsid w:val="00CD054C"/>
    <w:rPr>
      <w:rFonts w:asciiTheme="minorHAnsi" w:hAnsiTheme="minorHAnsi" w:cstheme="minorHAnsi"/>
      <w:b/>
      <w:szCs w:val="20"/>
      <w:lang w:val="en-CA" w:eastAsia="en-US"/>
    </w:rPr>
  </w:style>
  <w:style w:type="paragraph" w:customStyle="1" w:styleId="P68B1DB1-Normal2">
    <w:name w:val="P68B1DB1-Normal2"/>
    <w:basedOn w:val="a1"/>
    <w:rsid w:val="00CD054C"/>
    <w:rPr>
      <w:rFonts w:asciiTheme="minorHAnsi" w:hAnsiTheme="minorHAnsi" w:cstheme="minorHAnsi"/>
      <w:szCs w:val="20"/>
      <w:lang w:val="en-CA" w:eastAsia="en-US"/>
    </w:rPr>
  </w:style>
  <w:style w:type="paragraph" w:customStyle="1" w:styleId="P68B1DB1-13">
    <w:name w:val="P68B1DB1-13"/>
    <w:basedOn w:val="12"/>
    <w:rsid w:val="00CD054C"/>
    <w:rPr>
      <w:b/>
      <w:szCs w:val="20"/>
      <w:lang w:val="en-CA" w:eastAsia="en-US"/>
    </w:rPr>
  </w:style>
  <w:style w:type="paragraph" w:customStyle="1" w:styleId="P68B1DB1-Normal4">
    <w:name w:val="P68B1DB1-Normal4"/>
    <w:basedOn w:val="a1"/>
    <w:rsid w:val="00CD054C"/>
    <w:rPr>
      <w:rFonts w:ascii="Foco" w:eastAsia="Times New Roman"/>
      <w:b/>
      <w:color w:val="FFFFFF"/>
      <w:sz w:val="24"/>
      <w:szCs w:val="20"/>
      <w:lang w:val="en-CA" w:eastAsia="en-US"/>
    </w:rPr>
  </w:style>
  <w:style w:type="paragraph" w:customStyle="1" w:styleId="P68B1DB1-Normal5">
    <w:name w:val="P68B1DB1-Normal5"/>
    <w:basedOn w:val="a1"/>
    <w:rsid w:val="00CD054C"/>
    <w:rPr>
      <w:rFonts w:eastAsia="Times New Roman" w:cs="Calibri"/>
      <w:b/>
      <w:color w:val="000000"/>
      <w:sz w:val="20"/>
      <w:szCs w:val="20"/>
      <w:lang w:val="en-CA" w:eastAsia="en-US"/>
    </w:rPr>
  </w:style>
  <w:style w:type="paragraph" w:customStyle="1" w:styleId="P68B1DB1-Normal6">
    <w:name w:val="P68B1DB1-Normal6"/>
    <w:basedOn w:val="a1"/>
    <w:rsid w:val="00CD054C"/>
    <w:rPr>
      <w:rFonts w:ascii="Foco" w:eastAsia="Times New Roman" w:hAnsi="Foco" w:cs="Foco"/>
      <w:b/>
      <w:color w:val="000000"/>
      <w:sz w:val="18"/>
      <w:szCs w:val="20"/>
      <w:lang w:val="en-CA" w:eastAsia="en-US"/>
    </w:rPr>
  </w:style>
  <w:style w:type="paragraph" w:customStyle="1" w:styleId="P68B1DB1-Normal7">
    <w:name w:val="P68B1DB1-Normal7"/>
    <w:basedOn w:val="a1"/>
    <w:rsid w:val="00CD054C"/>
    <w:rPr>
      <w:rFonts w:ascii="Foco" w:eastAsia="Times New Roman"/>
      <w:b/>
      <w:color w:val="000000"/>
      <w:sz w:val="18"/>
      <w:szCs w:val="20"/>
      <w:lang w:val="en-CA" w:eastAsia="en-US"/>
    </w:rPr>
  </w:style>
  <w:style w:type="paragraph" w:customStyle="1" w:styleId="P68B1DB1-Normal8">
    <w:name w:val="P68B1DB1-Normal8"/>
    <w:basedOn w:val="a1"/>
    <w:rsid w:val="00CD054C"/>
    <w:rPr>
      <w:rFonts w:eastAsia="Times New Roman" w:cs="Calibri"/>
      <w:color w:val="000000"/>
      <w:sz w:val="20"/>
      <w:szCs w:val="20"/>
      <w:lang w:val="en-CA" w:eastAsia="en-US"/>
    </w:rPr>
  </w:style>
  <w:style w:type="paragraph" w:customStyle="1" w:styleId="P68B1DB1-Normal9">
    <w:name w:val="P68B1DB1-Normal9"/>
    <w:basedOn w:val="a1"/>
    <w:rsid w:val="00CD054C"/>
    <w:rPr>
      <w:rFonts w:ascii="Foco" w:eastAsia="Times New Roman" w:hAnsi="Foco" w:cs="Foco"/>
      <w:color w:val="000000"/>
      <w:sz w:val="18"/>
      <w:szCs w:val="20"/>
      <w:lang w:val="en-CA" w:eastAsia="en-US"/>
    </w:rPr>
  </w:style>
  <w:style w:type="paragraph" w:customStyle="1" w:styleId="P68B1DB1-Normal10">
    <w:name w:val="P68B1DB1-Normal10"/>
    <w:basedOn w:val="a1"/>
    <w:rsid w:val="00CD054C"/>
    <w:rPr>
      <w:rFonts w:ascii="Foco" w:eastAsia="Times New Roman" w:hAnsi="Foco" w:cs="Foco"/>
      <w:i/>
      <w:color w:val="000000"/>
      <w:sz w:val="18"/>
      <w:szCs w:val="20"/>
      <w:lang w:val="en-CA" w:eastAsia="en-US"/>
    </w:rPr>
  </w:style>
  <w:style w:type="paragraph" w:customStyle="1" w:styleId="P68B1DB1-Normal11">
    <w:name w:val="P68B1DB1-Normal11"/>
    <w:basedOn w:val="a1"/>
    <w:rsid w:val="00CD054C"/>
    <w:rPr>
      <w:rFonts w:eastAsia="Times New Roman" w:cs="Calibri"/>
      <w:i/>
      <w:color w:val="000000"/>
      <w:sz w:val="20"/>
      <w:szCs w:val="20"/>
      <w:lang w:val="en-CA" w:eastAsia="en-US"/>
    </w:rPr>
  </w:style>
  <w:style w:type="paragraph" w:customStyle="1" w:styleId="P68B1DB1-Normal12">
    <w:name w:val="P68B1DB1-Normal12"/>
    <w:basedOn w:val="a1"/>
    <w:rsid w:val="00CD054C"/>
    <w:rPr>
      <w:rFonts w:eastAsia="Times New Roman" w:cs="Calibri"/>
      <w:color w:val="000000"/>
      <w:sz w:val="18"/>
      <w:szCs w:val="20"/>
      <w:lang w:val="en-CA" w:eastAsia="en-US"/>
    </w:rPr>
  </w:style>
  <w:style w:type="paragraph" w:customStyle="1" w:styleId="P68B1DB1-Normal13">
    <w:name w:val="P68B1DB1-Normal13"/>
    <w:basedOn w:val="a1"/>
    <w:rsid w:val="00CD054C"/>
    <w:rPr>
      <w:rFonts w:eastAsia="Times New Roman" w:cs="Calibri"/>
      <w:color w:val="004993"/>
      <w:szCs w:val="20"/>
      <w:lang w:val="en-CA" w:eastAsia="en-US"/>
    </w:rPr>
  </w:style>
  <w:style w:type="paragraph" w:customStyle="1" w:styleId="P68B1DB1-Normal14">
    <w:name w:val="P68B1DB1-Normal14"/>
    <w:basedOn w:val="a1"/>
    <w:rsid w:val="00CD054C"/>
    <w:rPr>
      <w:rFonts w:eastAsia="Times New Roman" w:cs="Calibri"/>
      <w:b/>
      <w:color w:val="FFFFFF"/>
      <w:sz w:val="24"/>
      <w:szCs w:val="20"/>
      <w:lang w:val="en-CA" w:eastAsia="en-US"/>
    </w:rPr>
  </w:style>
  <w:style w:type="paragraph" w:customStyle="1" w:styleId="P68B1DB1-Normal15">
    <w:name w:val="P68B1DB1-Normal15"/>
    <w:basedOn w:val="a1"/>
    <w:rsid w:val="00CD054C"/>
    <w:rPr>
      <w:rFonts w:ascii="Foco" w:eastAsia="Times New Roman" w:hAnsi="Foco" w:cs="Foco"/>
      <w:b/>
      <w:color w:val="FFFFFF"/>
      <w:sz w:val="24"/>
      <w:szCs w:val="20"/>
      <w:lang w:val="en-CA" w:eastAsia="en-US"/>
    </w:rPr>
  </w:style>
  <w:style w:type="paragraph" w:customStyle="1" w:styleId="P68B1DB1-Normal16">
    <w:name w:val="P68B1DB1-Normal16"/>
    <w:basedOn w:val="a1"/>
    <w:rsid w:val="00CD054C"/>
    <w:rPr>
      <w:rFonts w:eastAsia="Times New Roman" w:cs="Calibri"/>
      <w:b/>
      <w:color w:val="000000"/>
      <w:sz w:val="18"/>
      <w:szCs w:val="20"/>
      <w:lang w:val="en-CA" w:eastAsia="en-US"/>
    </w:rPr>
  </w:style>
  <w:style w:type="paragraph" w:customStyle="1" w:styleId="P68B1DB1-Normal17">
    <w:name w:val="P68B1DB1-Normal17"/>
    <w:basedOn w:val="a1"/>
    <w:rsid w:val="00CD054C"/>
    <w:rPr>
      <w:rFonts w:ascii="Foco" w:eastAsia="Times New Roman" w:hAnsi="Foco" w:cs="Foco"/>
      <w:b/>
      <w:i/>
      <w:color w:val="000000"/>
      <w:sz w:val="18"/>
      <w:szCs w:val="20"/>
      <w:lang w:val="en-CA" w:eastAsia="en-US"/>
    </w:rPr>
  </w:style>
  <w:style w:type="paragraph" w:customStyle="1" w:styleId="P68B1DB1-Footer18">
    <w:name w:val="P68B1DB1-Footer18"/>
    <w:basedOn w:val="aa"/>
    <w:rsid w:val="00CD054C"/>
    <w:rPr>
      <w:rFonts w:asciiTheme="minorHAnsi" w:hAnsiTheme="minorHAnsi" w:cstheme="minorHAnsi"/>
      <w:i/>
      <w:sz w:val="18"/>
      <w:lang w:val="en-CA" w:eastAsia="en-US"/>
    </w:rPr>
  </w:style>
  <w:style w:type="paragraph" w:customStyle="1" w:styleId="P68B1DB1-Normal19">
    <w:name w:val="P68B1DB1-Normal19"/>
    <w:basedOn w:val="a1"/>
    <w:rsid w:val="00CD054C"/>
    <w:rPr>
      <w:b/>
      <w:szCs w:val="20"/>
      <w:lang w:val="en-CA" w:eastAsia="en-US"/>
    </w:rPr>
  </w:style>
  <w:style w:type="paragraph" w:customStyle="1" w:styleId="P68B1DB1-Normal20">
    <w:name w:val="P68B1DB1-Normal20"/>
    <w:basedOn w:val="a1"/>
    <w:rsid w:val="00CD054C"/>
    <w:rPr>
      <w:rFonts w:asciiTheme="minorHAnsi" w:hAnsiTheme="minorHAnsi"/>
      <w:szCs w:val="20"/>
      <w:lang w:val="en-CA" w:eastAsia="en-US"/>
    </w:rPr>
  </w:style>
  <w:style w:type="paragraph" w:customStyle="1" w:styleId="P68B1DB1-Normal22">
    <w:name w:val="P68B1DB1-Normal22"/>
    <w:basedOn w:val="a1"/>
    <w:rsid w:val="008F2D19"/>
    <w:rPr>
      <w:b/>
      <w:sz w:val="20"/>
      <w:szCs w:val="20"/>
      <w:u w:color="00000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21">
      <w:bodyDiv w:val="1"/>
      <w:marLeft w:val="0"/>
      <w:marRight w:val="0"/>
      <w:marTop w:val="0"/>
      <w:marBottom w:val="0"/>
      <w:divBdr>
        <w:top w:val="none" w:sz="0" w:space="0" w:color="auto"/>
        <w:left w:val="none" w:sz="0" w:space="0" w:color="auto"/>
        <w:bottom w:val="none" w:sz="0" w:space="0" w:color="auto"/>
        <w:right w:val="none" w:sz="0" w:space="0" w:color="auto"/>
      </w:divBdr>
    </w:div>
    <w:div w:id="22444302">
      <w:bodyDiv w:val="1"/>
      <w:marLeft w:val="0"/>
      <w:marRight w:val="0"/>
      <w:marTop w:val="0"/>
      <w:marBottom w:val="0"/>
      <w:divBdr>
        <w:top w:val="none" w:sz="0" w:space="0" w:color="auto"/>
        <w:left w:val="none" w:sz="0" w:space="0" w:color="auto"/>
        <w:bottom w:val="none" w:sz="0" w:space="0" w:color="auto"/>
        <w:right w:val="none" w:sz="0" w:space="0" w:color="auto"/>
      </w:divBdr>
    </w:div>
    <w:div w:id="63071155">
      <w:bodyDiv w:val="1"/>
      <w:marLeft w:val="0"/>
      <w:marRight w:val="0"/>
      <w:marTop w:val="0"/>
      <w:marBottom w:val="0"/>
      <w:divBdr>
        <w:top w:val="none" w:sz="0" w:space="0" w:color="auto"/>
        <w:left w:val="none" w:sz="0" w:space="0" w:color="auto"/>
        <w:bottom w:val="none" w:sz="0" w:space="0" w:color="auto"/>
        <w:right w:val="none" w:sz="0" w:space="0" w:color="auto"/>
      </w:divBdr>
    </w:div>
    <w:div w:id="73747213">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9201559">
      <w:bodyDiv w:val="1"/>
      <w:marLeft w:val="0"/>
      <w:marRight w:val="0"/>
      <w:marTop w:val="0"/>
      <w:marBottom w:val="0"/>
      <w:divBdr>
        <w:top w:val="none" w:sz="0" w:space="0" w:color="auto"/>
        <w:left w:val="none" w:sz="0" w:space="0" w:color="auto"/>
        <w:bottom w:val="none" w:sz="0" w:space="0" w:color="auto"/>
        <w:right w:val="none" w:sz="0" w:space="0" w:color="auto"/>
      </w:divBdr>
    </w:div>
    <w:div w:id="109209022">
      <w:bodyDiv w:val="1"/>
      <w:marLeft w:val="0"/>
      <w:marRight w:val="0"/>
      <w:marTop w:val="0"/>
      <w:marBottom w:val="0"/>
      <w:divBdr>
        <w:top w:val="none" w:sz="0" w:space="0" w:color="auto"/>
        <w:left w:val="none" w:sz="0" w:space="0" w:color="auto"/>
        <w:bottom w:val="none" w:sz="0" w:space="0" w:color="auto"/>
        <w:right w:val="none" w:sz="0" w:space="0" w:color="auto"/>
      </w:divBdr>
    </w:div>
    <w:div w:id="125973695">
      <w:bodyDiv w:val="1"/>
      <w:marLeft w:val="0"/>
      <w:marRight w:val="0"/>
      <w:marTop w:val="0"/>
      <w:marBottom w:val="0"/>
      <w:divBdr>
        <w:top w:val="none" w:sz="0" w:space="0" w:color="auto"/>
        <w:left w:val="none" w:sz="0" w:space="0" w:color="auto"/>
        <w:bottom w:val="none" w:sz="0" w:space="0" w:color="auto"/>
        <w:right w:val="none" w:sz="0" w:space="0" w:color="auto"/>
      </w:divBdr>
    </w:div>
    <w:div w:id="129055798">
      <w:bodyDiv w:val="1"/>
      <w:marLeft w:val="0"/>
      <w:marRight w:val="0"/>
      <w:marTop w:val="0"/>
      <w:marBottom w:val="0"/>
      <w:divBdr>
        <w:top w:val="none" w:sz="0" w:space="0" w:color="auto"/>
        <w:left w:val="none" w:sz="0" w:space="0" w:color="auto"/>
        <w:bottom w:val="none" w:sz="0" w:space="0" w:color="auto"/>
        <w:right w:val="none" w:sz="0" w:space="0" w:color="auto"/>
      </w:divBdr>
    </w:div>
    <w:div w:id="130902426">
      <w:bodyDiv w:val="1"/>
      <w:marLeft w:val="0"/>
      <w:marRight w:val="0"/>
      <w:marTop w:val="0"/>
      <w:marBottom w:val="0"/>
      <w:divBdr>
        <w:top w:val="none" w:sz="0" w:space="0" w:color="auto"/>
        <w:left w:val="none" w:sz="0" w:space="0" w:color="auto"/>
        <w:bottom w:val="none" w:sz="0" w:space="0" w:color="auto"/>
        <w:right w:val="none" w:sz="0" w:space="0" w:color="auto"/>
      </w:divBdr>
    </w:div>
    <w:div w:id="144199095">
      <w:bodyDiv w:val="1"/>
      <w:marLeft w:val="0"/>
      <w:marRight w:val="0"/>
      <w:marTop w:val="0"/>
      <w:marBottom w:val="0"/>
      <w:divBdr>
        <w:top w:val="none" w:sz="0" w:space="0" w:color="auto"/>
        <w:left w:val="none" w:sz="0" w:space="0" w:color="auto"/>
        <w:bottom w:val="none" w:sz="0" w:space="0" w:color="auto"/>
        <w:right w:val="none" w:sz="0" w:space="0" w:color="auto"/>
      </w:divBdr>
    </w:div>
    <w:div w:id="151794279">
      <w:bodyDiv w:val="1"/>
      <w:marLeft w:val="0"/>
      <w:marRight w:val="0"/>
      <w:marTop w:val="0"/>
      <w:marBottom w:val="0"/>
      <w:divBdr>
        <w:top w:val="none" w:sz="0" w:space="0" w:color="auto"/>
        <w:left w:val="none" w:sz="0" w:space="0" w:color="auto"/>
        <w:bottom w:val="none" w:sz="0" w:space="0" w:color="auto"/>
        <w:right w:val="none" w:sz="0" w:space="0" w:color="auto"/>
      </w:divBdr>
    </w:div>
    <w:div w:id="155387140">
      <w:bodyDiv w:val="1"/>
      <w:marLeft w:val="0"/>
      <w:marRight w:val="0"/>
      <w:marTop w:val="0"/>
      <w:marBottom w:val="0"/>
      <w:divBdr>
        <w:top w:val="none" w:sz="0" w:space="0" w:color="auto"/>
        <w:left w:val="none" w:sz="0" w:space="0" w:color="auto"/>
        <w:bottom w:val="none" w:sz="0" w:space="0" w:color="auto"/>
        <w:right w:val="none" w:sz="0" w:space="0" w:color="auto"/>
      </w:divBdr>
    </w:div>
    <w:div w:id="170803981">
      <w:bodyDiv w:val="1"/>
      <w:marLeft w:val="0"/>
      <w:marRight w:val="0"/>
      <w:marTop w:val="0"/>
      <w:marBottom w:val="0"/>
      <w:divBdr>
        <w:top w:val="none" w:sz="0" w:space="0" w:color="auto"/>
        <w:left w:val="none" w:sz="0" w:space="0" w:color="auto"/>
        <w:bottom w:val="none" w:sz="0" w:space="0" w:color="auto"/>
        <w:right w:val="none" w:sz="0" w:space="0" w:color="auto"/>
      </w:divBdr>
    </w:div>
    <w:div w:id="178744171">
      <w:bodyDiv w:val="1"/>
      <w:marLeft w:val="0"/>
      <w:marRight w:val="0"/>
      <w:marTop w:val="0"/>
      <w:marBottom w:val="0"/>
      <w:divBdr>
        <w:top w:val="none" w:sz="0" w:space="0" w:color="auto"/>
        <w:left w:val="none" w:sz="0" w:space="0" w:color="auto"/>
        <w:bottom w:val="none" w:sz="0" w:space="0" w:color="auto"/>
        <w:right w:val="none" w:sz="0" w:space="0" w:color="auto"/>
      </w:divBdr>
    </w:div>
    <w:div w:id="182012268">
      <w:bodyDiv w:val="1"/>
      <w:marLeft w:val="0"/>
      <w:marRight w:val="0"/>
      <w:marTop w:val="0"/>
      <w:marBottom w:val="0"/>
      <w:divBdr>
        <w:top w:val="none" w:sz="0" w:space="0" w:color="auto"/>
        <w:left w:val="none" w:sz="0" w:space="0" w:color="auto"/>
        <w:bottom w:val="none" w:sz="0" w:space="0" w:color="auto"/>
        <w:right w:val="none" w:sz="0" w:space="0" w:color="auto"/>
      </w:divBdr>
    </w:div>
    <w:div w:id="213002990">
      <w:bodyDiv w:val="1"/>
      <w:marLeft w:val="0"/>
      <w:marRight w:val="0"/>
      <w:marTop w:val="0"/>
      <w:marBottom w:val="0"/>
      <w:divBdr>
        <w:top w:val="none" w:sz="0" w:space="0" w:color="auto"/>
        <w:left w:val="none" w:sz="0" w:space="0" w:color="auto"/>
        <w:bottom w:val="none" w:sz="0" w:space="0" w:color="auto"/>
        <w:right w:val="none" w:sz="0" w:space="0" w:color="auto"/>
      </w:divBdr>
    </w:div>
    <w:div w:id="227882677">
      <w:bodyDiv w:val="1"/>
      <w:marLeft w:val="0"/>
      <w:marRight w:val="0"/>
      <w:marTop w:val="0"/>
      <w:marBottom w:val="0"/>
      <w:divBdr>
        <w:top w:val="none" w:sz="0" w:space="0" w:color="auto"/>
        <w:left w:val="none" w:sz="0" w:space="0" w:color="auto"/>
        <w:bottom w:val="none" w:sz="0" w:space="0" w:color="auto"/>
        <w:right w:val="none" w:sz="0" w:space="0" w:color="auto"/>
      </w:divBdr>
    </w:div>
    <w:div w:id="231934415">
      <w:bodyDiv w:val="1"/>
      <w:marLeft w:val="0"/>
      <w:marRight w:val="0"/>
      <w:marTop w:val="0"/>
      <w:marBottom w:val="0"/>
      <w:divBdr>
        <w:top w:val="none" w:sz="0" w:space="0" w:color="auto"/>
        <w:left w:val="none" w:sz="0" w:space="0" w:color="auto"/>
        <w:bottom w:val="none" w:sz="0" w:space="0" w:color="auto"/>
        <w:right w:val="none" w:sz="0" w:space="0" w:color="auto"/>
      </w:divBdr>
    </w:div>
    <w:div w:id="234363206">
      <w:bodyDiv w:val="1"/>
      <w:marLeft w:val="0"/>
      <w:marRight w:val="0"/>
      <w:marTop w:val="0"/>
      <w:marBottom w:val="0"/>
      <w:divBdr>
        <w:top w:val="none" w:sz="0" w:space="0" w:color="auto"/>
        <w:left w:val="none" w:sz="0" w:space="0" w:color="auto"/>
        <w:bottom w:val="none" w:sz="0" w:space="0" w:color="auto"/>
        <w:right w:val="none" w:sz="0" w:space="0" w:color="auto"/>
      </w:divBdr>
    </w:div>
    <w:div w:id="238636789">
      <w:bodyDiv w:val="1"/>
      <w:marLeft w:val="0"/>
      <w:marRight w:val="0"/>
      <w:marTop w:val="0"/>
      <w:marBottom w:val="0"/>
      <w:divBdr>
        <w:top w:val="none" w:sz="0" w:space="0" w:color="auto"/>
        <w:left w:val="none" w:sz="0" w:space="0" w:color="auto"/>
        <w:bottom w:val="none" w:sz="0" w:space="0" w:color="auto"/>
        <w:right w:val="none" w:sz="0" w:space="0" w:color="auto"/>
      </w:divBdr>
      <w:divsChild>
        <w:div w:id="590689">
          <w:marLeft w:val="0"/>
          <w:marRight w:val="0"/>
          <w:marTop w:val="0"/>
          <w:marBottom w:val="0"/>
          <w:divBdr>
            <w:top w:val="none" w:sz="0" w:space="0" w:color="auto"/>
            <w:left w:val="none" w:sz="0" w:space="0" w:color="auto"/>
            <w:bottom w:val="none" w:sz="0" w:space="0" w:color="auto"/>
            <w:right w:val="none" w:sz="0" w:space="0" w:color="auto"/>
          </w:divBdr>
        </w:div>
        <w:div w:id="140197526">
          <w:marLeft w:val="0"/>
          <w:marRight w:val="0"/>
          <w:marTop w:val="0"/>
          <w:marBottom w:val="0"/>
          <w:divBdr>
            <w:top w:val="none" w:sz="0" w:space="0" w:color="auto"/>
            <w:left w:val="none" w:sz="0" w:space="0" w:color="auto"/>
            <w:bottom w:val="none" w:sz="0" w:space="0" w:color="auto"/>
            <w:right w:val="none" w:sz="0" w:space="0" w:color="auto"/>
          </w:divBdr>
        </w:div>
        <w:div w:id="574246290">
          <w:marLeft w:val="0"/>
          <w:marRight w:val="0"/>
          <w:marTop w:val="0"/>
          <w:marBottom w:val="0"/>
          <w:divBdr>
            <w:top w:val="none" w:sz="0" w:space="0" w:color="auto"/>
            <w:left w:val="none" w:sz="0" w:space="0" w:color="auto"/>
            <w:bottom w:val="none" w:sz="0" w:space="0" w:color="auto"/>
            <w:right w:val="none" w:sz="0" w:space="0" w:color="auto"/>
          </w:divBdr>
        </w:div>
      </w:divsChild>
    </w:div>
    <w:div w:id="238906943">
      <w:bodyDiv w:val="1"/>
      <w:marLeft w:val="0"/>
      <w:marRight w:val="0"/>
      <w:marTop w:val="0"/>
      <w:marBottom w:val="0"/>
      <w:divBdr>
        <w:top w:val="none" w:sz="0" w:space="0" w:color="auto"/>
        <w:left w:val="none" w:sz="0" w:space="0" w:color="auto"/>
        <w:bottom w:val="none" w:sz="0" w:space="0" w:color="auto"/>
        <w:right w:val="none" w:sz="0" w:space="0" w:color="auto"/>
      </w:divBdr>
    </w:div>
    <w:div w:id="255671484">
      <w:bodyDiv w:val="1"/>
      <w:marLeft w:val="0"/>
      <w:marRight w:val="0"/>
      <w:marTop w:val="0"/>
      <w:marBottom w:val="0"/>
      <w:divBdr>
        <w:top w:val="none" w:sz="0" w:space="0" w:color="auto"/>
        <w:left w:val="none" w:sz="0" w:space="0" w:color="auto"/>
        <w:bottom w:val="none" w:sz="0" w:space="0" w:color="auto"/>
        <w:right w:val="none" w:sz="0" w:space="0" w:color="auto"/>
      </w:divBdr>
    </w:div>
    <w:div w:id="272786326">
      <w:bodyDiv w:val="1"/>
      <w:marLeft w:val="0"/>
      <w:marRight w:val="0"/>
      <w:marTop w:val="0"/>
      <w:marBottom w:val="0"/>
      <w:divBdr>
        <w:top w:val="none" w:sz="0" w:space="0" w:color="auto"/>
        <w:left w:val="none" w:sz="0" w:space="0" w:color="auto"/>
        <w:bottom w:val="none" w:sz="0" w:space="0" w:color="auto"/>
        <w:right w:val="none" w:sz="0" w:space="0" w:color="auto"/>
      </w:divBdr>
    </w:div>
    <w:div w:id="287051279">
      <w:bodyDiv w:val="1"/>
      <w:marLeft w:val="0"/>
      <w:marRight w:val="0"/>
      <w:marTop w:val="0"/>
      <w:marBottom w:val="0"/>
      <w:divBdr>
        <w:top w:val="none" w:sz="0" w:space="0" w:color="auto"/>
        <w:left w:val="none" w:sz="0" w:space="0" w:color="auto"/>
        <w:bottom w:val="none" w:sz="0" w:space="0" w:color="auto"/>
        <w:right w:val="none" w:sz="0" w:space="0" w:color="auto"/>
      </w:divBdr>
    </w:div>
    <w:div w:id="291181519">
      <w:bodyDiv w:val="1"/>
      <w:marLeft w:val="0"/>
      <w:marRight w:val="0"/>
      <w:marTop w:val="0"/>
      <w:marBottom w:val="0"/>
      <w:divBdr>
        <w:top w:val="none" w:sz="0" w:space="0" w:color="auto"/>
        <w:left w:val="none" w:sz="0" w:space="0" w:color="auto"/>
        <w:bottom w:val="none" w:sz="0" w:space="0" w:color="auto"/>
        <w:right w:val="none" w:sz="0" w:space="0" w:color="auto"/>
      </w:divBdr>
    </w:div>
    <w:div w:id="300498925">
      <w:bodyDiv w:val="1"/>
      <w:marLeft w:val="0"/>
      <w:marRight w:val="0"/>
      <w:marTop w:val="0"/>
      <w:marBottom w:val="0"/>
      <w:divBdr>
        <w:top w:val="none" w:sz="0" w:space="0" w:color="auto"/>
        <w:left w:val="none" w:sz="0" w:space="0" w:color="auto"/>
        <w:bottom w:val="none" w:sz="0" w:space="0" w:color="auto"/>
        <w:right w:val="none" w:sz="0" w:space="0" w:color="auto"/>
      </w:divBdr>
    </w:div>
    <w:div w:id="317030191">
      <w:bodyDiv w:val="1"/>
      <w:marLeft w:val="0"/>
      <w:marRight w:val="0"/>
      <w:marTop w:val="0"/>
      <w:marBottom w:val="0"/>
      <w:divBdr>
        <w:top w:val="none" w:sz="0" w:space="0" w:color="auto"/>
        <w:left w:val="none" w:sz="0" w:space="0" w:color="auto"/>
        <w:bottom w:val="none" w:sz="0" w:space="0" w:color="auto"/>
        <w:right w:val="none" w:sz="0" w:space="0" w:color="auto"/>
      </w:divBdr>
    </w:div>
    <w:div w:id="334846841">
      <w:bodyDiv w:val="1"/>
      <w:marLeft w:val="0"/>
      <w:marRight w:val="0"/>
      <w:marTop w:val="0"/>
      <w:marBottom w:val="0"/>
      <w:divBdr>
        <w:top w:val="none" w:sz="0" w:space="0" w:color="auto"/>
        <w:left w:val="none" w:sz="0" w:space="0" w:color="auto"/>
        <w:bottom w:val="none" w:sz="0" w:space="0" w:color="auto"/>
        <w:right w:val="none" w:sz="0" w:space="0" w:color="auto"/>
      </w:divBdr>
    </w:div>
    <w:div w:id="336345341">
      <w:bodyDiv w:val="1"/>
      <w:marLeft w:val="0"/>
      <w:marRight w:val="0"/>
      <w:marTop w:val="0"/>
      <w:marBottom w:val="0"/>
      <w:divBdr>
        <w:top w:val="none" w:sz="0" w:space="0" w:color="auto"/>
        <w:left w:val="none" w:sz="0" w:space="0" w:color="auto"/>
        <w:bottom w:val="none" w:sz="0" w:space="0" w:color="auto"/>
        <w:right w:val="none" w:sz="0" w:space="0" w:color="auto"/>
      </w:divBdr>
    </w:div>
    <w:div w:id="338314105">
      <w:bodyDiv w:val="1"/>
      <w:marLeft w:val="0"/>
      <w:marRight w:val="0"/>
      <w:marTop w:val="0"/>
      <w:marBottom w:val="0"/>
      <w:divBdr>
        <w:top w:val="none" w:sz="0" w:space="0" w:color="auto"/>
        <w:left w:val="none" w:sz="0" w:space="0" w:color="auto"/>
        <w:bottom w:val="none" w:sz="0" w:space="0" w:color="auto"/>
        <w:right w:val="none" w:sz="0" w:space="0" w:color="auto"/>
      </w:divBdr>
    </w:div>
    <w:div w:id="347292274">
      <w:bodyDiv w:val="1"/>
      <w:marLeft w:val="0"/>
      <w:marRight w:val="0"/>
      <w:marTop w:val="0"/>
      <w:marBottom w:val="0"/>
      <w:divBdr>
        <w:top w:val="none" w:sz="0" w:space="0" w:color="auto"/>
        <w:left w:val="none" w:sz="0" w:space="0" w:color="auto"/>
        <w:bottom w:val="none" w:sz="0" w:space="0" w:color="auto"/>
        <w:right w:val="none" w:sz="0" w:space="0" w:color="auto"/>
      </w:divBdr>
    </w:div>
    <w:div w:id="351538534">
      <w:bodyDiv w:val="1"/>
      <w:marLeft w:val="0"/>
      <w:marRight w:val="0"/>
      <w:marTop w:val="0"/>
      <w:marBottom w:val="0"/>
      <w:divBdr>
        <w:top w:val="none" w:sz="0" w:space="0" w:color="auto"/>
        <w:left w:val="none" w:sz="0" w:space="0" w:color="auto"/>
        <w:bottom w:val="none" w:sz="0" w:space="0" w:color="auto"/>
        <w:right w:val="none" w:sz="0" w:space="0" w:color="auto"/>
      </w:divBdr>
    </w:div>
    <w:div w:id="353072027">
      <w:bodyDiv w:val="1"/>
      <w:marLeft w:val="0"/>
      <w:marRight w:val="0"/>
      <w:marTop w:val="0"/>
      <w:marBottom w:val="0"/>
      <w:divBdr>
        <w:top w:val="none" w:sz="0" w:space="0" w:color="auto"/>
        <w:left w:val="none" w:sz="0" w:space="0" w:color="auto"/>
        <w:bottom w:val="none" w:sz="0" w:space="0" w:color="auto"/>
        <w:right w:val="none" w:sz="0" w:space="0" w:color="auto"/>
      </w:divBdr>
    </w:div>
    <w:div w:id="365910154">
      <w:bodyDiv w:val="1"/>
      <w:marLeft w:val="0"/>
      <w:marRight w:val="0"/>
      <w:marTop w:val="0"/>
      <w:marBottom w:val="0"/>
      <w:divBdr>
        <w:top w:val="none" w:sz="0" w:space="0" w:color="auto"/>
        <w:left w:val="none" w:sz="0" w:space="0" w:color="auto"/>
        <w:bottom w:val="none" w:sz="0" w:space="0" w:color="auto"/>
        <w:right w:val="none" w:sz="0" w:space="0" w:color="auto"/>
      </w:divBdr>
    </w:div>
    <w:div w:id="374744339">
      <w:bodyDiv w:val="1"/>
      <w:marLeft w:val="0"/>
      <w:marRight w:val="0"/>
      <w:marTop w:val="0"/>
      <w:marBottom w:val="0"/>
      <w:divBdr>
        <w:top w:val="none" w:sz="0" w:space="0" w:color="auto"/>
        <w:left w:val="none" w:sz="0" w:space="0" w:color="auto"/>
        <w:bottom w:val="none" w:sz="0" w:space="0" w:color="auto"/>
        <w:right w:val="none" w:sz="0" w:space="0" w:color="auto"/>
      </w:divBdr>
    </w:div>
    <w:div w:id="387606103">
      <w:bodyDiv w:val="1"/>
      <w:marLeft w:val="0"/>
      <w:marRight w:val="0"/>
      <w:marTop w:val="0"/>
      <w:marBottom w:val="0"/>
      <w:divBdr>
        <w:top w:val="none" w:sz="0" w:space="0" w:color="auto"/>
        <w:left w:val="none" w:sz="0" w:space="0" w:color="auto"/>
        <w:bottom w:val="none" w:sz="0" w:space="0" w:color="auto"/>
        <w:right w:val="none" w:sz="0" w:space="0" w:color="auto"/>
      </w:divBdr>
    </w:div>
    <w:div w:id="393088404">
      <w:bodyDiv w:val="1"/>
      <w:marLeft w:val="0"/>
      <w:marRight w:val="0"/>
      <w:marTop w:val="0"/>
      <w:marBottom w:val="0"/>
      <w:divBdr>
        <w:top w:val="none" w:sz="0" w:space="0" w:color="auto"/>
        <w:left w:val="none" w:sz="0" w:space="0" w:color="auto"/>
        <w:bottom w:val="none" w:sz="0" w:space="0" w:color="auto"/>
        <w:right w:val="none" w:sz="0" w:space="0" w:color="auto"/>
      </w:divBdr>
    </w:div>
    <w:div w:id="411976701">
      <w:bodyDiv w:val="1"/>
      <w:marLeft w:val="0"/>
      <w:marRight w:val="0"/>
      <w:marTop w:val="0"/>
      <w:marBottom w:val="0"/>
      <w:divBdr>
        <w:top w:val="none" w:sz="0" w:space="0" w:color="auto"/>
        <w:left w:val="none" w:sz="0" w:space="0" w:color="auto"/>
        <w:bottom w:val="none" w:sz="0" w:space="0" w:color="auto"/>
        <w:right w:val="none" w:sz="0" w:space="0" w:color="auto"/>
      </w:divBdr>
    </w:div>
    <w:div w:id="418672008">
      <w:bodyDiv w:val="1"/>
      <w:marLeft w:val="0"/>
      <w:marRight w:val="0"/>
      <w:marTop w:val="0"/>
      <w:marBottom w:val="0"/>
      <w:divBdr>
        <w:top w:val="none" w:sz="0" w:space="0" w:color="auto"/>
        <w:left w:val="none" w:sz="0" w:space="0" w:color="auto"/>
        <w:bottom w:val="none" w:sz="0" w:space="0" w:color="auto"/>
        <w:right w:val="none" w:sz="0" w:space="0" w:color="auto"/>
      </w:divBdr>
    </w:div>
    <w:div w:id="432017852">
      <w:bodyDiv w:val="1"/>
      <w:marLeft w:val="0"/>
      <w:marRight w:val="0"/>
      <w:marTop w:val="0"/>
      <w:marBottom w:val="0"/>
      <w:divBdr>
        <w:top w:val="none" w:sz="0" w:space="0" w:color="auto"/>
        <w:left w:val="none" w:sz="0" w:space="0" w:color="auto"/>
        <w:bottom w:val="none" w:sz="0" w:space="0" w:color="auto"/>
        <w:right w:val="none" w:sz="0" w:space="0" w:color="auto"/>
      </w:divBdr>
    </w:div>
    <w:div w:id="438180674">
      <w:bodyDiv w:val="1"/>
      <w:marLeft w:val="0"/>
      <w:marRight w:val="0"/>
      <w:marTop w:val="0"/>
      <w:marBottom w:val="0"/>
      <w:divBdr>
        <w:top w:val="none" w:sz="0" w:space="0" w:color="auto"/>
        <w:left w:val="none" w:sz="0" w:space="0" w:color="auto"/>
        <w:bottom w:val="none" w:sz="0" w:space="0" w:color="auto"/>
        <w:right w:val="none" w:sz="0" w:space="0" w:color="auto"/>
      </w:divBdr>
    </w:div>
    <w:div w:id="440034076">
      <w:bodyDiv w:val="1"/>
      <w:marLeft w:val="0"/>
      <w:marRight w:val="0"/>
      <w:marTop w:val="0"/>
      <w:marBottom w:val="0"/>
      <w:divBdr>
        <w:top w:val="none" w:sz="0" w:space="0" w:color="auto"/>
        <w:left w:val="none" w:sz="0" w:space="0" w:color="auto"/>
        <w:bottom w:val="none" w:sz="0" w:space="0" w:color="auto"/>
        <w:right w:val="none" w:sz="0" w:space="0" w:color="auto"/>
      </w:divBdr>
    </w:div>
    <w:div w:id="440952201">
      <w:bodyDiv w:val="1"/>
      <w:marLeft w:val="0"/>
      <w:marRight w:val="0"/>
      <w:marTop w:val="0"/>
      <w:marBottom w:val="0"/>
      <w:divBdr>
        <w:top w:val="none" w:sz="0" w:space="0" w:color="auto"/>
        <w:left w:val="none" w:sz="0" w:space="0" w:color="auto"/>
        <w:bottom w:val="none" w:sz="0" w:space="0" w:color="auto"/>
        <w:right w:val="none" w:sz="0" w:space="0" w:color="auto"/>
      </w:divBdr>
    </w:div>
    <w:div w:id="445275317">
      <w:bodyDiv w:val="1"/>
      <w:marLeft w:val="0"/>
      <w:marRight w:val="0"/>
      <w:marTop w:val="0"/>
      <w:marBottom w:val="0"/>
      <w:divBdr>
        <w:top w:val="none" w:sz="0" w:space="0" w:color="auto"/>
        <w:left w:val="none" w:sz="0" w:space="0" w:color="auto"/>
        <w:bottom w:val="none" w:sz="0" w:space="0" w:color="auto"/>
        <w:right w:val="none" w:sz="0" w:space="0" w:color="auto"/>
      </w:divBdr>
    </w:div>
    <w:div w:id="472798812">
      <w:bodyDiv w:val="1"/>
      <w:marLeft w:val="0"/>
      <w:marRight w:val="0"/>
      <w:marTop w:val="0"/>
      <w:marBottom w:val="0"/>
      <w:divBdr>
        <w:top w:val="none" w:sz="0" w:space="0" w:color="auto"/>
        <w:left w:val="none" w:sz="0" w:space="0" w:color="auto"/>
        <w:bottom w:val="none" w:sz="0" w:space="0" w:color="auto"/>
        <w:right w:val="none" w:sz="0" w:space="0" w:color="auto"/>
      </w:divBdr>
    </w:div>
    <w:div w:id="497890287">
      <w:bodyDiv w:val="1"/>
      <w:marLeft w:val="0"/>
      <w:marRight w:val="0"/>
      <w:marTop w:val="0"/>
      <w:marBottom w:val="0"/>
      <w:divBdr>
        <w:top w:val="none" w:sz="0" w:space="0" w:color="auto"/>
        <w:left w:val="none" w:sz="0" w:space="0" w:color="auto"/>
        <w:bottom w:val="none" w:sz="0" w:space="0" w:color="auto"/>
        <w:right w:val="none" w:sz="0" w:space="0" w:color="auto"/>
      </w:divBdr>
    </w:div>
    <w:div w:id="515316563">
      <w:bodyDiv w:val="1"/>
      <w:marLeft w:val="0"/>
      <w:marRight w:val="0"/>
      <w:marTop w:val="0"/>
      <w:marBottom w:val="0"/>
      <w:divBdr>
        <w:top w:val="none" w:sz="0" w:space="0" w:color="auto"/>
        <w:left w:val="none" w:sz="0" w:space="0" w:color="auto"/>
        <w:bottom w:val="none" w:sz="0" w:space="0" w:color="auto"/>
        <w:right w:val="none" w:sz="0" w:space="0" w:color="auto"/>
      </w:divBdr>
    </w:div>
    <w:div w:id="523249340">
      <w:bodyDiv w:val="1"/>
      <w:marLeft w:val="0"/>
      <w:marRight w:val="0"/>
      <w:marTop w:val="0"/>
      <w:marBottom w:val="0"/>
      <w:divBdr>
        <w:top w:val="none" w:sz="0" w:space="0" w:color="auto"/>
        <w:left w:val="none" w:sz="0" w:space="0" w:color="auto"/>
        <w:bottom w:val="none" w:sz="0" w:space="0" w:color="auto"/>
        <w:right w:val="none" w:sz="0" w:space="0" w:color="auto"/>
      </w:divBdr>
      <w:divsChild>
        <w:div w:id="865406121">
          <w:marLeft w:val="0"/>
          <w:marRight w:val="0"/>
          <w:marTop w:val="0"/>
          <w:marBottom w:val="0"/>
          <w:divBdr>
            <w:top w:val="none" w:sz="0" w:space="0" w:color="auto"/>
            <w:left w:val="none" w:sz="0" w:space="0" w:color="auto"/>
            <w:bottom w:val="none" w:sz="0" w:space="0" w:color="auto"/>
            <w:right w:val="none" w:sz="0" w:space="0" w:color="auto"/>
          </w:divBdr>
          <w:divsChild>
            <w:div w:id="1673607420">
              <w:marLeft w:val="0"/>
              <w:marRight w:val="0"/>
              <w:marTop w:val="0"/>
              <w:marBottom w:val="0"/>
              <w:divBdr>
                <w:top w:val="none" w:sz="0" w:space="0" w:color="auto"/>
                <w:left w:val="none" w:sz="0" w:space="0" w:color="auto"/>
                <w:bottom w:val="none" w:sz="0" w:space="0" w:color="auto"/>
                <w:right w:val="none" w:sz="0" w:space="0" w:color="auto"/>
              </w:divBdr>
              <w:divsChild>
                <w:div w:id="1161508150">
                  <w:marLeft w:val="0"/>
                  <w:marRight w:val="0"/>
                  <w:marTop w:val="0"/>
                  <w:marBottom w:val="0"/>
                  <w:divBdr>
                    <w:top w:val="none" w:sz="0" w:space="0" w:color="auto"/>
                    <w:left w:val="none" w:sz="0" w:space="0" w:color="auto"/>
                    <w:bottom w:val="none" w:sz="0" w:space="0" w:color="auto"/>
                    <w:right w:val="none" w:sz="0" w:space="0" w:color="auto"/>
                  </w:divBdr>
                  <w:divsChild>
                    <w:div w:id="1883177879">
                      <w:marLeft w:val="0"/>
                      <w:marRight w:val="0"/>
                      <w:marTop w:val="0"/>
                      <w:marBottom w:val="0"/>
                      <w:divBdr>
                        <w:top w:val="none" w:sz="0" w:space="0" w:color="auto"/>
                        <w:left w:val="none" w:sz="0" w:space="0" w:color="auto"/>
                        <w:bottom w:val="none" w:sz="0" w:space="0" w:color="auto"/>
                        <w:right w:val="none" w:sz="0" w:space="0" w:color="auto"/>
                      </w:divBdr>
                      <w:divsChild>
                        <w:div w:id="336032415">
                          <w:marLeft w:val="0"/>
                          <w:marRight w:val="0"/>
                          <w:marTop w:val="0"/>
                          <w:marBottom w:val="0"/>
                          <w:divBdr>
                            <w:top w:val="none" w:sz="0" w:space="0" w:color="auto"/>
                            <w:left w:val="none" w:sz="0" w:space="0" w:color="auto"/>
                            <w:bottom w:val="none" w:sz="0" w:space="0" w:color="auto"/>
                            <w:right w:val="none" w:sz="0" w:space="0" w:color="auto"/>
                          </w:divBdr>
                          <w:divsChild>
                            <w:div w:id="1940336617">
                              <w:marLeft w:val="0"/>
                              <w:marRight w:val="0"/>
                              <w:marTop w:val="0"/>
                              <w:marBottom w:val="0"/>
                              <w:divBdr>
                                <w:top w:val="none" w:sz="0" w:space="0" w:color="auto"/>
                                <w:left w:val="none" w:sz="0" w:space="0" w:color="auto"/>
                                <w:bottom w:val="none" w:sz="0" w:space="0" w:color="auto"/>
                                <w:right w:val="none" w:sz="0" w:space="0" w:color="auto"/>
                              </w:divBdr>
                              <w:divsChild>
                                <w:div w:id="2098356767">
                                  <w:marLeft w:val="0"/>
                                  <w:marRight w:val="0"/>
                                  <w:marTop w:val="0"/>
                                  <w:marBottom w:val="0"/>
                                  <w:divBdr>
                                    <w:top w:val="none" w:sz="0" w:space="0" w:color="auto"/>
                                    <w:left w:val="none" w:sz="0" w:space="0" w:color="auto"/>
                                    <w:bottom w:val="none" w:sz="0" w:space="0" w:color="auto"/>
                                    <w:right w:val="none" w:sz="0" w:space="0" w:color="auto"/>
                                  </w:divBdr>
                                  <w:divsChild>
                                    <w:div w:id="2036148981">
                                      <w:marLeft w:val="0"/>
                                      <w:marRight w:val="0"/>
                                      <w:marTop w:val="0"/>
                                      <w:marBottom w:val="0"/>
                                      <w:divBdr>
                                        <w:top w:val="none" w:sz="0" w:space="0" w:color="auto"/>
                                        <w:left w:val="none" w:sz="0" w:space="0" w:color="auto"/>
                                        <w:bottom w:val="none" w:sz="0" w:space="0" w:color="auto"/>
                                        <w:right w:val="none" w:sz="0" w:space="0" w:color="auto"/>
                                      </w:divBdr>
                                      <w:divsChild>
                                        <w:div w:id="1530802636">
                                          <w:marLeft w:val="0"/>
                                          <w:marRight w:val="0"/>
                                          <w:marTop w:val="0"/>
                                          <w:marBottom w:val="0"/>
                                          <w:divBdr>
                                            <w:top w:val="none" w:sz="0" w:space="0" w:color="auto"/>
                                            <w:left w:val="none" w:sz="0" w:space="0" w:color="auto"/>
                                            <w:bottom w:val="none" w:sz="0" w:space="0" w:color="auto"/>
                                            <w:right w:val="none" w:sz="0" w:space="0" w:color="auto"/>
                                          </w:divBdr>
                                          <w:divsChild>
                                            <w:div w:id="147131602">
                                              <w:marLeft w:val="0"/>
                                              <w:marRight w:val="0"/>
                                              <w:marTop w:val="0"/>
                                              <w:marBottom w:val="0"/>
                                              <w:divBdr>
                                                <w:top w:val="none" w:sz="0" w:space="0" w:color="auto"/>
                                                <w:left w:val="none" w:sz="0" w:space="0" w:color="auto"/>
                                                <w:bottom w:val="none" w:sz="0" w:space="0" w:color="auto"/>
                                                <w:right w:val="none" w:sz="0" w:space="0" w:color="auto"/>
                                              </w:divBdr>
                                              <w:divsChild>
                                                <w:div w:id="5424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69">
      <w:bodyDiv w:val="1"/>
      <w:marLeft w:val="0"/>
      <w:marRight w:val="0"/>
      <w:marTop w:val="0"/>
      <w:marBottom w:val="0"/>
      <w:divBdr>
        <w:top w:val="none" w:sz="0" w:space="0" w:color="auto"/>
        <w:left w:val="none" w:sz="0" w:space="0" w:color="auto"/>
        <w:bottom w:val="none" w:sz="0" w:space="0" w:color="auto"/>
        <w:right w:val="none" w:sz="0" w:space="0" w:color="auto"/>
      </w:divBdr>
    </w:div>
    <w:div w:id="545610068">
      <w:bodyDiv w:val="1"/>
      <w:marLeft w:val="0"/>
      <w:marRight w:val="0"/>
      <w:marTop w:val="0"/>
      <w:marBottom w:val="0"/>
      <w:divBdr>
        <w:top w:val="none" w:sz="0" w:space="0" w:color="auto"/>
        <w:left w:val="none" w:sz="0" w:space="0" w:color="auto"/>
        <w:bottom w:val="none" w:sz="0" w:space="0" w:color="auto"/>
        <w:right w:val="none" w:sz="0" w:space="0" w:color="auto"/>
      </w:divBdr>
    </w:div>
    <w:div w:id="545683906">
      <w:bodyDiv w:val="1"/>
      <w:marLeft w:val="0"/>
      <w:marRight w:val="0"/>
      <w:marTop w:val="0"/>
      <w:marBottom w:val="0"/>
      <w:divBdr>
        <w:top w:val="none" w:sz="0" w:space="0" w:color="auto"/>
        <w:left w:val="none" w:sz="0" w:space="0" w:color="auto"/>
        <w:bottom w:val="none" w:sz="0" w:space="0" w:color="auto"/>
        <w:right w:val="none" w:sz="0" w:space="0" w:color="auto"/>
      </w:divBdr>
    </w:div>
    <w:div w:id="551886160">
      <w:bodyDiv w:val="1"/>
      <w:marLeft w:val="0"/>
      <w:marRight w:val="0"/>
      <w:marTop w:val="0"/>
      <w:marBottom w:val="0"/>
      <w:divBdr>
        <w:top w:val="none" w:sz="0" w:space="0" w:color="auto"/>
        <w:left w:val="none" w:sz="0" w:space="0" w:color="auto"/>
        <w:bottom w:val="none" w:sz="0" w:space="0" w:color="auto"/>
        <w:right w:val="none" w:sz="0" w:space="0" w:color="auto"/>
      </w:divBdr>
    </w:div>
    <w:div w:id="554245777">
      <w:bodyDiv w:val="1"/>
      <w:marLeft w:val="0"/>
      <w:marRight w:val="0"/>
      <w:marTop w:val="0"/>
      <w:marBottom w:val="0"/>
      <w:divBdr>
        <w:top w:val="none" w:sz="0" w:space="0" w:color="auto"/>
        <w:left w:val="none" w:sz="0" w:space="0" w:color="auto"/>
        <w:bottom w:val="none" w:sz="0" w:space="0" w:color="auto"/>
        <w:right w:val="none" w:sz="0" w:space="0" w:color="auto"/>
      </w:divBdr>
    </w:div>
    <w:div w:id="578253357">
      <w:bodyDiv w:val="1"/>
      <w:marLeft w:val="0"/>
      <w:marRight w:val="0"/>
      <w:marTop w:val="0"/>
      <w:marBottom w:val="0"/>
      <w:divBdr>
        <w:top w:val="none" w:sz="0" w:space="0" w:color="auto"/>
        <w:left w:val="none" w:sz="0" w:space="0" w:color="auto"/>
        <w:bottom w:val="none" w:sz="0" w:space="0" w:color="auto"/>
        <w:right w:val="none" w:sz="0" w:space="0" w:color="auto"/>
      </w:divBdr>
    </w:div>
    <w:div w:id="580604385">
      <w:bodyDiv w:val="1"/>
      <w:marLeft w:val="0"/>
      <w:marRight w:val="0"/>
      <w:marTop w:val="0"/>
      <w:marBottom w:val="0"/>
      <w:divBdr>
        <w:top w:val="none" w:sz="0" w:space="0" w:color="auto"/>
        <w:left w:val="none" w:sz="0" w:space="0" w:color="auto"/>
        <w:bottom w:val="none" w:sz="0" w:space="0" w:color="auto"/>
        <w:right w:val="none" w:sz="0" w:space="0" w:color="auto"/>
      </w:divBdr>
    </w:div>
    <w:div w:id="600534059">
      <w:bodyDiv w:val="1"/>
      <w:marLeft w:val="0"/>
      <w:marRight w:val="0"/>
      <w:marTop w:val="0"/>
      <w:marBottom w:val="0"/>
      <w:divBdr>
        <w:top w:val="none" w:sz="0" w:space="0" w:color="auto"/>
        <w:left w:val="none" w:sz="0" w:space="0" w:color="auto"/>
        <w:bottom w:val="none" w:sz="0" w:space="0" w:color="auto"/>
        <w:right w:val="none" w:sz="0" w:space="0" w:color="auto"/>
      </w:divBdr>
    </w:div>
    <w:div w:id="605313680">
      <w:bodyDiv w:val="1"/>
      <w:marLeft w:val="0"/>
      <w:marRight w:val="0"/>
      <w:marTop w:val="0"/>
      <w:marBottom w:val="0"/>
      <w:divBdr>
        <w:top w:val="none" w:sz="0" w:space="0" w:color="auto"/>
        <w:left w:val="none" w:sz="0" w:space="0" w:color="auto"/>
        <w:bottom w:val="none" w:sz="0" w:space="0" w:color="auto"/>
        <w:right w:val="none" w:sz="0" w:space="0" w:color="auto"/>
      </w:divBdr>
    </w:div>
    <w:div w:id="615598511">
      <w:bodyDiv w:val="1"/>
      <w:marLeft w:val="0"/>
      <w:marRight w:val="0"/>
      <w:marTop w:val="0"/>
      <w:marBottom w:val="0"/>
      <w:divBdr>
        <w:top w:val="none" w:sz="0" w:space="0" w:color="auto"/>
        <w:left w:val="none" w:sz="0" w:space="0" w:color="auto"/>
        <w:bottom w:val="none" w:sz="0" w:space="0" w:color="auto"/>
        <w:right w:val="none" w:sz="0" w:space="0" w:color="auto"/>
      </w:divBdr>
      <w:divsChild>
        <w:div w:id="985741372">
          <w:marLeft w:val="0"/>
          <w:marRight w:val="0"/>
          <w:marTop w:val="0"/>
          <w:marBottom w:val="0"/>
          <w:divBdr>
            <w:top w:val="none" w:sz="0" w:space="0" w:color="auto"/>
            <w:left w:val="none" w:sz="0" w:space="0" w:color="auto"/>
            <w:bottom w:val="none" w:sz="0" w:space="0" w:color="auto"/>
            <w:right w:val="none" w:sz="0" w:space="0" w:color="auto"/>
          </w:divBdr>
        </w:div>
        <w:div w:id="1623150583">
          <w:marLeft w:val="0"/>
          <w:marRight w:val="0"/>
          <w:marTop w:val="0"/>
          <w:marBottom w:val="0"/>
          <w:divBdr>
            <w:top w:val="none" w:sz="0" w:space="0" w:color="auto"/>
            <w:left w:val="none" w:sz="0" w:space="0" w:color="auto"/>
            <w:bottom w:val="none" w:sz="0" w:space="0" w:color="auto"/>
            <w:right w:val="none" w:sz="0" w:space="0" w:color="auto"/>
          </w:divBdr>
        </w:div>
        <w:div w:id="1698500313">
          <w:marLeft w:val="0"/>
          <w:marRight w:val="0"/>
          <w:marTop w:val="0"/>
          <w:marBottom w:val="0"/>
          <w:divBdr>
            <w:top w:val="none" w:sz="0" w:space="0" w:color="auto"/>
            <w:left w:val="none" w:sz="0" w:space="0" w:color="auto"/>
            <w:bottom w:val="none" w:sz="0" w:space="0" w:color="auto"/>
            <w:right w:val="none" w:sz="0" w:space="0" w:color="auto"/>
          </w:divBdr>
        </w:div>
      </w:divsChild>
    </w:div>
    <w:div w:id="620963136">
      <w:bodyDiv w:val="1"/>
      <w:marLeft w:val="0"/>
      <w:marRight w:val="0"/>
      <w:marTop w:val="0"/>
      <w:marBottom w:val="0"/>
      <w:divBdr>
        <w:top w:val="none" w:sz="0" w:space="0" w:color="auto"/>
        <w:left w:val="none" w:sz="0" w:space="0" w:color="auto"/>
        <w:bottom w:val="none" w:sz="0" w:space="0" w:color="auto"/>
        <w:right w:val="none" w:sz="0" w:space="0" w:color="auto"/>
      </w:divBdr>
    </w:div>
    <w:div w:id="629172735">
      <w:bodyDiv w:val="1"/>
      <w:marLeft w:val="0"/>
      <w:marRight w:val="0"/>
      <w:marTop w:val="0"/>
      <w:marBottom w:val="0"/>
      <w:divBdr>
        <w:top w:val="none" w:sz="0" w:space="0" w:color="auto"/>
        <w:left w:val="none" w:sz="0" w:space="0" w:color="auto"/>
        <w:bottom w:val="none" w:sz="0" w:space="0" w:color="auto"/>
        <w:right w:val="none" w:sz="0" w:space="0" w:color="auto"/>
      </w:divBdr>
    </w:div>
    <w:div w:id="636421648">
      <w:bodyDiv w:val="1"/>
      <w:marLeft w:val="0"/>
      <w:marRight w:val="0"/>
      <w:marTop w:val="0"/>
      <w:marBottom w:val="0"/>
      <w:divBdr>
        <w:top w:val="none" w:sz="0" w:space="0" w:color="auto"/>
        <w:left w:val="none" w:sz="0" w:space="0" w:color="auto"/>
        <w:bottom w:val="none" w:sz="0" w:space="0" w:color="auto"/>
        <w:right w:val="none" w:sz="0" w:space="0" w:color="auto"/>
      </w:divBdr>
    </w:div>
    <w:div w:id="670254295">
      <w:bodyDiv w:val="1"/>
      <w:marLeft w:val="0"/>
      <w:marRight w:val="0"/>
      <w:marTop w:val="0"/>
      <w:marBottom w:val="0"/>
      <w:divBdr>
        <w:top w:val="none" w:sz="0" w:space="0" w:color="auto"/>
        <w:left w:val="none" w:sz="0" w:space="0" w:color="auto"/>
        <w:bottom w:val="none" w:sz="0" w:space="0" w:color="auto"/>
        <w:right w:val="none" w:sz="0" w:space="0" w:color="auto"/>
      </w:divBdr>
    </w:div>
    <w:div w:id="675108464">
      <w:bodyDiv w:val="1"/>
      <w:marLeft w:val="0"/>
      <w:marRight w:val="0"/>
      <w:marTop w:val="0"/>
      <w:marBottom w:val="0"/>
      <w:divBdr>
        <w:top w:val="none" w:sz="0" w:space="0" w:color="auto"/>
        <w:left w:val="none" w:sz="0" w:space="0" w:color="auto"/>
        <w:bottom w:val="none" w:sz="0" w:space="0" w:color="auto"/>
        <w:right w:val="none" w:sz="0" w:space="0" w:color="auto"/>
      </w:divBdr>
    </w:div>
    <w:div w:id="675116119">
      <w:bodyDiv w:val="1"/>
      <w:marLeft w:val="0"/>
      <w:marRight w:val="0"/>
      <w:marTop w:val="0"/>
      <w:marBottom w:val="0"/>
      <w:divBdr>
        <w:top w:val="none" w:sz="0" w:space="0" w:color="auto"/>
        <w:left w:val="none" w:sz="0" w:space="0" w:color="auto"/>
        <w:bottom w:val="none" w:sz="0" w:space="0" w:color="auto"/>
        <w:right w:val="none" w:sz="0" w:space="0" w:color="auto"/>
      </w:divBdr>
    </w:div>
    <w:div w:id="688527754">
      <w:bodyDiv w:val="1"/>
      <w:marLeft w:val="0"/>
      <w:marRight w:val="0"/>
      <w:marTop w:val="0"/>
      <w:marBottom w:val="0"/>
      <w:divBdr>
        <w:top w:val="none" w:sz="0" w:space="0" w:color="auto"/>
        <w:left w:val="none" w:sz="0" w:space="0" w:color="auto"/>
        <w:bottom w:val="none" w:sz="0" w:space="0" w:color="auto"/>
        <w:right w:val="none" w:sz="0" w:space="0" w:color="auto"/>
      </w:divBdr>
    </w:div>
    <w:div w:id="690684067">
      <w:bodyDiv w:val="1"/>
      <w:marLeft w:val="0"/>
      <w:marRight w:val="0"/>
      <w:marTop w:val="0"/>
      <w:marBottom w:val="0"/>
      <w:divBdr>
        <w:top w:val="none" w:sz="0" w:space="0" w:color="auto"/>
        <w:left w:val="none" w:sz="0" w:space="0" w:color="auto"/>
        <w:bottom w:val="none" w:sz="0" w:space="0" w:color="auto"/>
        <w:right w:val="none" w:sz="0" w:space="0" w:color="auto"/>
      </w:divBdr>
    </w:div>
    <w:div w:id="726731524">
      <w:bodyDiv w:val="1"/>
      <w:marLeft w:val="0"/>
      <w:marRight w:val="0"/>
      <w:marTop w:val="0"/>
      <w:marBottom w:val="0"/>
      <w:divBdr>
        <w:top w:val="none" w:sz="0" w:space="0" w:color="auto"/>
        <w:left w:val="none" w:sz="0" w:space="0" w:color="auto"/>
        <w:bottom w:val="none" w:sz="0" w:space="0" w:color="auto"/>
        <w:right w:val="none" w:sz="0" w:space="0" w:color="auto"/>
      </w:divBdr>
      <w:divsChild>
        <w:div w:id="567763044">
          <w:marLeft w:val="374"/>
          <w:marRight w:val="0"/>
          <w:marTop w:val="0"/>
          <w:marBottom w:val="60"/>
          <w:divBdr>
            <w:top w:val="none" w:sz="0" w:space="0" w:color="auto"/>
            <w:left w:val="none" w:sz="0" w:space="0" w:color="auto"/>
            <w:bottom w:val="none" w:sz="0" w:space="0" w:color="auto"/>
            <w:right w:val="none" w:sz="0" w:space="0" w:color="auto"/>
          </w:divBdr>
        </w:div>
        <w:div w:id="616642621">
          <w:marLeft w:val="374"/>
          <w:marRight w:val="0"/>
          <w:marTop w:val="0"/>
          <w:marBottom w:val="60"/>
          <w:divBdr>
            <w:top w:val="none" w:sz="0" w:space="0" w:color="auto"/>
            <w:left w:val="none" w:sz="0" w:space="0" w:color="auto"/>
            <w:bottom w:val="none" w:sz="0" w:space="0" w:color="auto"/>
            <w:right w:val="none" w:sz="0" w:space="0" w:color="auto"/>
          </w:divBdr>
        </w:div>
        <w:div w:id="1474717089">
          <w:marLeft w:val="374"/>
          <w:marRight w:val="0"/>
          <w:marTop w:val="0"/>
          <w:marBottom w:val="60"/>
          <w:divBdr>
            <w:top w:val="none" w:sz="0" w:space="0" w:color="auto"/>
            <w:left w:val="none" w:sz="0" w:space="0" w:color="auto"/>
            <w:bottom w:val="none" w:sz="0" w:space="0" w:color="auto"/>
            <w:right w:val="none" w:sz="0" w:space="0" w:color="auto"/>
          </w:divBdr>
        </w:div>
        <w:div w:id="1761951055">
          <w:marLeft w:val="374"/>
          <w:marRight w:val="0"/>
          <w:marTop w:val="0"/>
          <w:marBottom w:val="60"/>
          <w:divBdr>
            <w:top w:val="none" w:sz="0" w:space="0" w:color="auto"/>
            <w:left w:val="none" w:sz="0" w:space="0" w:color="auto"/>
            <w:bottom w:val="none" w:sz="0" w:space="0" w:color="auto"/>
            <w:right w:val="none" w:sz="0" w:space="0" w:color="auto"/>
          </w:divBdr>
        </w:div>
        <w:div w:id="2077119918">
          <w:marLeft w:val="374"/>
          <w:marRight w:val="0"/>
          <w:marTop w:val="0"/>
          <w:marBottom w:val="60"/>
          <w:divBdr>
            <w:top w:val="none" w:sz="0" w:space="0" w:color="auto"/>
            <w:left w:val="none" w:sz="0" w:space="0" w:color="auto"/>
            <w:bottom w:val="none" w:sz="0" w:space="0" w:color="auto"/>
            <w:right w:val="none" w:sz="0" w:space="0" w:color="auto"/>
          </w:divBdr>
        </w:div>
      </w:divsChild>
    </w:div>
    <w:div w:id="748578419">
      <w:bodyDiv w:val="1"/>
      <w:marLeft w:val="0"/>
      <w:marRight w:val="0"/>
      <w:marTop w:val="0"/>
      <w:marBottom w:val="0"/>
      <w:divBdr>
        <w:top w:val="none" w:sz="0" w:space="0" w:color="auto"/>
        <w:left w:val="none" w:sz="0" w:space="0" w:color="auto"/>
        <w:bottom w:val="none" w:sz="0" w:space="0" w:color="auto"/>
        <w:right w:val="none" w:sz="0" w:space="0" w:color="auto"/>
      </w:divBdr>
    </w:div>
    <w:div w:id="751127823">
      <w:bodyDiv w:val="1"/>
      <w:marLeft w:val="0"/>
      <w:marRight w:val="0"/>
      <w:marTop w:val="0"/>
      <w:marBottom w:val="0"/>
      <w:divBdr>
        <w:top w:val="none" w:sz="0" w:space="0" w:color="auto"/>
        <w:left w:val="none" w:sz="0" w:space="0" w:color="auto"/>
        <w:bottom w:val="none" w:sz="0" w:space="0" w:color="auto"/>
        <w:right w:val="none" w:sz="0" w:space="0" w:color="auto"/>
      </w:divBdr>
    </w:div>
    <w:div w:id="756291389">
      <w:bodyDiv w:val="1"/>
      <w:marLeft w:val="0"/>
      <w:marRight w:val="0"/>
      <w:marTop w:val="0"/>
      <w:marBottom w:val="0"/>
      <w:divBdr>
        <w:top w:val="none" w:sz="0" w:space="0" w:color="auto"/>
        <w:left w:val="none" w:sz="0" w:space="0" w:color="auto"/>
        <w:bottom w:val="none" w:sz="0" w:space="0" w:color="auto"/>
        <w:right w:val="none" w:sz="0" w:space="0" w:color="auto"/>
      </w:divBdr>
    </w:div>
    <w:div w:id="761608488">
      <w:bodyDiv w:val="1"/>
      <w:marLeft w:val="0"/>
      <w:marRight w:val="0"/>
      <w:marTop w:val="0"/>
      <w:marBottom w:val="0"/>
      <w:divBdr>
        <w:top w:val="none" w:sz="0" w:space="0" w:color="auto"/>
        <w:left w:val="none" w:sz="0" w:space="0" w:color="auto"/>
        <w:bottom w:val="none" w:sz="0" w:space="0" w:color="auto"/>
        <w:right w:val="none" w:sz="0" w:space="0" w:color="auto"/>
      </w:divBdr>
    </w:div>
    <w:div w:id="768043378">
      <w:bodyDiv w:val="1"/>
      <w:marLeft w:val="0"/>
      <w:marRight w:val="0"/>
      <w:marTop w:val="0"/>
      <w:marBottom w:val="0"/>
      <w:divBdr>
        <w:top w:val="none" w:sz="0" w:space="0" w:color="auto"/>
        <w:left w:val="none" w:sz="0" w:space="0" w:color="auto"/>
        <w:bottom w:val="none" w:sz="0" w:space="0" w:color="auto"/>
        <w:right w:val="none" w:sz="0" w:space="0" w:color="auto"/>
      </w:divBdr>
    </w:div>
    <w:div w:id="783960170">
      <w:bodyDiv w:val="1"/>
      <w:marLeft w:val="0"/>
      <w:marRight w:val="0"/>
      <w:marTop w:val="0"/>
      <w:marBottom w:val="0"/>
      <w:divBdr>
        <w:top w:val="none" w:sz="0" w:space="0" w:color="auto"/>
        <w:left w:val="none" w:sz="0" w:space="0" w:color="auto"/>
        <w:bottom w:val="none" w:sz="0" w:space="0" w:color="auto"/>
        <w:right w:val="none" w:sz="0" w:space="0" w:color="auto"/>
      </w:divBdr>
    </w:div>
    <w:div w:id="785585985">
      <w:bodyDiv w:val="1"/>
      <w:marLeft w:val="0"/>
      <w:marRight w:val="0"/>
      <w:marTop w:val="0"/>
      <w:marBottom w:val="0"/>
      <w:divBdr>
        <w:top w:val="none" w:sz="0" w:space="0" w:color="auto"/>
        <w:left w:val="none" w:sz="0" w:space="0" w:color="auto"/>
        <w:bottom w:val="none" w:sz="0" w:space="0" w:color="auto"/>
        <w:right w:val="none" w:sz="0" w:space="0" w:color="auto"/>
      </w:divBdr>
    </w:div>
    <w:div w:id="798497564">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866867713">
      <w:bodyDiv w:val="1"/>
      <w:marLeft w:val="0"/>
      <w:marRight w:val="0"/>
      <w:marTop w:val="0"/>
      <w:marBottom w:val="0"/>
      <w:divBdr>
        <w:top w:val="none" w:sz="0" w:space="0" w:color="auto"/>
        <w:left w:val="none" w:sz="0" w:space="0" w:color="auto"/>
        <w:bottom w:val="none" w:sz="0" w:space="0" w:color="auto"/>
        <w:right w:val="none" w:sz="0" w:space="0" w:color="auto"/>
      </w:divBdr>
    </w:div>
    <w:div w:id="877427392">
      <w:bodyDiv w:val="1"/>
      <w:marLeft w:val="0"/>
      <w:marRight w:val="0"/>
      <w:marTop w:val="0"/>
      <w:marBottom w:val="0"/>
      <w:divBdr>
        <w:top w:val="none" w:sz="0" w:space="0" w:color="auto"/>
        <w:left w:val="none" w:sz="0" w:space="0" w:color="auto"/>
        <w:bottom w:val="none" w:sz="0" w:space="0" w:color="auto"/>
        <w:right w:val="none" w:sz="0" w:space="0" w:color="auto"/>
      </w:divBdr>
      <w:divsChild>
        <w:div w:id="1006251991">
          <w:marLeft w:val="0"/>
          <w:marRight w:val="0"/>
          <w:marTop w:val="0"/>
          <w:marBottom w:val="0"/>
          <w:divBdr>
            <w:top w:val="none" w:sz="0" w:space="0" w:color="auto"/>
            <w:left w:val="none" w:sz="0" w:space="0" w:color="auto"/>
            <w:bottom w:val="none" w:sz="0" w:space="0" w:color="auto"/>
            <w:right w:val="none" w:sz="0" w:space="0" w:color="auto"/>
          </w:divBdr>
        </w:div>
        <w:div w:id="1037661063">
          <w:marLeft w:val="0"/>
          <w:marRight w:val="0"/>
          <w:marTop w:val="0"/>
          <w:marBottom w:val="0"/>
          <w:divBdr>
            <w:top w:val="none" w:sz="0" w:space="0" w:color="auto"/>
            <w:left w:val="none" w:sz="0" w:space="0" w:color="auto"/>
            <w:bottom w:val="none" w:sz="0" w:space="0" w:color="auto"/>
            <w:right w:val="none" w:sz="0" w:space="0" w:color="auto"/>
          </w:divBdr>
        </w:div>
        <w:div w:id="1535652042">
          <w:marLeft w:val="0"/>
          <w:marRight w:val="0"/>
          <w:marTop w:val="0"/>
          <w:marBottom w:val="0"/>
          <w:divBdr>
            <w:top w:val="none" w:sz="0" w:space="0" w:color="auto"/>
            <w:left w:val="none" w:sz="0" w:space="0" w:color="auto"/>
            <w:bottom w:val="none" w:sz="0" w:space="0" w:color="auto"/>
            <w:right w:val="none" w:sz="0" w:space="0" w:color="auto"/>
          </w:divBdr>
        </w:div>
      </w:divsChild>
    </w:div>
    <w:div w:id="916090918">
      <w:bodyDiv w:val="1"/>
      <w:marLeft w:val="0"/>
      <w:marRight w:val="0"/>
      <w:marTop w:val="0"/>
      <w:marBottom w:val="0"/>
      <w:divBdr>
        <w:top w:val="none" w:sz="0" w:space="0" w:color="auto"/>
        <w:left w:val="none" w:sz="0" w:space="0" w:color="auto"/>
        <w:bottom w:val="none" w:sz="0" w:space="0" w:color="auto"/>
        <w:right w:val="none" w:sz="0" w:space="0" w:color="auto"/>
      </w:divBdr>
    </w:div>
    <w:div w:id="920868956">
      <w:bodyDiv w:val="1"/>
      <w:marLeft w:val="0"/>
      <w:marRight w:val="0"/>
      <w:marTop w:val="0"/>
      <w:marBottom w:val="0"/>
      <w:divBdr>
        <w:top w:val="none" w:sz="0" w:space="0" w:color="auto"/>
        <w:left w:val="none" w:sz="0" w:space="0" w:color="auto"/>
        <w:bottom w:val="none" w:sz="0" w:space="0" w:color="auto"/>
        <w:right w:val="none" w:sz="0" w:space="0" w:color="auto"/>
      </w:divBdr>
    </w:div>
    <w:div w:id="925917704">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
    <w:div w:id="941911592">
      <w:bodyDiv w:val="1"/>
      <w:marLeft w:val="0"/>
      <w:marRight w:val="0"/>
      <w:marTop w:val="0"/>
      <w:marBottom w:val="0"/>
      <w:divBdr>
        <w:top w:val="none" w:sz="0" w:space="0" w:color="auto"/>
        <w:left w:val="none" w:sz="0" w:space="0" w:color="auto"/>
        <w:bottom w:val="none" w:sz="0" w:space="0" w:color="auto"/>
        <w:right w:val="none" w:sz="0" w:space="0" w:color="auto"/>
      </w:divBdr>
    </w:div>
    <w:div w:id="944069752">
      <w:bodyDiv w:val="1"/>
      <w:marLeft w:val="0"/>
      <w:marRight w:val="0"/>
      <w:marTop w:val="0"/>
      <w:marBottom w:val="0"/>
      <w:divBdr>
        <w:top w:val="none" w:sz="0" w:space="0" w:color="auto"/>
        <w:left w:val="none" w:sz="0" w:space="0" w:color="auto"/>
        <w:bottom w:val="none" w:sz="0" w:space="0" w:color="auto"/>
        <w:right w:val="none" w:sz="0" w:space="0" w:color="auto"/>
      </w:divBdr>
    </w:div>
    <w:div w:id="963149769">
      <w:bodyDiv w:val="1"/>
      <w:marLeft w:val="0"/>
      <w:marRight w:val="0"/>
      <w:marTop w:val="0"/>
      <w:marBottom w:val="0"/>
      <w:divBdr>
        <w:top w:val="none" w:sz="0" w:space="0" w:color="auto"/>
        <w:left w:val="none" w:sz="0" w:space="0" w:color="auto"/>
        <w:bottom w:val="none" w:sz="0" w:space="0" w:color="auto"/>
        <w:right w:val="none" w:sz="0" w:space="0" w:color="auto"/>
      </w:divBdr>
    </w:div>
    <w:div w:id="993028343">
      <w:bodyDiv w:val="1"/>
      <w:marLeft w:val="0"/>
      <w:marRight w:val="0"/>
      <w:marTop w:val="0"/>
      <w:marBottom w:val="0"/>
      <w:divBdr>
        <w:top w:val="none" w:sz="0" w:space="0" w:color="auto"/>
        <w:left w:val="none" w:sz="0" w:space="0" w:color="auto"/>
        <w:bottom w:val="none" w:sz="0" w:space="0" w:color="auto"/>
        <w:right w:val="none" w:sz="0" w:space="0" w:color="auto"/>
      </w:divBdr>
    </w:div>
    <w:div w:id="100663812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40">
          <w:marLeft w:val="0"/>
          <w:marRight w:val="0"/>
          <w:marTop w:val="0"/>
          <w:marBottom w:val="0"/>
          <w:divBdr>
            <w:top w:val="none" w:sz="0" w:space="0" w:color="auto"/>
            <w:left w:val="none" w:sz="0" w:space="0" w:color="auto"/>
            <w:bottom w:val="none" w:sz="0" w:space="0" w:color="auto"/>
            <w:right w:val="none" w:sz="0" w:space="0" w:color="auto"/>
          </w:divBdr>
          <w:divsChild>
            <w:div w:id="2111967612">
              <w:marLeft w:val="0"/>
              <w:marRight w:val="0"/>
              <w:marTop w:val="0"/>
              <w:marBottom w:val="0"/>
              <w:divBdr>
                <w:top w:val="none" w:sz="0" w:space="0" w:color="auto"/>
                <w:left w:val="none" w:sz="0" w:space="0" w:color="auto"/>
                <w:bottom w:val="none" w:sz="0" w:space="0" w:color="auto"/>
                <w:right w:val="none" w:sz="0" w:space="0" w:color="auto"/>
              </w:divBdr>
              <w:divsChild>
                <w:div w:id="980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1235">
      <w:bodyDiv w:val="1"/>
      <w:marLeft w:val="0"/>
      <w:marRight w:val="0"/>
      <w:marTop w:val="0"/>
      <w:marBottom w:val="0"/>
      <w:divBdr>
        <w:top w:val="none" w:sz="0" w:space="0" w:color="auto"/>
        <w:left w:val="none" w:sz="0" w:space="0" w:color="auto"/>
        <w:bottom w:val="none" w:sz="0" w:space="0" w:color="auto"/>
        <w:right w:val="none" w:sz="0" w:space="0" w:color="auto"/>
      </w:divBdr>
    </w:div>
    <w:div w:id="1018119190">
      <w:bodyDiv w:val="1"/>
      <w:marLeft w:val="0"/>
      <w:marRight w:val="0"/>
      <w:marTop w:val="0"/>
      <w:marBottom w:val="0"/>
      <w:divBdr>
        <w:top w:val="none" w:sz="0" w:space="0" w:color="auto"/>
        <w:left w:val="none" w:sz="0" w:space="0" w:color="auto"/>
        <w:bottom w:val="none" w:sz="0" w:space="0" w:color="auto"/>
        <w:right w:val="none" w:sz="0" w:space="0" w:color="auto"/>
      </w:divBdr>
    </w:div>
    <w:div w:id="1020203071">
      <w:bodyDiv w:val="1"/>
      <w:marLeft w:val="0"/>
      <w:marRight w:val="0"/>
      <w:marTop w:val="0"/>
      <w:marBottom w:val="0"/>
      <w:divBdr>
        <w:top w:val="none" w:sz="0" w:space="0" w:color="auto"/>
        <w:left w:val="none" w:sz="0" w:space="0" w:color="auto"/>
        <w:bottom w:val="none" w:sz="0" w:space="0" w:color="auto"/>
        <w:right w:val="none" w:sz="0" w:space="0" w:color="auto"/>
      </w:divBdr>
    </w:div>
    <w:div w:id="1036851150">
      <w:bodyDiv w:val="1"/>
      <w:marLeft w:val="0"/>
      <w:marRight w:val="0"/>
      <w:marTop w:val="0"/>
      <w:marBottom w:val="0"/>
      <w:divBdr>
        <w:top w:val="none" w:sz="0" w:space="0" w:color="auto"/>
        <w:left w:val="none" w:sz="0" w:space="0" w:color="auto"/>
        <w:bottom w:val="none" w:sz="0" w:space="0" w:color="auto"/>
        <w:right w:val="none" w:sz="0" w:space="0" w:color="auto"/>
      </w:divBdr>
    </w:div>
    <w:div w:id="1042947592">
      <w:bodyDiv w:val="1"/>
      <w:marLeft w:val="0"/>
      <w:marRight w:val="0"/>
      <w:marTop w:val="0"/>
      <w:marBottom w:val="0"/>
      <w:divBdr>
        <w:top w:val="none" w:sz="0" w:space="0" w:color="auto"/>
        <w:left w:val="none" w:sz="0" w:space="0" w:color="auto"/>
        <w:bottom w:val="none" w:sz="0" w:space="0" w:color="auto"/>
        <w:right w:val="none" w:sz="0" w:space="0" w:color="auto"/>
      </w:divBdr>
    </w:div>
    <w:div w:id="1054693313">
      <w:bodyDiv w:val="1"/>
      <w:marLeft w:val="0"/>
      <w:marRight w:val="0"/>
      <w:marTop w:val="0"/>
      <w:marBottom w:val="0"/>
      <w:divBdr>
        <w:top w:val="none" w:sz="0" w:space="0" w:color="auto"/>
        <w:left w:val="none" w:sz="0" w:space="0" w:color="auto"/>
        <w:bottom w:val="none" w:sz="0" w:space="0" w:color="auto"/>
        <w:right w:val="none" w:sz="0" w:space="0" w:color="auto"/>
      </w:divBdr>
    </w:div>
    <w:div w:id="1056464411">
      <w:bodyDiv w:val="1"/>
      <w:marLeft w:val="0"/>
      <w:marRight w:val="0"/>
      <w:marTop w:val="0"/>
      <w:marBottom w:val="0"/>
      <w:divBdr>
        <w:top w:val="none" w:sz="0" w:space="0" w:color="auto"/>
        <w:left w:val="none" w:sz="0" w:space="0" w:color="auto"/>
        <w:bottom w:val="none" w:sz="0" w:space="0" w:color="auto"/>
        <w:right w:val="none" w:sz="0" w:space="0" w:color="auto"/>
      </w:divBdr>
    </w:div>
    <w:div w:id="1062173041">
      <w:bodyDiv w:val="1"/>
      <w:marLeft w:val="0"/>
      <w:marRight w:val="0"/>
      <w:marTop w:val="0"/>
      <w:marBottom w:val="0"/>
      <w:divBdr>
        <w:top w:val="none" w:sz="0" w:space="0" w:color="auto"/>
        <w:left w:val="none" w:sz="0" w:space="0" w:color="auto"/>
        <w:bottom w:val="none" w:sz="0" w:space="0" w:color="auto"/>
        <w:right w:val="none" w:sz="0" w:space="0" w:color="auto"/>
      </w:divBdr>
    </w:div>
    <w:div w:id="1102341134">
      <w:bodyDiv w:val="1"/>
      <w:marLeft w:val="0"/>
      <w:marRight w:val="0"/>
      <w:marTop w:val="0"/>
      <w:marBottom w:val="0"/>
      <w:divBdr>
        <w:top w:val="none" w:sz="0" w:space="0" w:color="auto"/>
        <w:left w:val="none" w:sz="0" w:space="0" w:color="auto"/>
        <w:bottom w:val="none" w:sz="0" w:space="0" w:color="auto"/>
        <w:right w:val="none" w:sz="0" w:space="0" w:color="auto"/>
      </w:divBdr>
    </w:div>
    <w:div w:id="1109206017">
      <w:bodyDiv w:val="1"/>
      <w:marLeft w:val="0"/>
      <w:marRight w:val="0"/>
      <w:marTop w:val="0"/>
      <w:marBottom w:val="0"/>
      <w:divBdr>
        <w:top w:val="none" w:sz="0" w:space="0" w:color="auto"/>
        <w:left w:val="none" w:sz="0" w:space="0" w:color="auto"/>
        <w:bottom w:val="none" w:sz="0" w:space="0" w:color="auto"/>
        <w:right w:val="none" w:sz="0" w:space="0" w:color="auto"/>
      </w:divBdr>
    </w:div>
    <w:div w:id="1134255659">
      <w:bodyDiv w:val="1"/>
      <w:marLeft w:val="0"/>
      <w:marRight w:val="0"/>
      <w:marTop w:val="0"/>
      <w:marBottom w:val="0"/>
      <w:divBdr>
        <w:top w:val="none" w:sz="0" w:space="0" w:color="auto"/>
        <w:left w:val="none" w:sz="0" w:space="0" w:color="auto"/>
        <w:bottom w:val="none" w:sz="0" w:space="0" w:color="auto"/>
        <w:right w:val="none" w:sz="0" w:space="0" w:color="auto"/>
      </w:divBdr>
    </w:div>
    <w:div w:id="1146778697">
      <w:bodyDiv w:val="1"/>
      <w:marLeft w:val="0"/>
      <w:marRight w:val="0"/>
      <w:marTop w:val="0"/>
      <w:marBottom w:val="0"/>
      <w:divBdr>
        <w:top w:val="none" w:sz="0" w:space="0" w:color="auto"/>
        <w:left w:val="none" w:sz="0" w:space="0" w:color="auto"/>
        <w:bottom w:val="none" w:sz="0" w:space="0" w:color="auto"/>
        <w:right w:val="none" w:sz="0" w:space="0" w:color="auto"/>
      </w:divBdr>
    </w:div>
    <w:div w:id="1157846767">
      <w:bodyDiv w:val="1"/>
      <w:marLeft w:val="0"/>
      <w:marRight w:val="0"/>
      <w:marTop w:val="0"/>
      <w:marBottom w:val="0"/>
      <w:divBdr>
        <w:top w:val="none" w:sz="0" w:space="0" w:color="auto"/>
        <w:left w:val="none" w:sz="0" w:space="0" w:color="auto"/>
        <w:bottom w:val="none" w:sz="0" w:space="0" w:color="auto"/>
        <w:right w:val="none" w:sz="0" w:space="0" w:color="auto"/>
      </w:divBdr>
    </w:div>
    <w:div w:id="1158496223">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81434667">
      <w:bodyDiv w:val="1"/>
      <w:marLeft w:val="0"/>
      <w:marRight w:val="0"/>
      <w:marTop w:val="0"/>
      <w:marBottom w:val="0"/>
      <w:divBdr>
        <w:top w:val="none" w:sz="0" w:space="0" w:color="auto"/>
        <w:left w:val="none" w:sz="0" w:space="0" w:color="auto"/>
        <w:bottom w:val="none" w:sz="0" w:space="0" w:color="auto"/>
        <w:right w:val="none" w:sz="0" w:space="0" w:color="auto"/>
      </w:divBdr>
    </w:div>
    <w:div w:id="1191459013">
      <w:bodyDiv w:val="1"/>
      <w:marLeft w:val="0"/>
      <w:marRight w:val="0"/>
      <w:marTop w:val="0"/>
      <w:marBottom w:val="0"/>
      <w:divBdr>
        <w:top w:val="none" w:sz="0" w:space="0" w:color="auto"/>
        <w:left w:val="none" w:sz="0" w:space="0" w:color="auto"/>
        <w:bottom w:val="none" w:sz="0" w:space="0" w:color="auto"/>
        <w:right w:val="none" w:sz="0" w:space="0" w:color="auto"/>
      </w:divBdr>
    </w:div>
    <w:div w:id="1194228357">
      <w:bodyDiv w:val="1"/>
      <w:marLeft w:val="0"/>
      <w:marRight w:val="0"/>
      <w:marTop w:val="0"/>
      <w:marBottom w:val="0"/>
      <w:divBdr>
        <w:top w:val="none" w:sz="0" w:space="0" w:color="auto"/>
        <w:left w:val="none" w:sz="0" w:space="0" w:color="auto"/>
        <w:bottom w:val="none" w:sz="0" w:space="0" w:color="auto"/>
        <w:right w:val="none" w:sz="0" w:space="0" w:color="auto"/>
      </w:divBdr>
    </w:div>
    <w:div w:id="1205216433">
      <w:bodyDiv w:val="1"/>
      <w:marLeft w:val="0"/>
      <w:marRight w:val="0"/>
      <w:marTop w:val="0"/>
      <w:marBottom w:val="0"/>
      <w:divBdr>
        <w:top w:val="none" w:sz="0" w:space="0" w:color="auto"/>
        <w:left w:val="none" w:sz="0" w:space="0" w:color="auto"/>
        <w:bottom w:val="none" w:sz="0" w:space="0" w:color="auto"/>
        <w:right w:val="none" w:sz="0" w:space="0" w:color="auto"/>
      </w:divBdr>
    </w:div>
    <w:div w:id="1212307124">
      <w:bodyDiv w:val="1"/>
      <w:marLeft w:val="0"/>
      <w:marRight w:val="0"/>
      <w:marTop w:val="0"/>
      <w:marBottom w:val="0"/>
      <w:divBdr>
        <w:top w:val="none" w:sz="0" w:space="0" w:color="auto"/>
        <w:left w:val="none" w:sz="0" w:space="0" w:color="auto"/>
        <w:bottom w:val="none" w:sz="0" w:space="0" w:color="auto"/>
        <w:right w:val="none" w:sz="0" w:space="0" w:color="auto"/>
      </w:divBdr>
    </w:div>
    <w:div w:id="1214345345">
      <w:bodyDiv w:val="1"/>
      <w:marLeft w:val="0"/>
      <w:marRight w:val="0"/>
      <w:marTop w:val="0"/>
      <w:marBottom w:val="0"/>
      <w:divBdr>
        <w:top w:val="none" w:sz="0" w:space="0" w:color="auto"/>
        <w:left w:val="none" w:sz="0" w:space="0" w:color="auto"/>
        <w:bottom w:val="none" w:sz="0" w:space="0" w:color="auto"/>
        <w:right w:val="none" w:sz="0" w:space="0" w:color="auto"/>
      </w:divBdr>
    </w:div>
    <w:div w:id="1237789540">
      <w:bodyDiv w:val="1"/>
      <w:marLeft w:val="0"/>
      <w:marRight w:val="0"/>
      <w:marTop w:val="0"/>
      <w:marBottom w:val="0"/>
      <w:divBdr>
        <w:top w:val="none" w:sz="0" w:space="0" w:color="auto"/>
        <w:left w:val="none" w:sz="0" w:space="0" w:color="auto"/>
        <w:bottom w:val="none" w:sz="0" w:space="0" w:color="auto"/>
        <w:right w:val="none" w:sz="0" w:space="0" w:color="auto"/>
      </w:divBdr>
    </w:div>
    <w:div w:id="1265649866">
      <w:bodyDiv w:val="1"/>
      <w:marLeft w:val="0"/>
      <w:marRight w:val="0"/>
      <w:marTop w:val="0"/>
      <w:marBottom w:val="0"/>
      <w:divBdr>
        <w:top w:val="none" w:sz="0" w:space="0" w:color="auto"/>
        <w:left w:val="none" w:sz="0" w:space="0" w:color="auto"/>
        <w:bottom w:val="none" w:sz="0" w:space="0" w:color="auto"/>
        <w:right w:val="none" w:sz="0" w:space="0" w:color="auto"/>
      </w:divBdr>
    </w:div>
    <w:div w:id="1267420536">
      <w:bodyDiv w:val="1"/>
      <w:marLeft w:val="0"/>
      <w:marRight w:val="0"/>
      <w:marTop w:val="0"/>
      <w:marBottom w:val="0"/>
      <w:divBdr>
        <w:top w:val="none" w:sz="0" w:space="0" w:color="auto"/>
        <w:left w:val="none" w:sz="0" w:space="0" w:color="auto"/>
        <w:bottom w:val="none" w:sz="0" w:space="0" w:color="auto"/>
        <w:right w:val="none" w:sz="0" w:space="0" w:color="auto"/>
      </w:divBdr>
      <w:divsChild>
        <w:div w:id="311296208">
          <w:marLeft w:val="0"/>
          <w:marRight w:val="0"/>
          <w:marTop w:val="0"/>
          <w:marBottom w:val="0"/>
          <w:divBdr>
            <w:top w:val="none" w:sz="0" w:space="0" w:color="auto"/>
            <w:left w:val="none" w:sz="0" w:space="0" w:color="auto"/>
            <w:bottom w:val="none" w:sz="0" w:space="0" w:color="auto"/>
            <w:right w:val="none" w:sz="0" w:space="0" w:color="auto"/>
          </w:divBdr>
        </w:div>
        <w:div w:id="544875836">
          <w:marLeft w:val="0"/>
          <w:marRight w:val="0"/>
          <w:marTop w:val="0"/>
          <w:marBottom w:val="0"/>
          <w:divBdr>
            <w:top w:val="none" w:sz="0" w:space="0" w:color="auto"/>
            <w:left w:val="none" w:sz="0" w:space="0" w:color="auto"/>
            <w:bottom w:val="none" w:sz="0" w:space="0" w:color="auto"/>
            <w:right w:val="none" w:sz="0" w:space="0" w:color="auto"/>
          </w:divBdr>
        </w:div>
        <w:div w:id="679551287">
          <w:marLeft w:val="0"/>
          <w:marRight w:val="0"/>
          <w:marTop w:val="0"/>
          <w:marBottom w:val="0"/>
          <w:divBdr>
            <w:top w:val="none" w:sz="0" w:space="0" w:color="auto"/>
            <w:left w:val="none" w:sz="0" w:space="0" w:color="auto"/>
            <w:bottom w:val="none" w:sz="0" w:space="0" w:color="auto"/>
            <w:right w:val="none" w:sz="0" w:space="0" w:color="auto"/>
          </w:divBdr>
        </w:div>
        <w:div w:id="1428231712">
          <w:marLeft w:val="0"/>
          <w:marRight w:val="0"/>
          <w:marTop w:val="0"/>
          <w:marBottom w:val="0"/>
          <w:divBdr>
            <w:top w:val="none" w:sz="0" w:space="0" w:color="auto"/>
            <w:left w:val="none" w:sz="0" w:space="0" w:color="auto"/>
            <w:bottom w:val="none" w:sz="0" w:space="0" w:color="auto"/>
            <w:right w:val="none" w:sz="0" w:space="0" w:color="auto"/>
          </w:divBdr>
        </w:div>
        <w:div w:id="1533810974">
          <w:marLeft w:val="0"/>
          <w:marRight w:val="0"/>
          <w:marTop w:val="0"/>
          <w:marBottom w:val="0"/>
          <w:divBdr>
            <w:top w:val="none" w:sz="0" w:space="0" w:color="auto"/>
            <w:left w:val="none" w:sz="0" w:space="0" w:color="auto"/>
            <w:bottom w:val="none" w:sz="0" w:space="0" w:color="auto"/>
            <w:right w:val="none" w:sz="0" w:space="0" w:color="auto"/>
          </w:divBdr>
        </w:div>
        <w:div w:id="1560287870">
          <w:marLeft w:val="0"/>
          <w:marRight w:val="0"/>
          <w:marTop w:val="0"/>
          <w:marBottom w:val="0"/>
          <w:divBdr>
            <w:top w:val="none" w:sz="0" w:space="0" w:color="auto"/>
            <w:left w:val="none" w:sz="0" w:space="0" w:color="auto"/>
            <w:bottom w:val="none" w:sz="0" w:space="0" w:color="auto"/>
            <w:right w:val="none" w:sz="0" w:space="0" w:color="auto"/>
          </w:divBdr>
        </w:div>
        <w:div w:id="1859585176">
          <w:marLeft w:val="0"/>
          <w:marRight w:val="0"/>
          <w:marTop w:val="0"/>
          <w:marBottom w:val="0"/>
          <w:divBdr>
            <w:top w:val="none" w:sz="0" w:space="0" w:color="auto"/>
            <w:left w:val="none" w:sz="0" w:space="0" w:color="auto"/>
            <w:bottom w:val="none" w:sz="0" w:space="0" w:color="auto"/>
            <w:right w:val="none" w:sz="0" w:space="0" w:color="auto"/>
          </w:divBdr>
        </w:div>
      </w:divsChild>
    </w:div>
    <w:div w:id="1272589260">
      <w:bodyDiv w:val="1"/>
      <w:marLeft w:val="0"/>
      <w:marRight w:val="0"/>
      <w:marTop w:val="0"/>
      <w:marBottom w:val="0"/>
      <w:divBdr>
        <w:top w:val="none" w:sz="0" w:space="0" w:color="auto"/>
        <w:left w:val="none" w:sz="0" w:space="0" w:color="auto"/>
        <w:bottom w:val="none" w:sz="0" w:space="0" w:color="auto"/>
        <w:right w:val="none" w:sz="0" w:space="0" w:color="auto"/>
      </w:divBdr>
      <w:divsChild>
        <w:div w:id="435449352">
          <w:marLeft w:val="0"/>
          <w:marRight w:val="0"/>
          <w:marTop w:val="0"/>
          <w:marBottom w:val="0"/>
          <w:divBdr>
            <w:top w:val="none" w:sz="0" w:space="0" w:color="auto"/>
            <w:left w:val="none" w:sz="0" w:space="0" w:color="auto"/>
            <w:bottom w:val="none" w:sz="0" w:space="0" w:color="auto"/>
            <w:right w:val="none" w:sz="0" w:space="0" w:color="auto"/>
          </w:divBdr>
          <w:divsChild>
            <w:div w:id="1452362534">
              <w:marLeft w:val="0"/>
              <w:marRight w:val="0"/>
              <w:marTop w:val="0"/>
              <w:marBottom w:val="0"/>
              <w:divBdr>
                <w:top w:val="none" w:sz="0" w:space="0" w:color="auto"/>
                <w:left w:val="none" w:sz="0" w:space="0" w:color="auto"/>
                <w:bottom w:val="none" w:sz="0" w:space="0" w:color="auto"/>
                <w:right w:val="none" w:sz="0" w:space="0" w:color="auto"/>
              </w:divBdr>
              <w:divsChild>
                <w:div w:id="1057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514">
      <w:bodyDiv w:val="1"/>
      <w:marLeft w:val="0"/>
      <w:marRight w:val="0"/>
      <w:marTop w:val="0"/>
      <w:marBottom w:val="0"/>
      <w:divBdr>
        <w:top w:val="none" w:sz="0" w:space="0" w:color="auto"/>
        <w:left w:val="none" w:sz="0" w:space="0" w:color="auto"/>
        <w:bottom w:val="none" w:sz="0" w:space="0" w:color="auto"/>
        <w:right w:val="none" w:sz="0" w:space="0" w:color="auto"/>
      </w:divBdr>
    </w:div>
    <w:div w:id="1300452959">
      <w:bodyDiv w:val="1"/>
      <w:marLeft w:val="0"/>
      <w:marRight w:val="0"/>
      <w:marTop w:val="0"/>
      <w:marBottom w:val="0"/>
      <w:divBdr>
        <w:top w:val="none" w:sz="0" w:space="0" w:color="auto"/>
        <w:left w:val="none" w:sz="0" w:space="0" w:color="auto"/>
        <w:bottom w:val="none" w:sz="0" w:space="0" w:color="auto"/>
        <w:right w:val="none" w:sz="0" w:space="0" w:color="auto"/>
      </w:divBdr>
    </w:div>
    <w:div w:id="1313950108">
      <w:bodyDiv w:val="1"/>
      <w:marLeft w:val="0"/>
      <w:marRight w:val="0"/>
      <w:marTop w:val="0"/>
      <w:marBottom w:val="0"/>
      <w:divBdr>
        <w:top w:val="none" w:sz="0" w:space="0" w:color="auto"/>
        <w:left w:val="none" w:sz="0" w:space="0" w:color="auto"/>
        <w:bottom w:val="none" w:sz="0" w:space="0" w:color="auto"/>
        <w:right w:val="none" w:sz="0" w:space="0" w:color="auto"/>
      </w:divBdr>
    </w:div>
    <w:div w:id="1325285138">
      <w:bodyDiv w:val="1"/>
      <w:marLeft w:val="0"/>
      <w:marRight w:val="0"/>
      <w:marTop w:val="0"/>
      <w:marBottom w:val="0"/>
      <w:divBdr>
        <w:top w:val="none" w:sz="0" w:space="0" w:color="auto"/>
        <w:left w:val="none" w:sz="0" w:space="0" w:color="auto"/>
        <w:bottom w:val="none" w:sz="0" w:space="0" w:color="auto"/>
        <w:right w:val="none" w:sz="0" w:space="0" w:color="auto"/>
      </w:divBdr>
    </w:div>
    <w:div w:id="1327977078">
      <w:bodyDiv w:val="1"/>
      <w:marLeft w:val="0"/>
      <w:marRight w:val="0"/>
      <w:marTop w:val="0"/>
      <w:marBottom w:val="0"/>
      <w:divBdr>
        <w:top w:val="none" w:sz="0" w:space="0" w:color="auto"/>
        <w:left w:val="none" w:sz="0" w:space="0" w:color="auto"/>
        <w:bottom w:val="none" w:sz="0" w:space="0" w:color="auto"/>
        <w:right w:val="none" w:sz="0" w:space="0" w:color="auto"/>
      </w:divBdr>
    </w:div>
    <w:div w:id="1329868681">
      <w:bodyDiv w:val="1"/>
      <w:marLeft w:val="0"/>
      <w:marRight w:val="0"/>
      <w:marTop w:val="0"/>
      <w:marBottom w:val="0"/>
      <w:divBdr>
        <w:top w:val="none" w:sz="0" w:space="0" w:color="auto"/>
        <w:left w:val="none" w:sz="0" w:space="0" w:color="auto"/>
        <w:bottom w:val="none" w:sz="0" w:space="0" w:color="auto"/>
        <w:right w:val="none" w:sz="0" w:space="0" w:color="auto"/>
      </w:divBdr>
    </w:div>
    <w:div w:id="1347100123">
      <w:bodyDiv w:val="1"/>
      <w:marLeft w:val="0"/>
      <w:marRight w:val="0"/>
      <w:marTop w:val="0"/>
      <w:marBottom w:val="0"/>
      <w:divBdr>
        <w:top w:val="none" w:sz="0" w:space="0" w:color="auto"/>
        <w:left w:val="none" w:sz="0" w:space="0" w:color="auto"/>
        <w:bottom w:val="none" w:sz="0" w:space="0" w:color="auto"/>
        <w:right w:val="none" w:sz="0" w:space="0" w:color="auto"/>
      </w:divBdr>
    </w:div>
    <w:div w:id="1365640246">
      <w:bodyDiv w:val="1"/>
      <w:marLeft w:val="0"/>
      <w:marRight w:val="0"/>
      <w:marTop w:val="0"/>
      <w:marBottom w:val="0"/>
      <w:divBdr>
        <w:top w:val="none" w:sz="0" w:space="0" w:color="auto"/>
        <w:left w:val="none" w:sz="0" w:space="0" w:color="auto"/>
        <w:bottom w:val="none" w:sz="0" w:space="0" w:color="auto"/>
        <w:right w:val="none" w:sz="0" w:space="0" w:color="auto"/>
      </w:divBdr>
    </w:div>
    <w:div w:id="1376270892">
      <w:bodyDiv w:val="1"/>
      <w:marLeft w:val="0"/>
      <w:marRight w:val="0"/>
      <w:marTop w:val="0"/>
      <w:marBottom w:val="0"/>
      <w:divBdr>
        <w:top w:val="none" w:sz="0" w:space="0" w:color="auto"/>
        <w:left w:val="none" w:sz="0" w:space="0" w:color="auto"/>
        <w:bottom w:val="none" w:sz="0" w:space="0" w:color="auto"/>
        <w:right w:val="none" w:sz="0" w:space="0" w:color="auto"/>
      </w:divBdr>
    </w:div>
    <w:div w:id="1386565468">
      <w:bodyDiv w:val="1"/>
      <w:marLeft w:val="0"/>
      <w:marRight w:val="0"/>
      <w:marTop w:val="0"/>
      <w:marBottom w:val="0"/>
      <w:divBdr>
        <w:top w:val="none" w:sz="0" w:space="0" w:color="auto"/>
        <w:left w:val="none" w:sz="0" w:space="0" w:color="auto"/>
        <w:bottom w:val="none" w:sz="0" w:space="0" w:color="auto"/>
        <w:right w:val="none" w:sz="0" w:space="0" w:color="auto"/>
      </w:divBdr>
      <w:divsChild>
        <w:div w:id="16473737">
          <w:marLeft w:val="374"/>
          <w:marRight w:val="0"/>
          <w:marTop w:val="40"/>
          <w:marBottom w:val="120"/>
          <w:divBdr>
            <w:top w:val="none" w:sz="0" w:space="0" w:color="auto"/>
            <w:left w:val="none" w:sz="0" w:space="0" w:color="auto"/>
            <w:bottom w:val="none" w:sz="0" w:space="0" w:color="auto"/>
            <w:right w:val="none" w:sz="0" w:space="0" w:color="auto"/>
          </w:divBdr>
        </w:div>
        <w:div w:id="875384646">
          <w:marLeft w:val="374"/>
          <w:marRight w:val="0"/>
          <w:marTop w:val="40"/>
          <w:marBottom w:val="120"/>
          <w:divBdr>
            <w:top w:val="none" w:sz="0" w:space="0" w:color="auto"/>
            <w:left w:val="none" w:sz="0" w:space="0" w:color="auto"/>
            <w:bottom w:val="none" w:sz="0" w:space="0" w:color="auto"/>
            <w:right w:val="none" w:sz="0" w:space="0" w:color="auto"/>
          </w:divBdr>
        </w:div>
        <w:div w:id="885947410">
          <w:marLeft w:val="374"/>
          <w:marRight w:val="0"/>
          <w:marTop w:val="40"/>
          <w:marBottom w:val="120"/>
          <w:divBdr>
            <w:top w:val="none" w:sz="0" w:space="0" w:color="auto"/>
            <w:left w:val="none" w:sz="0" w:space="0" w:color="auto"/>
            <w:bottom w:val="none" w:sz="0" w:space="0" w:color="auto"/>
            <w:right w:val="none" w:sz="0" w:space="0" w:color="auto"/>
          </w:divBdr>
        </w:div>
        <w:div w:id="1032223203">
          <w:marLeft w:val="374"/>
          <w:marRight w:val="0"/>
          <w:marTop w:val="40"/>
          <w:marBottom w:val="120"/>
          <w:divBdr>
            <w:top w:val="none" w:sz="0" w:space="0" w:color="auto"/>
            <w:left w:val="none" w:sz="0" w:space="0" w:color="auto"/>
            <w:bottom w:val="none" w:sz="0" w:space="0" w:color="auto"/>
            <w:right w:val="none" w:sz="0" w:space="0" w:color="auto"/>
          </w:divBdr>
        </w:div>
        <w:div w:id="1183737364">
          <w:marLeft w:val="374"/>
          <w:marRight w:val="0"/>
          <w:marTop w:val="40"/>
          <w:marBottom w:val="120"/>
          <w:divBdr>
            <w:top w:val="none" w:sz="0" w:space="0" w:color="auto"/>
            <w:left w:val="none" w:sz="0" w:space="0" w:color="auto"/>
            <w:bottom w:val="none" w:sz="0" w:space="0" w:color="auto"/>
            <w:right w:val="none" w:sz="0" w:space="0" w:color="auto"/>
          </w:divBdr>
        </w:div>
        <w:div w:id="1269195931">
          <w:marLeft w:val="374"/>
          <w:marRight w:val="0"/>
          <w:marTop w:val="40"/>
          <w:marBottom w:val="120"/>
          <w:divBdr>
            <w:top w:val="none" w:sz="0" w:space="0" w:color="auto"/>
            <w:left w:val="none" w:sz="0" w:space="0" w:color="auto"/>
            <w:bottom w:val="none" w:sz="0" w:space="0" w:color="auto"/>
            <w:right w:val="none" w:sz="0" w:space="0" w:color="auto"/>
          </w:divBdr>
        </w:div>
        <w:div w:id="1419905510">
          <w:marLeft w:val="374"/>
          <w:marRight w:val="0"/>
          <w:marTop w:val="40"/>
          <w:marBottom w:val="120"/>
          <w:divBdr>
            <w:top w:val="none" w:sz="0" w:space="0" w:color="auto"/>
            <w:left w:val="none" w:sz="0" w:space="0" w:color="auto"/>
            <w:bottom w:val="none" w:sz="0" w:space="0" w:color="auto"/>
            <w:right w:val="none" w:sz="0" w:space="0" w:color="auto"/>
          </w:divBdr>
        </w:div>
        <w:div w:id="1947813031">
          <w:marLeft w:val="374"/>
          <w:marRight w:val="0"/>
          <w:marTop w:val="40"/>
          <w:marBottom w:val="120"/>
          <w:divBdr>
            <w:top w:val="none" w:sz="0" w:space="0" w:color="auto"/>
            <w:left w:val="none" w:sz="0" w:space="0" w:color="auto"/>
            <w:bottom w:val="none" w:sz="0" w:space="0" w:color="auto"/>
            <w:right w:val="none" w:sz="0" w:space="0" w:color="auto"/>
          </w:divBdr>
        </w:div>
      </w:divsChild>
    </w:div>
    <w:div w:id="1404450522">
      <w:bodyDiv w:val="1"/>
      <w:marLeft w:val="0"/>
      <w:marRight w:val="0"/>
      <w:marTop w:val="0"/>
      <w:marBottom w:val="0"/>
      <w:divBdr>
        <w:top w:val="none" w:sz="0" w:space="0" w:color="auto"/>
        <w:left w:val="none" w:sz="0" w:space="0" w:color="auto"/>
        <w:bottom w:val="none" w:sz="0" w:space="0" w:color="auto"/>
        <w:right w:val="none" w:sz="0" w:space="0" w:color="auto"/>
      </w:divBdr>
    </w:div>
    <w:div w:id="1405689842">
      <w:bodyDiv w:val="1"/>
      <w:marLeft w:val="0"/>
      <w:marRight w:val="0"/>
      <w:marTop w:val="0"/>
      <w:marBottom w:val="0"/>
      <w:divBdr>
        <w:top w:val="none" w:sz="0" w:space="0" w:color="auto"/>
        <w:left w:val="none" w:sz="0" w:space="0" w:color="auto"/>
        <w:bottom w:val="none" w:sz="0" w:space="0" w:color="auto"/>
        <w:right w:val="none" w:sz="0" w:space="0" w:color="auto"/>
      </w:divBdr>
    </w:div>
    <w:div w:id="1406487763">
      <w:bodyDiv w:val="1"/>
      <w:marLeft w:val="0"/>
      <w:marRight w:val="0"/>
      <w:marTop w:val="0"/>
      <w:marBottom w:val="0"/>
      <w:divBdr>
        <w:top w:val="none" w:sz="0" w:space="0" w:color="auto"/>
        <w:left w:val="none" w:sz="0" w:space="0" w:color="auto"/>
        <w:bottom w:val="none" w:sz="0" w:space="0" w:color="auto"/>
        <w:right w:val="none" w:sz="0" w:space="0" w:color="auto"/>
      </w:divBdr>
    </w:div>
    <w:div w:id="1445224767">
      <w:bodyDiv w:val="1"/>
      <w:marLeft w:val="0"/>
      <w:marRight w:val="0"/>
      <w:marTop w:val="0"/>
      <w:marBottom w:val="0"/>
      <w:divBdr>
        <w:top w:val="none" w:sz="0" w:space="0" w:color="auto"/>
        <w:left w:val="none" w:sz="0" w:space="0" w:color="auto"/>
        <w:bottom w:val="none" w:sz="0" w:space="0" w:color="auto"/>
        <w:right w:val="none" w:sz="0" w:space="0" w:color="auto"/>
      </w:divBdr>
    </w:div>
    <w:div w:id="1458379448">
      <w:bodyDiv w:val="1"/>
      <w:marLeft w:val="0"/>
      <w:marRight w:val="0"/>
      <w:marTop w:val="0"/>
      <w:marBottom w:val="0"/>
      <w:divBdr>
        <w:top w:val="none" w:sz="0" w:space="0" w:color="auto"/>
        <w:left w:val="none" w:sz="0" w:space="0" w:color="auto"/>
        <w:bottom w:val="none" w:sz="0" w:space="0" w:color="auto"/>
        <w:right w:val="none" w:sz="0" w:space="0" w:color="auto"/>
      </w:divBdr>
    </w:div>
    <w:div w:id="1458720427">
      <w:bodyDiv w:val="1"/>
      <w:marLeft w:val="0"/>
      <w:marRight w:val="0"/>
      <w:marTop w:val="0"/>
      <w:marBottom w:val="0"/>
      <w:divBdr>
        <w:top w:val="none" w:sz="0" w:space="0" w:color="auto"/>
        <w:left w:val="none" w:sz="0" w:space="0" w:color="auto"/>
        <w:bottom w:val="none" w:sz="0" w:space="0" w:color="auto"/>
        <w:right w:val="none" w:sz="0" w:space="0" w:color="auto"/>
      </w:divBdr>
    </w:div>
    <w:div w:id="1463187796">
      <w:bodyDiv w:val="1"/>
      <w:marLeft w:val="0"/>
      <w:marRight w:val="0"/>
      <w:marTop w:val="0"/>
      <w:marBottom w:val="0"/>
      <w:divBdr>
        <w:top w:val="none" w:sz="0" w:space="0" w:color="auto"/>
        <w:left w:val="none" w:sz="0" w:space="0" w:color="auto"/>
        <w:bottom w:val="none" w:sz="0" w:space="0" w:color="auto"/>
        <w:right w:val="none" w:sz="0" w:space="0" w:color="auto"/>
      </w:divBdr>
    </w:div>
    <w:div w:id="1464040856">
      <w:bodyDiv w:val="1"/>
      <w:marLeft w:val="0"/>
      <w:marRight w:val="0"/>
      <w:marTop w:val="0"/>
      <w:marBottom w:val="0"/>
      <w:divBdr>
        <w:top w:val="none" w:sz="0" w:space="0" w:color="auto"/>
        <w:left w:val="none" w:sz="0" w:space="0" w:color="auto"/>
        <w:bottom w:val="none" w:sz="0" w:space="0" w:color="auto"/>
        <w:right w:val="none" w:sz="0" w:space="0" w:color="auto"/>
      </w:divBdr>
    </w:div>
    <w:div w:id="1473253066">
      <w:bodyDiv w:val="1"/>
      <w:marLeft w:val="0"/>
      <w:marRight w:val="0"/>
      <w:marTop w:val="0"/>
      <w:marBottom w:val="0"/>
      <w:divBdr>
        <w:top w:val="none" w:sz="0" w:space="0" w:color="auto"/>
        <w:left w:val="none" w:sz="0" w:space="0" w:color="auto"/>
        <w:bottom w:val="none" w:sz="0" w:space="0" w:color="auto"/>
        <w:right w:val="none" w:sz="0" w:space="0" w:color="auto"/>
      </w:divBdr>
    </w:div>
    <w:div w:id="1473719603">
      <w:bodyDiv w:val="1"/>
      <w:marLeft w:val="0"/>
      <w:marRight w:val="0"/>
      <w:marTop w:val="0"/>
      <w:marBottom w:val="0"/>
      <w:divBdr>
        <w:top w:val="none" w:sz="0" w:space="0" w:color="auto"/>
        <w:left w:val="none" w:sz="0" w:space="0" w:color="auto"/>
        <w:bottom w:val="none" w:sz="0" w:space="0" w:color="auto"/>
        <w:right w:val="none" w:sz="0" w:space="0" w:color="auto"/>
      </w:divBdr>
      <w:divsChild>
        <w:div w:id="545991882">
          <w:marLeft w:val="0"/>
          <w:marRight w:val="0"/>
          <w:marTop w:val="0"/>
          <w:marBottom w:val="0"/>
          <w:divBdr>
            <w:top w:val="none" w:sz="0" w:space="0" w:color="auto"/>
            <w:left w:val="none" w:sz="0" w:space="0" w:color="auto"/>
            <w:bottom w:val="none" w:sz="0" w:space="0" w:color="auto"/>
            <w:right w:val="none" w:sz="0" w:space="0" w:color="auto"/>
          </w:divBdr>
          <w:divsChild>
            <w:div w:id="288556173">
              <w:marLeft w:val="60"/>
              <w:marRight w:val="0"/>
              <w:marTop w:val="0"/>
              <w:marBottom w:val="0"/>
              <w:divBdr>
                <w:top w:val="none" w:sz="0" w:space="0" w:color="auto"/>
                <w:left w:val="none" w:sz="0" w:space="0" w:color="auto"/>
                <w:bottom w:val="none" w:sz="0" w:space="0" w:color="auto"/>
                <w:right w:val="none" w:sz="0" w:space="0" w:color="auto"/>
              </w:divBdr>
              <w:divsChild>
                <w:div w:id="834803027">
                  <w:marLeft w:val="0"/>
                  <w:marRight w:val="0"/>
                  <w:marTop w:val="0"/>
                  <w:marBottom w:val="0"/>
                  <w:divBdr>
                    <w:top w:val="none" w:sz="0" w:space="0" w:color="auto"/>
                    <w:left w:val="none" w:sz="0" w:space="0" w:color="auto"/>
                    <w:bottom w:val="none" w:sz="0" w:space="0" w:color="auto"/>
                    <w:right w:val="none" w:sz="0" w:space="0" w:color="auto"/>
                  </w:divBdr>
                  <w:divsChild>
                    <w:div w:id="1832063569">
                      <w:marLeft w:val="0"/>
                      <w:marRight w:val="0"/>
                      <w:marTop w:val="0"/>
                      <w:marBottom w:val="120"/>
                      <w:divBdr>
                        <w:top w:val="single" w:sz="6" w:space="0" w:color="F5F5F5"/>
                        <w:left w:val="single" w:sz="6" w:space="0" w:color="F5F5F5"/>
                        <w:bottom w:val="single" w:sz="6" w:space="0" w:color="F5F5F5"/>
                        <w:right w:val="single" w:sz="6" w:space="0" w:color="F5F5F5"/>
                      </w:divBdr>
                      <w:divsChild>
                        <w:div w:id="412119237">
                          <w:marLeft w:val="0"/>
                          <w:marRight w:val="0"/>
                          <w:marTop w:val="0"/>
                          <w:marBottom w:val="0"/>
                          <w:divBdr>
                            <w:top w:val="none" w:sz="0" w:space="0" w:color="auto"/>
                            <w:left w:val="none" w:sz="0" w:space="0" w:color="auto"/>
                            <w:bottom w:val="none" w:sz="0" w:space="0" w:color="auto"/>
                            <w:right w:val="none" w:sz="0" w:space="0" w:color="auto"/>
                          </w:divBdr>
                          <w:divsChild>
                            <w:div w:id="12646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8134">
      <w:bodyDiv w:val="1"/>
      <w:marLeft w:val="0"/>
      <w:marRight w:val="0"/>
      <w:marTop w:val="0"/>
      <w:marBottom w:val="0"/>
      <w:divBdr>
        <w:top w:val="none" w:sz="0" w:space="0" w:color="auto"/>
        <w:left w:val="none" w:sz="0" w:space="0" w:color="auto"/>
        <w:bottom w:val="none" w:sz="0" w:space="0" w:color="auto"/>
        <w:right w:val="none" w:sz="0" w:space="0" w:color="auto"/>
      </w:divBdr>
    </w:div>
    <w:div w:id="1486625771">
      <w:bodyDiv w:val="1"/>
      <w:marLeft w:val="0"/>
      <w:marRight w:val="0"/>
      <w:marTop w:val="0"/>
      <w:marBottom w:val="0"/>
      <w:divBdr>
        <w:top w:val="none" w:sz="0" w:space="0" w:color="auto"/>
        <w:left w:val="none" w:sz="0" w:space="0" w:color="auto"/>
        <w:bottom w:val="none" w:sz="0" w:space="0" w:color="auto"/>
        <w:right w:val="none" w:sz="0" w:space="0" w:color="auto"/>
      </w:divBdr>
    </w:div>
    <w:div w:id="1496142460">
      <w:bodyDiv w:val="1"/>
      <w:marLeft w:val="0"/>
      <w:marRight w:val="0"/>
      <w:marTop w:val="0"/>
      <w:marBottom w:val="0"/>
      <w:divBdr>
        <w:top w:val="none" w:sz="0" w:space="0" w:color="auto"/>
        <w:left w:val="none" w:sz="0" w:space="0" w:color="auto"/>
        <w:bottom w:val="none" w:sz="0" w:space="0" w:color="auto"/>
        <w:right w:val="none" w:sz="0" w:space="0" w:color="auto"/>
      </w:divBdr>
    </w:div>
    <w:div w:id="1537698351">
      <w:bodyDiv w:val="1"/>
      <w:marLeft w:val="0"/>
      <w:marRight w:val="0"/>
      <w:marTop w:val="0"/>
      <w:marBottom w:val="0"/>
      <w:divBdr>
        <w:top w:val="none" w:sz="0" w:space="0" w:color="auto"/>
        <w:left w:val="none" w:sz="0" w:space="0" w:color="auto"/>
        <w:bottom w:val="none" w:sz="0" w:space="0" w:color="auto"/>
        <w:right w:val="none" w:sz="0" w:space="0" w:color="auto"/>
      </w:divBdr>
    </w:div>
    <w:div w:id="1542786033">
      <w:bodyDiv w:val="1"/>
      <w:marLeft w:val="0"/>
      <w:marRight w:val="0"/>
      <w:marTop w:val="0"/>
      <w:marBottom w:val="0"/>
      <w:divBdr>
        <w:top w:val="none" w:sz="0" w:space="0" w:color="auto"/>
        <w:left w:val="none" w:sz="0" w:space="0" w:color="auto"/>
        <w:bottom w:val="none" w:sz="0" w:space="0" w:color="auto"/>
        <w:right w:val="none" w:sz="0" w:space="0" w:color="auto"/>
      </w:divBdr>
    </w:div>
    <w:div w:id="1549761914">
      <w:bodyDiv w:val="1"/>
      <w:marLeft w:val="0"/>
      <w:marRight w:val="0"/>
      <w:marTop w:val="0"/>
      <w:marBottom w:val="0"/>
      <w:divBdr>
        <w:top w:val="none" w:sz="0" w:space="0" w:color="auto"/>
        <w:left w:val="none" w:sz="0" w:space="0" w:color="auto"/>
        <w:bottom w:val="none" w:sz="0" w:space="0" w:color="auto"/>
        <w:right w:val="none" w:sz="0" w:space="0" w:color="auto"/>
      </w:divBdr>
    </w:div>
    <w:div w:id="1564095476">
      <w:bodyDiv w:val="1"/>
      <w:marLeft w:val="0"/>
      <w:marRight w:val="0"/>
      <w:marTop w:val="0"/>
      <w:marBottom w:val="0"/>
      <w:divBdr>
        <w:top w:val="none" w:sz="0" w:space="0" w:color="auto"/>
        <w:left w:val="none" w:sz="0" w:space="0" w:color="auto"/>
        <w:bottom w:val="none" w:sz="0" w:space="0" w:color="auto"/>
        <w:right w:val="none" w:sz="0" w:space="0" w:color="auto"/>
      </w:divBdr>
    </w:div>
    <w:div w:id="1583103482">
      <w:bodyDiv w:val="1"/>
      <w:marLeft w:val="0"/>
      <w:marRight w:val="0"/>
      <w:marTop w:val="0"/>
      <w:marBottom w:val="0"/>
      <w:divBdr>
        <w:top w:val="none" w:sz="0" w:space="0" w:color="auto"/>
        <w:left w:val="none" w:sz="0" w:space="0" w:color="auto"/>
        <w:bottom w:val="none" w:sz="0" w:space="0" w:color="auto"/>
        <w:right w:val="none" w:sz="0" w:space="0" w:color="auto"/>
      </w:divBdr>
    </w:div>
    <w:div w:id="1583368809">
      <w:bodyDiv w:val="1"/>
      <w:marLeft w:val="0"/>
      <w:marRight w:val="0"/>
      <w:marTop w:val="0"/>
      <w:marBottom w:val="0"/>
      <w:divBdr>
        <w:top w:val="none" w:sz="0" w:space="0" w:color="auto"/>
        <w:left w:val="none" w:sz="0" w:space="0" w:color="auto"/>
        <w:bottom w:val="none" w:sz="0" w:space="0" w:color="auto"/>
        <w:right w:val="none" w:sz="0" w:space="0" w:color="auto"/>
      </w:divBdr>
    </w:div>
    <w:div w:id="1585919738">
      <w:bodyDiv w:val="1"/>
      <w:marLeft w:val="0"/>
      <w:marRight w:val="0"/>
      <w:marTop w:val="0"/>
      <w:marBottom w:val="0"/>
      <w:divBdr>
        <w:top w:val="none" w:sz="0" w:space="0" w:color="auto"/>
        <w:left w:val="none" w:sz="0" w:space="0" w:color="auto"/>
        <w:bottom w:val="none" w:sz="0" w:space="0" w:color="auto"/>
        <w:right w:val="none" w:sz="0" w:space="0" w:color="auto"/>
      </w:divBdr>
    </w:div>
    <w:div w:id="1585993496">
      <w:bodyDiv w:val="1"/>
      <w:marLeft w:val="0"/>
      <w:marRight w:val="0"/>
      <w:marTop w:val="0"/>
      <w:marBottom w:val="0"/>
      <w:divBdr>
        <w:top w:val="none" w:sz="0" w:space="0" w:color="auto"/>
        <w:left w:val="none" w:sz="0" w:space="0" w:color="auto"/>
        <w:bottom w:val="none" w:sz="0" w:space="0" w:color="auto"/>
        <w:right w:val="none" w:sz="0" w:space="0" w:color="auto"/>
      </w:divBdr>
    </w:div>
    <w:div w:id="1605267601">
      <w:bodyDiv w:val="1"/>
      <w:marLeft w:val="0"/>
      <w:marRight w:val="0"/>
      <w:marTop w:val="0"/>
      <w:marBottom w:val="0"/>
      <w:divBdr>
        <w:top w:val="none" w:sz="0" w:space="0" w:color="auto"/>
        <w:left w:val="none" w:sz="0" w:space="0" w:color="auto"/>
        <w:bottom w:val="none" w:sz="0" w:space="0" w:color="auto"/>
        <w:right w:val="none" w:sz="0" w:space="0" w:color="auto"/>
      </w:divBdr>
    </w:div>
    <w:div w:id="1619950019">
      <w:bodyDiv w:val="1"/>
      <w:marLeft w:val="0"/>
      <w:marRight w:val="0"/>
      <w:marTop w:val="0"/>
      <w:marBottom w:val="0"/>
      <w:divBdr>
        <w:top w:val="none" w:sz="0" w:space="0" w:color="auto"/>
        <w:left w:val="none" w:sz="0" w:space="0" w:color="auto"/>
        <w:bottom w:val="none" w:sz="0" w:space="0" w:color="auto"/>
        <w:right w:val="none" w:sz="0" w:space="0" w:color="auto"/>
      </w:divBdr>
    </w:div>
    <w:div w:id="1623027644">
      <w:bodyDiv w:val="1"/>
      <w:marLeft w:val="0"/>
      <w:marRight w:val="0"/>
      <w:marTop w:val="0"/>
      <w:marBottom w:val="0"/>
      <w:divBdr>
        <w:top w:val="none" w:sz="0" w:space="0" w:color="auto"/>
        <w:left w:val="none" w:sz="0" w:space="0" w:color="auto"/>
        <w:bottom w:val="none" w:sz="0" w:space="0" w:color="auto"/>
        <w:right w:val="none" w:sz="0" w:space="0" w:color="auto"/>
      </w:divBdr>
    </w:div>
    <w:div w:id="1628124203">
      <w:bodyDiv w:val="1"/>
      <w:marLeft w:val="0"/>
      <w:marRight w:val="0"/>
      <w:marTop w:val="0"/>
      <w:marBottom w:val="0"/>
      <w:divBdr>
        <w:top w:val="none" w:sz="0" w:space="0" w:color="auto"/>
        <w:left w:val="none" w:sz="0" w:space="0" w:color="auto"/>
        <w:bottom w:val="none" w:sz="0" w:space="0" w:color="auto"/>
        <w:right w:val="none" w:sz="0" w:space="0" w:color="auto"/>
      </w:divBdr>
    </w:div>
    <w:div w:id="1630699033">
      <w:bodyDiv w:val="1"/>
      <w:marLeft w:val="0"/>
      <w:marRight w:val="0"/>
      <w:marTop w:val="0"/>
      <w:marBottom w:val="0"/>
      <w:divBdr>
        <w:top w:val="none" w:sz="0" w:space="0" w:color="auto"/>
        <w:left w:val="none" w:sz="0" w:space="0" w:color="auto"/>
        <w:bottom w:val="none" w:sz="0" w:space="0" w:color="auto"/>
        <w:right w:val="none" w:sz="0" w:space="0" w:color="auto"/>
      </w:divBdr>
    </w:div>
    <w:div w:id="1645425157">
      <w:bodyDiv w:val="1"/>
      <w:marLeft w:val="0"/>
      <w:marRight w:val="0"/>
      <w:marTop w:val="0"/>
      <w:marBottom w:val="0"/>
      <w:divBdr>
        <w:top w:val="none" w:sz="0" w:space="0" w:color="auto"/>
        <w:left w:val="none" w:sz="0" w:space="0" w:color="auto"/>
        <w:bottom w:val="none" w:sz="0" w:space="0" w:color="auto"/>
        <w:right w:val="none" w:sz="0" w:space="0" w:color="auto"/>
      </w:divBdr>
    </w:div>
    <w:div w:id="1661153736">
      <w:bodyDiv w:val="1"/>
      <w:marLeft w:val="0"/>
      <w:marRight w:val="0"/>
      <w:marTop w:val="0"/>
      <w:marBottom w:val="0"/>
      <w:divBdr>
        <w:top w:val="none" w:sz="0" w:space="0" w:color="auto"/>
        <w:left w:val="none" w:sz="0" w:space="0" w:color="auto"/>
        <w:bottom w:val="none" w:sz="0" w:space="0" w:color="auto"/>
        <w:right w:val="none" w:sz="0" w:space="0" w:color="auto"/>
      </w:divBdr>
    </w:div>
    <w:div w:id="1670058875">
      <w:bodyDiv w:val="1"/>
      <w:marLeft w:val="0"/>
      <w:marRight w:val="0"/>
      <w:marTop w:val="0"/>
      <w:marBottom w:val="0"/>
      <w:divBdr>
        <w:top w:val="none" w:sz="0" w:space="0" w:color="auto"/>
        <w:left w:val="none" w:sz="0" w:space="0" w:color="auto"/>
        <w:bottom w:val="none" w:sz="0" w:space="0" w:color="auto"/>
        <w:right w:val="none" w:sz="0" w:space="0" w:color="auto"/>
      </w:divBdr>
    </w:div>
    <w:div w:id="1678313874">
      <w:bodyDiv w:val="1"/>
      <w:marLeft w:val="0"/>
      <w:marRight w:val="0"/>
      <w:marTop w:val="0"/>
      <w:marBottom w:val="0"/>
      <w:divBdr>
        <w:top w:val="none" w:sz="0" w:space="0" w:color="auto"/>
        <w:left w:val="none" w:sz="0" w:space="0" w:color="auto"/>
        <w:bottom w:val="none" w:sz="0" w:space="0" w:color="auto"/>
        <w:right w:val="none" w:sz="0" w:space="0" w:color="auto"/>
      </w:divBdr>
    </w:div>
    <w:div w:id="1685399349">
      <w:bodyDiv w:val="1"/>
      <w:marLeft w:val="0"/>
      <w:marRight w:val="0"/>
      <w:marTop w:val="0"/>
      <w:marBottom w:val="0"/>
      <w:divBdr>
        <w:top w:val="none" w:sz="0" w:space="0" w:color="auto"/>
        <w:left w:val="none" w:sz="0" w:space="0" w:color="auto"/>
        <w:bottom w:val="none" w:sz="0" w:space="0" w:color="auto"/>
        <w:right w:val="none" w:sz="0" w:space="0" w:color="auto"/>
      </w:divBdr>
    </w:div>
    <w:div w:id="1697464232">
      <w:bodyDiv w:val="1"/>
      <w:marLeft w:val="0"/>
      <w:marRight w:val="0"/>
      <w:marTop w:val="0"/>
      <w:marBottom w:val="0"/>
      <w:divBdr>
        <w:top w:val="none" w:sz="0" w:space="0" w:color="auto"/>
        <w:left w:val="none" w:sz="0" w:space="0" w:color="auto"/>
        <w:bottom w:val="none" w:sz="0" w:space="0" w:color="auto"/>
        <w:right w:val="none" w:sz="0" w:space="0" w:color="auto"/>
      </w:divBdr>
    </w:div>
    <w:div w:id="1698507302">
      <w:bodyDiv w:val="1"/>
      <w:marLeft w:val="0"/>
      <w:marRight w:val="0"/>
      <w:marTop w:val="0"/>
      <w:marBottom w:val="0"/>
      <w:divBdr>
        <w:top w:val="none" w:sz="0" w:space="0" w:color="auto"/>
        <w:left w:val="none" w:sz="0" w:space="0" w:color="auto"/>
        <w:bottom w:val="none" w:sz="0" w:space="0" w:color="auto"/>
        <w:right w:val="none" w:sz="0" w:space="0" w:color="auto"/>
      </w:divBdr>
    </w:div>
    <w:div w:id="1705255044">
      <w:bodyDiv w:val="1"/>
      <w:marLeft w:val="0"/>
      <w:marRight w:val="0"/>
      <w:marTop w:val="0"/>
      <w:marBottom w:val="0"/>
      <w:divBdr>
        <w:top w:val="none" w:sz="0" w:space="0" w:color="auto"/>
        <w:left w:val="none" w:sz="0" w:space="0" w:color="auto"/>
        <w:bottom w:val="none" w:sz="0" w:space="0" w:color="auto"/>
        <w:right w:val="none" w:sz="0" w:space="0" w:color="auto"/>
      </w:divBdr>
    </w:div>
    <w:div w:id="1706830295">
      <w:bodyDiv w:val="1"/>
      <w:marLeft w:val="0"/>
      <w:marRight w:val="0"/>
      <w:marTop w:val="0"/>
      <w:marBottom w:val="0"/>
      <w:divBdr>
        <w:top w:val="none" w:sz="0" w:space="0" w:color="auto"/>
        <w:left w:val="none" w:sz="0" w:space="0" w:color="auto"/>
        <w:bottom w:val="none" w:sz="0" w:space="0" w:color="auto"/>
        <w:right w:val="none" w:sz="0" w:space="0" w:color="auto"/>
      </w:divBdr>
    </w:div>
    <w:div w:id="1709258018">
      <w:bodyDiv w:val="1"/>
      <w:marLeft w:val="0"/>
      <w:marRight w:val="0"/>
      <w:marTop w:val="0"/>
      <w:marBottom w:val="0"/>
      <w:divBdr>
        <w:top w:val="none" w:sz="0" w:space="0" w:color="auto"/>
        <w:left w:val="none" w:sz="0" w:space="0" w:color="auto"/>
        <w:bottom w:val="none" w:sz="0" w:space="0" w:color="auto"/>
        <w:right w:val="none" w:sz="0" w:space="0" w:color="auto"/>
      </w:divBdr>
    </w:div>
    <w:div w:id="1713925177">
      <w:bodyDiv w:val="1"/>
      <w:marLeft w:val="0"/>
      <w:marRight w:val="0"/>
      <w:marTop w:val="0"/>
      <w:marBottom w:val="0"/>
      <w:divBdr>
        <w:top w:val="none" w:sz="0" w:space="0" w:color="auto"/>
        <w:left w:val="none" w:sz="0" w:space="0" w:color="auto"/>
        <w:bottom w:val="none" w:sz="0" w:space="0" w:color="auto"/>
        <w:right w:val="none" w:sz="0" w:space="0" w:color="auto"/>
      </w:divBdr>
    </w:div>
    <w:div w:id="1719013675">
      <w:bodyDiv w:val="1"/>
      <w:marLeft w:val="0"/>
      <w:marRight w:val="0"/>
      <w:marTop w:val="0"/>
      <w:marBottom w:val="0"/>
      <w:divBdr>
        <w:top w:val="none" w:sz="0" w:space="0" w:color="auto"/>
        <w:left w:val="none" w:sz="0" w:space="0" w:color="auto"/>
        <w:bottom w:val="none" w:sz="0" w:space="0" w:color="auto"/>
        <w:right w:val="none" w:sz="0" w:space="0" w:color="auto"/>
      </w:divBdr>
    </w:div>
    <w:div w:id="1740320512">
      <w:bodyDiv w:val="1"/>
      <w:marLeft w:val="0"/>
      <w:marRight w:val="0"/>
      <w:marTop w:val="0"/>
      <w:marBottom w:val="0"/>
      <w:divBdr>
        <w:top w:val="none" w:sz="0" w:space="0" w:color="auto"/>
        <w:left w:val="none" w:sz="0" w:space="0" w:color="auto"/>
        <w:bottom w:val="none" w:sz="0" w:space="0" w:color="auto"/>
        <w:right w:val="none" w:sz="0" w:space="0" w:color="auto"/>
      </w:divBdr>
    </w:div>
    <w:div w:id="1743333681">
      <w:bodyDiv w:val="1"/>
      <w:marLeft w:val="0"/>
      <w:marRight w:val="0"/>
      <w:marTop w:val="0"/>
      <w:marBottom w:val="0"/>
      <w:divBdr>
        <w:top w:val="none" w:sz="0" w:space="0" w:color="auto"/>
        <w:left w:val="none" w:sz="0" w:space="0" w:color="auto"/>
        <w:bottom w:val="none" w:sz="0" w:space="0" w:color="auto"/>
        <w:right w:val="none" w:sz="0" w:space="0" w:color="auto"/>
      </w:divBdr>
    </w:div>
    <w:div w:id="1746296400">
      <w:bodyDiv w:val="1"/>
      <w:marLeft w:val="0"/>
      <w:marRight w:val="0"/>
      <w:marTop w:val="0"/>
      <w:marBottom w:val="0"/>
      <w:divBdr>
        <w:top w:val="none" w:sz="0" w:space="0" w:color="auto"/>
        <w:left w:val="none" w:sz="0" w:space="0" w:color="auto"/>
        <w:bottom w:val="none" w:sz="0" w:space="0" w:color="auto"/>
        <w:right w:val="none" w:sz="0" w:space="0" w:color="auto"/>
      </w:divBdr>
    </w:div>
    <w:div w:id="1775321759">
      <w:bodyDiv w:val="1"/>
      <w:marLeft w:val="0"/>
      <w:marRight w:val="0"/>
      <w:marTop w:val="0"/>
      <w:marBottom w:val="0"/>
      <w:divBdr>
        <w:top w:val="none" w:sz="0" w:space="0" w:color="auto"/>
        <w:left w:val="none" w:sz="0" w:space="0" w:color="auto"/>
        <w:bottom w:val="none" w:sz="0" w:space="0" w:color="auto"/>
        <w:right w:val="none" w:sz="0" w:space="0" w:color="auto"/>
      </w:divBdr>
    </w:div>
    <w:div w:id="1782799926">
      <w:bodyDiv w:val="1"/>
      <w:marLeft w:val="0"/>
      <w:marRight w:val="0"/>
      <w:marTop w:val="0"/>
      <w:marBottom w:val="0"/>
      <w:divBdr>
        <w:top w:val="none" w:sz="0" w:space="0" w:color="auto"/>
        <w:left w:val="none" w:sz="0" w:space="0" w:color="auto"/>
        <w:bottom w:val="none" w:sz="0" w:space="0" w:color="auto"/>
        <w:right w:val="none" w:sz="0" w:space="0" w:color="auto"/>
      </w:divBdr>
    </w:div>
    <w:div w:id="1788623597">
      <w:bodyDiv w:val="1"/>
      <w:marLeft w:val="0"/>
      <w:marRight w:val="0"/>
      <w:marTop w:val="0"/>
      <w:marBottom w:val="0"/>
      <w:divBdr>
        <w:top w:val="none" w:sz="0" w:space="0" w:color="auto"/>
        <w:left w:val="none" w:sz="0" w:space="0" w:color="auto"/>
        <w:bottom w:val="none" w:sz="0" w:space="0" w:color="auto"/>
        <w:right w:val="none" w:sz="0" w:space="0" w:color="auto"/>
      </w:divBdr>
    </w:div>
    <w:div w:id="1812206158">
      <w:bodyDiv w:val="1"/>
      <w:marLeft w:val="0"/>
      <w:marRight w:val="0"/>
      <w:marTop w:val="0"/>
      <w:marBottom w:val="0"/>
      <w:divBdr>
        <w:top w:val="none" w:sz="0" w:space="0" w:color="auto"/>
        <w:left w:val="none" w:sz="0" w:space="0" w:color="auto"/>
        <w:bottom w:val="none" w:sz="0" w:space="0" w:color="auto"/>
        <w:right w:val="none" w:sz="0" w:space="0" w:color="auto"/>
      </w:divBdr>
    </w:div>
    <w:div w:id="1833567741">
      <w:bodyDiv w:val="1"/>
      <w:marLeft w:val="0"/>
      <w:marRight w:val="0"/>
      <w:marTop w:val="0"/>
      <w:marBottom w:val="0"/>
      <w:divBdr>
        <w:top w:val="none" w:sz="0" w:space="0" w:color="auto"/>
        <w:left w:val="none" w:sz="0" w:space="0" w:color="auto"/>
        <w:bottom w:val="none" w:sz="0" w:space="0" w:color="auto"/>
        <w:right w:val="none" w:sz="0" w:space="0" w:color="auto"/>
      </w:divBdr>
    </w:div>
    <w:div w:id="1843928711">
      <w:bodyDiv w:val="1"/>
      <w:marLeft w:val="0"/>
      <w:marRight w:val="0"/>
      <w:marTop w:val="0"/>
      <w:marBottom w:val="0"/>
      <w:divBdr>
        <w:top w:val="none" w:sz="0" w:space="0" w:color="auto"/>
        <w:left w:val="none" w:sz="0" w:space="0" w:color="auto"/>
        <w:bottom w:val="none" w:sz="0" w:space="0" w:color="auto"/>
        <w:right w:val="none" w:sz="0" w:space="0" w:color="auto"/>
      </w:divBdr>
    </w:div>
    <w:div w:id="1886520100">
      <w:bodyDiv w:val="1"/>
      <w:marLeft w:val="0"/>
      <w:marRight w:val="0"/>
      <w:marTop w:val="0"/>
      <w:marBottom w:val="0"/>
      <w:divBdr>
        <w:top w:val="none" w:sz="0" w:space="0" w:color="auto"/>
        <w:left w:val="none" w:sz="0" w:space="0" w:color="auto"/>
        <w:bottom w:val="none" w:sz="0" w:space="0" w:color="auto"/>
        <w:right w:val="none" w:sz="0" w:space="0" w:color="auto"/>
      </w:divBdr>
    </w:div>
    <w:div w:id="1890801303">
      <w:bodyDiv w:val="1"/>
      <w:marLeft w:val="0"/>
      <w:marRight w:val="0"/>
      <w:marTop w:val="0"/>
      <w:marBottom w:val="0"/>
      <w:divBdr>
        <w:top w:val="none" w:sz="0" w:space="0" w:color="auto"/>
        <w:left w:val="none" w:sz="0" w:space="0" w:color="auto"/>
        <w:bottom w:val="none" w:sz="0" w:space="0" w:color="auto"/>
        <w:right w:val="none" w:sz="0" w:space="0" w:color="auto"/>
      </w:divBdr>
    </w:div>
    <w:div w:id="1907034814">
      <w:bodyDiv w:val="1"/>
      <w:marLeft w:val="0"/>
      <w:marRight w:val="0"/>
      <w:marTop w:val="0"/>
      <w:marBottom w:val="0"/>
      <w:divBdr>
        <w:top w:val="none" w:sz="0" w:space="0" w:color="auto"/>
        <w:left w:val="none" w:sz="0" w:space="0" w:color="auto"/>
        <w:bottom w:val="none" w:sz="0" w:space="0" w:color="auto"/>
        <w:right w:val="none" w:sz="0" w:space="0" w:color="auto"/>
      </w:divBdr>
      <w:divsChild>
        <w:div w:id="138282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 w:id="1911891160">
      <w:bodyDiv w:val="1"/>
      <w:marLeft w:val="0"/>
      <w:marRight w:val="0"/>
      <w:marTop w:val="0"/>
      <w:marBottom w:val="0"/>
      <w:divBdr>
        <w:top w:val="none" w:sz="0" w:space="0" w:color="auto"/>
        <w:left w:val="none" w:sz="0" w:space="0" w:color="auto"/>
        <w:bottom w:val="none" w:sz="0" w:space="0" w:color="auto"/>
        <w:right w:val="none" w:sz="0" w:space="0" w:color="auto"/>
      </w:divBdr>
    </w:div>
    <w:div w:id="1918978671">
      <w:bodyDiv w:val="1"/>
      <w:marLeft w:val="0"/>
      <w:marRight w:val="0"/>
      <w:marTop w:val="0"/>
      <w:marBottom w:val="0"/>
      <w:divBdr>
        <w:top w:val="none" w:sz="0" w:space="0" w:color="auto"/>
        <w:left w:val="none" w:sz="0" w:space="0" w:color="auto"/>
        <w:bottom w:val="none" w:sz="0" w:space="0" w:color="auto"/>
        <w:right w:val="none" w:sz="0" w:space="0" w:color="auto"/>
      </w:divBdr>
    </w:div>
    <w:div w:id="1922256139">
      <w:bodyDiv w:val="1"/>
      <w:marLeft w:val="0"/>
      <w:marRight w:val="0"/>
      <w:marTop w:val="0"/>
      <w:marBottom w:val="0"/>
      <w:divBdr>
        <w:top w:val="none" w:sz="0" w:space="0" w:color="auto"/>
        <w:left w:val="none" w:sz="0" w:space="0" w:color="auto"/>
        <w:bottom w:val="none" w:sz="0" w:space="0" w:color="auto"/>
        <w:right w:val="none" w:sz="0" w:space="0" w:color="auto"/>
      </w:divBdr>
    </w:div>
    <w:div w:id="1928153161">
      <w:bodyDiv w:val="1"/>
      <w:marLeft w:val="0"/>
      <w:marRight w:val="0"/>
      <w:marTop w:val="0"/>
      <w:marBottom w:val="0"/>
      <w:divBdr>
        <w:top w:val="none" w:sz="0" w:space="0" w:color="auto"/>
        <w:left w:val="none" w:sz="0" w:space="0" w:color="auto"/>
        <w:bottom w:val="none" w:sz="0" w:space="0" w:color="auto"/>
        <w:right w:val="none" w:sz="0" w:space="0" w:color="auto"/>
      </w:divBdr>
    </w:div>
    <w:div w:id="1935240433">
      <w:bodyDiv w:val="1"/>
      <w:marLeft w:val="0"/>
      <w:marRight w:val="0"/>
      <w:marTop w:val="0"/>
      <w:marBottom w:val="0"/>
      <w:divBdr>
        <w:top w:val="none" w:sz="0" w:space="0" w:color="auto"/>
        <w:left w:val="none" w:sz="0" w:space="0" w:color="auto"/>
        <w:bottom w:val="none" w:sz="0" w:space="0" w:color="auto"/>
        <w:right w:val="none" w:sz="0" w:space="0" w:color="auto"/>
      </w:divBdr>
    </w:div>
    <w:div w:id="1947107197">
      <w:bodyDiv w:val="1"/>
      <w:marLeft w:val="0"/>
      <w:marRight w:val="0"/>
      <w:marTop w:val="0"/>
      <w:marBottom w:val="0"/>
      <w:divBdr>
        <w:top w:val="none" w:sz="0" w:space="0" w:color="auto"/>
        <w:left w:val="none" w:sz="0" w:space="0" w:color="auto"/>
        <w:bottom w:val="none" w:sz="0" w:space="0" w:color="auto"/>
        <w:right w:val="none" w:sz="0" w:space="0" w:color="auto"/>
      </w:divBdr>
    </w:div>
    <w:div w:id="1955820446">
      <w:bodyDiv w:val="1"/>
      <w:marLeft w:val="0"/>
      <w:marRight w:val="0"/>
      <w:marTop w:val="0"/>
      <w:marBottom w:val="0"/>
      <w:divBdr>
        <w:top w:val="none" w:sz="0" w:space="0" w:color="auto"/>
        <w:left w:val="none" w:sz="0" w:space="0" w:color="auto"/>
        <w:bottom w:val="none" w:sz="0" w:space="0" w:color="auto"/>
        <w:right w:val="none" w:sz="0" w:space="0" w:color="auto"/>
      </w:divBdr>
    </w:div>
    <w:div w:id="1962572692">
      <w:bodyDiv w:val="1"/>
      <w:marLeft w:val="0"/>
      <w:marRight w:val="0"/>
      <w:marTop w:val="0"/>
      <w:marBottom w:val="0"/>
      <w:divBdr>
        <w:top w:val="none" w:sz="0" w:space="0" w:color="auto"/>
        <w:left w:val="none" w:sz="0" w:space="0" w:color="auto"/>
        <w:bottom w:val="none" w:sz="0" w:space="0" w:color="auto"/>
        <w:right w:val="none" w:sz="0" w:space="0" w:color="auto"/>
      </w:divBdr>
    </w:div>
    <w:div w:id="1985503303">
      <w:bodyDiv w:val="1"/>
      <w:marLeft w:val="0"/>
      <w:marRight w:val="0"/>
      <w:marTop w:val="0"/>
      <w:marBottom w:val="0"/>
      <w:divBdr>
        <w:top w:val="none" w:sz="0" w:space="0" w:color="auto"/>
        <w:left w:val="none" w:sz="0" w:space="0" w:color="auto"/>
        <w:bottom w:val="none" w:sz="0" w:space="0" w:color="auto"/>
        <w:right w:val="none" w:sz="0" w:space="0" w:color="auto"/>
      </w:divBdr>
    </w:div>
    <w:div w:id="2000696787">
      <w:bodyDiv w:val="1"/>
      <w:marLeft w:val="0"/>
      <w:marRight w:val="0"/>
      <w:marTop w:val="0"/>
      <w:marBottom w:val="0"/>
      <w:divBdr>
        <w:top w:val="none" w:sz="0" w:space="0" w:color="auto"/>
        <w:left w:val="none" w:sz="0" w:space="0" w:color="auto"/>
        <w:bottom w:val="none" w:sz="0" w:space="0" w:color="auto"/>
        <w:right w:val="none" w:sz="0" w:space="0" w:color="auto"/>
      </w:divBdr>
    </w:div>
    <w:div w:id="2004501075">
      <w:bodyDiv w:val="1"/>
      <w:marLeft w:val="0"/>
      <w:marRight w:val="0"/>
      <w:marTop w:val="0"/>
      <w:marBottom w:val="0"/>
      <w:divBdr>
        <w:top w:val="none" w:sz="0" w:space="0" w:color="auto"/>
        <w:left w:val="none" w:sz="0" w:space="0" w:color="auto"/>
        <w:bottom w:val="none" w:sz="0" w:space="0" w:color="auto"/>
        <w:right w:val="none" w:sz="0" w:space="0" w:color="auto"/>
      </w:divBdr>
    </w:div>
    <w:div w:id="2005816515">
      <w:bodyDiv w:val="1"/>
      <w:marLeft w:val="0"/>
      <w:marRight w:val="0"/>
      <w:marTop w:val="0"/>
      <w:marBottom w:val="0"/>
      <w:divBdr>
        <w:top w:val="none" w:sz="0" w:space="0" w:color="auto"/>
        <w:left w:val="none" w:sz="0" w:space="0" w:color="auto"/>
        <w:bottom w:val="none" w:sz="0" w:space="0" w:color="auto"/>
        <w:right w:val="none" w:sz="0" w:space="0" w:color="auto"/>
      </w:divBdr>
    </w:div>
    <w:div w:id="2012830292">
      <w:bodyDiv w:val="1"/>
      <w:marLeft w:val="0"/>
      <w:marRight w:val="0"/>
      <w:marTop w:val="0"/>
      <w:marBottom w:val="0"/>
      <w:divBdr>
        <w:top w:val="none" w:sz="0" w:space="0" w:color="auto"/>
        <w:left w:val="none" w:sz="0" w:space="0" w:color="auto"/>
        <w:bottom w:val="none" w:sz="0" w:space="0" w:color="auto"/>
        <w:right w:val="none" w:sz="0" w:space="0" w:color="auto"/>
      </w:divBdr>
    </w:div>
    <w:div w:id="2024091188">
      <w:bodyDiv w:val="1"/>
      <w:marLeft w:val="0"/>
      <w:marRight w:val="0"/>
      <w:marTop w:val="0"/>
      <w:marBottom w:val="0"/>
      <w:divBdr>
        <w:top w:val="none" w:sz="0" w:space="0" w:color="auto"/>
        <w:left w:val="none" w:sz="0" w:space="0" w:color="auto"/>
        <w:bottom w:val="none" w:sz="0" w:space="0" w:color="auto"/>
        <w:right w:val="none" w:sz="0" w:space="0" w:color="auto"/>
      </w:divBdr>
    </w:div>
    <w:div w:id="2028023585">
      <w:bodyDiv w:val="1"/>
      <w:marLeft w:val="0"/>
      <w:marRight w:val="0"/>
      <w:marTop w:val="0"/>
      <w:marBottom w:val="0"/>
      <w:divBdr>
        <w:top w:val="none" w:sz="0" w:space="0" w:color="auto"/>
        <w:left w:val="none" w:sz="0" w:space="0" w:color="auto"/>
        <w:bottom w:val="none" w:sz="0" w:space="0" w:color="auto"/>
        <w:right w:val="none" w:sz="0" w:space="0" w:color="auto"/>
      </w:divBdr>
    </w:div>
    <w:div w:id="2028213932">
      <w:bodyDiv w:val="1"/>
      <w:marLeft w:val="0"/>
      <w:marRight w:val="0"/>
      <w:marTop w:val="0"/>
      <w:marBottom w:val="0"/>
      <w:divBdr>
        <w:top w:val="none" w:sz="0" w:space="0" w:color="auto"/>
        <w:left w:val="none" w:sz="0" w:space="0" w:color="auto"/>
        <w:bottom w:val="none" w:sz="0" w:space="0" w:color="auto"/>
        <w:right w:val="none" w:sz="0" w:space="0" w:color="auto"/>
      </w:divBdr>
    </w:div>
    <w:div w:id="2044742792">
      <w:bodyDiv w:val="1"/>
      <w:marLeft w:val="0"/>
      <w:marRight w:val="0"/>
      <w:marTop w:val="0"/>
      <w:marBottom w:val="0"/>
      <w:divBdr>
        <w:top w:val="none" w:sz="0" w:space="0" w:color="auto"/>
        <w:left w:val="none" w:sz="0" w:space="0" w:color="auto"/>
        <w:bottom w:val="none" w:sz="0" w:space="0" w:color="auto"/>
        <w:right w:val="none" w:sz="0" w:space="0" w:color="auto"/>
      </w:divBdr>
    </w:div>
    <w:div w:id="2047366044">
      <w:bodyDiv w:val="1"/>
      <w:marLeft w:val="0"/>
      <w:marRight w:val="0"/>
      <w:marTop w:val="0"/>
      <w:marBottom w:val="0"/>
      <w:divBdr>
        <w:top w:val="none" w:sz="0" w:space="0" w:color="auto"/>
        <w:left w:val="none" w:sz="0" w:space="0" w:color="auto"/>
        <w:bottom w:val="none" w:sz="0" w:space="0" w:color="auto"/>
        <w:right w:val="none" w:sz="0" w:space="0" w:color="auto"/>
      </w:divBdr>
    </w:div>
    <w:div w:id="2050254975">
      <w:bodyDiv w:val="1"/>
      <w:marLeft w:val="0"/>
      <w:marRight w:val="0"/>
      <w:marTop w:val="0"/>
      <w:marBottom w:val="0"/>
      <w:divBdr>
        <w:top w:val="none" w:sz="0" w:space="0" w:color="auto"/>
        <w:left w:val="none" w:sz="0" w:space="0" w:color="auto"/>
        <w:bottom w:val="none" w:sz="0" w:space="0" w:color="auto"/>
        <w:right w:val="none" w:sz="0" w:space="0" w:color="auto"/>
      </w:divBdr>
    </w:div>
    <w:div w:id="2089378298">
      <w:bodyDiv w:val="1"/>
      <w:marLeft w:val="0"/>
      <w:marRight w:val="0"/>
      <w:marTop w:val="0"/>
      <w:marBottom w:val="0"/>
      <w:divBdr>
        <w:top w:val="none" w:sz="0" w:space="0" w:color="auto"/>
        <w:left w:val="none" w:sz="0" w:space="0" w:color="auto"/>
        <w:bottom w:val="none" w:sz="0" w:space="0" w:color="auto"/>
        <w:right w:val="none" w:sz="0" w:space="0" w:color="auto"/>
      </w:divBdr>
    </w:div>
    <w:div w:id="2094164548">
      <w:bodyDiv w:val="1"/>
      <w:marLeft w:val="0"/>
      <w:marRight w:val="0"/>
      <w:marTop w:val="0"/>
      <w:marBottom w:val="0"/>
      <w:divBdr>
        <w:top w:val="none" w:sz="0" w:space="0" w:color="auto"/>
        <w:left w:val="none" w:sz="0" w:space="0" w:color="auto"/>
        <w:bottom w:val="none" w:sz="0" w:space="0" w:color="auto"/>
        <w:right w:val="none" w:sz="0" w:space="0" w:color="auto"/>
      </w:divBdr>
    </w:div>
    <w:div w:id="2103067677">
      <w:bodyDiv w:val="1"/>
      <w:marLeft w:val="0"/>
      <w:marRight w:val="0"/>
      <w:marTop w:val="0"/>
      <w:marBottom w:val="0"/>
      <w:divBdr>
        <w:top w:val="none" w:sz="0" w:space="0" w:color="auto"/>
        <w:left w:val="none" w:sz="0" w:space="0" w:color="auto"/>
        <w:bottom w:val="none" w:sz="0" w:space="0" w:color="auto"/>
        <w:right w:val="none" w:sz="0" w:space="0" w:color="auto"/>
      </w:divBdr>
    </w:div>
    <w:div w:id="2103182762">
      <w:bodyDiv w:val="1"/>
      <w:marLeft w:val="0"/>
      <w:marRight w:val="0"/>
      <w:marTop w:val="0"/>
      <w:marBottom w:val="0"/>
      <w:divBdr>
        <w:top w:val="none" w:sz="0" w:space="0" w:color="auto"/>
        <w:left w:val="none" w:sz="0" w:space="0" w:color="auto"/>
        <w:bottom w:val="none" w:sz="0" w:space="0" w:color="auto"/>
        <w:right w:val="none" w:sz="0" w:space="0" w:color="auto"/>
      </w:divBdr>
      <w:divsChild>
        <w:div w:id="364865029">
          <w:marLeft w:val="374"/>
          <w:marRight w:val="0"/>
          <w:marTop w:val="0"/>
          <w:marBottom w:val="60"/>
          <w:divBdr>
            <w:top w:val="none" w:sz="0" w:space="0" w:color="auto"/>
            <w:left w:val="none" w:sz="0" w:space="0" w:color="auto"/>
            <w:bottom w:val="none" w:sz="0" w:space="0" w:color="auto"/>
            <w:right w:val="none" w:sz="0" w:space="0" w:color="auto"/>
          </w:divBdr>
        </w:div>
        <w:div w:id="1281112688">
          <w:marLeft w:val="374"/>
          <w:marRight w:val="0"/>
          <w:marTop w:val="0"/>
          <w:marBottom w:val="60"/>
          <w:divBdr>
            <w:top w:val="none" w:sz="0" w:space="0" w:color="auto"/>
            <w:left w:val="none" w:sz="0" w:space="0" w:color="auto"/>
            <w:bottom w:val="none" w:sz="0" w:space="0" w:color="auto"/>
            <w:right w:val="none" w:sz="0" w:space="0" w:color="auto"/>
          </w:divBdr>
        </w:div>
        <w:div w:id="1393962748">
          <w:marLeft w:val="374"/>
          <w:marRight w:val="0"/>
          <w:marTop w:val="0"/>
          <w:marBottom w:val="60"/>
          <w:divBdr>
            <w:top w:val="none" w:sz="0" w:space="0" w:color="auto"/>
            <w:left w:val="none" w:sz="0" w:space="0" w:color="auto"/>
            <w:bottom w:val="none" w:sz="0" w:space="0" w:color="auto"/>
            <w:right w:val="none" w:sz="0" w:space="0" w:color="auto"/>
          </w:divBdr>
        </w:div>
        <w:div w:id="1472868784">
          <w:marLeft w:val="374"/>
          <w:marRight w:val="0"/>
          <w:marTop w:val="0"/>
          <w:marBottom w:val="60"/>
          <w:divBdr>
            <w:top w:val="none" w:sz="0" w:space="0" w:color="auto"/>
            <w:left w:val="none" w:sz="0" w:space="0" w:color="auto"/>
            <w:bottom w:val="none" w:sz="0" w:space="0" w:color="auto"/>
            <w:right w:val="none" w:sz="0" w:space="0" w:color="auto"/>
          </w:divBdr>
        </w:div>
        <w:div w:id="1668165503">
          <w:marLeft w:val="374"/>
          <w:marRight w:val="0"/>
          <w:marTop w:val="0"/>
          <w:marBottom w:val="60"/>
          <w:divBdr>
            <w:top w:val="none" w:sz="0" w:space="0" w:color="auto"/>
            <w:left w:val="none" w:sz="0" w:space="0" w:color="auto"/>
            <w:bottom w:val="none" w:sz="0" w:space="0" w:color="auto"/>
            <w:right w:val="none" w:sz="0" w:space="0" w:color="auto"/>
          </w:divBdr>
        </w:div>
        <w:div w:id="2070152313">
          <w:marLeft w:val="374"/>
          <w:marRight w:val="0"/>
          <w:marTop w:val="0"/>
          <w:marBottom w:val="60"/>
          <w:divBdr>
            <w:top w:val="none" w:sz="0" w:space="0" w:color="auto"/>
            <w:left w:val="none" w:sz="0" w:space="0" w:color="auto"/>
            <w:bottom w:val="none" w:sz="0" w:space="0" w:color="auto"/>
            <w:right w:val="none" w:sz="0" w:space="0" w:color="auto"/>
          </w:divBdr>
        </w:div>
        <w:div w:id="2130313778">
          <w:marLeft w:val="374"/>
          <w:marRight w:val="0"/>
          <w:marTop w:val="0"/>
          <w:marBottom w:val="60"/>
          <w:divBdr>
            <w:top w:val="none" w:sz="0" w:space="0" w:color="auto"/>
            <w:left w:val="none" w:sz="0" w:space="0" w:color="auto"/>
            <w:bottom w:val="none" w:sz="0" w:space="0" w:color="auto"/>
            <w:right w:val="none" w:sz="0" w:space="0" w:color="auto"/>
          </w:divBdr>
        </w:div>
      </w:divsChild>
    </w:div>
    <w:div w:id="2112697498">
      <w:bodyDiv w:val="1"/>
      <w:marLeft w:val="0"/>
      <w:marRight w:val="0"/>
      <w:marTop w:val="0"/>
      <w:marBottom w:val="0"/>
      <w:divBdr>
        <w:top w:val="none" w:sz="0" w:space="0" w:color="auto"/>
        <w:left w:val="none" w:sz="0" w:space="0" w:color="auto"/>
        <w:bottom w:val="none" w:sz="0" w:space="0" w:color="auto"/>
        <w:right w:val="none" w:sz="0" w:space="0" w:color="auto"/>
      </w:divBdr>
    </w:div>
    <w:div w:id="2116827708">
      <w:bodyDiv w:val="1"/>
      <w:marLeft w:val="0"/>
      <w:marRight w:val="0"/>
      <w:marTop w:val="0"/>
      <w:marBottom w:val="0"/>
      <w:divBdr>
        <w:top w:val="none" w:sz="0" w:space="0" w:color="auto"/>
        <w:left w:val="none" w:sz="0" w:space="0" w:color="auto"/>
        <w:bottom w:val="none" w:sz="0" w:space="0" w:color="auto"/>
        <w:right w:val="none" w:sz="0" w:space="0" w:color="auto"/>
      </w:divBdr>
    </w:div>
    <w:div w:id="2117283351">
      <w:bodyDiv w:val="1"/>
      <w:marLeft w:val="0"/>
      <w:marRight w:val="0"/>
      <w:marTop w:val="0"/>
      <w:marBottom w:val="0"/>
      <w:divBdr>
        <w:top w:val="none" w:sz="0" w:space="0" w:color="auto"/>
        <w:left w:val="none" w:sz="0" w:space="0" w:color="auto"/>
        <w:bottom w:val="none" w:sz="0" w:space="0" w:color="auto"/>
        <w:right w:val="none" w:sz="0" w:space="0" w:color="auto"/>
      </w:divBdr>
    </w:div>
    <w:div w:id="2123726067">
      <w:bodyDiv w:val="1"/>
      <w:marLeft w:val="0"/>
      <w:marRight w:val="0"/>
      <w:marTop w:val="0"/>
      <w:marBottom w:val="0"/>
      <w:divBdr>
        <w:top w:val="none" w:sz="0" w:space="0" w:color="auto"/>
        <w:left w:val="none" w:sz="0" w:space="0" w:color="auto"/>
        <w:bottom w:val="none" w:sz="0" w:space="0" w:color="auto"/>
        <w:right w:val="none" w:sz="0" w:space="0" w:color="auto"/>
      </w:divBdr>
    </w:div>
    <w:div w:id="2123836490">
      <w:bodyDiv w:val="1"/>
      <w:marLeft w:val="0"/>
      <w:marRight w:val="0"/>
      <w:marTop w:val="0"/>
      <w:marBottom w:val="0"/>
      <w:divBdr>
        <w:top w:val="none" w:sz="0" w:space="0" w:color="auto"/>
        <w:left w:val="none" w:sz="0" w:space="0" w:color="auto"/>
        <w:bottom w:val="none" w:sz="0" w:space="0" w:color="auto"/>
        <w:right w:val="none" w:sz="0" w:space="0" w:color="auto"/>
      </w:divBdr>
    </w:div>
    <w:div w:id="2126804102">
      <w:bodyDiv w:val="1"/>
      <w:marLeft w:val="0"/>
      <w:marRight w:val="0"/>
      <w:marTop w:val="0"/>
      <w:marBottom w:val="0"/>
      <w:divBdr>
        <w:top w:val="none" w:sz="0" w:space="0" w:color="auto"/>
        <w:left w:val="none" w:sz="0" w:space="0" w:color="auto"/>
        <w:bottom w:val="none" w:sz="0" w:space="0" w:color="auto"/>
        <w:right w:val="none" w:sz="0" w:space="0" w:color="auto"/>
      </w:divBdr>
    </w:div>
    <w:div w:id="2131165645">
      <w:bodyDiv w:val="1"/>
      <w:marLeft w:val="0"/>
      <w:marRight w:val="0"/>
      <w:marTop w:val="0"/>
      <w:marBottom w:val="0"/>
      <w:divBdr>
        <w:top w:val="none" w:sz="0" w:space="0" w:color="auto"/>
        <w:left w:val="none" w:sz="0" w:space="0" w:color="auto"/>
        <w:bottom w:val="none" w:sz="0" w:space="0" w:color="auto"/>
        <w:right w:val="none" w:sz="0" w:space="0" w:color="auto"/>
      </w:divBdr>
      <w:divsChild>
        <w:div w:id="18949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891735">
      <w:bodyDiv w:val="1"/>
      <w:marLeft w:val="0"/>
      <w:marRight w:val="0"/>
      <w:marTop w:val="0"/>
      <w:marBottom w:val="0"/>
      <w:divBdr>
        <w:top w:val="none" w:sz="0" w:space="0" w:color="auto"/>
        <w:left w:val="none" w:sz="0" w:space="0" w:color="auto"/>
        <w:bottom w:val="none" w:sz="0" w:space="0" w:color="auto"/>
        <w:right w:val="none" w:sz="0" w:space="0" w:color="auto"/>
      </w:divBdr>
    </w:div>
    <w:div w:id="214665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phosagro.ru" TargetMode="External"/><Relationship Id="rId4" Type="http://schemas.openxmlformats.org/officeDocument/2006/relationships/settings" Target="settings.xml"/><Relationship Id="rId9" Type="http://schemas.openxmlformats.org/officeDocument/2006/relationships/hyperlink" Target="mailto:ir@phosagro.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1B530-9B21-41EC-AEC9-4F1DEC8C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2023-11-09T07:00:00Z</dcterms:created>
  <dcterms:modified xsi:type="dcterms:W3CDTF">2023-11-09T11:07:00Z</dcterms:modified>
</cp:coreProperties>
</file>