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79B4" w14:textId="72359FE9" w:rsidR="00B65D8F" w:rsidRPr="00992B48" w:rsidRDefault="00B72036" w:rsidP="00B14B91">
      <w:pPr>
        <w:jc w:val="center"/>
        <w:rPr>
          <w:rFonts w:ascii="Times New Roman" w:eastAsia="Times New Roman" w:hAnsi="Times New Roman" w:cs="Times New Roman"/>
          <w:b/>
          <w:bCs/>
        </w:rPr>
      </w:pPr>
      <w:r w:rsidRPr="00A56CE1">
        <w:rPr>
          <w:noProof/>
          <w:sz w:val="22"/>
          <w:szCs w:val="22"/>
          <w:lang w:val="ru-RU"/>
        </w:rPr>
        <w:drawing>
          <wp:inline distT="0" distB="0" distL="0" distR="0" wp14:anchorId="0E449221" wp14:editId="77A6B65B">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760FB233" w14:textId="77777777" w:rsidR="00CD0403" w:rsidRPr="00992B48" w:rsidRDefault="00CD0403" w:rsidP="00B14B91">
      <w:pPr>
        <w:jc w:val="center"/>
        <w:rPr>
          <w:rFonts w:ascii="Times New Roman" w:eastAsia="Times New Roman" w:hAnsi="Times New Roman" w:cs="Times New Roman"/>
          <w:b/>
          <w:bCs/>
        </w:rPr>
      </w:pPr>
    </w:p>
    <w:p w14:paraId="4D62E9B0" w14:textId="77777777" w:rsidR="00B72036" w:rsidRPr="00D90A51" w:rsidRDefault="00B72036" w:rsidP="00B72036">
      <w:pPr>
        <w:spacing w:after="120"/>
        <w:jc w:val="center"/>
        <w:rPr>
          <w:rFonts w:asciiTheme="minorHAnsi" w:hAnsiTheme="minorHAnsi" w:cstheme="minorHAnsi"/>
          <w:b/>
          <w:bCs/>
          <w:color w:val="auto"/>
          <w:sz w:val="22"/>
          <w:szCs w:val="22"/>
          <w:lang w:val="en-GB"/>
        </w:rPr>
      </w:pPr>
      <w:r w:rsidRPr="00D90A51">
        <w:rPr>
          <w:rFonts w:asciiTheme="minorHAnsi" w:hAnsiTheme="minorHAnsi" w:cstheme="minorHAnsi"/>
          <w:b/>
          <w:bCs/>
          <w:color w:val="auto"/>
          <w:sz w:val="22"/>
          <w:szCs w:val="22"/>
          <w:lang w:val="en-GB"/>
        </w:rPr>
        <w:t>PhosAgro Announces Results of Extraordinary General Meeting of Shareholders</w:t>
      </w:r>
    </w:p>
    <w:p w14:paraId="1533B659" w14:textId="18C1747B" w:rsidR="00CA44A3" w:rsidRPr="00D90A51" w:rsidRDefault="00CE2950" w:rsidP="00B62DBC">
      <w:pPr>
        <w:spacing w:after="120"/>
        <w:jc w:val="both"/>
        <w:rPr>
          <w:rFonts w:asciiTheme="minorHAnsi" w:hAnsiTheme="minorHAnsi" w:cstheme="minorHAnsi"/>
          <w:b/>
          <w:bCs/>
          <w:color w:val="auto"/>
          <w:sz w:val="22"/>
          <w:szCs w:val="22"/>
        </w:rPr>
      </w:pPr>
      <w:r w:rsidRPr="00D90A51">
        <w:rPr>
          <w:rFonts w:asciiTheme="minorHAnsi" w:hAnsiTheme="minorHAnsi" w:cstheme="minorHAnsi"/>
          <w:b/>
          <w:bCs/>
          <w:color w:val="auto"/>
          <w:sz w:val="22"/>
          <w:szCs w:val="22"/>
          <w:lang w:val="en-GB"/>
        </w:rPr>
        <w:t>Moscow</w:t>
      </w:r>
      <w:r w:rsidR="00B62DBC" w:rsidRPr="00D90A51">
        <w:rPr>
          <w:rFonts w:asciiTheme="minorHAnsi" w:hAnsiTheme="minorHAnsi" w:cstheme="minorHAnsi"/>
          <w:b/>
          <w:bCs/>
          <w:color w:val="auto"/>
          <w:sz w:val="22"/>
          <w:szCs w:val="22"/>
        </w:rPr>
        <w:t xml:space="preserve"> –</w:t>
      </w:r>
      <w:r w:rsidRPr="00D90A51">
        <w:rPr>
          <w:rFonts w:asciiTheme="minorHAnsi" w:hAnsiTheme="minorHAnsi" w:cstheme="minorHAnsi"/>
          <w:color w:val="auto"/>
          <w:sz w:val="22"/>
          <w:szCs w:val="22"/>
          <w:lang w:val="en-GB"/>
        </w:rPr>
        <w:t xml:space="preserve"> </w:t>
      </w:r>
      <w:r w:rsidR="00BC2524" w:rsidRPr="00F51786">
        <w:rPr>
          <w:rFonts w:asciiTheme="minorHAnsi" w:hAnsiTheme="minorHAnsi" w:cstheme="minorHAnsi"/>
          <w:sz w:val="22"/>
          <w:szCs w:val="22"/>
          <w:lang w:val="en-GB"/>
        </w:rPr>
        <w:t>PhosAgro (Moscow Exchange, LSE: PHOR), one of the world’s leading vertically integrated phosphate-based fertilizer producers, announces the results of an Extraordinary General Meeting of Shareholders (EGM)</w:t>
      </w:r>
      <w:r w:rsidR="00BC2524">
        <w:rPr>
          <w:rFonts w:asciiTheme="minorHAnsi" w:hAnsiTheme="minorHAnsi" w:cstheme="minorHAnsi"/>
          <w:sz w:val="22"/>
          <w:szCs w:val="22"/>
          <w:lang w:val="en-GB"/>
        </w:rPr>
        <w:t>.</w:t>
      </w:r>
    </w:p>
    <w:p w14:paraId="7BE72123" w14:textId="5DF50812" w:rsidR="00CA44A3" w:rsidRPr="00D90A51" w:rsidRDefault="00CA44A3" w:rsidP="00B62DBC">
      <w:pPr>
        <w:spacing w:after="120"/>
        <w:jc w:val="both"/>
        <w:rPr>
          <w:rFonts w:asciiTheme="minorHAnsi" w:hAnsiTheme="minorHAnsi" w:cstheme="minorHAnsi"/>
          <w:bCs/>
          <w:color w:val="auto"/>
          <w:sz w:val="22"/>
          <w:szCs w:val="22"/>
        </w:rPr>
      </w:pPr>
      <w:r w:rsidRPr="00D90A51">
        <w:rPr>
          <w:rFonts w:asciiTheme="minorHAnsi" w:hAnsiTheme="minorHAnsi" w:cstheme="minorHAnsi"/>
          <w:color w:val="auto"/>
          <w:sz w:val="22"/>
          <w:szCs w:val="22"/>
          <w:lang w:val="en-GB"/>
        </w:rPr>
        <w:t>The meeting took place on 30 September 2023 in accordance with a decision of the Board of Directors of PJSC PhosAgro, which at its meeting on 30 August 2023 welcomed the signing of new collective bargaining agreements at the Group</w:t>
      </w:r>
      <w:r w:rsidR="00754490" w:rsidRPr="00D90A51">
        <w:rPr>
          <w:rFonts w:asciiTheme="minorHAnsi" w:hAnsiTheme="minorHAnsi" w:cstheme="minorHAnsi"/>
          <w:color w:val="auto"/>
          <w:sz w:val="22"/>
          <w:szCs w:val="22"/>
          <w:lang w:val="en-GB"/>
        </w:rPr>
        <w:t>’</w:t>
      </w:r>
      <w:r w:rsidRPr="00D90A51">
        <w:rPr>
          <w:rFonts w:asciiTheme="minorHAnsi" w:hAnsiTheme="minorHAnsi" w:cstheme="minorHAnsi"/>
          <w:color w:val="auto"/>
          <w:sz w:val="22"/>
          <w:szCs w:val="22"/>
          <w:lang w:val="en-GB"/>
        </w:rPr>
        <w:t>s production facilities.</w:t>
      </w:r>
    </w:p>
    <w:p w14:paraId="6CEF2D61" w14:textId="68011224" w:rsidR="00646DC2" w:rsidRPr="00D90A51" w:rsidRDefault="00CA44A3" w:rsidP="00B62DBC">
      <w:pPr>
        <w:spacing w:after="120"/>
        <w:jc w:val="both"/>
        <w:rPr>
          <w:rFonts w:asciiTheme="minorHAnsi" w:hAnsiTheme="minorHAnsi" w:cstheme="minorHAnsi"/>
          <w:bCs/>
          <w:color w:val="auto"/>
          <w:sz w:val="22"/>
          <w:szCs w:val="22"/>
        </w:rPr>
      </w:pPr>
      <w:r w:rsidRPr="00D90A51">
        <w:rPr>
          <w:rFonts w:asciiTheme="minorHAnsi" w:hAnsiTheme="minorHAnsi" w:cstheme="minorHAnsi"/>
          <w:color w:val="auto"/>
          <w:sz w:val="22"/>
          <w:szCs w:val="22"/>
          <w:lang w:val="en-GB"/>
        </w:rPr>
        <w:t xml:space="preserve">At the Board of Directors </w:t>
      </w:r>
      <w:r w:rsidR="00EC5ADF" w:rsidRPr="00D90A51">
        <w:rPr>
          <w:rFonts w:asciiTheme="minorHAnsi" w:hAnsiTheme="minorHAnsi" w:cstheme="minorHAnsi"/>
          <w:color w:val="auto"/>
          <w:sz w:val="22"/>
          <w:szCs w:val="22"/>
          <w:lang w:val="en-GB"/>
        </w:rPr>
        <w:t>meeting,</w:t>
      </w:r>
      <w:r w:rsidRPr="00D90A51">
        <w:rPr>
          <w:rFonts w:asciiTheme="minorHAnsi" w:hAnsiTheme="minorHAnsi" w:cstheme="minorHAnsi"/>
          <w:color w:val="auto"/>
          <w:sz w:val="22"/>
          <w:szCs w:val="22"/>
          <w:lang w:val="en-GB"/>
        </w:rPr>
        <w:t xml:space="preserve"> it was noted that the new collective bargaining agreements </w:t>
      </w:r>
      <w:r w:rsidR="007344B1" w:rsidRPr="00D90A51">
        <w:rPr>
          <w:rFonts w:asciiTheme="minorHAnsi" w:hAnsiTheme="minorHAnsi" w:cstheme="minorHAnsi"/>
          <w:color w:val="auto"/>
          <w:sz w:val="22"/>
          <w:szCs w:val="22"/>
          <w:lang w:val="en-GB"/>
        </w:rPr>
        <w:t xml:space="preserve">have </w:t>
      </w:r>
      <w:r w:rsidRPr="00D90A51">
        <w:rPr>
          <w:rFonts w:asciiTheme="minorHAnsi" w:hAnsiTheme="minorHAnsi" w:cstheme="minorHAnsi"/>
          <w:color w:val="auto"/>
          <w:sz w:val="22"/>
          <w:szCs w:val="22"/>
          <w:lang w:val="en-GB"/>
        </w:rPr>
        <w:t>expand</w:t>
      </w:r>
      <w:r w:rsidR="007344B1" w:rsidRPr="00D90A51">
        <w:rPr>
          <w:rFonts w:asciiTheme="minorHAnsi" w:hAnsiTheme="minorHAnsi" w:cstheme="minorHAnsi"/>
          <w:color w:val="auto"/>
          <w:sz w:val="22"/>
          <w:szCs w:val="22"/>
          <w:lang w:val="en-GB"/>
        </w:rPr>
        <w:t>ed</w:t>
      </w:r>
      <w:r w:rsidRPr="00D90A51">
        <w:rPr>
          <w:rFonts w:asciiTheme="minorHAnsi" w:hAnsiTheme="minorHAnsi" w:cstheme="minorHAnsi"/>
          <w:color w:val="auto"/>
          <w:sz w:val="22"/>
          <w:szCs w:val="22"/>
          <w:lang w:val="en-GB"/>
        </w:rPr>
        <w:t xml:space="preserve"> </w:t>
      </w:r>
      <w:r w:rsidR="00DA625C" w:rsidRPr="00D90A51">
        <w:rPr>
          <w:rFonts w:asciiTheme="minorHAnsi" w:hAnsiTheme="minorHAnsi" w:cstheme="minorHAnsi"/>
          <w:color w:val="auto"/>
          <w:sz w:val="22"/>
          <w:szCs w:val="22"/>
          <w:lang w:val="en-GB"/>
        </w:rPr>
        <w:t xml:space="preserve">yet again </w:t>
      </w:r>
      <w:r w:rsidRPr="00D90A51">
        <w:rPr>
          <w:rFonts w:asciiTheme="minorHAnsi" w:hAnsiTheme="minorHAnsi" w:cstheme="minorHAnsi"/>
          <w:color w:val="auto"/>
          <w:sz w:val="22"/>
          <w:szCs w:val="22"/>
          <w:lang w:val="en-GB"/>
        </w:rPr>
        <w:t xml:space="preserve">the social benefits and allowances for workers in </w:t>
      </w:r>
      <w:proofErr w:type="spellStart"/>
      <w:r w:rsidRPr="00D90A51">
        <w:rPr>
          <w:rFonts w:asciiTheme="minorHAnsi" w:hAnsiTheme="minorHAnsi" w:cstheme="minorHAnsi"/>
          <w:color w:val="auto"/>
          <w:sz w:val="22"/>
          <w:szCs w:val="22"/>
          <w:lang w:val="en-GB"/>
        </w:rPr>
        <w:t>Volkhov</w:t>
      </w:r>
      <w:proofErr w:type="spellEnd"/>
      <w:r w:rsidRPr="00D90A51">
        <w:rPr>
          <w:rFonts w:asciiTheme="minorHAnsi" w:hAnsiTheme="minorHAnsi" w:cstheme="minorHAnsi"/>
          <w:color w:val="auto"/>
          <w:sz w:val="22"/>
          <w:szCs w:val="22"/>
          <w:lang w:val="en-GB"/>
        </w:rPr>
        <w:t xml:space="preserve">, Cherepovets, </w:t>
      </w:r>
      <w:proofErr w:type="spellStart"/>
      <w:r w:rsidRPr="00D90A51">
        <w:rPr>
          <w:rFonts w:asciiTheme="minorHAnsi" w:hAnsiTheme="minorHAnsi" w:cstheme="minorHAnsi"/>
          <w:color w:val="auto"/>
          <w:sz w:val="22"/>
          <w:szCs w:val="22"/>
          <w:lang w:val="en-GB"/>
        </w:rPr>
        <w:t>Kirovsk</w:t>
      </w:r>
      <w:proofErr w:type="spellEnd"/>
      <w:r w:rsidRPr="00D90A51">
        <w:rPr>
          <w:rFonts w:asciiTheme="minorHAnsi" w:hAnsiTheme="minorHAnsi" w:cstheme="minorHAnsi"/>
          <w:color w:val="auto"/>
          <w:sz w:val="22"/>
          <w:szCs w:val="22"/>
          <w:lang w:val="en-GB"/>
        </w:rPr>
        <w:t xml:space="preserve"> and </w:t>
      </w:r>
      <w:proofErr w:type="spellStart"/>
      <w:r w:rsidRPr="00D90A51">
        <w:rPr>
          <w:rFonts w:asciiTheme="minorHAnsi" w:hAnsiTheme="minorHAnsi" w:cstheme="minorHAnsi"/>
          <w:color w:val="auto"/>
          <w:sz w:val="22"/>
          <w:szCs w:val="22"/>
          <w:lang w:val="en-GB"/>
        </w:rPr>
        <w:t>Balakovo</w:t>
      </w:r>
      <w:proofErr w:type="spellEnd"/>
      <w:r w:rsidRPr="00D90A51">
        <w:rPr>
          <w:rFonts w:asciiTheme="minorHAnsi" w:hAnsiTheme="minorHAnsi" w:cstheme="minorHAnsi"/>
          <w:color w:val="auto"/>
          <w:sz w:val="22"/>
          <w:szCs w:val="22"/>
          <w:lang w:val="en-GB"/>
        </w:rPr>
        <w:t xml:space="preserve">. At the meeting CEO Mikhail </w:t>
      </w:r>
      <w:proofErr w:type="spellStart"/>
      <w:r w:rsidRPr="00D90A51">
        <w:rPr>
          <w:rFonts w:asciiTheme="minorHAnsi" w:hAnsiTheme="minorHAnsi" w:cstheme="minorHAnsi"/>
          <w:color w:val="auto"/>
          <w:sz w:val="22"/>
          <w:szCs w:val="22"/>
          <w:lang w:val="en-GB"/>
        </w:rPr>
        <w:t>Rybnikov</w:t>
      </w:r>
      <w:proofErr w:type="spellEnd"/>
      <w:r w:rsidRPr="00D90A51">
        <w:rPr>
          <w:rFonts w:asciiTheme="minorHAnsi" w:hAnsiTheme="minorHAnsi" w:cstheme="minorHAnsi"/>
          <w:color w:val="auto"/>
          <w:sz w:val="22"/>
          <w:szCs w:val="22"/>
          <w:lang w:val="en-GB"/>
        </w:rPr>
        <w:t xml:space="preserve"> also gave a report on the strong operating results for the first half of 2023. Over the first 6 months of the year, production of agrochemicals was up 4.3% year-on-year to over 5.6 million tonnes. In the MAP, DAP and LCU phosphate-based fertilizers segment there was 19% growth, with production volumes exceeding 2.4 million tonnes. This was achieved thanks to the construction of a state-of-the-art phosphate-based fertilizer production facility in </w:t>
      </w:r>
      <w:proofErr w:type="spellStart"/>
      <w:r w:rsidRPr="00D90A51">
        <w:rPr>
          <w:rFonts w:asciiTheme="minorHAnsi" w:hAnsiTheme="minorHAnsi" w:cstheme="minorHAnsi"/>
          <w:color w:val="auto"/>
          <w:sz w:val="22"/>
          <w:szCs w:val="22"/>
          <w:lang w:val="en-GB"/>
        </w:rPr>
        <w:t>Volkhov</w:t>
      </w:r>
      <w:proofErr w:type="spellEnd"/>
      <w:r w:rsidRPr="00D90A51">
        <w:rPr>
          <w:rFonts w:asciiTheme="minorHAnsi" w:hAnsiTheme="minorHAnsi" w:cstheme="minorHAnsi"/>
          <w:color w:val="auto"/>
          <w:sz w:val="22"/>
          <w:szCs w:val="22"/>
          <w:lang w:val="en-GB"/>
        </w:rPr>
        <w:t xml:space="preserve">, which is </w:t>
      </w:r>
      <w:r w:rsidR="001D6069" w:rsidRPr="00D90A51">
        <w:rPr>
          <w:rFonts w:asciiTheme="minorHAnsi" w:hAnsiTheme="minorHAnsi" w:cstheme="minorHAnsi"/>
          <w:color w:val="auto"/>
          <w:sz w:val="22"/>
          <w:szCs w:val="22"/>
          <w:lang w:val="en-GB"/>
        </w:rPr>
        <w:t xml:space="preserve">set </w:t>
      </w:r>
      <w:r w:rsidRPr="00D90A51">
        <w:rPr>
          <w:rFonts w:asciiTheme="minorHAnsi" w:hAnsiTheme="minorHAnsi" w:cstheme="minorHAnsi"/>
          <w:color w:val="auto"/>
          <w:sz w:val="22"/>
          <w:szCs w:val="22"/>
          <w:lang w:val="en-GB"/>
        </w:rPr>
        <w:t xml:space="preserve">to reach full capacity this year. </w:t>
      </w:r>
    </w:p>
    <w:p w14:paraId="2EACD135" w14:textId="20B496B4" w:rsidR="00646DC2" w:rsidRPr="00D90A51" w:rsidRDefault="00646DC2" w:rsidP="00B62DBC">
      <w:pPr>
        <w:spacing w:after="120"/>
        <w:jc w:val="both"/>
        <w:rPr>
          <w:rFonts w:asciiTheme="minorHAnsi" w:hAnsiTheme="minorHAnsi" w:cstheme="minorHAnsi"/>
          <w:bCs/>
          <w:color w:val="auto"/>
          <w:sz w:val="22"/>
          <w:szCs w:val="22"/>
        </w:rPr>
      </w:pPr>
      <w:r w:rsidRPr="00D90A51">
        <w:rPr>
          <w:rFonts w:asciiTheme="minorHAnsi" w:hAnsiTheme="minorHAnsi" w:cstheme="minorHAnsi"/>
          <w:color w:val="auto"/>
          <w:sz w:val="22"/>
          <w:szCs w:val="22"/>
          <w:lang w:val="en-GB"/>
        </w:rPr>
        <w:t xml:space="preserve">The Board of Directors summarized the results of </w:t>
      </w:r>
      <w:proofErr w:type="spellStart"/>
      <w:r w:rsidRPr="00D90A51">
        <w:rPr>
          <w:rFonts w:asciiTheme="minorHAnsi" w:hAnsiTheme="minorHAnsi" w:cstheme="minorHAnsi"/>
          <w:color w:val="auto"/>
          <w:sz w:val="22"/>
          <w:szCs w:val="22"/>
          <w:lang w:val="en-GB"/>
        </w:rPr>
        <w:t>PhosAgro</w:t>
      </w:r>
      <w:r w:rsidR="00754490" w:rsidRPr="00D90A51">
        <w:rPr>
          <w:rFonts w:asciiTheme="minorHAnsi" w:hAnsiTheme="minorHAnsi" w:cstheme="minorHAnsi"/>
          <w:color w:val="auto"/>
          <w:sz w:val="22"/>
          <w:szCs w:val="22"/>
          <w:lang w:val="en-GB"/>
        </w:rPr>
        <w:t>’</w:t>
      </w:r>
      <w:r w:rsidRPr="00D90A51">
        <w:rPr>
          <w:rFonts w:asciiTheme="minorHAnsi" w:hAnsiTheme="minorHAnsi" w:cstheme="minorHAnsi"/>
          <w:color w:val="auto"/>
          <w:sz w:val="22"/>
          <w:szCs w:val="22"/>
          <w:lang w:val="en-GB"/>
        </w:rPr>
        <w:t>s</w:t>
      </w:r>
      <w:proofErr w:type="spellEnd"/>
      <w:r w:rsidRPr="00D90A51">
        <w:rPr>
          <w:rFonts w:asciiTheme="minorHAnsi" w:hAnsiTheme="minorHAnsi" w:cstheme="minorHAnsi"/>
          <w:color w:val="auto"/>
          <w:sz w:val="22"/>
          <w:szCs w:val="22"/>
          <w:lang w:val="en-GB"/>
        </w:rPr>
        <w:t xml:space="preserve"> ten-year investment cycle. Over this period, more than </w:t>
      </w:r>
      <w:r w:rsidR="004D077F" w:rsidRPr="00D90A51">
        <w:rPr>
          <w:rFonts w:asciiTheme="minorHAnsi" w:hAnsiTheme="minorHAnsi" w:cstheme="minorHAnsi"/>
          <w:color w:val="auto"/>
          <w:sz w:val="22"/>
          <w:szCs w:val="22"/>
          <w:lang w:val="en-GB"/>
        </w:rPr>
        <w:t>RUB </w:t>
      </w:r>
      <w:r w:rsidRPr="00D90A51">
        <w:rPr>
          <w:rFonts w:asciiTheme="minorHAnsi" w:hAnsiTheme="minorHAnsi" w:cstheme="minorHAnsi"/>
          <w:color w:val="auto"/>
          <w:sz w:val="22"/>
          <w:szCs w:val="22"/>
          <w:lang w:val="en-GB"/>
        </w:rPr>
        <w:t>390 billion was invested in the Company</w:t>
      </w:r>
      <w:r w:rsidR="00754490" w:rsidRPr="00D90A51">
        <w:rPr>
          <w:rFonts w:asciiTheme="minorHAnsi" w:hAnsiTheme="minorHAnsi" w:cstheme="minorHAnsi"/>
          <w:color w:val="auto"/>
          <w:sz w:val="22"/>
          <w:szCs w:val="22"/>
          <w:lang w:val="en-GB"/>
        </w:rPr>
        <w:t>’</w:t>
      </w:r>
      <w:r w:rsidRPr="00D90A51">
        <w:rPr>
          <w:rFonts w:asciiTheme="minorHAnsi" w:hAnsiTheme="minorHAnsi" w:cstheme="minorHAnsi"/>
          <w:color w:val="auto"/>
          <w:sz w:val="22"/>
          <w:szCs w:val="22"/>
          <w:lang w:val="en-GB"/>
        </w:rPr>
        <w:t xml:space="preserve">s development, with output of key products increasing by 80%, from 6.1 million tonnes in 2013 to 11.1 million tonnes in 2022. Looking ahead, PhosAgro will continue to follow its chosen development strategy: over the next five years, PhosAgro intends to make investments of more than </w:t>
      </w:r>
      <w:r w:rsidR="004D077F" w:rsidRPr="00D90A51">
        <w:rPr>
          <w:rFonts w:asciiTheme="minorHAnsi" w:hAnsiTheme="minorHAnsi" w:cstheme="minorHAnsi"/>
          <w:color w:val="auto"/>
          <w:sz w:val="22"/>
          <w:szCs w:val="22"/>
          <w:lang w:val="en-GB"/>
        </w:rPr>
        <w:t>RUB </w:t>
      </w:r>
      <w:r w:rsidRPr="00D90A51">
        <w:rPr>
          <w:rFonts w:asciiTheme="minorHAnsi" w:hAnsiTheme="minorHAnsi" w:cstheme="minorHAnsi"/>
          <w:color w:val="auto"/>
          <w:sz w:val="22"/>
          <w:szCs w:val="22"/>
          <w:lang w:val="en-GB"/>
        </w:rPr>
        <w:t xml:space="preserve">250 billion. This year, a record amount of </w:t>
      </w:r>
      <w:r w:rsidR="004D077F" w:rsidRPr="00D90A51">
        <w:rPr>
          <w:rFonts w:asciiTheme="minorHAnsi" w:hAnsiTheme="minorHAnsi" w:cstheme="minorHAnsi"/>
          <w:color w:val="auto"/>
          <w:sz w:val="22"/>
          <w:szCs w:val="22"/>
          <w:lang w:val="en-GB"/>
        </w:rPr>
        <w:t>RUB </w:t>
      </w:r>
      <w:r w:rsidRPr="00D90A51">
        <w:rPr>
          <w:rFonts w:asciiTheme="minorHAnsi" w:hAnsiTheme="minorHAnsi" w:cstheme="minorHAnsi"/>
          <w:color w:val="auto"/>
          <w:sz w:val="22"/>
          <w:szCs w:val="22"/>
          <w:lang w:val="en-GB"/>
        </w:rPr>
        <w:t xml:space="preserve">67 billion is planned to be invested. </w:t>
      </w:r>
    </w:p>
    <w:p w14:paraId="36E2B88B" w14:textId="4A651E32" w:rsidR="007352D8" w:rsidRPr="00D90A51" w:rsidRDefault="007352D8" w:rsidP="00B62DBC">
      <w:pPr>
        <w:spacing w:after="120"/>
        <w:jc w:val="both"/>
        <w:rPr>
          <w:rFonts w:asciiTheme="minorHAnsi" w:hAnsiTheme="minorHAnsi" w:cstheme="minorHAnsi"/>
          <w:bCs/>
          <w:color w:val="auto"/>
          <w:sz w:val="22"/>
          <w:szCs w:val="22"/>
        </w:rPr>
      </w:pPr>
      <w:r w:rsidRPr="00D90A51">
        <w:rPr>
          <w:rFonts w:asciiTheme="minorHAnsi" w:hAnsiTheme="minorHAnsi" w:cstheme="minorHAnsi"/>
          <w:color w:val="auto"/>
          <w:sz w:val="22"/>
          <w:szCs w:val="22"/>
          <w:lang w:val="en-GB"/>
        </w:rPr>
        <w:t xml:space="preserve">The General Meeting of Shareholders did not pass any resolutions approving the payment of dividends, based on the results of the first half of 2023. </w:t>
      </w:r>
    </w:p>
    <w:p w14:paraId="32CE819E" w14:textId="457E8E2D" w:rsidR="00CA44A3" w:rsidRPr="00D90A51" w:rsidRDefault="00754490" w:rsidP="00B62DBC">
      <w:pPr>
        <w:spacing w:after="120"/>
        <w:jc w:val="both"/>
        <w:rPr>
          <w:rFonts w:asciiTheme="minorHAnsi" w:hAnsiTheme="minorHAnsi" w:cstheme="minorHAnsi"/>
          <w:bCs/>
          <w:color w:val="auto"/>
          <w:sz w:val="22"/>
          <w:szCs w:val="22"/>
        </w:rPr>
      </w:pPr>
      <w:r w:rsidRPr="00D90A51">
        <w:rPr>
          <w:rFonts w:asciiTheme="minorHAnsi" w:hAnsiTheme="minorHAnsi" w:cstheme="minorHAnsi"/>
          <w:color w:val="auto"/>
          <w:sz w:val="22"/>
          <w:szCs w:val="22"/>
          <w:lang w:val="en-GB"/>
        </w:rPr>
        <w:t>“</w:t>
      </w:r>
      <w:r w:rsidR="003F7CF9" w:rsidRPr="00D90A51">
        <w:rPr>
          <w:rFonts w:asciiTheme="minorHAnsi" w:hAnsiTheme="minorHAnsi" w:cstheme="minorHAnsi"/>
          <w:color w:val="auto"/>
          <w:sz w:val="22"/>
          <w:szCs w:val="22"/>
          <w:lang w:val="en-GB"/>
        </w:rPr>
        <w:t xml:space="preserve">Even as the global mineral fertilizer market passed the bottom of the price cycle in the second quarter, PhosAgro </w:t>
      </w:r>
      <w:r w:rsidR="006F5A8E" w:rsidRPr="00D90A51">
        <w:rPr>
          <w:rFonts w:asciiTheme="minorHAnsi" w:hAnsiTheme="minorHAnsi" w:cstheme="minorHAnsi"/>
          <w:color w:val="auto"/>
          <w:sz w:val="22"/>
          <w:szCs w:val="22"/>
          <w:lang w:val="en-GB"/>
        </w:rPr>
        <w:t xml:space="preserve">has </w:t>
      </w:r>
      <w:r w:rsidR="003F7CF9" w:rsidRPr="00D90A51">
        <w:rPr>
          <w:rFonts w:asciiTheme="minorHAnsi" w:hAnsiTheme="minorHAnsi" w:cstheme="minorHAnsi"/>
          <w:color w:val="auto"/>
          <w:sz w:val="22"/>
          <w:szCs w:val="22"/>
          <w:lang w:val="en-GB"/>
        </w:rPr>
        <w:t>continue</w:t>
      </w:r>
      <w:r w:rsidR="006F5A8E" w:rsidRPr="00D90A51">
        <w:rPr>
          <w:rFonts w:asciiTheme="minorHAnsi" w:hAnsiTheme="minorHAnsi" w:cstheme="minorHAnsi"/>
          <w:color w:val="auto"/>
          <w:sz w:val="22"/>
          <w:szCs w:val="22"/>
          <w:lang w:val="en-GB"/>
        </w:rPr>
        <w:t>d</w:t>
      </w:r>
      <w:r w:rsidR="003F7CF9" w:rsidRPr="00D90A51">
        <w:rPr>
          <w:rFonts w:asciiTheme="minorHAnsi" w:hAnsiTheme="minorHAnsi" w:cstheme="minorHAnsi"/>
          <w:color w:val="auto"/>
          <w:sz w:val="22"/>
          <w:szCs w:val="22"/>
          <w:lang w:val="en-GB"/>
        </w:rPr>
        <w:t xml:space="preserve"> to consistently implement its long-term development strategy, investing in production capacity and increasing output of eco-efficient products, while maintaining strategic and operational flexibility. Our operational successes allow us to improve the social security of our employees: over 10 years, average salaries across the Group have risen by a factor of 2.5. The Company also remains committed to its commitment to ESG principles. Over the past decade, our support for social and charitable projects has increased sevenfold, from </w:t>
      </w:r>
      <w:r w:rsidR="004D077F" w:rsidRPr="00D90A51">
        <w:rPr>
          <w:rFonts w:asciiTheme="minorHAnsi" w:hAnsiTheme="minorHAnsi" w:cstheme="minorHAnsi"/>
          <w:color w:val="auto"/>
          <w:sz w:val="22"/>
          <w:szCs w:val="22"/>
          <w:lang w:val="en-GB"/>
        </w:rPr>
        <w:t>RUB </w:t>
      </w:r>
      <w:r w:rsidR="003F7CF9" w:rsidRPr="00D90A51">
        <w:rPr>
          <w:rFonts w:asciiTheme="minorHAnsi" w:hAnsiTheme="minorHAnsi" w:cstheme="minorHAnsi"/>
          <w:color w:val="auto"/>
          <w:sz w:val="22"/>
          <w:szCs w:val="22"/>
          <w:lang w:val="en-GB"/>
        </w:rPr>
        <w:t xml:space="preserve">1.9 billion to </w:t>
      </w:r>
      <w:r w:rsidR="004D077F" w:rsidRPr="00D90A51">
        <w:rPr>
          <w:rFonts w:asciiTheme="minorHAnsi" w:hAnsiTheme="minorHAnsi" w:cstheme="minorHAnsi"/>
          <w:color w:val="auto"/>
          <w:sz w:val="22"/>
          <w:szCs w:val="22"/>
          <w:lang w:val="en-GB"/>
        </w:rPr>
        <w:t>RUB </w:t>
      </w:r>
      <w:r w:rsidR="003F7CF9" w:rsidRPr="00D90A51">
        <w:rPr>
          <w:rFonts w:asciiTheme="minorHAnsi" w:hAnsiTheme="minorHAnsi" w:cstheme="minorHAnsi"/>
          <w:color w:val="auto"/>
          <w:sz w:val="22"/>
          <w:szCs w:val="22"/>
          <w:lang w:val="en-GB"/>
        </w:rPr>
        <w:t xml:space="preserve">12.9 billion per year, and our investments in environmental protection have exceeded </w:t>
      </w:r>
      <w:r w:rsidR="004D077F" w:rsidRPr="00D90A51">
        <w:rPr>
          <w:rFonts w:asciiTheme="minorHAnsi" w:hAnsiTheme="minorHAnsi" w:cstheme="minorHAnsi"/>
          <w:color w:val="auto"/>
          <w:sz w:val="22"/>
          <w:szCs w:val="22"/>
          <w:lang w:val="en-GB"/>
        </w:rPr>
        <w:t>RUB </w:t>
      </w:r>
      <w:r w:rsidR="003F7CF9" w:rsidRPr="00D90A51">
        <w:rPr>
          <w:rFonts w:asciiTheme="minorHAnsi" w:hAnsiTheme="minorHAnsi" w:cstheme="minorHAnsi"/>
          <w:color w:val="auto"/>
          <w:sz w:val="22"/>
          <w:szCs w:val="22"/>
          <w:lang w:val="en-GB"/>
        </w:rPr>
        <w:t xml:space="preserve">60 billion. The question of issuing a recommendation on profit distribution </w:t>
      </w:r>
      <w:r w:rsidR="00F92E13" w:rsidRPr="00D90A51">
        <w:rPr>
          <w:rFonts w:asciiTheme="minorHAnsi" w:hAnsiTheme="minorHAnsi" w:cstheme="minorHAnsi"/>
          <w:color w:val="auto"/>
          <w:sz w:val="22"/>
          <w:szCs w:val="22"/>
          <w:lang w:val="en-GB"/>
        </w:rPr>
        <w:t xml:space="preserve">may </w:t>
      </w:r>
      <w:r w:rsidR="003F7CF9" w:rsidRPr="00D90A51">
        <w:rPr>
          <w:rFonts w:asciiTheme="minorHAnsi" w:hAnsiTheme="minorHAnsi" w:cstheme="minorHAnsi"/>
          <w:color w:val="auto"/>
          <w:sz w:val="22"/>
          <w:szCs w:val="22"/>
          <w:lang w:val="en-GB"/>
        </w:rPr>
        <w:t>be considered by the Board of Directors at one of the next meetings,</w:t>
      </w:r>
      <w:r w:rsidRPr="00D90A51">
        <w:rPr>
          <w:rFonts w:asciiTheme="minorHAnsi" w:hAnsiTheme="minorHAnsi" w:cstheme="minorHAnsi"/>
          <w:color w:val="auto"/>
          <w:sz w:val="22"/>
          <w:szCs w:val="22"/>
          <w:lang w:val="en-GB"/>
        </w:rPr>
        <w:t>”</w:t>
      </w:r>
      <w:r w:rsidR="003F7CF9" w:rsidRPr="00D90A51">
        <w:rPr>
          <w:rFonts w:asciiTheme="minorHAnsi" w:hAnsiTheme="minorHAnsi" w:cstheme="minorHAnsi"/>
          <w:color w:val="auto"/>
          <w:sz w:val="22"/>
          <w:szCs w:val="22"/>
          <w:lang w:val="en-GB"/>
        </w:rPr>
        <w:t xml:space="preserve"> said </w:t>
      </w:r>
      <w:r w:rsidR="003F7CF9" w:rsidRPr="00D90A51">
        <w:rPr>
          <w:rFonts w:asciiTheme="minorHAnsi" w:hAnsiTheme="minorHAnsi" w:cstheme="minorHAnsi"/>
          <w:b/>
          <w:bCs/>
          <w:color w:val="auto"/>
          <w:sz w:val="22"/>
          <w:szCs w:val="22"/>
          <w:lang w:val="en-GB"/>
        </w:rPr>
        <w:t xml:space="preserve">Viktor </w:t>
      </w:r>
      <w:proofErr w:type="spellStart"/>
      <w:r w:rsidR="003F7CF9" w:rsidRPr="00D90A51">
        <w:rPr>
          <w:rFonts w:asciiTheme="minorHAnsi" w:hAnsiTheme="minorHAnsi" w:cstheme="minorHAnsi"/>
          <w:b/>
          <w:bCs/>
          <w:color w:val="auto"/>
          <w:sz w:val="22"/>
          <w:szCs w:val="22"/>
          <w:lang w:val="en-GB"/>
        </w:rPr>
        <w:t>Cherepov</w:t>
      </w:r>
      <w:proofErr w:type="spellEnd"/>
      <w:r w:rsidR="003F7CF9" w:rsidRPr="00D90A51">
        <w:rPr>
          <w:rFonts w:asciiTheme="minorHAnsi" w:hAnsiTheme="minorHAnsi" w:cstheme="minorHAnsi"/>
          <w:b/>
          <w:bCs/>
          <w:color w:val="auto"/>
          <w:sz w:val="22"/>
          <w:szCs w:val="22"/>
          <w:lang w:val="en-GB"/>
        </w:rPr>
        <w:t>, Chairman of the Board of Directors</w:t>
      </w:r>
      <w:r w:rsidR="003F7CF9" w:rsidRPr="00D90A51">
        <w:rPr>
          <w:rFonts w:asciiTheme="minorHAnsi" w:hAnsiTheme="minorHAnsi" w:cstheme="minorHAnsi"/>
          <w:color w:val="auto"/>
          <w:sz w:val="22"/>
          <w:szCs w:val="22"/>
          <w:lang w:val="en-GB"/>
        </w:rPr>
        <w:t>, commenting on the results of the Extraordinary General Meeting of Shareholders.</w:t>
      </w:r>
      <w:r w:rsidR="003F7CF9" w:rsidRPr="00D90A51">
        <w:rPr>
          <w:rFonts w:asciiTheme="minorHAnsi" w:hAnsiTheme="minorHAnsi" w:cstheme="minorHAnsi"/>
          <w:b/>
          <w:bCs/>
          <w:color w:val="auto"/>
          <w:sz w:val="22"/>
          <w:szCs w:val="22"/>
          <w:lang w:val="en-GB"/>
        </w:rPr>
        <w:t> </w:t>
      </w:r>
    </w:p>
    <w:p w14:paraId="1F855622" w14:textId="77777777" w:rsidR="00BC2524" w:rsidRPr="001879A2" w:rsidRDefault="00BC2524" w:rsidP="00BC2524">
      <w:pPr>
        <w:pStyle w:val="P68B1DB1-Normal22"/>
        <w:snapToGrid w:val="0"/>
        <w:spacing w:before="240"/>
        <w:rPr>
          <w:rFonts w:asciiTheme="minorHAnsi" w:hAnsiTheme="minorHAnsi" w:cstheme="minorHAnsi"/>
          <w:sz w:val="22"/>
          <w:szCs w:val="22"/>
          <w:lang w:val="en-GB"/>
        </w:rPr>
      </w:pPr>
      <w:r w:rsidRPr="001879A2">
        <w:rPr>
          <w:rFonts w:asciiTheme="minorHAnsi" w:hAnsiTheme="minorHAnsi" w:cstheme="minorHAnsi"/>
          <w:sz w:val="22"/>
          <w:szCs w:val="22"/>
          <w:lang w:val="en-GB"/>
        </w:rPr>
        <w:t>About the Company</w:t>
      </w:r>
    </w:p>
    <w:p w14:paraId="59461FB5" w14:textId="77777777" w:rsidR="00BC2524" w:rsidRPr="001879A2" w:rsidRDefault="00BC2524" w:rsidP="00BC2524">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PhosAgro (www.phosagro.ru) is a vertically integrated Russian company and one of the world’s leading producers of mineral phosphorous fertilizers and of high-grade apatite concentrate grading 39% P2O5 and higher. </w:t>
      </w:r>
      <w:proofErr w:type="spellStart"/>
      <w:r w:rsidRPr="001879A2">
        <w:rPr>
          <w:rFonts w:asciiTheme="minorHAnsi" w:hAnsiTheme="minorHAnsi" w:cstheme="minorHAnsi"/>
          <w:bCs/>
          <w:i/>
          <w:iCs/>
          <w:sz w:val="22"/>
          <w:szCs w:val="22"/>
          <w:lang w:val="en-GB"/>
        </w:rPr>
        <w:t>PhosAgro’s</w:t>
      </w:r>
      <w:proofErr w:type="spellEnd"/>
      <w:r w:rsidRPr="001879A2">
        <w:rPr>
          <w:rFonts w:asciiTheme="minorHAnsi" w:hAnsiTheme="minorHAnsi" w:cstheme="minorHAnsi"/>
          <w:bCs/>
          <w:i/>
          <w:iCs/>
          <w:sz w:val="22"/>
          <w:szCs w:val="22"/>
          <w:lang w:val="en-GB"/>
        </w:rPr>
        <w:t xml:space="preserve"> fertilizers are highly effective, ensuring the improved quality of agricultural produce.</w:t>
      </w:r>
    </w:p>
    <w:p w14:paraId="723B35EC" w14:textId="77777777" w:rsidR="00BC2524" w:rsidRPr="001879A2" w:rsidRDefault="00BC2524" w:rsidP="00BC2524">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64909066" w14:textId="77777777" w:rsidR="00BC2524" w:rsidRPr="001879A2" w:rsidRDefault="00BC2524" w:rsidP="00BC2524">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lastRenderedPageBreak/>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19008807" w14:textId="77777777" w:rsidR="00BC2524" w:rsidRPr="001879A2" w:rsidRDefault="00BC2524" w:rsidP="00BC2524">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The company's shares are listed on the Moscow Exchange and its Global Depositary Receipts (GDRs) are listed on the London Stock Exchange (MOEX and LSE ticker: PHOR).    </w:t>
      </w:r>
    </w:p>
    <w:p w14:paraId="446F2865" w14:textId="77777777" w:rsidR="00BC2524" w:rsidRPr="00F51786" w:rsidRDefault="00BC2524" w:rsidP="00BC2524">
      <w:pPr>
        <w:pStyle w:val="P68B1DB1-Normal4"/>
        <w:spacing w:after="144"/>
        <w:jc w:val="both"/>
        <w:rPr>
          <w:rFonts w:asciiTheme="minorHAnsi" w:hAnsiTheme="minorHAnsi" w:cstheme="minorHAnsi"/>
          <w:b/>
          <w:bCs/>
          <w:sz w:val="22"/>
          <w:szCs w:val="22"/>
          <w:lang w:val="en-GB"/>
        </w:rPr>
      </w:pPr>
      <w:r w:rsidRPr="001879A2">
        <w:rPr>
          <w:rFonts w:asciiTheme="minorHAnsi" w:hAnsiTheme="minorHAnsi" w:cstheme="minorHAnsi"/>
          <w:bCs/>
          <w:i/>
          <w:iCs/>
          <w:sz w:val="22"/>
          <w:szCs w:val="22"/>
          <w:lang w:val="en-GB"/>
        </w:rPr>
        <w:t xml:space="preserve">More information about PhosAgro PJSC can be found on our site: </w:t>
      </w:r>
      <w:hyperlink r:id="rId8" w:history="1">
        <w:r w:rsidRPr="001879A2">
          <w:rPr>
            <w:rFonts w:asciiTheme="minorHAnsi" w:hAnsiTheme="minorHAnsi" w:cstheme="minorHAnsi"/>
            <w:bCs/>
            <w:i/>
            <w:iCs/>
            <w:sz w:val="22"/>
            <w:szCs w:val="22"/>
          </w:rPr>
          <w:t>www.phosagro.ru</w:t>
        </w:r>
      </w:hyperlink>
    </w:p>
    <w:p w14:paraId="045F3E97" w14:textId="77777777" w:rsidR="00DF256F" w:rsidRPr="00BC2524" w:rsidRDefault="00DF256F" w:rsidP="00977771">
      <w:pPr>
        <w:spacing w:after="120"/>
        <w:ind w:firstLine="567"/>
        <w:jc w:val="both"/>
        <w:rPr>
          <w:rFonts w:ascii="Times New Roman" w:hAnsi="Times New Roman"/>
          <w:b/>
          <w:bCs/>
          <w:sz w:val="18"/>
          <w:szCs w:val="18"/>
          <w:lang w:val="en-GB"/>
        </w:rPr>
      </w:pPr>
    </w:p>
    <w:sectPr w:rsidR="00DF256F" w:rsidRPr="00BC2524" w:rsidSect="00D90A51">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34092" w14:textId="77777777" w:rsidR="00FF1A7E" w:rsidRDefault="00FF1A7E" w:rsidP="00862011">
      <w:r>
        <w:separator/>
      </w:r>
    </w:p>
  </w:endnote>
  <w:endnote w:type="continuationSeparator" w:id="0">
    <w:p w14:paraId="4C3E2CAF" w14:textId="77777777" w:rsidR="00FF1A7E" w:rsidRDefault="00FF1A7E" w:rsidP="0086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959B" w14:textId="77777777" w:rsidR="00FF1A7E" w:rsidRDefault="00FF1A7E" w:rsidP="00862011">
      <w:r>
        <w:separator/>
      </w:r>
    </w:p>
  </w:footnote>
  <w:footnote w:type="continuationSeparator" w:id="0">
    <w:p w14:paraId="2C3C24C1" w14:textId="77777777" w:rsidR="00FF1A7E" w:rsidRDefault="00FF1A7E" w:rsidP="0086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481574">
    <w:abstractNumId w:val="2"/>
  </w:num>
  <w:num w:numId="2" w16cid:durableId="699627707">
    <w:abstractNumId w:val="4"/>
  </w:num>
  <w:num w:numId="3" w16cid:durableId="875654465">
    <w:abstractNumId w:val="5"/>
  </w:num>
  <w:num w:numId="4" w16cid:durableId="286858927">
    <w:abstractNumId w:val="1"/>
  </w:num>
  <w:num w:numId="5" w16cid:durableId="977149690">
    <w:abstractNumId w:val="6"/>
  </w:num>
  <w:num w:numId="6" w16cid:durableId="1197499125">
    <w:abstractNumId w:val="0"/>
  </w:num>
  <w:num w:numId="7" w16cid:durableId="1654601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006ED"/>
    <w:rsid w:val="00004BF6"/>
    <w:rsid w:val="000066CF"/>
    <w:rsid w:val="000107E5"/>
    <w:rsid w:val="0001258A"/>
    <w:rsid w:val="000148D8"/>
    <w:rsid w:val="00015425"/>
    <w:rsid w:val="00020A38"/>
    <w:rsid w:val="00022310"/>
    <w:rsid w:val="00025073"/>
    <w:rsid w:val="00026CCB"/>
    <w:rsid w:val="00034EE8"/>
    <w:rsid w:val="000463F2"/>
    <w:rsid w:val="00047A83"/>
    <w:rsid w:val="000509F6"/>
    <w:rsid w:val="00056C4F"/>
    <w:rsid w:val="00060D2F"/>
    <w:rsid w:val="000675A4"/>
    <w:rsid w:val="000779C0"/>
    <w:rsid w:val="00083399"/>
    <w:rsid w:val="00087A39"/>
    <w:rsid w:val="00094DBC"/>
    <w:rsid w:val="000A1235"/>
    <w:rsid w:val="000A2FB1"/>
    <w:rsid w:val="000A6411"/>
    <w:rsid w:val="000A7089"/>
    <w:rsid w:val="000B32CF"/>
    <w:rsid w:val="000B64E2"/>
    <w:rsid w:val="000B772F"/>
    <w:rsid w:val="000C0396"/>
    <w:rsid w:val="000C1A57"/>
    <w:rsid w:val="000C28C0"/>
    <w:rsid w:val="000C5951"/>
    <w:rsid w:val="000C7D72"/>
    <w:rsid w:val="000D04BA"/>
    <w:rsid w:val="000D26BF"/>
    <w:rsid w:val="000D562A"/>
    <w:rsid w:val="000D6D0A"/>
    <w:rsid w:val="000E748B"/>
    <w:rsid w:val="000E7893"/>
    <w:rsid w:val="000F0DAD"/>
    <w:rsid w:val="000F4803"/>
    <w:rsid w:val="000F4CE1"/>
    <w:rsid w:val="000F5406"/>
    <w:rsid w:val="000F59F3"/>
    <w:rsid w:val="000F7C03"/>
    <w:rsid w:val="00101C35"/>
    <w:rsid w:val="00101EA5"/>
    <w:rsid w:val="001022C9"/>
    <w:rsid w:val="00115D1D"/>
    <w:rsid w:val="0011667A"/>
    <w:rsid w:val="00122E84"/>
    <w:rsid w:val="001234F7"/>
    <w:rsid w:val="00125EC2"/>
    <w:rsid w:val="00126380"/>
    <w:rsid w:val="001307F1"/>
    <w:rsid w:val="00130CFC"/>
    <w:rsid w:val="0013311F"/>
    <w:rsid w:val="00140A43"/>
    <w:rsid w:val="00140FDE"/>
    <w:rsid w:val="001418F3"/>
    <w:rsid w:val="0014403C"/>
    <w:rsid w:val="00144361"/>
    <w:rsid w:val="0015683B"/>
    <w:rsid w:val="00162D49"/>
    <w:rsid w:val="0017199B"/>
    <w:rsid w:val="001738FD"/>
    <w:rsid w:val="00174039"/>
    <w:rsid w:val="001848F9"/>
    <w:rsid w:val="00193A61"/>
    <w:rsid w:val="00195FF4"/>
    <w:rsid w:val="00196B25"/>
    <w:rsid w:val="001A15E2"/>
    <w:rsid w:val="001A2547"/>
    <w:rsid w:val="001B19E1"/>
    <w:rsid w:val="001B3880"/>
    <w:rsid w:val="001B576A"/>
    <w:rsid w:val="001C5C5B"/>
    <w:rsid w:val="001D6069"/>
    <w:rsid w:val="001D6EA9"/>
    <w:rsid w:val="001D7BBD"/>
    <w:rsid w:val="001E03AB"/>
    <w:rsid w:val="001E656D"/>
    <w:rsid w:val="001F144B"/>
    <w:rsid w:val="002019FC"/>
    <w:rsid w:val="00204E32"/>
    <w:rsid w:val="00207052"/>
    <w:rsid w:val="002120BD"/>
    <w:rsid w:val="00220871"/>
    <w:rsid w:val="0022276D"/>
    <w:rsid w:val="00222CFD"/>
    <w:rsid w:val="00225529"/>
    <w:rsid w:val="002302DB"/>
    <w:rsid w:val="00232AB6"/>
    <w:rsid w:val="00233A8F"/>
    <w:rsid w:val="0024468F"/>
    <w:rsid w:val="00247388"/>
    <w:rsid w:val="00247BF4"/>
    <w:rsid w:val="0025033A"/>
    <w:rsid w:val="002561DA"/>
    <w:rsid w:val="00257F5B"/>
    <w:rsid w:val="00263520"/>
    <w:rsid w:val="0026542B"/>
    <w:rsid w:val="00265E37"/>
    <w:rsid w:val="00266DCD"/>
    <w:rsid w:val="002840BC"/>
    <w:rsid w:val="002855F7"/>
    <w:rsid w:val="0029027E"/>
    <w:rsid w:val="0029679F"/>
    <w:rsid w:val="002A1AE7"/>
    <w:rsid w:val="002A2BBA"/>
    <w:rsid w:val="002A7B90"/>
    <w:rsid w:val="002B03FD"/>
    <w:rsid w:val="002B1D12"/>
    <w:rsid w:val="002B3580"/>
    <w:rsid w:val="002C2BE2"/>
    <w:rsid w:val="002D2B49"/>
    <w:rsid w:val="002D4CAB"/>
    <w:rsid w:val="002E0991"/>
    <w:rsid w:val="002E3FF3"/>
    <w:rsid w:val="002E6BA2"/>
    <w:rsid w:val="002E6E1E"/>
    <w:rsid w:val="002E7537"/>
    <w:rsid w:val="00301FD5"/>
    <w:rsid w:val="0030419B"/>
    <w:rsid w:val="00314393"/>
    <w:rsid w:val="003147F4"/>
    <w:rsid w:val="00314FF7"/>
    <w:rsid w:val="0031609E"/>
    <w:rsid w:val="00316C55"/>
    <w:rsid w:val="00317D4F"/>
    <w:rsid w:val="0032524C"/>
    <w:rsid w:val="00344F52"/>
    <w:rsid w:val="003453CA"/>
    <w:rsid w:val="0034645D"/>
    <w:rsid w:val="00356FFA"/>
    <w:rsid w:val="00357674"/>
    <w:rsid w:val="003579BD"/>
    <w:rsid w:val="00362BF9"/>
    <w:rsid w:val="00373887"/>
    <w:rsid w:val="003744A2"/>
    <w:rsid w:val="00376E12"/>
    <w:rsid w:val="003837D6"/>
    <w:rsid w:val="0039219E"/>
    <w:rsid w:val="003A1263"/>
    <w:rsid w:val="003A1976"/>
    <w:rsid w:val="003A660A"/>
    <w:rsid w:val="003B08C2"/>
    <w:rsid w:val="003B149D"/>
    <w:rsid w:val="003B4F49"/>
    <w:rsid w:val="003C003D"/>
    <w:rsid w:val="003C60D7"/>
    <w:rsid w:val="003D28BF"/>
    <w:rsid w:val="003D3D27"/>
    <w:rsid w:val="003E3510"/>
    <w:rsid w:val="003E37F3"/>
    <w:rsid w:val="003E606C"/>
    <w:rsid w:val="003F2BB6"/>
    <w:rsid w:val="003F46CA"/>
    <w:rsid w:val="003F7C1C"/>
    <w:rsid w:val="003F7CF9"/>
    <w:rsid w:val="003F7ED0"/>
    <w:rsid w:val="00402D4D"/>
    <w:rsid w:val="0040472A"/>
    <w:rsid w:val="00410DC7"/>
    <w:rsid w:val="0042214F"/>
    <w:rsid w:val="00424BA5"/>
    <w:rsid w:val="00425423"/>
    <w:rsid w:val="00433F2A"/>
    <w:rsid w:val="00441924"/>
    <w:rsid w:val="0044340A"/>
    <w:rsid w:val="004512DC"/>
    <w:rsid w:val="004627A5"/>
    <w:rsid w:val="004657C2"/>
    <w:rsid w:val="0047176C"/>
    <w:rsid w:val="00474CD7"/>
    <w:rsid w:val="004842F5"/>
    <w:rsid w:val="0049263D"/>
    <w:rsid w:val="0049449D"/>
    <w:rsid w:val="0049660A"/>
    <w:rsid w:val="004A0346"/>
    <w:rsid w:val="004A1844"/>
    <w:rsid w:val="004A6E72"/>
    <w:rsid w:val="004A79D2"/>
    <w:rsid w:val="004B3E24"/>
    <w:rsid w:val="004C0639"/>
    <w:rsid w:val="004C5D27"/>
    <w:rsid w:val="004C6CF4"/>
    <w:rsid w:val="004D077F"/>
    <w:rsid w:val="004D2ED5"/>
    <w:rsid w:val="004D5ED7"/>
    <w:rsid w:val="004E0E8C"/>
    <w:rsid w:val="004F1BF6"/>
    <w:rsid w:val="00501F69"/>
    <w:rsid w:val="005056EA"/>
    <w:rsid w:val="00505749"/>
    <w:rsid w:val="00506BE3"/>
    <w:rsid w:val="0051236D"/>
    <w:rsid w:val="005128DF"/>
    <w:rsid w:val="00521F46"/>
    <w:rsid w:val="00526714"/>
    <w:rsid w:val="00532766"/>
    <w:rsid w:val="005330B1"/>
    <w:rsid w:val="0053399D"/>
    <w:rsid w:val="00543C26"/>
    <w:rsid w:val="00546C5F"/>
    <w:rsid w:val="005610BF"/>
    <w:rsid w:val="005639B2"/>
    <w:rsid w:val="005675F2"/>
    <w:rsid w:val="00573F95"/>
    <w:rsid w:val="00574FC4"/>
    <w:rsid w:val="00575B74"/>
    <w:rsid w:val="005802AA"/>
    <w:rsid w:val="005803EC"/>
    <w:rsid w:val="00582B25"/>
    <w:rsid w:val="00583A91"/>
    <w:rsid w:val="00584537"/>
    <w:rsid w:val="005A3E59"/>
    <w:rsid w:val="005A5842"/>
    <w:rsid w:val="005A7963"/>
    <w:rsid w:val="005B42AB"/>
    <w:rsid w:val="005C6047"/>
    <w:rsid w:val="005C70FC"/>
    <w:rsid w:val="005D5C58"/>
    <w:rsid w:val="005D687F"/>
    <w:rsid w:val="005E1CB9"/>
    <w:rsid w:val="005E4BCA"/>
    <w:rsid w:val="005F1637"/>
    <w:rsid w:val="005F6591"/>
    <w:rsid w:val="00605EF6"/>
    <w:rsid w:val="0060717B"/>
    <w:rsid w:val="00612099"/>
    <w:rsid w:val="006135B3"/>
    <w:rsid w:val="00615536"/>
    <w:rsid w:val="006350F9"/>
    <w:rsid w:val="00636D30"/>
    <w:rsid w:val="00646DC2"/>
    <w:rsid w:val="00651ED8"/>
    <w:rsid w:val="00662332"/>
    <w:rsid w:val="0066593D"/>
    <w:rsid w:val="0067111F"/>
    <w:rsid w:val="00672507"/>
    <w:rsid w:val="0068400E"/>
    <w:rsid w:val="006A08D1"/>
    <w:rsid w:val="006B3273"/>
    <w:rsid w:val="006B7A7D"/>
    <w:rsid w:val="006C013A"/>
    <w:rsid w:val="006C3B36"/>
    <w:rsid w:val="006C7CA1"/>
    <w:rsid w:val="006D5B06"/>
    <w:rsid w:val="006E3F05"/>
    <w:rsid w:val="006E411F"/>
    <w:rsid w:val="006F13A9"/>
    <w:rsid w:val="006F154A"/>
    <w:rsid w:val="006F5A8E"/>
    <w:rsid w:val="006F7A03"/>
    <w:rsid w:val="00700AE1"/>
    <w:rsid w:val="007017FF"/>
    <w:rsid w:val="0070590F"/>
    <w:rsid w:val="00707721"/>
    <w:rsid w:val="00707C6B"/>
    <w:rsid w:val="0071201E"/>
    <w:rsid w:val="00721762"/>
    <w:rsid w:val="00721EDA"/>
    <w:rsid w:val="00733BFE"/>
    <w:rsid w:val="007344B1"/>
    <w:rsid w:val="007352D8"/>
    <w:rsid w:val="007423FD"/>
    <w:rsid w:val="00747987"/>
    <w:rsid w:val="00754490"/>
    <w:rsid w:val="00762B8B"/>
    <w:rsid w:val="0077065C"/>
    <w:rsid w:val="00771D19"/>
    <w:rsid w:val="00772C9A"/>
    <w:rsid w:val="00775E41"/>
    <w:rsid w:val="00784719"/>
    <w:rsid w:val="00785771"/>
    <w:rsid w:val="00786654"/>
    <w:rsid w:val="00794CB7"/>
    <w:rsid w:val="00797F10"/>
    <w:rsid w:val="007A4877"/>
    <w:rsid w:val="007B294A"/>
    <w:rsid w:val="007B3019"/>
    <w:rsid w:val="007B41B5"/>
    <w:rsid w:val="007C29EE"/>
    <w:rsid w:val="007D2984"/>
    <w:rsid w:val="007D2F12"/>
    <w:rsid w:val="007E026B"/>
    <w:rsid w:val="007E130F"/>
    <w:rsid w:val="007E42BA"/>
    <w:rsid w:val="007F24D9"/>
    <w:rsid w:val="007F2F43"/>
    <w:rsid w:val="007F456E"/>
    <w:rsid w:val="0080443D"/>
    <w:rsid w:val="00807DA3"/>
    <w:rsid w:val="008264DF"/>
    <w:rsid w:val="00837CB0"/>
    <w:rsid w:val="0084357E"/>
    <w:rsid w:val="00845B94"/>
    <w:rsid w:val="008467A0"/>
    <w:rsid w:val="008474B5"/>
    <w:rsid w:val="00855804"/>
    <w:rsid w:val="00855A9A"/>
    <w:rsid w:val="00862011"/>
    <w:rsid w:val="00863167"/>
    <w:rsid w:val="0086401D"/>
    <w:rsid w:val="0086544D"/>
    <w:rsid w:val="0087535B"/>
    <w:rsid w:val="00881022"/>
    <w:rsid w:val="00890F10"/>
    <w:rsid w:val="008A2B5E"/>
    <w:rsid w:val="008A3207"/>
    <w:rsid w:val="008A498A"/>
    <w:rsid w:val="008A60AF"/>
    <w:rsid w:val="008B2D8C"/>
    <w:rsid w:val="008B40A8"/>
    <w:rsid w:val="008C6CE4"/>
    <w:rsid w:val="008E0446"/>
    <w:rsid w:val="008E06A6"/>
    <w:rsid w:val="008E2201"/>
    <w:rsid w:val="008E2AA5"/>
    <w:rsid w:val="008E3BA3"/>
    <w:rsid w:val="008E7C73"/>
    <w:rsid w:val="008F1E4C"/>
    <w:rsid w:val="00921147"/>
    <w:rsid w:val="0092127D"/>
    <w:rsid w:val="00930BB9"/>
    <w:rsid w:val="00933B36"/>
    <w:rsid w:val="00940165"/>
    <w:rsid w:val="0094077A"/>
    <w:rsid w:val="00946FC7"/>
    <w:rsid w:val="009477D4"/>
    <w:rsid w:val="009623D5"/>
    <w:rsid w:val="00964998"/>
    <w:rsid w:val="00967295"/>
    <w:rsid w:val="0096760B"/>
    <w:rsid w:val="009729B0"/>
    <w:rsid w:val="00976CDA"/>
    <w:rsid w:val="00976EE0"/>
    <w:rsid w:val="00977771"/>
    <w:rsid w:val="00992839"/>
    <w:rsid w:val="00992B48"/>
    <w:rsid w:val="00995559"/>
    <w:rsid w:val="009A0CD5"/>
    <w:rsid w:val="009B2B37"/>
    <w:rsid w:val="009B312F"/>
    <w:rsid w:val="009B7803"/>
    <w:rsid w:val="009C3FC0"/>
    <w:rsid w:val="009C7370"/>
    <w:rsid w:val="009D074B"/>
    <w:rsid w:val="009D5CDB"/>
    <w:rsid w:val="009E1F56"/>
    <w:rsid w:val="009E25E2"/>
    <w:rsid w:val="009E3D49"/>
    <w:rsid w:val="009E572D"/>
    <w:rsid w:val="009E7491"/>
    <w:rsid w:val="009F451C"/>
    <w:rsid w:val="009F7803"/>
    <w:rsid w:val="009F7D93"/>
    <w:rsid w:val="00A00988"/>
    <w:rsid w:val="00A03903"/>
    <w:rsid w:val="00A1759F"/>
    <w:rsid w:val="00A25932"/>
    <w:rsid w:val="00A34513"/>
    <w:rsid w:val="00A34B41"/>
    <w:rsid w:val="00A41B63"/>
    <w:rsid w:val="00A4306E"/>
    <w:rsid w:val="00A43A76"/>
    <w:rsid w:val="00A43D1A"/>
    <w:rsid w:val="00A46904"/>
    <w:rsid w:val="00A506D3"/>
    <w:rsid w:val="00A50B8F"/>
    <w:rsid w:val="00A56912"/>
    <w:rsid w:val="00A56E77"/>
    <w:rsid w:val="00A64226"/>
    <w:rsid w:val="00A660C9"/>
    <w:rsid w:val="00A66120"/>
    <w:rsid w:val="00A70D94"/>
    <w:rsid w:val="00A72A0E"/>
    <w:rsid w:val="00A75A24"/>
    <w:rsid w:val="00A76FC1"/>
    <w:rsid w:val="00A77320"/>
    <w:rsid w:val="00A86F4C"/>
    <w:rsid w:val="00AA2881"/>
    <w:rsid w:val="00AB07AF"/>
    <w:rsid w:val="00AB5EF9"/>
    <w:rsid w:val="00AB6C53"/>
    <w:rsid w:val="00AC6BE7"/>
    <w:rsid w:val="00AD3902"/>
    <w:rsid w:val="00AD69DC"/>
    <w:rsid w:val="00AF49B4"/>
    <w:rsid w:val="00B070BC"/>
    <w:rsid w:val="00B078DA"/>
    <w:rsid w:val="00B1236A"/>
    <w:rsid w:val="00B14A88"/>
    <w:rsid w:val="00B14B91"/>
    <w:rsid w:val="00B15B0A"/>
    <w:rsid w:val="00B231CC"/>
    <w:rsid w:val="00B243F6"/>
    <w:rsid w:val="00B364B7"/>
    <w:rsid w:val="00B43C32"/>
    <w:rsid w:val="00B44D24"/>
    <w:rsid w:val="00B50642"/>
    <w:rsid w:val="00B52688"/>
    <w:rsid w:val="00B53F4A"/>
    <w:rsid w:val="00B56A24"/>
    <w:rsid w:val="00B62DBC"/>
    <w:rsid w:val="00B65D8F"/>
    <w:rsid w:val="00B72036"/>
    <w:rsid w:val="00B7203A"/>
    <w:rsid w:val="00B76CCA"/>
    <w:rsid w:val="00B85620"/>
    <w:rsid w:val="00B913AE"/>
    <w:rsid w:val="00B9359E"/>
    <w:rsid w:val="00BA32A1"/>
    <w:rsid w:val="00BB06BA"/>
    <w:rsid w:val="00BB37A4"/>
    <w:rsid w:val="00BB52A2"/>
    <w:rsid w:val="00BC24D4"/>
    <w:rsid w:val="00BC2524"/>
    <w:rsid w:val="00BC61B1"/>
    <w:rsid w:val="00BC6992"/>
    <w:rsid w:val="00BD04CB"/>
    <w:rsid w:val="00BD0DB7"/>
    <w:rsid w:val="00BD3AFE"/>
    <w:rsid w:val="00BD783E"/>
    <w:rsid w:val="00BE4F24"/>
    <w:rsid w:val="00BF0E2B"/>
    <w:rsid w:val="00BF3FCA"/>
    <w:rsid w:val="00BF4690"/>
    <w:rsid w:val="00BF4DF1"/>
    <w:rsid w:val="00BF7861"/>
    <w:rsid w:val="00C04D69"/>
    <w:rsid w:val="00C06CDA"/>
    <w:rsid w:val="00C0785E"/>
    <w:rsid w:val="00C07DA0"/>
    <w:rsid w:val="00C1118B"/>
    <w:rsid w:val="00C22EE1"/>
    <w:rsid w:val="00C32506"/>
    <w:rsid w:val="00C34A4B"/>
    <w:rsid w:val="00C40B2F"/>
    <w:rsid w:val="00C42BF5"/>
    <w:rsid w:val="00C4693B"/>
    <w:rsid w:val="00C5286B"/>
    <w:rsid w:val="00C53EB3"/>
    <w:rsid w:val="00C6513A"/>
    <w:rsid w:val="00C657A4"/>
    <w:rsid w:val="00C6714D"/>
    <w:rsid w:val="00C937A5"/>
    <w:rsid w:val="00C93BCF"/>
    <w:rsid w:val="00C9735B"/>
    <w:rsid w:val="00CA110B"/>
    <w:rsid w:val="00CA44A3"/>
    <w:rsid w:val="00CA4D67"/>
    <w:rsid w:val="00CB350B"/>
    <w:rsid w:val="00CB51EA"/>
    <w:rsid w:val="00CD0403"/>
    <w:rsid w:val="00CD0759"/>
    <w:rsid w:val="00CD7D45"/>
    <w:rsid w:val="00CE2950"/>
    <w:rsid w:val="00CE2B1A"/>
    <w:rsid w:val="00CE7CD1"/>
    <w:rsid w:val="00CE7F41"/>
    <w:rsid w:val="00CF3BE0"/>
    <w:rsid w:val="00D21D53"/>
    <w:rsid w:val="00D224A9"/>
    <w:rsid w:val="00D231FE"/>
    <w:rsid w:val="00D3197D"/>
    <w:rsid w:val="00D36922"/>
    <w:rsid w:val="00D41EB1"/>
    <w:rsid w:val="00D4411C"/>
    <w:rsid w:val="00D456A4"/>
    <w:rsid w:val="00D45CB3"/>
    <w:rsid w:val="00D47228"/>
    <w:rsid w:val="00D55A35"/>
    <w:rsid w:val="00D575CA"/>
    <w:rsid w:val="00D613E0"/>
    <w:rsid w:val="00D61C0D"/>
    <w:rsid w:val="00D61D3A"/>
    <w:rsid w:val="00D65517"/>
    <w:rsid w:val="00D75BC9"/>
    <w:rsid w:val="00D77E45"/>
    <w:rsid w:val="00D90A51"/>
    <w:rsid w:val="00D91C64"/>
    <w:rsid w:val="00D91C83"/>
    <w:rsid w:val="00DA2C25"/>
    <w:rsid w:val="00DA31B8"/>
    <w:rsid w:val="00DA32D7"/>
    <w:rsid w:val="00DA3667"/>
    <w:rsid w:val="00DA3873"/>
    <w:rsid w:val="00DA625C"/>
    <w:rsid w:val="00DB0098"/>
    <w:rsid w:val="00DB251E"/>
    <w:rsid w:val="00DB6BCA"/>
    <w:rsid w:val="00DB799C"/>
    <w:rsid w:val="00DC3287"/>
    <w:rsid w:val="00DD290E"/>
    <w:rsid w:val="00DD4D97"/>
    <w:rsid w:val="00DD513D"/>
    <w:rsid w:val="00DD7F28"/>
    <w:rsid w:val="00DE21D2"/>
    <w:rsid w:val="00DE5187"/>
    <w:rsid w:val="00DE5330"/>
    <w:rsid w:val="00DE6E63"/>
    <w:rsid w:val="00DE719F"/>
    <w:rsid w:val="00DF2329"/>
    <w:rsid w:val="00DF256F"/>
    <w:rsid w:val="00DF2A06"/>
    <w:rsid w:val="00DF351C"/>
    <w:rsid w:val="00DF6148"/>
    <w:rsid w:val="00DF6CD1"/>
    <w:rsid w:val="00E00AA3"/>
    <w:rsid w:val="00E0342B"/>
    <w:rsid w:val="00E06549"/>
    <w:rsid w:val="00E109E1"/>
    <w:rsid w:val="00E13E09"/>
    <w:rsid w:val="00E14C74"/>
    <w:rsid w:val="00E17296"/>
    <w:rsid w:val="00E20A43"/>
    <w:rsid w:val="00E20AAF"/>
    <w:rsid w:val="00E24024"/>
    <w:rsid w:val="00E24C31"/>
    <w:rsid w:val="00E24FC5"/>
    <w:rsid w:val="00E27373"/>
    <w:rsid w:val="00E42B11"/>
    <w:rsid w:val="00E47F2B"/>
    <w:rsid w:val="00E624FD"/>
    <w:rsid w:val="00E63155"/>
    <w:rsid w:val="00E639C6"/>
    <w:rsid w:val="00E74445"/>
    <w:rsid w:val="00E81536"/>
    <w:rsid w:val="00E83860"/>
    <w:rsid w:val="00E84B93"/>
    <w:rsid w:val="00E91682"/>
    <w:rsid w:val="00E95F0E"/>
    <w:rsid w:val="00EA3823"/>
    <w:rsid w:val="00EA3E4F"/>
    <w:rsid w:val="00EA4B68"/>
    <w:rsid w:val="00EA6C38"/>
    <w:rsid w:val="00EB4C20"/>
    <w:rsid w:val="00EC4398"/>
    <w:rsid w:val="00EC5ADF"/>
    <w:rsid w:val="00ED4630"/>
    <w:rsid w:val="00ED4B16"/>
    <w:rsid w:val="00ED4F05"/>
    <w:rsid w:val="00EE2148"/>
    <w:rsid w:val="00EF081F"/>
    <w:rsid w:val="00EF2713"/>
    <w:rsid w:val="00EF4A86"/>
    <w:rsid w:val="00F05E5D"/>
    <w:rsid w:val="00F062D8"/>
    <w:rsid w:val="00F07735"/>
    <w:rsid w:val="00F108B1"/>
    <w:rsid w:val="00F16E31"/>
    <w:rsid w:val="00F16E54"/>
    <w:rsid w:val="00F16F50"/>
    <w:rsid w:val="00F35995"/>
    <w:rsid w:val="00F37860"/>
    <w:rsid w:val="00F3795A"/>
    <w:rsid w:val="00F415EE"/>
    <w:rsid w:val="00F43345"/>
    <w:rsid w:val="00F43810"/>
    <w:rsid w:val="00F461FF"/>
    <w:rsid w:val="00F53A1D"/>
    <w:rsid w:val="00F57A55"/>
    <w:rsid w:val="00F61130"/>
    <w:rsid w:val="00F6146D"/>
    <w:rsid w:val="00F74550"/>
    <w:rsid w:val="00F745D9"/>
    <w:rsid w:val="00F75C6F"/>
    <w:rsid w:val="00F76D8C"/>
    <w:rsid w:val="00F812E2"/>
    <w:rsid w:val="00F84A3B"/>
    <w:rsid w:val="00F866B8"/>
    <w:rsid w:val="00F8773B"/>
    <w:rsid w:val="00F92E13"/>
    <w:rsid w:val="00F948EE"/>
    <w:rsid w:val="00F957F8"/>
    <w:rsid w:val="00FA49BE"/>
    <w:rsid w:val="00FB3148"/>
    <w:rsid w:val="00FB386C"/>
    <w:rsid w:val="00FB5531"/>
    <w:rsid w:val="00FC0D82"/>
    <w:rsid w:val="00FC2179"/>
    <w:rsid w:val="00FC5EE6"/>
    <w:rsid w:val="00FC6E2F"/>
    <w:rsid w:val="00FD3A70"/>
    <w:rsid w:val="00FD3CA8"/>
    <w:rsid w:val="00FE6AF5"/>
    <w:rsid w:val="00FF1A7E"/>
    <w:rsid w:val="00FF43F5"/>
    <w:rsid w:val="00FF6822"/>
    <w:rsid w:val="00FF6EE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C2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iCs/>
      <w:color w:val="0563C1"/>
      <w:sz w:val="18"/>
      <w:szCs w:val="18"/>
      <w:u w:val="single" w:color="0563C1"/>
      <w:lang w:val="ru-RU"/>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paragraph" w:styleId="a4">
    <w:name w:val="Balloon Text"/>
    <w:basedOn w:val="a"/>
    <w:link w:val="a5"/>
    <w:uiPriority w:val="99"/>
    <w:semiHidden/>
    <w:unhideWhenUsed/>
    <w:rsid w:val="000C5951"/>
    <w:rPr>
      <w:rFonts w:ascii="Segoe UI" w:hAnsi="Segoe UI" w:cs="Segoe UI"/>
      <w:sz w:val="18"/>
      <w:szCs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szCs w:val="18"/>
      <w:u w:color="000000"/>
      <w:bdr w:val="nil"/>
      <w:lang w:val="en-US" w:eastAsia="ru-RU"/>
    </w:rPr>
  </w:style>
  <w:style w:type="character" w:styleId="a6">
    <w:name w:val="Subtle Reference"/>
    <w:basedOn w:val="a0"/>
    <w:uiPriority w:val="31"/>
    <w:qFormat/>
    <w:rsid w:val="008474B5"/>
    <w:rPr>
      <w:smallCaps/>
      <w:color w:val="5A5A5A" w:themeColor="text1" w:themeTint="A5"/>
    </w:rPr>
  </w:style>
  <w:style w:type="paragraph" w:styleId="a7">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8"/>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lang w:val="ru-RU"/>
    </w:rPr>
  </w:style>
  <w:style w:type="character" w:customStyle="1" w:styleId="a8">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7"/>
    <w:qFormat/>
    <w:locked/>
    <w:rsid w:val="00D91C64"/>
    <w:rPr>
      <w:rFonts w:ascii="Times New Roman" w:hAnsi="Times New Roman" w:cs="Times New Roman"/>
      <w:sz w:val="24"/>
      <w:szCs w:val="24"/>
      <w:lang w:eastAsia="ru-RU"/>
    </w:rPr>
  </w:style>
  <w:style w:type="character" w:styleId="a9">
    <w:name w:val="annotation reference"/>
    <w:basedOn w:val="a0"/>
    <w:uiPriority w:val="99"/>
    <w:semiHidden/>
    <w:unhideWhenUsed/>
    <w:rsid w:val="006B3273"/>
    <w:rPr>
      <w:sz w:val="16"/>
      <w:szCs w:val="16"/>
    </w:rPr>
  </w:style>
  <w:style w:type="paragraph" w:styleId="aa">
    <w:name w:val="annotation text"/>
    <w:basedOn w:val="a"/>
    <w:link w:val="ab"/>
    <w:uiPriority w:val="99"/>
    <w:semiHidden/>
    <w:unhideWhenUsed/>
    <w:rsid w:val="006B3273"/>
    <w:rPr>
      <w:sz w:val="20"/>
      <w:szCs w:val="20"/>
    </w:rPr>
  </w:style>
  <w:style w:type="character" w:customStyle="1" w:styleId="ab">
    <w:name w:val="Текст примечания Знак"/>
    <w:basedOn w:val="a0"/>
    <w:link w:val="aa"/>
    <w:uiPriority w:val="99"/>
    <w:semiHidden/>
    <w:rsid w:val="006B3273"/>
    <w:rPr>
      <w:rFonts w:ascii="Calibri" w:eastAsia="Calibri" w:hAnsi="Calibri" w:cs="Calibri"/>
      <w:color w:val="000000"/>
      <w:sz w:val="20"/>
      <w:szCs w:val="20"/>
      <w:u w:color="000000"/>
      <w:bdr w:val="nil"/>
      <w:lang w:val="en-US" w:eastAsia="ru-RU"/>
    </w:rPr>
  </w:style>
  <w:style w:type="paragraph" w:styleId="ac">
    <w:name w:val="annotation subject"/>
    <w:basedOn w:val="aa"/>
    <w:next w:val="aa"/>
    <w:link w:val="ad"/>
    <w:uiPriority w:val="99"/>
    <w:semiHidden/>
    <w:unhideWhenUsed/>
    <w:rsid w:val="006B3273"/>
    <w:rPr>
      <w:b/>
      <w:bCs/>
    </w:rPr>
  </w:style>
  <w:style w:type="character" w:customStyle="1" w:styleId="ad">
    <w:name w:val="Тема примечания Знак"/>
    <w:basedOn w:val="ab"/>
    <w:link w:val="ac"/>
    <w:uiPriority w:val="99"/>
    <w:semiHidden/>
    <w:rsid w:val="006B3273"/>
    <w:rPr>
      <w:rFonts w:ascii="Calibri" w:eastAsia="Calibri" w:hAnsi="Calibri" w:cs="Calibri"/>
      <w:b/>
      <w:bCs/>
      <w:color w:val="000000"/>
      <w:sz w:val="20"/>
      <w:szCs w:val="20"/>
      <w:u w:color="000000"/>
      <w:bdr w:val="nil"/>
      <w:lang w:val="en-US" w:eastAsia="ru-RU"/>
    </w:rPr>
  </w:style>
  <w:style w:type="paragraph" w:customStyle="1" w:styleId="P68B1DB1-Normal4">
    <w:name w:val="P68B1DB1-Normal4"/>
    <w:basedOn w:val="a"/>
    <w:rsid w:val="00BC2524"/>
    <w:rPr>
      <w:rFonts w:ascii="Times New Roman" w:hAnsi="Times New Roman" w:cs="Times New Roman"/>
      <w:szCs w:val="20"/>
      <w:lang w:val="en-CA" w:eastAsia="en-US"/>
    </w:rPr>
  </w:style>
  <w:style w:type="paragraph" w:customStyle="1" w:styleId="P68B1DB1-Normal22">
    <w:name w:val="P68B1DB1-Normal22"/>
    <w:basedOn w:val="a"/>
    <w:rsid w:val="00BC25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szCs w:val="20"/>
      <w:bdr w:val="none" w:sz="0" w:space="0" w:color="auto"/>
      <w:lang w:val="en-CA" w:eastAsia="en-US"/>
    </w:rPr>
  </w:style>
  <w:style w:type="paragraph" w:styleId="ae">
    <w:name w:val="header"/>
    <w:basedOn w:val="a"/>
    <w:link w:val="af"/>
    <w:uiPriority w:val="99"/>
    <w:unhideWhenUsed/>
    <w:rsid w:val="00862011"/>
    <w:pPr>
      <w:tabs>
        <w:tab w:val="center" w:pos="4677"/>
        <w:tab w:val="right" w:pos="9355"/>
      </w:tabs>
    </w:pPr>
  </w:style>
  <w:style w:type="character" w:customStyle="1" w:styleId="af">
    <w:name w:val="Верхний колонтитул Знак"/>
    <w:basedOn w:val="a0"/>
    <w:link w:val="ae"/>
    <w:uiPriority w:val="99"/>
    <w:rsid w:val="00862011"/>
    <w:rPr>
      <w:rFonts w:ascii="Calibri" w:eastAsia="Calibri" w:hAnsi="Calibri" w:cs="Calibri"/>
      <w:color w:val="000000"/>
      <w:sz w:val="24"/>
      <w:szCs w:val="24"/>
      <w:u w:color="000000"/>
      <w:bdr w:val="nil"/>
      <w:lang w:val="en-US" w:eastAsia="ru-RU"/>
    </w:rPr>
  </w:style>
  <w:style w:type="paragraph" w:styleId="af0">
    <w:name w:val="footer"/>
    <w:basedOn w:val="a"/>
    <w:link w:val="af1"/>
    <w:uiPriority w:val="99"/>
    <w:unhideWhenUsed/>
    <w:rsid w:val="00862011"/>
    <w:pPr>
      <w:tabs>
        <w:tab w:val="center" w:pos="4677"/>
        <w:tab w:val="right" w:pos="9355"/>
      </w:tabs>
    </w:pPr>
  </w:style>
  <w:style w:type="character" w:customStyle="1" w:styleId="af1">
    <w:name w:val="Нижний колонтитул Знак"/>
    <w:basedOn w:val="a0"/>
    <w:link w:val="af0"/>
    <w:uiPriority w:val="99"/>
    <w:rsid w:val="00862011"/>
    <w:rPr>
      <w:rFonts w:ascii="Calibri" w:eastAsia="Calibri" w:hAnsi="Calibri" w:cs="Calibri"/>
      <w:color w:val="000000"/>
      <w:sz w:val="24"/>
      <w:szCs w:val="24"/>
      <w:u w:color="000000"/>
      <w:bdr w:val="nil"/>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61">
      <w:bodyDiv w:val="1"/>
      <w:marLeft w:val="0"/>
      <w:marRight w:val="0"/>
      <w:marTop w:val="0"/>
      <w:marBottom w:val="0"/>
      <w:divBdr>
        <w:top w:val="none" w:sz="0" w:space="0" w:color="auto"/>
        <w:left w:val="none" w:sz="0" w:space="0" w:color="auto"/>
        <w:bottom w:val="none" w:sz="0" w:space="0" w:color="auto"/>
        <w:right w:val="none" w:sz="0" w:space="0" w:color="auto"/>
      </w:divBdr>
    </w:div>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sagro.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2023-10-03T16:44:00Z</dcterms:created>
  <dcterms:modified xsi:type="dcterms:W3CDTF">2023-10-03T16:44:00Z</dcterms:modified>
</cp:coreProperties>
</file>