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8FBF" w14:textId="3B6B4FC3" w:rsidR="00E95F9B" w:rsidRPr="00D072D5" w:rsidRDefault="0022225F">
      <w:pPr>
        <w:pStyle w:val="P68B1DB1-Normal1"/>
        <w:jc w:val="center"/>
        <w:rPr>
          <w:lang w:val="en-GB"/>
        </w:rPr>
      </w:pPr>
      <w:bookmarkStart w:id="0" w:name="_GoBack"/>
      <w:bookmarkEnd w:id="0"/>
      <w:r w:rsidRPr="00A56CE1">
        <w:rPr>
          <w:noProof/>
          <w:sz w:val="22"/>
          <w:szCs w:val="22"/>
          <w:lang w:val="ru-RU" w:eastAsia="ru-RU"/>
        </w:rPr>
        <w:drawing>
          <wp:inline distT="0" distB="0" distL="0" distR="0" wp14:anchorId="1EDFCDB3" wp14:editId="0AE3080C">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401131B2" w14:textId="77777777" w:rsidR="00E95F9B" w:rsidRPr="0022225F" w:rsidRDefault="00E95F9B" w:rsidP="0017236C">
      <w:pPr>
        <w:spacing w:after="120"/>
        <w:rPr>
          <w:rFonts w:ascii="Times New Roman" w:hAnsi="Times New Roman" w:cs="Times New Roman"/>
          <w:b/>
          <w:lang w:val="en-US"/>
        </w:rPr>
      </w:pPr>
    </w:p>
    <w:p w14:paraId="6EAC5F7D" w14:textId="77777777" w:rsidR="00E95F9B" w:rsidRPr="0022225F" w:rsidRDefault="00D93433">
      <w:pPr>
        <w:pStyle w:val="P68B1DB1-Normal2"/>
        <w:spacing w:afterLines="60" w:after="144"/>
        <w:jc w:val="center"/>
        <w:rPr>
          <w:rFonts w:asciiTheme="minorHAnsi" w:hAnsiTheme="minorHAnsi" w:cstheme="minorHAnsi"/>
          <w:sz w:val="22"/>
          <w:szCs w:val="22"/>
          <w:lang w:val="en-GB"/>
        </w:rPr>
      </w:pPr>
      <w:r w:rsidRPr="0022225F">
        <w:rPr>
          <w:rFonts w:asciiTheme="minorHAnsi" w:hAnsiTheme="minorHAnsi" w:cstheme="minorHAnsi"/>
          <w:sz w:val="22"/>
          <w:szCs w:val="22"/>
          <w:lang w:val="en-GB"/>
        </w:rPr>
        <w:t xml:space="preserve">PhosAgro and </w:t>
      </w:r>
      <w:proofErr w:type="spellStart"/>
      <w:r w:rsidRPr="0022225F">
        <w:rPr>
          <w:rFonts w:asciiTheme="minorHAnsi" w:hAnsiTheme="minorHAnsi" w:cstheme="minorHAnsi"/>
          <w:sz w:val="22"/>
          <w:szCs w:val="22"/>
          <w:lang w:val="en-GB"/>
        </w:rPr>
        <w:t>Gazprombank</w:t>
      </w:r>
      <w:proofErr w:type="spellEnd"/>
      <w:r w:rsidRPr="0022225F">
        <w:rPr>
          <w:rFonts w:asciiTheme="minorHAnsi" w:hAnsiTheme="minorHAnsi" w:cstheme="minorHAnsi"/>
          <w:sz w:val="22"/>
          <w:szCs w:val="22"/>
          <w:lang w:val="en-GB"/>
        </w:rPr>
        <w:t xml:space="preserve"> Sign Agreement on Replacement Bonds at SPIEF 2023</w:t>
      </w:r>
    </w:p>
    <w:p w14:paraId="65D838D7" w14:textId="052B9199" w:rsidR="00E95F9B" w:rsidRPr="0022225F" w:rsidRDefault="00D93433" w:rsidP="0022225F">
      <w:pPr>
        <w:pStyle w:val="P68B1DB1-Normal3"/>
        <w:spacing w:before="360" w:afterLines="60" w:after="144"/>
        <w:jc w:val="both"/>
        <w:rPr>
          <w:rFonts w:asciiTheme="minorHAnsi" w:hAnsiTheme="minorHAnsi" w:cstheme="minorHAnsi"/>
          <w:b/>
          <w:sz w:val="22"/>
          <w:szCs w:val="22"/>
          <w:lang w:val="en-US"/>
        </w:rPr>
      </w:pPr>
      <w:r w:rsidRPr="0022225F">
        <w:rPr>
          <w:rFonts w:asciiTheme="minorHAnsi" w:hAnsiTheme="minorHAnsi" w:cstheme="minorHAnsi"/>
          <w:b/>
          <w:sz w:val="22"/>
          <w:szCs w:val="22"/>
          <w:lang w:val="en-GB"/>
        </w:rPr>
        <w:t>St Petersburg</w:t>
      </w:r>
      <w:r w:rsidR="0017236C" w:rsidRPr="0022225F">
        <w:rPr>
          <w:rFonts w:asciiTheme="minorHAnsi" w:hAnsiTheme="minorHAnsi" w:cstheme="minorHAnsi"/>
          <w:b/>
          <w:sz w:val="22"/>
          <w:szCs w:val="22"/>
          <w:lang w:val="en-US"/>
        </w:rPr>
        <w:t xml:space="preserve"> – </w:t>
      </w:r>
      <w:r w:rsidRPr="0022225F">
        <w:rPr>
          <w:rFonts w:asciiTheme="minorHAnsi" w:hAnsiTheme="minorHAnsi" w:cstheme="minorHAnsi"/>
          <w:sz w:val="22"/>
          <w:szCs w:val="22"/>
          <w:lang w:val="en-GB"/>
        </w:rPr>
        <w:t xml:space="preserve">PJSC PhosAgro, one of the world’s leading producers of phosphate-based fertilizers, has signed an agreement with JSC </w:t>
      </w:r>
      <w:proofErr w:type="spellStart"/>
      <w:r w:rsidRPr="0022225F">
        <w:rPr>
          <w:rFonts w:asciiTheme="minorHAnsi" w:hAnsiTheme="minorHAnsi" w:cstheme="minorHAnsi"/>
          <w:sz w:val="22"/>
          <w:szCs w:val="22"/>
          <w:lang w:val="en-GB"/>
        </w:rPr>
        <w:t>Gazprombank</w:t>
      </w:r>
      <w:proofErr w:type="spellEnd"/>
      <w:r w:rsidRPr="0022225F">
        <w:rPr>
          <w:rFonts w:asciiTheme="minorHAnsi" w:hAnsiTheme="minorHAnsi" w:cstheme="minorHAnsi"/>
          <w:sz w:val="22"/>
          <w:szCs w:val="22"/>
          <w:lang w:val="en-GB"/>
        </w:rPr>
        <w:t xml:space="preserve"> to issue replacement bonds. </w:t>
      </w:r>
    </w:p>
    <w:p w14:paraId="330988D1" w14:textId="77777777" w:rsidR="00E95F9B" w:rsidRPr="0022225F" w:rsidRDefault="00D93433" w:rsidP="0022225F">
      <w:pPr>
        <w:pStyle w:val="P68B1DB1-Normal3"/>
        <w:spacing w:afterLines="60" w:after="144"/>
        <w:jc w:val="both"/>
        <w:rPr>
          <w:rFonts w:asciiTheme="minorHAnsi" w:hAnsiTheme="minorHAnsi" w:cstheme="minorHAnsi"/>
          <w:sz w:val="22"/>
          <w:szCs w:val="22"/>
          <w:lang w:val="en-GB"/>
        </w:rPr>
      </w:pPr>
      <w:r w:rsidRPr="0022225F">
        <w:rPr>
          <w:rFonts w:asciiTheme="minorHAnsi" w:hAnsiTheme="minorHAnsi" w:cstheme="minorHAnsi"/>
          <w:sz w:val="22"/>
          <w:szCs w:val="22"/>
          <w:lang w:val="en-GB"/>
        </w:rPr>
        <w:t>The</w:t>
      </w:r>
      <w:r w:rsidRPr="0022225F">
        <w:rPr>
          <w:rFonts w:asciiTheme="minorHAnsi" w:hAnsiTheme="minorHAnsi" w:cstheme="minorHAnsi"/>
          <w:sz w:val="22"/>
          <w:szCs w:val="22"/>
          <w:lang w:val="en-GB"/>
        </w:rPr>
        <w:t xml:space="preserve"> signing ceremony took place at the St. Petersburg International Economic Forum. The agreement was signed by PhosAgro Deputy CEO Alexander Sharabaiko and Gazprombank First Vice President Denis Shulakov.</w:t>
      </w:r>
    </w:p>
    <w:p w14:paraId="0FD2854F" w14:textId="50E7705D" w:rsidR="00E95F9B" w:rsidRPr="0022225F" w:rsidRDefault="00AB4D14" w:rsidP="0022225F">
      <w:pPr>
        <w:pStyle w:val="P68B1DB1-Normal3"/>
        <w:spacing w:afterLines="60" w:after="144"/>
        <w:jc w:val="both"/>
        <w:rPr>
          <w:rFonts w:asciiTheme="minorHAnsi" w:hAnsiTheme="minorHAnsi" w:cstheme="minorHAnsi"/>
          <w:sz w:val="22"/>
          <w:szCs w:val="22"/>
          <w:lang w:val="en-GB"/>
        </w:rPr>
      </w:pPr>
      <w:r w:rsidRPr="0022225F">
        <w:rPr>
          <w:rFonts w:asciiTheme="minorHAnsi" w:hAnsiTheme="minorHAnsi" w:cstheme="minorHAnsi"/>
          <w:sz w:val="22"/>
          <w:szCs w:val="22"/>
          <w:lang w:val="en-GB"/>
        </w:rPr>
        <w:t xml:space="preserve">PhosAgro’s Board of Directors adopted the corresponding decision at its meeting on 14 June 2023, pursuant to Decree of the President of the Russian Federation No. 364 of 22 May 2023 requiring that Russian legal entities with Eurobond obligations ensure the </w:t>
      </w:r>
      <w:r w:rsidR="00D072D5" w:rsidRPr="0022225F">
        <w:rPr>
          <w:rFonts w:asciiTheme="minorHAnsi" w:hAnsiTheme="minorHAnsi" w:cstheme="minorHAnsi"/>
          <w:sz w:val="22"/>
          <w:szCs w:val="22"/>
          <w:lang w:val="en-GB"/>
        </w:rPr>
        <w:t>fulfilment</w:t>
      </w:r>
      <w:r w:rsidRPr="0022225F">
        <w:rPr>
          <w:rFonts w:asciiTheme="minorHAnsi" w:hAnsiTheme="minorHAnsi" w:cstheme="minorHAnsi"/>
          <w:sz w:val="22"/>
          <w:szCs w:val="22"/>
          <w:lang w:val="en-GB"/>
        </w:rPr>
        <w:t xml:space="preserve"> of said obligations to Eurobond holders whose rights are accounted for by Russian depositories by issuing replacement bonds by 1 January 2024.</w:t>
      </w:r>
    </w:p>
    <w:p w14:paraId="1A50D0D6" w14:textId="0C28E16D" w:rsidR="00E95F9B" w:rsidRPr="0022225F" w:rsidRDefault="00D93433" w:rsidP="0022225F">
      <w:pPr>
        <w:pStyle w:val="P68B1DB1-Normal3"/>
        <w:spacing w:afterLines="60" w:after="144"/>
        <w:jc w:val="both"/>
        <w:rPr>
          <w:rFonts w:asciiTheme="minorHAnsi" w:hAnsiTheme="minorHAnsi" w:cstheme="minorHAnsi"/>
          <w:sz w:val="22"/>
          <w:szCs w:val="22"/>
          <w:lang w:val="en-GB"/>
        </w:rPr>
      </w:pPr>
      <w:r w:rsidRPr="0022225F">
        <w:rPr>
          <w:rFonts w:asciiTheme="minorHAnsi" w:hAnsiTheme="minorHAnsi" w:cstheme="minorHAnsi"/>
          <w:sz w:val="22"/>
          <w:szCs w:val="22"/>
          <w:lang w:val="en-GB"/>
        </w:rPr>
        <w:t xml:space="preserve">The Company continues to maintain high standards in its relations with investors and plans to issue replacement bonds </w:t>
      </w:r>
      <w:r w:rsidR="00AB4D14" w:rsidRPr="0022225F">
        <w:rPr>
          <w:rFonts w:asciiTheme="minorHAnsi" w:hAnsiTheme="minorHAnsi" w:cstheme="minorHAnsi"/>
          <w:sz w:val="22"/>
          <w:szCs w:val="22"/>
          <w:lang w:val="en-GB"/>
        </w:rPr>
        <w:t xml:space="preserve">in the near future </w:t>
      </w:r>
      <w:r w:rsidRPr="0022225F">
        <w:rPr>
          <w:rFonts w:asciiTheme="minorHAnsi" w:hAnsiTheme="minorHAnsi" w:cstheme="minorHAnsi"/>
          <w:sz w:val="22"/>
          <w:szCs w:val="22"/>
          <w:lang w:val="en-GB"/>
        </w:rPr>
        <w:t>for its two remai</w:t>
      </w:r>
      <w:r w:rsidRPr="0022225F">
        <w:rPr>
          <w:rFonts w:asciiTheme="minorHAnsi" w:hAnsiTheme="minorHAnsi" w:cstheme="minorHAnsi"/>
          <w:sz w:val="22"/>
          <w:szCs w:val="22"/>
          <w:lang w:val="en-GB"/>
        </w:rPr>
        <w:t>ning outstanding issues of Eurobonds maturing in 2025 and 2028.</w:t>
      </w:r>
    </w:p>
    <w:p w14:paraId="296870DE" w14:textId="3445E227" w:rsidR="00E95F9B" w:rsidRDefault="00AB4D14" w:rsidP="0022225F">
      <w:pPr>
        <w:pStyle w:val="P68B1DB1-Normal3"/>
        <w:spacing w:afterLines="60" w:after="144"/>
        <w:jc w:val="both"/>
        <w:rPr>
          <w:rFonts w:asciiTheme="minorHAnsi" w:hAnsiTheme="minorHAnsi" w:cstheme="minorHAnsi"/>
          <w:sz w:val="22"/>
          <w:szCs w:val="22"/>
          <w:lang w:val="en-GB"/>
        </w:rPr>
      </w:pPr>
      <w:r w:rsidRPr="0022225F">
        <w:rPr>
          <w:rFonts w:asciiTheme="minorHAnsi" w:hAnsiTheme="minorHAnsi" w:cstheme="minorHAnsi"/>
          <w:b/>
          <w:sz w:val="22"/>
          <w:szCs w:val="22"/>
          <w:lang w:val="en-GB"/>
        </w:rPr>
        <w:t>Viktor Cherepov, the Chairman of PhosAgro’s Board of Directors, said</w:t>
      </w:r>
      <w:r w:rsidRPr="0022225F">
        <w:rPr>
          <w:rFonts w:asciiTheme="minorHAnsi" w:hAnsiTheme="minorHAnsi" w:cstheme="minorHAnsi"/>
          <w:sz w:val="22"/>
          <w:szCs w:val="22"/>
          <w:lang w:val="en-GB"/>
        </w:rPr>
        <w:t xml:space="preserve">, </w:t>
      </w:r>
      <w:r w:rsidR="00A539F5" w:rsidRPr="00A539F5">
        <w:rPr>
          <w:rFonts w:asciiTheme="minorHAnsi" w:hAnsiTheme="minorHAnsi" w:cstheme="minorHAnsi"/>
          <w:sz w:val="22"/>
          <w:szCs w:val="22"/>
          <w:lang w:val="en-GB"/>
        </w:rPr>
        <w:t xml:space="preserve">“As far as I am aware, PhosAgro is the first Russian issuer since the corresponding presidential decree was signed to adopt a decision to issue replacement bonds in accordance with the corresponding decree of the Russian President. Thus, today, with the support of our partners at </w:t>
      </w:r>
      <w:proofErr w:type="spellStart"/>
      <w:r w:rsidR="00A539F5" w:rsidRPr="00A539F5">
        <w:rPr>
          <w:rFonts w:asciiTheme="minorHAnsi" w:hAnsiTheme="minorHAnsi" w:cstheme="minorHAnsi"/>
          <w:sz w:val="22"/>
          <w:szCs w:val="22"/>
          <w:lang w:val="en-GB"/>
        </w:rPr>
        <w:t>Gazprombank</w:t>
      </w:r>
      <w:proofErr w:type="spellEnd"/>
      <w:r w:rsidR="00A539F5" w:rsidRPr="00A539F5">
        <w:rPr>
          <w:rFonts w:asciiTheme="minorHAnsi" w:hAnsiTheme="minorHAnsi" w:cstheme="minorHAnsi"/>
          <w:sz w:val="22"/>
          <w:szCs w:val="22"/>
          <w:lang w:val="en-GB"/>
        </w:rPr>
        <w:t>, we are putting in place an effective mechanism to protect the interests of Russian investors.”</w:t>
      </w:r>
    </w:p>
    <w:p w14:paraId="070D56C3" w14:textId="77777777" w:rsidR="0022225F" w:rsidRPr="001879A2" w:rsidRDefault="0022225F" w:rsidP="0022225F">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25C63C4D" w14:textId="77777777" w:rsidR="0022225F" w:rsidRPr="001879A2" w:rsidRDefault="0022225F" w:rsidP="0022225F">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PhosAgro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4104180F" w14:textId="77777777" w:rsidR="0022225F" w:rsidRPr="001879A2" w:rsidRDefault="0022225F" w:rsidP="0022225F">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551BD93B" w14:textId="77777777" w:rsidR="0022225F" w:rsidRPr="001879A2" w:rsidRDefault="0022225F" w:rsidP="0022225F">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286987D9" w14:textId="77777777" w:rsidR="0022225F" w:rsidRPr="001879A2" w:rsidRDefault="0022225F" w:rsidP="0022225F">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738D5A62" w14:textId="77777777" w:rsidR="0022225F" w:rsidRPr="001879A2" w:rsidRDefault="0022225F" w:rsidP="0022225F">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7" w:history="1">
        <w:r w:rsidRPr="001879A2">
          <w:rPr>
            <w:rFonts w:asciiTheme="minorHAnsi" w:hAnsiTheme="minorHAnsi" w:cstheme="minorHAnsi"/>
            <w:bCs/>
            <w:i/>
            <w:iCs/>
            <w:sz w:val="22"/>
            <w:szCs w:val="22"/>
          </w:rPr>
          <w:t>www.phosagro.ru</w:t>
        </w:r>
      </w:hyperlink>
      <w:r w:rsidRPr="001879A2">
        <w:rPr>
          <w:rFonts w:asciiTheme="minorHAnsi" w:hAnsiTheme="minorHAnsi" w:cstheme="minorHAnsi"/>
          <w:bCs/>
          <w:i/>
          <w:iCs/>
          <w:sz w:val="22"/>
          <w:szCs w:val="22"/>
          <w:lang w:val="en-GB"/>
        </w:rPr>
        <w:t xml:space="preserve">   </w:t>
      </w:r>
    </w:p>
    <w:p w14:paraId="6DB2FFD4" w14:textId="77777777" w:rsidR="0022225F" w:rsidRPr="0022225F" w:rsidRDefault="0022225F" w:rsidP="0022225F">
      <w:pPr>
        <w:pStyle w:val="P68B1DB1-Normal3"/>
        <w:spacing w:afterLines="60" w:after="144"/>
        <w:jc w:val="both"/>
        <w:rPr>
          <w:rFonts w:asciiTheme="minorHAnsi" w:hAnsiTheme="minorHAnsi" w:cstheme="minorHAnsi"/>
          <w:sz w:val="22"/>
          <w:szCs w:val="22"/>
          <w:lang w:val="en-GB"/>
        </w:rPr>
      </w:pPr>
    </w:p>
    <w:p w14:paraId="26BEC74C" w14:textId="77777777" w:rsidR="00E95F9B" w:rsidRPr="00D072D5" w:rsidRDefault="00E95F9B">
      <w:pPr>
        <w:spacing w:afterLines="60" w:after="144"/>
        <w:ind w:firstLine="567"/>
        <w:jc w:val="both"/>
        <w:rPr>
          <w:rFonts w:ascii="Times New Roman" w:hAnsi="Times New Roman" w:cs="Times New Roman"/>
          <w:lang w:val="en-GB"/>
        </w:rPr>
      </w:pPr>
    </w:p>
    <w:p w14:paraId="7FF06F7E" w14:textId="77777777" w:rsidR="00E95F9B" w:rsidRPr="00D072D5" w:rsidRDefault="00E95F9B">
      <w:pPr>
        <w:spacing w:after="120"/>
        <w:ind w:firstLine="567"/>
        <w:jc w:val="both"/>
        <w:rPr>
          <w:rFonts w:ascii="Times New Roman" w:hAnsi="Times New Roman"/>
          <w:b/>
          <w:sz w:val="18"/>
          <w:lang w:val="en-GB"/>
        </w:rPr>
      </w:pPr>
    </w:p>
    <w:p w14:paraId="5C492F5A" w14:textId="77777777" w:rsidR="00E95F9B" w:rsidRPr="00D072D5" w:rsidRDefault="00E95F9B">
      <w:pPr>
        <w:rPr>
          <w:lang w:val="en-GB"/>
        </w:rPr>
      </w:pPr>
    </w:p>
    <w:sectPr w:rsidR="00E95F9B" w:rsidRPr="00D072D5" w:rsidSect="000532C9">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805FE"/>
    <w:multiLevelType w:val="multilevel"/>
    <w:tmpl w:val="0C8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F"/>
    <w:rsid w:val="00015425"/>
    <w:rsid w:val="00020A38"/>
    <w:rsid w:val="000463F2"/>
    <w:rsid w:val="00047A83"/>
    <w:rsid w:val="000509F6"/>
    <w:rsid w:val="000532C9"/>
    <w:rsid w:val="00060CB5"/>
    <w:rsid w:val="00065656"/>
    <w:rsid w:val="00094DBC"/>
    <w:rsid w:val="000A31FB"/>
    <w:rsid w:val="000A3D93"/>
    <w:rsid w:val="000A6411"/>
    <w:rsid w:val="000A7089"/>
    <w:rsid w:val="000B7602"/>
    <w:rsid w:val="000C1A57"/>
    <w:rsid w:val="000C5951"/>
    <w:rsid w:val="000D2414"/>
    <w:rsid w:val="000D26BF"/>
    <w:rsid w:val="000D562A"/>
    <w:rsid w:val="000E748B"/>
    <w:rsid w:val="000F4803"/>
    <w:rsid w:val="000F5406"/>
    <w:rsid w:val="00101C35"/>
    <w:rsid w:val="00101EA5"/>
    <w:rsid w:val="001022C9"/>
    <w:rsid w:val="00115D1D"/>
    <w:rsid w:val="001307F1"/>
    <w:rsid w:val="0014403C"/>
    <w:rsid w:val="00162D49"/>
    <w:rsid w:val="0017236C"/>
    <w:rsid w:val="00193A61"/>
    <w:rsid w:val="001A15E2"/>
    <w:rsid w:val="001A2547"/>
    <w:rsid w:val="001B576A"/>
    <w:rsid w:val="001D7BBD"/>
    <w:rsid w:val="001F144B"/>
    <w:rsid w:val="00207052"/>
    <w:rsid w:val="0022225F"/>
    <w:rsid w:val="00222CFD"/>
    <w:rsid w:val="0022526A"/>
    <w:rsid w:val="002302DB"/>
    <w:rsid w:val="00232AB6"/>
    <w:rsid w:val="00237ABF"/>
    <w:rsid w:val="0024468F"/>
    <w:rsid w:val="0025033A"/>
    <w:rsid w:val="002525D1"/>
    <w:rsid w:val="00263520"/>
    <w:rsid w:val="002A2BBA"/>
    <w:rsid w:val="002C2BE2"/>
    <w:rsid w:val="002D2B49"/>
    <w:rsid w:val="002E3FF3"/>
    <w:rsid w:val="002E657A"/>
    <w:rsid w:val="002E74D0"/>
    <w:rsid w:val="002F6AC7"/>
    <w:rsid w:val="003025FA"/>
    <w:rsid w:val="00314393"/>
    <w:rsid w:val="00314FF7"/>
    <w:rsid w:val="0031609E"/>
    <w:rsid w:val="00322ABC"/>
    <w:rsid w:val="00344F52"/>
    <w:rsid w:val="00357674"/>
    <w:rsid w:val="00373887"/>
    <w:rsid w:val="003770CA"/>
    <w:rsid w:val="00393D75"/>
    <w:rsid w:val="003A1976"/>
    <w:rsid w:val="003A73CF"/>
    <w:rsid w:val="003B08C2"/>
    <w:rsid w:val="003C003D"/>
    <w:rsid w:val="003D3898"/>
    <w:rsid w:val="003E37F3"/>
    <w:rsid w:val="003E606C"/>
    <w:rsid w:val="00417602"/>
    <w:rsid w:val="0047176C"/>
    <w:rsid w:val="0048307D"/>
    <w:rsid w:val="004A10CE"/>
    <w:rsid w:val="004C6CF4"/>
    <w:rsid w:val="004D029A"/>
    <w:rsid w:val="004D067B"/>
    <w:rsid w:val="004D5ED7"/>
    <w:rsid w:val="004E0E8C"/>
    <w:rsid w:val="00505227"/>
    <w:rsid w:val="00511C57"/>
    <w:rsid w:val="005128DF"/>
    <w:rsid w:val="00543C26"/>
    <w:rsid w:val="0055581A"/>
    <w:rsid w:val="00566B94"/>
    <w:rsid w:val="00573F95"/>
    <w:rsid w:val="00586507"/>
    <w:rsid w:val="00592C2E"/>
    <w:rsid w:val="005A7963"/>
    <w:rsid w:val="005B3A41"/>
    <w:rsid w:val="005B42AB"/>
    <w:rsid w:val="005B5B04"/>
    <w:rsid w:val="005D5C58"/>
    <w:rsid w:val="005D687F"/>
    <w:rsid w:val="005F4D70"/>
    <w:rsid w:val="005F6591"/>
    <w:rsid w:val="00615536"/>
    <w:rsid w:val="006350F9"/>
    <w:rsid w:val="0068243E"/>
    <w:rsid w:val="006A08D1"/>
    <w:rsid w:val="006C21DD"/>
    <w:rsid w:val="006C3B36"/>
    <w:rsid w:val="006C7CA1"/>
    <w:rsid w:val="006E25C4"/>
    <w:rsid w:val="006E7AB0"/>
    <w:rsid w:val="0070590F"/>
    <w:rsid w:val="00731D3D"/>
    <w:rsid w:val="00747987"/>
    <w:rsid w:val="0075201E"/>
    <w:rsid w:val="00792CA6"/>
    <w:rsid w:val="007B3019"/>
    <w:rsid w:val="007B41B5"/>
    <w:rsid w:val="007C29EE"/>
    <w:rsid w:val="007C4144"/>
    <w:rsid w:val="007E026B"/>
    <w:rsid w:val="007E1B70"/>
    <w:rsid w:val="007E42BA"/>
    <w:rsid w:val="007F24D9"/>
    <w:rsid w:val="007F2F43"/>
    <w:rsid w:val="008119BF"/>
    <w:rsid w:val="008146CD"/>
    <w:rsid w:val="00822ADF"/>
    <w:rsid w:val="008264DF"/>
    <w:rsid w:val="008474B5"/>
    <w:rsid w:val="00873DF8"/>
    <w:rsid w:val="008A498A"/>
    <w:rsid w:val="008C7F4F"/>
    <w:rsid w:val="008E2201"/>
    <w:rsid w:val="008E2AA5"/>
    <w:rsid w:val="008F26B2"/>
    <w:rsid w:val="00904C5F"/>
    <w:rsid w:val="0090731A"/>
    <w:rsid w:val="00921147"/>
    <w:rsid w:val="00933B36"/>
    <w:rsid w:val="0094077A"/>
    <w:rsid w:val="009448EE"/>
    <w:rsid w:val="00946FC7"/>
    <w:rsid w:val="009471CD"/>
    <w:rsid w:val="009623D5"/>
    <w:rsid w:val="00976CDA"/>
    <w:rsid w:val="009A516F"/>
    <w:rsid w:val="009B312F"/>
    <w:rsid w:val="009C38DD"/>
    <w:rsid w:val="009F02E0"/>
    <w:rsid w:val="009F7803"/>
    <w:rsid w:val="009F7D93"/>
    <w:rsid w:val="00A25932"/>
    <w:rsid w:val="00A34513"/>
    <w:rsid w:val="00A34B41"/>
    <w:rsid w:val="00A43A76"/>
    <w:rsid w:val="00A46904"/>
    <w:rsid w:val="00A504E1"/>
    <w:rsid w:val="00A50B8F"/>
    <w:rsid w:val="00A539F5"/>
    <w:rsid w:val="00A56E77"/>
    <w:rsid w:val="00A66120"/>
    <w:rsid w:val="00A6735D"/>
    <w:rsid w:val="00A70D94"/>
    <w:rsid w:val="00A76756"/>
    <w:rsid w:val="00A76FC1"/>
    <w:rsid w:val="00A86F4C"/>
    <w:rsid w:val="00AA2881"/>
    <w:rsid w:val="00AB4D14"/>
    <w:rsid w:val="00AF1BAC"/>
    <w:rsid w:val="00B078DA"/>
    <w:rsid w:val="00B15B0A"/>
    <w:rsid w:val="00B231CC"/>
    <w:rsid w:val="00B243F6"/>
    <w:rsid w:val="00B43DFE"/>
    <w:rsid w:val="00B54ED7"/>
    <w:rsid w:val="00B65D8F"/>
    <w:rsid w:val="00B85620"/>
    <w:rsid w:val="00B92806"/>
    <w:rsid w:val="00BC35BC"/>
    <w:rsid w:val="00BD0DB7"/>
    <w:rsid w:val="00BD2EBF"/>
    <w:rsid w:val="00BF4DF1"/>
    <w:rsid w:val="00C04D69"/>
    <w:rsid w:val="00C07DA0"/>
    <w:rsid w:val="00C1118B"/>
    <w:rsid w:val="00C2086D"/>
    <w:rsid w:val="00C22EE1"/>
    <w:rsid w:val="00C30F6D"/>
    <w:rsid w:val="00C40B2F"/>
    <w:rsid w:val="00CA4D67"/>
    <w:rsid w:val="00CB51EA"/>
    <w:rsid w:val="00CD0759"/>
    <w:rsid w:val="00CE3FEE"/>
    <w:rsid w:val="00CE7F41"/>
    <w:rsid w:val="00D072D5"/>
    <w:rsid w:val="00D17238"/>
    <w:rsid w:val="00D36922"/>
    <w:rsid w:val="00D41EB1"/>
    <w:rsid w:val="00D4411C"/>
    <w:rsid w:val="00D617B3"/>
    <w:rsid w:val="00D62FCD"/>
    <w:rsid w:val="00D67EA5"/>
    <w:rsid w:val="00D93433"/>
    <w:rsid w:val="00DA3873"/>
    <w:rsid w:val="00DE1369"/>
    <w:rsid w:val="00DE5187"/>
    <w:rsid w:val="00DF6209"/>
    <w:rsid w:val="00E00AA3"/>
    <w:rsid w:val="00E109E1"/>
    <w:rsid w:val="00E11785"/>
    <w:rsid w:val="00E14C74"/>
    <w:rsid w:val="00E17296"/>
    <w:rsid w:val="00E26EE8"/>
    <w:rsid w:val="00E42B11"/>
    <w:rsid w:val="00E74445"/>
    <w:rsid w:val="00E95F0E"/>
    <w:rsid w:val="00E95F9B"/>
    <w:rsid w:val="00ED4F05"/>
    <w:rsid w:val="00EE2148"/>
    <w:rsid w:val="00EF081F"/>
    <w:rsid w:val="00F30DC2"/>
    <w:rsid w:val="00F35995"/>
    <w:rsid w:val="00F3795A"/>
    <w:rsid w:val="00F43345"/>
    <w:rsid w:val="00F57A55"/>
    <w:rsid w:val="00F67E5A"/>
    <w:rsid w:val="00F71724"/>
    <w:rsid w:val="00F8475B"/>
    <w:rsid w:val="00F866B8"/>
    <w:rsid w:val="00F92450"/>
    <w:rsid w:val="00F948EE"/>
    <w:rsid w:val="00F957F8"/>
    <w:rsid w:val="00FC0D82"/>
    <w:rsid w:val="00FC6E2F"/>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6A9D"/>
  <w15:chartTrackingRefBased/>
  <w15:docId w15:val="{5F7964E7-45F4-49A6-8FBC-C8E1BC38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character" w:styleId="a7">
    <w:name w:val="annotation reference"/>
    <w:basedOn w:val="a0"/>
    <w:uiPriority w:val="99"/>
    <w:semiHidden/>
    <w:unhideWhenUsed/>
    <w:rsid w:val="006E7AB0"/>
    <w:rPr>
      <w:sz w:val="16"/>
    </w:rPr>
  </w:style>
  <w:style w:type="paragraph" w:styleId="a8">
    <w:name w:val="annotation text"/>
    <w:basedOn w:val="a"/>
    <w:link w:val="a9"/>
    <w:uiPriority w:val="99"/>
    <w:semiHidden/>
    <w:unhideWhenUsed/>
    <w:rsid w:val="006E7AB0"/>
    <w:rPr>
      <w:sz w:val="20"/>
    </w:rPr>
  </w:style>
  <w:style w:type="character" w:customStyle="1" w:styleId="a9">
    <w:name w:val="Текст примечания Знак"/>
    <w:basedOn w:val="a0"/>
    <w:link w:val="a8"/>
    <w:uiPriority w:val="99"/>
    <w:semiHidden/>
    <w:rsid w:val="006E7AB0"/>
    <w:rPr>
      <w:rFonts w:ascii="Calibri" w:eastAsia="Calibri" w:hAnsi="Calibri" w:cs="Calibri"/>
      <w:color w:val="000000"/>
      <w:sz w:val="20"/>
      <w:u w:color="000000"/>
      <w:bdr w:val="nil"/>
    </w:rPr>
  </w:style>
  <w:style w:type="paragraph" w:styleId="aa">
    <w:name w:val="annotation subject"/>
    <w:basedOn w:val="a8"/>
    <w:next w:val="a8"/>
    <w:link w:val="ab"/>
    <w:uiPriority w:val="99"/>
    <w:semiHidden/>
    <w:unhideWhenUsed/>
    <w:rsid w:val="006E7AB0"/>
    <w:rPr>
      <w:b/>
    </w:rPr>
  </w:style>
  <w:style w:type="character" w:customStyle="1" w:styleId="ab">
    <w:name w:val="Тема примечания Знак"/>
    <w:basedOn w:val="a9"/>
    <w:link w:val="aa"/>
    <w:uiPriority w:val="99"/>
    <w:semiHidden/>
    <w:rsid w:val="006E7AB0"/>
    <w:rPr>
      <w:rFonts w:ascii="Calibri" w:eastAsia="Calibri" w:hAnsi="Calibri" w:cs="Calibri"/>
      <w:b/>
      <w:color w:val="000000"/>
      <w:sz w:val="20"/>
      <w:u w:color="000000"/>
      <w:bdr w:val="nil"/>
    </w:rPr>
  </w:style>
  <w:style w:type="character" w:styleId="ac">
    <w:name w:val="Hyperlink"/>
    <w:basedOn w:val="a0"/>
    <w:uiPriority w:val="99"/>
    <w:semiHidden/>
    <w:unhideWhenUsed/>
    <w:rsid w:val="006E7AB0"/>
    <w:rPr>
      <w:color w:val="0000FF"/>
      <w:u w:val="single"/>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s="Times New Roman"/>
    </w:rPr>
  </w:style>
  <w:style w:type="paragraph" w:customStyle="1" w:styleId="P68B1DB1-Normal4">
    <w:name w:val="P68B1DB1-Normal4"/>
    <w:basedOn w:val="a"/>
    <w:rsid w:val="0022225F"/>
    <w:rPr>
      <w:rFonts w:ascii="Times New Roman" w:hAnsi="Times New Roman" w:cs="Times New Roman"/>
    </w:rPr>
  </w:style>
  <w:style w:type="paragraph" w:customStyle="1" w:styleId="P68B1DB1-Normal22">
    <w:name w:val="P68B1DB1-Normal22"/>
    <w:basedOn w:val="a"/>
    <w:rsid w:val="0022225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9337">
      <w:bodyDiv w:val="1"/>
      <w:marLeft w:val="0"/>
      <w:marRight w:val="0"/>
      <w:marTop w:val="0"/>
      <w:marBottom w:val="0"/>
      <w:divBdr>
        <w:top w:val="none" w:sz="0" w:space="0" w:color="auto"/>
        <w:left w:val="none" w:sz="0" w:space="0" w:color="auto"/>
        <w:bottom w:val="none" w:sz="0" w:space="0" w:color="auto"/>
        <w:right w:val="none" w:sz="0" w:space="0" w:color="auto"/>
      </w:divBdr>
    </w:div>
    <w:div w:id="75523214">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355085672">
          <w:marLeft w:val="0"/>
          <w:marRight w:val="0"/>
          <w:marTop w:val="0"/>
          <w:marBottom w:val="0"/>
          <w:divBdr>
            <w:top w:val="none" w:sz="0" w:space="0" w:color="auto"/>
            <w:left w:val="none" w:sz="0" w:space="0" w:color="auto"/>
            <w:bottom w:val="none" w:sz="0" w:space="0" w:color="auto"/>
            <w:right w:val="none" w:sz="0" w:space="0" w:color="auto"/>
          </w:divBdr>
        </w:div>
        <w:div w:id="832339287">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DD13-43DE-4B24-AE58-223BBA36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2452</Characters>
  <Application>Microsoft Office Word</Application>
  <DocSecurity>4</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Серов Андрей Евгеньевич</cp:lastModifiedBy>
  <cp:revision>2</cp:revision>
  <cp:lastPrinted>2023-02-07T17:07:00Z</cp:lastPrinted>
  <dcterms:created xsi:type="dcterms:W3CDTF">2023-06-15T08:59:00Z</dcterms:created>
  <dcterms:modified xsi:type="dcterms:W3CDTF">2023-06-15T08:59:00Z</dcterms:modified>
</cp:coreProperties>
</file>