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D0A6" w14:textId="44330C7A" w:rsidR="00F17509" w:rsidRPr="00AB2353" w:rsidRDefault="00CE565C">
      <w:pPr>
        <w:pStyle w:val="P68B1DB1-Normal1"/>
        <w:jc w:val="center"/>
        <w:rPr>
          <w:lang w:val="en-GB"/>
        </w:rPr>
      </w:pPr>
      <w:r w:rsidRPr="00A56CE1">
        <w:rPr>
          <w:noProof/>
          <w:sz w:val="22"/>
          <w:szCs w:val="22"/>
          <w:lang w:val="ru-RU" w:eastAsia="ru-RU"/>
        </w:rPr>
        <w:drawing>
          <wp:inline distT="0" distB="0" distL="0" distR="0" wp14:anchorId="62F8260D" wp14:editId="64D8AA85">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F17509" w:rsidRPr="00AB2353" w:rsidRDefault="00F17509">
      <w:pPr>
        <w:jc w:val="center"/>
        <w:rPr>
          <w:rFonts w:ascii="Times New Roman" w:eastAsia="Times New Roman" w:hAnsi="Times New Roman" w:cs="Times New Roman"/>
          <w:b/>
          <w:lang w:val="en-GB"/>
        </w:rPr>
      </w:pPr>
    </w:p>
    <w:p w14:paraId="684F01B7" w14:textId="77777777" w:rsidR="00831A5E" w:rsidRDefault="00A27E95" w:rsidP="00831A5E">
      <w:pPr>
        <w:pStyle w:val="P68B1DB1-Normal2"/>
        <w:jc w:val="center"/>
        <w:rPr>
          <w:rFonts w:asciiTheme="minorHAnsi" w:hAnsiTheme="minorHAnsi" w:cstheme="minorHAnsi"/>
          <w:sz w:val="22"/>
          <w:szCs w:val="22"/>
          <w:lang w:val="en-GB"/>
        </w:rPr>
      </w:pPr>
      <w:r w:rsidRPr="00BF254C">
        <w:rPr>
          <w:rFonts w:asciiTheme="minorHAnsi" w:hAnsiTheme="minorHAnsi" w:cstheme="minorHAnsi"/>
          <w:sz w:val="22"/>
          <w:szCs w:val="22"/>
          <w:lang w:val="en-GB"/>
        </w:rPr>
        <w:t xml:space="preserve">PhosAgro Board of Directors Welcomes Signing of New Collective Bargaining Agreements </w:t>
      </w:r>
    </w:p>
    <w:p w14:paraId="23344DF0" w14:textId="342E1E59" w:rsidR="00F17509" w:rsidRDefault="00A27E95" w:rsidP="00831A5E">
      <w:pPr>
        <w:pStyle w:val="P68B1DB1-Normal2"/>
        <w:jc w:val="center"/>
        <w:rPr>
          <w:rFonts w:asciiTheme="minorHAnsi" w:hAnsiTheme="minorHAnsi" w:cstheme="minorHAnsi"/>
          <w:sz w:val="22"/>
          <w:szCs w:val="22"/>
          <w:lang w:val="en-GB"/>
        </w:rPr>
      </w:pPr>
      <w:proofErr w:type="gramStart"/>
      <w:r w:rsidRPr="00BF254C">
        <w:rPr>
          <w:rFonts w:asciiTheme="minorHAnsi" w:hAnsiTheme="minorHAnsi" w:cstheme="minorHAnsi"/>
          <w:sz w:val="22"/>
          <w:szCs w:val="22"/>
          <w:lang w:val="en-GB"/>
        </w:rPr>
        <w:t>at</w:t>
      </w:r>
      <w:proofErr w:type="gramEnd"/>
      <w:r w:rsidRPr="00BF254C">
        <w:rPr>
          <w:rFonts w:asciiTheme="minorHAnsi" w:hAnsiTheme="minorHAnsi" w:cstheme="minorHAnsi"/>
          <w:sz w:val="22"/>
          <w:szCs w:val="22"/>
          <w:lang w:val="en-GB"/>
        </w:rPr>
        <w:t xml:space="preserve"> Group Enterprises</w:t>
      </w:r>
    </w:p>
    <w:p w14:paraId="646C299B" w14:textId="77777777" w:rsidR="00831A5E" w:rsidRPr="00BF254C" w:rsidRDefault="00831A5E" w:rsidP="00831A5E">
      <w:pPr>
        <w:pStyle w:val="P68B1DB1-Normal2"/>
        <w:jc w:val="center"/>
        <w:rPr>
          <w:rFonts w:asciiTheme="minorHAnsi" w:hAnsiTheme="minorHAnsi" w:cstheme="minorHAnsi"/>
          <w:sz w:val="22"/>
          <w:szCs w:val="22"/>
          <w:lang w:val="en-GB"/>
        </w:rPr>
      </w:pPr>
    </w:p>
    <w:p w14:paraId="44E0D83A" w14:textId="704FB00A" w:rsidR="00F17509" w:rsidRPr="00F11A75" w:rsidRDefault="00A27E95" w:rsidP="0020427B">
      <w:pPr>
        <w:spacing w:after="120"/>
        <w:jc w:val="both"/>
        <w:rPr>
          <w:rFonts w:asciiTheme="minorHAnsi" w:hAnsiTheme="minorHAnsi" w:cstheme="minorHAnsi"/>
          <w:color w:val="auto"/>
          <w:sz w:val="22"/>
          <w:szCs w:val="22"/>
          <w:lang w:val="en-GB"/>
        </w:rPr>
      </w:pPr>
      <w:proofErr w:type="spellStart"/>
      <w:r w:rsidRPr="00CC6EB3">
        <w:rPr>
          <w:rFonts w:asciiTheme="minorHAnsi" w:hAnsiTheme="minorHAnsi" w:cstheme="minorHAnsi"/>
          <w:b/>
          <w:bCs/>
          <w:color w:val="auto"/>
          <w:sz w:val="22"/>
          <w:szCs w:val="22"/>
          <w:lang w:val="en-GB"/>
        </w:rPr>
        <w:t>Volkhov</w:t>
      </w:r>
      <w:proofErr w:type="spellEnd"/>
      <w:r w:rsidR="00831A5E" w:rsidRPr="00831A5E">
        <w:rPr>
          <w:rFonts w:asciiTheme="minorHAnsi" w:hAnsiTheme="minorHAnsi" w:cstheme="minorHAnsi"/>
          <w:b/>
          <w:bCs/>
          <w:color w:val="auto"/>
          <w:sz w:val="22"/>
          <w:szCs w:val="22"/>
          <w:lang w:val="en-US"/>
        </w:rPr>
        <w:t xml:space="preserve"> </w:t>
      </w:r>
      <w:r w:rsidR="00831A5E">
        <w:rPr>
          <w:rFonts w:asciiTheme="minorHAnsi" w:hAnsiTheme="minorHAnsi" w:cstheme="minorHAnsi"/>
          <w:b/>
          <w:bCs/>
          <w:color w:val="auto"/>
          <w:sz w:val="22"/>
          <w:szCs w:val="22"/>
          <w:lang w:val="en-US"/>
        </w:rPr>
        <w:t>–</w:t>
      </w:r>
      <w:r w:rsidR="00831A5E" w:rsidRPr="00831A5E">
        <w:rPr>
          <w:rFonts w:asciiTheme="minorHAnsi" w:hAnsiTheme="minorHAnsi" w:cstheme="minorHAnsi"/>
          <w:b/>
          <w:bCs/>
          <w:color w:val="auto"/>
          <w:sz w:val="22"/>
          <w:szCs w:val="22"/>
          <w:lang w:val="en-US"/>
        </w:rPr>
        <w:t xml:space="preserve"> </w:t>
      </w:r>
      <w:r w:rsidR="00831A5E" w:rsidRPr="00831A5E">
        <w:rPr>
          <w:rFonts w:asciiTheme="minorHAnsi" w:hAnsiTheme="minorHAnsi" w:cstheme="minorHAnsi"/>
          <w:color w:val="auto"/>
          <w:sz w:val="22"/>
          <w:szCs w:val="22"/>
          <w:lang w:val="en-US"/>
        </w:rPr>
        <w:t xml:space="preserve">The </w:t>
      </w:r>
      <w:r w:rsidRPr="00F11A75">
        <w:rPr>
          <w:rFonts w:asciiTheme="minorHAnsi" w:hAnsiTheme="minorHAnsi" w:cstheme="minorHAnsi"/>
          <w:color w:val="auto"/>
          <w:sz w:val="22"/>
          <w:szCs w:val="22"/>
          <w:lang w:val="en-GB"/>
        </w:rPr>
        <w:t xml:space="preserve">Board of Directors of PJSC PhosAgro, one of the world’s leading producers of phosphate-based fertilizers, welcomed, at its meeting today, the signing of new collective bargaining agreements at all Group enterprises. </w:t>
      </w:r>
    </w:p>
    <w:p w14:paraId="342F7AD9" w14:textId="67C719FA"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At an offsite meeting held at the Compa</w:t>
      </w:r>
      <w:r w:rsidRPr="00F11A75">
        <w:rPr>
          <w:rFonts w:asciiTheme="minorHAnsi" w:hAnsiTheme="minorHAnsi" w:cstheme="minorHAnsi"/>
          <w:sz w:val="22"/>
          <w:szCs w:val="22"/>
          <w:lang w:val="en-GB"/>
        </w:rPr>
        <w:t>ny</w:t>
      </w:r>
      <w:r w:rsidR="00326ABB"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 xml:space="preserve">s plant in </w:t>
      </w:r>
      <w:proofErr w:type="spellStart"/>
      <w:r w:rsidRPr="00F11A75">
        <w:rPr>
          <w:rFonts w:asciiTheme="minorHAnsi" w:hAnsiTheme="minorHAnsi" w:cstheme="minorHAnsi"/>
          <w:sz w:val="22"/>
          <w:szCs w:val="22"/>
          <w:lang w:val="en-GB"/>
        </w:rPr>
        <w:t>Volkhov</w:t>
      </w:r>
      <w:proofErr w:type="spellEnd"/>
      <w:r w:rsidRPr="00F11A75">
        <w:rPr>
          <w:rFonts w:asciiTheme="minorHAnsi" w:hAnsiTheme="minorHAnsi" w:cstheme="minorHAnsi"/>
          <w:sz w:val="22"/>
          <w:szCs w:val="22"/>
          <w:lang w:val="en-GB"/>
        </w:rPr>
        <w:t xml:space="preserve">, which will reach its design capacity of 1 million tonnes this year, the Board reviewed reports from </w:t>
      </w:r>
      <w:proofErr w:type="spellStart"/>
      <w:r w:rsidRPr="00F11A75">
        <w:rPr>
          <w:rFonts w:asciiTheme="minorHAnsi" w:hAnsiTheme="minorHAnsi" w:cstheme="minorHAnsi"/>
          <w:sz w:val="22"/>
          <w:szCs w:val="22"/>
          <w:lang w:val="en-GB"/>
        </w:rPr>
        <w:t>PhosAgro</w:t>
      </w:r>
      <w:r w:rsidR="00326ABB"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s</w:t>
      </w:r>
      <w:proofErr w:type="spellEnd"/>
      <w:r w:rsidRPr="00F11A75">
        <w:rPr>
          <w:rFonts w:asciiTheme="minorHAnsi" w:hAnsiTheme="minorHAnsi" w:cstheme="minorHAnsi"/>
          <w:sz w:val="22"/>
          <w:szCs w:val="22"/>
          <w:lang w:val="en-GB"/>
        </w:rPr>
        <w:t xml:space="preserve"> CEO and Management Board for 1H 2023. </w:t>
      </w:r>
    </w:p>
    <w:p w14:paraId="1526D71F" w14:textId="06F17E2F"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As </w:t>
      </w:r>
      <w:r w:rsidRPr="00061179">
        <w:rPr>
          <w:rFonts w:asciiTheme="minorHAnsi" w:hAnsiTheme="minorHAnsi" w:cstheme="minorHAnsi"/>
          <w:b/>
          <w:bCs/>
          <w:sz w:val="22"/>
          <w:szCs w:val="22"/>
          <w:lang w:val="en-GB"/>
        </w:rPr>
        <w:t xml:space="preserve">PhosAgro CEO Mikhail </w:t>
      </w:r>
      <w:proofErr w:type="spellStart"/>
      <w:r w:rsidRPr="00061179">
        <w:rPr>
          <w:rFonts w:asciiTheme="minorHAnsi" w:hAnsiTheme="minorHAnsi" w:cstheme="minorHAnsi"/>
          <w:b/>
          <w:bCs/>
          <w:sz w:val="22"/>
          <w:szCs w:val="22"/>
          <w:lang w:val="en-GB"/>
        </w:rPr>
        <w:t>Rybnikov</w:t>
      </w:r>
      <w:proofErr w:type="spellEnd"/>
      <w:r w:rsidRPr="00F11A75">
        <w:rPr>
          <w:rFonts w:asciiTheme="minorHAnsi" w:hAnsiTheme="minorHAnsi" w:cstheme="minorHAnsi"/>
          <w:sz w:val="22"/>
          <w:szCs w:val="22"/>
          <w:lang w:val="en-GB"/>
        </w:rPr>
        <w:t xml:space="preserve"> noted in his report, the Company has been demonstr</w:t>
      </w:r>
      <w:r w:rsidRPr="00F11A75">
        <w:rPr>
          <w:rFonts w:asciiTheme="minorHAnsi" w:hAnsiTheme="minorHAnsi" w:cstheme="minorHAnsi"/>
          <w:sz w:val="22"/>
          <w:szCs w:val="22"/>
          <w:lang w:val="en-GB"/>
        </w:rPr>
        <w:t xml:space="preserve">ating robust performance thanks to the consistent implementation of its investment programme, for which a record RUB 67 </w:t>
      </w:r>
      <w:proofErr w:type="gramStart"/>
      <w:r w:rsidRPr="00F11A75">
        <w:rPr>
          <w:rFonts w:asciiTheme="minorHAnsi" w:hAnsiTheme="minorHAnsi" w:cstheme="minorHAnsi"/>
          <w:sz w:val="22"/>
          <w:szCs w:val="22"/>
          <w:lang w:val="en-GB"/>
        </w:rPr>
        <w:t>billion</w:t>
      </w:r>
      <w:proofErr w:type="gramEnd"/>
      <w:r w:rsidRPr="00F11A75">
        <w:rPr>
          <w:rFonts w:asciiTheme="minorHAnsi" w:hAnsiTheme="minorHAnsi" w:cstheme="minorHAnsi"/>
          <w:sz w:val="22"/>
          <w:szCs w:val="22"/>
          <w:lang w:val="en-GB"/>
        </w:rPr>
        <w:t xml:space="preserve"> has been earmarked for this year:</w:t>
      </w:r>
    </w:p>
    <w:p w14:paraId="1B9B79A9" w14:textId="41809396" w:rsidR="00F17509" w:rsidRPr="00F11A75" w:rsidRDefault="00326ABB"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“In the first six months of the year, production of agrochemicals increased by 4.3% year-on-year to over 5.6 million tonnes. </w:t>
      </w:r>
      <w:r w:rsidR="008F52E9" w:rsidRPr="00F11A75">
        <w:rPr>
          <w:rFonts w:asciiTheme="minorHAnsi" w:hAnsiTheme="minorHAnsi" w:cstheme="minorHAnsi"/>
          <w:sz w:val="22"/>
          <w:szCs w:val="22"/>
          <w:lang w:val="en-GB"/>
        </w:rPr>
        <w:t>I would also like to highlight the</w:t>
      </w:r>
      <w:r w:rsidRPr="00F11A75">
        <w:rPr>
          <w:rFonts w:asciiTheme="minorHAnsi" w:hAnsiTheme="minorHAnsi" w:cstheme="minorHAnsi"/>
          <w:sz w:val="22"/>
          <w:szCs w:val="22"/>
          <w:lang w:val="en-GB"/>
        </w:rPr>
        <w:t xml:space="preserve"> phosphate-based fertilizer segment – MAP, DAP and liquid complex fertilizers</w:t>
      </w:r>
      <w:r w:rsidR="008F52E9" w:rsidRPr="00F11A75">
        <w:rPr>
          <w:rFonts w:asciiTheme="minorHAnsi" w:hAnsiTheme="minorHAnsi" w:cstheme="minorHAnsi"/>
          <w:sz w:val="22"/>
          <w:szCs w:val="22"/>
          <w:lang w:val="en-GB"/>
        </w:rPr>
        <w:t xml:space="preserve"> –</w:t>
      </w:r>
      <w:r w:rsidRPr="00F11A75">
        <w:rPr>
          <w:rFonts w:asciiTheme="minorHAnsi" w:hAnsiTheme="minorHAnsi" w:cstheme="minorHAnsi"/>
          <w:sz w:val="22"/>
          <w:szCs w:val="22"/>
          <w:lang w:val="en-GB"/>
        </w:rPr>
        <w:t xml:space="preserve"> </w:t>
      </w:r>
      <w:r w:rsidR="008F52E9" w:rsidRPr="00F11A75">
        <w:rPr>
          <w:rFonts w:asciiTheme="minorHAnsi" w:hAnsiTheme="minorHAnsi" w:cstheme="minorHAnsi"/>
          <w:sz w:val="22"/>
          <w:szCs w:val="22"/>
          <w:lang w:val="en-GB"/>
        </w:rPr>
        <w:t>where</w:t>
      </w:r>
      <w:r w:rsidRPr="00F11A75">
        <w:rPr>
          <w:rFonts w:asciiTheme="minorHAnsi" w:hAnsiTheme="minorHAnsi" w:cstheme="minorHAnsi"/>
          <w:sz w:val="22"/>
          <w:szCs w:val="22"/>
          <w:lang w:val="en-GB"/>
        </w:rPr>
        <w:t xml:space="preserve"> production increased by 19% to more than 2.4 million tonnes. The main growth driver was the construction of a state-of-the-art complex for the production of phosphate-based fertilizers in </w:t>
      </w:r>
      <w:proofErr w:type="spellStart"/>
      <w:r w:rsidRPr="00F11A75">
        <w:rPr>
          <w:rFonts w:asciiTheme="minorHAnsi" w:hAnsiTheme="minorHAnsi" w:cstheme="minorHAnsi"/>
          <w:sz w:val="22"/>
          <w:szCs w:val="22"/>
          <w:lang w:val="en-GB"/>
        </w:rPr>
        <w:t>Volkhov</w:t>
      </w:r>
      <w:proofErr w:type="spellEnd"/>
      <w:r w:rsidRPr="00F11A75">
        <w:rPr>
          <w:rFonts w:asciiTheme="minorHAnsi" w:hAnsiTheme="minorHAnsi" w:cstheme="minorHAnsi"/>
          <w:sz w:val="22"/>
          <w:szCs w:val="22"/>
          <w:lang w:val="en-GB"/>
        </w:rPr>
        <w:t xml:space="preserve">. Thanks to </w:t>
      </w:r>
      <w:r w:rsidR="008F52E9" w:rsidRPr="00F11A75">
        <w:rPr>
          <w:rFonts w:asciiTheme="minorHAnsi" w:hAnsiTheme="minorHAnsi" w:cstheme="minorHAnsi"/>
          <w:sz w:val="22"/>
          <w:szCs w:val="22"/>
          <w:lang w:val="en-GB"/>
        </w:rPr>
        <w:t>the</w:t>
      </w:r>
      <w:r w:rsidRPr="00F11A75">
        <w:rPr>
          <w:rFonts w:asciiTheme="minorHAnsi" w:hAnsiTheme="minorHAnsi" w:cstheme="minorHAnsi"/>
          <w:sz w:val="22"/>
          <w:szCs w:val="22"/>
          <w:lang w:val="en-GB"/>
        </w:rPr>
        <w:t xml:space="preserve"> radical overhaul and new construction carried out at the site, annual production of mineral fertilizers and other chemicals will exceed 1 million </w:t>
      </w:r>
      <w:proofErr w:type="gramStart"/>
      <w:r w:rsidRPr="00F11A75">
        <w:rPr>
          <w:rFonts w:asciiTheme="minorHAnsi" w:hAnsiTheme="minorHAnsi" w:cstheme="minorHAnsi"/>
          <w:sz w:val="22"/>
          <w:szCs w:val="22"/>
          <w:lang w:val="en-GB"/>
        </w:rPr>
        <w:t>tonnes.</w:t>
      </w:r>
      <w:proofErr w:type="gramEnd"/>
      <w:r w:rsidRPr="00F11A75">
        <w:rPr>
          <w:rFonts w:asciiTheme="minorHAnsi" w:hAnsiTheme="minorHAnsi" w:cstheme="minorHAnsi"/>
          <w:sz w:val="22"/>
          <w:szCs w:val="22"/>
          <w:lang w:val="en-GB"/>
        </w:rPr>
        <w:t xml:space="preserve"> In the first half of the year, the new million-tonne plant mastered the production of water-soluble MAP and launched a project to increase the processing of phosphate rock. </w:t>
      </w:r>
    </w:p>
    <w:p w14:paraId="06AAD3C1" w14:textId="3E359B3B" w:rsidR="00F17509" w:rsidRPr="00F11A75" w:rsidRDefault="002F7058"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w:t>
      </w:r>
      <w:r w:rsidR="00326ABB" w:rsidRPr="00F11A75">
        <w:rPr>
          <w:rFonts w:asciiTheme="minorHAnsi" w:hAnsiTheme="minorHAnsi" w:cstheme="minorHAnsi"/>
          <w:sz w:val="22"/>
          <w:szCs w:val="22"/>
          <w:lang w:val="en-GB"/>
        </w:rPr>
        <w:t xml:space="preserve">The Company also continues developing its ore and raw material base: the second start-up complex for the 10th horizon at the </w:t>
      </w:r>
      <w:proofErr w:type="spellStart"/>
      <w:r w:rsidR="00326ABB" w:rsidRPr="00F11A75">
        <w:rPr>
          <w:rFonts w:asciiTheme="minorHAnsi" w:hAnsiTheme="minorHAnsi" w:cstheme="minorHAnsi"/>
          <w:sz w:val="22"/>
          <w:szCs w:val="22"/>
          <w:lang w:val="en-GB"/>
        </w:rPr>
        <w:t>Kirovsky</w:t>
      </w:r>
      <w:proofErr w:type="spellEnd"/>
      <w:r w:rsidR="00326ABB" w:rsidRPr="00F11A75">
        <w:rPr>
          <w:rFonts w:asciiTheme="minorHAnsi" w:hAnsiTheme="minorHAnsi" w:cstheme="minorHAnsi"/>
          <w:sz w:val="22"/>
          <w:szCs w:val="22"/>
          <w:lang w:val="en-GB"/>
        </w:rPr>
        <w:t xml:space="preserve"> mine is scheduled to come online in the fourth quarter. PhosAgro continues to modernise and increase the capacity of its production facilities. In Cherepovets, in addition to modernising the ammonia, phosphoric acid and sulphuric acid production facilities, a project </w:t>
      </w:r>
      <w:proofErr w:type="gramStart"/>
      <w:r w:rsidR="00326ABB" w:rsidRPr="00F11A75">
        <w:rPr>
          <w:rFonts w:asciiTheme="minorHAnsi" w:hAnsiTheme="minorHAnsi" w:cstheme="minorHAnsi"/>
          <w:sz w:val="22"/>
          <w:szCs w:val="22"/>
          <w:lang w:val="en-GB"/>
        </w:rPr>
        <w:t>has been launched</w:t>
      </w:r>
      <w:proofErr w:type="gramEnd"/>
      <w:r w:rsidR="00326ABB" w:rsidRPr="00F11A75">
        <w:rPr>
          <w:rFonts w:asciiTheme="minorHAnsi" w:hAnsiTheme="minorHAnsi" w:cstheme="minorHAnsi"/>
          <w:sz w:val="22"/>
          <w:szCs w:val="22"/>
          <w:lang w:val="en-GB"/>
        </w:rPr>
        <w:t xml:space="preserve"> to increase the processing of phosphate rock. In </w:t>
      </w:r>
      <w:proofErr w:type="spellStart"/>
      <w:r w:rsidR="00326ABB" w:rsidRPr="00F11A75">
        <w:rPr>
          <w:rFonts w:asciiTheme="minorHAnsi" w:hAnsiTheme="minorHAnsi" w:cstheme="minorHAnsi"/>
          <w:sz w:val="22"/>
          <w:szCs w:val="22"/>
          <w:lang w:val="en-GB"/>
        </w:rPr>
        <w:t>Balakovo</w:t>
      </w:r>
      <w:proofErr w:type="spellEnd"/>
      <w:r w:rsidR="00326ABB" w:rsidRPr="00F11A75">
        <w:rPr>
          <w:rFonts w:asciiTheme="minorHAnsi" w:hAnsiTheme="minorHAnsi" w:cstheme="minorHAnsi"/>
          <w:sz w:val="22"/>
          <w:szCs w:val="22"/>
          <w:lang w:val="en-GB"/>
        </w:rPr>
        <w:t>, projects will be completed in the fourth quarter to increase the production of feed phosphates as well as sulphuric acid output as part of the third stage in the development of the production complex.</w:t>
      </w:r>
      <w:r w:rsidR="00E17E16" w:rsidRPr="00F11A75">
        <w:rPr>
          <w:rFonts w:asciiTheme="minorHAnsi" w:hAnsiTheme="minorHAnsi" w:cstheme="minorHAnsi"/>
          <w:sz w:val="22"/>
          <w:szCs w:val="22"/>
          <w:lang w:val="en-GB"/>
        </w:rPr>
        <w:t>”</w:t>
      </w:r>
      <w:r w:rsidR="00326ABB" w:rsidRPr="00F11A75">
        <w:rPr>
          <w:rFonts w:asciiTheme="minorHAnsi" w:hAnsiTheme="minorHAnsi" w:cstheme="minorHAnsi"/>
          <w:sz w:val="22"/>
          <w:szCs w:val="22"/>
          <w:lang w:val="en-GB"/>
        </w:rPr>
        <w:t xml:space="preserve"> </w:t>
      </w:r>
    </w:p>
    <w:p w14:paraId="0A267A50" w14:textId="3FC7CB6D" w:rsidR="00F17509" w:rsidRPr="00F11A75" w:rsidRDefault="00A27E95" w:rsidP="0020427B">
      <w:pPr>
        <w:pStyle w:val="P68B1DB1-Normal3"/>
        <w:spacing w:after="120"/>
        <w:jc w:val="both"/>
        <w:rPr>
          <w:rFonts w:asciiTheme="minorHAnsi" w:hAnsiTheme="minorHAnsi" w:cstheme="minorHAnsi"/>
          <w:sz w:val="22"/>
          <w:szCs w:val="22"/>
          <w:lang w:val="en-GB"/>
        </w:rPr>
      </w:pPr>
      <w:r w:rsidRPr="0016179B">
        <w:rPr>
          <w:rFonts w:asciiTheme="minorHAnsi" w:hAnsiTheme="minorHAnsi" w:cstheme="minorHAnsi"/>
          <w:b/>
          <w:bCs/>
          <w:sz w:val="22"/>
          <w:szCs w:val="22"/>
          <w:lang w:val="en-GB"/>
        </w:rPr>
        <w:t xml:space="preserve">Viktor </w:t>
      </w:r>
      <w:proofErr w:type="spellStart"/>
      <w:r w:rsidRPr="0016179B">
        <w:rPr>
          <w:rFonts w:asciiTheme="minorHAnsi" w:hAnsiTheme="minorHAnsi" w:cstheme="minorHAnsi"/>
          <w:b/>
          <w:bCs/>
          <w:sz w:val="22"/>
          <w:szCs w:val="22"/>
          <w:lang w:val="en-GB"/>
        </w:rPr>
        <w:t>Cherepov</w:t>
      </w:r>
      <w:proofErr w:type="spellEnd"/>
      <w:r w:rsidRPr="0016179B">
        <w:rPr>
          <w:rFonts w:asciiTheme="minorHAnsi" w:hAnsiTheme="minorHAnsi" w:cstheme="minorHAnsi"/>
          <w:b/>
          <w:bCs/>
          <w:sz w:val="22"/>
          <w:szCs w:val="22"/>
          <w:lang w:val="en-GB"/>
        </w:rPr>
        <w:t xml:space="preserve">, Chairman of </w:t>
      </w:r>
      <w:proofErr w:type="spellStart"/>
      <w:r w:rsidRPr="0016179B">
        <w:rPr>
          <w:rFonts w:asciiTheme="minorHAnsi" w:hAnsiTheme="minorHAnsi" w:cstheme="minorHAnsi"/>
          <w:b/>
          <w:bCs/>
          <w:sz w:val="22"/>
          <w:szCs w:val="22"/>
          <w:lang w:val="en-GB"/>
        </w:rPr>
        <w:t>PhosAgro</w:t>
      </w:r>
      <w:r w:rsidR="00543016" w:rsidRPr="0016179B">
        <w:rPr>
          <w:rFonts w:asciiTheme="minorHAnsi" w:hAnsiTheme="minorHAnsi" w:cstheme="minorHAnsi"/>
          <w:b/>
          <w:bCs/>
          <w:sz w:val="22"/>
          <w:szCs w:val="22"/>
          <w:lang w:val="en-GB"/>
        </w:rPr>
        <w:t>’</w:t>
      </w:r>
      <w:r w:rsidRPr="0016179B">
        <w:rPr>
          <w:rFonts w:asciiTheme="minorHAnsi" w:hAnsiTheme="minorHAnsi" w:cstheme="minorHAnsi"/>
          <w:b/>
          <w:bCs/>
          <w:sz w:val="22"/>
          <w:szCs w:val="22"/>
          <w:lang w:val="en-GB"/>
        </w:rPr>
        <w:t>s</w:t>
      </w:r>
      <w:proofErr w:type="spellEnd"/>
      <w:r w:rsidRPr="0016179B">
        <w:rPr>
          <w:rFonts w:asciiTheme="minorHAnsi" w:hAnsiTheme="minorHAnsi" w:cstheme="minorHAnsi"/>
          <w:b/>
          <w:bCs/>
          <w:sz w:val="22"/>
          <w:szCs w:val="22"/>
          <w:lang w:val="en-GB"/>
        </w:rPr>
        <w:t xml:space="preserve"> Board of Directors</w:t>
      </w:r>
      <w:r w:rsidRPr="00F11A75">
        <w:rPr>
          <w:rFonts w:asciiTheme="minorHAnsi" w:hAnsiTheme="minorHAnsi" w:cstheme="minorHAnsi"/>
          <w:sz w:val="22"/>
          <w:szCs w:val="22"/>
          <w:lang w:val="en-GB"/>
        </w:rPr>
        <w:t xml:space="preserve">, emphasised that it was no accident that the results of </w:t>
      </w:r>
      <w:proofErr w:type="spellStart"/>
      <w:r w:rsidRPr="00F11A75">
        <w:rPr>
          <w:rFonts w:asciiTheme="minorHAnsi" w:hAnsiTheme="minorHAnsi" w:cstheme="minorHAnsi"/>
          <w:sz w:val="22"/>
          <w:szCs w:val="22"/>
          <w:lang w:val="en-GB"/>
        </w:rPr>
        <w:t>PhosAgro</w:t>
      </w:r>
      <w:r w:rsidR="00543016" w:rsidRPr="00F11A75">
        <w:rPr>
          <w:rFonts w:asciiTheme="minorHAnsi" w:hAnsiTheme="minorHAnsi" w:cstheme="minorHAnsi"/>
          <w:sz w:val="22"/>
          <w:szCs w:val="22"/>
          <w:lang w:val="en-GB"/>
        </w:rPr>
        <w:t>’s</w:t>
      </w:r>
      <w:proofErr w:type="spellEnd"/>
      <w:r w:rsidRPr="00F11A75">
        <w:rPr>
          <w:rFonts w:asciiTheme="minorHAnsi" w:hAnsiTheme="minorHAnsi" w:cstheme="minorHAnsi"/>
          <w:sz w:val="22"/>
          <w:szCs w:val="22"/>
          <w:lang w:val="en-GB"/>
        </w:rPr>
        <w:t xml:space="preserve"> 10-year investment cycle </w:t>
      </w:r>
      <w:proofErr w:type="gramStart"/>
      <w:r w:rsidRPr="00F11A75">
        <w:rPr>
          <w:rFonts w:asciiTheme="minorHAnsi" w:hAnsiTheme="minorHAnsi" w:cstheme="minorHAnsi"/>
          <w:sz w:val="22"/>
          <w:szCs w:val="22"/>
          <w:lang w:val="en-GB"/>
        </w:rPr>
        <w:t>were bei</w:t>
      </w:r>
      <w:r w:rsidRPr="00F11A75">
        <w:rPr>
          <w:rFonts w:asciiTheme="minorHAnsi" w:hAnsiTheme="minorHAnsi" w:cstheme="minorHAnsi"/>
          <w:sz w:val="22"/>
          <w:szCs w:val="22"/>
          <w:lang w:val="en-GB"/>
        </w:rPr>
        <w:t>ng summed up</w:t>
      </w:r>
      <w:proofErr w:type="gramEnd"/>
      <w:r w:rsidRPr="00F11A75">
        <w:rPr>
          <w:rFonts w:asciiTheme="minorHAnsi" w:hAnsiTheme="minorHAnsi" w:cstheme="minorHAnsi"/>
          <w:sz w:val="22"/>
          <w:szCs w:val="22"/>
          <w:lang w:val="en-GB"/>
        </w:rPr>
        <w:t xml:space="preserve"> in </w:t>
      </w:r>
      <w:proofErr w:type="spellStart"/>
      <w:r w:rsidRPr="00F11A75">
        <w:rPr>
          <w:rFonts w:asciiTheme="minorHAnsi" w:hAnsiTheme="minorHAnsi" w:cstheme="minorHAnsi"/>
          <w:sz w:val="22"/>
          <w:szCs w:val="22"/>
          <w:lang w:val="en-GB"/>
        </w:rPr>
        <w:t>Volkhov</w:t>
      </w:r>
      <w:proofErr w:type="spellEnd"/>
      <w:r w:rsidRPr="00F11A75">
        <w:rPr>
          <w:rFonts w:asciiTheme="minorHAnsi" w:hAnsiTheme="minorHAnsi" w:cstheme="minorHAnsi"/>
          <w:sz w:val="22"/>
          <w:szCs w:val="22"/>
          <w:lang w:val="en-GB"/>
        </w:rPr>
        <w:t xml:space="preserve">: </w:t>
      </w:r>
    </w:p>
    <w:p w14:paraId="5C0C5A2D" w14:textId="03399191" w:rsidR="00F17509" w:rsidRPr="00F11A75" w:rsidRDefault="00543016"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“It is here that we are completing our largest-ever investment project, the result of which is the construction of an extraordinary new plant for the production of mineral fertilizers. RUB 34 billion has been invested in the site; over 10 years, more than RUB 390 </w:t>
      </w:r>
      <w:proofErr w:type="gramStart"/>
      <w:r w:rsidRPr="00F11A75">
        <w:rPr>
          <w:rFonts w:asciiTheme="minorHAnsi" w:hAnsiTheme="minorHAnsi" w:cstheme="minorHAnsi"/>
          <w:sz w:val="22"/>
          <w:szCs w:val="22"/>
          <w:lang w:val="en-GB"/>
        </w:rPr>
        <w:t>billion</w:t>
      </w:r>
      <w:proofErr w:type="gramEnd"/>
      <w:r w:rsidRPr="00F11A75">
        <w:rPr>
          <w:rFonts w:asciiTheme="minorHAnsi" w:hAnsiTheme="minorHAnsi" w:cstheme="minorHAnsi"/>
          <w:sz w:val="22"/>
          <w:szCs w:val="22"/>
          <w:lang w:val="en-GB"/>
        </w:rPr>
        <w:t xml:space="preserve"> has been invested in the Company. The investment cycle has resulted in an 80% increase in the output of our core product, from 6.1 million tonnes in 2013 to 11.1 million tonnes in 2022. Our production-related successes enabled us to double our supplies of eco-efficient products to our priority domestic market over the course of a decade: from 1.5 million to 2.9 million tonnes</w:t>
      </w:r>
      <w:r w:rsidRPr="003F31D2">
        <w:rPr>
          <w:rFonts w:asciiTheme="minorHAnsi" w:hAnsiTheme="minorHAnsi" w:cstheme="minorHAnsi"/>
          <w:sz w:val="22"/>
          <w:szCs w:val="22"/>
          <w:lang w:val="en-GB"/>
        </w:rPr>
        <w:t>. Labour productivity increased 170% over the same period.</w:t>
      </w:r>
      <w:r w:rsidRPr="00F11A75">
        <w:rPr>
          <w:rFonts w:asciiTheme="minorHAnsi" w:hAnsiTheme="minorHAnsi" w:cstheme="minorHAnsi"/>
          <w:sz w:val="22"/>
          <w:szCs w:val="22"/>
          <w:lang w:val="en-GB"/>
        </w:rPr>
        <w:t xml:space="preserve"> In the future, we will continue to follow our chosen development strategy: we intend to invest more than RUB 250 billion in the next five years.</w:t>
      </w:r>
    </w:p>
    <w:p w14:paraId="09525E3C" w14:textId="299100CC" w:rsidR="00F17509" w:rsidRPr="00F11A75" w:rsidRDefault="002F7058"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w:t>
      </w:r>
      <w:r w:rsidR="00543016" w:rsidRPr="00F11A75">
        <w:rPr>
          <w:rFonts w:asciiTheme="minorHAnsi" w:hAnsiTheme="minorHAnsi" w:cstheme="minorHAnsi"/>
          <w:sz w:val="22"/>
          <w:szCs w:val="22"/>
          <w:lang w:val="en-GB"/>
        </w:rPr>
        <w:t xml:space="preserve">Thanks to our dynamic development, continuous improvement of production efficiency and excellent production results, we are able to focus on sustainability and social responsibility. Over the past 10 years, our support for social and charitable projects has increased sevenfold, from RUB 1.9 </w:t>
      </w:r>
      <w:proofErr w:type="gramStart"/>
      <w:r w:rsidR="00543016" w:rsidRPr="00F11A75">
        <w:rPr>
          <w:rFonts w:asciiTheme="minorHAnsi" w:hAnsiTheme="minorHAnsi" w:cstheme="minorHAnsi"/>
          <w:sz w:val="22"/>
          <w:szCs w:val="22"/>
          <w:lang w:val="en-GB"/>
        </w:rPr>
        <w:t>billion</w:t>
      </w:r>
      <w:proofErr w:type="gramEnd"/>
      <w:r w:rsidR="00543016" w:rsidRPr="00F11A75">
        <w:rPr>
          <w:rFonts w:asciiTheme="minorHAnsi" w:hAnsiTheme="minorHAnsi" w:cstheme="minorHAnsi"/>
          <w:sz w:val="22"/>
          <w:szCs w:val="22"/>
          <w:lang w:val="en-GB"/>
        </w:rPr>
        <w:t xml:space="preserve"> to RUB 12.9 billion, average salaries across the Group have increased 150%, and investments in environmental activities have increased by more than RUB 60 billion. </w:t>
      </w:r>
    </w:p>
    <w:p w14:paraId="096411D1" w14:textId="63D36F8D" w:rsidR="00F17509" w:rsidRPr="00F11A75" w:rsidRDefault="00543016" w:rsidP="0020427B">
      <w:pPr>
        <w:pStyle w:val="P68B1DB1-Normal4"/>
        <w:spacing w:after="120"/>
        <w:jc w:val="both"/>
        <w:rPr>
          <w:rFonts w:asciiTheme="minorHAnsi" w:hAnsiTheme="minorHAnsi" w:cstheme="minorHAnsi"/>
          <w:sz w:val="22"/>
          <w:szCs w:val="22"/>
          <w:bdr w:val="nil"/>
          <w:lang w:val="en-GB"/>
        </w:rPr>
      </w:pPr>
      <w:r w:rsidRPr="00F11A75">
        <w:rPr>
          <w:rFonts w:asciiTheme="minorHAnsi" w:hAnsiTheme="minorHAnsi" w:cstheme="minorHAnsi"/>
          <w:sz w:val="22"/>
          <w:szCs w:val="22"/>
          <w:bdr w:val="nil"/>
          <w:lang w:val="en-GB"/>
        </w:rPr>
        <w:lastRenderedPageBreak/>
        <w:t xml:space="preserve">“It is symbolic that new collective bargaining agreements were signed yesterday at all PhosAgro Group production sites. The Company once again expanded its benefits package for workers in </w:t>
      </w:r>
      <w:proofErr w:type="spellStart"/>
      <w:r w:rsidRPr="00F11A75">
        <w:rPr>
          <w:rFonts w:asciiTheme="minorHAnsi" w:hAnsiTheme="minorHAnsi" w:cstheme="minorHAnsi"/>
          <w:sz w:val="22"/>
          <w:szCs w:val="22"/>
          <w:bdr w:val="nil"/>
          <w:lang w:val="en-GB"/>
        </w:rPr>
        <w:t>Volkhov</w:t>
      </w:r>
      <w:proofErr w:type="spellEnd"/>
      <w:r w:rsidRPr="00F11A75">
        <w:rPr>
          <w:rFonts w:asciiTheme="minorHAnsi" w:hAnsiTheme="minorHAnsi" w:cstheme="minorHAnsi"/>
          <w:sz w:val="22"/>
          <w:szCs w:val="22"/>
          <w:bdr w:val="nil"/>
          <w:lang w:val="en-GB"/>
        </w:rPr>
        <w:t xml:space="preserve">, Cherepovets, </w:t>
      </w:r>
      <w:proofErr w:type="spellStart"/>
      <w:r w:rsidRPr="00F11A75">
        <w:rPr>
          <w:rFonts w:asciiTheme="minorHAnsi" w:hAnsiTheme="minorHAnsi" w:cstheme="minorHAnsi"/>
          <w:sz w:val="22"/>
          <w:szCs w:val="22"/>
          <w:bdr w:val="nil"/>
          <w:lang w:val="en-GB"/>
        </w:rPr>
        <w:t>Kirovsk</w:t>
      </w:r>
      <w:proofErr w:type="spellEnd"/>
      <w:r w:rsidRPr="00F11A75">
        <w:rPr>
          <w:rFonts w:asciiTheme="minorHAnsi" w:hAnsiTheme="minorHAnsi" w:cstheme="minorHAnsi"/>
          <w:sz w:val="22"/>
          <w:szCs w:val="22"/>
          <w:bdr w:val="nil"/>
          <w:lang w:val="en-GB"/>
        </w:rPr>
        <w:t xml:space="preserve"> and </w:t>
      </w:r>
      <w:proofErr w:type="spellStart"/>
      <w:r w:rsidRPr="00F11A75">
        <w:rPr>
          <w:rFonts w:asciiTheme="minorHAnsi" w:hAnsiTheme="minorHAnsi" w:cstheme="minorHAnsi"/>
          <w:sz w:val="22"/>
          <w:szCs w:val="22"/>
          <w:bdr w:val="nil"/>
          <w:lang w:val="en-GB"/>
        </w:rPr>
        <w:t>Balakovo</w:t>
      </w:r>
      <w:proofErr w:type="spellEnd"/>
      <w:r w:rsidRPr="00F11A75">
        <w:rPr>
          <w:rFonts w:asciiTheme="minorHAnsi" w:hAnsiTheme="minorHAnsi" w:cstheme="minorHAnsi"/>
          <w:sz w:val="22"/>
          <w:szCs w:val="22"/>
          <w:bdr w:val="nil"/>
          <w:lang w:val="en-GB"/>
        </w:rPr>
        <w:t xml:space="preserve">. This is a landmark event both for our sector and for the domestic chemical industry as a whole. In addition, the acceptance of a new residential building that the Company built for its employees in </w:t>
      </w:r>
      <w:proofErr w:type="spellStart"/>
      <w:r w:rsidRPr="00F11A75">
        <w:rPr>
          <w:rFonts w:asciiTheme="minorHAnsi" w:hAnsiTheme="minorHAnsi" w:cstheme="minorHAnsi"/>
          <w:sz w:val="22"/>
          <w:szCs w:val="22"/>
          <w:bdr w:val="nil"/>
          <w:lang w:val="en-GB"/>
        </w:rPr>
        <w:t>Volkhov</w:t>
      </w:r>
      <w:proofErr w:type="spellEnd"/>
      <w:r w:rsidRPr="00F11A75">
        <w:rPr>
          <w:rFonts w:asciiTheme="minorHAnsi" w:hAnsiTheme="minorHAnsi" w:cstheme="minorHAnsi"/>
          <w:sz w:val="22"/>
          <w:szCs w:val="22"/>
          <w:bdr w:val="nil"/>
          <w:lang w:val="en-GB"/>
        </w:rPr>
        <w:t xml:space="preserve"> took place today. Thanks to the corporate housing programme, the families of more than 2,700 of our chemists and miners have improved their living conditions. </w:t>
      </w:r>
    </w:p>
    <w:p w14:paraId="402095D8" w14:textId="7DBC3181" w:rsidR="00F17509" w:rsidRPr="00F11A75" w:rsidRDefault="00543016"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“This year marks the 10th anniversary of </w:t>
      </w:r>
      <w:proofErr w:type="spellStart"/>
      <w:r w:rsidRPr="00F11A75">
        <w:rPr>
          <w:rFonts w:asciiTheme="minorHAnsi" w:hAnsiTheme="minorHAnsi" w:cstheme="minorHAnsi"/>
          <w:sz w:val="22"/>
          <w:szCs w:val="22"/>
          <w:lang w:val="en-GB"/>
        </w:rPr>
        <w:t>PhosAgro’s</w:t>
      </w:r>
      <w:proofErr w:type="spellEnd"/>
      <w:r w:rsidRPr="00F11A75">
        <w:rPr>
          <w:rFonts w:asciiTheme="minorHAnsi" w:hAnsiTheme="minorHAnsi" w:cstheme="minorHAnsi"/>
          <w:sz w:val="22"/>
          <w:szCs w:val="22"/>
          <w:lang w:val="en-GB"/>
        </w:rPr>
        <w:t xml:space="preserve"> corporate education programme, which involves a full cycle of training and support for specialists that follows a pathway from school to vocational school or university to employment with the Company. The programme covers six schools and four sponsored colleges in all the regions where the Company operates. We collaborate closely with 24 leading specialised institutions of higher learning. </w:t>
      </w:r>
    </w:p>
    <w:p w14:paraId="1D8CA3EB" w14:textId="2B0E8460" w:rsidR="00F17509" w:rsidRPr="00F11A75" w:rsidRDefault="00543016"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“Since 2013, 83 PhosAgro Schools graduates have found employment with the Company, and another 36 graduates plan to do so this year. Over the past 10 years, 994 PhosAgro Schools graduates have enrolled in higher education institutions, which is 88% of the total number of students who have receiving training at sponsored schools. The relevant committee of the Federation Council recommended that the experience of </w:t>
      </w:r>
      <w:proofErr w:type="spellStart"/>
      <w:r w:rsidRPr="00F11A75">
        <w:rPr>
          <w:rFonts w:asciiTheme="minorHAnsi" w:hAnsiTheme="minorHAnsi" w:cstheme="minorHAnsi"/>
          <w:sz w:val="22"/>
          <w:szCs w:val="22"/>
          <w:lang w:val="en-GB"/>
        </w:rPr>
        <w:t>PhosAgro’s</w:t>
      </w:r>
      <w:proofErr w:type="spellEnd"/>
      <w:r w:rsidRPr="00F11A75">
        <w:rPr>
          <w:rFonts w:asciiTheme="minorHAnsi" w:hAnsiTheme="minorHAnsi" w:cstheme="minorHAnsi"/>
          <w:sz w:val="22"/>
          <w:szCs w:val="22"/>
          <w:lang w:val="en-GB"/>
        </w:rPr>
        <w:t xml:space="preserve"> educational model </w:t>
      </w:r>
      <w:proofErr w:type="gramStart"/>
      <w:r w:rsidRPr="00F11A75">
        <w:rPr>
          <w:rFonts w:asciiTheme="minorHAnsi" w:hAnsiTheme="minorHAnsi" w:cstheme="minorHAnsi"/>
          <w:sz w:val="22"/>
          <w:szCs w:val="22"/>
          <w:lang w:val="en-GB"/>
        </w:rPr>
        <w:t>be taken</w:t>
      </w:r>
      <w:proofErr w:type="gramEnd"/>
      <w:r w:rsidRPr="00F11A75">
        <w:rPr>
          <w:rFonts w:asciiTheme="minorHAnsi" w:hAnsiTheme="minorHAnsi" w:cstheme="minorHAnsi"/>
          <w:sz w:val="22"/>
          <w:szCs w:val="22"/>
          <w:lang w:val="en-GB"/>
        </w:rPr>
        <w:t xml:space="preserve"> into account in the development of education–production clusters in key industries. Over 10 years, the Company has allocated RUB 4.2 billion for the programme’s implementation.”</w:t>
      </w:r>
    </w:p>
    <w:p w14:paraId="0B218A80" w14:textId="030DFF21"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The Board of Directors heard a report on the Company</w:t>
      </w:r>
      <w:r w:rsidR="00543016"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 xml:space="preserve">s work on international projects in 2022 and the first half of 2023, </w:t>
      </w:r>
      <w:proofErr w:type="gramStart"/>
      <w:r w:rsidRPr="00F11A75">
        <w:rPr>
          <w:rFonts w:asciiTheme="minorHAnsi" w:hAnsiTheme="minorHAnsi" w:cstheme="minorHAnsi"/>
          <w:sz w:val="22"/>
          <w:szCs w:val="22"/>
          <w:lang w:val="en-GB"/>
        </w:rPr>
        <w:t>and also</w:t>
      </w:r>
      <w:proofErr w:type="gramEnd"/>
      <w:r w:rsidRPr="00F11A75">
        <w:rPr>
          <w:rFonts w:asciiTheme="minorHAnsi" w:hAnsiTheme="minorHAnsi" w:cstheme="minorHAnsi"/>
          <w:sz w:val="22"/>
          <w:szCs w:val="22"/>
          <w:lang w:val="en-GB"/>
        </w:rPr>
        <w:t xml:space="preserve"> took note of information provided by the chairs of the Company</w:t>
      </w:r>
      <w:r w:rsidR="00543016"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s Board c</w:t>
      </w:r>
      <w:r w:rsidRPr="00F11A75">
        <w:rPr>
          <w:rFonts w:asciiTheme="minorHAnsi" w:hAnsiTheme="minorHAnsi" w:cstheme="minorHAnsi"/>
          <w:sz w:val="22"/>
          <w:szCs w:val="22"/>
          <w:lang w:val="en-GB"/>
        </w:rPr>
        <w:t xml:space="preserve">ommittees on the work of </w:t>
      </w:r>
      <w:r w:rsidR="00543016" w:rsidRPr="00F11A75">
        <w:rPr>
          <w:rFonts w:asciiTheme="minorHAnsi" w:hAnsiTheme="minorHAnsi" w:cstheme="minorHAnsi"/>
          <w:sz w:val="22"/>
          <w:szCs w:val="22"/>
          <w:lang w:val="en-GB"/>
        </w:rPr>
        <w:t>those</w:t>
      </w:r>
      <w:r w:rsidRPr="00F11A75">
        <w:rPr>
          <w:rFonts w:asciiTheme="minorHAnsi" w:hAnsiTheme="minorHAnsi" w:cstheme="minorHAnsi"/>
          <w:sz w:val="22"/>
          <w:szCs w:val="22"/>
          <w:lang w:val="en-GB"/>
        </w:rPr>
        <w:t xml:space="preserve"> committees. The Board of Directors recognised that its independent members met the independence criteria set out in the Regulation on the Board of Directors of PJSC PhosAgro, the Corporate Governance Code recommended by the B</w:t>
      </w:r>
      <w:r w:rsidRPr="00F11A75">
        <w:rPr>
          <w:rFonts w:asciiTheme="minorHAnsi" w:hAnsiTheme="minorHAnsi" w:cstheme="minorHAnsi"/>
          <w:sz w:val="22"/>
          <w:szCs w:val="22"/>
          <w:lang w:val="en-GB"/>
        </w:rPr>
        <w:t>ank of Russia for use by joint-stock companies, the Moscow Exchange Listing Rules and the UK Corporate Governance Code.</w:t>
      </w:r>
    </w:p>
    <w:p w14:paraId="1CE3852C" w14:textId="3B6711CD"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 xml:space="preserve">The Board also reviewed </w:t>
      </w:r>
      <w:proofErr w:type="spellStart"/>
      <w:r w:rsidRPr="00F11A75">
        <w:rPr>
          <w:rFonts w:asciiTheme="minorHAnsi" w:hAnsiTheme="minorHAnsi" w:cstheme="minorHAnsi"/>
          <w:sz w:val="22"/>
          <w:szCs w:val="22"/>
          <w:lang w:val="en-GB"/>
        </w:rPr>
        <w:t>PhosAgro</w:t>
      </w:r>
      <w:r w:rsidR="00D8543F"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s</w:t>
      </w:r>
      <w:proofErr w:type="spellEnd"/>
      <w:r w:rsidRPr="00F11A75">
        <w:rPr>
          <w:rFonts w:asciiTheme="minorHAnsi" w:hAnsiTheme="minorHAnsi" w:cstheme="minorHAnsi"/>
          <w:sz w:val="22"/>
          <w:szCs w:val="22"/>
          <w:lang w:val="en-GB"/>
        </w:rPr>
        <w:t xml:space="preserve"> financial results for 1H 2023, including its IFRS interim consolidated financial statements. The Boar</w:t>
      </w:r>
      <w:r w:rsidRPr="00F11A75">
        <w:rPr>
          <w:rFonts w:asciiTheme="minorHAnsi" w:hAnsiTheme="minorHAnsi" w:cstheme="minorHAnsi"/>
          <w:sz w:val="22"/>
          <w:szCs w:val="22"/>
          <w:lang w:val="en-GB"/>
        </w:rPr>
        <w:t xml:space="preserve">d decided to hold an Extraordinary General Meeting of Shareholders on 30 September 2023 in the form of absentee voting and approved its agenda, which will include the issue of dividend payments </w:t>
      </w:r>
      <w:r w:rsidR="00D8543F" w:rsidRPr="00F11A75">
        <w:rPr>
          <w:rFonts w:asciiTheme="minorHAnsi" w:hAnsiTheme="minorHAnsi" w:cstheme="minorHAnsi"/>
          <w:sz w:val="22"/>
          <w:szCs w:val="22"/>
          <w:lang w:val="en-GB"/>
        </w:rPr>
        <w:t>for</w:t>
      </w:r>
      <w:r w:rsidRPr="00F11A75">
        <w:rPr>
          <w:rFonts w:asciiTheme="minorHAnsi" w:hAnsiTheme="minorHAnsi" w:cstheme="minorHAnsi"/>
          <w:sz w:val="22"/>
          <w:szCs w:val="22"/>
          <w:lang w:val="en-GB"/>
        </w:rPr>
        <w:t xml:space="preserve"> 1H 2023. The Board of Directors recommended that </w:t>
      </w:r>
      <w:proofErr w:type="spellStart"/>
      <w:r w:rsidRPr="00F11A75">
        <w:rPr>
          <w:rFonts w:asciiTheme="minorHAnsi" w:hAnsiTheme="minorHAnsi" w:cstheme="minorHAnsi"/>
          <w:sz w:val="22"/>
          <w:szCs w:val="22"/>
          <w:lang w:val="en-GB"/>
        </w:rPr>
        <w:t>PhosAgro</w:t>
      </w:r>
      <w:r w:rsidR="00D8543F"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s</w:t>
      </w:r>
      <w:proofErr w:type="spellEnd"/>
      <w:r w:rsidRPr="00F11A75">
        <w:rPr>
          <w:rFonts w:asciiTheme="minorHAnsi" w:hAnsiTheme="minorHAnsi" w:cstheme="minorHAnsi"/>
          <w:sz w:val="22"/>
          <w:szCs w:val="22"/>
          <w:lang w:val="en-GB"/>
        </w:rPr>
        <w:t xml:space="preserve"> General Meeting of Shareholders decide to pay d</w:t>
      </w:r>
      <w:r>
        <w:rPr>
          <w:rFonts w:asciiTheme="minorHAnsi" w:hAnsiTheme="minorHAnsi" w:cstheme="minorHAnsi"/>
          <w:sz w:val="22"/>
          <w:szCs w:val="22"/>
          <w:lang w:val="en-GB"/>
        </w:rPr>
        <w:t xml:space="preserve">ividends at the rate of RUB </w:t>
      </w:r>
      <w:bookmarkStart w:id="0" w:name="_GoBack"/>
      <w:bookmarkEnd w:id="0"/>
      <w:r>
        <w:rPr>
          <w:rFonts w:asciiTheme="minorHAnsi" w:hAnsiTheme="minorHAnsi" w:cstheme="minorHAnsi"/>
          <w:sz w:val="22"/>
          <w:szCs w:val="22"/>
          <w:lang w:val="en-GB"/>
        </w:rPr>
        <w:t>126</w:t>
      </w:r>
      <w:r w:rsidRPr="00F11A75">
        <w:rPr>
          <w:rFonts w:asciiTheme="minorHAnsi" w:hAnsiTheme="minorHAnsi" w:cstheme="minorHAnsi"/>
          <w:sz w:val="22"/>
          <w:szCs w:val="22"/>
          <w:lang w:val="en-GB"/>
        </w:rPr>
        <w:t xml:space="preserve"> per share. The list of persons entitled to participate in the meeting will be drawn up </w:t>
      </w:r>
      <w:proofErr w:type="gramStart"/>
      <w:r w:rsidRPr="00F11A75">
        <w:rPr>
          <w:rFonts w:asciiTheme="minorHAnsi" w:hAnsiTheme="minorHAnsi" w:cstheme="minorHAnsi"/>
          <w:sz w:val="22"/>
          <w:szCs w:val="22"/>
          <w:lang w:val="en-GB"/>
        </w:rPr>
        <w:t>on the basis of</w:t>
      </w:r>
      <w:proofErr w:type="gramEnd"/>
      <w:r w:rsidRPr="00F11A75">
        <w:rPr>
          <w:rFonts w:asciiTheme="minorHAnsi" w:hAnsiTheme="minorHAnsi" w:cstheme="minorHAnsi"/>
          <w:sz w:val="22"/>
          <w:szCs w:val="22"/>
          <w:lang w:val="en-GB"/>
        </w:rPr>
        <w:t xml:space="preserve"> the information available in the Company</w:t>
      </w:r>
      <w:r w:rsidR="00D8543F" w:rsidRPr="00F11A75">
        <w:rPr>
          <w:rFonts w:asciiTheme="minorHAnsi" w:hAnsiTheme="minorHAnsi" w:cstheme="minorHAnsi"/>
          <w:sz w:val="22"/>
          <w:szCs w:val="22"/>
          <w:lang w:val="en-GB"/>
        </w:rPr>
        <w:t>’s</w:t>
      </w:r>
      <w:r w:rsidRPr="00F11A75">
        <w:rPr>
          <w:rFonts w:asciiTheme="minorHAnsi" w:hAnsiTheme="minorHAnsi" w:cstheme="minorHAnsi"/>
          <w:sz w:val="22"/>
          <w:szCs w:val="22"/>
          <w:lang w:val="en-GB"/>
        </w:rPr>
        <w:t xml:space="preserve"> shareholder register as of 8</w:t>
      </w:r>
      <w:r w:rsidRPr="00F11A75">
        <w:rPr>
          <w:rFonts w:asciiTheme="minorHAnsi" w:hAnsiTheme="minorHAnsi" w:cstheme="minorHAnsi"/>
          <w:sz w:val="22"/>
          <w:szCs w:val="22"/>
          <w:lang w:val="en-GB"/>
        </w:rPr>
        <w:t xml:space="preserve"> September 2023.</w:t>
      </w:r>
    </w:p>
    <w:p w14:paraId="64366981" w14:textId="1B5FB7B3"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In addition, a new version of the Company</w:t>
      </w:r>
      <w:r w:rsidR="00D8543F" w:rsidRPr="00F11A75">
        <w:rPr>
          <w:rFonts w:asciiTheme="minorHAnsi" w:hAnsiTheme="minorHAnsi" w:cstheme="minorHAnsi"/>
          <w:sz w:val="22"/>
          <w:szCs w:val="22"/>
          <w:lang w:val="en-GB"/>
        </w:rPr>
        <w:t>’s</w:t>
      </w:r>
      <w:r w:rsidRPr="00F11A75">
        <w:rPr>
          <w:rFonts w:asciiTheme="minorHAnsi" w:hAnsiTheme="minorHAnsi" w:cstheme="minorHAnsi"/>
          <w:sz w:val="22"/>
          <w:szCs w:val="22"/>
          <w:lang w:val="en-GB"/>
        </w:rPr>
        <w:t xml:space="preserve"> budget for 2023 </w:t>
      </w:r>
      <w:proofErr w:type="gramStart"/>
      <w:r w:rsidRPr="00F11A75">
        <w:rPr>
          <w:rFonts w:asciiTheme="minorHAnsi" w:hAnsiTheme="minorHAnsi" w:cstheme="minorHAnsi"/>
          <w:sz w:val="22"/>
          <w:szCs w:val="22"/>
          <w:lang w:val="en-GB"/>
        </w:rPr>
        <w:t>was approved and recommended for approval by the Management Board</w:t>
      </w:r>
      <w:proofErr w:type="gramEnd"/>
      <w:r w:rsidRPr="00F11A75">
        <w:rPr>
          <w:rFonts w:asciiTheme="minorHAnsi" w:hAnsiTheme="minorHAnsi" w:cstheme="minorHAnsi"/>
          <w:sz w:val="22"/>
          <w:szCs w:val="22"/>
          <w:lang w:val="en-GB"/>
        </w:rPr>
        <w:t>. The Board of Directors reviewed a report on the Company</w:t>
      </w:r>
      <w:r w:rsidR="00D8543F"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s compliance with legal provisions concerning the protec</w:t>
      </w:r>
      <w:r w:rsidRPr="00F11A75">
        <w:rPr>
          <w:rFonts w:asciiTheme="minorHAnsi" w:hAnsiTheme="minorHAnsi" w:cstheme="minorHAnsi"/>
          <w:sz w:val="22"/>
          <w:szCs w:val="22"/>
          <w:lang w:val="en-GB"/>
        </w:rPr>
        <w:t xml:space="preserve">tion and handling of insider information for 2022 and </w:t>
      </w:r>
      <w:r w:rsidR="00D8543F" w:rsidRPr="00F11A75">
        <w:rPr>
          <w:rFonts w:asciiTheme="minorHAnsi" w:hAnsiTheme="minorHAnsi" w:cstheme="minorHAnsi"/>
          <w:sz w:val="22"/>
          <w:szCs w:val="22"/>
          <w:lang w:val="en-GB"/>
        </w:rPr>
        <w:t>1H</w:t>
      </w:r>
      <w:r w:rsidRPr="00F11A75">
        <w:rPr>
          <w:rFonts w:asciiTheme="minorHAnsi" w:hAnsiTheme="minorHAnsi" w:cstheme="minorHAnsi"/>
          <w:sz w:val="22"/>
          <w:szCs w:val="22"/>
          <w:lang w:val="en-GB"/>
        </w:rPr>
        <w:t xml:space="preserve"> 2023, as well as on the main requirements </w:t>
      </w:r>
      <w:r w:rsidR="00D8543F" w:rsidRPr="00F11A75">
        <w:rPr>
          <w:rFonts w:asciiTheme="minorHAnsi" w:hAnsiTheme="minorHAnsi" w:cstheme="minorHAnsi"/>
          <w:sz w:val="22"/>
          <w:szCs w:val="22"/>
          <w:lang w:val="en-GB"/>
        </w:rPr>
        <w:t xml:space="preserve">under Russian and European laws </w:t>
      </w:r>
      <w:r w:rsidRPr="00F11A75">
        <w:rPr>
          <w:rFonts w:asciiTheme="minorHAnsi" w:hAnsiTheme="minorHAnsi" w:cstheme="minorHAnsi"/>
          <w:sz w:val="22"/>
          <w:szCs w:val="22"/>
          <w:lang w:val="en-GB"/>
        </w:rPr>
        <w:t>for persons discharging managerial responsibilities (PDMR).</w:t>
      </w:r>
    </w:p>
    <w:p w14:paraId="14D2D9B1" w14:textId="46B885C3" w:rsidR="00F17509" w:rsidRPr="00F11A75"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Information on occupational health and industrial safety at PhosA</w:t>
      </w:r>
      <w:r w:rsidRPr="00F11A75">
        <w:rPr>
          <w:rFonts w:asciiTheme="minorHAnsi" w:hAnsiTheme="minorHAnsi" w:cstheme="minorHAnsi"/>
          <w:sz w:val="22"/>
          <w:szCs w:val="22"/>
          <w:lang w:val="en-GB"/>
        </w:rPr>
        <w:t xml:space="preserve">gro companies was noted, as were the results of the monitoring of key risk management at the Company in 2Q 2023. Information </w:t>
      </w:r>
      <w:proofErr w:type="gramStart"/>
      <w:r w:rsidRPr="00F11A75">
        <w:rPr>
          <w:rFonts w:asciiTheme="minorHAnsi" w:hAnsiTheme="minorHAnsi" w:cstheme="minorHAnsi"/>
          <w:sz w:val="22"/>
          <w:szCs w:val="22"/>
          <w:lang w:val="en-GB"/>
        </w:rPr>
        <w:t xml:space="preserve">was </w:t>
      </w:r>
      <w:r w:rsidR="00D8543F" w:rsidRPr="00F11A75">
        <w:rPr>
          <w:rFonts w:asciiTheme="minorHAnsi" w:hAnsiTheme="minorHAnsi" w:cstheme="minorHAnsi"/>
          <w:sz w:val="22"/>
          <w:szCs w:val="22"/>
          <w:lang w:val="en-GB"/>
        </w:rPr>
        <w:t>heard</w:t>
      </w:r>
      <w:proofErr w:type="gramEnd"/>
      <w:r w:rsidRPr="00F11A75">
        <w:rPr>
          <w:rFonts w:asciiTheme="minorHAnsi" w:hAnsiTheme="minorHAnsi" w:cstheme="minorHAnsi"/>
          <w:sz w:val="22"/>
          <w:szCs w:val="22"/>
          <w:lang w:val="en-GB"/>
        </w:rPr>
        <w:t xml:space="preserve"> on the implementation of measures outlined in the Company</w:t>
      </w:r>
      <w:r w:rsidR="00D8543F"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 xml:space="preserve">s climate strategy. </w:t>
      </w:r>
    </w:p>
    <w:p w14:paraId="460E9449" w14:textId="06577F37" w:rsidR="00F17509" w:rsidRDefault="00A27E95" w:rsidP="0020427B">
      <w:pPr>
        <w:pStyle w:val="P68B1DB1-Normal3"/>
        <w:spacing w:after="120"/>
        <w:jc w:val="both"/>
        <w:rPr>
          <w:rFonts w:asciiTheme="minorHAnsi" w:hAnsiTheme="minorHAnsi" w:cstheme="minorHAnsi"/>
          <w:sz w:val="22"/>
          <w:szCs w:val="22"/>
          <w:lang w:val="en-GB"/>
        </w:rPr>
      </w:pPr>
      <w:r w:rsidRPr="00F11A75">
        <w:rPr>
          <w:rFonts w:asciiTheme="minorHAnsi" w:hAnsiTheme="minorHAnsi" w:cstheme="minorHAnsi"/>
          <w:sz w:val="22"/>
          <w:szCs w:val="22"/>
          <w:lang w:val="en-GB"/>
        </w:rPr>
        <w:t>The Board of Directors determined the amou</w:t>
      </w:r>
      <w:r w:rsidRPr="00F11A75">
        <w:rPr>
          <w:rFonts w:asciiTheme="minorHAnsi" w:hAnsiTheme="minorHAnsi" w:cstheme="minorHAnsi"/>
          <w:sz w:val="22"/>
          <w:szCs w:val="22"/>
          <w:lang w:val="en-GB"/>
        </w:rPr>
        <w:t xml:space="preserve">nt of remuneration to </w:t>
      </w:r>
      <w:proofErr w:type="gramStart"/>
      <w:r w:rsidRPr="00F11A75">
        <w:rPr>
          <w:rFonts w:asciiTheme="minorHAnsi" w:hAnsiTheme="minorHAnsi" w:cstheme="minorHAnsi"/>
          <w:sz w:val="22"/>
          <w:szCs w:val="22"/>
          <w:lang w:val="en-GB"/>
        </w:rPr>
        <w:t>be paid</w:t>
      </w:r>
      <w:proofErr w:type="gramEnd"/>
      <w:r w:rsidRPr="00F11A75">
        <w:rPr>
          <w:rFonts w:asciiTheme="minorHAnsi" w:hAnsiTheme="minorHAnsi" w:cstheme="minorHAnsi"/>
          <w:sz w:val="22"/>
          <w:szCs w:val="22"/>
          <w:lang w:val="en-GB"/>
        </w:rPr>
        <w:t xml:space="preserve"> for the services of the Company</w:t>
      </w:r>
      <w:r w:rsidR="00D8543F"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 xml:space="preserve">s independent </w:t>
      </w:r>
      <w:r w:rsidR="00D8543F" w:rsidRPr="00F11A75">
        <w:rPr>
          <w:rFonts w:asciiTheme="minorHAnsi" w:hAnsiTheme="minorHAnsi" w:cstheme="minorHAnsi"/>
          <w:sz w:val="22"/>
          <w:szCs w:val="22"/>
          <w:lang w:val="en-GB"/>
        </w:rPr>
        <w:t xml:space="preserve">RAS </w:t>
      </w:r>
      <w:r w:rsidRPr="00F11A75">
        <w:rPr>
          <w:rFonts w:asciiTheme="minorHAnsi" w:hAnsiTheme="minorHAnsi" w:cstheme="minorHAnsi"/>
          <w:sz w:val="22"/>
          <w:szCs w:val="22"/>
          <w:lang w:val="en-GB"/>
        </w:rPr>
        <w:t>auditor and heard a report on the Company</w:t>
      </w:r>
      <w:r w:rsidR="00EC6645" w:rsidRPr="00F11A75">
        <w:rPr>
          <w:rFonts w:asciiTheme="minorHAnsi" w:hAnsiTheme="minorHAnsi" w:cstheme="minorHAnsi"/>
          <w:sz w:val="22"/>
          <w:szCs w:val="22"/>
          <w:lang w:val="en-GB"/>
        </w:rPr>
        <w:t>’</w:t>
      </w:r>
      <w:r w:rsidRPr="00F11A75">
        <w:rPr>
          <w:rFonts w:asciiTheme="minorHAnsi" w:hAnsiTheme="minorHAnsi" w:cstheme="minorHAnsi"/>
          <w:sz w:val="22"/>
          <w:szCs w:val="22"/>
          <w:lang w:val="en-GB"/>
        </w:rPr>
        <w:t xml:space="preserve">s work with investors in 2022 and 1H 2023. The Board approved a report on the work of the corporate secretary for the same period </w:t>
      </w:r>
      <w:proofErr w:type="gramStart"/>
      <w:r w:rsidRPr="00F11A75">
        <w:rPr>
          <w:rFonts w:asciiTheme="minorHAnsi" w:hAnsiTheme="minorHAnsi" w:cstheme="minorHAnsi"/>
          <w:sz w:val="22"/>
          <w:szCs w:val="22"/>
          <w:lang w:val="en-GB"/>
        </w:rPr>
        <w:t xml:space="preserve">and </w:t>
      </w:r>
      <w:r w:rsidRPr="00F11A75">
        <w:rPr>
          <w:rFonts w:asciiTheme="minorHAnsi" w:hAnsiTheme="minorHAnsi" w:cstheme="minorHAnsi"/>
          <w:sz w:val="22"/>
          <w:szCs w:val="22"/>
          <w:lang w:val="en-GB"/>
        </w:rPr>
        <w:t>also</w:t>
      </w:r>
      <w:proofErr w:type="gramEnd"/>
      <w:r w:rsidRPr="00F11A75">
        <w:rPr>
          <w:rFonts w:asciiTheme="minorHAnsi" w:hAnsiTheme="minorHAnsi" w:cstheme="minorHAnsi"/>
          <w:sz w:val="22"/>
          <w:szCs w:val="22"/>
          <w:lang w:val="en-GB"/>
        </w:rPr>
        <w:t xml:space="preserve"> approved an amended version of the Company</w:t>
      </w:r>
      <w:r w:rsidR="00EC6645" w:rsidRPr="00F11A75">
        <w:rPr>
          <w:rFonts w:asciiTheme="minorHAnsi" w:hAnsiTheme="minorHAnsi" w:cstheme="minorHAnsi"/>
          <w:sz w:val="22"/>
          <w:szCs w:val="22"/>
          <w:lang w:val="en-GB"/>
        </w:rPr>
        <w:t>’s</w:t>
      </w:r>
      <w:r w:rsidRPr="00F11A75">
        <w:rPr>
          <w:rFonts w:asciiTheme="minorHAnsi" w:hAnsiTheme="minorHAnsi" w:cstheme="minorHAnsi"/>
          <w:sz w:val="22"/>
          <w:szCs w:val="22"/>
          <w:lang w:val="en-GB"/>
        </w:rPr>
        <w:t xml:space="preserve"> Policy on the Selection of External Auditors and Guidelines for Establishing Relations with Them. </w:t>
      </w:r>
    </w:p>
    <w:p w14:paraId="62B91561" w14:textId="77777777" w:rsidR="00CC7727" w:rsidRPr="00F11A75" w:rsidRDefault="00CC7727" w:rsidP="0020427B">
      <w:pPr>
        <w:pStyle w:val="P68B1DB1-Normal3"/>
        <w:spacing w:after="120"/>
        <w:jc w:val="both"/>
        <w:rPr>
          <w:rFonts w:asciiTheme="minorHAnsi" w:hAnsiTheme="minorHAnsi" w:cstheme="minorHAnsi"/>
          <w:sz w:val="22"/>
          <w:szCs w:val="22"/>
          <w:lang w:val="en-GB"/>
        </w:rPr>
      </w:pPr>
    </w:p>
    <w:p w14:paraId="632E8158" w14:textId="77777777" w:rsidR="00CC7727" w:rsidRPr="001879A2" w:rsidRDefault="00CC7727" w:rsidP="0020427B">
      <w:pPr>
        <w:pStyle w:val="P68B1DB1-Normal22"/>
        <w:snapToGrid w:val="0"/>
        <w:spacing w:after="120" w:line="240" w:lineRule="auto"/>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0A24E95C" w14:textId="77777777" w:rsidR="00CC7727" w:rsidRPr="001879A2" w:rsidRDefault="00CC7727" w:rsidP="002042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lastRenderedPageBreak/>
        <w:t xml:space="preserve">PhosAgro (www.phosagro.ru) is a vertically integrated Russian company and one of the world’s leading producers of mineral phosphorous fertilizers and of high-grade apatite concentrate grading 39% P2O5 and higher. </w:t>
      </w:r>
      <w:proofErr w:type="spellStart"/>
      <w:r w:rsidRPr="001879A2">
        <w:rPr>
          <w:rFonts w:asciiTheme="minorHAnsi" w:hAnsiTheme="minorHAnsi" w:cstheme="minorHAnsi"/>
          <w:bCs/>
          <w:i/>
          <w:iCs/>
          <w:sz w:val="22"/>
          <w:szCs w:val="22"/>
          <w:lang w:val="en-GB"/>
        </w:rPr>
        <w:t>PhosAgro’s</w:t>
      </w:r>
      <w:proofErr w:type="spellEnd"/>
      <w:r w:rsidRPr="001879A2">
        <w:rPr>
          <w:rFonts w:asciiTheme="minorHAnsi" w:hAnsiTheme="minorHAnsi" w:cstheme="minorHAnsi"/>
          <w:bCs/>
          <w:i/>
          <w:iCs/>
          <w:sz w:val="22"/>
          <w:szCs w:val="22"/>
          <w:lang w:val="en-GB"/>
        </w:rPr>
        <w:t xml:space="preserve"> fertilizers are highly effective, ensuring the improved quality of agricultural produce.</w:t>
      </w:r>
    </w:p>
    <w:p w14:paraId="45192079" w14:textId="77777777" w:rsidR="00CC7727" w:rsidRPr="001879A2" w:rsidRDefault="00CC7727" w:rsidP="0020427B">
      <w:pPr>
        <w:pStyle w:val="P68B1DB1-Normal4"/>
        <w:spacing w:after="120"/>
        <w:jc w:val="both"/>
        <w:rPr>
          <w:rFonts w:asciiTheme="minorHAnsi" w:hAnsiTheme="minorHAnsi" w:cstheme="minorHAnsi"/>
          <w:b/>
          <w:bCs/>
          <w:i/>
          <w:iCs/>
          <w:sz w:val="22"/>
          <w:szCs w:val="22"/>
          <w:lang w:val="en-GB"/>
        </w:rPr>
      </w:pPr>
      <w:proofErr w:type="gramStart"/>
      <w:r w:rsidRPr="001879A2">
        <w:rPr>
          <w:rFonts w:asciiTheme="minorHAnsi" w:hAnsiTheme="minorHAnsi" w:cstheme="minorHAnsi"/>
          <w:bCs/>
          <w:i/>
          <w:iCs/>
          <w:sz w:val="22"/>
          <w:szCs w:val="22"/>
          <w:lang w:val="en-GB"/>
        </w:rPr>
        <w:t xml:space="preserve">PhosAgro Group is the largest manufacturer of phosphate-based fertilisers in Europe (by total capacity of DAP/MAP/NP/NPK/NPS production), the largest producer of </w:t>
      </w:r>
      <w:proofErr w:type="spellStart"/>
      <w:r w:rsidRPr="001879A2">
        <w:rPr>
          <w:rFonts w:asciiTheme="minorHAnsi" w:hAnsiTheme="minorHAnsi" w:cstheme="minorHAnsi"/>
          <w:bCs/>
          <w:i/>
          <w:iCs/>
          <w:sz w:val="22"/>
          <w:szCs w:val="22"/>
          <w:lang w:val="en-GB"/>
        </w:rPr>
        <w:t>phosphite</w:t>
      </w:r>
      <w:proofErr w:type="spellEnd"/>
      <w:r w:rsidRPr="001879A2">
        <w:rPr>
          <w:rFonts w:asciiTheme="minorHAnsi" w:hAnsiTheme="minorHAnsi" w:cstheme="minorHAnsi"/>
          <w:bCs/>
          <w:i/>
          <w:iCs/>
          <w:sz w:val="22"/>
          <w:szCs w:val="22"/>
          <w:lang w:val="en-GB"/>
        </w:rPr>
        <w:t xml:space="preserve"> grading 39% P2O5 in the world and one of the leading global producers of ammonium and </w:t>
      </w:r>
      <w:proofErr w:type="spellStart"/>
      <w:r w:rsidRPr="001879A2">
        <w:rPr>
          <w:rFonts w:asciiTheme="minorHAnsi" w:hAnsiTheme="minorHAnsi" w:cstheme="minorHAnsi"/>
          <w:bCs/>
          <w:i/>
          <w:iCs/>
          <w:sz w:val="22"/>
          <w:szCs w:val="22"/>
          <w:lang w:val="en-GB"/>
        </w:rPr>
        <w:t>diammonium</w:t>
      </w:r>
      <w:proofErr w:type="spellEnd"/>
      <w:r w:rsidRPr="001879A2">
        <w:rPr>
          <w:rFonts w:asciiTheme="minorHAnsi" w:hAnsiTheme="minorHAnsi" w:cstheme="minorHAnsi"/>
          <w:bCs/>
          <w:i/>
          <w:iCs/>
          <w:sz w:val="22"/>
          <w:szCs w:val="22"/>
          <w:lang w:val="en-GB"/>
        </w:rPr>
        <w:t xml:space="preserve"> phosphate, one of Europe’s leading and the only producer in Russia of </w:t>
      </w:r>
      <w:proofErr w:type="spellStart"/>
      <w:r w:rsidRPr="001879A2">
        <w:rPr>
          <w:rFonts w:asciiTheme="minorHAnsi" w:hAnsiTheme="minorHAnsi" w:cstheme="minorHAnsi"/>
          <w:bCs/>
          <w:i/>
          <w:iCs/>
          <w:sz w:val="22"/>
          <w:szCs w:val="22"/>
          <w:lang w:val="en-GB"/>
        </w:rPr>
        <w:t>monocalcium</w:t>
      </w:r>
      <w:proofErr w:type="spellEnd"/>
      <w:r w:rsidRPr="001879A2">
        <w:rPr>
          <w:rFonts w:asciiTheme="minorHAnsi" w:hAnsiTheme="minorHAnsi" w:cstheme="minorHAnsi"/>
          <w:bCs/>
          <w:i/>
          <w:iCs/>
          <w:sz w:val="22"/>
          <w:szCs w:val="22"/>
          <w:lang w:val="en-GB"/>
        </w:rPr>
        <w:t xml:space="preserve"> phosphate feed (MCP), and the only producer in Russia of nepheline concentrate.</w:t>
      </w:r>
      <w:proofErr w:type="gramEnd"/>
    </w:p>
    <w:p w14:paraId="6FFFA8AE" w14:textId="77777777" w:rsidR="00CC7727" w:rsidRPr="001879A2" w:rsidRDefault="00CC7727" w:rsidP="002042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main products, including </w:t>
      </w:r>
      <w:proofErr w:type="spellStart"/>
      <w:r w:rsidRPr="001879A2">
        <w:rPr>
          <w:rFonts w:asciiTheme="minorHAnsi" w:hAnsiTheme="minorHAnsi" w:cstheme="minorHAnsi"/>
          <w:bCs/>
          <w:i/>
          <w:iCs/>
          <w:sz w:val="22"/>
          <w:szCs w:val="22"/>
          <w:lang w:val="en-GB"/>
        </w:rPr>
        <w:t>phosphite</w:t>
      </w:r>
      <w:proofErr w:type="spellEnd"/>
      <w:r w:rsidRPr="001879A2">
        <w:rPr>
          <w:rFonts w:asciiTheme="minorHAnsi" w:hAnsiTheme="minorHAnsi" w:cstheme="minorHAnsi"/>
          <w:bCs/>
          <w:i/>
          <w:iCs/>
          <w:sz w:val="22"/>
          <w:szCs w:val="22"/>
          <w:lang w:val="en-GB"/>
        </w:rPr>
        <w:t xml:space="preserve">, 57 grades of fertilizer, phosphate feed, ammonium, and sodium </w:t>
      </w:r>
      <w:proofErr w:type="spellStart"/>
      <w:r w:rsidRPr="001879A2">
        <w:rPr>
          <w:rFonts w:asciiTheme="minorHAnsi" w:hAnsiTheme="minorHAnsi" w:cstheme="minorHAnsi"/>
          <w:bCs/>
          <w:i/>
          <w:iCs/>
          <w:sz w:val="22"/>
          <w:szCs w:val="22"/>
          <w:lang w:val="en-GB"/>
        </w:rPr>
        <w:t>tripolyphosphate</w:t>
      </w:r>
      <w:proofErr w:type="spellEnd"/>
      <w:r w:rsidRPr="001879A2">
        <w:rPr>
          <w:rFonts w:asciiTheme="minorHAnsi" w:hAnsiTheme="minorHAnsi" w:cstheme="minorHAnsi"/>
          <w:bCs/>
          <w:i/>
          <w:iCs/>
          <w:sz w:val="22"/>
          <w:szCs w:val="22"/>
          <w:lang w:val="en-GB"/>
        </w:rPr>
        <w:t xml:space="preserve">, </w:t>
      </w:r>
      <w:proofErr w:type="gramStart"/>
      <w:r w:rsidRPr="001879A2">
        <w:rPr>
          <w:rFonts w:asciiTheme="minorHAnsi" w:hAnsiTheme="minorHAnsi" w:cstheme="minorHAnsi"/>
          <w:bCs/>
          <w:i/>
          <w:iCs/>
          <w:sz w:val="22"/>
          <w:szCs w:val="22"/>
          <w:lang w:val="en-GB"/>
        </w:rPr>
        <w:t>are used</w:t>
      </w:r>
      <w:proofErr w:type="gramEnd"/>
      <w:r w:rsidRPr="001879A2">
        <w:rPr>
          <w:rFonts w:asciiTheme="minorHAnsi" w:hAnsiTheme="minorHAnsi" w:cstheme="minorHAnsi"/>
          <w:bCs/>
          <w:i/>
          <w:iCs/>
          <w:sz w:val="22"/>
          <w:szCs w:val="22"/>
          <w:lang w:val="en-GB"/>
        </w:rPr>
        <w:t xml:space="preserve"> in around 100 countries on all inhabited continents. Our priority markets, besides Russia and the CIS, are Latin America, Europe, and Asia.</w:t>
      </w:r>
    </w:p>
    <w:p w14:paraId="3DF71C8A" w14:textId="77777777" w:rsidR="00CC7727" w:rsidRPr="001879A2" w:rsidRDefault="00CC7727" w:rsidP="002042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w:t>
      </w:r>
      <w:proofErr w:type="gramStart"/>
      <w:r w:rsidRPr="001879A2">
        <w:rPr>
          <w:rFonts w:asciiTheme="minorHAnsi" w:hAnsiTheme="minorHAnsi" w:cstheme="minorHAnsi"/>
          <w:bCs/>
          <w:i/>
          <w:iCs/>
          <w:sz w:val="22"/>
          <w:szCs w:val="22"/>
          <w:lang w:val="en-GB"/>
        </w:rPr>
        <w:t>its</w:t>
      </w:r>
      <w:proofErr w:type="gramEnd"/>
      <w:r w:rsidRPr="001879A2">
        <w:rPr>
          <w:rFonts w:asciiTheme="minorHAnsi" w:hAnsiTheme="minorHAnsi" w:cstheme="minorHAnsi"/>
          <w:bCs/>
          <w:i/>
          <w:iCs/>
          <w:sz w:val="22"/>
          <w:szCs w:val="22"/>
          <w:lang w:val="en-GB"/>
        </w:rPr>
        <w:t xml:space="preserve"> Global Depositary Receipts (GDRs) are listed on the London Stock Exchange (MOEX and LSE ticker: PHOR).    </w:t>
      </w:r>
    </w:p>
    <w:p w14:paraId="5D3F003A" w14:textId="29602A81" w:rsidR="00F17509" w:rsidRPr="0020427B" w:rsidRDefault="00CC7727" w:rsidP="0020427B">
      <w:pPr>
        <w:pStyle w:val="P68B1DB1-Normal4"/>
        <w:spacing w:after="120"/>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w:t>
      </w:r>
      <w:proofErr w:type="gramStart"/>
      <w:r w:rsidRPr="001879A2">
        <w:rPr>
          <w:rFonts w:asciiTheme="minorHAnsi" w:hAnsiTheme="minorHAnsi" w:cstheme="minorHAnsi"/>
          <w:bCs/>
          <w:i/>
          <w:iCs/>
          <w:sz w:val="22"/>
          <w:szCs w:val="22"/>
          <w:lang w:val="en-GB"/>
        </w:rPr>
        <w:t>can be found</w:t>
      </w:r>
      <w:proofErr w:type="gramEnd"/>
      <w:r w:rsidRPr="001879A2">
        <w:rPr>
          <w:rFonts w:asciiTheme="minorHAnsi" w:hAnsiTheme="minorHAnsi" w:cstheme="minorHAnsi"/>
          <w:bCs/>
          <w:i/>
          <w:iCs/>
          <w:sz w:val="22"/>
          <w:szCs w:val="22"/>
          <w:lang w:val="en-GB"/>
        </w:rPr>
        <w:t xml:space="preserve"> on our site: </w:t>
      </w:r>
      <w:hyperlink r:id="rId7" w:history="1">
        <w:r w:rsidRPr="001879A2">
          <w:rPr>
            <w:rFonts w:asciiTheme="minorHAnsi" w:hAnsiTheme="minorHAnsi" w:cstheme="minorHAnsi"/>
            <w:bCs/>
            <w:i/>
            <w:iCs/>
            <w:sz w:val="22"/>
            <w:szCs w:val="22"/>
          </w:rPr>
          <w:t>www.phosagro.ru</w:t>
        </w:r>
      </w:hyperlink>
      <w:r>
        <w:rPr>
          <w:rFonts w:asciiTheme="minorHAnsi" w:hAnsiTheme="minorHAnsi" w:cstheme="minorHAnsi"/>
          <w:bCs/>
          <w:i/>
          <w:iCs/>
          <w:sz w:val="22"/>
          <w:szCs w:val="22"/>
        </w:rPr>
        <w:t xml:space="preserve"> </w:t>
      </w:r>
    </w:p>
    <w:sectPr w:rsidR="00F17509" w:rsidRPr="0020427B" w:rsidSect="00594902">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F"/>
    <w:rsid w:val="00004116"/>
    <w:rsid w:val="000066CF"/>
    <w:rsid w:val="000107E5"/>
    <w:rsid w:val="0001258A"/>
    <w:rsid w:val="00015425"/>
    <w:rsid w:val="00020A38"/>
    <w:rsid w:val="00022310"/>
    <w:rsid w:val="00025073"/>
    <w:rsid w:val="00026CCB"/>
    <w:rsid w:val="000463F2"/>
    <w:rsid w:val="00047A83"/>
    <w:rsid w:val="000509F6"/>
    <w:rsid w:val="00056C4F"/>
    <w:rsid w:val="00060D2F"/>
    <w:rsid w:val="00061179"/>
    <w:rsid w:val="000675A4"/>
    <w:rsid w:val="0008244F"/>
    <w:rsid w:val="00083399"/>
    <w:rsid w:val="00087A39"/>
    <w:rsid w:val="00094DBC"/>
    <w:rsid w:val="000A2FB1"/>
    <w:rsid w:val="000A6411"/>
    <w:rsid w:val="000A7089"/>
    <w:rsid w:val="000B32CF"/>
    <w:rsid w:val="000C0396"/>
    <w:rsid w:val="000C1A57"/>
    <w:rsid w:val="000C28C0"/>
    <w:rsid w:val="000C5951"/>
    <w:rsid w:val="000C7D72"/>
    <w:rsid w:val="000D04BA"/>
    <w:rsid w:val="000D26BF"/>
    <w:rsid w:val="000D562A"/>
    <w:rsid w:val="000D6D0A"/>
    <w:rsid w:val="000E748B"/>
    <w:rsid w:val="000E7893"/>
    <w:rsid w:val="000F4803"/>
    <w:rsid w:val="000F4CE1"/>
    <w:rsid w:val="000F5406"/>
    <w:rsid w:val="000F7C03"/>
    <w:rsid w:val="00101C35"/>
    <w:rsid w:val="00101EA5"/>
    <w:rsid w:val="001022C9"/>
    <w:rsid w:val="00115D1D"/>
    <w:rsid w:val="0011667A"/>
    <w:rsid w:val="00125EC2"/>
    <w:rsid w:val="001307F1"/>
    <w:rsid w:val="00130CFC"/>
    <w:rsid w:val="00135E3C"/>
    <w:rsid w:val="00140A43"/>
    <w:rsid w:val="00140FDE"/>
    <w:rsid w:val="001418F3"/>
    <w:rsid w:val="0014403C"/>
    <w:rsid w:val="00144361"/>
    <w:rsid w:val="0015683B"/>
    <w:rsid w:val="0016179B"/>
    <w:rsid w:val="00162D49"/>
    <w:rsid w:val="0017199B"/>
    <w:rsid w:val="00174039"/>
    <w:rsid w:val="001848F9"/>
    <w:rsid w:val="00193A61"/>
    <w:rsid w:val="00195FF4"/>
    <w:rsid w:val="00196B25"/>
    <w:rsid w:val="001A15E2"/>
    <w:rsid w:val="001A2547"/>
    <w:rsid w:val="001B19E1"/>
    <w:rsid w:val="001B3880"/>
    <w:rsid w:val="001B576A"/>
    <w:rsid w:val="001C5C5B"/>
    <w:rsid w:val="001D6EA9"/>
    <w:rsid w:val="001D7BBD"/>
    <w:rsid w:val="001E03AB"/>
    <w:rsid w:val="001E656D"/>
    <w:rsid w:val="001E6A9A"/>
    <w:rsid w:val="001F144B"/>
    <w:rsid w:val="002019FC"/>
    <w:rsid w:val="0020427B"/>
    <w:rsid w:val="00204E32"/>
    <w:rsid w:val="00207052"/>
    <w:rsid w:val="002120BD"/>
    <w:rsid w:val="00220871"/>
    <w:rsid w:val="0022276D"/>
    <w:rsid w:val="00222CFD"/>
    <w:rsid w:val="00225529"/>
    <w:rsid w:val="002302DB"/>
    <w:rsid w:val="00232AB6"/>
    <w:rsid w:val="0024468F"/>
    <w:rsid w:val="00247BF4"/>
    <w:rsid w:val="0025033A"/>
    <w:rsid w:val="002561DA"/>
    <w:rsid w:val="00257F5B"/>
    <w:rsid w:val="00263520"/>
    <w:rsid w:val="0026542B"/>
    <w:rsid w:val="00265E37"/>
    <w:rsid w:val="00266DCD"/>
    <w:rsid w:val="002840BC"/>
    <w:rsid w:val="002855F7"/>
    <w:rsid w:val="0029027E"/>
    <w:rsid w:val="0029679F"/>
    <w:rsid w:val="002A1AE7"/>
    <w:rsid w:val="002A2BBA"/>
    <w:rsid w:val="002A7B90"/>
    <w:rsid w:val="002B03FD"/>
    <w:rsid w:val="002B1D12"/>
    <w:rsid w:val="002B3580"/>
    <w:rsid w:val="002C2BE2"/>
    <w:rsid w:val="002D2B49"/>
    <w:rsid w:val="002D4CAB"/>
    <w:rsid w:val="002D777B"/>
    <w:rsid w:val="002E3FF3"/>
    <w:rsid w:val="002E6BA2"/>
    <w:rsid w:val="002E6E1E"/>
    <w:rsid w:val="002E7537"/>
    <w:rsid w:val="002F7058"/>
    <w:rsid w:val="00314393"/>
    <w:rsid w:val="003147F4"/>
    <w:rsid w:val="00314FF7"/>
    <w:rsid w:val="0031609E"/>
    <w:rsid w:val="00316C55"/>
    <w:rsid w:val="00317D4F"/>
    <w:rsid w:val="0032524C"/>
    <w:rsid w:val="00326ABB"/>
    <w:rsid w:val="00344F52"/>
    <w:rsid w:val="003453CA"/>
    <w:rsid w:val="0034645D"/>
    <w:rsid w:val="00356FFA"/>
    <w:rsid w:val="00357674"/>
    <w:rsid w:val="003579BD"/>
    <w:rsid w:val="00362BF9"/>
    <w:rsid w:val="00373887"/>
    <w:rsid w:val="003744A2"/>
    <w:rsid w:val="003837D6"/>
    <w:rsid w:val="0039219E"/>
    <w:rsid w:val="003A1263"/>
    <w:rsid w:val="003A1976"/>
    <w:rsid w:val="003A660A"/>
    <w:rsid w:val="003B08C2"/>
    <w:rsid w:val="003B149D"/>
    <w:rsid w:val="003B4F49"/>
    <w:rsid w:val="003C003D"/>
    <w:rsid w:val="003C60D7"/>
    <w:rsid w:val="003D28BF"/>
    <w:rsid w:val="003D3D27"/>
    <w:rsid w:val="003E3510"/>
    <w:rsid w:val="003E37F3"/>
    <w:rsid w:val="003E606C"/>
    <w:rsid w:val="003F31D2"/>
    <w:rsid w:val="003F46CA"/>
    <w:rsid w:val="003F7C1C"/>
    <w:rsid w:val="003F7ED0"/>
    <w:rsid w:val="00402D4D"/>
    <w:rsid w:val="00410DC7"/>
    <w:rsid w:val="0042214F"/>
    <w:rsid w:val="00424BA5"/>
    <w:rsid w:val="00425423"/>
    <w:rsid w:val="00433F2A"/>
    <w:rsid w:val="00441924"/>
    <w:rsid w:val="004627A5"/>
    <w:rsid w:val="0047176C"/>
    <w:rsid w:val="00474CD7"/>
    <w:rsid w:val="004842F5"/>
    <w:rsid w:val="0049263D"/>
    <w:rsid w:val="0049449D"/>
    <w:rsid w:val="004A0346"/>
    <w:rsid w:val="004A0C0F"/>
    <w:rsid w:val="004A1844"/>
    <w:rsid w:val="004A79D2"/>
    <w:rsid w:val="004B3E24"/>
    <w:rsid w:val="004C5D27"/>
    <w:rsid w:val="004C6CF4"/>
    <w:rsid w:val="004D2ED5"/>
    <w:rsid w:val="004D5ED7"/>
    <w:rsid w:val="004E0E8C"/>
    <w:rsid w:val="00501F69"/>
    <w:rsid w:val="00505749"/>
    <w:rsid w:val="00506BE3"/>
    <w:rsid w:val="0051236D"/>
    <w:rsid w:val="005128DF"/>
    <w:rsid w:val="005330B1"/>
    <w:rsid w:val="00543016"/>
    <w:rsid w:val="00543C26"/>
    <w:rsid w:val="00546C5F"/>
    <w:rsid w:val="005639B2"/>
    <w:rsid w:val="005675F2"/>
    <w:rsid w:val="00573F95"/>
    <w:rsid w:val="005802AA"/>
    <w:rsid w:val="005803EC"/>
    <w:rsid w:val="00582B25"/>
    <w:rsid w:val="00584537"/>
    <w:rsid w:val="00594902"/>
    <w:rsid w:val="005A3E59"/>
    <w:rsid w:val="005A5842"/>
    <w:rsid w:val="005A7963"/>
    <w:rsid w:val="005B42AB"/>
    <w:rsid w:val="005C6047"/>
    <w:rsid w:val="005C70FC"/>
    <w:rsid w:val="005D5C58"/>
    <w:rsid w:val="005D687F"/>
    <w:rsid w:val="005E13D2"/>
    <w:rsid w:val="005E1CB9"/>
    <w:rsid w:val="005E4BCA"/>
    <w:rsid w:val="005F6591"/>
    <w:rsid w:val="006135B3"/>
    <w:rsid w:val="00615536"/>
    <w:rsid w:val="006350F9"/>
    <w:rsid w:val="0064552C"/>
    <w:rsid w:val="00651ED8"/>
    <w:rsid w:val="00672507"/>
    <w:rsid w:val="0068400E"/>
    <w:rsid w:val="00691A66"/>
    <w:rsid w:val="006A08D1"/>
    <w:rsid w:val="006B3273"/>
    <w:rsid w:val="006C013A"/>
    <w:rsid w:val="006C3B36"/>
    <w:rsid w:val="006C7CA1"/>
    <w:rsid w:val="006D5B06"/>
    <w:rsid w:val="006E00DC"/>
    <w:rsid w:val="006E3F05"/>
    <w:rsid w:val="006E411F"/>
    <w:rsid w:val="006F13A9"/>
    <w:rsid w:val="006F154A"/>
    <w:rsid w:val="006F7A03"/>
    <w:rsid w:val="00700AE1"/>
    <w:rsid w:val="007017FF"/>
    <w:rsid w:val="0070590F"/>
    <w:rsid w:val="00707721"/>
    <w:rsid w:val="00721EDA"/>
    <w:rsid w:val="00733BFE"/>
    <w:rsid w:val="007423FD"/>
    <w:rsid w:val="00747987"/>
    <w:rsid w:val="00762B8B"/>
    <w:rsid w:val="0077065C"/>
    <w:rsid w:val="00771D19"/>
    <w:rsid w:val="00772C9A"/>
    <w:rsid w:val="00775E41"/>
    <w:rsid w:val="00786654"/>
    <w:rsid w:val="00797F10"/>
    <w:rsid w:val="007A4877"/>
    <w:rsid w:val="007B294A"/>
    <w:rsid w:val="007B3019"/>
    <w:rsid w:val="007B41B5"/>
    <w:rsid w:val="007C29EE"/>
    <w:rsid w:val="007D2984"/>
    <w:rsid w:val="007D2F12"/>
    <w:rsid w:val="007E026B"/>
    <w:rsid w:val="007E130F"/>
    <w:rsid w:val="007E42BA"/>
    <w:rsid w:val="007F24D9"/>
    <w:rsid w:val="007F2F43"/>
    <w:rsid w:val="00807DA3"/>
    <w:rsid w:val="008264DF"/>
    <w:rsid w:val="00831A5E"/>
    <w:rsid w:val="00837CB0"/>
    <w:rsid w:val="00845B94"/>
    <w:rsid w:val="008467A0"/>
    <w:rsid w:val="008474B5"/>
    <w:rsid w:val="00855804"/>
    <w:rsid w:val="00855A9A"/>
    <w:rsid w:val="00863167"/>
    <w:rsid w:val="0086401D"/>
    <w:rsid w:val="0086544D"/>
    <w:rsid w:val="0087535B"/>
    <w:rsid w:val="00881022"/>
    <w:rsid w:val="00881C93"/>
    <w:rsid w:val="008A2B5E"/>
    <w:rsid w:val="008A3207"/>
    <w:rsid w:val="008A498A"/>
    <w:rsid w:val="008A60AF"/>
    <w:rsid w:val="008C03C5"/>
    <w:rsid w:val="008C6CE4"/>
    <w:rsid w:val="008E06A6"/>
    <w:rsid w:val="008E2201"/>
    <w:rsid w:val="008E2AA5"/>
    <w:rsid w:val="008E3BA3"/>
    <w:rsid w:val="008E7C73"/>
    <w:rsid w:val="008F1E4C"/>
    <w:rsid w:val="008F52E9"/>
    <w:rsid w:val="00921147"/>
    <w:rsid w:val="009261B4"/>
    <w:rsid w:val="00930BB9"/>
    <w:rsid w:val="00933B36"/>
    <w:rsid w:val="00940165"/>
    <w:rsid w:val="0094077A"/>
    <w:rsid w:val="00946FC7"/>
    <w:rsid w:val="009477D4"/>
    <w:rsid w:val="009623D5"/>
    <w:rsid w:val="00964998"/>
    <w:rsid w:val="00967295"/>
    <w:rsid w:val="0096760B"/>
    <w:rsid w:val="009729B0"/>
    <w:rsid w:val="00976CDA"/>
    <w:rsid w:val="00976EE0"/>
    <w:rsid w:val="00977771"/>
    <w:rsid w:val="00986310"/>
    <w:rsid w:val="00995559"/>
    <w:rsid w:val="009A0CD5"/>
    <w:rsid w:val="009B2B37"/>
    <w:rsid w:val="009B312F"/>
    <w:rsid w:val="009B7803"/>
    <w:rsid w:val="009C3FC0"/>
    <w:rsid w:val="009C7370"/>
    <w:rsid w:val="009D000B"/>
    <w:rsid w:val="009D5CDB"/>
    <w:rsid w:val="009E1E04"/>
    <w:rsid w:val="009E25E2"/>
    <w:rsid w:val="009E3D49"/>
    <w:rsid w:val="009E7491"/>
    <w:rsid w:val="009F451C"/>
    <w:rsid w:val="009F7803"/>
    <w:rsid w:val="009F7D93"/>
    <w:rsid w:val="00A00988"/>
    <w:rsid w:val="00A03903"/>
    <w:rsid w:val="00A03C06"/>
    <w:rsid w:val="00A1759F"/>
    <w:rsid w:val="00A25932"/>
    <w:rsid w:val="00A27E95"/>
    <w:rsid w:val="00A34513"/>
    <w:rsid w:val="00A34B41"/>
    <w:rsid w:val="00A41B63"/>
    <w:rsid w:val="00A4306E"/>
    <w:rsid w:val="00A43A76"/>
    <w:rsid w:val="00A43D1A"/>
    <w:rsid w:val="00A46904"/>
    <w:rsid w:val="00A50B8F"/>
    <w:rsid w:val="00A56E77"/>
    <w:rsid w:val="00A64226"/>
    <w:rsid w:val="00A660C9"/>
    <w:rsid w:val="00A66120"/>
    <w:rsid w:val="00A70D94"/>
    <w:rsid w:val="00A72A0E"/>
    <w:rsid w:val="00A76FC1"/>
    <w:rsid w:val="00A77320"/>
    <w:rsid w:val="00A86F4C"/>
    <w:rsid w:val="00AA2881"/>
    <w:rsid w:val="00AB07AF"/>
    <w:rsid w:val="00AB2353"/>
    <w:rsid w:val="00AB5EF9"/>
    <w:rsid w:val="00AC6BE7"/>
    <w:rsid w:val="00AD3902"/>
    <w:rsid w:val="00AD69DC"/>
    <w:rsid w:val="00AF49B4"/>
    <w:rsid w:val="00B070BC"/>
    <w:rsid w:val="00B078DA"/>
    <w:rsid w:val="00B1236A"/>
    <w:rsid w:val="00B14B91"/>
    <w:rsid w:val="00B15B0A"/>
    <w:rsid w:val="00B231CC"/>
    <w:rsid w:val="00B243F6"/>
    <w:rsid w:val="00B364B7"/>
    <w:rsid w:val="00B43C32"/>
    <w:rsid w:val="00B44D24"/>
    <w:rsid w:val="00B50642"/>
    <w:rsid w:val="00B53F4A"/>
    <w:rsid w:val="00B56A24"/>
    <w:rsid w:val="00B65D8F"/>
    <w:rsid w:val="00B7203A"/>
    <w:rsid w:val="00B76CCA"/>
    <w:rsid w:val="00B85620"/>
    <w:rsid w:val="00BA32A1"/>
    <w:rsid w:val="00BB06BA"/>
    <w:rsid w:val="00BB37A4"/>
    <w:rsid w:val="00BB52A2"/>
    <w:rsid w:val="00BB7E39"/>
    <w:rsid w:val="00BC24D4"/>
    <w:rsid w:val="00BC61B1"/>
    <w:rsid w:val="00BC6992"/>
    <w:rsid w:val="00BD04CB"/>
    <w:rsid w:val="00BD0DB7"/>
    <w:rsid w:val="00BD3AFE"/>
    <w:rsid w:val="00BD783E"/>
    <w:rsid w:val="00BE4F24"/>
    <w:rsid w:val="00BF0E2B"/>
    <w:rsid w:val="00BF254C"/>
    <w:rsid w:val="00BF4DF1"/>
    <w:rsid w:val="00BF7861"/>
    <w:rsid w:val="00C04D69"/>
    <w:rsid w:val="00C06CDA"/>
    <w:rsid w:val="00C0785E"/>
    <w:rsid w:val="00C07DA0"/>
    <w:rsid w:val="00C1118B"/>
    <w:rsid w:val="00C22EE1"/>
    <w:rsid w:val="00C34A4B"/>
    <w:rsid w:val="00C40B2F"/>
    <w:rsid w:val="00C42BF5"/>
    <w:rsid w:val="00C4693B"/>
    <w:rsid w:val="00C5286B"/>
    <w:rsid w:val="00C53EB3"/>
    <w:rsid w:val="00C657A4"/>
    <w:rsid w:val="00C6714D"/>
    <w:rsid w:val="00C937A5"/>
    <w:rsid w:val="00C9735B"/>
    <w:rsid w:val="00CA110B"/>
    <w:rsid w:val="00CA4D67"/>
    <w:rsid w:val="00CB350B"/>
    <w:rsid w:val="00CB51EA"/>
    <w:rsid w:val="00CC6EB3"/>
    <w:rsid w:val="00CC7727"/>
    <w:rsid w:val="00CD0403"/>
    <w:rsid w:val="00CD0759"/>
    <w:rsid w:val="00CD7D45"/>
    <w:rsid w:val="00CE2B1A"/>
    <w:rsid w:val="00CE565C"/>
    <w:rsid w:val="00CE7CD1"/>
    <w:rsid w:val="00CE7F41"/>
    <w:rsid w:val="00CF3BE0"/>
    <w:rsid w:val="00D21D53"/>
    <w:rsid w:val="00D224A9"/>
    <w:rsid w:val="00D3197D"/>
    <w:rsid w:val="00D36922"/>
    <w:rsid w:val="00D41EB1"/>
    <w:rsid w:val="00D4411C"/>
    <w:rsid w:val="00D456A4"/>
    <w:rsid w:val="00D45CB3"/>
    <w:rsid w:val="00D55A35"/>
    <w:rsid w:val="00D575CA"/>
    <w:rsid w:val="00D613E0"/>
    <w:rsid w:val="00D61C0D"/>
    <w:rsid w:val="00D61D3A"/>
    <w:rsid w:val="00D75BC9"/>
    <w:rsid w:val="00D8543F"/>
    <w:rsid w:val="00D91C64"/>
    <w:rsid w:val="00D91C83"/>
    <w:rsid w:val="00DA2C25"/>
    <w:rsid w:val="00DA32D7"/>
    <w:rsid w:val="00DA3667"/>
    <w:rsid w:val="00DA3873"/>
    <w:rsid w:val="00DB251E"/>
    <w:rsid w:val="00DB799C"/>
    <w:rsid w:val="00DC3287"/>
    <w:rsid w:val="00DD290E"/>
    <w:rsid w:val="00DD4D97"/>
    <w:rsid w:val="00DD7F28"/>
    <w:rsid w:val="00DE21D2"/>
    <w:rsid w:val="00DE5187"/>
    <w:rsid w:val="00DE5330"/>
    <w:rsid w:val="00DF2A06"/>
    <w:rsid w:val="00DF351C"/>
    <w:rsid w:val="00DF6CD1"/>
    <w:rsid w:val="00E00AA3"/>
    <w:rsid w:val="00E0342B"/>
    <w:rsid w:val="00E109E1"/>
    <w:rsid w:val="00E13E09"/>
    <w:rsid w:val="00E14C74"/>
    <w:rsid w:val="00E17296"/>
    <w:rsid w:val="00E17E16"/>
    <w:rsid w:val="00E20A43"/>
    <w:rsid w:val="00E20AAF"/>
    <w:rsid w:val="00E24024"/>
    <w:rsid w:val="00E24C31"/>
    <w:rsid w:val="00E42B11"/>
    <w:rsid w:val="00E624FD"/>
    <w:rsid w:val="00E63155"/>
    <w:rsid w:val="00E74445"/>
    <w:rsid w:val="00E81536"/>
    <w:rsid w:val="00E83860"/>
    <w:rsid w:val="00E84B93"/>
    <w:rsid w:val="00E91682"/>
    <w:rsid w:val="00E938E0"/>
    <w:rsid w:val="00E95F0E"/>
    <w:rsid w:val="00EA3823"/>
    <w:rsid w:val="00EA3E4F"/>
    <w:rsid w:val="00EA6C38"/>
    <w:rsid w:val="00EB4C20"/>
    <w:rsid w:val="00EC6645"/>
    <w:rsid w:val="00ED4630"/>
    <w:rsid w:val="00ED4B16"/>
    <w:rsid w:val="00ED4F05"/>
    <w:rsid w:val="00ED6D2A"/>
    <w:rsid w:val="00EE2148"/>
    <w:rsid w:val="00EF081F"/>
    <w:rsid w:val="00EF2713"/>
    <w:rsid w:val="00EF4A86"/>
    <w:rsid w:val="00F0417C"/>
    <w:rsid w:val="00F05E5D"/>
    <w:rsid w:val="00F062D8"/>
    <w:rsid w:val="00F108B1"/>
    <w:rsid w:val="00F11A75"/>
    <w:rsid w:val="00F16E31"/>
    <w:rsid w:val="00F16E54"/>
    <w:rsid w:val="00F17509"/>
    <w:rsid w:val="00F35995"/>
    <w:rsid w:val="00F37860"/>
    <w:rsid w:val="00F3795A"/>
    <w:rsid w:val="00F4332A"/>
    <w:rsid w:val="00F43345"/>
    <w:rsid w:val="00F43810"/>
    <w:rsid w:val="00F461FF"/>
    <w:rsid w:val="00F57A55"/>
    <w:rsid w:val="00F6146D"/>
    <w:rsid w:val="00F74550"/>
    <w:rsid w:val="00F745D9"/>
    <w:rsid w:val="00F75C6F"/>
    <w:rsid w:val="00F76D8C"/>
    <w:rsid w:val="00F84A3B"/>
    <w:rsid w:val="00F866B8"/>
    <w:rsid w:val="00F8773B"/>
    <w:rsid w:val="00F948EE"/>
    <w:rsid w:val="00F957F8"/>
    <w:rsid w:val="00FA49BE"/>
    <w:rsid w:val="00FB3148"/>
    <w:rsid w:val="00FB5531"/>
    <w:rsid w:val="00FC0D82"/>
    <w:rsid w:val="00FC2179"/>
    <w:rsid w:val="00FC5EE6"/>
    <w:rsid w:val="00FC6E2F"/>
    <w:rsid w:val="00FD3A70"/>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rPr>
  </w:style>
  <w:style w:type="character" w:styleId="a9">
    <w:name w:val="annotation reference"/>
    <w:basedOn w:val="a0"/>
    <w:uiPriority w:val="99"/>
    <w:semiHidden/>
    <w:unhideWhenUsed/>
    <w:rsid w:val="006B3273"/>
    <w:rPr>
      <w:sz w:val="16"/>
    </w:rPr>
  </w:style>
  <w:style w:type="paragraph" w:styleId="aa">
    <w:name w:val="annotation text"/>
    <w:basedOn w:val="a"/>
    <w:link w:val="ab"/>
    <w:uiPriority w:val="99"/>
    <w:semiHidden/>
    <w:unhideWhenUsed/>
    <w:rsid w:val="006B3273"/>
    <w:rPr>
      <w:sz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u w:color="000000"/>
      <w:bdr w:val="nil"/>
    </w:rPr>
  </w:style>
  <w:style w:type="paragraph" w:styleId="ac">
    <w:name w:val="annotation subject"/>
    <w:basedOn w:val="aa"/>
    <w:next w:val="aa"/>
    <w:link w:val="ad"/>
    <w:uiPriority w:val="99"/>
    <w:semiHidden/>
    <w:unhideWhenUsed/>
    <w:rsid w:val="006B3273"/>
    <w:rPr>
      <w:b/>
    </w:rPr>
  </w:style>
  <w:style w:type="character" w:customStyle="1" w:styleId="ad">
    <w:name w:val="Тема примечания Знак"/>
    <w:basedOn w:val="ab"/>
    <w:link w:val="ac"/>
    <w:uiPriority w:val="99"/>
    <w:semiHidden/>
    <w:rsid w:val="006B3273"/>
    <w:rPr>
      <w:rFonts w:ascii="Calibri" w:eastAsia="Calibri" w:hAnsi="Calibri" w:cs="Calibri"/>
      <w:b/>
      <w:color w:val="000000"/>
      <w:sz w:val="20"/>
      <w:u w:color="000000"/>
      <w:bdr w:val="nil"/>
    </w:rPr>
  </w:style>
  <w:style w:type="paragraph" w:styleId="ae">
    <w:name w:val="Revision"/>
    <w:hidden/>
    <w:uiPriority w:val="99"/>
    <w:semiHidden/>
    <w:rsid w:val="002D777B"/>
    <w:pPr>
      <w:spacing w:after="0" w:line="240" w:lineRule="auto"/>
    </w:pPr>
    <w:rPr>
      <w:rFonts w:ascii="Calibri" w:eastAsia="Calibri" w:hAnsi="Calibri" w:cs="Calibri"/>
      <w:color w:val="000000"/>
      <w:sz w:val="24"/>
      <w:u w:color="000000"/>
      <w:bdr w:val="nil"/>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Pr>
      <w:rFonts w:ascii="Times New Roman" w:hAnsi="Times New Roman"/>
      <w:color w:val="auto"/>
      <w:bdr w:val="none" w:sz="0" w:space="0" w:color="auto" w:frame="1"/>
    </w:rPr>
  </w:style>
  <w:style w:type="paragraph" w:customStyle="1" w:styleId="P68B1DB1-Normal22">
    <w:name w:val="P68B1DB1-Normal22"/>
    <w:basedOn w:val="a"/>
    <w:rsid w:val="00CC772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8157-5848-4690-BAB7-86EAE0A9E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7807</Characters>
  <Application>Microsoft Office Word</Application>
  <DocSecurity>4</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2023-08-30T11:53:00Z</dcterms:created>
  <dcterms:modified xsi:type="dcterms:W3CDTF">2023-08-30T11:53:00Z</dcterms:modified>
</cp:coreProperties>
</file>