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ED953" w14:textId="5044FEC1" w:rsidR="003C00E7" w:rsidRPr="001119A4" w:rsidRDefault="00233F80" w:rsidP="00233F80">
      <w:pPr>
        <w:snapToGrid w:val="0"/>
        <w:spacing w:after="0" w:line="240" w:lineRule="auto"/>
        <w:jc w:val="center"/>
        <w:rPr>
          <w:rFonts w:asciiTheme="minorHAnsi" w:hAnsiTheme="minorHAnsi" w:cstheme="minorHAnsi"/>
          <w:lang w:val="en-GB"/>
        </w:rPr>
      </w:pPr>
      <w:r>
        <w:rPr>
          <w:noProof/>
          <w:lang w:val="ru-RU" w:eastAsia="ru-RU"/>
        </w:rPr>
        <w:drawing>
          <wp:inline distT="0" distB="0" distL="0" distR="0" wp14:anchorId="01EE00CB" wp14:editId="22A11496">
            <wp:extent cx="1111250" cy="692150"/>
            <wp:effectExtent l="0" t="0" r="0" b="0"/>
            <wp:docPr id="2" name="Рисунок 2"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  Description automatically generated"/>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65B429A1" w14:textId="77777777" w:rsidR="003C00E7" w:rsidRPr="001119A4" w:rsidRDefault="003C00E7">
      <w:pPr>
        <w:spacing w:after="0" w:line="240" w:lineRule="auto"/>
        <w:rPr>
          <w:rFonts w:asciiTheme="minorHAnsi" w:hAnsiTheme="minorHAnsi" w:cstheme="minorHAnsi"/>
          <w:b/>
          <w:lang w:val="en-GB"/>
        </w:rPr>
      </w:pPr>
    </w:p>
    <w:p w14:paraId="4BADF595" w14:textId="77777777" w:rsidR="003C00E7" w:rsidRPr="001119A4" w:rsidRDefault="009D4742">
      <w:pPr>
        <w:pStyle w:val="P68B1DB1-Normal1"/>
        <w:spacing w:after="0" w:line="240" w:lineRule="auto"/>
        <w:jc w:val="center"/>
        <w:rPr>
          <w:lang w:val="en-GB"/>
        </w:rPr>
      </w:pPr>
      <w:proofErr w:type="spellStart"/>
      <w:r w:rsidRPr="001119A4">
        <w:rPr>
          <w:lang w:val="en-GB"/>
        </w:rPr>
        <w:t>PhosAgro</w:t>
      </w:r>
      <w:proofErr w:type="spellEnd"/>
      <w:r w:rsidRPr="001119A4">
        <w:rPr>
          <w:lang w:val="en-GB"/>
        </w:rPr>
        <w:t xml:space="preserve"> Reports Operating and Financial Results for FY 2023</w:t>
      </w:r>
    </w:p>
    <w:p w14:paraId="6BB324C6" w14:textId="77777777" w:rsidR="003C00E7" w:rsidRPr="001119A4" w:rsidRDefault="003C00E7">
      <w:pPr>
        <w:spacing w:after="0" w:line="240" w:lineRule="auto"/>
        <w:jc w:val="center"/>
        <w:rPr>
          <w:rFonts w:asciiTheme="minorHAnsi" w:hAnsiTheme="minorHAnsi" w:cstheme="minorHAnsi"/>
          <w:lang w:val="en-GB"/>
        </w:rPr>
      </w:pPr>
    </w:p>
    <w:p w14:paraId="5296C35A" w14:textId="55F2B7C2" w:rsidR="003C00E7" w:rsidRPr="007360F8" w:rsidRDefault="009D4742" w:rsidP="00CE0C7A">
      <w:pPr>
        <w:pStyle w:val="P68B1DB1-Normal2"/>
        <w:spacing w:line="240" w:lineRule="auto"/>
        <w:jc w:val="both"/>
        <w:rPr>
          <w:b/>
          <w:lang w:val="en-GB"/>
        </w:rPr>
      </w:pPr>
      <w:r w:rsidRPr="001119A4">
        <w:rPr>
          <w:b/>
          <w:lang w:val="en-GB"/>
        </w:rPr>
        <w:t>Moscow</w:t>
      </w:r>
      <w:r w:rsidR="007360F8" w:rsidRPr="007360F8">
        <w:rPr>
          <w:bCs/>
          <w:lang w:val="en-GB"/>
        </w:rPr>
        <w:t xml:space="preserve"> – </w:t>
      </w:r>
      <w:proofErr w:type="spellStart"/>
      <w:r w:rsidRPr="001119A4">
        <w:rPr>
          <w:lang w:val="en-GB"/>
        </w:rPr>
        <w:t>PhosAgro</w:t>
      </w:r>
      <w:proofErr w:type="spellEnd"/>
      <w:r w:rsidRPr="001119A4">
        <w:rPr>
          <w:lang w:val="en-GB"/>
        </w:rPr>
        <w:t xml:space="preserve"> (“</w:t>
      </w:r>
      <w:proofErr w:type="spellStart"/>
      <w:r w:rsidRPr="001119A4">
        <w:rPr>
          <w:lang w:val="en-GB"/>
        </w:rPr>
        <w:t>PhosAgro</w:t>
      </w:r>
      <w:proofErr w:type="spellEnd"/>
      <w:r w:rsidRPr="001119A4">
        <w:rPr>
          <w:lang w:val="en-GB"/>
        </w:rPr>
        <w:t xml:space="preserve">” or “the Company”) (Moscow Exchange, LSE: PHOR), one of the world’s leading vertically integrated phosphate-based fertilizer producers, today announces its consolidated financial results for the 12 months (FY) ended 31 December 2023. </w:t>
      </w:r>
    </w:p>
    <w:p w14:paraId="7CD14476" w14:textId="77777777" w:rsidR="003C00E7" w:rsidRPr="001119A4" w:rsidRDefault="009D4742" w:rsidP="00CE0C7A">
      <w:pPr>
        <w:pStyle w:val="P68B1DB1-13"/>
        <w:spacing w:after="120" w:line="240" w:lineRule="auto"/>
        <w:jc w:val="both"/>
        <w:rPr>
          <w:lang w:val="en-GB"/>
        </w:rPr>
      </w:pPr>
      <w:r w:rsidRPr="001119A4">
        <w:rPr>
          <w:lang w:val="en-GB"/>
        </w:rPr>
        <w:t>FY 2023 highlights</w:t>
      </w:r>
    </w:p>
    <w:p w14:paraId="033C4ADF" w14:textId="77777777" w:rsidR="003C00E7" w:rsidRPr="001119A4" w:rsidRDefault="009D4742" w:rsidP="00CE0C7A">
      <w:pPr>
        <w:spacing w:line="240" w:lineRule="auto"/>
        <w:jc w:val="both"/>
        <w:rPr>
          <w:rFonts w:asciiTheme="minorHAnsi" w:hAnsiTheme="minorHAnsi" w:cstheme="minorHAnsi"/>
          <w:color w:val="FF0000"/>
          <w:lang w:val="en-GB"/>
        </w:rPr>
      </w:pPr>
      <w:r w:rsidRPr="001119A4">
        <w:rPr>
          <w:lang w:val="en-GB"/>
        </w:rPr>
        <w:t>In FY 2023, production of mineral fertilizers and feed phosphates increased by 2.1% year-on-year to 11 million tonnes, while the production of other agrochemicals amounted to about 0.3 million tonnes.</w:t>
      </w:r>
      <w:r w:rsidRPr="001119A4">
        <w:rPr>
          <w:rFonts w:asciiTheme="minorHAnsi" w:hAnsiTheme="minorHAnsi" w:cstheme="minorHAnsi"/>
          <w:color w:val="FF0000"/>
          <w:lang w:val="en-GB"/>
        </w:rPr>
        <w:t xml:space="preserve"> </w:t>
      </w:r>
      <w:r w:rsidRPr="001119A4">
        <w:rPr>
          <w:lang w:val="en-GB"/>
        </w:rPr>
        <w:t xml:space="preserve"> </w:t>
      </w:r>
    </w:p>
    <w:p w14:paraId="3B1104FC" w14:textId="77777777" w:rsidR="003C00E7" w:rsidRPr="001119A4" w:rsidRDefault="009D4742" w:rsidP="00CE0C7A">
      <w:pPr>
        <w:spacing w:line="240" w:lineRule="auto"/>
        <w:jc w:val="both"/>
        <w:rPr>
          <w:rFonts w:asciiTheme="minorHAnsi" w:hAnsiTheme="minorHAnsi" w:cstheme="minorHAnsi"/>
          <w:color w:val="FF0000"/>
          <w:lang w:val="en-GB"/>
        </w:rPr>
      </w:pPr>
      <w:r w:rsidRPr="001119A4">
        <w:rPr>
          <w:rFonts w:asciiTheme="minorHAnsi" w:hAnsiTheme="minorHAnsi" w:cstheme="minorHAnsi"/>
          <w:lang w:val="en-GB"/>
        </w:rPr>
        <w:t>This growth was driven by an 8.4% increase in</w:t>
      </w:r>
      <w:r w:rsidRPr="001119A4">
        <w:rPr>
          <w:lang w:val="en-GB"/>
        </w:rPr>
        <w:t xml:space="preserve"> DAP/MAP production to more than 4.5 million tonnes, a 4.4% increase in ammonium nitrate production to 723 thousand tonnes and a 1.6% increase in urea production to 1.7 million tonnes.</w:t>
      </w:r>
      <w:r w:rsidRPr="001119A4">
        <w:rPr>
          <w:rFonts w:asciiTheme="minorHAnsi" w:hAnsiTheme="minorHAnsi" w:cstheme="minorHAnsi"/>
          <w:color w:val="FF0000"/>
          <w:lang w:val="en-GB"/>
        </w:rPr>
        <w:t xml:space="preserve"> </w:t>
      </w:r>
      <w:r w:rsidRPr="001119A4">
        <w:rPr>
          <w:lang w:val="en-GB"/>
        </w:rPr>
        <w:t xml:space="preserve"> </w:t>
      </w:r>
    </w:p>
    <w:p w14:paraId="16F90554" w14:textId="4C267FD7" w:rsidR="003C00E7" w:rsidRPr="001119A4" w:rsidRDefault="009D4742" w:rsidP="00CE0C7A">
      <w:pPr>
        <w:pStyle w:val="P68B1DB1-Normal2"/>
        <w:spacing w:line="240" w:lineRule="auto"/>
        <w:jc w:val="both"/>
        <w:rPr>
          <w:lang w:val="en-GB"/>
        </w:rPr>
      </w:pPr>
      <w:r w:rsidRPr="001119A4">
        <w:rPr>
          <w:lang w:val="en-GB"/>
        </w:rPr>
        <w:t xml:space="preserve">Total fertilizer sales in FY 2023 </w:t>
      </w:r>
      <w:r w:rsidR="00AB30B7" w:rsidRPr="001119A4">
        <w:rPr>
          <w:lang w:val="en-GB"/>
        </w:rPr>
        <w:t>rose</w:t>
      </w:r>
      <w:r w:rsidRPr="001119A4">
        <w:rPr>
          <w:lang w:val="en-GB"/>
        </w:rPr>
        <w:t xml:space="preserve"> 2.0% year-on-year to around 11.4 million tonnes. </w:t>
      </w:r>
    </w:p>
    <w:p w14:paraId="6A4E2075" w14:textId="6BF25CF3" w:rsidR="003C00E7" w:rsidRPr="001119A4" w:rsidRDefault="009D4742" w:rsidP="00CE0C7A">
      <w:pPr>
        <w:pStyle w:val="P68B1DB1-Normal2"/>
        <w:spacing w:line="240" w:lineRule="auto"/>
        <w:jc w:val="both"/>
        <w:rPr>
          <w:lang w:val="en-GB"/>
        </w:rPr>
      </w:pPr>
      <w:r w:rsidRPr="001119A4">
        <w:rPr>
          <w:lang w:val="en-GB"/>
        </w:rPr>
        <w:t>Among the factors driving increased sales were the Company</w:t>
      </w:r>
      <w:r w:rsidR="00AB30B7" w:rsidRPr="001119A4">
        <w:rPr>
          <w:lang w:val="en-GB"/>
        </w:rPr>
        <w:t>’</w:t>
      </w:r>
      <w:r w:rsidRPr="001119A4">
        <w:rPr>
          <w:lang w:val="en-GB"/>
        </w:rPr>
        <w:t xml:space="preserve">s flexible sales policy and the affordability of fertilizers, which boosted sales considerably not only in the priority domestic market but also in key export markets. Relatively low inventories were also </w:t>
      </w:r>
      <w:r w:rsidR="00AB30B7" w:rsidRPr="001119A4">
        <w:rPr>
          <w:lang w:val="en-GB"/>
        </w:rPr>
        <w:t>noted</w:t>
      </w:r>
      <w:r w:rsidRPr="001119A4">
        <w:rPr>
          <w:lang w:val="en-GB"/>
        </w:rPr>
        <w:t xml:space="preserve"> in key markets. </w:t>
      </w:r>
    </w:p>
    <w:p w14:paraId="52402A81" w14:textId="1B7C74E5" w:rsidR="003C00E7" w:rsidRPr="001119A4" w:rsidRDefault="009D4742" w:rsidP="00CE0C7A">
      <w:pPr>
        <w:pStyle w:val="P68B1DB1-Normal2"/>
        <w:spacing w:line="240" w:lineRule="auto"/>
        <w:jc w:val="both"/>
        <w:rPr>
          <w:lang w:val="en-GB"/>
        </w:rPr>
      </w:pPr>
      <w:r w:rsidRPr="001119A4">
        <w:rPr>
          <w:lang w:val="en-GB"/>
        </w:rPr>
        <w:t>Revenue for FY 2023 amounted to RUB 440.3 billion (USD 5.</w:t>
      </w:r>
      <w:r w:rsidRPr="009D4742">
        <w:rPr>
          <w:lang w:val="en-US"/>
        </w:rPr>
        <w:t>23</w:t>
      </w:r>
      <w:r w:rsidRPr="001119A4">
        <w:rPr>
          <w:lang w:val="en-GB"/>
        </w:rPr>
        <w:t xml:space="preserve"> billion), down 22.7% year-on-year amid a correction in fertilizer prices in global markets in 2023, following record</w:t>
      </w:r>
      <w:r w:rsidR="00AB30B7" w:rsidRPr="001119A4">
        <w:rPr>
          <w:lang w:val="en-GB"/>
        </w:rPr>
        <w:t xml:space="preserve"> </w:t>
      </w:r>
      <w:r w:rsidRPr="001119A4">
        <w:rPr>
          <w:lang w:val="en-GB"/>
        </w:rPr>
        <w:t>high</w:t>
      </w:r>
      <w:r w:rsidR="00AB30B7" w:rsidRPr="001119A4">
        <w:rPr>
          <w:lang w:val="en-GB"/>
        </w:rPr>
        <w:t>s</w:t>
      </w:r>
      <w:r w:rsidRPr="001119A4">
        <w:rPr>
          <w:lang w:val="en-GB"/>
        </w:rPr>
        <w:t xml:space="preserve"> in 2022. </w:t>
      </w:r>
    </w:p>
    <w:p w14:paraId="02AB7653" w14:textId="78FFD059" w:rsidR="003C00E7" w:rsidRPr="001119A4" w:rsidRDefault="009D4742" w:rsidP="00CE0C7A">
      <w:pPr>
        <w:pStyle w:val="P68B1DB1-Normal2"/>
        <w:spacing w:line="240" w:lineRule="auto"/>
        <w:jc w:val="both"/>
        <w:rPr>
          <w:lang w:val="en-GB"/>
        </w:rPr>
      </w:pPr>
      <w:r w:rsidRPr="001119A4">
        <w:rPr>
          <w:lang w:val="en-GB"/>
        </w:rPr>
        <w:t>The Company</w:t>
      </w:r>
      <w:r w:rsidR="00AB30B7" w:rsidRPr="001119A4">
        <w:rPr>
          <w:lang w:val="en-GB"/>
        </w:rPr>
        <w:t>’</w:t>
      </w:r>
      <w:r w:rsidRPr="001119A4">
        <w:rPr>
          <w:lang w:val="en-GB"/>
        </w:rPr>
        <w:t>s EBITDA was RUB 183.0 billion (USD 2.1</w:t>
      </w:r>
      <w:r w:rsidRPr="009D4742">
        <w:rPr>
          <w:lang w:val="en-US"/>
        </w:rPr>
        <w:t>9</w:t>
      </w:r>
      <w:r w:rsidRPr="001119A4">
        <w:rPr>
          <w:lang w:val="en-GB"/>
        </w:rPr>
        <w:t xml:space="preserve"> billion) in FY 2023, down 29% year-on-year. The high EBITDA margin of 41.6% was driven by effective cost management and increased sales of high-margin products.</w:t>
      </w:r>
    </w:p>
    <w:p w14:paraId="06E7115E" w14:textId="39A81744" w:rsidR="003C00E7" w:rsidRPr="001119A4" w:rsidRDefault="009D4742" w:rsidP="00CE0C7A">
      <w:pPr>
        <w:pStyle w:val="P68B1DB1-Normal2"/>
        <w:spacing w:line="240" w:lineRule="auto"/>
        <w:jc w:val="both"/>
        <w:rPr>
          <w:lang w:val="en-GB"/>
        </w:rPr>
      </w:pPr>
      <w:r w:rsidRPr="001119A4">
        <w:rPr>
          <w:lang w:val="en-GB"/>
        </w:rPr>
        <w:t>In FY 2023, the Company</w:t>
      </w:r>
      <w:r w:rsidR="00DC3DA6" w:rsidRPr="001119A4">
        <w:rPr>
          <w:lang w:val="en-GB"/>
        </w:rPr>
        <w:t>’</w:t>
      </w:r>
      <w:r w:rsidRPr="001119A4">
        <w:rPr>
          <w:lang w:val="en-GB"/>
        </w:rPr>
        <w:t>s free cash flow amounted to RUB 70.2 billion (USD 0.</w:t>
      </w:r>
      <w:r w:rsidRPr="009D4742">
        <w:rPr>
          <w:lang w:val="en-US"/>
        </w:rPr>
        <w:t>91</w:t>
      </w:r>
      <w:r w:rsidRPr="001119A4">
        <w:rPr>
          <w:lang w:val="en-GB"/>
        </w:rPr>
        <w:t xml:space="preserve"> billion). The decrease in free cash flow from the previous year was due to the record-high figure for FY 2022 and a change in the regional sales mix. Nevertheless, FY 2023 was one of the </w:t>
      </w:r>
      <w:r w:rsidR="00DC3DA6" w:rsidRPr="001119A4">
        <w:rPr>
          <w:lang w:val="en-GB"/>
        </w:rPr>
        <w:t xml:space="preserve">Company’s </w:t>
      </w:r>
      <w:r w:rsidRPr="001119A4">
        <w:rPr>
          <w:lang w:val="en-GB"/>
        </w:rPr>
        <w:t xml:space="preserve">best years for </w:t>
      </w:r>
      <w:r w:rsidR="00DC3DA6" w:rsidRPr="001119A4">
        <w:rPr>
          <w:lang w:val="en-GB"/>
        </w:rPr>
        <w:t xml:space="preserve">free cash flow </w:t>
      </w:r>
      <w:r w:rsidRPr="001119A4">
        <w:rPr>
          <w:lang w:val="en-GB"/>
        </w:rPr>
        <w:t xml:space="preserve">in the last decade. </w:t>
      </w:r>
    </w:p>
    <w:p w14:paraId="6991F400" w14:textId="2EE44576" w:rsidR="003C00E7" w:rsidRPr="001119A4" w:rsidRDefault="009D4742" w:rsidP="00CE0C7A">
      <w:pPr>
        <w:pStyle w:val="P68B1DB1-Normal2"/>
        <w:spacing w:line="240" w:lineRule="auto"/>
        <w:jc w:val="both"/>
        <w:rPr>
          <w:lang w:val="en-GB"/>
        </w:rPr>
      </w:pPr>
      <w:r w:rsidRPr="001119A4">
        <w:rPr>
          <w:lang w:val="en-GB"/>
        </w:rPr>
        <w:t xml:space="preserve">Net debt as of 31 December 2023 amounted to RUB 223.2 billion (USD 2.49 billion), and the net debt/EBITDA ratio at the end of the year was a comfortable 1.2x. </w:t>
      </w:r>
    </w:p>
    <w:p w14:paraId="1F4AA552" w14:textId="77777777" w:rsidR="003C00E7" w:rsidRPr="001119A4" w:rsidRDefault="009D4742">
      <w:pPr>
        <w:pStyle w:val="P68B1DB1-Normal1"/>
        <w:spacing w:line="240" w:lineRule="auto"/>
        <w:outlineLvl w:val="0"/>
        <w:rPr>
          <w:lang w:val="en-GB"/>
        </w:rPr>
      </w:pPr>
      <w:r w:rsidRPr="001119A4">
        <w:rPr>
          <w:lang w:val="en-GB"/>
        </w:rPr>
        <w:t>Financial and operating highlights:</w:t>
      </w:r>
    </w:p>
    <w:tbl>
      <w:tblPr>
        <w:tblW w:w="9214" w:type="dxa"/>
        <w:tblLayout w:type="fixed"/>
        <w:tblLook w:val="04A0" w:firstRow="1" w:lastRow="0" w:firstColumn="1" w:lastColumn="0" w:noHBand="0" w:noVBand="1"/>
      </w:tblPr>
      <w:tblGrid>
        <w:gridCol w:w="3231"/>
        <w:gridCol w:w="2156"/>
        <w:gridCol w:w="1843"/>
        <w:gridCol w:w="1984"/>
      </w:tblGrid>
      <w:tr w:rsidR="003C00E7" w:rsidRPr="001119A4" w14:paraId="71CC30DF" w14:textId="77777777">
        <w:trPr>
          <w:trHeight w:val="330"/>
        </w:trPr>
        <w:tc>
          <w:tcPr>
            <w:tcW w:w="9214" w:type="dxa"/>
            <w:gridSpan w:val="4"/>
            <w:tcBorders>
              <w:top w:val="nil"/>
              <w:left w:val="nil"/>
              <w:bottom w:val="single" w:sz="8" w:space="0" w:color="auto"/>
              <w:right w:val="nil"/>
            </w:tcBorders>
            <w:shd w:val="clear" w:color="000000" w:fill="2B87A2"/>
            <w:vAlign w:val="center"/>
            <w:hideMark/>
          </w:tcPr>
          <w:p w14:paraId="0DB4F29D" w14:textId="77777777" w:rsidR="003C00E7" w:rsidRPr="001119A4" w:rsidRDefault="009D4742">
            <w:pPr>
              <w:pStyle w:val="P68B1DB1-Normal4"/>
              <w:spacing w:after="0" w:line="240" w:lineRule="auto"/>
              <w:jc w:val="center"/>
              <w:rPr>
                <w:rFonts w:cs="Calibri"/>
                <w:lang w:val="en-GB"/>
              </w:rPr>
            </w:pPr>
            <w:r w:rsidRPr="001119A4">
              <w:rPr>
                <w:lang w:val="en-GB"/>
              </w:rPr>
              <w:t>Financial highlights</w:t>
            </w:r>
          </w:p>
        </w:tc>
      </w:tr>
      <w:tr w:rsidR="003C00E7" w:rsidRPr="001119A4" w14:paraId="6369660C" w14:textId="77777777">
        <w:trPr>
          <w:trHeight w:val="480"/>
        </w:trPr>
        <w:tc>
          <w:tcPr>
            <w:tcW w:w="3231" w:type="dxa"/>
            <w:tcBorders>
              <w:top w:val="nil"/>
              <w:left w:val="nil"/>
              <w:bottom w:val="nil"/>
              <w:right w:val="nil"/>
            </w:tcBorders>
            <w:shd w:val="clear" w:color="auto" w:fill="auto"/>
            <w:vAlign w:val="center"/>
            <w:hideMark/>
          </w:tcPr>
          <w:p w14:paraId="417BD1EC" w14:textId="77777777" w:rsidR="003C00E7" w:rsidRPr="001119A4" w:rsidRDefault="009D4742">
            <w:pPr>
              <w:pStyle w:val="P68B1DB1-Normal5"/>
              <w:spacing w:after="0" w:line="240" w:lineRule="auto"/>
              <w:rPr>
                <w:lang w:val="en-GB"/>
              </w:rPr>
            </w:pPr>
            <w:r w:rsidRPr="001119A4">
              <w:rPr>
                <w:lang w:val="en-GB"/>
              </w:rPr>
              <w:t xml:space="preserve">RUB </w:t>
            </w:r>
            <w:proofErr w:type="spellStart"/>
            <w:r w:rsidRPr="001119A4">
              <w:rPr>
                <w:lang w:val="en-GB"/>
              </w:rPr>
              <w:t>mln</w:t>
            </w:r>
            <w:proofErr w:type="spellEnd"/>
          </w:p>
        </w:tc>
        <w:tc>
          <w:tcPr>
            <w:tcW w:w="2156" w:type="dxa"/>
            <w:tcBorders>
              <w:top w:val="nil"/>
              <w:left w:val="nil"/>
              <w:bottom w:val="nil"/>
              <w:right w:val="nil"/>
            </w:tcBorders>
            <w:shd w:val="clear" w:color="auto" w:fill="auto"/>
            <w:vAlign w:val="center"/>
            <w:hideMark/>
          </w:tcPr>
          <w:p w14:paraId="46312EC3" w14:textId="77777777" w:rsidR="003C00E7" w:rsidRPr="001119A4" w:rsidRDefault="009D4742">
            <w:pPr>
              <w:pStyle w:val="P68B1DB1-Normal6"/>
              <w:spacing w:after="0" w:line="240" w:lineRule="auto"/>
              <w:jc w:val="center"/>
              <w:rPr>
                <w:lang w:val="en-GB"/>
              </w:rPr>
            </w:pPr>
            <w:r w:rsidRPr="001119A4">
              <w:rPr>
                <w:lang w:val="en-GB"/>
              </w:rPr>
              <w:t>FY 2023</w:t>
            </w:r>
          </w:p>
        </w:tc>
        <w:tc>
          <w:tcPr>
            <w:tcW w:w="1843" w:type="dxa"/>
            <w:tcBorders>
              <w:top w:val="nil"/>
              <w:left w:val="nil"/>
              <w:bottom w:val="nil"/>
              <w:right w:val="nil"/>
            </w:tcBorders>
            <w:shd w:val="clear" w:color="auto" w:fill="auto"/>
            <w:vAlign w:val="center"/>
            <w:hideMark/>
          </w:tcPr>
          <w:p w14:paraId="67DBDB7C" w14:textId="77777777" w:rsidR="003C00E7" w:rsidRPr="001119A4" w:rsidRDefault="009D4742">
            <w:pPr>
              <w:pStyle w:val="P68B1DB1-Normal6"/>
              <w:spacing w:after="0" w:line="240" w:lineRule="auto"/>
              <w:jc w:val="center"/>
              <w:rPr>
                <w:lang w:val="en-GB"/>
              </w:rPr>
            </w:pPr>
            <w:r w:rsidRPr="001119A4">
              <w:rPr>
                <w:lang w:val="en-GB"/>
              </w:rPr>
              <w:t>FY 2022</w:t>
            </w:r>
          </w:p>
        </w:tc>
        <w:tc>
          <w:tcPr>
            <w:tcW w:w="1984" w:type="dxa"/>
            <w:tcBorders>
              <w:top w:val="nil"/>
              <w:left w:val="nil"/>
              <w:bottom w:val="nil"/>
              <w:right w:val="nil"/>
            </w:tcBorders>
            <w:shd w:val="clear" w:color="000000" w:fill="E3F1F7"/>
            <w:vAlign w:val="center"/>
            <w:hideMark/>
          </w:tcPr>
          <w:p w14:paraId="78800C6B" w14:textId="5F24058E" w:rsidR="003C00E7" w:rsidRPr="001119A4" w:rsidRDefault="009D4742">
            <w:pPr>
              <w:pStyle w:val="P68B1DB1-Normal7"/>
              <w:spacing w:after="0" w:line="240" w:lineRule="auto"/>
              <w:jc w:val="center"/>
              <w:rPr>
                <w:rFonts w:cs="Calibri"/>
                <w:lang w:val="en-GB"/>
              </w:rPr>
            </w:pPr>
            <w:r w:rsidRPr="001119A4">
              <w:rPr>
                <w:lang w:val="en-GB"/>
              </w:rPr>
              <w:t>Change</w:t>
            </w:r>
            <w:r w:rsidR="00D4485E" w:rsidRPr="001119A4">
              <w:rPr>
                <w:lang w:val="en-GB"/>
              </w:rPr>
              <w:t>,</w:t>
            </w:r>
            <w:r w:rsidRPr="001119A4">
              <w:rPr>
                <w:lang w:val="en-GB"/>
              </w:rPr>
              <w:t xml:space="preserve"> %</w:t>
            </w:r>
          </w:p>
        </w:tc>
      </w:tr>
      <w:tr w:rsidR="003C00E7" w:rsidRPr="001119A4" w14:paraId="7F43E160" w14:textId="77777777">
        <w:trPr>
          <w:trHeight w:val="300"/>
        </w:trPr>
        <w:tc>
          <w:tcPr>
            <w:tcW w:w="3231" w:type="dxa"/>
            <w:tcBorders>
              <w:top w:val="nil"/>
              <w:left w:val="nil"/>
              <w:bottom w:val="nil"/>
              <w:right w:val="nil"/>
            </w:tcBorders>
            <w:shd w:val="clear" w:color="auto" w:fill="auto"/>
            <w:vAlign w:val="center"/>
            <w:hideMark/>
          </w:tcPr>
          <w:p w14:paraId="5D7CB9E4" w14:textId="77777777" w:rsidR="003C00E7" w:rsidRPr="001119A4" w:rsidRDefault="009D4742">
            <w:pPr>
              <w:pStyle w:val="P68B1DB1-Normal8"/>
              <w:spacing w:after="0" w:line="240" w:lineRule="auto"/>
              <w:rPr>
                <w:lang w:val="en-GB"/>
              </w:rPr>
            </w:pPr>
            <w:r w:rsidRPr="001119A4">
              <w:rPr>
                <w:lang w:val="en-GB"/>
              </w:rPr>
              <w:t>Revenue</w:t>
            </w:r>
          </w:p>
        </w:tc>
        <w:tc>
          <w:tcPr>
            <w:tcW w:w="2156" w:type="dxa"/>
            <w:tcBorders>
              <w:top w:val="nil"/>
              <w:left w:val="nil"/>
              <w:bottom w:val="nil"/>
              <w:right w:val="nil"/>
            </w:tcBorders>
            <w:shd w:val="clear" w:color="auto" w:fill="auto"/>
            <w:vAlign w:val="center"/>
            <w:hideMark/>
          </w:tcPr>
          <w:p w14:paraId="14F45060" w14:textId="77777777" w:rsidR="003C00E7" w:rsidRPr="001119A4" w:rsidRDefault="009D4742">
            <w:pPr>
              <w:pStyle w:val="P68B1DB1-Normal9"/>
              <w:spacing w:after="0" w:line="240" w:lineRule="auto"/>
              <w:jc w:val="center"/>
              <w:rPr>
                <w:lang w:val="en-GB"/>
              </w:rPr>
            </w:pPr>
            <w:r w:rsidRPr="001119A4">
              <w:rPr>
                <w:lang w:val="en-GB"/>
              </w:rPr>
              <w:t>440,304</w:t>
            </w:r>
          </w:p>
        </w:tc>
        <w:tc>
          <w:tcPr>
            <w:tcW w:w="1843" w:type="dxa"/>
            <w:tcBorders>
              <w:top w:val="nil"/>
              <w:left w:val="nil"/>
              <w:bottom w:val="nil"/>
              <w:right w:val="nil"/>
            </w:tcBorders>
            <w:shd w:val="clear" w:color="auto" w:fill="auto"/>
            <w:vAlign w:val="center"/>
            <w:hideMark/>
          </w:tcPr>
          <w:p w14:paraId="7BBC1F9B" w14:textId="77777777" w:rsidR="003C00E7" w:rsidRPr="001119A4" w:rsidRDefault="009D4742">
            <w:pPr>
              <w:pStyle w:val="P68B1DB1-Normal9"/>
              <w:spacing w:after="0" w:line="240" w:lineRule="auto"/>
              <w:jc w:val="center"/>
              <w:rPr>
                <w:lang w:val="en-GB"/>
              </w:rPr>
            </w:pPr>
            <w:r w:rsidRPr="001119A4">
              <w:rPr>
                <w:lang w:val="en-GB"/>
              </w:rPr>
              <w:t>569,527</w:t>
            </w:r>
          </w:p>
        </w:tc>
        <w:tc>
          <w:tcPr>
            <w:tcW w:w="1984" w:type="dxa"/>
            <w:tcBorders>
              <w:top w:val="nil"/>
              <w:left w:val="nil"/>
              <w:bottom w:val="nil"/>
              <w:right w:val="nil"/>
            </w:tcBorders>
            <w:shd w:val="clear" w:color="000000" w:fill="E3F1F7"/>
            <w:vAlign w:val="center"/>
            <w:hideMark/>
          </w:tcPr>
          <w:p w14:paraId="7B156801" w14:textId="77777777" w:rsidR="003C00E7" w:rsidRPr="001119A4" w:rsidRDefault="009D4742">
            <w:pPr>
              <w:pStyle w:val="P68B1DB1-Normal10"/>
              <w:spacing w:after="0" w:line="240" w:lineRule="auto"/>
              <w:jc w:val="center"/>
              <w:rPr>
                <w:lang w:val="en-GB"/>
              </w:rPr>
            </w:pPr>
            <w:r w:rsidRPr="001119A4">
              <w:rPr>
                <w:lang w:val="en-GB"/>
              </w:rPr>
              <w:t>-22.7%</w:t>
            </w:r>
          </w:p>
        </w:tc>
      </w:tr>
      <w:tr w:rsidR="003C00E7" w:rsidRPr="001119A4" w14:paraId="4D9F755B" w14:textId="77777777">
        <w:trPr>
          <w:trHeight w:val="300"/>
        </w:trPr>
        <w:tc>
          <w:tcPr>
            <w:tcW w:w="3231" w:type="dxa"/>
            <w:tcBorders>
              <w:top w:val="nil"/>
              <w:left w:val="nil"/>
              <w:bottom w:val="nil"/>
              <w:right w:val="nil"/>
            </w:tcBorders>
            <w:shd w:val="clear" w:color="auto" w:fill="auto"/>
            <w:vAlign w:val="center"/>
            <w:hideMark/>
          </w:tcPr>
          <w:p w14:paraId="6A2A192F" w14:textId="77777777" w:rsidR="003C00E7" w:rsidRPr="001119A4" w:rsidRDefault="009D4742">
            <w:pPr>
              <w:pStyle w:val="P68B1DB1-Normal8"/>
              <w:spacing w:after="0" w:line="240" w:lineRule="auto"/>
              <w:rPr>
                <w:lang w:val="en-GB"/>
              </w:rPr>
            </w:pPr>
            <w:r w:rsidRPr="001119A4">
              <w:rPr>
                <w:lang w:val="en-GB"/>
              </w:rPr>
              <w:t>EBITDA*</w:t>
            </w:r>
          </w:p>
        </w:tc>
        <w:tc>
          <w:tcPr>
            <w:tcW w:w="2156" w:type="dxa"/>
            <w:tcBorders>
              <w:top w:val="nil"/>
              <w:left w:val="nil"/>
              <w:bottom w:val="nil"/>
              <w:right w:val="nil"/>
            </w:tcBorders>
            <w:shd w:val="clear" w:color="auto" w:fill="auto"/>
            <w:vAlign w:val="center"/>
            <w:hideMark/>
          </w:tcPr>
          <w:p w14:paraId="6C14FCE8" w14:textId="77777777" w:rsidR="003C00E7" w:rsidRPr="001119A4" w:rsidRDefault="009D4742">
            <w:pPr>
              <w:pStyle w:val="P68B1DB1-Normal9"/>
              <w:spacing w:after="0" w:line="240" w:lineRule="auto"/>
              <w:jc w:val="center"/>
              <w:rPr>
                <w:lang w:val="en-GB"/>
              </w:rPr>
            </w:pPr>
            <w:r w:rsidRPr="001119A4">
              <w:rPr>
                <w:lang w:val="en-GB"/>
              </w:rPr>
              <w:t>183,038</w:t>
            </w:r>
          </w:p>
        </w:tc>
        <w:tc>
          <w:tcPr>
            <w:tcW w:w="1843" w:type="dxa"/>
            <w:tcBorders>
              <w:top w:val="nil"/>
              <w:left w:val="nil"/>
              <w:bottom w:val="nil"/>
              <w:right w:val="nil"/>
            </w:tcBorders>
            <w:shd w:val="clear" w:color="auto" w:fill="auto"/>
            <w:vAlign w:val="center"/>
            <w:hideMark/>
          </w:tcPr>
          <w:p w14:paraId="7C375281" w14:textId="77777777" w:rsidR="003C00E7" w:rsidRPr="001119A4" w:rsidRDefault="009D4742">
            <w:pPr>
              <w:pStyle w:val="P68B1DB1-Normal9"/>
              <w:spacing w:after="0" w:line="240" w:lineRule="auto"/>
              <w:jc w:val="center"/>
              <w:rPr>
                <w:lang w:val="en-GB"/>
              </w:rPr>
            </w:pPr>
            <w:r w:rsidRPr="001119A4">
              <w:rPr>
                <w:lang w:val="en-GB"/>
              </w:rPr>
              <w:t>257,879</w:t>
            </w:r>
          </w:p>
        </w:tc>
        <w:tc>
          <w:tcPr>
            <w:tcW w:w="1984" w:type="dxa"/>
            <w:tcBorders>
              <w:top w:val="nil"/>
              <w:left w:val="nil"/>
              <w:bottom w:val="nil"/>
              <w:right w:val="nil"/>
            </w:tcBorders>
            <w:shd w:val="clear" w:color="000000" w:fill="E3F1F7"/>
            <w:vAlign w:val="center"/>
            <w:hideMark/>
          </w:tcPr>
          <w:p w14:paraId="71651339" w14:textId="77777777" w:rsidR="003C00E7" w:rsidRPr="001119A4" w:rsidRDefault="009D4742">
            <w:pPr>
              <w:pStyle w:val="P68B1DB1-Normal10"/>
              <w:spacing w:after="0" w:line="240" w:lineRule="auto"/>
              <w:jc w:val="center"/>
              <w:rPr>
                <w:lang w:val="en-GB"/>
              </w:rPr>
            </w:pPr>
            <w:r w:rsidRPr="001119A4">
              <w:rPr>
                <w:lang w:val="en-GB"/>
              </w:rPr>
              <w:t>-29.0%</w:t>
            </w:r>
          </w:p>
        </w:tc>
      </w:tr>
      <w:tr w:rsidR="003C00E7" w:rsidRPr="001119A4" w14:paraId="6FFE62C6" w14:textId="77777777">
        <w:trPr>
          <w:trHeight w:val="300"/>
        </w:trPr>
        <w:tc>
          <w:tcPr>
            <w:tcW w:w="3231" w:type="dxa"/>
            <w:tcBorders>
              <w:top w:val="nil"/>
              <w:left w:val="nil"/>
              <w:bottom w:val="nil"/>
              <w:right w:val="nil"/>
            </w:tcBorders>
            <w:shd w:val="clear" w:color="auto" w:fill="auto"/>
            <w:vAlign w:val="center"/>
            <w:hideMark/>
          </w:tcPr>
          <w:p w14:paraId="79660370" w14:textId="77777777" w:rsidR="003C00E7" w:rsidRPr="001119A4" w:rsidRDefault="009D4742">
            <w:pPr>
              <w:pStyle w:val="P68B1DB1-Normal11"/>
              <w:spacing w:after="0" w:line="240" w:lineRule="auto"/>
              <w:rPr>
                <w:lang w:val="en-GB"/>
              </w:rPr>
            </w:pPr>
            <w:r w:rsidRPr="001119A4">
              <w:rPr>
                <w:lang w:val="en-GB"/>
              </w:rPr>
              <w:t>EBITDA margin</w:t>
            </w:r>
          </w:p>
        </w:tc>
        <w:tc>
          <w:tcPr>
            <w:tcW w:w="2156" w:type="dxa"/>
            <w:tcBorders>
              <w:top w:val="nil"/>
              <w:left w:val="nil"/>
              <w:bottom w:val="nil"/>
              <w:right w:val="nil"/>
            </w:tcBorders>
            <w:shd w:val="clear" w:color="auto" w:fill="auto"/>
            <w:vAlign w:val="center"/>
            <w:hideMark/>
          </w:tcPr>
          <w:p w14:paraId="599EE8A8" w14:textId="77777777" w:rsidR="003C00E7" w:rsidRPr="001119A4" w:rsidRDefault="009D4742">
            <w:pPr>
              <w:pStyle w:val="P68B1DB1-Normal10"/>
              <w:spacing w:after="0" w:line="240" w:lineRule="auto"/>
              <w:jc w:val="center"/>
              <w:rPr>
                <w:lang w:val="en-GB"/>
              </w:rPr>
            </w:pPr>
            <w:r w:rsidRPr="001119A4">
              <w:rPr>
                <w:lang w:val="en-GB"/>
              </w:rPr>
              <w:t>41.6%</w:t>
            </w:r>
          </w:p>
        </w:tc>
        <w:tc>
          <w:tcPr>
            <w:tcW w:w="1843" w:type="dxa"/>
            <w:tcBorders>
              <w:top w:val="nil"/>
              <w:left w:val="nil"/>
              <w:bottom w:val="nil"/>
              <w:right w:val="nil"/>
            </w:tcBorders>
            <w:shd w:val="clear" w:color="auto" w:fill="auto"/>
            <w:vAlign w:val="center"/>
            <w:hideMark/>
          </w:tcPr>
          <w:p w14:paraId="4050505F" w14:textId="77777777" w:rsidR="003C00E7" w:rsidRPr="001119A4" w:rsidRDefault="009D4742">
            <w:pPr>
              <w:pStyle w:val="P68B1DB1-Normal10"/>
              <w:spacing w:after="0" w:line="240" w:lineRule="auto"/>
              <w:jc w:val="center"/>
              <w:rPr>
                <w:lang w:val="en-GB"/>
              </w:rPr>
            </w:pPr>
            <w:r w:rsidRPr="001119A4">
              <w:rPr>
                <w:lang w:val="en-GB"/>
              </w:rPr>
              <w:t>45.3%</w:t>
            </w:r>
          </w:p>
        </w:tc>
        <w:tc>
          <w:tcPr>
            <w:tcW w:w="1984" w:type="dxa"/>
            <w:tcBorders>
              <w:top w:val="nil"/>
              <w:left w:val="nil"/>
              <w:bottom w:val="nil"/>
              <w:right w:val="nil"/>
            </w:tcBorders>
            <w:shd w:val="clear" w:color="000000" w:fill="E3F1F7"/>
            <w:vAlign w:val="center"/>
            <w:hideMark/>
          </w:tcPr>
          <w:p w14:paraId="64281018" w14:textId="77777777" w:rsidR="003C00E7" w:rsidRPr="001119A4" w:rsidRDefault="009D4742">
            <w:pPr>
              <w:pStyle w:val="P68B1DB1-Normal10"/>
              <w:spacing w:after="0" w:line="240" w:lineRule="auto"/>
              <w:jc w:val="center"/>
              <w:rPr>
                <w:lang w:val="en-GB"/>
              </w:rPr>
            </w:pPr>
            <w:r w:rsidRPr="001119A4">
              <w:rPr>
                <w:lang w:val="en-GB"/>
              </w:rPr>
              <w:t> </w:t>
            </w:r>
          </w:p>
        </w:tc>
      </w:tr>
      <w:tr w:rsidR="003C00E7" w:rsidRPr="001119A4" w14:paraId="6C96F929" w14:textId="77777777">
        <w:trPr>
          <w:trHeight w:val="300"/>
        </w:trPr>
        <w:tc>
          <w:tcPr>
            <w:tcW w:w="3231" w:type="dxa"/>
            <w:tcBorders>
              <w:top w:val="nil"/>
              <w:left w:val="nil"/>
              <w:bottom w:val="nil"/>
              <w:right w:val="nil"/>
            </w:tcBorders>
            <w:shd w:val="clear" w:color="auto" w:fill="auto"/>
            <w:vAlign w:val="center"/>
            <w:hideMark/>
          </w:tcPr>
          <w:p w14:paraId="0D204204" w14:textId="77777777" w:rsidR="003C00E7" w:rsidRPr="001119A4" w:rsidRDefault="009D4742">
            <w:pPr>
              <w:pStyle w:val="P68B1DB1-Normal8"/>
              <w:spacing w:after="0" w:line="240" w:lineRule="auto"/>
              <w:rPr>
                <w:lang w:val="en-GB"/>
              </w:rPr>
            </w:pPr>
            <w:r w:rsidRPr="001119A4">
              <w:rPr>
                <w:lang w:val="en-GB"/>
              </w:rPr>
              <w:t>Net profit</w:t>
            </w:r>
          </w:p>
        </w:tc>
        <w:tc>
          <w:tcPr>
            <w:tcW w:w="2156" w:type="dxa"/>
            <w:tcBorders>
              <w:top w:val="nil"/>
              <w:left w:val="nil"/>
              <w:bottom w:val="nil"/>
              <w:right w:val="nil"/>
            </w:tcBorders>
            <w:shd w:val="clear" w:color="auto" w:fill="auto"/>
            <w:vAlign w:val="center"/>
            <w:hideMark/>
          </w:tcPr>
          <w:p w14:paraId="29913F23" w14:textId="77777777" w:rsidR="003C00E7" w:rsidRPr="001119A4" w:rsidRDefault="009D4742">
            <w:pPr>
              <w:pStyle w:val="P68B1DB1-Normal9"/>
              <w:spacing w:after="0" w:line="240" w:lineRule="auto"/>
              <w:jc w:val="center"/>
              <w:rPr>
                <w:lang w:val="en-GB"/>
              </w:rPr>
            </w:pPr>
            <w:r w:rsidRPr="001119A4">
              <w:rPr>
                <w:lang w:val="en-GB"/>
              </w:rPr>
              <w:t>86,141</w:t>
            </w:r>
          </w:p>
        </w:tc>
        <w:tc>
          <w:tcPr>
            <w:tcW w:w="1843" w:type="dxa"/>
            <w:tcBorders>
              <w:top w:val="nil"/>
              <w:left w:val="nil"/>
              <w:bottom w:val="nil"/>
              <w:right w:val="nil"/>
            </w:tcBorders>
            <w:shd w:val="clear" w:color="auto" w:fill="auto"/>
            <w:vAlign w:val="center"/>
            <w:hideMark/>
          </w:tcPr>
          <w:p w14:paraId="442FF795" w14:textId="35F05241" w:rsidR="003C00E7" w:rsidRPr="001119A4" w:rsidRDefault="009D4742">
            <w:pPr>
              <w:pStyle w:val="P68B1DB1-Normal9"/>
              <w:spacing w:after="0" w:line="240" w:lineRule="auto"/>
              <w:jc w:val="center"/>
              <w:rPr>
                <w:lang w:val="en-GB"/>
              </w:rPr>
            </w:pPr>
            <w:r w:rsidRPr="001119A4">
              <w:rPr>
                <w:lang w:val="en-GB"/>
              </w:rPr>
              <w:t>184,714</w:t>
            </w:r>
          </w:p>
        </w:tc>
        <w:tc>
          <w:tcPr>
            <w:tcW w:w="1984" w:type="dxa"/>
            <w:tcBorders>
              <w:top w:val="nil"/>
              <w:left w:val="nil"/>
              <w:bottom w:val="nil"/>
              <w:right w:val="nil"/>
            </w:tcBorders>
            <w:shd w:val="clear" w:color="000000" w:fill="E3F1F7"/>
            <w:vAlign w:val="center"/>
            <w:hideMark/>
          </w:tcPr>
          <w:p w14:paraId="7F39EF1C" w14:textId="77777777" w:rsidR="003C00E7" w:rsidRPr="001119A4" w:rsidRDefault="009D4742">
            <w:pPr>
              <w:pStyle w:val="P68B1DB1-Normal10"/>
              <w:spacing w:after="0" w:line="240" w:lineRule="auto"/>
              <w:jc w:val="center"/>
              <w:rPr>
                <w:lang w:val="en-GB"/>
              </w:rPr>
            </w:pPr>
            <w:r w:rsidRPr="001119A4">
              <w:rPr>
                <w:lang w:val="en-GB"/>
              </w:rPr>
              <w:t>-53.4%</w:t>
            </w:r>
          </w:p>
        </w:tc>
      </w:tr>
      <w:tr w:rsidR="003C00E7" w:rsidRPr="001119A4" w14:paraId="2CD48F3A" w14:textId="77777777">
        <w:trPr>
          <w:trHeight w:val="300"/>
        </w:trPr>
        <w:tc>
          <w:tcPr>
            <w:tcW w:w="3231" w:type="dxa"/>
            <w:tcBorders>
              <w:top w:val="nil"/>
              <w:left w:val="nil"/>
              <w:bottom w:val="nil"/>
              <w:right w:val="nil"/>
            </w:tcBorders>
            <w:shd w:val="clear" w:color="auto" w:fill="auto"/>
            <w:vAlign w:val="center"/>
            <w:hideMark/>
          </w:tcPr>
          <w:p w14:paraId="76E17AA0" w14:textId="77777777" w:rsidR="003C00E7" w:rsidRPr="001119A4" w:rsidRDefault="009D4742">
            <w:pPr>
              <w:pStyle w:val="P68B1DB1-Normal8"/>
              <w:spacing w:after="0" w:line="240" w:lineRule="auto"/>
              <w:rPr>
                <w:lang w:val="en-GB"/>
              </w:rPr>
            </w:pPr>
            <w:r w:rsidRPr="001119A4">
              <w:rPr>
                <w:lang w:val="en-GB"/>
              </w:rPr>
              <w:t>Adj. net profit**</w:t>
            </w:r>
          </w:p>
        </w:tc>
        <w:tc>
          <w:tcPr>
            <w:tcW w:w="2156" w:type="dxa"/>
            <w:tcBorders>
              <w:top w:val="nil"/>
              <w:left w:val="nil"/>
              <w:bottom w:val="nil"/>
              <w:right w:val="nil"/>
            </w:tcBorders>
            <w:shd w:val="clear" w:color="auto" w:fill="auto"/>
            <w:vAlign w:val="center"/>
            <w:hideMark/>
          </w:tcPr>
          <w:p w14:paraId="432A3925" w14:textId="77777777" w:rsidR="003C00E7" w:rsidRPr="001119A4" w:rsidRDefault="009D4742">
            <w:pPr>
              <w:pStyle w:val="P68B1DB1-Normal9"/>
              <w:spacing w:after="0" w:line="240" w:lineRule="auto"/>
              <w:jc w:val="center"/>
              <w:rPr>
                <w:lang w:val="en-GB"/>
              </w:rPr>
            </w:pPr>
            <w:r w:rsidRPr="001119A4">
              <w:rPr>
                <w:lang w:val="en-GB"/>
              </w:rPr>
              <w:t>104,105</w:t>
            </w:r>
          </w:p>
        </w:tc>
        <w:tc>
          <w:tcPr>
            <w:tcW w:w="1843" w:type="dxa"/>
            <w:tcBorders>
              <w:top w:val="nil"/>
              <w:left w:val="nil"/>
              <w:bottom w:val="nil"/>
              <w:right w:val="nil"/>
            </w:tcBorders>
            <w:shd w:val="clear" w:color="auto" w:fill="auto"/>
            <w:vAlign w:val="center"/>
            <w:hideMark/>
          </w:tcPr>
          <w:p w14:paraId="45DF255F" w14:textId="5F90669F" w:rsidR="003C00E7" w:rsidRPr="001119A4" w:rsidRDefault="009D4742">
            <w:pPr>
              <w:pStyle w:val="P68B1DB1-Normal9"/>
              <w:spacing w:after="0" w:line="240" w:lineRule="auto"/>
              <w:jc w:val="center"/>
              <w:rPr>
                <w:lang w:val="en-GB"/>
              </w:rPr>
            </w:pPr>
            <w:r w:rsidRPr="001119A4">
              <w:rPr>
                <w:lang w:val="en-GB"/>
              </w:rPr>
              <w:t>182,297</w:t>
            </w:r>
          </w:p>
        </w:tc>
        <w:tc>
          <w:tcPr>
            <w:tcW w:w="1984" w:type="dxa"/>
            <w:tcBorders>
              <w:top w:val="nil"/>
              <w:left w:val="nil"/>
              <w:bottom w:val="nil"/>
              <w:right w:val="nil"/>
            </w:tcBorders>
            <w:shd w:val="clear" w:color="000000" w:fill="E3F1F7"/>
            <w:vAlign w:val="center"/>
            <w:hideMark/>
          </w:tcPr>
          <w:p w14:paraId="1CA97AB1" w14:textId="77777777" w:rsidR="003C00E7" w:rsidRPr="001119A4" w:rsidRDefault="009D4742">
            <w:pPr>
              <w:pStyle w:val="P68B1DB1-Normal10"/>
              <w:spacing w:after="0" w:line="240" w:lineRule="auto"/>
              <w:jc w:val="center"/>
              <w:rPr>
                <w:lang w:val="en-GB"/>
              </w:rPr>
            </w:pPr>
            <w:r w:rsidRPr="001119A4">
              <w:rPr>
                <w:lang w:val="en-GB"/>
              </w:rPr>
              <w:t>-42.9%</w:t>
            </w:r>
          </w:p>
        </w:tc>
      </w:tr>
      <w:tr w:rsidR="003C00E7" w:rsidRPr="001119A4" w14:paraId="6DB2CFB1" w14:textId="77777777">
        <w:trPr>
          <w:trHeight w:val="315"/>
        </w:trPr>
        <w:tc>
          <w:tcPr>
            <w:tcW w:w="3231" w:type="dxa"/>
            <w:tcBorders>
              <w:top w:val="nil"/>
              <w:left w:val="nil"/>
              <w:bottom w:val="nil"/>
              <w:right w:val="nil"/>
            </w:tcBorders>
            <w:shd w:val="clear" w:color="auto" w:fill="auto"/>
            <w:vAlign w:val="center"/>
            <w:hideMark/>
          </w:tcPr>
          <w:p w14:paraId="71875D03" w14:textId="77777777" w:rsidR="003C00E7" w:rsidRPr="001119A4" w:rsidRDefault="009D4742">
            <w:pPr>
              <w:pStyle w:val="P68B1DB1-Normal9"/>
              <w:spacing w:after="0" w:line="240" w:lineRule="auto"/>
              <w:rPr>
                <w:lang w:val="en-GB"/>
              </w:rPr>
            </w:pPr>
            <w:r w:rsidRPr="001119A4">
              <w:rPr>
                <w:lang w:val="en-GB"/>
              </w:rPr>
              <w:t>Free cash flow</w:t>
            </w:r>
          </w:p>
        </w:tc>
        <w:tc>
          <w:tcPr>
            <w:tcW w:w="2156" w:type="dxa"/>
            <w:tcBorders>
              <w:top w:val="nil"/>
              <w:left w:val="nil"/>
              <w:bottom w:val="nil"/>
              <w:right w:val="nil"/>
            </w:tcBorders>
            <w:shd w:val="clear" w:color="auto" w:fill="auto"/>
            <w:vAlign w:val="center"/>
            <w:hideMark/>
          </w:tcPr>
          <w:p w14:paraId="71083E16" w14:textId="77777777" w:rsidR="003C00E7" w:rsidRPr="001119A4" w:rsidRDefault="009D4742">
            <w:pPr>
              <w:pStyle w:val="P68B1DB1-Normal9"/>
              <w:spacing w:after="0" w:line="240" w:lineRule="auto"/>
              <w:jc w:val="center"/>
              <w:rPr>
                <w:lang w:val="en-GB"/>
              </w:rPr>
            </w:pPr>
            <w:r w:rsidRPr="001119A4">
              <w:rPr>
                <w:lang w:val="en-GB"/>
              </w:rPr>
              <w:t>70,208</w:t>
            </w:r>
          </w:p>
        </w:tc>
        <w:tc>
          <w:tcPr>
            <w:tcW w:w="1843" w:type="dxa"/>
            <w:tcBorders>
              <w:top w:val="nil"/>
              <w:left w:val="nil"/>
              <w:bottom w:val="nil"/>
              <w:right w:val="nil"/>
            </w:tcBorders>
            <w:shd w:val="clear" w:color="auto" w:fill="auto"/>
            <w:vAlign w:val="center"/>
            <w:hideMark/>
          </w:tcPr>
          <w:p w14:paraId="6442D7E3" w14:textId="77777777" w:rsidR="003C00E7" w:rsidRPr="001119A4" w:rsidRDefault="009D4742">
            <w:pPr>
              <w:pStyle w:val="P68B1DB1-Normal9"/>
              <w:spacing w:after="0" w:line="240" w:lineRule="auto"/>
              <w:jc w:val="center"/>
              <w:rPr>
                <w:lang w:val="en-GB"/>
              </w:rPr>
            </w:pPr>
            <w:r w:rsidRPr="001119A4">
              <w:rPr>
                <w:lang w:val="en-GB"/>
              </w:rPr>
              <w:t>104,295</w:t>
            </w:r>
          </w:p>
        </w:tc>
        <w:tc>
          <w:tcPr>
            <w:tcW w:w="1984" w:type="dxa"/>
            <w:tcBorders>
              <w:top w:val="nil"/>
              <w:left w:val="nil"/>
              <w:bottom w:val="nil"/>
              <w:right w:val="nil"/>
            </w:tcBorders>
            <w:shd w:val="clear" w:color="000000" w:fill="E3F1F7"/>
            <w:vAlign w:val="center"/>
            <w:hideMark/>
          </w:tcPr>
          <w:p w14:paraId="73611014" w14:textId="77777777" w:rsidR="003C00E7" w:rsidRPr="001119A4" w:rsidRDefault="009D4742">
            <w:pPr>
              <w:pStyle w:val="P68B1DB1-Normal10"/>
              <w:spacing w:after="0" w:line="240" w:lineRule="auto"/>
              <w:jc w:val="center"/>
              <w:rPr>
                <w:lang w:val="en-GB"/>
              </w:rPr>
            </w:pPr>
            <w:r w:rsidRPr="001119A4">
              <w:rPr>
                <w:lang w:val="en-GB"/>
              </w:rPr>
              <w:t>-32.7%</w:t>
            </w:r>
          </w:p>
        </w:tc>
      </w:tr>
      <w:tr w:rsidR="003C00E7" w:rsidRPr="001119A4" w14:paraId="0297A9EA" w14:textId="77777777">
        <w:trPr>
          <w:trHeight w:val="315"/>
        </w:trPr>
        <w:tc>
          <w:tcPr>
            <w:tcW w:w="3231" w:type="dxa"/>
            <w:tcBorders>
              <w:top w:val="single" w:sz="8" w:space="0" w:color="auto"/>
              <w:left w:val="nil"/>
              <w:bottom w:val="single" w:sz="8" w:space="0" w:color="auto"/>
              <w:right w:val="nil"/>
            </w:tcBorders>
            <w:shd w:val="clear" w:color="auto" w:fill="auto"/>
            <w:vAlign w:val="center"/>
            <w:hideMark/>
          </w:tcPr>
          <w:p w14:paraId="7FD69FE0" w14:textId="77777777" w:rsidR="003C00E7" w:rsidRPr="001119A4" w:rsidRDefault="009D4742">
            <w:pPr>
              <w:pStyle w:val="P68B1DB1-Normal5"/>
              <w:spacing w:after="0" w:line="240" w:lineRule="auto"/>
              <w:rPr>
                <w:lang w:val="en-GB"/>
              </w:rPr>
            </w:pPr>
            <w:r w:rsidRPr="001119A4">
              <w:rPr>
                <w:lang w:val="en-GB"/>
              </w:rPr>
              <w:t xml:space="preserve"> </w:t>
            </w:r>
          </w:p>
        </w:tc>
        <w:tc>
          <w:tcPr>
            <w:tcW w:w="2156" w:type="dxa"/>
            <w:tcBorders>
              <w:top w:val="single" w:sz="8" w:space="0" w:color="auto"/>
              <w:left w:val="nil"/>
              <w:bottom w:val="single" w:sz="8" w:space="0" w:color="auto"/>
              <w:right w:val="nil"/>
            </w:tcBorders>
            <w:shd w:val="clear" w:color="auto" w:fill="auto"/>
            <w:vAlign w:val="center"/>
            <w:hideMark/>
          </w:tcPr>
          <w:p w14:paraId="67C047D6" w14:textId="77777777" w:rsidR="003C00E7" w:rsidRPr="001119A4" w:rsidRDefault="009D4742">
            <w:pPr>
              <w:pStyle w:val="P68B1DB1-Normal6"/>
              <w:spacing w:after="0" w:line="240" w:lineRule="auto"/>
              <w:jc w:val="center"/>
              <w:rPr>
                <w:lang w:val="en-GB"/>
              </w:rPr>
            </w:pPr>
            <w:r w:rsidRPr="001119A4">
              <w:rPr>
                <w:lang w:val="en-GB"/>
              </w:rPr>
              <w:t>31.12.2023</w:t>
            </w:r>
          </w:p>
        </w:tc>
        <w:tc>
          <w:tcPr>
            <w:tcW w:w="1843" w:type="dxa"/>
            <w:tcBorders>
              <w:top w:val="single" w:sz="8" w:space="0" w:color="auto"/>
              <w:left w:val="nil"/>
              <w:bottom w:val="single" w:sz="8" w:space="0" w:color="auto"/>
              <w:right w:val="nil"/>
            </w:tcBorders>
            <w:shd w:val="clear" w:color="auto" w:fill="auto"/>
            <w:vAlign w:val="center"/>
            <w:hideMark/>
          </w:tcPr>
          <w:p w14:paraId="5690D97F" w14:textId="77777777" w:rsidR="003C00E7" w:rsidRPr="001119A4" w:rsidRDefault="009D4742">
            <w:pPr>
              <w:pStyle w:val="P68B1DB1-Normal6"/>
              <w:spacing w:after="0" w:line="240" w:lineRule="auto"/>
              <w:jc w:val="center"/>
              <w:rPr>
                <w:lang w:val="en-GB"/>
              </w:rPr>
            </w:pPr>
            <w:r w:rsidRPr="001119A4">
              <w:rPr>
                <w:lang w:val="en-GB"/>
              </w:rPr>
              <w:t>31.12.2022</w:t>
            </w:r>
          </w:p>
        </w:tc>
        <w:tc>
          <w:tcPr>
            <w:tcW w:w="1984" w:type="dxa"/>
            <w:tcBorders>
              <w:top w:val="single" w:sz="8" w:space="0" w:color="auto"/>
              <w:left w:val="nil"/>
              <w:bottom w:val="single" w:sz="8" w:space="0" w:color="auto"/>
              <w:right w:val="nil"/>
            </w:tcBorders>
            <w:shd w:val="clear" w:color="000000" w:fill="E3F1F7"/>
            <w:vAlign w:val="center"/>
            <w:hideMark/>
          </w:tcPr>
          <w:p w14:paraId="0DF4C78A" w14:textId="77777777" w:rsidR="003C00E7" w:rsidRPr="001119A4" w:rsidRDefault="009D4742">
            <w:pPr>
              <w:pStyle w:val="P68B1DB1-Normal12"/>
              <w:spacing w:after="0" w:line="240" w:lineRule="auto"/>
              <w:rPr>
                <w:lang w:val="en-GB"/>
              </w:rPr>
            </w:pPr>
            <w:r w:rsidRPr="001119A4">
              <w:rPr>
                <w:lang w:val="en-GB"/>
              </w:rPr>
              <w:t> </w:t>
            </w:r>
          </w:p>
        </w:tc>
      </w:tr>
      <w:tr w:rsidR="003C00E7" w:rsidRPr="001119A4" w14:paraId="24A0E53B" w14:textId="77777777">
        <w:trPr>
          <w:trHeight w:val="300"/>
        </w:trPr>
        <w:tc>
          <w:tcPr>
            <w:tcW w:w="3231" w:type="dxa"/>
            <w:tcBorders>
              <w:top w:val="nil"/>
              <w:left w:val="nil"/>
              <w:bottom w:val="nil"/>
              <w:right w:val="nil"/>
            </w:tcBorders>
            <w:shd w:val="clear" w:color="auto" w:fill="auto"/>
            <w:vAlign w:val="center"/>
            <w:hideMark/>
          </w:tcPr>
          <w:p w14:paraId="0F5E3301" w14:textId="77777777" w:rsidR="003C00E7" w:rsidRPr="001119A4" w:rsidRDefault="009D4742">
            <w:pPr>
              <w:pStyle w:val="P68B1DB1-Normal8"/>
              <w:spacing w:after="0" w:line="240" w:lineRule="auto"/>
              <w:rPr>
                <w:lang w:val="en-GB"/>
              </w:rPr>
            </w:pPr>
            <w:r w:rsidRPr="001119A4">
              <w:rPr>
                <w:lang w:val="en-GB"/>
              </w:rPr>
              <w:t>Net debt</w:t>
            </w:r>
          </w:p>
        </w:tc>
        <w:tc>
          <w:tcPr>
            <w:tcW w:w="2156" w:type="dxa"/>
            <w:tcBorders>
              <w:top w:val="nil"/>
              <w:left w:val="nil"/>
              <w:bottom w:val="nil"/>
              <w:right w:val="nil"/>
            </w:tcBorders>
            <w:shd w:val="clear" w:color="auto" w:fill="auto"/>
            <w:vAlign w:val="center"/>
            <w:hideMark/>
          </w:tcPr>
          <w:p w14:paraId="2BD75B4C" w14:textId="77777777" w:rsidR="003C00E7" w:rsidRPr="001119A4" w:rsidRDefault="009D4742">
            <w:pPr>
              <w:pStyle w:val="P68B1DB1-Normal9"/>
              <w:spacing w:after="0" w:line="240" w:lineRule="auto"/>
              <w:jc w:val="center"/>
              <w:rPr>
                <w:lang w:val="en-GB"/>
              </w:rPr>
            </w:pPr>
            <w:r w:rsidRPr="001119A4">
              <w:rPr>
                <w:lang w:val="en-GB"/>
              </w:rPr>
              <w:t>223,207</w:t>
            </w:r>
          </w:p>
        </w:tc>
        <w:tc>
          <w:tcPr>
            <w:tcW w:w="1843" w:type="dxa"/>
            <w:tcBorders>
              <w:top w:val="nil"/>
              <w:left w:val="nil"/>
              <w:bottom w:val="nil"/>
              <w:right w:val="nil"/>
            </w:tcBorders>
            <w:shd w:val="clear" w:color="auto" w:fill="auto"/>
            <w:vAlign w:val="center"/>
            <w:hideMark/>
          </w:tcPr>
          <w:p w14:paraId="7FD64A59" w14:textId="77777777" w:rsidR="003C00E7" w:rsidRPr="001119A4" w:rsidRDefault="009D4742">
            <w:pPr>
              <w:pStyle w:val="P68B1DB1-Normal9"/>
              <w:spacing w:after="0" w:line="240" w:lineRule="auto"/>
              <w:jc w:val="center"/>
              <w:rPr>
                <w:lang w:val="en-GB"/>
              </w:rPr>
            </w:pPr>
            <w:r w:rsidRPr="001119A4">
              <w:rPr>
                <w:lang w:val="en-GB"/>
              </w:rPr>
              <w:t>180,338</w:t>
            </w:r>
          </w:p>
        </w:tc>
        <w:tc>
          <w:tcPr>
            <w:tcW w:w="1984" w:type="dxa"/>
            <w:tcBorders>
              <w:top w:val="nil"/>
              <w:left w:val="nil"/>
              <w:bottom w:val="nil"/>
              <w:right w:val="nil"/>
            </w:tcBorders>
            <w:shd w:val="clear" w:color="000000" w:fill="E3F1F7"/>
            <w:vAlign w:val="center"/>
            <w:hideMark/>
          </w:tcPr>
          <w:p w14:paraId="5AEF2D12" w14:textId="77777777" w:rsidR="003C00E7" w:rsidRPr="001119A4" w:rsidRDefault="009D4742">
            <w:pPr>
              <w:pStyle w:val="P68B1DB1-Normal12"/>
              <w:spacing w:after="0" w:line="240" w:lineRule="auto"/>
              <w:rPr>
                <w:lang w:val="en-GB"/>
              </w:rPr>
            </w:pPr>
            <w:r w:rsidRPr="001119A4">
              <w:rPr>
                <w:lang w:val="en-GB"/>
              </w:rPr>
              <w:t> </w:t>
            </w:r>
          </w:p>
        </w:tc>
      </w:tr>
      <w:tr w:rsidR="003C00E7" w:rsidRPr="001119A4" w14:paraId="66E505FE" w14:textId="77777777">
        <w:trPr>
          <w:trHeight w:val="315"/>
        </w:trPr>
        <w:tc>
          <w:tcPr>
            <w:tcW w:w="3231" w:type="dxa"/>
            <w:tcBorders>
              <w:top w:val="nil"/>
              <w:left w:val="nil"/>
              <w:bottom w:val="single" w:sz="8" w:space="0" w:color="auto"/>
              <w:right w:val="nil"/>
            </w:tcBorders>
            <w:shd w:val="clear" w:color="auto" w:fill="auto"/>
            <w:vAlign w:val="center"/>
            <w:hideMark/>
          </w:tcPr>
          <w:p w14:paraId="4B86CC2B" w14:textId="77777777" w:rsidR="003C00E7" w:rsidRPr="001119A4" w:rsidRDefault="009D4742">
            <w:pPr>
              <w:pStyle w:val="P68B1DB1-Normal8"/>
              <w:spacing w:after="0" w:line="240" w:lineRule="auto"/>
              <w:rPr>
                <w:lang w:val="en-GB"/>
              </w:rPr>
            </w:pPr>
            <w:r w:rsidRPr="001119A4">
              <w:rPr>
                <w:lang w:val="en-GB"/>
              </w:rPr>
              <w:t>ND/LTM EBITDA</w:t>
            </w:r>
          </w:p>
        </w:tc>
        <w:tc>
          <w:tcPr>
            <w:tcW w:w="2156" w:type="dxa"/>
            <w:tcBorders>
              <w:top w:val="nil"/>
              <w:left w:val="nil"/>
              <w:bottom w:val="single" w:sz="8" w:space="0" w:color="auto"/>
              <w:right w:val="nil"/>
            </w:tcBorders>
            <w:shd w:val="clear" w:color="auto" w:fill="auto"/>
            <w:vAlign w:val="center"/>
            <w:hideMark/>
          </w:tcPr>
          <w:p w14:paraId="0D536F42" w14:textId="77777777" w:rsidR="003C00E7" w:rsidRPr="001119A4" w:rsidRDefault="009D4742">
            <w:pPr>
              <w:pStyle w:val="P68B1DB1-Normal9"/>
              <w:spacing w:after="0" w:line="240" w:lineRule="auto"/>
              <w:jc w:val="center"/>
              <w:rPr>
                <w:lang w:val="en-GB"/>
              </w:rPr>
            </w:pPr>
            <w:r w:rsidRPr="001119A4">
              <w:rPr>
                <w:lang w:val="en-GB"/>
              </w:rPr>
              <w:t>1.2x</w:t>
            </w:r>
          </w:p>
        </w:tc>
        <w:tc>
          <w:tcPr>
            <w:tcW w:w="1843" w:type="dxa"/>
            <w:tcBorders>
              <w:top w:val="nil"/>
              <w:left w:val="nil"/>
              <w:bottom w:val="single" w:sz="8" w:space="0" w:color="auto"/>
              <w:right w:val="nil"/>
            </w:tcBorders>
            <w:shd w:val="clear" w:color="auto" w:fill="auto"/>
            <w:vAlign w:val="center"/>
            <w:hideMark/>
          </w:tcPr>
          <w:p w14:paraId="54DFDE17" w14:textId="77777777" w:rsidR="003C00E7" w:rsidRPr="001119A4" w:rsidRDefault="009D4742">
            <w:pPr>
              <w:pStyle w:val="P68B1DB1-Normal9"/>
              <w:spacing w:after="0" w:line="240" w:lineRule="auto"/>
              <w:jc w:val="center"/>
              <w:rPr>
                <w:lang w:val="en-GB"/>
              </w:rPr>
            </w:pPr>
            <w:r w:rsidRPr="001119A4">
              <w:rPr>
                <w:lang w:val="en-GB"/>
              </w:rPr>
              <w:t>0.7x</w:t>
            </w:r>
          </w:p>
        </w:tc>
        <w:tc>
          <w:tcPr>
            <w:tcW w:w="1984" w:type="dxa"/>
            <w:tcBorders>
              <w:top w:val="nil"/>
              <w:left w:val="nil"/>
              <w:bottom w:val="single" w:sz="8" w:space="0" w:color="auto"/>
              <w:right w:val="nil"/>
            </w:tcBorders>
            <w:shd w:val="clear" w:color="000000" w:fill="E3F1F7"/>
            <w:vAlign w:val="center"/>
            <w:hideMark/>
          </w:tcPr>
          <w:p w14:paraId="2B57EB27" w14:textId="77777777" w:rsidR="003C00E7" w:rsidRPr="001119A4" w:rsidRDefault="009D4742">
            <w:pPr>
              <w:pStyle w:val="P68B1DB1-Normal12"/>
              <w:spacing w:after="0" w:line="240" w:lineRule="auto"/>
              <w:rPr>
                <w:lang w:val="en-GB"/>
              </w:rPr>
            </w:pPr>
            <w:r w:rsidRPr="001119A4">
              <w:rPr>
                <w:lang w:val="en-GB"/>
              </w:rPr>
              <w:t> </w:t>
            </w:r>
          </w:p>
        </w:tc>
      </w:tr>
    </w:tbl>
    <w:p w14:paraId="7B23BE68" w14:textId="77777777" w:rsidR="003C00E7" w:rsidRPr="001119A4" w:rsidRDefault="003C00E7">
      <w:pPr>
        <w:pStyle w:val="aa"/>
        <w:tabs>
          <w:tab w:val="clear" w:pos="9026"/>
          <w:tab w:val="right" w:pos="8789"/>
        </w:tabs>
        <w:rPr>
          <w:rFonts w:asciiTheme="minorHAnsi" w:hAnsiTheme="minorHAnsi" w:cstheme="minorHAnsi"/>
          <w:i/>
          <w:sz w:val="18"/>
          <w:lang w:val="en-GB"/>
        </w:rPr>
      </w:pPr>
    </w:p>
    <w:tbl>
      <w:tblPr>
        <w:tblW w:w="9214" w:type="dxa"/>
        <w:tblLook w:val="04A0" w:firstRow="1" w:lastRow="0" w:firstColumn="1" w:lastColumn="0" w:noHBand="0" w:noVBand="1"/>
      </w:tblPr>
      <w:tblGrid>
        <w:gridCol w:w="3284"/>
        <w:gridCol w:w="2103"/>
        <w:gridCol w:w="1843"/>
        <w:gridCol w:w="1984"/>
      </w:tblGrid>
      <w:tr w:rsidR="003C00E7" w:rsidRPr="001119A4" w14:paraId="05C412D6" w14:textId="77777777">
        <w:trPr>
          <w:trHeight w:val="330"/>
        </w:trPr>
        <w:tc>
          <w:tcPr>
            <w:tcW w:w="9214" w:type="dxa"/>
            <w:gridSpan w:val="4"/>
            <w:tcBorders>
              <w:top w:val="nil"/>
              <w:left w:val="nil"/>
              <w:bottom w:val="single" w:sz="8" w:space="0" w:color="auto"/>
              <w:right w:val="nil"/>
            </w:tcBorders>
            <w:shd w:val="clear" w:color="000000" w:fill="2B87A2"/>
            <w:vAlign w:val="center"/>
            <w:hideMark/>
          </w:tcPr>
          <w:p w14:paraId="254C9385" w14:textId="77777777" w:rsidR="003C00E7" w:rsidRPr="001119A4" w:rsidRDefault="009D4742">
            <w:pPr>
              <w:pStyle w:val="P68B1DB1-Normal13"/>
              <w:spacing w:after="0" w:line="240" w:lineRule="auto"/>
              <w:jc w:val="center"/>
              <w:rPr>
                <w:lang w:val="en-GB"/>
              </w:rPr>
            </w:pPr>
            <w:r w:rsidRPr="001119A4">
              <w:rPr>
                <w:lang w:val="en-GB"/>
              </w:rPr>
              <w:t>Operating highlights</w:t>
            </w:r>
          </w:p>
        </w:tc>
      </w:tr>
      <w:tr w:rsidR="003C00E7" w:rsidRPr="001119A4" w14:paraId="568DC09C" w14:textId="77777777">
        <w:trPr>
          <w:trHeight w:val="345"/>
        </w:trPr>
        <w:tc>
          <w:tcPr>
            <w:tcW w:w="9214" w:type="dxa"/>
            <w:gridSpan w:val="4"/>
            <w:tcBorders>
              <w:top w:val="single" w:sz="8" w:space="0" w:color="auto"/>
              <w:left w:val="nil"/>
              <w:bottom w:val="single" w:sz="8" w:space="0" w:color="auto"/>
              <w:right w:val="nil"/>
            </w:tcBorders>
            <w:shd w:val="clear" w:color="000000" w:fill="2B87A2"/>
            <w:vAlign w:val="center"/>
            <w:hideMark/>
          </w:tcPr>
          <w:p w14:paraId="4E135416" w14:textId="77777777" w:rsidR="003C00E7" w:rsidRPr="001119A4" w:rsidRDefault="009D4742">
            <w:pPr>
              <w:pStyle w:val="P68B1DB1-Normal14"/>
              <w:spacing w:after="0" w:line="240" w:lineRule="auto"/>
              <w:jc w:val="center"/>
              <w:rPr>
                <w:lang w:val="en-GB"/>
              </w:rPr>
            </w:pPr>
            <w:r w:rsidRPr="001119A4">
              <w:rPr>
                <w:lang w:val="en-GB"/>
              </w:rPr>
              <w:t>Production volumes by category</w:t>
            </w:r>
          </w:p>
        </w:tc>
      </w:tr>
      <w:tr w:rsidR="003C00E7" w:rsidRPr="001119A4" w14:paraId="04700EC2" w14:textId="77777777">
        <w:trPr>
          <w:trHeight w:val="540"/>
        </w:trPr>
        <w:tc>
          <w:tcPr>
            <w:tcW w:w="3284" w:type="dxa"/>
            <w:tcBorders>
              <w:top w:val="nil"/>
              <w:left w:val="nil"/>
              <w:bottom w:val="nil"/>
              <w:right w:val="nil"/>
            </w:tcBorders>
            <w:shd w:val="clear" w:color="auto" w:fill="auto"/>
            <w:vAlign w:val="center"/>
            <w:hideMark/>
          </w:tcPr>
          <w:p w14:paraId="1722FABD" w14:textId="77777777" w:rsidR="003C00E7" w:rsidRPr="001119A4" w:rsidRDefault="009D4742">
            <w:pPr>
              <w:pStyle w:val="P68B1DB1-Normal5"/>
              <w:spacing w:after="0" w:line="240" w:lineRule="auto"/>
              <w:rPr>
                <w:lang w:val="en-GB"/>
              </w:rPr>
            </w:pPr>
            <w:r w:rsidRPr="001119A4">
              <w:rPr>
                <w:lang w:val="en-GB"/>
              </w:rPr>
              <w:t>kt</w:t>
            </w:r>
          </w:p>
        </w:tc>
        <w:tc>
          <w:tcPr>
            <w:tcW w:w="2103" w:type="dxa"/>
            <w:tcBorders>
              <w:top w:val="nil"/>
              <w:left w:val="nil"/>
              <w:bottom w:val="nil"/>
              <w:right w:val="nil"/>
            </w:tcBorders>
            <w:shd w:val="clear" w:color="auto" w:fill="auto"/>
            <w:vAlign w:val="center"/>
            <w:hideMark/>
          </w:tcPr>
          <w:p w14:paraId="33F9E4E0" w14:textId="77777777" w:rsidR="003C00E7" w:rsidRPr="001119A4" w:rsidRDefault="009D4742">
            <w:pPr>
              <w:pStyle w:val="P68B1DB1-Normal6"/>
              <w:spacing w:after="0" w:line="240" w:lineRule="auto"/>
              <w:jc w:val="center"/>
              <w:rPr>
                <w:lang w:val="en-GB"/>
              </w:rPr>
            </w:pPr>
            <w:r w:rsidRPr="001119A4">
              <w:rPr>
                <w:lang w:val="en-GB"/>
              </w:rPr>
              <w:t>FY 2023</w:t>
            </w:r>
          </w:p>
        </w:tc>
        <w:tc>
          <w:tcPr>
            <w:tcW w:w="1843" w:type="dxa"/>
            <w:tcBorders>
              <w:top w:val="nil"/>
              <w:left w:val="nil"/>
              <w:bottom w:val="nil"/>
              <w:right w:val="nil"/>
            </w:tcBorders>
            <w:shd w:val="clear" w:color="auto" w:fill="auto"/>
            <w:vAlign w:val="center"/>
            <w:hideMark/>
          </w:tcPr>
          <w:p w14:paraId="14CE3267" w14:textId="77777777" w:rsidR="003C00E7" w:rsidRPr="001119A4" w:rsidRDefault="009D4742">
            <w:pPr>
              <w:pStyle w:val="P68B1DB1-Normal6"/>
              <w:spacing w:after="0" w:line="240" w:lineRule="auto"/>
              <w:jc w:val="center"/>
              <w:rPr>
                <w:lang w:val="en-GB"/>
              </w:rPr>
            </w:pPr>
            <w:r w:rsidRPr="001119A4">
              <w:rPr>
                <w:lang w:val="en-GB"/>
              </w:rPr>
              <w:t>FY 2022</w:t>
            </w:r>
          </w:p>
        </w:tc>
        <w:tc>
          <w:tcPr>
            <w:tcW w:w="1984" w:type="dxa"/>
            <w:tcBorders>
              <w:top w:val="nil"/>
              <w:left w:val="nil"/>
              <w:bottom w:val="nil"/>
              <w:right w:val="nil"/>
            </w:tcBorders>
            <w:shd w:val="clear" w:color="000000" w:fill="E3F1F7"/>
            <w:vAlign w:val="center"/>
            <w:hideMark/>
          </w:tcPr>
          <w:p w14:paraId="457068C4" w14:textId="01FCED30" w:rsidR="003C00E7" w:rsidRPr="001119A4" w:rsidRDefault="009D4742">
            <w:pPr>
              <w:pStyle w:val="P68B1DB1-Normal7"/>
              <w:spacing w:after="0" w:line="240" w:lineRule="auto"/>
              <w:jc w:val="center"/>
              <w:rPr>
                <w:rFonts w:cs="Calibri"/>
                <w:lang w:val="en-GB"/>
              </w:rPr>
            </w:pPr>
            <w:r w:rsidRPr="001119A4">
              <w:rPr>
                <w:lang w:val="en-GB"/>
              </w:rPr>
              <w:t>Change</w:t>
            </w:r>
            <w:r w:rsidR="00D4485E" w:rsidRPr="001119A4">
              <w:rPr>
                <w:lang w:val="en-GB"/>
              </w:rPr>
              <w:t>,</w:t>
            </w:r>
            <w:r w:rsidRPr="001119A4">
              <w:rPr>
                <w:lang w:val="en-GB"/>
              </w:rPr>
              <w:t xml:space="preserve"> %</w:t>
            </w:r>
          </w:p>
        </w:tc>
      </w:tr>
      <w:tr w:rsidR="003C00E7" w:rsidRPr="001119A4" w14:paraId="7B64D410" w14:textId="77777777">
        <w:trPr>
          <w:trHeight w:val="480"/>
        </w:trPr>
        <w:tc>
          <w:tcPr>
            <w:tcW w:w="3284" w:type="dxa"/>
            <w:tcBorders>
              <w:top w:val="nil"/>
              <w:left w:val="nil"/>
              <w:bottom w:val="nil"/>
              <w:right w:val="nil"/>
            </w:tcBorders>
            <w:shd w:val="clear" w:color="auto" w:fill="auto"/>
            <w:vAlign w:val="center"/>
            <w:hideMark/>
          </w:tcPr>
          <w:p w14:paraId="59F2DD00" w14:textId="77777777" w:rsidR="003C00E7" w:rsidRPr="001119A4" w:rsidRDefault="009D4742">
            <w:pPr>
              <w:pStyle w:val="P68B1DB1-Normal12"/>
              <w:spacing w:after="0" w:line="240" w:lineRule="auto"/>
              <w:rPr>
                <w:lang w:val="en-GB"/>
              </w:rPr>
            </w:pPr>
            <w:r w:rsidRPr="001119A4">
              <w:rPr>
                <w:lang w:val="en-GB"/>
              </w:rPr>
              <w:t>Phosphate-based fertilizers and feed phosphates</w:t>
            </w:r>
          </w:p>
        </w:tc>
        <w:tc>
          <w:tcPr>
            <w:tcW w:w="2103" w:type="dxa"/>
            <w:tcBorders>
              <w:top w:val="nil"/>
              <w:left w:val="nil"/>
              <w:bottom w:val="nil"/>
              <w:right w:val="nil"/>
            </w:tcBorders>
            <w:shd w:val="clear" w:color="auto" w:fill="auto"/>
            <w:vAlign w:val="center"/>
            <w:hideMark/>
          </w:tcPr>
          <w:p w14:paraId="55152F80" w14:textId="77777777" w:rsidR="003C00E7" w:rsidRPr="001119A4" w:rsidRDefault="009D4742">
            <w:pPr>
              <w:pStyle w:val="P68B1DB1-Normal12"/>
              <w:spacing w:after="0" w:line="240" w:lineRule="auto"/>
              <w:jc w:val="center"/>
              <w:rPr>
                <w:lang w:val="en-GB"/>
              </w:rPr>
            </w:pPr>
            <w:r w:rsidRPr="001119A4">
              <w:rPr>
                <w:lang w:val="en-GB"/>
              </w:rPr>
              <w:t>8,388.7</w:t>
            </w:r>
          </w:p>
        </w:tc>
        <w:tc>
          <w:tcPr>
            <w:tcW w:w="1843" w:type="dxa"/>
            <w:tcBorders>
              <w:top w:val="nil"/>
              <w:left w:val="nil"/>
              <w:bottom w:val="nil"/>
              <w:right w:val="nil"/>
            </w:tcBorders>
            <w:shd w:val="clear" w:color="auto" w:fill="auto"/>
            <w:vAlign w:val="center"/>
            <w:hideMark/>
          </w:tcPr>
          <w:p w14:paraId="28CC2DEC" w14:textId="77777777" w:rsidR="003C00E7" w:rsidRPr="001119A4" w:rsidRDefault="009D4742">
            <w:pPr>
              <w:pStyle w:val="P68B1DB1-Normal12"/>
              <w:spacing w:after="0" w:line="240" w:lineRule="auto"/>
              <w:jc w:val="center"/>
              <w:rPr>
                <w:lang w:val="en-GB"/>
              </w:rPr>
            </w:pPr>
            <w:r w:rsidRPr="001119A4">
              <w:rPr>
                <w:lang w:val="en-GB"/>
              </w:rPr>
              <w:t>8,224.4</w:t>
            </w:r>
          </w:p>
        </w:tc>
        <w:tc>
          <w:tcPr>
            <w:tcW w:w="1984" w:type="dxa"/>
            <w:tcBorders>
              <w:top w:val="nil"/>
              <w:left w:val="nil"/>
              <w:bottom w:val="nil"/>
              <w:right w:val="nil"/>
            </w:tcBorders>
            <w:shd w:val="clear" w:color="000000" w:fill="E3F1F7"/>
            <w:vAlign w:val="center"/>
            <w:hideMark/>
          </w:tcPr>
          <w:p w14:paraId="3C0A8A34" w14:textId="77777777" w:rsidR="003C00E7" w:rsidRPr="001119A4" w:rsidRDefault="009D4742">
            <w:pPr>
              <w:pStyle w:val="P68B1DB1-Normal10"/>
              <w:spacing w:after="0" w:line="240" w:lineRule="auto"/>
              <w:jc w:val="center"/>
              <w:rPr>
                <w:lang w:val="en-GB"/>
              </w:rPr>
            </w:pPr>
            <w:r w:rsidRPr="001119A4">
              <w:rPr>
                <w:lang w:val="en-GB"/>
              </w:rPr>
              <w:t>2.0%</w:t>
            </w:r>
          </w:p>
        </w:tc>
      </w:tr>
      <w:tr w:rsidR="003C00E7" w:rsidRPr="001119A4" w14:paraId="00CDC97A" w14:textId="77777777">
        <w:trPr>
          <w:trHeight w:val="300"/>
        </w:trPr>
        <w:tc>
          <w:tcPr>
            <w:tcW w:w="3284" w:type="dxa"/>
            <w:tcBorders>
              <w:top w:val="nil"/>
              <w:left w:val="nil"/>
              <w:bottom w:val="nil"/>
              <w:right w:val="nil"/>
            </w:tcBorders>
            <w:shd w:val="clear" w:color="auto" w:fill="auto"/>
            <w:vAlign w:val="center"/>
            <w:hideMark/>
          </w:tcPr>
          <w:p w14:paraId="66286E95" w14:textId="77777777" w:rsidR="003C00E7" w:rsidRPr="001119A4" w:rsidRDefault="009D4742">
            <w:pPr>
              <w:pStyle w:val="P68B1DB1-Normal12"/>
              <w:spacing w:after="0" w:line="240" w:lineRule="auto"/>
              <w:rPr>
                <w:lang w:val="en-GB"/>
              </w:rPr>
            </w:pPr>
            <w:r w:rsidRPr="001119A4">
              <w:rPr>
                <w:lang w:val="en-GB"/>
              </w:rPr>
              <w:t>Nitrogen-based fertilizers</w:t>
            </w:r>
          </w:p>
        </w:tc>
        <w:tc>
          <w:tcPr>
            <w:tcW w:w="2103" w:type="dxa"/>
            <w:tcBorders>
              <w:top w:val="nil"/>
              <w:left w:val="nil"/>
              <w:bottom w:val="nil"/>
              <w:right w:val="nil"/>
            </w:tcBorders>
            <w:shd w:val="clear" w:color="auto" w:fill="auto"/>
            <w:vAlign w:val="center"/>
            <w:hideMark/>
          </w:tcPr>
          <w:p w14:paraId="3827453D" w14:textId="77777777" w:rsidR="003C00E7" w:rsidRPr="001119A4" w:rsidRDefault="009D4742">
            <w:pPr>
              <w:pStyle w:val="P68B1DB1-Normal12"/>
              <w:spacing w:after="0" w:line="240" w:lineRule="auto"/>
              <w:jc w:val="center"/>
              <w:rPr>
                <w:lang w:val="en-GB"/>
              </w:rPr>
            </w:pPr>
            <w:r w:rsidRPr="001119A4">
              <w:rPr>
                <w:lang w:val="en-GB"/>
              </w:rPr>
              <w:t>2,605.3</w:t>
            </w:r>
          </w:p>
        </w:tc>
        <w:tc>
          <w:tcPr>
            <w:tcW w:w="1843" w:type="dxa"/>
            <w:tcBorders>
              <w:top w:val="nil"/>
              <w:left w:val="nil"/>
              <w:bottom w:val="nil"/>
              <w:right w:val="nil"/>
            </w:tcBorders>
            <w:shd w:val="clear" w:color="auto" w:fill="auto"/>
            <w:vAlign w:val="center"/>
            <w:hideMark/>
          </w:tcPr>
          <w:p w14:paraId="5597F958" w14:textId="77777777" w:rsidR="003C00E7" w:rsidRPr="001119A4" w:rsidRDefault="009D4742">
            <w:pPr>
              <w:pStyle w:val="P68B1DB1-Normal12"/>
              <w:spacing w:after="0" w:line="240" w:lineRule="auto"/>
              <w:jc w:val="center"/>
              <w:rPr>
                <w:lang w:val="en-GB"/>
              </w:rPr>
            </w:pPr>
            <w:r w:rsidRPr="001119A4">
              <w:rPr>
                <w:lang w:val="en-GB"/>
              </w:rPr>
              <w:t>2,546.6</w:t>
            </w:r>
          </w:p>
        </w:tc>
        <w:tc>
          <w:tcPr>
            <w:tcW w:w="1984" w:type="dxa"/>
            <w:tcBorders>
              <w:top w:val="nil"/>
              <w:left w:val="nil"/>
              <w:bottom w:val="nil"/>
              <w:right w:val="nil"/>
            </w:tcBorders>
            <w:shd w:val="clear" w:color="000000" w:fill="E3F1F7"/>
            <w:vAlign w:val="center"/>
            <w:hideMark/>
          </w:tcPr>
          <w:p w14:paraId="42458A0C" w14:textId="77777777" w:rsidR="003C00E7" w:rsidRPr="001119A4" w:rsidRDefault="009D4742">
            <w:pPr>
              <w:pStyle w:val="P68B1DB1-Normal10"/>
              <w:spacing w:after="0" w:line="240" w:lineRule="auto"/>
              <w:jc w:val="center"/>
              <w:rPr>
                <w:lang w:val="en-GB"/>
              </w:rPr>
            </w:pPr>
            <w:r w:rsidRPr="001119A4">
              <w:rPr>
                <w:lang w:val="en-GB"/>
              </w:rPr>
              <w:t>2.3%</w:t>
            </w:r>
          </w:p>
        </w:tc>
      </w:tr>
      <w:tr w:rsidR="003C00E7" w:rsidRPr="001119A4" w14:paraId="65B3E4CA" w14:textId="77777777">
        <w:trPr>
          <w:trHeight w:val="315"/>
        </w:trPr>
        <w:tc>
          <w:tcPr>
            <w:tcW w:w="3284" w:type="dxa"/>
            <w:tcBorders>
              <w:top w:val="nil"/>
              <w:left w:val="nil"/>
              <w:bottom w:val="single" w:sz="8" w:space="0" w:color="auto"/>
              <w:right w:val="nil"/>
            </w:tcBorders>
            <w:shd w:val="clear" w:color="auto" w:fill="auto"/>
            <w:vAlign w:val="center"/>
            <w:hideMark/>
          </w:tcPr>
          <w:p w14:paraId="71B6FBFF" w14:textId="77777777" w:rsidR="003C00E7" w:rsidRPr="001119A4" w:rsidRDefault="009D4742">
            <w:pPr>
              <w:pStyle w:val="P68B1DB1-Normal12"/>
              <w:spacing w:after="0" w:line="240" w:lineRule="auto"/>
              <w:rPr>
                <w:lang w:val="en-GB"/>
              </w:rPr>
            </w:pPr>
            <w:r w:rsidRPr="001119A4">
              <w:rPr>
                <w:lang w:val="en-GB"/>
              </w:rPr>
              <w:t>Other products</w:t>
            </w:r>
          </w:p>
        </w:tc>
        <w:tc>
          <w:tcPr>
            <w:tcW w:w="2103" w:type="dxa"/>
            <w:tcBorders>
              <w:top w:val="nil"/>
              <w:left w:val="nil"/>
              <w:bottom w:val="single" w:sz="8" w:space="0" w:color="auto"/>
              <w:right w:val="nil"/>
            </w:tcBorders>
            <w:shd w:val="clear" w:color="auto" w:fill="auto"/>
            <w:vAlign w:val="center"/>
            <w:hideMark/>
          </w:tcPr>
          <w:p w14:paraId="13EE6C10" w14:textId="77777777" w:rsidR="003C00E7" w:rsidRPr="001119A4" w:rsidRDefault="009D4742">
            <w:pPr>
              <w:pStyle w:val="P68B1DB1-Normal12"/>
              <w:spacing w:after="0" w:line="240" w:lineRule="auto"/>
              <w:jc w:val="center"/>
              <w:rPr>
                <w:lang w:val="en-GB"/>
              </w:rPr>
            </w:pPr>
            <w:r w:rsidRPr="001119A4">
              <w:rPr>
                <w:lang w:val="en-GB"/>
              </w:rPr>
              <w:t>286.0</w:t>
            </w:r>
          </w:p>
        </w:tc>
        <w:tc>
          <w:tcPr>
            <w:tcW w:w="1843" w:type="dxa"/>
            <w:tcBorders>
              <w:top w:val="nil"/>
              <w:left w:val="nil"/>
              <w:bottom w:val="single" w:sz="8" w:space="0" w:color="auto"/>
              <w:right w:val="nil"/>
            </w:tcBorders>
            <w:shd w:val="clear" w:color="auto" w:fill="auto"/>
            <w:vAlign w:val="center"/>
            <w:hideMark/>
          </w:tcPr>
          <w:p w14:paraId="3CB45B95" w14:textId="77777777" w:rsidR="003C00E7" w:rsidRPr="001119A4" w:rsidRDefault="009D4742">
            <w:pPr>
              <w:pStyle w:val="P68B1DB1-Normal12"/>
              <w:spacing w:after="0" w:line="240" w:lineRule="auto"/>
              <w:jc w:val="center"/>
              <w:rPr>
                <w:lang w:val="en-GB"/>
              </w:rPr>
            </w:pPr>
            <w:r w:rsidRPr="001119A4">
              <w:rPr>
                <w:lang w:val="en-GB"/>
              </w:rPr>
              <w:t>301.9</w:t>
            </w:r>
          </w:p>
        </w:tc>
        <w:tc>
          <w:tcPr>
            <w:tcW w:w="1984" w:type="dxa"/>
            <w:tcBorders>
              <w:top w:val="nil"/>
              <w:left w:val="nil"/>
              <w:bottom w:val="single" w:sz="8" w:space="0" w:color="auto"/>
              <w:right w:val="nil"/>
            </w:tcBorders>
            <w:shd w:val="clear" w:color="000000" w:fill="E3F1F7"/>
            <w:vAlign w:val="center"/>
            <w:hideMark/>
          </w:tcPr>
          <w:p w14:paraId="6E2A3EB0" w14:textId="77777777" w:rsidR="003C00E7" w:rsidRPr="001119A4" w:rsidRDefault="009D4742">
            <w:pPr>
              <w:pStyle w:val="P68B1DB1-Normal10"/>
              <w:spacing w:after="0" w:line="240" w:lineRule="auto"/>
              <w:jc w:val="center"/>
              <w:rPr>
                <w:lang w:val="en-GB"/>
              </w:rPr>
            </w:pPr>
            <w:r w:rsidRPr="001119A4">
              <w:rPr>
                <w:lang w:val="en-GB"/>
              </w:rPr>
              <w:t>-5.3%</w:t>
            </w:r>
          </w:p>
        </w:tc>
      </w:tr>
      <w:tr w:rsidR="003C00E7" w:rsidRPr="001119A4" w14:paraId="21D29763" w14:textId="77777777">
        <w:trPr>
          <w:trHeight w:val="315"/>
        </w:trPr>
        <w:tc>
          <w:tcPr>
            <w:tcW w:w="3284" w:type="dxa"/>
            <w:tcBorders>
              <w:top w:val="nil"/>
              <w:left w:val="nil"/>
              <w:bottom w:val="single" w:sz="8" w:space="0" w:color="auto"/>
              <w:right w:val="nil"/>
            </w:tcBorders>
            <w:shd w:val="clear" w:color="auto" w:fill="auto"/>
            <w:vAlign w:val="center"/>
            <w:hideMark/>
          </w:tcPr>
          <w:p w14:paraId="415D0727" w14:textId="77777777" w:rsidR="003C00E7" w:rsidRPr="001119A4" w:rsidRDefault="009D4742">
            <w:pPr>
              <w:pStyle w:val="P68B1DB1-Normal15"/>
              <w:spacing w:after="0" w:line="240" w:lineRule="auto"/>
              <w:rPr>
                <w:lang w:val="en-GB"/>
              </w:rPr>
            </w:pPr>
            <w:r w:rsidRPr="001119A4">
              <w:rPr>
                <w:lang w:val="en-GB"/>
              </w:rPr>
              <w:t>TOTAL agrochemicals</w:t>
            </w:r>
          </w:p>
        </w:tc>
        <w:tc>
          <w:tcPr>
            <w:tcW w:w="2103" w:type="dxa"/>
            <w:tcBorders>
              <w:top w:val="nil"/>
              <w:left w:val="nil"/>
              <w:bottom w:val="single" w:sz="8" w:space="0" w:color="auto"/>
              <w:right w:val="nil"/>
            </w:tcBorders>
            <w:shd w:val="clear" w:color="auto" w:fill="auto"/>
            <w:vAlign w:val="center"/>
            <w:hideMark/>
          </w:tcPr>
          <w:p w14:paraId="28E840FB" w14:textId="77777777" w:rsidR="003C00E7" w:rsidRPr="001119A4" w:rsidRDefault="009D4742">
            <w:pPr>
              <w:pStyle w:val="P68B1DB1-Normal15"/>
              <w:spacing w:after="0" w:line="240" w:lineRule="auto"/>
              <w:jc w:val="center"/>
              <w:rPr>
                <w:lang w:val="en-GB"/>
              </w:rPr>
            </w:pPr>
            <w:r w:rsidRPr="001119A4">
              <w:rPr>
                <w:lang w:val="en-GB"/>
              </w:rPr>
              <w:t>11,280.0</w:t>
            </w:r>
          </w:p>
        </w:tc>
        <w:tc>
          <w:tcPr>
            <w:tcW w:w="1843" w:type="dxa"/>
            <w:tcBorders>
              <w:top w:val="nil"/>
              <w:left w:val="nil"/>
              <w:bottom w:val="single" w:sz="8" w:space="0" w:color="auto"/>
              <w:right w:val="nil"/>
            </w:tcBorders>
            <w:shd w:val="clear" w:color="auto" w:fill="auto"/>
            <w:vAlign w:val="center"/>
            <w:hideMark/>
          </w:tcPr>
          <w:p w14:paraId="7111A08B" w14:textId="77777777" w:rsidR="003C00E7" w:rsidRPr="001119A4" w:rsidRDefault="009D4742">
            <w:pPr>
              <w:pStyle w:val="P68B1DB1-Normal15"/>
              <w:spacing w:after="0" w:line="240" w:lineRule="auto"/>
              <w:jc w:val="center"/>
              <w:rPr>
                <w:lang w:val="en-GB"/>
              </w:rPr>
            </w:pPr>
            <w:r w:rsidRPr="001119A4">
              <w:rPr>
                <w:lang w:val="en-GB"/>
              </w:rPr>
              <w:t>11,072.9</w:t>
            </w:r>
          </w:p>
        </w:tc>
        <w:tc>
          <w:tcPr>
            <w:tcW w:w="1984" w:type="dxa"/>
            <w:tcBorders>
              <w:top w:val="nil"/>
              <w:left w:val="nil"/>
              <w:bottom w:val="single" w:sz="8" w:space="0" w:color="auto"/>
              <w:right w:val="nil"/>
            </w:tcBorders>
            <w:shd w:val="clear" w:color="000000" w:fill="E3F1F7"/>
            <w:vAlign w:val="center"/>
            <w:hideMark/>
          </w:tcPr>
          <w:p w14:paraId="4C48D9A6" w14:textId="77777777" w:rsidR="003C00E7" w:rsidRPr="001119A4" w:rsidRDefault="009D4742">
            <w:pPr>
              <w:pStyle w:val="P68B1DB1-Normal16"/>
              <w:spacing w:after="0" w:line="240" w:lineRule="auto"/>
              <w:jc w:val="center"/>
              <w:rPr>
                <w:lang w:val="en-GB"/>
              </w:rPr>
            </w:pPr>
            <w:r w:rsidRPr="001119A4">
              <w:rPr>
                <w:lang w:val="en-GB"/>
              </w:rPr>
              <w:t>1.9%</w:t>
            </w:r>
          </w:p>
        </w:tc>
      </w:tr>
      <w:tr w:rsidR="003C00E7" w:rsidRPr="001119A4" w14:paraId="3FB1C1E6" w14:textId="77777777">
        <w:trPr>
          <w:trHeight w:val="345"/>
        </w:trPr>
        <w:tc>
          <w:tcPr>
            <w:tcW w:w="9214" w:type="dxa"/>
            <w:gridSpan w:val="4"/>
            <w:tcBorders>
              <w:top w:val="single" w:sz="8" w:space="0" w:color="auto"/>
              <w:left w:val="nil"/>
              <w:bottom w:val="single" w:sz="8" w:space="0" w:color="auto"/>
              <w:right w:val="nil"/>
            </w:tcBorders>
            <w:shd w:val="clear" w:color="000000" w:fill="2B87A2"/>
            <w:vAlign w:val="center"/>
            <w:hideMark/>
          </w:tcPr>
          <w:p w14:paraId="270681E4" w14:textId="77777777" w:rsidR="003C00E7" w:rsidRPr="001119A4" w:rsidRDefault="009D4742">
            <w:pPr>
              <w:pStyle w:val="P68B1DB1-Normal14"/>
              <w:spacing w:after="0" w:line="240" w:lineRule="auto"/>
              <w:jc w:val="center"/>
              <w:rPr>
                <w:lang w:val="en-GB"/>
              </w:rPr>
            </w:pPr>
            <w:r w:rsidRPr="001119A4">
              <w:rPr>
                <w:lang w:val="en-GB"/>
              </w:rPr>
              <w:t>Sales volumes by category</w:t>
            </w:r>
          </w:p>
        </w:tc>
      </w:tr>
      <w:tr w:rsidR="003C00E7" w:rsidRPr="001119A4" w14:paraId="5A9EA3FB" w14:textId="77777777">
        <w:trPr>
          <w:trHeight w:val="480"/>
        </w:trPr>
        <w:tc>
          <w:tcPr>
            <w:tcW w:w="3284" w:type="dxa"/>
            <w:tcBorders>
              <w:top w:val="nil"/>
              <w:left w:val="nil"/>
              <w:bottom w:val="nil"/>
              <w:right w:val="nil"/>
            </w:tcBorders>
            <w:shd w:val="clear" w:color="auto" w:fill="auto"/>
            <w:vAlign w:val="center"/>
            <w:hideMark/>
          </w:tcPr>
          <w:p w14:paraId="216865A1" w14:textId="77777777" w:rsidR="003C00E7" w:rsidRPr="001119A4" w:rsidRDefault="009D4742">
            <w:pPr>
              <w:pStyle w:val="P68B1DB1-Normal5"/>
              <w:spacing w:after="0" w:line="240" w:lineRule="auto"/>
              <w:rPr>
                <w:lang w:val="en-GB"/>
              </w:rPr>
            </w:pPr>
            <w:r w:rsidRPr="001119A4">
              <w:rPr>
                <w:lang w:val="en-GB"/>
              </w:rPr>
              <w:t>kt</w:t>
            </w:r>
          </w:p>
        </w:tc>
        <w:tc>
          <w:tcPr>
            <w:tcW w:w="2103" w:type="dxa"/>
            <w:tcBorders>
              <w:top w:val="nil"/>
              <w:left w:val="nil"/>
              <w:bottom w:val="nil"/>
              <w:right w:val="nil"/>
            </w:tcBorders>
            <w:shd w:val="clear" w:color="auto" w:fill="auto"/>
            <w:vAlign w:val="center"/>
            <w:hideMark/>
          </w:tcPr>
          <w:p w14:paraId="3D0F997F" w14:textId="77777777" w:rsidR="003C00E7" w:rsidRPr="001119A4" w:rsidRDefault="009D4742">
            <w:pPr>
              <w:pStyle w:val="P68B1DB1-Normal6"/>
              <w:spacing w:after="0" w:line="240" w:lineRule="auto"/>
              <w:jc w:val="center"/>
              <w:rPr>
                <w:lang w:val="en-GB"/>
              </w:rPr>
            </w:pPr>
            <w:r w:rsidRPr="001119A4">
              <w:rPr>
                <w:lang w:val="en-GB"/>
              </w:rPr>
              <w:t>FY 2023</w:t>
            </w:r>
          </w:p>
        </w:tc>
        <w:tc>
          <w:tcPr>
            <w:tcW w:w="1843" w:type="dxa"/>
            <w:tcBorders>
              <w:top w:val="nil"/>
              <w:left w:val="nil"/>
              <w:bottom w:val="nil"/>
              <w:right w:val="nil"/>
            </w:tcBorders>
            <w:shd w:val="clear" w:color="auto" w:fill="auto"/>
            <w:vAlign w:val="center"/>
            <w:hideMark/>
          </w:tcPr>
          <w:p w14:paraId="1A8065F8" w14:textId="77777777" w:rsidR="003C00E7" w:rsidRPr="001119A4" w:rsidRDefault="009D4742">
            <w:pPr>
              <w:pStyle w:val="P68B1DB1-Normal6"/>
              <w:spacing w:after="0" w:line="240" w:lineRule="auto"/>
              <w:jc w:val="center"/>
              <w:rPr>
                <w:lang w:val="en-GB"/>
              </w:rPr>
            </w:pPr>
            <w:r w:rsidRPr="001119A4">
              <w:rPr>
                <w:lang w:val="en-GB"/>
              </w:rPr>
              <w:t>FY 2022</w:t>
            </w:r>
          </w:p>
        </w:tc>
        <w:tc>
          <w:tcPr>
            <w:tcW w:w="1984" w:type="dxa"/>
            <w:tcBorders>
              <w:top w:val="nil"/>
              <w:left w:val="nil"/>
              <w:bottom w:val="nil"/>
              <w:right w:val="nil"/>
            </w:tcBorders>
            <w:shd w:val="clear" w:color="000000" w:fill="E3F1F7"/>
            <w:vAlign w:val="center"/>
            <w:hideMark/>
          </w:tcPr>
          <w:p w14:paraId="4AD4A3D9" w14:textId="03F5FE7F" w:rsidR="003C00E7" w:rsidRPr="001119A4" w:rsidRDefault="009D4742">
            <w:pPr>
              <w:pStyle w:val="P68B1DB1-Normal7"/>
              <w:spacing w:after="0" w:line="240" w:lineRule="auto"/>
              <w:jc w:val="center"/>
              <w:rPr>
                <w:rFonts w:cs="Calibri"/>
                <w:lang w:val="en-GB"/>
              </w:rPr>
            </w:pPr>
            <w:r w:rsidRPr="001119A4">
              <w:rPr>
                <w:lang w:val="en-GB"/>
              </w:rPr>
              <w:t>Change</w:t>
            </w:r>
            <w:r w:rsidR="00D4485E" w:rsidRPr="001119A4">
              <w:rPr>
                <w:lang w:val="en-GB"/>
              </w:rPr>
              <w:t>,</w:t>
            </w:r>
            <w:r w:rsidRPr="001119A4">
              <w:rPr>
                <w:lang w:val="en-GB"/>
              </w:rPr>
              <w:t xml:space="preserve"> %</w:t>
            </w:r>
          </w:p>
        </w:tc>
      </w:tr>
      <w:tr w:rsidR="003C00E7" w:rsidRPr="001119A4" w14:paraId="234AC05F" w14:textId="77777777">
        <w:trPr>
          <w:trHeight w:val="480"/>
        </w:trPr>
        <w:tc>
          <w:tcPr>
            <w:tcW w:w="3284" w:type="dxa"/>
            <w:tcBorders>
              <w:top w:val="nil"/>
              <w:left w:val="nil"/>
              <w:bottom w:val="nil"/>
              <w:right w:val="nil"/>
            </w:tcBorders>
            <w:shd w:val="clear" w:color="auto" w:fill="auto"/>
            <w:vAlign w:val="center"/>
            <w:hideMark/>
          </w:tcPr>
          <w:p w14:paraId="1305C075" w14:textId="77777777" w:rsidR="003C00E7" w:rsidRPr="001119A4" w:rsidRDefault="009D4742">
            <w:pPr>
              <w:pStyle w:val="P68B1DB1-Normal12"/>
              <w:spacing w:after="0" w:line="240" w:lineRule="auto"/>
              <w:rPr>
                <w:lang w:val="en-GB"/>
              </w:rPr>
            </w:pPr>
            <w:r w:rsidRPr="001119A4">
              <w:rPr>
                <w:lang w:val="en-GB"/>
              </w:rPr>
              <w:t>Phosphate-based fertilizers and feed phosphates</w:t>
            </w:r>
          </w:p>
        </w:tc>
        <w:tc>
          <w:tcPr>
            <w:tcW w:w="2103" w:type="dxa"/>
            <w:tcBorders>
              <w:top w:val="nil"/>
              <w:left w:val="nil"/>
              <w:bottom w:val="nil"/>
              <w:right w:val="nil"/>
            </w:tcBorders>
            <w:shd w:val="clear" w:color="auto" w:fill="auto"/>
            <w:vAlign w:val="center"/>
            <w:hideMark/>
          </w:tcPr>
          <w:p w14:paraId="5EB50E09" w14:textId="77777777" w:rsidR="003C00E7" w:rsidRPr="001119A4" w:rsidRDefault="009D4742">
            <w:pPr>
              <w:pStyle w:val="P68B1DB1-Normal12"/>
              <w:spacing w:after="0" w:line="240" w:lineRule="auto"/>
              <w:jc w:val="center"/>
              <w:rPr>
                <w:lang w:val="en-GB"/>
              </w:rPr>
            </w:pPr>
            <w:r w:rsidRPr="001119A4">
              <w:rPr>
                <w:lang w:val="en-GB"/>
              </w:rPr>
              <w:t>8,578.2</w:t>
            </w:r>
          </w:p>
        </w:tc>
        <w:tc>
          <w:tcPr>
            <w:tcW w:w="1843" w:type="dxa"/>
            <w:tcBorders>
              <w:top w:val="nil"/>
              <w:left w:val="nil"/>
              <w:bottom w:val="nil"/>
              <w:right w:val="nil"/>
            </w:tcBorders>
            <w:shd w:val="clear" w:color="auto" w:fill="auto"/>
            <w:vAlign w:val="center"/>
            <w:hideMark/>
          </w:tcPr>
          <w:p w14:paraId="62E85EB0" w14:textId="77777777" w:rsidR="003C00E7" w:rsidRPr="001119A4" w:rsidRDefault="009D4742">
            <w:pPr>
              <w:pStyle w:val="P68B1DB1-Normal12"/>
              <w:spacing w:after="0" w:line="240" w:lineRule="auto"/>
              <w:jc w:val="center"/>
              <w:rPr>
                <w:lang w:val="en-GB"/>
              </w:rPr>
            </w:pPr>
            <w:r w:rsidRPr="001119A4">
              <w:rPr>
                <w:lang w:val="en-GB"/>
              </w:rPr>
              <w:t>8,402.8</w:t>
            </w:r>
          </w:p>
        </w:tc>
        <w:tc>
          <w:tcPr>
            <w:tcW w:w="1984" w:type="dxa"/>
            <w:tcBorders>
              <w:top w:val="nil"/>
              <w:left w:val="nil"/>
              <w:bottom w:val="nil"/>
              <w:right w:val="nil"/>
            </w:tcBorders>
            <w:shd w:val="clear" w:color="000000" w:fill="E3F1F7"/>
            <w:vAlign w:val="center"/>
            <w:hideMark/>
          </w:tcPr>
          <w:p w14:paraId="0785639A" w14:textId="77777777" w:rsidR="003C00E7" w:rsidRPr="001119A4" w:rsidRDefault="009D4742">
            <w:pPr>
              <w:pStyle w:val="P68B1DB1-Normal10"/>
              <w:spacing w:after="0" w:line="240" w:lineRule="auto"/>
              <w:jc w:val="center"/>
              <w:rPr>
                <w:lang w:val="en-GB"/>
              </w:rPr>
            </w:pPr>
            <w:r w:rsidRPr="001119A4">
              <w:rPr>
                <w:lang w:val="en-GB"/>
              </w:rPr>
              <w:t>2.1%</w:t>
            </w:r>
          </w:p>
        </w:tc>
      </w:tr>
      <w:tr w:rsidR="003C00E7" w:rsidRPr="001119A4" w14:paraId="21305A8F" w14:textId="77777777">
        <w:trPr>
          <w:trHeight w:val="300"/>
        </w:trPr>
        <w:tc>
          <w:tcPr>
            <w:tcW w:w="3284" w:type="dxa"/>
            <w:tcBorders>
              <w:top w:val="nil"/>
              <w:left w:val="nil"/>
              <w:bottom w:val="nil"/>
              <w:right w:val="nil"/>
            </w:tcBorders>
            <w:shd w:val="clear" w:color="auto" w:fill="auto"/>
            <w:vAlign w:val="center"/>
            <w:hideMark/>
          </w:tcPr>
          <w:p w14:paraId="05C2C38C" w14:textId="77777777" w:rsidR="003C00E7" w:rsidRPr="001119A4" w:rsidRDefault="009D4742">
            <w:pPr>
              <w:pStyle w:val="P68B1DB1-Normal12"/>
              <w:spacing w:after="0" w:line="240" w:lineRule="auto"/>
              <w:rPr>
                <w:lang w:val="en-GB"/>
              </w:rPr>
            </w:pPr>
            <w:r w:rsidRPr="001119A4">
              <w:rPr>
                <w:lang w:val="en-GB"/>
              </w:rPr>
              <w:t>Nitrogen-based fertilizers</w:t>
            </w:r>
          </w:p>
        </w:tc>
        <w:tc>
          <w:tcPr>
            <w:tcW w:w="2103" w:type="dxa"/>
            <w:tcBorders>
              <w:top w:val="nil"/>
              <w:left w:val="nil"/>
              <w:bottom w:val="nil"/>
              <w:right w:val="nil"/>
            </w:tcBorders>
            <w:shd w:val="clear" w:color="auto" w:fill="auto"/>
            <w:vAlign w:val="center"/>
            <w:hideMark/>
          </w:tcPr>
          <w:p w14:paraId="1BD48CD5" w14:textId="77777777" w:rsidR="003C00E7" w:rsidRPr="001119A4" w:rsidRDefault="009D4742">
            <w:pPr>
              <w:pStyle w:val="P68B1DB1-Normal12"/>
              <w:spacing w:after="0" w:line="240" w:lineRule="auto"/>
              <w:jc w:val="center"/>
              <w:rPr>
                <w:lang w:val="en-GB"/>
              </w:rPr>
            </w:pPr>
            <w:r w:rsidRPr="001119A4">
              <w:rPr>
                <w:lang w:val="en-GB"/>
              </w:rPr>
              <w:t>2,560.5</w:t>
            </w:r>
          </w:p>
        </w:tc>
        <w:tc>
          <w:tcPr>
            <w:tcW w:w="1843" w:type="dxa"/>
            <w:tcBorders>
              <w:top w:val="nil"/>
              <w:left w:val="nil"/>
              <w:bottom w:val="nil"/>
              <w:right w:val="nil"/>
            </w:tcBorders>
            <w:shd w:val="clear" w:color="auto" w:fill="auto"/>
            <w:vAlign w:val="center"/>
            <w:hideMark/>
          </w:tcPr>
          <w:p w14:paraId="442B78FB" w14:textId="77777777" w:rsidR="003C00E7" w:rsidRPr="001119A4" w:rsidRDefault="009D4742">
            <w:pPr>
              <w:pStyle w:val="P68B1DB1-Normal12"/>
              <w:spacing w:after="0" w:line="240" w:lineRule="auto"/>
              <w:jc w:val="center"/>
              <w:rPr>
                <w:lang w:val="en-GB"/>
              </w:rPr>
            </w:pPr>
            <w:r w:rsidRPr="001119A4">
              <w:rPr>
                <w:lang w:val="en-GB"/>
              </w:rPr>
              <w:t>2,550.8</w:t>
            </w:r>
          </w:p>
        </w:tc>
        <w:tc>
          <w:tcPr>
            <w:tcW w:w="1984" w:type="dxa"/>
            <w:tcBorders>
              <w:top w:val="nil"/>
              <w:left w:val="nil"/>
              <w:bottom w:val="nil"/>
              <w:right w:val="nil"/>
            </w:tcBorders>
            <w:shd w:val="clear" w:color="000000" w:fill="E3F1F7"/>
            <w:vAlign w:val="center"/>
            <w:hideMark/>
          </w:tcPr>
          <w:p w14:paraId="52CD1876" w14:textId="77777777" w:rsidR="003C00E7" w:rsidRPr="001119A4" w:rsidRDefault="009D4742">
            <w:pPr>
              <w:pStyle w:val="P68B1DB1-Normal10"/>
              <w:spacing w:after="0" w:line="240" w:lineRule="auto"/>
              <w:jc w:val="center"/>
              <w:rPr>
                <w:lang w:val="en-GB"/>
              </w:rPr>
            </w:pPr>
            <w:r w:rsidRPr="001119A4">
              <w:rPr>
                <w:lang w:val="en-GB"/>
              </w:rPr>
              <w:t>0.4%</w:t>
            </w:r>
          </w:p>
        </w:tc>
      </w:tr>
      <w:tr w:rsidR="003C00E7" w:rsidRPr="001119A4" w14:paraId="0865D33E" w14:textId="77777777">
        <w:trPr>
          <w:trHeight w:val="315"/>
        </w:trPr>
        <w:tc>
          <w:tcPr>
            <w:tcW w:w="3284" w:type="dxa"/>
            <w:tcBorders>
              <w:top w:val="nil"/>
              <w:left w:val="nil"/>
              <w:bottom w:val="single" w:sz="8" w:space="0" w:color="auto"/>
              <w:right w:val="nil"/>
            </w:tcBorders>
            <w:shd w:val="clear" w:color="auto" w:fill="auto"/>
            <w:vAlign w:val="center"/>
            <w:hideMark/>
          </w:tcPr>
          <w:p w14:paraId="570EE4CF" w14:textId="77777777" w:rsidR="003C00E7" w:rsidRPr="001119A4" w:rsidRDefault="009D4742">
            <w:pPr>
              <w:pStyle w:val="P68B1DB1-Normal12"/>
              <w:spacing w:after="0" w:line="240" w:lineRule="auto"/>
              <w:rPr>
                <w:lang w:val="en-GB"/>
              </w:rPr>
            </w:pPr>
            <w:r w:rsidRPr="001119A4">
              <w:rPr>
                <w:lang w:val="en-GB"/>
              </w:rPr>
              <w:t>Other products</w:t>
            </w:r>
          </w:p>
        </w:tc>
        <w:tc>
          <w:tcPr>
            <w:tcW w:w="2103" w:type="dxa"/>
            <w:tcBorders>
              <w:top w:val="nil"/>
              <w:left w:val="nil"/>
              <w:bottom w:val="single" w:sz="8" w:space="0" w:color="auto"/>
              <w:right w:val="nil"/>
            </w:tcBorders>
            <w:shd w:val="clear" w:color="auto" w:fill="auto"/>
            <w:vAlign w:val="center"/>
            <w:hideMark/>
          </w:tcPr>
          <w:p w14:paraId="716CB043" w14:textId="41BDC7E4" w:rsidR="003C00E7" w:rsidRPr="001119A4" w:rsidRDefault="009D4742">
            <w:pPr>
              <w:pStyle w:val="P68B1DB1-Normal12"/>
              <w:spacing w:after="0" w:line="240" w:lineRule="auto"/>
              <w:jc w:val="center"/>
              <w:rPr>
                <w:lang w:val="en-GB"/>
              </w:rPr>
            </w:pPr>
            <w:r w:rsidRPr="001119A4">
              <w:rPr>
                <w:lang w:val="en-GB"/>
              </w:rPr>
              <w:t>214.8</w:t>
            </w:r>
          </w:p>
        </w:tc>
        <w:tc>
          <w:tcPr>
            <w:tcW w:w="1843" w:type="dxa"/>
            <w:tcBorders>
              <w:top w:val="nil"/>
              <w:left w:val="nil"/>
              <w:bottom w:val="single" w:sz="8" w:space="0" w:color="auto"/>
              <w:right w:val="nil"/>
            </w:tcBorders>
            <w:shd w:val="clear" w:color="auto" w:fill="auto"/>
            <w:vAlign w:val="center"/>
            <w:hideMark/>
          </w:tcPr>
          <w:p w14:paraId="71B2FD16" w14:textId="264F60DC" w:rsidR="003C00E7" w:rsidRPr="001119A4" w:rsidRDefault="009D4742">
            <w:pPr>
              <w:pStyle w:val="P68B1DB1-Normal12"/>
              <w:spacing w:after="0" w:line="240" w:lineRule="auto"/>
              <w:jc w:val="center"/>
              <w:rPr>
                <w:lang w:val="en-GB"/>
              </w:rPr>
            </w:pPr>
            <w:r w:rsidRPr="001119A4">
              <w:rPr>
                <w:lang w:val="en-GB"/>
              </w:rPr>
              <w:t>179.5</w:t>
            </w:r>
          </w:p>
        </w:tc>
        <w:tc>
          <w:tcPr>
            <w:tcW w:w="1984" w:type="dxa"/>
            <w:tcBorders>
              <w:top w:val="nil"/>
              <w:left w:val="nil"/>
              <w:bottom w:val="single" w:sz="8" w:space="0" w:color="auto"/>
              <w:right w:val="nil"/>
            </w:tcBorders>
            <w:shd w:val="clear" w:color="000000" w:fill="E3F1F7"/>
            <w:vAlign w:val="center"/>
            <w:hideMark/>
          </w:tcPr>
          <w:p w14:paraId="7AA433D8" w14:textId="11FF65F1" w:rsidR="003C00E7" w:rsidRPr="001119A4" w:rsidRDefault="009D4742">
            <w:pPr>
              <w:pStyle w:val="P68B1DB1-Normal10"/>
              <w:spacing w:after="0" w:line="240" w:lineRule="auto"/>
              <w:jc w:val="center"/>
              <w:rPr>
                <w:lang w:val="en-GB"/>
              </w:rPr>
            </w:pPr>
            <w:r w:rsidRPr="001119A4">
              <w:rPr>
                <w:lang w:val="en-GB"/>
              </w:rPr>
              <w:t>19.7%</w:t>
            </w:r>
          </w:p>
        </w:tc>
      </w:tr>
      <w:tr w:rsidR="003C00E7" w:rsidRPr="001119A4" w14:paraId="33A071A0" w14:textId="77777777">
        <w:trPr>
          <w:trHeight w:val="315"/>
        </w:trPr>
        <w:tc>
          <w:tcPr>
            <w:tcW w:w="3284" w:type="dxa"/>
            <w:tcBorders>
              <w:top w:val="nil"/>
              <w:left w:val="nil"/>
              <w:bottom w:val="single" w:sz="8" w:space="0" w:color="auto"/>
              <w:right w:val="nil"/>
            </w:tcBorders>
            <w:shd w:val="clear" w:color="auto" w:fill="auto"/>
            <w:vAlign w:val="center"/>
            <w:hideMark/>
          </w:tcPr>
          <w:p w14:paraId="4565A90C" w14:textId="77777777" w:rsidR="003C00E7" w:rsidRPr="001119A4" w:rsidRDefault="009D4742">
            <w:pPr>
              <w:pStyle w:val="P68B1DB1-Normal15"/>
              <w:spacing w:after="0" w:line="240" w:lineRule="auto"/>
              <w:rPr>
                <w:lang w:val="en-GB"/>
              </w:rPr>
            </w:pPr>
            <w:r w:rsidRPr="001119A4">
              <w:rPr>
                <w:lang w:val="en-GB"/>
              </w:rPr>
              <w:t>TOTAL agrochemicals</w:t>
            </w:r>
          </w:p>
        </w:tc>
        <w:tc>
          <w:tcPr>
            <w:tcW w:w="2103" w:type="dxa"/>
            <w:tcBorders>
              <w:top w:val="nil"/>
              <w:left w:val="nil"/>
              <w:bottom w:val="single" w:sz="8" w:space="0" w:color="auto"/>
              <w:right w:val="nil"/>
            </w:tcBorders>
            <w:shd w:val="clear" w:color="auto" w:fill="auto"/>
            <w:vAlign w:val="center"/>
            <w:hideMark/>
          </w:tcPr>
          <w:p w14:paraId="6812FBB0" w14:textId="0DF6973C" w:rsidR="003C00E7" w:rsidRPr="001119A4" w:rsidRDefault="009D4742">
            <w:pPr>
              <w:pStyle w:val="P68B1DB1-Normal15"/>
              <w:spacing w:after="0" w:line="240" w:lineRule="auto"/>
              <w:jc w:val="center"/>
              <w:rPr>
                <w:lang w:val="en-GB"/>
              </w:rPr>
            </w:pPr>
            <w:r w:rsidRPr="001119A4">
              <w:rPr>
                <w:lang w:val="en-GB"/>
              </w:rPr>
              <w:t>11,353.5</w:t>
            </w:r>
          </w:p>
        </w:tc>
        <w:tc>
          <w:tcPr>
            <w:tcW w:w="1843" w:type="dxa"/>
            <w:tcBorders>
              <w:top w:val="nil"/>
              <w:left w:val="nil"/>
              <w:bottom w:val="single" w:sz="8" w:space="0" w:color="auto"/>
              <w:right w:val="nil"/>
            </w:tcBorders>
            <w:shd w:val="clear" w:color="auto" w:fill="auto"/>
            <w:vAlign w:val="center"/>
            <w:hideMark/>
          </w:tcPr>
          <w:p w14:paraId="3B4E6FF8" w14:textId="586FDE6D" w:rsidR="003C00E7" w:rsidRPr="001119A4" w:rsidRDefault="009D4742">
            <w:pPr>
              <w:pStyle w:val="P68B1DB1-Normal15"/>
              <w:spacing w:after="0" w:line="240" w:lineRule="auto"/>
              <w:jc w:val="center"/>
              <w:rPr>
                <w:lang w:val="en-GB"/>
              </w:rPr>
            </w:pPr>
            <w:r w:rsidRPr="001119A4">
              <w:rPr>
                <w:lang w:val="en-GB"/>
              </w:rPr>
              <w:t>11,133.1</w:t>
            </w:r>
          </w:p>
        </w:tc>
        <w:tc>
          <w:tcPr>
            <w:tcW w:w="1984" w:type="dxa"/>
            <w:tcBorders>
              <w:top w:val="nil"/>
              <w:left w:val="nil"/>
              <w:bottom w:val="single" w:sz="8" w:space="0" w:color="auto"/>
              <w:right w:val="nil"/>
            </w:tcBorders>
            <w:shd w:val="clear" w:color="000000" w:fill="E3F1F7"/>
            <w:vAlign w:val="center"/>
            <w:hideMark/>
          </w:tcPr>
          <w:p w14:paraId="4B2A5F8D" w14:textId="75135CD6" w:rsidR="003C00E7" w:rsidRPr="001119A4" w:rsidRDefault="009D4742">
            <w:pPr>
              <w:pStyle w:val="P68B1DB1-Normal16"/>
              <w:spacing w:after="0" w:line="240" w:lineRule="auto"/>
              <w:jc w:val="center"/>
              <w:rPr>
                <w:lang w:val="en-GB"/>
              </w:rPr>
            </w:pPr>
            <w:r w:rsidRPr="001119A4">
              <w:rPr>
                <w:lang w:val="en-GB"/>
              </w:rPr>
              <w:t>2.0%</w:t>
            </w:r>
          </w:p>
        </w:tc>
      </w:tr>
    </w:tbl>
    <w:p w14:paraId="2D33D2F4" w14:textId="77777777" w:rsidR="003C00E7" w:rsidRPr="001119A4" w:rsidRDefault="003C00E7">
      <w:pPr>
        <w:pStyle w:val="aa"/>
        <w:rPr>
          <w:rFonts w:asciiTheme="minorHAnsi" w:hAnsiTheme="minorHAnsi" w:cstheme="minorHAnsi"/>
          <w:i/>
          <w:sz w:val="18"/>
          <w:lang w:val="en-GB"/>
        </w:rPr>
      </w:pPr>
    </w:p>
    <w:p w14:paraId="3830AD96" w14:textId="77777777" w:rsidR="003C00E7" w:rsidRPr="001119A4" w:rsidRDefault="009D4742">
      <w:pPr>
        <w:pStyle w:val="P68B1DB1-Footer17"/>
        <w:rPr>
          <w:lang w:val="en-GB"/>
        </w:rPr>
      </w:pPr>
      <w:r w:rsidRPr="001119A4">
        <w:rPr>
          <w:lang w:val="en-GB"/>
        </w:rPr>
        <w:t>RUB/USD exchange rates: average for FY 2023: 85.2466; average for FY 2022: 68.5494; as of 31 December 2023:</w:t>
      </w:r>
      <w:r w:rsidRPr="001119A4">
        <w:rPr>
          <w:color w:val="FF0000"/>
          <w:lang w:val="en-GB"/>
        </w:rPr>
        <w:t xml:space="preserve"> </w:t>
      </w:r>
      <w:r w:rsidRPr="001119A4">
        <w:rPr>
          <w:lang w:val="en-GB"/>
        </w:rPr>
        <w:t>89.6883; as of 31 December 2022: 70.3375.</w:t>
      </w:r>
    </w:p>
    <w:p w14:paraId="3E803041" w14:textId="77777777" w:rsidR="003C00E7" w:rsidRPr="001119A4" w:rsidRDefault="009D4742">
      <w:pPr>
        <w:pStyle w:val="P68B1DB1-Footer17"/>
        <w:rPr>
          <w:lang w:val="en-GB"/>
        </w:rPr>
      </w:pPr>
      <w:r w:rsidRPr="001119A4">
        <w:rPr>
          <w:lang w:val="en-GB"/>
        </w:rPr>
        <w:t>* EBITDA is calculated as operating profit adjusted for depreciation and amortisation.</w:t>
      </w:r>
    </w:p>
    <w:p w14:paraId="56C80282" w14:textId="77777777" w:rsidR="003C00E7" w:rsidRPr="001119A4" w:rsidRDefault="009D4742">
      <w:pPr>
        <w:pStyle w:val="P68B1DB1-Footer17"/>
        <w:tabs>
          <w:tab w:val="clear" w:pos="4513"/>
          <w:tab w:val="clear" w:pos="9026"/>
        </w:tabs>
        <w:snapToGrid w:val="0"/>
        <w:rPr>
          <w:lang w:val="en-GB"/>
        </w:rPr>
      </w:pPr>
      <w:r w:rsidRPr="001119A4">
        <w:rPr>
          <w:lang w:val="en-GB"/>
        </w:rPr>
        <w:t>** Adj. net profit is net profit as reported minus FX gain or loss.</w:t>
      </w:r>
    </w:p>
    <w:p w14:paraId="52150759" w14:textId="77777777" w:rsidR="003C00E7" w:rsidRPr="001119A4" w:rsidRDefault="003C00E7">
      <w:pPr>
        <w:pStyle w:val="MediumGrid1-Accent21"/>
        <w:snapToGrid w:val="0"/>
        <w:spacing w:after="0" w:line="240" w:lineRule="auto"/>
        <w:ind w:left="0"/>
        <w:contextualSpacing w:val="0"/>
        <w:jc w:val="both"/>
        <w:rPr>
          <w:rFonts w:asciiTheme="minorHAnsi" w:hAnsiTheme="minorHAnsi" w:cstheme="minorHAnsi"/>
          <w:lang w:val="en-GB"/>
        </w:rPr>
      </w:pPr>
    </w:p>
    <w:p w14:paraId="0BC7BE2C" w14:textId="30BD30AA" w:rsidR="003C00E7" w:rsidRPr="001119A4" w:rsidRDefault="009D4742" w:rsidP="00CE0C7A">
      <w:pPr>
        <w:pStyle w:val="P68B1DB1-Normal2"/>
        <w:shd w:val="clear" w:color="auto" w:fill="FFFFFF"/>
        <w:spacing w:line="240" w:lineRule="auto"/>
        <w:jc w:val="both"/>
        <w:rPr>
          <w:lang w:val="en-GB"/>
        </w:rPr>
      </w:pPr>
      <w:r w:rsidRPr="001119A4">
        <w:rPr>
          <w:lang w:val="en-GB"/>
        </w:rPr>
        <w:t>The Company</w:t>
      </w:r>
      <w:r w:rsidR="00D4485E" w:rsidRPr="001119A4">
        <w:rPr>
          <w:lang w:val="en-GB"/>
        </w:rPr>
        <w:t>’</w:t>
      </w:r>
      <w:r w:rsidRPr="001119A4">
        <w:rPr>
          <w:lang w:val="en-GB"/>
        </w:rPr>
        <w:t xml:space="preserve">s revenue and EBITDA for FY 2023 decreased to the level of the previous year due to the stabilisation of global fertilizer prices after reaching </w:t>
      </w:r>
      <w:r w:rsidR="00145C7B" w:rsidRPr="001119A4">
        <w:rPr>
          <w:lang w:val="en-GB"/>
        </w:rPr>
        <w:t>all-time highs</w:t>
      </w:r>
      <w:r w:rsidRPr="001119A4">
        <w:rPr>
          <w:lang w:val="en-GB"/>
        </w:rPr>
        <w:t xml:space="preserve"> in 2022. </w:t>
      </w:r>
    </w:p>
    <w:p w14:paraId="08D7537D" w14:textId="61E8006D" w:rsidR="003C00E7" w:rsidRPr="001119A4" w:rsidRDefault="009D4742" w:rsidP="00CE0C7A">
      <w:pPr>
        <w:pStyle w:val="P68B1DB1-Normal2"/>
        <w:shd w:val="clear" w:color="auto" w:fill="FFFFFF"/>
        <w:spacing w:line="240" w:lineRule="auto"/>
        <w:jc w:val="both"/>
        <w:rPr>
          <w:lang w:val="en-GB"/>
        </w:rPr>
      </w:pPr>
      <w:r w:rsidRPr="001119A4">
        <w:rPr>
          <w:lang w:val="en-GB"/>
        </w:rPr>
        <w:t>At the same time, the EBITDA margin remained above 40% as of the end of the year. This high level of profitability was driven by increased production of high-margin fertilizers and basic feedstocks as well as the Company</w:t>
      </w:r>
      <w:r w:rsidR="00145C7B" w:rsidRPr="001119A4">
        <w:rPr>
          <w:lang w:val="en-GB"/>
        </w:rPr>
        <w:t>’</w:t>
      </w:r>
      <w:r w:rsidRPr="001119A4">
        <w:rPr>
          <w:lang w:val="en-GB"/>
        </w:rPr>
        <w:t xml:space="preserve">s flexible sales policy. </w:t>
      </w:r>
    </w:p>
    <w:p w14:paraId="6E20E26B" w14:textId="77777777" w:rsidR="00CE0C7A" w:rsidRDefault="009D4742" w:rsidP="00CE0C7A">
      <w:pPr>
        <w:pStyle w:val="P68B1DB1-Normal2"/>
        <w:shd w:val="clear" w:color="auto" w:fill="FFFFFF"/>
        <w:spacing w:line="240" w:lineRule="auto"/>
        <w:jc w:val="both"/>
        <w:rPr>
          <w:lang w:val="en-GB"/>
        </w:rPr>
      </w:pPr>
      <w:r w:rsidRPr="001119A4">
        <w:rPr>
          <w:lang w:val="en-GB"/>
        </w:rPr>
        <w:t>Thanks to a year-on-year increase of over 50% in sales to countries in Latin America, the Company was able to take full advantage of the favourable pricing environment at a time when fertilizers were becoming more affordable</w:t>
      </w:r>
      <w:r w:rsidR="00145C7B" w:rsidRPr="001119A4">
        <w:rPr>
          <w:lang w:val="en-GB"/>
        </w:rPr>
        <w:t>,</w:t>
      </w:r>
      <w:r w:rsidRPr="001119A4">
        <w:rPr>
          <w:lang w:val="en-GB"/>
        </w:rPr>
        <w:t xml:space="preserve"> and traders were short of inventories. </w:t>
      </w:r>
    </w:p>
    <w:p w14:paraId="747ECB91" w14:textId="4D4E4961" w:rsidR="003C00E7" w:rsidRDefault="00145C7B" w:rsidP="00CE0C7A">
      <w:pPr>
        <w:pStyle w:val="P68B1DB1-Normal2"/>
        <w:shd w:val="clear" w:color="auto" w:fill="FFFFFF"/>
        <w:spacing w:line="240" w:lineRule="auto"/>
        <w:jc w:val="both"/>
        <w:rPr>
          <w:lang w:val="en-GB"/>
        </w:rPr>
      </w:pPr>
      <w:r w:rsidRPr="001119A4">
        <w:rPr>
          <w:lang w:val="en-GB"/>
        </w:rPr>
        <w:t>The Company enjoyed</w:t>
      </w:r>
      <w:r w:rsidR="00AA029D">
        <w:rPr>
          <w:lang w:val="en-GB"/>
        </w:rPr>
        <w:t xml:space="preserve"> a </w:t>
      </w:r>
      <w:r w:rsidR="009C28E3">
        <w:rPr>
          <w:lang w:val="en-GB"/>
        </w:rPr>
        <w:t xml:space="preserve">high </w:t>
      </w:r>
      <w:r w:rsidR="00AA029D">
        <w:rPr>
          <w:lang w:val="en-GB"/>
        </w:rPr>
        <w:t>level of</w:t>
      </w:r>
      <w:r w:rsidRPr="001119A4">
        <w:rPr>
          <w:lang w:val="en-GB"/>
        </w:rPr>
        <w:t xml:space="preserve"> free cash flow </w:t>
      </w:r>
      <w:r w:rsidR="00AA029D">
        <w:rPr>
          <w:lang w:val="en-GB"/>
        </w:rPr>
        <w:t xml:space="preserve">(FCF) </w:t>
      </w:r>
      <w:r w:rsidRPr="001119A4">
        <w:rPr>
          <w:lang w:val="en-GB"/>
        </w:rPr>
        <w:t>of over RUB 70 billion in FY 2023</w:t>
      </w:r>
      <w:r w:rsidR="00AA029D">
        <w:rPr>
          <w:lang w:val="en-GB"/>
        </w:rPr>
        <w:t>.</w:t>
      </w:r>
      <w:r w:rsidRPr="001119A4">
        <w:rPr>
          <w:lang w:val="en-GB"/>
        </w:rPr>
        <w:t xml:space="preserve"> </w:t>
      </w:r>
      <w:r w:rsidR="00AA029D">
        <w:rPr>
          <w:lang w:val="en-GB"/>
        </w:rPr>
        <w:t>This excellent result was possible despite the Company’s negative FCF in 4Q 2023,</w:t>
      </w:r>
      <w:r w:rsidRPr="001119A4">
        <w:rPr>
          <w:lang w:val="en-GB"/>
        </w:rPr>
        <w:t xml:space="preserve"> </w:t>
      </w:r>
      <w:r w:rsidR="00AA029D">
        <w:rPr>
          <w:lang w:val="en-GB"/>
        </w:rPr>
        <w:t>which was impacted by</w:t>
      </w:r>
      <w:r w:rsidRPr="001119A4">
        <w:rPr>
          <w:lang w:val="en-GB"/>
        </w:rPr>
        <w:t xml:space="preserve"> an additional drain on liquidity from the payment of export duties</w:t>
      </w:r>
      <w:r w:rsidR="00AA029D">
        <w:rPr>
          <w:lang w:val="en-GB"/>
        </w:rPr>
        <w:t>,</w:t>
      </w:r>
      <w:r w:rsidRPr="001119A4">
        <w:rPr>
          <w:lang w:val="en-GB"/>
        </w:rPr>
        <w:t xml:space="preserve"> a payment at the end of the year for excess profit tax in the amount of RUB 6.4 billion</w:t>
      </w:r>
      <w:r w:rsidR="00AA029D">
        <w:rPr>
          <w:lang w:val="en-GB"/>
        </w:rPr>
        <w:t xml:space="preserve"> and high capital expenditures, which are typically made in the last quarter of the year</w:t>
      </w:r>
      <w:r w:rsidRPr="001119A4">
        <w:rPr>
          <w:lang w:val="en-GB"/>
        </w:rPr>
        <w:t xml:space="preserve">. </w:t>
      </w:r>
    </w:p>
    <w:p w14:paraId="73BCBA7C" w14:textId="5D755105" w:rsidR="00BC74EC" w:rsidRPr="00CE0C7A" w:rsidRDefault="00BC74EC" w:rsidP="00CE0C7A">
      <w:pPr>
        <w:pStyle w:val="P68B1DB1-Normal2"/>
        <w:shd w:val="clear" w:color="auto" w:fill="FFFFFF"/>
        <w:spacing w:line="240" w:lineRule="auto"/>
        <w:jc w:val="both"/>
        <w:rPr>
          <w:lang w:val="en-GB"/>
        </w:rPr>
      </w:pPr>
      <w:proofErr w:type="gramStart"/>
      <w:r>
        <w:rPr>
          <w:lang w:val="en-GB"/>
        </w:rPr>
        <w:t>In light of</w:t>
      </w:r>
      <w:proofErr w:type="gramEnd"/>
      <w:r>
        <w:rPr>
          <w:lang w:val="en-GB"/>
        </w:rPr>
        <w:t xml:space="preserve"> the above-mentioned drain on liquidity and in accordance with </w:t>
      </w:r>
      <w:proofErr w:type="spellStart"/>
      <w:r w:rsidR="000D193F">
        <w:rPr>
          <w:lang w:val="en-GB"/>
        </w:rPr>
        <w:t>PhosAgro’s</w:t>
      </w:r>
      <w:proofErr w:type="spellEnd"/>
      <w:r>
        <w:rPr>
          <w:lang w:val="en-GB"/>
        </w:rPr>
        <w:t xml:space="preserve"> dividend policy, </w:t>
      </w:r>
      <w:r w:rsidR="000D193F">
        <w:rPr>
          <w:lang w:val="en-GB"/>
        </w:rPr>
        <w:t>a decision was taken</w:t>
      </w:r>
      <w:r>
        <w:rPr>
          <w:lang w:val="en-GB"/>
        </w:rPr>
        <w:t xml:space="preserve"> not</w:t>
      </w:r>
      <w:r w:rsidR="000D193F">
        <w:rPr>
          <w:lang w:val="en-GB"/>
        </w:rPr>
        <w:t xml:space="preserve"> to</w:t>
      </w:r>
      <w:r>
        <w:rPr>
          <w:lang w:val="en-GB"/>
        </w:rPr>
        <w:t xml:space="preserve"> include the issue of profit distribution </w:t>
      </w:r>
      <w:r w:rsidR="000D193F">
        <w:rPr>
          <w:lang w:val="en-GB"/>
        </w:rPr>
        <w:t xml:space="preserve">for 2023 </w:t>
      </w:r>
      <w:r>
        <w:rPr>
          <w:lang w:val="en-GB"/>
        </w:rPr>
        <w:t xml:space="preserve">on the agenda for the Board of Directors meeting </w:t>
      </w:r>
      <w:r w:rsidR="000D193F">
        <w:rPr>
          <w:lang w:val="en-GB"/>
        </w:rPr>
        <w:t>where</w:t>
      </w:r>
      <w:r>
        <w:rPr>
          <w:lang w:val="en-GB"/>
        </w:rPr>
        <w:t xml:space="preserve"> the Company’s annual financial </w:t>
      </w:r>
      <w:r w:rsidR="000D193F">
        <w:rPr>
          <w:lang w:val="en-GB"/>
        </w:rPr>
        <w:t>statements are to be discussed</w:t>
      </w:r>
      <w:r>
        <w:rPr>
          <w:lang w:val="en-GB"/>
        </w:rPr>
        <w:t xml:space="preserve">. This issue is expected to be </w:t>
      </w:r>
      <w:r w:rsidR="000D193F">
        <w:rPr>
          <w:lang w:val="en-GB"/>
        </w:rPr>
        <w:t xml:space="preserve">included on the agenda for </w:t>
      </w:r>
      <w:r>
        <w:rPr>
          <w:lang w:val="en-GB"/>
        </w:rPr>
        <w:t xml:space="preserve">the Board of Directors meeting </w:t>
      </w:r>
      <w:r w:rsidR="000D193F">
        <w:rPr>
          <w:lang w:val="en-GB"/>
        </w:rPr>
        <w:t>that will discuss</w:t>
      </w:r>
      <w:r>
        <w:rPr>
          <w:lang w:val="en-GB"/>
        </w:rPr>
        <w:t xml:space="preserve"> the Company’s 1Q 2024 </w:t>
      </w:r>
      <w:r w:rsidR="000D193F">
        <w:rPr>
          <w:lang w:val="en-GB"/>
        </w:rPr>
        <w:t>performance</w:t>
      </w:r>
      <w:r>
        <w:rPr>
          <w:lang w:val="en-GB"/>
        </w:rPr>
        <w:t xml:space="preserve">. </w:t>
      </w:r>
    </w:p>
    <w:p w14:paraId="3F547861" w14:textId="47DD7FD7" w:rsidR="003C00E7" w:rsidRPr="001119A4" w:rsidRDefault="009D4742" w:rsidP="00CE0C7A">
      <w:pPr>
        <w:pStyle w:val="P68B1DB1-Normal2"/>
        <w:shd w:val="clear" w:color="auto" w:fill="FFFFFF"/>
        <w:spacing w:line="240" w:lineRule="auto"/>
        <w:jc w:val="both"/>
        <w:rPr>
          <w:lang w:val="en-GB"/>
        </w:rPr>
      </w:pPr>
      <w:r w:rsidRPr="001119A4">
        <w:rPr>
          <w:lang w:val="en-GB"/>
        </w:rPr>
        <w:t>Thanks to its strong financial position, capital investments within budget and high free cash flow, the Company was able to service all its debt obligations on time and in full, including those denominated in a foreign currency. As of the end of FY 2023, the Company</w:t>
      </w:r>
      <w:r w:rsidR="00273C3B" w:rsidRPr="001119A4">
        <w:rPr>
          <w:lang w:val="en-GB"/>
        </w:rPr>
        <w:t>’s</w:t>
      </w:r>
      <w:r w:rsidRPr="001119A4">
        <w:rPr>
          <w:lang w:val="en-GB"/>
        </w:rPr>
        <w:t xml:space="preserve"> debt load remained at a comfortable level. As of 31 December 2023, net debt amounted to RUB 223.2 billion, and the net debt/EBITDA ratio was 1.2x. The substantial increase in RUB-denominated debt was driven </w:t>
      </w:r>
      <w:proofErr w:type="gramStart"/>
      <w:r w:rsidRPr="001119A4">
        <w:rPr>
          <w:lang w:val="en-GB"/>
        </w:rPr>
        <w:t>to a large extent</w:t>
      </w:r>
      <w:proofErr w:type="gramEnd"/>
      <w:r w:rsidRPr="001119A4">
        <w:rPr>
          <w:lang w:val="en-GB"/>
        </w:rPr>
        <w:t xml:space="preserve"> by the weakening of the rouble against the US dollar throughout 2023 and the revaluation of the Company</w:t>
      </w:r>
      <w:r w:rsidR="00273C3B" w:rsidRPr="001119A4">
        <w:rPr>
          <w:lang w:val="en-GB"/>
        </w:rPr>
        <w:t>’</w:t>
      </w:r>
      <w:r w:rsidRPr="001119A4">
        <w:rPr>
          <w:lang w:val="en-GB"/>
        </w:rPr>
        <w:t xml:space="preserve">s FX-denominated debt at new rates at the end of the year. </w:t>
      </w:r>
    </w:p>
    <w:p w14:paraId="269B0113" w14:textId="2E4CFC3B" w:rsidR="003C00E7" w:rsidRPr="001119A4" w:rsidRDefault="009D4742" w:rsidP="00CE0C7A">
      <w:pPr>
        <w:pStyle w:val="P68B1DB1-Normal2"/>
        <w:shd w:val="clear" w:color="auto" w:fill="FFFFFF"/>
        <w:spacing w:line="240" w:lineRule="auto"/>
        <w:jc w:val="both"/>
        <w:rPr>
          <w:color w:val="FF0000"/>
          <w:lang w:val="en-GB"/>
        </w:rPr>
      </w:pPr>
      <w:r w:rsidRPr="001119A4">
        <w:rPr>
          <w:lang w:val="en-GB"/>
        </w:rPr>
        <w:lastRenderedPageBreak/>
        <w:t>At the same time, it should be noted that the percentage of USD-denominated in debt in the Company</w:t>
      </w:r>
      <w:r w:rsidR="00273C3B" w:rsidRPr="001119A4">
        <w:rPr>
          <w:lang w:val="en-GB"/>
        </w:rPr>
        <w:t>’s</w:t>
      </w:r>
      <w:r w:rsidRPr="001119A4">
        <w:rPr>
          <w:lang w:val="en-GB"/>
        </w:rPr>
        <w:t xml:space="preserve"> loan portfolio is decreasing thanks in part to the replacement of redeemed PHOR-23 Eurobonds with RUB- and RMB-denominated exchange-traded bonds and RMB-denominated bank loans.</w:t>
      </w:r>
    </w:p>
    <w:p w14:paraId="2384F598" w14:textId="6CC1A600" w:rsidR="003C00E7" w:rsidRPr="001119A4" w:rsidRDefault="009D4742" w:rsidP="00CE0C7A">
      <w:pPr>
        <w:pStyle w:val="P68B1DB1-Normal2"/>
        <w:shd w:val="clear" w:color="auto" w:fill="FFFFFF"/>
        <w:spacing w:line="240" w:lineRule="auto"/>
        <w:jc w:val="both"/>
        <w:rPr>
          <w:lang w:val="en-GB"/>
        </w:rPr>
      </w:pPr>
      <w:proofErr w:type="gramStart"/>
      <w:r w:rsidRPr="001119A4">
        <w:rPr>
          <w:lang w:val="en-GB"/>
        </w:rPr>
        <w:t>A number of</w:t>
      </w:r>
      <w:proofErr w:type="gramEnd"/>
      <w:r w:rsidRPr="001119A4">
        <w:rPr>
          <w:lang w:val="en-GB"/>
        </w:rPr>
        <w:t xml:space="preserve"> important events affirmed the Company</w:t>
      </w:r>
      <w:r w:rsidR="00273C3B" w:rsidRPr="001119A4">
        <w:rPr>
          <w:lang w:val="en-GB"/>
        </w:rPr>
        <w:t>’</w:t>
      </w:r>
      <w:r w:rsidRPr="001119A4">
        <w:rPr>
          <w:lang w:val="en-GB"/>
        </w:rPr>
        <w:t>s high credit quality, including the issuance of RUB 20 billion and RMB 2 billion in exchange-traded bonds, as well as the replacement of two remaining issues of Eurobonds, PHOR-25 and PHOR-28. As a result of this process, more than 74% of the two Eurobond issues worth USD 740.4 million was replaced.</w:t>
      </w:r>
    </w:p>
    <w:p w14:paraId="3ECE8AD5" w14:textId="68D9C81C" w:rsidR="003C00E7" w:rsidRPr="001119A4" w:rsidRDefault="00D811AF" w:rsidP="00CE0C7A">
      <w:pPr>
        <w:pStyle w:val="P68B1DB1-Normal2"/>
        <w:shd w:val="clear" w:color="auto" w:fill="FFFFFF"/>
        <w:spacing w:line="240" w:lineRule="auto"/>
        <w:jc w:val="both"/>
        <w:rPr>
          <w:lang w:val="en-GB"/>
        </w:rPr>
      </w:pPr>
      <w:r w:rsidRPr="001119A4">
        <w:rPr>
          <w:lang w:val="en-GB"/>
        </w:rPr>
        <w:t>The successful public debt offering in the Russian market and the replacement of Eurobonds once again affirmed the Company’s high credit quality and its full compliance with its credit ratings from ACRA (AAA (RU)) and Expert RA (</w:t>
      </w:r>
      <w:proofErr w:type="spellStart"/>
      <w:r w:rsidRPr="001119A4">
        <w:rPr>
          <w:lang w:val="en-GB"/>
        </w:rPr>
        <w:t>ruAAA</w:t>
      </w:r>
      <w:proofErr w:type="spellEnd"/>
      <w:r w:rsidRPr="001119A4">
        <w:rPr>
          <w:lang w:val="en-GB"/>
        </w:rPr>
        <w:t xml:space="preserve">) at the country ceiling level. </w:t>
      </w:r>
    </w:p>
    <w:p w14:paraId="14B0D337" w14:textId="77777777" w:rsidR="003C00E7" w:rsidRPr="001119A4" w:rsidRDefault="009D4742" w:rsidP="00CE0C7A">
      <w:pPr>
        <w:pStyle w:val="P68B1DB1-Normal18"/>
        <w:shd w:val="clear" w:color="auto" w:fill="FFFFFF"/>
        <w:spacing w:line="240" w:lineRule="auto"/>
        <w:jc w:val="both"/>
        <w:rPr>
          <w:lang w:val="en-GB"/>
        </w:rPr>
      </w:pPr>
      <w:r w:rsidRPr="001119A4">
        <w:rPr>
          <w:lang w:val="en-GB"/>
        </w:rPr>
        <w:t>Fertilizer market in 4Q 2023</w:t>
      </w:r>
    </w:p>
    <w:p w14:paraId="5EA3A38B" w14:textId="3EA7B083" w:rsidR="003C00E7" w:rsidRPr="001119A4" w:rsidRDefault="009D4742" w:rsidP="00CE0C7A">
      <w:pPr>
        <w:pStyle w:val="P68B1DB1-Normal2"/>
        <w:shd w:val="clear" w:color="auto" w:fill="FFFFFF"/>
        <w:spacing w:line="240" w:lineRule="auto"/>
        <w:jc w:val="both"/>
        <w:rPr>
          <w:lang w:val="en-GB"/>
        </w:rPr>
      </w:pPr>
      <w:r w:rsidRPr="001119A4">
        <w:rPr>
          <w:lang w:val="en-GB"/>
        </w:rPr>
        <w:t xml:space="preserve">The global fertilizer market in 4Q 2023 was marked by mixed price trends: prices for nitrogen-based and potash fertilizers declined </w:t>
      </w:r>
      <w:r w:rsidR="001119A4" w:rsidRPr="001119A4">
        <w:rPr>
          <w:lang w:val="en-GB"/>
        </w:rPr>
        <w:t>under pressure from</w:t>
      </w:r>
      <w:r w:rsidRPr="001119A4">
        <w:rPr>
          <w:lang w:val="en-GB"/>
        </w:rPr>
        <w:t xml:space="preserve"> excess supply, while prices for phosphate-based fertilizers remained stable </w:t>
      </w:r>
      <w:proofErr w:type="gramStart"/>
      <w:r w:rsidRPr="001119A4">
        <w:rPr>
          <w:lang w:val="en-GB"/>
        </w:rPr>
        <w:t>as a result of</w:t>
      </w:r>
      <w:proofErr w:type="gramEnd"/>
      <w:r w:rsidRPr="001119A4">
        <w:rPr>
          <w:lang w:val="en-GB"/>
        </w:rPr>
        <w:t xml:space="preserve"> the overall market balance.</w:t>
      </w:r>
    </w:p>
    <w:p w14:paraId="46C5FF09" w14:textId="0128E054" w:rsidR="003C00E7" w:rsidRPr="001119A4" w:rsidRDefault="009D4742" w:rsidP="00CE0C7A">
      <w:pPr>
        <w:pStyle w:val="P68B1DB1-Normal2"/>
        <w:shd w:val="clear" w:color="auto" w:fill="FFFFFF"/>
        <w:spacing w:line="240" w:lineRule="auto"/>
        <w:jc w:val="both"/>
        <w:rPr>
          <w:lang w:val="en-GB"/>
        </w:rPr>
      </w:pPr>
      <w:r w:rsidRPr="001119A4">
        <w:rPr>
          <w:lang w:val="en-GB"/>
        </w:rPr>
        <w:t xml:space="preserve">Restrictions on exports from China, in favour of supplying the domestic market, also supported prices </w:t>
      </w:r>
      <w:r w:rsidR="001119A4" w:rsidRPr="001119A4">
        <w:rPr>
          <w:lang w:val="en-GB"/>
        </w:rPr>
        <w:t>for</w:t>
      </w:r>
      <w:r w:rsidRPr="001119A4">
        <w:rPr>
          <w:lang w:val="en-GB"/>
        </w:rPr>
        <w:t xml:space="preserve"> phosphate-based fertilizers. In addition, demand in Asian and Latin American markets remained stable. The average price for MAP in 4Q 2023 was USD 511 per tonne (FOB Baltic). </w:t>
      </w:r>
    </w:p>
    <w:p w14:paraId="34D5D98E" w14:textId="734739B1" w:rsidR="003C00E7" w:rsidRPr="001119A4" w:rsidRDefault="009D4742" w:rsidP="00CE0C7A">
      <w:pPr>
        <w:pStyle w:val="P68B1DB1-Normal2"/>
        <w:shd w:val="clear" w:color="auto" w:fill="FFFFFF"/>
        <w:spacing w:line="240" w:lineRule="auto"/>
        <w:jc w:val="both"/>
        <w:rPr>
          <w:lang w:val="en-GB"/>
        </w:rPr>
      </w:pPr>
      <w:r w:rsidRPr="001119A4">
        <w:rPr>
          <w:lang w:val="en-GB"/>
        </w:rPr>
        <w:t>Prices for nitrogen-ba</w:t>
      </w:r>
      <w:r w:rsidR="001119A4">
        <w:rPr>
          <w:lang w:val="en-GB"/>
        </w:rPr>
        <w:t>s</w:t>
      </w:r>
      <w:r w:rsidRPr="001119A4">
        <w:rPr>
          <w:lang w:val="en-GB"/>
        </w:rPr>
        <w:t>e</w:t>
      </w:r>
      <w:r w:rsidR="001119A4">
        <w:rPr>
          <w:lang w:val="en-GB"/>
        </w:rPr>
        <w:t>d</w:t>
      </w:r>
      <w:r w:rsidRPr="001119A4">
        <w:rPr>
          <w:lang w:val="en-GB"/>
        </w:rPr>
        <w:t xml:space="preserve"> fertilizers gradually declined due to weaker demand in India following the launch of new domestic capacities in 2022–2023 (</w:t>
      </w:r>
      <w:r w:rsidR="001119A4" w:rsidRPr="001119A4">
        <w:rPr>
          <w:lang w:val="en-GB"/>
        </w:rPr>
        <w:t>resulting in</w:t>
      </w:r>
      <w:r w:rsidRPr="001119A4">
        <w:rPr>
          <w:lang w:val="en-GB"/>
        </w:rPr>
        <w:t xml:space="preserve"> decreased dependence on imports). Demand in Latin America (Brazil) decreased in response to weaker agricultural markets and the impact of inclement weather. The average price of urea in 4Q 2023 was USD 319 per tonne (FOB Baltic).</w:t>
      </w:r>
    </w:p>
    <w:p w14:paraId="0B07FBE6" w14:textId="00915CA1" w:rsidR="003C00E7" w:rsidRPr="001119A4" w:rsidRDefault="009D4742" w:rsidP="00CE0C7A">
      <w:pPr>
        <w:pStyle w:val="P68B1DB1-Normal2"/>
        <w:shd w:val="clear" w:color="auto" w:fill="FFFFFF"/>
        <w:spacing w:line="240" w:lineRule="auto"/>
        <w:jc w:val="both"/>
        <w:rPr>
          <w:lang w:val="en-GB"/>
        </w:rPr>
      </w:pPr>
      <w:r w:rsidRPr="001119A4">
        <w:rPr>
          <w:lang w:val="en-GB"/>
        </w:rPr>
        <w:t>Prices for potash fertilizers decreased due to excess supply in the market. The average price for standard potassium chloride in 4Q 2023 was USD 236 per tonne (FOB Baltic).</w:t>
      </w:r>
    </w:p>
    <w:p w14:paraId="4C575BD4" w14:textId="78B210C5" w:rsidR="003C00E7" w:rsidRPr="001119A4" w:rsidRDefault="000D193F" w:rsidP="00CE0C7A">
      <w:pPr>
        <w:pStyle w:val="P68B1DB1-Normal18"/>
        <w:shd w:val="clear" w:color="auto" w:fill="FFFFFF"/>
        <w:spacing w:line="240" w:lineRule="auto"/>
        <w:jc w:val="both"/>
        <w:rPr>
          <w:lang w:val="en-GB"/>
        </w:rPr>
      </w:pPr>
      <w:r>
        <w:rPr>
          <w:lang w:val="en-GB"/>
        </w:rPr>
        <w:t>Trends in early</w:t>
      </w:r>
      <w:r w:rsidR="009D4742" w:rsidRPr="001119A4">
        <w:rPr>
          <w:lang w:val="en-GB"/>
        </w:rPr>
        <w:t xml:space="preserve"> 2024</w:t>
      </w:r>
    </w:p>
    <w:p w14:paraId="4E6AB379" w14:textId="46F0A376" w:rsidR="003C00E7" w:rsidRPr="001119A4" w:rsidRDefault="009D4742" w:rsidP="00CE0C7A">
      <w:pPr>
        <w:pStyle w:val="P68B1DB1-Normal2"/>
        <w:shd w:val="clear" w:color="auto" w:fill="FFFFFF"/>
        <w:spacing w:line="240" w:lineRule="auto"/>
        <w:jc w:val="both"/>
        <w:rPr>
          <w:lang w:val="en-GB"/>
        </w:rPr>
      </w:pPr>
      <w:r w:rsidRPr="001119A4">
        <w:rPr>
          <w:lang w:val="en-GB"/>
        </w:rPr>
        <w:t xml:space="preserve">The development of seasonal demand in key Western markets – in Europe, North </w:t>
      </w:r>
      <w:proofErr w:type="gramStart"/>
      <w:r w:rsidRPr="001119A4">
        <w:rPr>
          <w:lang w:val="en-GB"/>
        </w:rPr>
        <w:t>America</w:t>
      </w:r>
      <w:proofErr w:type="gramEnd"/>
      <w:r w:rsidRPr="001119A4">
        <w:rPr>
          <w:lang w:val="en-GB"/>
        </w:rPr>
        <w:t xml:space="preserve"> and Central America – is the main factor affecting the global mineral fertilizer market. The announcement of a major tender for the purchase of urea in India combined with the earlier development of seasonal demand in South-East Asian markets drove up prices for nitrogen-based fertilizers early in the quarter. Continuing restrictions on fertilizer exports from China are helping stabilise markets for phosphate-based fertilizers – at existing levels – above USD 500 per tonne (FOB Baltic) for DAP/MAP.</w:t>
      </w:r>
    </w:p>
    <w:p w14:paraId="75F7C29F" w14:textId="77777777" w:rsidR="003C00E7" w:rsidRPr="001119A4" w:rsidRDefault="009D4742">
      <w:pPr>
        <w:pStyle w:val="P68B1DB1-Normal1"/>
        <w:spacing w:after="0" w:line="240" w:lineRule="auto"/>
        <w:rPr>
          <w:lang w:val="en-GB"/>
        </w:rPr>
      </w:pPr>
      <w:r w:rsidRPr="001119A4">
        <w:rPr>
          <w:lang w:val="en-GB"/>
        </w:rPr>
        <w:t>For further information, please contact:</w:t>
      </w:r>
    </w:p>
    <w:p w14:paraId="3CF23816" w14:textId="77777777" w:rsidR="003C00E7" w:rsidRPr="001119A4" w:rsidRDefault="003C00E7">
      <w:pPr>
        <w:spacing w:after="0" w:line="240" w:lineRule="auto"/>
        <w:rPr>
          <w:rFonts w:asciiTheme="minorHAnsi" w:hAnsiTheme="minorHAnsi" w:cstheme="minorHAnsi"/>
          <w:lang w:val="en-GB"/>
        </w:rPr>
      </w:pPr>
    </w:p>
    <w:p w14:paraId="335E743E" w14:textId="77777777" w:rsidR="003C00E7" w:rsidRPr="001119A4" w:rsidRDefault="009D4742">
      <w:pPr>
        <w:pStyle w:val="P68B1DB1-Normal2"/>
        <w:snapToGrid w:val="0"/>
        <w:spacing w:after="0" w:line="240" w:lineRule="auto"/>
        <w:rPr>
          <w:lang w:val="en-GB"/>
        </w:rPr>
      </w:pPr>
      <w:r w:rsidRPr="001119A4">
        <w:rPr>
          <w:lang w:val="en-GB"/>
        </w:rPr>
        <w:t xml:space="preserve">PJSC </w:t>
      </w:r>
      <w:proofErr w:type="spellStart"/>
      <w:r w:rsidRPr="001119A4">
        <w:rPr>
          <w:lang w:val="en-GB"/>
        </w:rPr>
        <w:t>PhosAgro</w:t>
      </w:r>
      <w:proofErr w:type="spellEnd"/>
    </w:p>
    <w:p w14:paraId="499E369B" w14:textId="77777777" w:rsidR="003C00E7" w:rsidRPr="001119A4" w:rsidRDefault="009D4742">
      <w:pPr>
        <w:pStyle w:val="P68B1DB1-Normal2"/>
        <w:snapToGrid w:val="0"/>
        <w:spacing w:after="0" w:line="240" w:lineRule="auto"/>
        <w:rPr>
          <w:lang w:val="en-GB"/>
        </w:rPr>
      </w:pPr>
      <w:r w:rsidRPr="001119A4">
        <w:rPr>
          <w:lang w:val="en-GB"/>
        </w:rPr>
        <w:t>Andrey Serov, Head of the Investor Relations Department</w:t>
      </w:r>
    </w:p>
    <w:p w14:paraId="55A1A81B" w14:textId="77777777" w:rsidR="003C00E7" w:rsidRPr="001119A4" w:rsidRDefault="009D4742">
      <w:pPr>
        <w:pStyle w:val="P68B1DB1-Normal2"/>
        <w:snapToGrid w:val="0"/>
        <w:spacing w:after="0" w:line="240" w:lineRule="auto"/>
        <w:rPr>
          <w:lang w:val="en-GB"/>
        </w:rPr>
      </w:pPr>
      <w:r w:rsidRPr="001119A4">
        <w:rPr>
          <w:lang w:val="en-GB"/>
        </w:rPr>
        <w:t>+7 495 231 2747 ext. 2183</w:t>
      </w:r>
    </w:p>
    <w:p w14:paraId="35BAFECF" w14:textId="77777777" w:rsidR="003C00E7" w:rsidRPr="001119A4" w:rsidRDefault="002A5077">
      <w:pPr>
        <w:spacing w:after="0" w:line="240" w:lineRule="auto"/>
        <w:rPr>
          <w:rFonts w:asciiTheme="minorHAnsi" w:hAnsiTheme="minorHAnsi" w:cstheme="minorHAnsi"/>
          <w:lang w:val="en-GB"/>
        </w:rPr>
      </w:pPr>
      <w:hyperlink r:id="rId23" w:history="1">
        <w:r w:rsidR="009D4742" w:rsidRPr="001119A4">
          <w:rPr>
            <w:rStyle w:val="a7"/>
            <w:rFonts w:asciiTheme="minorHAnsi" w:hAnsiTheme="minorHAnsi" w:cstheme="minorHAnsi"/>
            <w:lang w:val="en-GB"/>
          </w:rPr>
          <w:t>ir@phosagro.ru</w:t>
        </w:r>
      </w:hyperlink>
    </w:p>
    <w:p w14:paraId="61CE0D5C" w14:textId="77777777" w:rsidR="003C00E7" w:rsidRPr="001119A4" w:rsidRDefault="003C00E7">
      <w:pPr>
        <w:spacing w:after="0" w:line="240" w:lineRule="auto"/>
        <w:rPr>
          <w:rFonts w:asciiTheme="minorHAnsi" w:hAnsiTheme="minorHAnsi" w:cstheme="minorHAnsi"/>
          <w:lang w:val="en-GB"/>
        </w:rPr>
      </w:pPr>
    </w:p>
    <w:p w14:paraId="38E36B2C" w14:textId="77777777" w:rsidR="003C00E7" w:rsidRPr="001119A4" w:rsidRDefault="009D4742">
      <w:pPr>
        <w:pStyle w:val="P68B1DB1-Normal2"/>
        <w:snapToGrid w:val="0"/>
        <w:spacing w:after="0" w:line="240" w:lineRule="auto"/>
        <w:rPr>
          <w:lang w:val="en-GB"/>
        </w:rPr>
      </w:pPr>
      <w:r w:rsidRPr="001119A4">
        <w:rPr>
          <w:lang w:val="en-GB"/>
        </w:rPr>
        <w:t xml:space="preserve">Timur Belov, Press Officer </w:t>
      </w:r>
    </w:p>
    <w:p w14:paraId="07934E48" w14:textId="77777777" w:rsidR="003C00E7" w:rsidRPr="003F39BC" w:rsidRDefault="009D4742">
      <w:pPr>
        <w:pStyle w:val="P68B1DB1-Normal2"/>
        <w:snapToGrid w:val="0"/>
        <w:spacing w:after="0" w:line="240" w:lineRule="auto"/>
        <w:rPr>
          <w:lang w:val="en-US"/>
        </w:rPr>
      </w:pPr>
      <w:r w:rsidRPr="003F39BC">
        <w:rPr>
          <w:lang w:val="en-US"/>
        </w:rPr>
        <w:t xml:space="preserve">+7 495 231 2747 </w:t>
      </w:r>
      <w:proofErr w:type="spellStart"/>
      <w:r w:rsidRPr="001119A4">
        <w:rPr>
          <w:lang w:val="en-GB"/>
        </w:rPr>
        <w:t>ext</w:t>
      </w:r>
      <w:proofErr w:type="spellEnd"/>
      <w:r w:rsidRPr="003F39BC">
        <w:rPr>
          <w:lang w:val="en-US"/>
        </w:rPr>
        <w:t>. 2652</w:t>
      </w:r>
    </w:p>
    <w:p w14:paraId="392EC4B9" w14:textId="77777777" w:rsidR="003C00E7" w:rsidRPr="003F39BC" w:rsidRDefault="009D4742">
      <w:pPr>
        <w:spacing w:after="0" w:line="240" w:lineRule="auto"/>
        <w:rPr>
          <w:rStyle w:val="a7"/>
          <w:rFonts w:cstheme="minorHAnsi"/>
          <w:lang w:val="en-US"/>
        </w:rPr>
      </w:pPr>
      <w:r w:rsidRPr="001119A4">
        <w:rPr>
          <w:rStyle w:val="a7"/>
          <w:rFonts w:cstheme="minorHAnsi"/>
          <w:lang w:val="en-GB"/>
        </w:rPr>
        <w:t>pr</w:t>
      </w:r>
      <w:r w:rsidRPr="003F39BC">
        <w:rPr>
          <w:rStyle w:val="a7"/>
          <w:rFonts w:cstheme="minorHAnsi"/>
          <w:lang w:val="en-US"/>
        </w:rPr>
        <w:t>@</w:t>
      </w:r>
      <w:proofErr w:type="spellStart"/>
      <w:r w:rsidRPr="001119A4">
        <w:rPr>
          <w:rStyle w:val="a7"/>
          <w:rFonts w:cstheme="minorHAnsi"/>
          <w:lang w:val="en-GB"/>
        </w:rPr>
        <w:t>phosagro</w:t>
      </w:r>
      <w:proofErr w:type="spellEnd"/>
      <w:r w:rsidRPr="003F39BC">
        <w:rPr>
          <w:rStyle w:val="a7"/>
          <w:rFonts w:cstheme="minorHAnsi"/>
          <w:lang w:val="en-US"/>
        </w:rPr>
        <w:t>.</w:t>
      </w:r>
      <w:proofErr w:type="spellStart"/>
      <w:r w:rsidRPr="001119A4">
        <w:rPr>
          <w:rStyle w:val="a7"/>
          <w:rFonts w:cstheme="minorHAnsi"/>
          <w:lang w:val="en-GB"/>
        </w:rPr>
        <w:t>ru</w:t>
      </w:r>
      <w:proofErr w:type="spellEnd"/>
    </w:p>
    <w:p w14:paraId="523DB942" w14:textId="77777777" w:rsidR="003C00E7" w:rsidRPr="003F39BC" w:rsidRDefault="009D4742">
      <w:pPr>
        <w:pStyle w:val="P68B1DB1-Normal19"/>
        <w:shd w:val="clear" w:color="auto" w:fill="FFFFFF"/>
        <w:spacing w:line="240" w:lineRule="auto"/>
        <w:ind w:firstLine="567"/>
        <w:jc w:val="both"/>
        <w:rPr>
          <w:lang w:val="en-US"/>
        </w:rPr>
      </w:pPr>
      <w:r w:rsidRPr="003F39BC">
        <w:rPr>
          <w:lang w:val="en-US"/>
        </w:rPr>
        <w:t xml:space="preserve"> </w:t>
      </w:r>
    </w:p>
    <w:p w14:paraId="4DB64E88" w14:textId="3149AF6E" w:rsidR="003F39BC" w:rsidRPr="003F39BC" w:rsidRDefault="003F39BC" w:rsidP="003F39BC">
      <w:pPr>
        <w:pStyle w:val="P68B1DB1-Normal22"/>
        <w:snapToGrid w:val="0"/>
        <w:spacing w:before="240" w:after="0"/>
        <w:rPr>
          <w:rFonts w:asciiTheme="minorHAnsi" w:hAnsiTheme="minorHAnsi" w:cstheme="minorHAnsi"/>
          <w:sz w:val="22"/>
          <w:szCs w:val="22"/>
          <w:lang w:val="en-GB"/>
        </w:rPr>
      </w:pPr>
      <w:r>
        <w:rPr>
          <w:rFonts w:asciiTheme="minorHAnsi" w:hAnsiTheme="minorHAnsi" w:cstheme="minorHAnsi"/>
          <w:sz w:val="22"/>
          <w:szCs w:val="22"/>
          <w:lang w:val="en-GB"/>
        </w:rPr>
        <w:t>About Us</w:t>
      </w:r>
    </w:p>
    <w:p w14:paraId="65EF93DE" w14:textId="4EBF1B47" w:rsidR="003F39BC" w:rsidRPr="003F39BC" w:rsidRDefault="003F39BC" w:rsidP="003F39BC">
      <w:pPr>
        <w:pStyle w:val="P68B1DB1-Normal4"/>
        <w:spacing w:after="120"/>
        <w:jc w:val="both"/>
        <w:rPr>
          <w:rFonts w:asciiTheme="minorHAnsi" w:eastAsia="Calibri" w:hAnsiTheme="minorHAnsi" w:cstheme="minorHAnsi"/>
          <w:b w:val="0"/>
          <w:bCs/>
          <w:i/>
          <w:iCs/>
          <w:color w:val="auto"/>
          <w:sz w:val="22"/>
          <w:szCs w:val="22"/>
          <w:bdr w:val="none" w:sz="0" w:space="0" w:color="auto" w:frame="1"/>
          <w:lang w:val="en-GB"/>
        </w:rPr>
      </w:pPr>
      <w:proofErr w:type="spellStart"/>
      <w:r w:rsidRPr="003F39BC">
        <w:rPr>
          <w:rFonts w:asciiTheme="minorHAnsi" w:hAnsiTheme="minorHAnsi" w:cstheme="minorHAnsi"/>
          <w:b w:val="0"/>
          <w:bCs/>
          <w:i/>
          <w:iCs/>
          <w:color w:val="auto"/>
          <w:sz w:val="22"/>
          <w:szCs w:val="22"/>
          <w:bdr w:val="none" w:sz="0" w:space="0" w:color="auto" w:frame="1"/>
          <w:lang w:val="en-GB"/>
        </w:rPr>
        <w:t>PhosAgro</w:t>
      </w:r>
      <w:proofErr w:type="spellEnd"/>
      <w:r w:rsidRPr="003F39BC">
        <w:rPr>
          <w:rFonts w:asciiTheme="minorHAnsi" w:hAnsiTheme="minorHAnsi" w:cstheme="minorHAnsi"/>
          <w:b w:val="0"/>
          <w:bCs/>
          <w:i/>
          <w:iCs/>
          <w:color w:val="auto"/>
          <w:sz w:val="22"/>
          <w:szCs w:val="22"/>
          <w:bdr w:val="none" w:sz="0" w:space="0" w:color="auto" w:frame="1"/>
          <w:lang w:val="en-GB"/>
        </w:rPr>
        <w:t xml:space="preserve"> (www.phosagro.</w:t>
      </w:r>
      <w:r w:rsidR="00BB1942">
        <w:rPr>
          <w:rFonts w:asciiTheme="minorHAnsi" w:hAnsiTheme="minorHAnsi" w:cstheme="minorHAnsi"/>
          <w:b w:val="0"/>
          <w:bCs/>
          <w:i/>
          <w:iCs/>
          <w:color w:val="auto"/>
          <w:sz w:val="22"/>
          <w:szCs w:val="22"/>
          <w:bdr w:val="none" w:sz="0" w:space="0" w:color="auto" w:frame="1"/>
          <w:lang w:val="en-GB"/>
        </w:rPr>
        <w:t>com</w:t>
      </w:r>
      <w:r w:rsidRPr="003F39BC">
        <w:rPr>
          <w:rFonts w:asciiTheme="minorHAnsi" w:hAnsiTheme="minorHAnsi" w:cstheme="minorHAnsi"/>
          <w:b w:val="0"/>
          <w:bCs/>
          <w:i/>
          <w:iCs/>
          <w:color w:val="auto"/>
          <w:sz w:val="22"/>
          <w:szCs w:val="22"/>
          <w:bdr w:val="none" w:sz="0" w:space="0" w:color="auto" w:frame="1"/>
          <w:lang w:val="en-GB"/>
        </w:rPr>
        <w:t xml:space="preserve">) is a vertically integrated Russian company and one of the world’s leading producers of phosphate-based fertilizers and high-grade phosphate rock with P2O5 content of 39% or higher. </w:t>
      </w:r>
      <w:proofErr w:type="spellStart"/>
      <w:r w:rsidRPr="003F39BC">
        <w:rPr>
          <w:rFonts w:asciiTheme="minorHAnsi" w:hAnsiTheme="minorHAnsi" w:cstheme="minorHAnsi"/>
          <w:b w:val="0"/>
          <w:bCs/>
          <w:i/>
          <w:iCs/>
          <w:color w:val="auto"/>
          <w:sz w:val="22"/>
          <w:szCs w:val="22"/>
          <w:bdr w:val="none" w:sz="0" w:space="0" w:color="auto" w:frame="1"/>
          <w:lang w:val="en-GB"/>
        </w:rPr>
        <w:t>PhosAgro’s</w:t>
      </w:r>
      <w:proofErr w:type="spellEnd"/>
      <w:r w:rsidRPr="003F39BC">
        <w:rPr>
          <w:rFonts w:asciiTheme="minorHAnsi" w:hAnsiTheme="minorHAnsi" w:cstheme="minorHAnsi"/>
          <w:b w:val="0"/>
          <w:bCs/>
          <w:i/>
          <w:iCs/>
          <w:color w:val="auto"/>
          <w:sz w:val="22"/>
          <w:szCs w:val="22"/>
          <w:bdr w:val="none" w:sz="0" w:space="0" w:color="auto" w:frame="1"/>
          <w:lang w:val="en-GB"/>
        </w:rPr>
        <w:t xml:space="preserve"> high-performance fertilizers produce crops with advanced features.</w:t>
      </w:r>
    </w:p>
    <w:p w14:paraId="33088B09" w14:textId="77777777" w:rsidR="003F39BC" w:rsidRPr="003F39BC" w:rsidRDefault="003F39BC" w:rsidP="003F39BC">
      <w:pPr>
        <w:pStyle w:val="P68B1DB1-Normal4"/>
        <w:spacing w:after="120"/>
        <w:jc w:val="both"/>
        <w:rPr>
          <w:rFonts w:asciiTheme="minorHAnsi" w:hAnsiTheme="minorHAnsi" w:cstheme="minorHAnsi"/>
          <w:b w:val="0"/>
          <w:bCs/>
          <w:i/>
          <w:iCs/>
          <w:color w:val="auto"/>
          <w:sz w:val="22"/>
          <w:szCs w:val="22"/>
          <w:bdr w:val="none" w:sz="0" w:space="0" w:color="auto" w:frame="1"/>
          <w:lang w:val="en-GB"/>
        </w:rPr>
      </w:pPr>
      <w:proofErr w:type="spellStart"/>
      <w:r w:rsidRPr="003F39BC">
        <w:rPr>
          <w:rFonts w:asciiTheme="minorHAnsi" w:hAnsiTheme="minorHAnsi" w:cstheme="minorHAnsi"/>
          <w:b w:val="0"/>
          <w:bCs/>
          <w:i/>
          <w:iCs/>
          <w:color w:val="auto"/>
          <w:sz w:val="22"/>
          <w:szCs w:val="22"/>
          <w:bdr w:val="none" w:sz="0" w:space="0" w:color="auto" w:frame="1"/>
          <w:lang w:val="en-GB"/>
        </w:rPr>
        <w:lastRenderedPageBreak/>
        <w:t>PhosAgro</w:t>
      </w:r>
      <w:proofErr w:type="spellEnd"/>
      <w:r w:rsidRPr="003F39BC">
        <w:rPr>
          <w:rFonts w:asciiTheme="minorHAnsi" w:hAnsiTheme="minorHAnsi" w:cstheme="minorHAnsi"/>
          <w:b w:val="0"/>
          <w:bCs/>
          <w:i/>
          <w:iCs/>
          <w:color w:val="auto"/>
          <w:sz w:val="22"/>
          <w:szCs w:val="22"/>
          <w:bdr w:val="none" w:sz="0" w:space="0" w:color="auto" w:frame="1"/>
          <w:lang w:val="en-GB"/>
        </w:rPr>
        <w:t xml:space="preserve"> Group is the largest producer of phosphate-based fertilizers in Europe (by total combined capacity for the production of DAP, MAP, NP, NPK and NPS fertilizers), the largest producer of high-grade phosphate rock with P2O5 content of 39%, one of the leading producers of MAP and DAP fertilizers globally, one of the leading producers of monocalcium feed phosphates (MCP) in Europe – and the only such producer in Russia – and Russia’s only producer of nepheline concentrate.</w:t>
      </w:r>
    </w:p>
    <w:p w14:paraId="69CA9482" w14:textId="77777777" w:rsidR="003F39BC" w:rsidRPr="003F39BC" w:rsidRDefault="003F39BC" w:rsidP="003F39BC">
      <w:pPr>
        <w:pStyle w:val="P68B1DB1-Normal4"/>
        <w:spacing w:after="120"/>
        <w:jc w:val="both"/>
        <w:rPr>
          <w:rFonts w:asciiTheme="minorHAnsi" w:hAnsiTheme="minorHAnsi" w:cstheme="minorHAnsi"/>
          <w:b w:val="0"/>
          <w:bCs/>
          <w:i/>
          <w:iCs/>
          <w:color w:val="auto"/>
          <w:sz w:val="22"/>
          <w:szCs w:val="22"/>
          <w:bdr w:val="none" w:sz="0" w:space="0" w:color="auto" w:frame="1"/>
          <w:lang w:val="en-GB"/>
        </w:rPr>
      </w:pPr>
      <w:proofErr w:type="spellStart"/>
      <w:r w:rsidRPr="003F39BC">
        <w:rPr>
          <w:rFonts w:asciiTheme="minorHAnsi" w:hAnsiTheme="minorHAnsi" w:cstheme="minorHAnsi"/>
          <w:b w:val="0"/>
          <w:bCs/>
          <w:i/>
          <w:iCs/>
          <w:color w:val="auto"/>
          <w:sz w:val="22"/>
          <w:szCs w:val="22"/>
          <w:bdr w:val="none" w:sz="0" w:space="0" w:color="auto" w:frame="1"/>
          <w:lang w:val="en-GB"/>
        </w:rPr>
        <w:t>PhosAgro’s</w:t>
      </w:r>
      <w:proofErr w:type="spellEnd"/>
      <w:r w:rsidRPr="003F39BC">
        <w:rPr>
          <w:rFonts w:asciiTheme="minorHAnsi" w:hAnsiTheme="minorHAnsi" w:cstheme="minorHAnsi"/>
          <w:b w:val="0"/>
          <w:bCs/>
          <w:i/>
          <w:iCs/>
          <w:color w:val="auto"/>
          <w:sz w:val="22"/>
          <w:szCs w:val="22"/>
          <w:bdr w:val="none" w:sz="0" w:space="0" w:color="auto" w:frame="1"/>
          <w:lang w:val="en-GB"/>
        </w:rPr>
        <w:t xml:space="preserve"> main products, including phosphate rock, 58 grades of fertilizers, feed phosphates, </w:t>
      </w:r>
      <w:proofErr w:type="gramStart"/>
      <w:r w:rsidRPr="003F39BC">
        <w:rPr>
          <w:rFonts w:asciiTheme="minorHAnsi" w:hAnsiTheme="minorHAnsi" w:cstheme="minorHAnsi"/>
          <w:b w:val="0"/>
          <w:bCs/>
          <w:i/>
          <w:iCs/>
          <w:color w:val="auto"/>
          <w:sz w:val="22"/>
          <w:szCs w:val="22"/>
          <w:bdr w:val="none" w:sz="0" w:space="0" w:color="auto" w:frame="1"/>
          <w:lang w:val="en-GB"/>
        </w:rPr>
        <w:t>ammonia</w:t>
      </w:r>
      <w:proofErr w:type="gramEnd"/>
      <w:r w:rsidRPr="003F39BC">
        <w:rPr>
          <w:rFonts w:asciiTheme="minorHAnsi" w:hAnsiTheme="minorHAnsi" w:cstheme="minorHAnsi"/>
          <w:b w:val="0"/>
          <w:bCs/>
          <w:i/>
          <w:iCs/>
          <w:color w:val="auto"/>
          <w:sz w:val="22"/>
          <w:szCs w:val="22"/>
          <w:bdr w:val="none" w:sz="0" w:space="0" w:color="auto" w:frame="1"/>
          <w:lang w:val="en-GB"/>
        </w:rPr>
        <w:t xml:space="preserve"> and sodium tripolyphosphate, are used by customers in 100 countries spanning all the world’s inhabited continents. The Company’s priority markets beyond Russia and the CIS are Latin America, </w:t>
      </w:r>
      <w:proofErr w:type="gramStart"/>
      <w:r w:rsidRPr="003F39BC">
        <w:rPr>
          <w:rFonts w:asciiTheme="minorHAnsi" w:hAnsiTheme="minorHAnsi" w:cstheme="minorHAnsi"/>
          <w:b w:val="0"/>
          <w:bCs/>
          <w:i/>
          <w:iCs/>
          <w:color w:val="auto"/>
          <w:sz w:val="22"/>
          <w:szCs w:val="22"/>
          <w:bdr w:val="none" w:sz="0" w:space="0" w:color="auto" w:frame="1"/>
          <w:lang w:val="en-GB"/>
        </w:rPr>
        <w:t>Europe</w:t>
      </w:r>
      <w:proofErr w:type="gramEnd"/>
      <w:r w:rsidRPr="003F39BC">
        <w:rPr>
          <w:rFonts w:asciiTheme="minorHAnsi" w:hAnsiTheme="minorHAnsi" w:cstheme="minorHAnsi"/>
          <w:b w:val="0"/>
          <w:bCs/>
          <w:i/>
          <w:iCs/>
          <w:color w:val="auto"/>
          <w:sz w:val="22"/>
          <w:szCs w:val="22"/>
          <w:bdr w:val="none" w:sz="0" w:space="0" w:color="auto" w:frame="1"/>
          <w:lang w:val="en-GB"/>
        </w:rPr>
        <w:t xml:space="preserve"> and Asia. </w:t>
      </w:r>
    </w:p>
    <w:p w14:paraId="1BB040EE" w14:textId="77777777" w:rsidR="003F39BC" w:rsidRPr="003F39BC" w:rsidRDefault="003F39BC" w:rsidP="003F39BC">
      <w:pPr>
        <w:pStyle w:val="P68B1DB1-Normal4"/>
        <w:spacing w:after="120"/>
        <w:jc w:val="both"/>
        <w:rPr>
          <w:rFonts w:asciiTheme="minorHAnsi" w:hAnsiTheme="minorHAnsi" w:cstheme="minorHAnsi"/>
          <w:b w:val="0"/>
          <w:bCs/>
          <w:i/>
          <w:iCs/>
          <w:color w:val="auto"/>
          <w:sz w:val="22"/>
          <w:szCs w:val="22"/>
          <w:bdr w:val="none" w:sz="0" w:space="0" w:color="auto" w:frame="1"/>
          <w:lang w:val="en-GB"/>
        </w:rPr>
      </w:pPr>
      <w:r w:rsidRPr="003F39BC">
        <w:rPr>
          <w:rFonts w:asciiTheme="minorHAnsi" w:hAnsiTheme="minorHAnsi" w:cstheme="minorHAnsi"/>
          <w:b w:val="0"/>
          <w:bCs/>
          <w:i/>
          <w:iCs/>
          <w:color w:val="auto"/>
          <w:sz w:val="22"/>
          <w:szCs w:val="22"/>
          <w:bdr w:val="none" w:sz="0" w:space="0" w:color="auto" w:frame="1"/>
          <w:lang w:val="en-GB"/>
        </w:rPr>
        <w:t xml:space="preserve">The Company’s shares are listed on the Moscow Exchange and its global depositary receipts (GDRs) are listed on the London Stock Exchange (MOEX and LSE ticker: PHOR). </w:t>
      </w:r>
    </w:p>
    <w:p w14:paraId="3F3551DB" w14:textId="6093C820" w:rsidR="00B95ED0" w:rsidRDefault="003F39BC" w:rsidP="00FD1068">
      <w:pPr>
        <w:pStyle w:val="P68B1DB1-Normal4"/>
        <w:spacing w:after="120"/>
        <w:jc w:val="both"/>
        <w:rPr>
          <w:rFonts w:asciiTheme="minorHAnsi" w:hAnsiTheme="minorHAnsi" w:cstheme="minorHAnsi"/>
          <w:b w:val="0"/>
          <w:bCs/>
          <w:i/>
          <w:iCs/>
          <w:color w:val="auto"/>
          <w:sz w:val="22"/>
          <w:szCs w:val="22"/>
          <w:bdr w:val="none" w:sz="0" w:space="0" w:color="auto" w:frame="1"/>
          <w:lang w:val="en-GB"/>
        </w:rPr>
      </w:pPr>
      <w:r w:rsidRPr="003F39BC">
        <w:rPr>
          <w:rFonts w:asciiTheme="minorHAnsi" w:hAnsiTheme="minorHAnsi" w:cstheme="minorHAnsi"/>
          <w:b w:val="0"/>
          <w:bCs/>
          <w:i/>
          <w:iCs/>
          <w:color w:val="auto"/>
          <w:sz w:val="22"/>
          <w:szCs w:val="22"/>
          <w:bdr w:val="none" w:sz="0" w:space="0" w:color="auto" w:frame="1"/>
          <w:lang w:val="en-GB"/>
        </w:rPr>
        <w:t xml:space="preserve">More information about </w:t>
      </w:r>
      <w:proofErr w:type="spellStart"/>
      <w:r w:rsidRPr="003F39BC">
        <w:rPr>
          <w:rFonts w:asciiTheme="minorHAnsi" w:hAnsiTheme="minorHAnsi" w:cstheme="minorHAnsi"/>
          <w:b w:val="0"/>
          <w:bCs/>
          <w:i/>
          <w:iCs/>
          <w:color w:val="auto"/>
          <w:sz w:val="22"/>
          <w:szCs w:val="22"/>
          <w:bdr w:val="none" w:sz="0" w:space="0" w:color="auto" w:frame="1"/>
          <w:lang w:val="en-GB"/>
        </w:rPr>
        <w:t>PhosAgro</w:t>
      </w:r>
      <w:proofErr w:type="spellEnd"/>
      <w:r w:rsidRPr="003F39BC">
        <w:rPr>
          <w:rFonts w:asciiTheme="minorHAnsi" w:hAnsiTheme="minorHAnsi" w:cstheme="minorHAnsi"/>
          <w:b w:val="0"/>
          <w:bCs/>
          <w:i/>
          <w:iCs/>
          <w:color w:val="auto"/>
          <w:sz w:val="22"/>
          <w:szCs w:val="22"/>
          <w:bdr w:val="none" w:sz="0" w:space="0" w:color="auto" w:frame="1"/>
          <w:lang w:val="en-GB"/>
        </w:rPr>
        <w:t xml:space="preserve"> can be found on our </w:t>
      </w:r>
      <w:proofErr w:type="spellStart"/>
      <w:proofErr w:type="gramStart"/>
      <w:r w:rsidRPr="003F39BC">
        <w:rPr>
          <w:rFonts w:asciiTheme="minorHAnsi" w:hAnsiTheme="minorHAnsi" w:cstheme="minorHAnsi"/>
          <w:b w:val="0"/>
          <w:bCs/>
          <w:i/>
          <w:iCs/>
          <w:color w:val="auto"/>
          <w:sz w:val="22"/>
          <w:szCs w:val="22"/>
          <w:bdr w:val="none" w:sz="0" w:space="0" w:color="auto" w:frame="1"/>
          <w:lang w:val="en-GB"/>
        </w:rPr>
        <w:t>website:</w:t>
      </w:r>
      <w:r w:rsidR="00E968A8" w:rsidRPr="00E968A8">
        <w:rPr>
          <w:rFonts w:asciiTheme="minorHAnsi" w:hAnsiTheme="minorHAnsi" w:cstheme="minorHAnsi"/>
          <w:b w:val="0"/>
          <w:bCs/>
          <w:i/>
          <w:iCs/>
          <w:color w:val="auto"/>
          <w:sz w:val="22"/>
          <w:szCs w:val="22"/>
          <w:bdr w:val="none" w:sz="0" w:space="0" w:color="auto" w:frame="1"/>
          <w:lang w:val="en-GB"/>
        </w:rPr>
        <w:t>https</w:t>
      </w:r>
      <w:proofErr w:type="spellEnd"/>
      <w:r w:rsidR="00E968A8" w:rsidRPr="00E968A8">
        <w:rPr>
          <w:rFonts w:asciiTheme="minorHAnsi" w:hAnsiTheme="minorHAnsi" w:cstheme="minorHAnsi"/>
          <w:b w:val="0"/>
          <w:bCs/>
          <w:i/>
          <w:iCs/>
          <w:color w:val="auto"/>
          <w:sz w:val="22"/>
          <w:szCs w:val="22"/>
          <w:bdr w:val="none" w:sz="0" w:space="0" w:color="auto" w:frame="1"/>
          <w:lang w:val="en-GB"/>
        </w:rPr>
        <w:t>://www.phosagro.com/</w:t>
      </w:r>
      <w:proofErr w:type="gramEnd"/>
      <w:r w:rsidRPr="003F39BC">
        <w:rPr>
          <w:rFonts w:asciiTheme="minorHAnsi" w:hAnsiTheme="minorHAnsi" w:cstheme="minorHAnsi"/>
          <w:b w:val="0"/>
          <w:bCs/>
          <w:i/>
          <w:iCs/>
          <w:color w:val="auto"/>
          <w:sz w:val="22"/>
          <w:szCs w:val="22"/>
          <w:bdr w:val="none" w:sz="0" w:space="0" w:color="auto" w:frame="1"/>
          <w:lang w:val="en-GB"/>
        </w:rPr>
        <w:t xml:space="preserve">    </w:t>
      </w:r>
    </w:p>
    <w:p w14:paraId="0C24078D" w14:textId="77777777" w:rsidR="0005296F" w:rsidRPr="006B6993" w:rsidRDefault="0005296F" w:rsidP="0005296F">
      <w:pPr>
        <w:rPr>
          <w:i/>
          <w:iCs/>
          <w:color w:val="000000"/>
          <w:sz w:val="18"/>
          <w:szCs w:val="18"/>
          <w:lang w:val="en-US"/>
        </w:rPr>
      </w:pPr>
    </w:p>
    <w:p w14:paraId="5D42579B" w14:textId="77777777" w:rsidR="0005296F" w:rsidRPr="006B6993" w:rsidRDefault="0005296F" w:rsidP="0005296F">
      <w:pPr>
        <w:tabs>
          <w:tab w:val="left" w:pos="1440"/>
        </w:tabs>
        <w:rPr>
          <w:i/>
          <w:iCs/>
          <w:color w:val="000000"/>
          <w:sz w:val="18"/>
          <w:szCs w:val="18"/>
          <w:lang w:val="en-US"/>
        </w:rPr>
      </w:pPr>
      <w:r w:rsidRPr="006B6993">
        <w:rPr>
          <w:i/>
          <w:iCs/>
          <w:color w:val="000000"/>
          <w:sz w:val="18"/>
          <w:szCs w:val="18"/>
          <w:lang w:val="en-US"/>
        </w:rPr>
        <w:tab/>
      </w:r>
    </w:p>
    <w:p w14:paraId="5527B5AA" w14:textId="77777777" w:rsidR="0005296F" w:rsidRPr="006B6993" w:rsidRDefault="0005296F" w:rsidP="0005296F">
      <w:pPr>
        <w:rPr>
          <w:sz w:val="18"/>
          <w:szCs w:val="18"/>
          <w:lang w:val="en-US"/>
        </w:rPr>
        <w:sectPr w:rsidR="0005296F" w:rsidRPr="006B6993" w:rsidSect="00CE6A7A">
          <w:headerReference w:type="default" r:id="rId24"/>
          <w:headerReference w:type="first" r:id="rId25"/>
          <w:footnotePr>
            <w:numRestart w:val="eachPage"/>
          </w:footnotePr>
          <w:pgSz w:w="11907" w:h="16840" w:code="9"/>
          <w:pgMar w:top="1134" w:right="1021" w:bottom="1134" w:left="1531" w:header="567" w:footer="567" w:gutter="0"/>
          <w:pgNumType w:start="1"/>
          <w:cols w:space="708"/>
          <w:docGrid w:linePitch="360"/>
        </w:sectPr>
      </w:pPr>
    </w:p>
    <w:tbl>
      <w:tblPr>
        <w:tblW w:w="9410" w:type="dxa"/>
        <w:tblLayout w:type="fixed"/>
        <w:tblCellMar>
          <w:left w:w="85" w:type="dxa"/>
          <w:right w:w="85" w:type="dxa"/>
        </w:tblCellMar>
        <w:tblLook w:val="0000" w:firstRow="0" w:lastRow="0" w:firstColumn="0" w:lastColumn="0" w:noHBand="0" w:noVBand="0"/>
      </w:tblPr>
      <w:tblGrid>
        <w:gridCol w:w="5556"/>
        <w:gridCol w:w="1020"/>
        <w:gridCol w:w="1417"/>
        <w:gridCol w:w="1417"/>
      </w:tblGrid>
      <w:tr w:rsidR="0005296F" w:rsidRPr="0005296F" w14:paraId="235DEB3A" w14:textId="77777777" w:rsidTr="00E000A0">
        <w:trPr>
          <w:cantSplit/>
        </w:trPr>
        <w:tc>
          <w:tcPr>
            <w:tcW w:w="5556" w:type="dxa"/>
            <w:tcBorders>
              <w:top w:val="nil"/>
              <w:left w:val="nil"/>
              <w:bottom w:val="single" w:sz="4" w:space="0" w:color="auto"/>
              <w:right w:val="nil"/>
            </w:tcBorders>
            <w:vAlign w:val="bottom"/>
          </w:tcPr>
          <w:p w14:paraId="1C36FC5D" w14:textId="77777777" w:rsidR="0005296F" w:rsidRDefault="0005296F" w:rsidP="0005296F">
            <w:pPr>
              <w:widowControl w:val="0"/>
              <w:autoSpaceDE w:val="0"/>
              <w:autoSpaceDN w:val="0"/>
              <w:adjustRightInd w:val="0"/>
              <w:spacing w:after="0" w:line="240" w:lineRule="auto"/>
              <w:ind w:left="113" w:hanging="113"/>
              <w:rPr>
                <w:rFonts w:ascii="Arial" w:eastAsia="Times New Roman" w:hAnsi="Arial" w:cs="Arial"/>
                <w:i/>
                <w:iCs/>
                <w:spacing w:val="-2"/>
                <w:sz w:val="18"/>
                <w:szCs w:val="18"/>
                <w:lang w:val="en-GB" w:eastAsia="ru-RU"/>
              </w:rPr>
            </w:pPr>
          </w:p>
          <w:p w14:paraId="06740E33" w14:textId="72A76E14" w:rsidR="0005296F" w:rsidRPr="0005296F" w:rsidRDefault="0005296F" w:rsidP="0005296F">
            <w:pPr>
              <w:widowControl w:val="0"/>
              <w:autoSpaceDE w:val="0"/>
              <w:autoSpaceDN w:val="0"/>
              <w:adjustRightInd w:val="0"/>
              <w:spacing w:after="0" w:line="240" w:lineRule="auto"/>
              <w:ind w:left="113" w:hanging="113"/>
              <w:rPr>
                <w:rFonts w:ascii="Arial" w:eastAsia="Times New Roman" w:hAnsi="Arial" w:cs="Arial"/>
                <w:i/>
                <w:iCs/>
                <w:spacing w:val="-2"/>
                <w:sz w:val="18"/>
                <w:szCs w:val="18"/>
                <w:lang w:val="en-GB" w:eastAsia="ru-RU"/>
              </w:rPr>
            </w:pPr>
            <w:r w:rsidRPr="0005296F">
              <w:rPr>
                <w:rFonts w:ascii="Arial" w:eastAsia="Times New Roman" w:hAnsi="Arial" w:cs="Arial"/>
                <w:i/>
                <w:iCs/>
                <w:spacing w:val="-2"/>
                <w:sz w:val="18"/>
                <w:szCs w:val="18"/>
                <w:lang w:val="en-GB" w:eastAsia="ru-RU"/>
              </w:rPr>
              <w:t xml:space="preserve">RUB </w:t>
            </w:r>
            <w:r w:rsidRPr="0005296F">
              <w:rPr>
                <w:rFonts w:ascii="Arial" w:eastAsia="Times New Roman" w:hAnsi="Arial" w:cs="Arial"/>
                <w:i/>
                <w:iCs/>
                <w:spacing w:val="-2"/>
                <w:sz w:val="18"/>
                <w:szCs w:val="18"/>
                <w:lang w:val="en-US" w:eastAsia="ru-RU"/>
              </w:rPr>
              <w:t>m</w:t>
            </w:r>
            <w:proofErr w:type="spellStart"/>
            <w:r w:rsidRPr="0005296F">
              <w:rPr>
                <w:rFonts w:ascii="Arial" w:eastAsia="Times New Roman" w:hAnsi="Arial" w:cs="Arial"/>
                <w:i/>
                <w:iCs/>
                <w:spacing w:val="-2"/>
                <w:sz w:val="18"/>
                <w:szCs w:val="18"/>
                <w:lang w:val="en-GB" w:eastAsia="ru-RU"/>
              </w:rPr>
              <w:t>illion</w:t>
            </w:r>
            <w:proofErr w:type="spellEnd"/>
          </w:p>
        </w:tc>
        <w:tc>
          <w:tcPr>
            <w:tcW w:w="1020" w:type="dxa"/>
            <w:tcBorders>
              <w:top w:val="nil"/>
              <w:left w:val="nil"/>
              <w:bottom w:val="single" w:sz="4" w:space="0" w:color="auto"/>
              <w:right w:val="nil"/>
            </w:tcBorders>
            <w:vAlign w:val="bottom"/>
          </w:tcPr>
          <w:p w14:paraId="2D5168AF" w14:textId="3679171C"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bCs/>
                <w:spacing w:val="-2"/>
                <w:sz w:val="18"/>
                <w:szCs w:val="18"/>
                <w:lang w:val="en-GB" w:eastAsia="ru-RU"/>
              </w:rPr>
            </w:pPr>
          </w:p>
        </w:tc>
        <w:tc>
          <w:tcPr>
            <w:tcW w:w="1417" w:type="dxa"/>
            <w:tcBorders>
              <w:top w:val="nil"/>
              <w:left w:val="nil"/>
              <w:bottom w:val="single" w:sz="4" w:space="0" w:color="auto"/>
              <w:right w:val="nil"/>
            </w:tcBorders>
            <w:vAlign w:val="bottom"/>
          </w:tcPr>
          <w:p w14:paraId="2729D73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05296F">
              <w:rPr>
                <w:rFonts w:ascii="Arial" w:eastAsia="Times New Roman" w:hAnsi="Arial" w:cs="Arial"/>
                <w:b/>
                <w:bCs/>
                <w:spacing w:val="-2"/>
                <w:sz w:val="18"/>
                <w:szCs w:val="18"/>
                <w:lang w:val="en-GB" w:eastAsia="ru-RU"/>
              </w:rPr>
              <w:t>202</w:t>
            </w:r>
            <w:r w:rsidRPr="0005296F">
              <w:rPr>
                <w:rFonts w:ascii="Arial" w:eastAsia="Times New Roman" w:hAnsi="Arial" w:cs="Arial"/>
                <w:b/>
                <w:bCs/>
                <w:spacing w:val="-2"/>
                <w:sz w:val="18"/>
                <w:szCs w:val="18"/>
                <w:lang w:val="ru-RU" w:eastAsia="ru-RU"/>
              </w:rPr>
              <w:t>3</w:t>
            </w:r>
          </w:p>
        </w:tc>
        <w:tc>
          <w:tcPr>
            <w:tcW w:w="1417" w:type="dxa"/>
            <w:tcBorders>
              <w:top w:val="nil"/>
              <w:left w:val="nil"/>
              <w:bottom w:val="single" w:sz="4" w:space="0" w:color="auto"/>
              <w:right w:val="nil"/>
            </w:tcBorders>
            <w:vAlign w:val="bottom"/>
          </w:tcPr>
          <w:p w14:paraId="0B324A6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05296F">
              <w:rPr>
                <w:rFonts w:ascii="Arial" w:eastAsia="Times New Roman" w:hAnsi="Arial" w:cs="Arial"/>
                <w:b/>
                <w:bCs/>
                <w:spacing w:val="-2"/>
                <w:sz w:val="18"/>
                <w:szCs w:val="18"/>
                <w:lang w:val="en-GB" w:eastAsia="ru-RU"/>
              </w:rPr>
              <w:t>2022</w:t>
            </w:r>
          </w:p>
        </w:tc>
      </w:tr>
      <w:tr w:rsidR="0005296F" w:rsidRPr="0005296F" w14:paraId="3EA70F68" w14:textId="77777777" w:rsidTr="00E000A0">
        <w:trPr>
          <w:cantSplit/>
        </w:trPr>
        <w:tc>
          <w:tcPr>
            <w:tcW w:w="5556" w:type="dxa"/>
            <w:tcBorders>
              <w:top w:val="single" w:sz="4" w:space="0" w:color="auto"/>
              <w:left w:val="nil"/>
              <w:right w:val="nil"/>
            </w:tcBorders>
            <w:vAlign w:val="bottom"/>
          </w:tcPr>
          <w:p w14:paraId="6515C950" w14:textId="77777777" w:rsidR="0005296F" w:rsidRPr="0005296F" w:rsidRDefault="0005296F" w:rsidP="0005296F">
            <w:pPr>
              <w:widowControl w:val="0"/>
              <w:autoSpaceDE w:val="0"/>
              <w:autoSpaceDN w:val="0"/>
              <w:adjustRightInd w:val="0"/>
              <w:spacing w:after="0" w:line="240" w:lineRule="auto"/>
              <w:ind w:left="113" w:hanging="113"/>
              <w:jc w:val="right"/>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single" w:sz="4" w:space="0" w:color="auto"/>
              <w:left w:val="nil"/>
              <w:right w:val="nil"/>
            </w:tcBorders>
            <w:vAlign w:val="bottom"/>
          </w:tcPr>
          <w:p w14:paraId="0FD8F994"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11EB4B6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0AB78CF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7AFA70A3" w14:textId="77777777" w:rsidTr="00E000A0">
        <w:trPr>
          <w:cantSplit/>
        </w:trPr>
        <w:tc>
          <w:tcPr>
            <w:tcW w:w="5556" w:type="dxa"/>
            <w:tcBorders>
              <w:left w:val="nil"/>
              <w:bottom w:val="nil"/>
              <w:right w:val="nil"/>
            </w:tcBorders>
            <w:vAlign w:val="bottom"/>
          </w:tcPr>
          <w:p w14:paraId="2A06ED69"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Revenues</w:t>
            </w:r>
          </w:p>
        </w:tc>
        <w:tc>
          <w:tcPr>
            <w:tcW w:w="1020" w:type="dxa"/>
            <w:tcBorders>
              <w:left w:val="nil"/>
              <w:bottom w:val="nil"/>
              <w:right w:val="nil"/>
            </w:tcBorders>
            <w:vAlign w:val="bottom"/>
          </w:tcPr>
          <w:p w14:paraId="66CEACCF" w14:textId="5E785ADF"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1417" w:type="dxa"/>
            <w:tcBorders>
              <w:left w:val="nil"/>
              <w:bottom w:val="nil"/>
              <w:right w:val="nil"/>
            </w:tcBorders>
            <w:vAlign w:val="bottom"/>
          </w:tcPr>
          <w:p w14:paraId="21C86EF9" w14:textId="77777777" w:rsidR="0005296F" w:rsidRPr="0005296F" w:rsidRDefault="0005296F" w:rsidP="0005296F">
            <w:pPr>
              <w:widowControl w:val="0"/>
              <w:spacing w:after="0" w:line="240" w:lineRule="auto"/>
              <w:jc w:val="right"/>
              <w:rPr>
                <w:rFonts w:ascii="Arial" w:eastAsia="Times New Roman" w:hAnsi="Arial" w:cs="Arial"/>
                <w:color w:val="000000"/>
                <w:spacing w:val="-2"/>
                <w:sz w:val="18"/>
                <w:szCs w:val="18"/>
                <w:lang w:val="ru-RU"/>
              </w:rPr>
            </w:pPr>
            <w:r w:rsidRPr="0005296F">
              <w:rPr>
                <w:rFonts w:ascii="Arial" w:eastAsia="Times New Roman" w:hAnsi="Arial" w:cs="Arial"/>
                <w:spacing w:val="-2"/>
                <w:sz w:val="18"/>
                <w:szCs w:val="18"/>
                <w:lang w:val="en-US" w:eastAsia="ru-RU"/>
              </w:rPr>
              <w:t>440,</w:t>
            </w:r>
            <w:r w:rsidRPr="0005296F">
              <w:rPr>
                <w:rFonts w:ascii="Arial" w:eastAsia="Times New Roman" w:hAnsi="Arial" w:cs="Arial"/>
                <w:spacing w:val="-2"/>
                <w:sz w:val="18"/>
                <w:szCs w:val="18"/>
                <w:lang w:val="ru-RU" w:eastAsia="ru-RU"/>
              </w:rPr>
              <w:t>304</w:t>
            </w:r>
          </w:p>
        </w:tc>
        <w:tc>
          <w:tcPr>
            <w:tcW w:w="1417" w:type="dxa"/>
            <w:tcBorders>
              <w:left w:val="nil"/>
              <w:bottom w:val="nil"/>
              <w:right w:val="nil"/>
            </w:tcBorders>
            <w:vAlign w:val="bottom"/>
          </w:tcPr>
          <w:p w14:paraId="2155FDE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color w:val="000000"/>
                <w:spacing w:val="-2"/>
                <w:sz w:val="18"/>
                <w:szCs w:val="18"/>
                <w:lang w:val="en-US"/>
              </w:rPr>
            </w:pPr>
            <w:r w:rsidRPr="0005296F">
              <w:rPr>
                <w:rFonts w:ascii="Arial" w:eastAsia="Times New Roman" w:hAnsi="Arial" w:cs="Arial"/>
                <w:spacing w:val="-2"/>
                <w:sz w:val="18"/>
                <w:szCs w:val="18"/>
                <w:lang w:val="en-US" w:eastAsia="ru-RU"/>
              </w:rPr>
              <w:t>569,527</w:t>
            </w:r>
          </w:p>
        </w:tc>
      </w:tr>
      <w:tr w:rsidR="0005296F" w:rsidRPr="0005296F" w14:paraId="05A07339" w14:textId="77777777" w:rsidTr="00E000A0">
        <w:trPr>
          <w:cantSplit/>
        </w:trPr>
        <w:tc>
          <w:tcPr>
            <w:tcW w:w="5556" w:type="dxa"/>
            <w:tcBorders>
              <w:top w:val="nil"/>
              <w:left w:val="nil"/>
              <w:right w:val="nil"/>
            </w:tcBorders>
            <w:vAlign w:val="bottom"/>
          </w:tcPr>
          <w:p w14:paraId="74C028B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Cost of Group products sold</w:t>
            </w:r>
          </w:p>
        </w:tc>
        <w:tc>
          <w:tcPr>
            <w:tcW w:w="1020" w:type="dxa"/>
            <w:tcBorders>
              <w:top w:val="nil"/>
              <w:left w:val="nil"/>
              <w:right w:val="nil"/>
            </w:tcBorders>
            <w:vAlign w:val="bottom"/>
          </w:tcPr>
          <w:p w14:paraId="0AE7702B" w14:textId="4A4304B6" w:rsidR="0005296F" w:rsidRPr="0018342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6BC6DA31" w14:textId="77777777" w:rsidR="0005296F" w:rsidRPr="0005296F" w:rsidRDefault="0005296F" w:rsidP="0005296F">
            <w:pPr>
              <w:widowControl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color w:val="000000"/>
                <w:spacing w:val="-2"/>
                <w:sz w:val="18"/>
                <w:szCs w:val="18"/>
                <w:lang w:val="en-US"/>
              </w:rPr>
              <w:t>(</w:t>
            </w:r>
            <w:r w:rsidRPr="0005296F">
              <w:rPr>
                <w:rFonts w:ascii="Arial" w:eastAsia="Times New Roman" w:hAnsi="Arial" w:cs="Arial"/>
                <w:spacing w:val="-2"/>
                <w:sz w:val="18"/>
                <w:szCs w:val="18"/>
                <w:lang w:val="en-US" w:eastAsia="ru-RU"/>
              </w:rPr>
              <w:t>235,</w:t>
            </w:r>
            <w:r w:rsidRPr="0005296F">
              <w:rPr>
                <w:rFonts w:ascii="Arial" w:eastAsia="Times New Roman" w:hAnsi="Arial" w:cs="Arial"/>
                <w:spacing w:val="-2"/>
                <w:sz w:val="18"/>
                <w:szCs w:val="18"/>
                <w:lang w:val="ru-RU" w:eastAsia="ru-RU"/>
              </w:rPr>
              <w:t>560</w:t>
            </w:r>
            <w:r w:rsidRPr="0005296F">
              <w:rPr>
                <w:rFonts w:ascii="Arial" w:eastAsia="Times New Roman" w:hAnsi="Arial" w:cs="Arial"/>
                <w:color w:val="000000"/>
                <w:spacing w:val="-2"/>
                <w:sz w:val="18"/>
                <w:szCs w:val="18"/>
                <w:lang w:val="en-US"/>
              </w:rPr>
              <w:t>)</w:t>
            </w:r>
          </w:p>
        </w:tc>
        <w:tc>
          <w:tcPr>
            <w:tcW w:w="1417" w:type="dxa"/>
            <w:tcBorders>
              <w:top w:val="nil"/>
              <w:left w:val="nil"/>
              <w:right w:val="nil"/>
            </w:tcBorders>
            <w:vAlign w:val="bottom"/>
          </w:tcPr>
          <w:p w14:paraId="46AD68F6"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05296F">
              <w:rPr>
                <w:rFonts w:ascii="Arial" w:eastAsia="Times New Roman" w:hAnsi="Arial" w:cs="Arial"/>
                <w:color w:val="000000"/>
                <w:spacing w:val="-2"/>
                <w:sz w:val="18"/>
                <w:szCs w:val="18"/>
                <w:lang w:val="en-US"/>
              </w:rPr>
              <w:t>(253,419)</w:t>
            </w:r>
          </w:p>
        </w:tc>
      </w:tr>
      <w:tr w:rsidR="0005296F" w:rsidRPr="0005296F" w14:paraId="09BF3DEF" w14:textId="77777777" w:rsidTr="00E000A0">
        <w:trPr>
          <w:cantSplit/>
        </w:trPr>
        <w:tc>
          <w:tcPr>
            <w:tcW w:w="5556" w:type="dxa"/>
            <w:tcBorders>
              <w:top w:val="nil"/>
              <w:left w:val="nil"/>
              <w:right w:val="nil"/>
            </w:tcBorders>
            <w:vAlign w:val="bottom"/>
          </w:tcPr>
          <w:p w14:paraId="7770FA9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Cost of products for resale</w:t>
            </w:r>
          </w:p>
        </w:tc>
        <w:tc>
          <w:tcPr>
            <w:tcW w:w="1020" w:type="dxa"/>
            <w:tcBorders>
              <w:top w:val="nil"/>
              <w:left w:val="nil"/>
              <w:right w:val="nil"/>
            </w:tcBorders>
            <w:vAlign w:val="bottom"/>
          </w:tcPr>
          <w:p w14:paraId="444B5FFB"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1AADFF45" w14:textId="77777777" w:rsidR="0005296F" w:rsidRPr="0005296F" w:rsidRDefault="0005296F" w:rsidP="0005296F">
            <w:pPr>
              <w:widowControl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color w:val="000000"/>
                <w:spacing w:val="-2"/>
                <w:sz w:val="18"/>
                <w:szCs w:val="18"/>
                <w:lang w:val="en-US"/>
              </w:rPr>
              <w:t>(16,056)</w:t>
            </w:r>
          </w:p>
        </w:tc>
        <w:tc>
          <w:tcPr>
            <w:tcW w:w="1417" w:type="dxa"/>
            <w:tcBorders>
              <w:top w:val="nil"/>
              <w:left w:val="nil"/>
              <w:right w:val="nil"/>
            </w:tcBorders>
            <w:vAlign w:val="bottom"/>
          </w:tcPr>
          <w:p w14:paraId="2026C0CD"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color w:val="000000"/>
                <w:spacing w:val="-2"/>
                <w:sz w:val="18"/>
                <w:szCs w:val="18"/>
                <w:lang w:val="en-US"/>
              </w:rPr>
            </w:pPr>
            <w:r w:rsidRPr="0005296F">
              <w:rPr>
                <w:rFonts w:ascii="Arial" w:eastAsia="Times New Roman" w:hAnsi="Arial" w:cs="Arial"/>
                <w:color w:val="000000"/>
                <w:spacing w:val="-2"/>
                <w:sz w:val="18"/>
                <w:szCs w:val="18"/>
                <w:lang w:val="en-US"/>
              </w:rPr>
              <w:t>(15,599)</w:t>
            </w:r>
          </w:p>
        </w:tc>
      </w:tr>
      <w:tr w:rsidR="0005296F" w:rsidRPr="0005296F" w14:paraId="39A6D284" w14:textId="77777777" w:rsidTr="00E000A0">
        <w:trPr>
          <w:cantSplit/>
        </w:trPr>
        <w:tc>
          <w:tcPr>
            <w:tcW w:w="5556" w:type="dxa"/>
            <w:tcBorders>
              <w:top w:val="nil"/>
              <w:left w:val="nil"/>
              <w:bottom w:val="single" w:sz="4" w:space="0" w:color="auto"/>
              <w:right w:val="nil"/>
            </w:tcBorders>
            <w:vAlign w:val="bottom"/>
          </w:tcPr>
          <w:p w14:paraId="08B7BBE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nil"/>
              <w:left w:val="nil"/>
              <w:bottom w:val="single" w:sz="4" w:space="0" w:color="auto"/>
              <w:right w:val="nil"/>
            </w:tcBorders>
            <w:vAlign w:val="bottom"/>
          </w:tcPr>
          <w:p w14:paraId="0BB0BB6E"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US" w:eastAsia="ru-RU"/>
              </w:rPr>
            </w:pPr>
          </w:p>
        </w:tc>
        <w:tc>
          <w:tcPr>
            <w:tcW w:w="1417" w:type="dxa"/>
            <w:tcBorders>
              <w:top w:val="nil"/>
              <w:left w:val="nil"/>
              <w:bottom w:val="single" w:sz="4" w:space="0" w:color="auto"/>
              <w:right w:val="nil"/>
            </w:tcBorders>
            <w:vAlign w:val="bottom"/>
          </w:tcPr>
          <w:p w14:paraId="16132003" w14:textId="77777777" w:rsidR="0005296F" w:rsidRPr="0005296F" w:rsidRDefault="0005296F" w:rsidP="0005296F">
            <w:pPr>
              <w:widowControl w:val="0"/>
              <w:spacing w:after="0" w:line="240" w:lineRule="auto"/>
              <w:jc w:val="right"/>
              <w:rPr>
                <w:rFonts w:ascii="Arial" w:eastAsia="Times New Roman" w:hAnsi="Arial" w:cs="Arial"/>
                <w:color w:val="000000"/>
                <w:spacing w:val="-2"/>
                <w:sz w:val="10"/>
                <w:szCs w:val="10"/>
                <w:lang w:val="en-US"/>
              </w:rPr>
            </w:pPr>
          </w:p>
        </w:tc>
        <w:tc>
          <w:tcPr>
            <w:tcW w:w="1417" w:type="dxa"/>
            <w:tcBorders>
              <w:top w:val="nil"/>
              <w:left w:val="nil"/>
              <w:bottom w:val="single" w:sz="4" w:space="0" w:color="auto"/>
              <w:right w:val="nil"/>
            </w:tcBorders>
            <w:vAlign w:val="bottom"/>
          </w:tcPr>
          <w:p w14:paraId="76BFDDA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05296F" w:rsidRPr="0005296F" w14:paraId="6D711AB7" w14:textId="77777777" w:rsidTr="00E000A0">
        <w:trPr>
          <w:cantSplit/>
        </w:trPr>
        <w:tc>
          <w:tcPr>
            <w:tcW w:w="5556" w:type="dxa"/>
            <w:tcBorders>
              <w:top w:val="single" w:sz="4" w:space="0" w:color="auto"/>
              <w:left w:val="nil"/>
              <w:right w:val="nil"/>
            </w:tcBorders>
            <w:vAlign w:val="bottom"/>
          </w:tcPr>
          <w:p w14:paraId="4FE6E83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single" w:sz="4" w:space="0" w:color="auto"/>
              <w:left w:val="nil"/>
              <w:right w:val="nil"/>
            </w:tcBorders>
            <w:vAlign w:val="bottom"/>
          </w:tcPr>
          <w:p w14:paraId="6866A2A0"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US" w:eastAsia="ru-RU"/>
              </w:rPr>
            </w:pPr>
          </w:p>
        </w:tc>
        <w:tc>
          <w:tcPr>
            <w:tcW w:w="1417" w:type="dxa"/>
            <w:tcBorders>
              <w:top w:val="single" w:sz="4" w:space="0" w:color="auto"/>
              <w:left w:val="nil"/>
              <w:right w:val="nil"/>
            </w:tcBorders>
            <w:vAlign w:val="bottom"/>
          </w:tcPr>
          <w:p w14:paraId="4479B382" w14:textId="77777777" w:rsidR="0005296F" w:rsidRPr="0005296F" w:rsidRDefault="0005296F" w:rsidP="0005296F">
            <w:pPr>
              <w:widowControl w:val="0"/>
              <w:spacing w:after="0" w:line="240" w:lineRule="auto"/>
              <w:jc w:val="right"/>
              <w:rPr>
                <w:rFonts w:ascii="Arial" w:eastAsia="Times New Roman" w:hAnsi="Arial" w:cs="Arial"/>
                <w:color w:val="000000"/>
                <w:spacing w:val="-2"/>
                <w:sz w:val="10"/>
                <w:szCs w:val="10"/>
                <w:lang w:val="en-US"/>
              </w:rPr>
            </w:pPr>
          </w:p>
        </w:tc>
        <w:tc>
          <w:tcPr>
            <w:tcW w:w="1417" w:type="dxa"/>
            <w:tcBorders>
              <w:top w:val="single" w:sz="4" w:space="0" w:color="auto"/>
              <w:left w:val="nil"/>
              <w:right w:val="nil"/>
            </w:tcBorders>
            <w:vAlign w:val="bottom"/>
          </w:tcPr>
          <w:p w14:paraId="0BE864D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05296F" w:rsidRPr="0005296F" w14:paraId="483B4862" w14:textId="77777777" w:rsidTr="00E000A0">
        <w:trPr>
          <w:cantSplit/>
        </w:trPr>
        <w:tc>
          <w:tcPr>
            <w:tcW w:w="5556" w:type="dxa"/>
            <w:tcBorders>
              <w:left w:val="nil"/>
              <w:right w:val="nil"/>
            </w:tcBorders>
            <w:vAlign w:val="bottom"/>
          </w:tcPr>
          <w:p w14:paraId="271AC86E"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Gross profit</w:t>
            </w:r>
          </w:p>
        </w:tc>
        <w:tc>
          <w:tcPr>
            <w:tcW w:w="1020" w:type="dxa"/>
            <w:tcBorders>
              <w:left w:val="nil"/>
              <w:right w:val="nil"/>
            </w:tcBorders>
            <w:vAlign w:val="bottom"/>
          </w:tcPr>
          <w:p w14:paraId="4987F7CE"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003A7D7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szCs w:val="18"/>
                <w:lang w:val="en-US" w:eastAsia="ru-RU"/>
              </w:rPr>
              <w:t>188,</w:t>
            </w:r>
            <w:r w:rsidRPr="0005296F">
              <w:rPr>
                <w:rFonts w:ascii="Arial" w:eastAsia="Times New Roman" w:hAnsi="Arial" w:cs="Arial"/>
                <w:b/>
                <w:spacing w:val="-2"/>
                <w:sz w:val="18"/>
                <w:szCs w:val="18"/>
                <w:lang w:val="ru-RU" w:eastAsia="ru-RU"/>
              </w:rPr>
              <w:t>688</w:t>
            </w:r>
          </w:p>
        </w:tc>
        <w:tc>
          <w:tcPr>
            <w:tcW w:w="1417" w:type="dxa"/>
            <w:tcBorders>
              <w:left w:val="nil"/>
              <w:right w:val="nil"/>
            </w:tcBorders>
            <w:vAlign w:val="bottom"/>
          </w:tcPr>
          <w:p w14:paraId="5EED149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05296F">
              <w:rPr>
                <w:rFonts w:ascii="Arial" w:eastAsia="Times New Roman" w:hAnsi="Arial" w:cs="Arial"/>
                <w:b/>
                <w:spacing w:val="-2"/>
                <w:sz w:val="18"/>
                <w:szCs w:val="18"/>
                <w:lang w:val="en-US" w:eastAsia="ru-RU"/>
              </w:rPr>
              <w:t>300,509</w:t>
            </w:r>
          </w:p>
        </w:tc>
      </w:tr>
      <w:tr w:rsidR="0005296F" w:rsidRPr="0005296F" w14:paraId="5595115F" w14:textId="77777777" w:rsidTr="00E000A0">
        <w:trPr>
          <w:cantSplit/>
        </w:trPr>
        <w:tc>
          <w:tcPr>
            <w:tcW w:w="5556" w:type="dxa"/>
            <w:tcBorders>
              <w:left w:val="nil"/>
              <w:right w:val="nil"/>
            </w:tcBorders>
            <w:vAlign w:val="bottom"/>
          </w:tcPr>
          <w:p w14:paraId="2554BEEE"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20" w:type="dxa"/>
            <w:tcBorders>
              <w:left w:val="nil"/>
              <w:right w:val="nil"/>
            </w:tcBorders>
            <w:vAlign w:val="bottom"/>
          </w:tcPr>
          <w:p w14:paraId="3F2D7672"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right w:val="nil"/>
            </w:tcBorders>
            <w:vAlign w:val="bottom"/>
          </w:tcPr>
          <w:p w14:paraId="4E25BFE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417" w:type="dxa"/>
            <w:tcBorders>
              <w:left w:val="nil"/>
              <w:right w:val="nil"/>
            </w:tcBorders>
            <w:vAlign w:val="bottom"/>
          </w:tcPr>
          <w:p w14:paraId="19405F4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05296F" w:rsidRPr="0005296F" w14:paraId="45FAD66D" w14:textId="77777777" w:rsidTr="00E000A0">
        <w:trPr>
          <w:cantSplit/>
        </w:trPr>
        <w:tc>
          <w:tcPr>
            <w:tcW w:w="5556" w:type="dxa"/>
            <w:tcBorders>
              <w:top w:val="nil"/>
              <w:left w:val="nil"/>
              <w:bottom w:val="nil"/>
              <w:right w:val="nil"/>
            </w:tcBorders>
            <w:vAlign w:val="bottom"/>
          </w:tcPr>
          <w:p w14:paraId="52C841C7"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Administrative and selling expenses</w:t>
            </w:r>
          </w:p>
        </w:tc>
        <w:tc>
          <w:tcPr>
            <w:tcW w:w="1020" w:type="dxa"/>
            <w:tcBorders>
              <w:top w:val="nil"/>
              <w:left w:val="nil"/>
              <w:bottom w:val="nil"/>
              <w:right w:val="nil"/>
            </w:tcBorders>
            <w:vAlign w:val="bottom"/>
          </w:tcPr>
          <w:p w14:paraId="67904815" w14:textId="2A2A535F"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1417" w:type="dxa"/>
            <w:tcBorders>
              <w:top w:val="nil"/>
              <w:left w:val="nil"/>
              <w:bottom w:val="nil"/>
              <w:right w:val="nil"/>
            </w:tcBorders>
            <w:vAlign w:val="bottom"/>
          </w:tcPr>
          <w:p w14:paraId="252A30D6"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(32,</w:t>
            </w:r>
            <w:r w:rsidRPr="0005296F">
              <w:rPr>
                <w:rFonts w:ascii="Arial" w:eastAsia="Times New Roman" w:hAnsi="Arial" w:cs="Arial"/>
                <w:spacing w:val="-2"/>
                <w:sz w:val="18"/>
                <w:szCs w:val="18"/>
                <w:lang w:val="ru-RU" w:eastAsia="ru-RU"/>
              </w:rPr>
              <w:t>282</w:t>
            </w:r>
            <w:r w:rsidRPr="0005296F">
              <w:rPr>
                <w:rFonts w:ascii="Arial" w:eastAsia="Times New Roman" w:hAnsi="Arial" w:cs="Arial"/>
                <w:spacing w:val="-2"/>
                <w:sz w:val="18"/>
                <w:szCs w:val="18"/>
                <w:lang w:val="en-US" w:eastAsia="ru-RU"/>
              </w:rPr>
              <w:t>)</w:t>
            </w:r>
          </w:p>
        </w:tc>
        <w:tc>
          <w:tcPr>
            <w:tcW w:w="1417" w:type="dxa"/>
            <w:tcBorders>
              <w:top w:val="nil"/>
              <w:left w:val="nil"/>
              <w:bottom w:val="nil"/>
              <w:right w:val="nil"/>
            </w:tcBorders>
            <w:vAlign w:val="bottom"/>
          </w:tcPr>
          <w:p w14:paraId="5EA04819"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(42,403)</w:t>
            </w:r>
          </w:p>
        </w:tc>
      </w:tr>
      <w:tr w:rsidR="0005296F" w:rsidRPr="0005296F" w14:paraId="033AE1A4" w14:textId="77777777" w:rsidTr="00E000A0">
        <w:trPr>
          <w:cantSplit/>
        </w:trPr>
        <w:tc>
          <w:tcPr>
            <w:tcW w:w="5556" w:type="dxa"/>
            <w:tcBorders>
              <w:top w:val="nil"/>
              <w:left w:val="nil"/>
              <w:bottom w:val="nil"/>
              <w:right w:val="nil"/>
            </w:tcBorders>
            <w:vAlign w:val="bottom"/>
          </w:tcPr>
          <w:p w14:paraId="4300EA4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Taxes, other than income tax</w:t>
            </w:r>
          </w:p>
        </w:tc>
        <w:tc>
          <w:tcPr>
            <w:tcW w:w="1020" w:type="dxa"/>
            <w:tcBorders>
              <w:top w:val="nil"/>
              <w:left w:val="nil"/>
              <w:bottom w:val="nil"/>
              <w:right w:val="nil"/>
            </w:tcBorders>
            <w:vAlign w:val="bottom"/>
          </w:tcPr>
          <w:p w14:paraId="1528F8CB" w14:textId="34CD2FF1" w:rsidR="0005296F" w:rsidRPr="0018342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5FDD4A67"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(12,779)</w:t>
            </w:r>
          </w:p>
        </w:tc>
        <w:tc>
          <w:tcPr>
            <w:tcW w:w="1417" w:type="dxa"/>
            <w:tcBorders>
              <w:top w:val="nil"/>
              <w:left w:val="nil"/>
              <w:bottom w:val="nil"/>
              <w:right w:val="nil"/>
            </w:tcBorders>
            <w:vAlign w:val="bottom"/>
          </w:tcPr>
          <w:p w14:paraId="477C3645"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(11,327)</w:t>
            </w:r>
          </w:p>
        </w:tc>
      </w:tr>
      <w:tr w:rsidR="0005296F" w:rsidRPr="0005296F" w14:paraId="78F453A4" w14:textId="77777777" w:rsidTr="00E000A0">
        <w:trPr>
          <w:cantSplit/>
        </w:trPr>
        <w:tc>
          <w:tcPr>
            <w:tcW w:w="5556" w:type="dxa"/>
            <w:tcBorders>
              <w:top w:val="nil"/>
              <w:left w:val="nil"/>
              <w:right w:val="nil"/>
            </w:tcBorders>
            <w:vAlign w:val="bottom"/>
          </w:tcPr>
          <w:p w14:paraId="04EF0BA0"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Other expenses, net</w:t>
            </w:r>
          </w:p>
        </w:tc>
        <w:tc>
          <w:tcPr>
            <w:tcW w:w="1020" w:type="dxa"/>
            <w:tcBorders>
              <w:top w:val="nil"/>
              <w:left w:val="nil"/>
              <w:right w:val="nil"/>
            </w:tcBorders>
            <w:vAlign w:val="bottom"/>
          </w:tcPr>
          <w:p w14:paraId="619DB1B2" w14:textId="3EB4EE84"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1417" w:type="dxa"/>
            <w:tcBorders>
              <w:top w:val="nil"/>
              <w:left w:val="nil"/>
              <w:right w:val="nil"/>
            </w:tcBorders>
            <w:vAlign w:val="bottom"/>
          </w:tcPr>
          <w:p w14:paraId="79B6EFD0"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(7,557)</w:t>
            </w:r>
          </w:p>
        </w:tc>
        <w:tc>
          <w:tcPr>
            <w:tcW w:w="1417" w:type="dxa"/>
            <w:tcBorders>
              <w:top w:val="nil"/>
              <w:left w:val="nil"/>
              <w:right w:val="nil"/>
            </w:tcBorders>
            <w:vAlign w:val="bottom"/>
          </w:tcPr>
          <w:p w14:paraId="7A1B00A3"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(9,371)</w:t>
            </w:r>
          </w:p>
        </w:tc>
      </w:tr>
      <w:tr w:rsidR="0005296F" w:rsidRPr="0005296F" w14:paraId="223D14D2" w14:textId="77777777" w:rsidTr="00E000A0">
        <w:trPr>
          <w:cantSplit/>
        </w:trPr>
        <w:tc>
          <w:tcPr>
            <w:tcW w:w="5556" w:type="dxa"/>
            <w:tcBorders>
              <w:top w:val="nil"/>
              <w:left w:val="nil"/>
              <w:right w:val="nil"/>
            </w:tcBorders>
            <w:vAlign w:val="bottom"/>
          </w:tcPr>
          <w:p w14:paraId="5039A01B"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 xml:space="preserve">Foreign exchange </w:t>
            </w:r>
            <w:r w:rsidRPr="0005296F">
              <w:rPr>
                <w:rFonts w:ascii="Arial" w:eastAsia="Times New Roman" w:hAnsi="Arial" w:cs="Arial"/>
                <w:spacing w:val="-2"/>
                <w:sz w:val="18"/>
                <w:szCs w:val="18"/>
                <w:lang w:val="en-US" w:eastAsia="ru-RU"/>
              </w:rPr>
              <w:t>gain/(</w:t>
            </w:r>
            <w:r w:rsidRPr="0005296F">
              <w:rPr>
                <w:rFonts w:ascii="Arial" w:eastAsia="Times New Roman" w:hAnsi="Arial" w:cs="Arial"/>
                <w:spacing w:val="-2"/>
                <w:sz w:val="18"/>
                <w:szCs w:val="18"/>
                <w:lang w:val="en-GB" w:eastAsia="ru-RU"/>
              </w:rPr>
              <w:t>loss) from operating activities, net</w:t>
            </w:r>
          </w:p>
        </w:tc>
        <w:tc>
          <w:tcPr>
            <w:tcW w:w="1020" w:type="dxa"/>
            <w:tcBorders>
              <w:top w:val="nil"/>
              <w:left w:val="nil"/>
              <w:right w:val="nil"/>
            </w:tcBorders>
            <w:vAlign w:val="bottom"/>
          </w:tcPr>
          <w:p w14:paraId="4DC00A71" w14:textId="755C041F"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5B5D7AB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14,68</w:t>
            </w:r>
            <w:r w:rsidRPr="0005296F">
              <w:rPr>
                <w:rFonts w:ascii="Arial" w:eastAsia="Times New Roman" w:hAnsi="Arial" w:cs="Arial"/>
                <w:spacing w:val="-2"/>
                <w:sz w:val="18"/>
                <w:szCs w:val="18"/>
                <w:lang w:val="ru-RU" w:eastAsia="ru-RU"/>
              </w:rPr>
              <w:t>6</w:t>
            </w:r>
          </w:p>
        </w:tc>
        <w:tc>
          <w:tcPr>
            <w:tcW w:w="1417" w:type="dxa"/>
            <w:tcBorders>
              <w:top w:val="nil"/>
              <w:left w:val="nil"/>
              <w:right w:val="nil"/>
            </w:tcBorders>
            <w:vAlign w:val="bottom"/>
          </w:tcPr>
          <w:p w14:paraId="2C390337"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(9,068)</w:t>
            </w:r>
          </w:p>
        </w:tc>
      </w:tr>
      <w:tr w:rsidR="0005296F" w:rsidRPr="0005296F" w14:paraId="0084B4C2" w14:textId="77777777" w:rsidTr="00E000A0">
        <w:trPr>
          <w:cantSplit/>
        </w:trPr>
        <w:tc>
          <w:tcPr>
            <w:tcW w:w="5556" w:type="dxa"/>
            <w:tcBorders>
              <w:top w:val="nil"/>
              <w:left w:val="nil"/>
              <w:bottom w:val="single" w:sz="4" w:space="0" w:color="auto"/>
              <w:right w:val="nil"/>
            </w:tcBorders>
            <w:vAlign w:val="bottom"/>
          </w:tcPr>
          <w:p w14:paraId="1C548CD7"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nil"/>
              <w:left w:val="nil"/>
              <w:bottom w:val="single" w:sz="4" w:space="0" w:color="auto"/>
              <w:right w:val="nil"/>
            </w:tcBorders>
            <w:vAlign w:val="bottom"/>
          </w:tcPr>
          <w:p w14:paraId="72ABD1B2"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nil"/>
              <w:left w:val="nil"/>
              <w:bottom w:val="single" w:sz="4" w:space="0" w:color="auto"/>
              <w:right w:val="nil"/>
            </w:tcBorders>
            <w:vAlign w:val="bottom"/>
          </w:tcPr>
          <w:p w14:paraId="44987F5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1417" w:type="dxa"/>
            <w:tcBorders>
              <w:top w:val="nil"/>
              <w:left w:val="nil"/>
              <w:bottom w:val="single" w:sz="4" w:space="0" w:color="auto"/>
              <w:right w:val="nil"/>
            </w:tcBorders>
            <w:vAlign w:val="bottom"/>
          </w:tcPr>
          <w:p w14:paraId="295A192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05296F" w:rsidRPr="0005296F" w14:paraId="14B3A328" w14:textId="77777777" w:rsidTr="00E000A0">
        <w:trPr>
          <w:cantSplit/>
        </w:trPr>
        <w:tc>
          <w:tcPr>
            <w:tcW w:w="5556" w:type="dxa"/>
            <w:tcBorders>
              <w:top w:val="single" w:sz="4" w:space="0" w:color="auto"/>
              <w:left w:val="nil"/>
              <w:right w:val="nil"/>
            </w:tcBorders>
            <w:vAlign w:val="bottom"/>
          </w:tcPr>
          <w:p w14:paraId="7E172F0B"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single" w:sz="4" w:space="0" w:color="auto"/>
              <w:left w:val="nil"/>
              <w:right w:val="nil"/>
            </w:tcBorders>
            <w:vAlign w:val="bottom"/>
          </w:tcPr>
          <w:p w14:paraId="5A74BE85"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4BBDCD8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1417" w:type="dxa"/>
            <w:tcBorders>
              <w:top w:val="single" w:sz="4" w:space="0" w:color="auto"/>
              <w:left w:val="nil"/>
              <w:right w:val="nil"/>
            </w:tcBorders>
            <w:vAlign w:val="bottom"/>
          </w:tcPr>
          <w:p w14:paraId="4B83A73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05296F" w:rsidRPr="0005296F" w14:paraId="46A3074D" w14:textId="77777777" w:rsidTr="00E000A0">
        <w:trPr>
          <w:cantSplit/>
        </w:trPr>
        <w:tc>
          <w:tcPr>
            <w:tcW w:w="5556" w:type="dxa"/>
            <w:tcBorders>
              <w:left w:val="nil"/>
              <w:right w:val="nil"/>
            </w:tcBorders>
            <w:vAlign w:val="bottom"/>
          </w:tcPr>
          <w:p w14:paraId="4A8700C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Operating profit</w:t>
            </w:r>
          </w:p>
        </w:tc>
        <w:tc>
          <w:tcPr>
            <w:tcW w:w="1020" w:type="dxa"/>
            <w:tcBorders>
              <w:left w:val="nil"/>
              <w:right w:val="nil"/>
            </w:tcBorders>
            <w:vAlign w:val="bottom"/>
          </w:tcPr>
          <w:p w14:paraId="3834FA67"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637718C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szCs w:val="18"/>
                <w:lang w:val="en-US" w:eastAsia="ru-RU"/>
              </w:rPr>
              <w:t>150,</w:t>
            </w:r>
            <w:r w:rsidRPr="0005296F">
              <w:rPr>
                <w:rFonts w:ascii="Arial" w:eastAsia="Times New Roman" w:hAnsi="Arial" w:cs="Arial"/>
                <w:b/>
                <w:spacing w:val="-2"/>
                <w:sz w:val="18"/>
                <w:szCs w:val="18"/>
                <w:lang w:val="ru-RU" w:eastAsia="ru-RU"/>
              </w:rPr>
              <w:t>756</w:t>
            </w:r>
          </w:p>
        </w:tc>
        <w:tc>
          <w:tcPr>
            <w:tcW w:w="1417" w:type="dxa"/>
            <w:tcBorders>
              <w:left w:val="nil"/>
              <w:right w:val="nil"/>
            </w:tcBorders>
            <w:vAlign w:val="bottom"/>
          </w:tcPr>
          <w:p w14:paraId="6AFEA8E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US" w:eastAsia="ru-RU"/>
              </w:rPr>
              <w:t>228,340</w:t>
            </w:r>
          </w:p>
        </w:tc>
      </w:tr>
      <w:tr w:rsidR="0005296F" w:rsidRPr="0005296F" w14:paraId="26A65124" w14:textId="77777777" w:rsidTr="00E000A0">
        <w:trPr>
          <w:cantSplit/>
        </w:trPr>
        <w:tc>
          <w:tcPr>
            <w:tcW w:w="5556" w:type="dxa"/>
            <w:tcBorders>
              <w:left w:val="nil"/>
              <w:right w:val="nil"/>
            </w:tcBorders>
            <w:vAlign w:val="bottom"/>
          </w:tcPr>
          <w:p w14:paraId="775BFD3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20" w:type="dxa"/>
            <w:tcBorders>
              <w:left w:val="nil"/>
              <w:right w:val="nil"/>
            </w:tcBorders>
            <w:vAlign w:val="bottom"/>
          </w:tcPr>
          <w:p w14:paraId="1F0D5A68"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right w:val="nil"/>
            </w:tcBorders>
            <w:vAlign w:val="bottom"/>
          </w:tcPr>
          <w:p w14:paraId="5E52095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417" w:type="dxa"/>
            <w:tcBorders>
              <w:left w:val="nil"/>
              <w:right w:val="nil"/>
            </w:tcBorders>
            <w:vAlign w:val="bottom"/>
          </w:tcPr>
          <w:p w14:paraId="0C3D4C5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05296F" w:rsidRPr="0005296F" w14:paraId="35B6255D" w14:textId="77777777" w:rsidTr="00E000A0">
        <w:trPr>
          <w:cantSplit/>
        </w:trPr>
        <w:tc>
          <w:tcPr>
            <w:tcW w:w="5556" w:type="dxa"/>
            <w:tcBorders>
              <w:top w:val="nil"/>
              <w:left w:val="nil"/>
              <w:bottom w:val="nil"/>
              <w:right w:val="nil"/>
            </w:tcBorders>
            <w:vAlign w:val="bottom"/>
          </w:tcPr>
          <w:p w14:paraId="55839A0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Finance income</w:t>
            </w:r>
          </w:p>
        </w:tc>
        <w:tc>
          <w:tcPr>
            <w:tcW w:w="1020" w:type="dxa"/>
            <w:tcBorders>
              <w:top w:val="nil"/>
              <w:left w:val="nil"/>
              <w:bottom w:val="nil"/>
              <w:right w:val="nil"/>
            </w:tcBorders>
            <w:vAlign w:val="bottom"/>
          </w:tcPr>
          <w:p w14:paraId="34B826F4" w14:textId="1DF6CA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bottom w:val="nil"/>
              <w:right w:val="nil"/>
            </w:tcBorders>
            <w:vAlign w:val="bottom"/>
          </w:tcPr>
          <w:p w14:paraId="17BB2B8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rPr>
              <w:t>3,353</w:t>
            </w:r>
          </w:p>
        </w:tc>
        <w:tc>
          <w:tcPr>
            <w:tcW w:w="1417" w:type="dxa"/>
            <w:tcBorders>
              <w:top w:val="nil"/>
              <w:left w:val="nil"/>
              <w:bottom w:val="nil"/>
              <w:right w:val="nil"/>
            </w:tcBorders>
            <w:vAlign w:val="bottom"/>
          </w:tcPr>
          <w:p w14:paraId="02814EB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4,439</w:t>
            </w:r>
          </w:p>
        </w:tc>
      </w:tr>
      <w:tr w:rsidR="0005296F" w:rsidRPr="0005296F" w14:paraId="3E26170C" w14:textId="77777777" w:rsidTr="00E000A0">
        <w:trPr>
          <w:cantSplit/>
        </w:trPr>
        <w:tc>
          <w:tcPr>
            <w:tcW w:w="5556" w:type="dxa"/>
            <w:tcBorders>
              <w:top w:val="nil"/>
              <w:left w:val="nil"/>
              <w:bottom w:val="nil"/>
              <w:right w:val="nil"/>
            </w:tcBorders>
            <w:vAlign w:val="bottom"/>
          </w:tcPr>
          <w:p w14:paraId="27C43AEE"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Finance costs</w:t>
            </w:r>
          </w:p>
        </w:tc>
        <w:tc>
          <w:tcPr>
            <w:tcW w:w="1020" w:type="dxa"/>
            <w:tcBorders>
              <w:top w:val="nil"/>
              <w:left w:val="nil"/>
              <w:bottom w:val="nil"/>
              <w:right w:val="nil"/>
            </w:tcBorders>
            <w:vAlign w:val="bottom"/>
          </w:tcPr>
          <w:p w14:paraId="2E157449" w14:textId="6E7E061A"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bottom w:val="nil"/>
              <w:right w:val="nil"/>
            </w:tcBorders>
            <w:vAlign w:val="bottom"/>
          </w:tcPr>
          <w:p w14:paraId="081AD45D"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(7,881)</w:t>
            </w:r>
          </w:p>
        </w:tc>
        <w:tc>
          <w:tcPr>
            <w:tcW w:w="1417" w:type="dxa"/>
            <w:tcBorders>
              <w:top w:val="nil"/>
              <w:left w:val="nil"/>
              <w:bottom w:val="nil"/>
              <w:right w:val="nil"/>
            </w:tcBorders>
            <w:vAlign w:val="bottom"/>
          </w:tcPr>
          <w:p w14:paraId="08519DF9"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(11,967)</w:t>
            </w:r>
          </w:p>
        </w:tc>
      </w:tr>
      <w:tr w:rsidR="0005296F" w:rsidRPr="0005296F" w14:paraId="7F74BAA2" w14:textId="77777777" w:rsidTr="0005296F">
        <w:trPr>
          <w:cantSplit/>
        </w:trPr>
        <w:tc>
          <w:tcPr>
            <w:tcW w:w="5556" w:type="dxa"/>
            <w:tcBorders>
              <w:top w:val="nil"/>
              <w:left w:val="nil"/>
              <w:bottom w:val="nil"/>
              <w:right w:val="nil"/>
            </w:tcBorders>
            <w:shd w:val="clear" w:color="auto" w:fill="FFFFFF"/>
            <w:vAlign w:val="bottom"/>
          </w:tcPr>
          <w:p w14:paraId="564F0D09"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 xml:space="preserve">Gain from revaluation of </w:t>
            </w:r>
            <w:r w:rsidRPr="0005296F">
              <w:rPr>
                <w:rFonts w:ascii="Arial" w:eastAsia="Times New Roman" w:hAnsi="Arial" w:cs="Arial"/>
                <w:spacing w:val="-2"/>
                <w:sz w:val="18"/>
                <w:szCs w:val="18"/>
                <w:lang w:val="en-US" w:eastAsia="ru-RU"/>
              </w:rPr>
              <w:t>investments in equity instruments</w:t>
            </w:r>
            <w:r w:rsidRPr="0005296F">
              <w:rPr>
                <w:rFonts w:ascii="Arial" w:eastAsia="Times New Roman" w:hAnsi="Arial" w:cs="Arial"/>
                <w:spacing w:val="-2"/>
                <w:sz w:val="18"/>
                <w:szCs w:val="18"/>
                <w:lang w:val="en-GB" w:eastAsia="ru-RU"/>
              </w:rPr>
              <w:t xml:space="preserve"> measured at fair value through profit or loss</w:t>
            </w:r>
          </w:p>
        </w:tc>
        <w:tc>
          <w:tcPr>
            <w:tcW w:w="1020" w:type="dxa"/>
            <w:tcBorders>
              <w:top w:val="nil"/>
              <w:left w:val="nil"/>
              <w:bottom w:val="nil"/>
              <w:right w:val="nil"/>
            </w:tcBorders>
            <w:vAlign w:val="bottom"/>
          </w:tcPr>
          <w:p w14:paraId="31B3FEC4" w14:textId="73BD10B9" w:rsidR="0005296F" w:rsidRPr="0018342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61417FA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1,025</w:t>
            </w:r>
          </w:p>
        </w:tc>
        <w:tc>
          <w:tcPr>
            <w:tcW w:w="1417" w:type="dxa"/>
            <w:tcBorders>
              <w:top w:val="nil"/>
              <w:left w:val="nil"/>
              <w:right w:val="nil"/>
            </w:tcBorders>
            <w:vAlign w:val="bottom"/>
          </w:tcPr>
          <w:p w14:paraId="28CA99A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GB" w:eastAsia="ru-RU"/>
              </w:rPr>
              <w:t>-</w:t>
            </w:r>
          </w:p>
        </w:tc>
      </w:tr>
      <w:tr w:rsidR="0005296F" w:rsidRPr="0005296F" w14:paraId="2B8165B2" w14:textId="77777777" w:rsidTr="0005296F">
        <w:trPr>
          <w:cantSplit/>
        </w:trPr>
        <w:tc>
          <w:tcPr>
            <w:tcW w:w="5556" w:type="dxa"/>
            <w:tcBorders>
              <w:top w:val="nil"/>
              <w:left w:val="nil"/>
              <w:bottom w:val="nil"/>
              <w:right w:val="nil"/>
            </w:tcBorders>
            <w:shd w:val="clear" w:color="auto" w:fill="FFFFFF"/>
            <w:vAlign w:val="bottom"/>
          </w:tcPr>
          <w:p w14:paraId="3C28D070"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Foreign exchange</w:t>
            </w:r>
            <w:r w:rsidRPr="0005296F">
              <w:rPr>
                <w:rFonts w:ascii="Arial" w:eastAsia="Times New Roman" w:hAnsi="Arial" w:cs="Arial"/>
                <w:spacing w:val="-2"/>
                <w:sz w:val="18"/>
                <w:szCs w:val="18"/>
                <w:lang w:val="en-US" w:eastAsia="ru-RU"/>
              </w:rPr>
              <w:t xml:space="preserve"> (loss)/gain</w:t>
            </w:r>
            <w:r w:rsidRPr="0005296F">
              <w:rPr>
                <w:rFonts w:ascii="Arial" w:eastAsia="Times New Roman" w:hAnsi="Arial" w:cs="Arial"/>
                <w:spacing w:val="-2"/>
                <w:sz w:val="18"/>
                <w:szCs w:val="18"/>
                <w:lang w:val="en-GB" w:eastAsia="ru-RU"/>
              </w:rPr>
              <w:t xml:space="preserve"> from financing activities, net</w:t>
            </w:r>
          </w:p>
        </w:tc>
        <w:tc>
          <w:tcPr>
            <w:tcW w:w="1020" w:type="dxa"/>
            <w:tcBorders>
              <w:top w:val="nil"/>
              <w:left w:val="nil"/>
              <w:bottom w:val="nil"/>
              <w:right w:val="nil"/>
            </w:tcBorders>
            <w:vAlign w:val="bottom"/>
          </w:tcPr>
          <w:p w14:paraId="04D12EA2" w14:textId="496CF5CE"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67F6BD70"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(32,650)</w:t>
            </w:r>
          </w:p>
        </w:tc>
        <w:tc>
          <w:tcPr>
            <w:tcW w:w="1417" w:type="dxa"/>
            <w:tcBorders>
              <w:top w:val="nil"/>
              <w:left w:val="nil"/>
              <w:right w:val="nil"/>
            </w:tcBorders>
            <w:vAlign w:val="bottom"/>
          </w:tcPr>
          <w:p w14:paraId="7FCE618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11,485</w:t>
            </w:r>
          </w:p>
        </w:tc>
      </w:tr>
      <w:tr w:rsidR="0005296F" w:rsidRPr="0005296F" w14:paraId="6F4DC5D6" w14:textId="77777777" w:rsidTr="00E000A0">
        <w:trPr>
          <w:cantSplit/>
        </w:trPr>
        <w:tc>
          <w:tcPr>
            <w:tcW w:w="5556" w:type="dxa"/>
            <w:tcBorders>
              <w:top w:val="nil"/>
              <w:left w:val="nil"/>
              <w:bottom w:val="single" w:sz="4" w:space="0" w:color="auto"/>
              <w:right w:val="nil"/>
            </w:tcBorders>
            <w:vAlign w:val="bottom"/>
          </w:tcPr>
          <w:p w14:paraId="1E2720B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nil"/>
              <w:left w:val="nil"/>
              <w:bottom w:val="single" w:sz="4" w:space="0" w:color="auto"/>
              <w:right w:val="nil"/>
            </w:tcBorders>
            <w:vAlign w:val="bottom"/>
          </w:tcPr>
          <w:p w14:paraId="5E1F48D9"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nil"/>
              <w:left w:val="nil"/>
              <w:bottom w:val="single" w:sz="4" w:space="0" w:color="auto"/>
              <w:right w:val="nil"/>
            </w:tcBorders>
            <w:vAlign w:val="bottom"/>
          </w:tcPr>
          <w:p w14:paraId="713A9F6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top w:val="nil"/>
              <w:left w:val="nil"/>
              <w:bottom w:val="single" w:sz="4" w:space="0" w:color="auto"/>
              <w:right w:val="nil"/>
            </w:tcBorders>
            <w:vAlign w:val="bottom"/>
          </w:tcPr>
          <w:p w14:paraId="7101DB7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61741D73" w14:textId="77777777" w:rsidTr="00E000A0">
        <w:trPr>
          <w:cantSplit/>
        </w:trPr>
        <w:tc>
          <w:tcPr>
            <w:tcW w:w="5556" w:type="dxa"/>
            <w:tcBorders>
              <w:top w:val="single" w:sz="4" w:space="0" w:color="auto"/>
              <w:left w:val="nil"/>
              <w:bottom w:val="nil"/>
              <w:right w:val="nil"/>
            </w:tcBorders>
            <w:vAlign w:val="bottom"/>
          </w:tcPr>
          <w:p w14:paraId="15AB9FF3"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single" w:sz="4" w:space="0" w:color="auto"/>
              <w:left w:val="nil"/>
              <w:bottom w:val="nil"/>
              <w:right w:val="nil"/>
            </w:tcBorders>
            <w:vAlign w:val="bottom"/>
          </w:tcPr>
          <w:p w14:paraId="7423F4D5"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22747B2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top w:val="single" w:sz="4" w:space="0" w:color="auto"/>
              <w:left w:val="nil"/>
              <w:right w:val="nil"/>
            </w:tcBorders>
            <w:vAlign w:val="bottom"/>
          </w:tcPr>
          <w:p w14:paraId="69A45C4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37C107EE" w14:textId="77777777" w:rsidTr="00E000A0">
        <w:trPr>
          <w:cantSplit/>
        </w:trPr>
        <w:tc>
          <w:tcPr>
            <w:tcW w:w="5556" w:type="dxa"/>
            <w:tcBorders>
              <w:top w:val="nil"/>
              <w:left w:val="nil"/>
              <w:right w:val="nil"/>
            </w:tcBorders>
            <w:vAlign w:val="bottom"/>
          </w:tcPr>
          <w:p w14:paraId="3E9ABDF0"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Profit before tax</w:t>
            </w:r>
          </w:p>
        </w:tc>
        <w:tc>
          <w:tcPr>
            <w:tcW w:w="1020" w:type="dxa"/>
            <w:tcBorders>
              <w:top w:val="nil"/>
              <w:left w:val="nil"/>
              <w:right w:val="nil"/>
            </w:tcBorders>
            <w:vAlign w:val="bottom"/>
          </w:tcPr>
          <w:p w14:paraId="51756F03"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2130A33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szCs w:val="18"/>
                <w:lang w:val="en-US" w:eastAsia="ru-RU"/>
              </w:rPr>
              <w:t>114,</w:t>
            </w:r>
            <w:r w:rsidRPr="0005296F">
              <w:rPr>
                <w:rFonts w:ascii="Arial" w:eastAsia="Times New Roman" w:hAnsi="Arial" w:cs="Arial"/>
                <w:b/>
                <w:spacing w:val="-2"/>
                <w:sz w:val="18"/>
                <w:szCs w:val="18"/>
                <w:lang w:val="ru-RU" w:eastAsia="ru-RU"/>
              </w:rPr>
              <w:t>603</w:t>
            </w:r>
          </w:p>
        </w:tc>
        <w:tc>
          <w:tcPr>
            <w:tcW w:w="1417" w:type="dxa"/>
            <w:tcBorders>
              <w:left w:val="nil"/>
              <w:right w:val="nil"/>
            </w:tcBorders>
            <w:vAlign w:val="bottom"/>
          </w:tcPr>
          <w:p w14:paraId="61F2B97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US" w:eastAsia="ru-RU"/>
              </w:rPr>
              <w:t>232,297</w:t>
            </w:r>
          </w:p>
        </w:tc>
      </w:tr>
      <w:tr w:rsidR="0005296F" w:rsidRPr="0005296F" w14:paraId="0FF9768D" w14:textId="77777777" w:rsidTr="00E000A0">
        <w:trPr>
          <w:cantSplit/>
        </w:trPr>
        <w:tc>
          <w:tcPr>
            <w:tcW w:w="5556" w:type="dxa"/>
            <w:tcBorders>
              <w:top w:val="nil"/>
              <w:left w:val="nil"/>
              <w:right w:val="nil"/>
            </w:tcBorders>
            <w:vAlign w:val="bottom"/>
          </w:tcPr>
          <w:p w14:paraId="035A142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nil"/>
              <w:left w:val="nil"/>
              <w:right w:val="nil"/>
            </w:tcBorders>
            <w:vAlign w:val="bottom"/>
          </w:tcPr>
          <w:p w14:paraId="31C4A63D"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nil"/>
              <w:left w:val="nil"/>
              <w:right w:val="nil"/>
            </w:tcBorders>
            <w:vAlign w:val="bottom"/>
          </w:tcPr>
          <w:p w14:paraId="602A4C3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417" w:type="dxa"/>
            <w:tcBorders>
              <w:top w:val="nil"/>
              <w:left w:val="nil"/>
              <w:right w:val="nil"/>
            </w:tcBorders>
            <w:vAlign w:val="bottom"/>
          </w:tcPr>
          <w:p w14:paraId="51BB0D4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0898441C" w14:textId="77777777" w:rsidTr="00E000A0">
        <w:trPr>
          <w:cantSplit/>
        </w:trPr>
        <w:tc>
          <w:tcPr>
            <w:tcW w:w="5556" w:type="dxa"/>
            <w:tcBorders>
              <w:top w:val="nil"/>
              <w:left w:val="nil"/>
              <w:right w:val="nil"/>
            </w:tcBorders>
            <w:vAlign w:val="bottom"/>
          </w:tcPr>
          <w:p w14:paraId="7045A835"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Income tax expense</w:t>
            </w:r>
          </w:p>
        </w:tc>
        <w:tc>
          <w:tcPr>
            <w:tcW w:w="1020" w:type="dxa"/>
            <w:tcBorders>
              <w:top w:val="nil"/>
              <w:left w:val="nil"/>
              <w:right w:val="nil"/>
            </w:tcBorders>
            <w:vAlign w:val="bottom"/>
          </w:tcPr>
          <w:p w14:paraId="3B52E0CE" w14:textId="5A612C89"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758719DF"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(28,4</w:t>
            </w:r>
            <w:r w:rsidRPr="0005296F">
              <w:rPr>
                <w:rFonts w:ascii="Arial" w:eastAsia="Times New Roman" w:hAnsi="Arial" w:cs="Arial"/>
                <w:spacing w:val="-2"/>
                <w:sz w:val="18"/>
                <w:szCs w:val="18"/>
                <w:lang w:val="ru-RU" w:eastAsia="ru-RU"/>
              </w:rPr>
              <w:t>62</w:t>
            </w:r>
            <w:r w:rsidRPr="0005296F">
              <w:rPr>
                <w:rFonts w:ascii="Arial" w:eastAsia="Times New Roman" w:hAnsi="Arial" w:cs="Arial"/>
                <w:spacing w:val="-2"/>
                <w:sz w:val="18"/>
                <w:szCs w:val="18"/>
                <w:lang w:val="en-US" w:eastAsia="ru-RU"/>
              </w:rPr>
              <w:t>)</w:t>
            </w:r>
          </w:p>
        </w:tc>
        <w:tc>
          <w:tcPr>
            <w:tcW w:w="1417" w:type="dxa"/>
            <w:tcBorders>
              <w:top w:val="nil"/>
              <w:left w:val="nil"/>
              <w:right w:val="nil"/>
            </w:tcBorders>
            <w:vAlign w:val="bottom"/>
          </w:tcPr>
          <w:p w14:paraId="5AF87473"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(47,583)</w:t>
            </w:r>
          </w:p>
        </w:tc>
      </w:tr>
      <w:tr w:rsidR="0005296F" w:rsidRPr="0005296F" w14:paraId="7BE9EB2D" w14:textId="77777777" w:rsidTr="00E000A0">
        <w:trPr>
          <w:cantSplit/>
        </w:trPr>
        <w:tc>
          <w:tcPr>
            <w:tcW w:w="5556" w:type="dxa"/>
            <w:tcBorders>
              <w:top w:val="nil"/>
              <w:left w:val="nil"/>
              <w:bottom w:val="single" w:sz="4" w:space="0" w:color="auto"/>
              <w:right w:val="nil"/>
            </w:tcBorders>
            <w:vAlign w:val="bottom"/>
          </w:tcPr>
          <w:p w14:paraId="5479A1F7"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nil"/>
              <w:left w:val="nil"/>
              <w:bottom w:val="single" w:sz="4" w:space="0" w:color="auto"/>
              <w:right w:val="nil"/>
            </w:tcBorders>
            <w:vAlign w:val="bottom"/>
          </w:tcPr>
          <w:p w14:paraId="5947589F"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nil"/>
              <w:left w:val="nil"/>
              <w:bottom w:val="single" w:sz="4" w:space="0" w:color="auto"/>
              <w:right w:val="nil"/>
            </w:tcBorders>
            <w:vAlign w:val="bottom"/>
          </w:tcPr>
          <w:p w14:paraId="211FA81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top w:val="nil"/>
              <w:left w:val="nil"/>
              <w:bottom w:val="single" w:sz="4" w:space="0" w:color="auto"/>
              <w:right w:val="nil"/>
            </w:tcBorders>
            <w:vAlign w:val="bottom"/>
          </w:tcPr>
          <w:p w14:paraId="567FB25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7CF4E3B3" w14:textId="77777777" w:rsidTr="00E000A0">
        <w:trPr>
          <w:cantSplit/>
        </w:trPr>
        <w:tc>
          <w:tcPr>
            <w:tcW w:w="5556" w:type="dxa"/>
            <w:tcBorders>
              <w:top w:val="single" w:sz="4" w:space="0" w:color="auto"/>
              <w:left w:val="nil"/>
              <w:right w:val="nil"/>
            </w:tcBorders>
            <w:vAlign w:val="bottom"/>
          </w:tcPr>
          <w:p w14:paraId="57F01E4C"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single" w:sz="4" w:space="0" w:color="auto"/>
              <w:left w:val="nil"/>
              <w:right w:val="nil"/>
            </w:tcBorders>
            <w:vAlign w:val="bottom"/>
          </w:tcPr>
          <w:p w14:paraId="31C73AAD"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4322DC5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top w:val="single" w:sz="4" w:space="0" w:color="auto"/>
              <w:left w:val="nil"/>
              <w:right w:val="nil"/>
            </w:tcBorders>
            <w:vAlign w:val="bottom"/>
          </w:tcPr>
          <w:p w14:paraId="2B6C834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05F6AD5B" w14:textId="77777777" w:rsidTr="00E000A0">
        <w:trPr>
          <w:cantSplit/>
        </w:trPr>
        <w:tc>
          <w:tcPr>
            <w:tcW w:w="5556" w:type="dxa"/>
            <w:tcBorders>
              <w:left w:val="nil"/>
              <w:right w:val="nil"/>
            </w:tcBorders>
            <w:vAlign w:val="bottom"/>
          </w:tcPr>
          <w:p w14:paraId="59D050F9"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Profit for the year</w:t>
            </w:r>
          </w:p>
        </w:tc>
        <w:tc>
          <w:tcPr>
            <w:tcW w:w="1020" w:type="dxa"/>
            <w:tcBorders>
              <w:left w:val="nil"/>
              <w:right w:val="nil"/>
            </w:tcBorders>
            <w:vAlign w:val="bottom"/>
          </w:tcPr>
          <w:p w14:paraId="27BF3F8B"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6EF57E3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szCs w:val="18"/>
                <w:lang w:val="en-US" w:eastAsia="ru-RU"/>
              </w:rPr>
              <w:t>86,</w:t>
            </w:r>
            <w:r w:rsidRPr="0005296F">
              <w:rPr>
                <w:rFonts w:ascii="Arial" w:eastAsia="Times New Roman" w:hAnsi="Arial" w:cs="Arial"/>
                <w:b/>
                <w:spacing w:val="-2"/>
                <w:sz w:val="18"/>
                <w:szCs w:val="18"/>
                <w:lang w:val="ru-RU" w:eastAsia="ru-RU"/>
              </w:rPr>
              <w:t>141</w:t>
            </w:r>
          </w:p>
        </w:tc>
        <w:tc>
          <w:tcPr>
            <w:tcW w:w="1417" w:type="dxa"/>
            <w:tcBorders>
              <w:left w:val="nil"/>
              <w:right w:val="nil"/>
            </w:tcBorders>
            <w:vAlign w:val="bottom"/>
          </w:tcPr>
          <w:p w14:paraId="5AF862E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US" w:eastAsia="ru-RU"/>
              </w:rPr>
              <w:t>184,714</w:t>
            </w:r>
          </w:p>
        </w:tc>
      </w:tr>
      <w:tr w:rsidR="0005296F" w:rsidRPr="0005296F" w14:paraId="30B7A70D" w14:textId="77777777" w:rsidTr="00E000A0">
        <w:trPr>
          <w:cantSplit/>
        </w:trPr>
        <w:tc>
          <w:tcPr>
            <w:tcW w:w="5556" w:type="dxa"/>
            <w:tcBorders>
              <w:left w:val="nil"/>
              <w:bottom w:val="nil"/>
              <w:right w:val="nil"/>
            </w:tcBorders>
            <w:vAlign w:val="bottom"/>
          </w:tcPr>
          <w:p w14:paraId="63653E71"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left w:val="nil"/>
              <w:bottom w:val="nil"/>
              <w:right w:val="nil"/>
            </w:tcBorders>
            <w:vAlign w:val="bottom"/>
          </w:tcPr>
          <w:p w14:paraId="3E1972B5"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bottom w:val="nil"/>
              <w:right w:val="nil"/>
            </w:tcBorders>
            <w:vAlign w:val="bottom"/>
          </w:tcPr>
          <w:p w14:paraId="715254A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417" w:type="dxa"/>
            <w:tcBorders>
              <w:left w:val="nil"/>
              <w:bottom w:val="nil"/>
              <w:right w:val="nil"/>
            </w:tcBorders>
            <w:vAlign w:val="bottom"/>
          </w:tcPr>
          <w:p w14:paraId="7E87899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2C45EF74" w14:textId="77777777" w:rsidTr="00E000A0">
        <w:trPr>
          <w:cantSplit/>
        </w:trPr>
        <w:tc>
          <w:tcPr>
            <w:tcW w:w="5556" w:type="dxa"/>
            <w:tcBorders>
              <w:top w:val="nil"/>
              <w:left w:val="nil"/>
              <w:bottom w:val="nil"/>
              <w:right w:val="nil"/>
            </w:tcBorders>
            <w:vAlign w:val="bottom"/>
          </w:tcPr>
          <w:p w14:paraId="1090752B"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Attributable to:</w:t>
            </w:r>
          </w:p>
        </w:tc>
        <w:tc>
          <w:tcPr>
            <w:tcW w:w="1020" w:type="dxa"/>
            <w:tcBorders>
              <w:top w:val="nil"/>
              <w:left w:val="nil"/>
              <w:bottom w:val="nil"/>
              <w:right w:val="nil"/>
            </w:tcBorders>
            <w:vAlign w:val="bottom"/>
          </w:tcPr>
          <w:p w14:paraId="10EBA520"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3B2A807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417" w:type="dxa"/>
            <w:tcBorders>
              <w:top w:val="nil"/>
              <w:left w:val="nil"/>
              <w:bottom w:val="nil"/>
              <w:right w:val="nil"/>
            </w:tcBorders>
            <w:vAlign w:val="bottom"/>
          </w:tcPr>
          <w:p w14:paraId="688E0AE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05296F" w:rsidRPr="0005296F" w14:paraId="6F5CA6C6" w14:textId="77777777" w:rsidTr="00E000A0">
        <w:trPr>
          <w:cantSplit/>
        </w:trPr>
        <w:tc>
          <w:tcPr>
            <w:tcW w:w="5556" w:type="dxa"/>
            <w:tcBorders>
              <w:top w:val="nil"/>
              <w:left w:val="nil"/>
              <w:right w:val="nil"/>
            </w:tcBorders>
            <w:vAlign w:val="bottom"/>
          </w:tcPr>
          <w:p w14:paraId="12000850" w14:textId="77777777" w:rsidR="0005296F" w:rsidRPr="0005296F" w:rsidRDefault="0005296F" w:rsidP="0005296F">
            <w:pPr>
              <w:widowControl w:val="0"/>
              <w:autoSpaceDE w:val="0"/>
              <w:autoSpaceDN w:val="0"/>
              <w:adjustRightInd w:val="0"/>
              <w:spacing w:after="0" w:line="240" w:lineRule="auto"/>
              <w:ind w:left="113"/>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Shareholders of the Company</w:t>
            </w:r>
          </w:p>
        </w:tc>
        <w:tc>
          <w:tcPr>
            <w:tcW w:w="1020" w:type="dxa"/>
            <w:tcBorders>
              <w:top w:val="nil"/>
              <w:left w:val="nil"/>
              <w:right w:val="nil"/>
            </w:tcBorders>
            <w:vAlign w:val="bottom"/>
          </w:tcPr>
          <w:p w14:paraId="264BB05E"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40B9CEA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8</w:t>
            </w:r>
            <w:r w:rsidRPr="0005296F">
              <w:rPr>
                <w:rFonts w:ascii="Arial" w:eastAsia="Times New Roman" w:hAnsi="Arial" w:cs="Arial"/>
                <w:spacing w:val="-2"/>
                <w:sz w:val="18"/>
                <w:szCs w:val="18"/>
                <w:lang w:val="ru-RU" w:eastAsia="ru-RU"/>
              </w:rPr>
              <w:t>6</w:t>
            </w:r>
            <w:r w:rsidRPr="0005296F">
              <w:rPr>
                <w:rFonts w:ascii="Arial" w:eastAsia="Times New Roman" w:hAnsi="Arial" w:cs="Arial"/>
                <w:spacing w:val="-2"/>
                <w:sz w:val="18"/>
                <w:szCs w:val="18"/>
                <w:lang w:val="en-US" w:eastAsia="ru-RU"/>
              </w:rPr>
              <w:t>,</w:t>
            </w:r>
            <w:r w:rsidRPr="0005296F">
              <w:rPr>
                <w:rFonts w:ascii="Arial" w:eastAsia="Times New Roman" w:hAnsi="Arial" w:cs="Arial"/>
                <w:spacing w:val="-2"/>
                <w:sz w:val="18"/>
                <w:szCs w:val="18"/>
                <w:lang w:val="ru-RU" w:eastAsia="ru-RU"/>
              </w:rPr>
              <w:t>084</w:t>
            </w:r>
          </w:p>
        </w:tc>
        <w:tc>
          <w:tcPr>
            <w:tcW w:w="1417" w:type="dxa"/>
            <w:tcBorders>
              <w:top w:val="nil"/>
              <w:left w:val="nil"/>
              <w:right w:val="nil"/>
            </w:tcBorders>
            <w:vAlign w:val="bottom"/>
          </w:tcPr>
          <w:p w14:paraId="333ABC7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184,662</w:t>
            </w:r>
          </w:p>
        </w:tc>
      </w:tr>
      <w:tr w:rsidR="0005296F" w:rsidRPr="0005296F" w14:paraId="50F5E733" w14:textId="77777777" w:rsidTr="00E000A0">
        <w:trPr>
          <w:cantSplit/>
        </w:trPr>
        <w:tc>
          <w:tcPr>
            <w:tcW w:w="5556" w:type="dxa"/>
            <w:tcBorders>
              <w:top w:val="nil"/>
              <w:left w:val="nil"/>
              <w:right w:val="nil"/>
            </w:tcBorders>
            <w:vAlign w:val="bottom"/>
          </w:tcPr>
          <w:p w14:paraId="5076E4B4" w14:textId="77777777" w:rsidR="0005296F" w:rsidRPr="0005296F" w:rsidRDefault="0005296F" w:rsidP="0005296F">
            <w:pPr>
              <w:widowControl w:val="0"/>
              <w:autoSpaceDE w:val="0"/>
              <w:autoSpaceDN w:val="0"/>
              <w:adjustRightInd w:val="0"/>
              <w:spacing w:after="0" w:line="240" w:lineRule="auto"/>
              <w:ind w:left="113"/>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Non-controlling interests*</w:t>
            </w:r>
          </w:p>
        </w:tc>
        <w:tc>
          <w:tcPr>
            <w:tcW w:w="1020" w:type="dxa"/>
            <w:tcBorders>
              <w:top w:val="nil"/>
              <w:left w:val="nil"/>
              <w:right w:val="nil"/>
            </w:tcBorders>
            <w:vAlign w:val="bottom"/>
          </w:tcPr>
          <w:p w14:paraId="7C30A115"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70A09EB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57</w:t>
            </w:r>
          </w:p>
        </w:tc>
        <w:tc>
          <w:tcPr>
            <w:tcW w:w="1417" w:type="dxa"/>
            <w:tcBorders>
              <w:top w:val="nil"/>
              <w:left w:val="nil"/>
              <w:right w:val="nil"/>
            </w:tcBorders>
            <w:vAlign w:val="bottom"/>
          </w:tcPr>
          <w:p w14:paraId="5CF57E2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52</w:t>
            </w:r>
          </w:p>
        </w:tc>
      </w:tr>
      <w:tr w:rsidR="0005296F" w:rsidRPr="0005296F" w14:paraId="58E56003" w14:textId="77777777" w:rsidTr="00E000A0">
        <w:trPr>
          <w:cantSplit/>
        </w:trPr>
        <w:tc>
          <w:tcPr>
            <w:tcW w:w="5556" w:type="dxa"/>
            <w:tcBorders>
              <w:left w:val="nil"/>
              <w:right w:val="nil"/>
            </w:tcBorders>
            <w:vAlign w:val="bottom"/>
          </w:tcPr>
          <w:p w14:paraId="04B3767C"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left w:val="nil"/>
              <w:right w:val="nil"/>
            </w:tcBorders>
            <w:vAlign w:val="bottom"/>
          </w:tcPr>
          <w:p w14:paraId="73D5162F"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right w:val="nil"/>
            </w:tcBorders>
            <w:vAlign w:val="bottom"/>
          </w:tcPr>
          <w:p w14:paraId="50C1108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left w:val="nil"/>
              <w:right w:val="nil"/>
            </w:tcBorders>
            <w:vAlign w:val="bottom"/>
          </w:tcPr>
          <w:p w14:paraId="19A48DE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7F135EC4" w14:textId="77777777" w:rsidTr="00E000A0">
        <w:trPr>
          <w:cantSplit/>
        </w:trPr>
        <w:tc>
          <w:tcPr>
            <w:tcW w:w="5556" w:type="dxa"/>
            <w:tcBorders>
              <w:left w:val="nil"/>
              <w:right w:val="nil"/>
            </w:tcBorders>
            <w:vAlign w:val="bottom"/>
          </w:tcPr>
          <w:p w14:paraId="72A145A7"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Basic and diluted earnings per share (in RUB)</w:t>
            </w:r>
          </w:p>
        </w:tc>
        <w:tc>
          <w:tcPr>
            <w:tcW w:w="1020" w:type="dxa"/>
            <w:tcBorders>
              <w:left w:val="nil"/>
              <w:right w:val="nil"/>
            </w:tcBorders>
            <w:vAlign w:val="bottom"/>
          </w:tcPr>
          <w:p w14:paraId="2FFA0D75" w14:textId="7385EEED"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left w:val="nil"/>
              <w:right w:val="nil"/>
            </w:tcBorders>
            <w:vAlign w:val="bottom"/>
          </w:tcPr>
          <w:p w14:paraId="26E309A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66</w:t>
            </w:r>
            <w:r w:rsidRPr="0005296F">
              <w:rPr>
                <w:rFonts w:ascii="Arial" w:eastAsia="Times New Roman" w:hAnsi="Arial" w:cs="Arial"/>
                <w:spacing w:val="-2"/>
                <w:sz w:val="18"/>
                <w:szCs w:val="18"/>
                <w:lang w:val="ru-RU" w:eastAsia="ru-RU"/>
              </w:rPr>
              <w:t>5</w:t>
            </w:r>
          </w:p>
        </w:tc>
        <w:tc>
          <w:tcPr>
            <w:tcW w:w="1417" w:type="dxa"/>
            <w:tcBorders>
              <w:left w:val="nil"/>
              <w:right w:val="nil"/>
            </w:tcBorders>
            <w:shd w:val="clear" w:color="auto" w:fill="auto"/>
            <w:vAlign w:val="bottom"/>
          </w:tcPr>
          <w:p w14:paraId="6EF66F2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1,426</w:t>
            </w:r>
          </w:p>
        </w:tc>
      </w:tr>
      <w:tr w:rsidR="0005296F" w:rsidRPr="0005296F" w14:paraId="3B7B5158" w14:textId="77777777" w:rsidTr="00E000A0">
        <w:trPr>
          <w:cantSplit/>
        </w:trPr>
        <w:tc>
          <w:tcPr>
            <w:tcW w:w="5556" w:type="dxa"/>
            <w:tcBorders>
              <w:left w:val="nil"/>
              <w:bottom w:val="single" w:sz="4" w:space="0" w:color="auto"/>
              <w:right w:val="nil"/>
            </w:tcBorders>
            <w:vAlign w:val="bottom"/>
          </w:tcPr>
          <w:p w14:paraId="2527948B"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left w:val="nil"/>
              <w:bottom w:val="single" w:sz="4" w:space="0" w:color="auto"/>
              <w:right w:val="nil"/>
            </w:tcBorders>
            <w:vAlign w:val="bottom"/>
          </w:tcPr>
          <w:p w14:paraId="7A7A5E67"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bottom w:val="single" w:sz="4" w:space="0" w:color="auto"/>
              <w:right w:val="nil"/>
            </w:tcBorders>
            <w:vAlign w:val="bottom"/>
          </w:tcPr>
          <w:p w14:paraId="4384815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left w:val="nil"/>
              <w:bottom w:val="single" w:sz="4" w:space="0" w:color="auto"/>
              <w:right w:val="nil"/>
            </w:tcBorders>
            <w:vAlign w:val="bottom"/>
          </w:tcPr>
          <w:p w14:paraId="4D61C97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1EE75629" w14:textId="77777777" w:rsidTr="00E000A0">
        <w:trPr>
          <w:cantSplit/>
        </w:trPr>
        <w:tc>
          <w:tcPr>
            <w:tcW w:w="5556" w:type="dxa"/>
            <w:tcBorders>
              <w:top w:val="single" w:sz="4" w:space="0" w:color="auto"/>
              <w:left w:val="nil"/>
              <w:bottom w:val="nil"/>
              <w:right w:val="nil"/>
            </w:tcBorders>
            <w:vAlign w:val="bottom"/>
          </w:tcPr>
          <w:p w14:paraId="04EC78C3"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single" w:sz="4" w:space="0" w:color="auto"/>
              <w:left w:val="nil"/>
              <w:bottom w:val="nil"/>
              <w:right w:val="nil"/>
            </w:tcBorders>
            <w:vAlign w:val="bottom"/>
          </w:tcPr>
          <w:p w14:paraId="7EE17181"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bottom w:val="nil"/>
              <w:right w:val="nil"/>
            </w:tcBorders>
            <w:vAlign w:val="bottom"/>
          </w:tcPr>
          <w:p w14:paraId="29CC698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417" w:type="dxa"/>
            <w:tcBorders>
              <w:top w:val="single" w:sz="4" w:space="0" w:color="auto"/>
              <w:left w:val="nil"/>
              <w:bottom w:val="nil"/>
              <w:right w:val="nil"/>
            </w:tcBorders>
            <w:vAlign w:val="bottom"/>
          </w:tcPr>
          <w:p w14:paraId="21FA6AF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68AEA435" w14:textId="77777777" w:rsidTr="00E000A0">
        <w:trPr>
          <w:cantSplit/>
        </w:trPr>
        <w:tc>
          <w:tcPr>
            <w:tcW w:w="5556" w:type="dxa"/>
            <w:tcBorders>
              <w:top w:val="nil"/>
              <w:left w:val="nil"/>
              <w:bottom w:val="nil"/>
              <w:right w:val="nil"/>
            </w:tcBorders>
            <w:vAlign w:val="bottom"/>
          </w:tcPr>
          <w:p w14:paraId="2BE12C1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i/>
                <w:spacing w:val="-2"/>
                <w:sz w:val="18"/>
                <w:szCs w:val="18"/>
                <w:lang w:val="en-US" w:eastAsia="ru-RU"/>
              </w:rPr>
            </w:pPr>
            <w:r w:rsidRPr="0005296F">
              <w:rPr>
                <w:rFonts w:ascii="Arial" w:eastAsia="Times New Roman" w:hAnsi="Arial" w:cs="Arial"/>
                <w:b/>
                <w:i/>
                <w:spacing w:val="-2"/>
                <w:sz w:val="18"/>
                <w:szCs w:val="18"/>
                <w:lang w:val="en-GB" w:eastAsia="ru-RU"/>
              </w:rPr>
              <w:t xml:space="preserve">Other comprehensive </w:t>
            </w:r>
            <w:r w:rsidRPr="0005296F">
              <w:rPr>
                <w:rFonts w:ascii="Arial" w:eastAsia="Times New Roman" w:hAnsi="Arial" w:cs="Arial"/>
                <w:b/>
                <w:i/>
                <w:spacing w:val="-2"/>
                <w:sz w:val="18"/>
                <w:szCs w:val="18"/>
                <w:lang w:val="en-US" w:eastAsia="ru-RU"/>
              </w:rPr>
              <w:t>loss</w:t>
            </w:r>
          </w:p>
        </w:tc>
        <w:tc>
          <w:tcPr>
            <w:tcW w:w="1020" w:type="dxa"/>
            <w:tcBorders>
              <w:top w:val="nil"/>
              <w:left w:val="nil"/>
              <w:right w:val="nil"/>
            </w:tcBorders>
            <w:vAlign w:val="bottom"/>
          </w:tcPr>
          <w:p w14:paraId="7865A6AD"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bottom w:val="nil"/>
              <w:right w:val="nil"/>
            </w:tcBorders>
            <w:vAlign w:val="bottom"/>
          </w:tcPr>
          <w:p w14:paraId="6EB834C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417" w:type="dxa"/>
            <w:tcBorders>
              <w:top w:val="nil"/>
              <w:left w:val="nil"/>
              <w:bottom w:val="nil"/>
              <w:right w:val="nil"/>
            </w:tcBorders>
            <w:vAlign w:val="bottom"/>
          </w:tcPr>
          <w:p w14:paraId="2BCCBE5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05296F" w:rsidRPr="0005296F" w14:paraId="071C4DFF" w14:textId="77777777" w:rsidTr="00E000A0">
        <w:trPr>
          <w:cantSplit/>
        </w:trPr>
        <w:tc>
          <w:tcPr>
            <w:tcW w:w="5556" w:type="dxa"/>
            <w:tcBorders>
              <w:top w:val="nil"/>
              <w:left w:val="nil"/>
              <w:bottom w:val="nil"/>
            </w:tcBorders>
            <w:vAlign w:val="bottom"/>
          </w:tcPr>
          <w:p w14:paraId="0EDE8396"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b/>
                <w:i/>
                <w:spacing w:val="-2"/>
                <w:sz w:val="18"/>
                <w:szCs w:val="18"/>
                <w:lang w:val="en-GB" w:eastAsia="ru-RU"/>
              </w:rPr>
              <w:t>Items that will never be reclassified to profit or loss</w:t>
            </w:r>
          </w:p>
        </w:tc>
        <w:tc>
          <w:tcPr>
            <w:tcW w:w="1020" w:type="dxa"/>
            <w:tcBorders>
              <w:top w:val="nil"/>
              <w:bottom w:val="nil"/>
            </w:tcBorders>
            <w:vAlign w:val="bottom"/>
          </w:tcPr>
          <w:p w14:paraId="096ACE6A"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617D5F78" w14:textId="77777777" w:rsidR="0005296F" w:rsidRPr="0005296F" w:rsidDel="00667381"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p>
        </w:tc>
        <w:tc>
          <w:tcPr>
            <w:tcW w:w="1417" w:type="dxa"/>
            <w:tcBorders>
              <w:top w:val="nil"/>
              <w:left w:val="nil"/>
              <w:bottom w:val="nil"/>
              <w:right w:val="nil"/>
            </w:tcBorders>
            <w:vAlign w:val="bottom"/>
          </w:tcPr>
          <w:p w14:paraId="21C469D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p>
        </w:tc>
      </w:tr>
      <w:tr w:rsidR="0005296F" w:rsidRPr="0005296F" w14:paraId="7055DECA" w14:textId="77777777" w:rsidTr="00E000A0">
        <w:trPr>
          <w:cantSplit/>
        </w:trPr>
        <w:tc>
          <w:tcPr>
            <w:tcW w:w="5556" w:type="dxa"/>
            <w:tcBorders>
              <w:top w:val="nil"/>
              <w:left w:val="nil"/>
              <w:bottom w:val="nil"/>
            </w:tcBorders>
            <w:vAlign w:val="bottom"/>
          </w:tcPr>
          <w:p w14:paraId="63E8E5A8"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Actuarial losses</w:t>
            </w:r>
          </w:p>
        </w:tc>
        <w:tc>
          <w:tcPr>
            <w:tcW w:w="1020" w:type="dxa"/>
            <w:tcBorders>
              <w:top w:val="nil"/>
              <w:bottom w:val="nil"/>
            </w:tcBorders>
            <w:vAlign w:val="bottom"/>
          </w:tcPr>
          <w:p w14:paraId="78BF5CCF" w14:textId="54510330"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605857ED"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ru-RU" w:eastAsia="ru-RU"/>
              </w:rPr>
              <w:t>(</w:t>
            </w:r>
            <w:r w:rsidRPr="0005296F">
              <w:rPr>
                <w:rFonts w:ascii="Arial" w:eastAsia="Times New Roman" w:hAnsi="Arial" w:cs="Arial"/>
                <w:spacing w:val="-2"/>
                <w:sz w:val="18"/>
                <w:szCs w:val="18"/>
                <w:lang w:val="en-US" w:eastAsia="ru-RU"/>
              </w:rPr>
              <w:t>35</w:t>
            </w:r>
            <w:r w:rsidRPr="0005296F">
              <w:rPr>
                <w:rFonts w:ascii="Arial" w:eastAsia="Times New Roman" w:hAnsi="Arial" w:cs="Arial"/>
                <w:spacing w:val="-2"/>
                <w:sz w:val="18"/>
                <w:szCs w:val="18"/>
                <w:lang w:val="ru-RU" w:eastAsia="ru-RU"/>
              </w:rPr>
              <w:t>)</w:t>
            </w:r>
          </w:p>
        </w:tc>
        <w:tc>
          <w:tcPr>
            <w:tcW w:w="1417" w:type="dxa"/>
            <w:tcBorders>
              <w:top w:val="nil"/>
              <w:left w:val="nil"/>
              <w:right w:val="nil"/>
            </w:tcBorders>
            <w:vAlign w:val="bottom"/>
          </w:tcPr>
          <w:p w14:paraId="3831FA23"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ru-RU" w:eastAsia="ru-RU"/>
              </w:rPr>
              <w:t>(</w:t>
            </w:r>
            <w:r w:rsidRPr="0005296F">
              <w:rPr>
                <w:rFonts w:ascii="Arial" w:eastAsia="Times New Roman" w:hAnsi="Arial" w:cs="Arial"/>
                <w:spacing w:val="-2"/>
                <w:sz w:val="18"/>
                <w:szCs w:val="18"/>
                <w:lang w:val="en-US" w:eastAsia="ru-RU"/>
              </w:rPr>
              <w:t>27</w:t>
            </w:r>
            <w:r w:rsidRPr="0005296F">
              <w:rPr>
                <w:rFonts w:ascii="Arial" w:eastAsia="Times New Roman" w:hAnsi="Arial" w:cs="Arial"/>
                <w:spacing w:val="-2"/>
                <w:sz w:val="18"/>
                <w:szCs w:val="18"/>
                <w:lang w:val="ru-RU" w:eastAsia="ru-RU"/>
              </w:rPr>
              <w:t>6)</w:t>
            </w:r>
          </w:p>
        </w:tc>
      </w:tr>
      <w:tr w:rsidR="0005296F" w:rsidRPr="0005296F" w14:paraId="0C3FAA5C" w14:textId="77777777" w:rsidTr="00E000A0">
        <w:trPr>
          <w:cantSplit/>
        </w:trPr>
        <w:tc>
          <w:tcPr>
            <w:tcW w:w="5556" w:type="dxa"/>
            <w:tcBorders>
              <w:top w:val="nil"/>
              <w:left w:val="nil"/>
              <w:bottom w:val="nil"/>
            </w:tcBorders>
            <w:vAlign w:val="bottom"/>
          </w:tcPr>
          <w:p w14:paraId="2950CF90"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b/>
                <w:i/>
                <w:spacing w:val="-2"/>
                <w:sz w:val="18"/>
                <w:szCs w:val="18"/>
                <w:lang w:val="en-GB" w:eastAsia="ru-RU"/>
              </w:rPr>
              <w:t>Items that may be reclassified subsequently to profit or loss</w:t>
            </w:r>
          </w:p>
        </w:tc>
        <w:tc>
          <w:tcPr>
            <w:tcW w:w="1020" w:type="dxa"/>
            <w:tcBorders>
              <w:top w:val="nil"/>
              <w:bottom w:val="nil"/>
              <w:right w:val="nil"/>
            </w:tcBorders>
            <w:vAlign w:val="bottom"/>
          </w:tcPr>
          <w:p w14:paraId="1C379B9C"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1C59706A" w14:textId="77777777" w:rsidR="0005296F" w:rsidRPr="0005296F" w:rsidDel="00667381"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p>
        </w:tc>
        <w:tc>
          <w:tcPr>
            <w:tcW w:w="1417" w:type="dxa"/>
            <w:tcBorders>
              <w:top w:val="nil"/>
              <w:left w:val="nil"/>
              <w:right w:val="nil"/>
            </w:tcBorders>
            <w:vAlign w:val="bottom"/>
          </w:tcPr>
          <w:p w14:paraId="2E3A4396"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p>
        </w:tc>
      </w:tr>
      <w:tr w:rsidR="0005296F" w:rsidRPr="0005296F" w14:paraId="536C6520" w14:textId="77777777" w:rsidTr="00E000A0">
        <w:trPr>
          <w:cantSplit/>
        </w:trPr>
        <w:tc>
          <w:tcPr>
            <w:tcW w:w="5556" w:type="dxa"/>
            <w:tcBorders>
              <w:top w:val="nil"/>
              <w:left w:val="nil"/>
            </w:tcBorders>
            <w:vAlign w:val="bottom"/>
          </w:tcPr>
          <w:p w14:paraId="01774F3C"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Foreign currency translation difference</w:t>
            </w:r>
          </w:p>
        </w:tc>
        <w:tc>
          <w:tcPr>
            <w:tcW w:w="1020" w:type="dxa"/>
            <w:tcBorders>
              <w:top w:val="nil"/>
              <w:right w:val="nil"/>
            </w:tcBorders>
            <w:vAlign w:val="bottom"/>
          </w:tcPr>
          <w:p w14:paraId="59277308"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5974E9A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ru-RU" w:eastAsia="ru-RU"/>
              </w:rPr>
              <w:t>-</w:t>
            </w:r>
          </w:p>
        </w:tc>
        <w:tc>
          <w:tcPr>
            <w:tcW w:w="1417" w:type="dxa"/>
            <w:tcBorders>
              <w:left w:val="nil"/>
              <w:right w:val="nil"/>
            </w:tcBorders>
            <w:vAlign w:val="bottom"/>
          </w:tcPr>
          <w:p w14:paraId="75337DC2"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ru-RU" w:eastAsia="ru-RU"/>
              </w:rPr>
              <w:t>(</w:t>
            </w:r>
            <w:r w:rsidRPr="0005296F">
              <w:rPr>
                <w:rFonts w:ascii="Arial" w:eastAsia="Times New Roman" w:hAnsi="Arial" w:cs="Arial"/>
                <w:spacing w:val="-2"/>
                <w:sz w:val="18"/>
                <w:szCs w:val="18"/>
                <w:lang w:val="en-US" w:eastAsia="ru-RU"/>
              </w:rPr>
              <w:t>2,929</w:t>
            </w:r>
            <w:r w:rsidRPr="0005296F">
              <w:rPr>
                <w:rFonts w:ascii="Arial" w:eastAsia="Times New Roman" w:hAnsi="Arial" w:cs="Arial"/>
                <w:spacing w:val="-2"/>
                <w:sz w:val="18"/>
                <w:szCs w:val="18"/>
                <w:lang w:val="ru-RU" w:eastAsia="ru-RU"/>
              </w:rPr>
              <w:t>)</w:t>
            </w:r>
          </w:p>
        </w:tc>
      </w:tr>
      <w:tr w:rsidR="0005296F" w:rsidRPr="0005296F" w14:paraId="70A4CCF1" w14:textId="77777777" w:rsidTr="00E000A0">
        <w:trPr>
          <w:cantSplit/>
        </w:trPr>
        <w:tc>
          <w:tcPr>
            <w:tcW w:w="5556" w:type="dxa"/>
            <w:tcBorders>
              <w:top w:val="nil"/>
              <w:left w:val="nil"/>
            </w:tcBorders>
            <w:vAlign w:val="bottom"/>
          </w:tcPr>
          <w:p w14:paraId="00705AF7"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Foreign currency translation difference reclassified to profit or loss upon loss of control over foreign subsidiaries</w:t>
            </w:r>
          </w:p>
        </w:tc>
        <w:tc>
          <w:tcPr>
            <w:tcW w:w="1020" w:type="dxa"/>
            <w:tcBorders>
              <w:top w:val="nil"/>
              <w:right w:val="nil"/>
            </w:tcBorders>
            <w:vAlign w:val="bottom"/>
          </w:tcPr>
          <w:p w14:paraId="715E5D24"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4C281CB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w:t>
            </w:r>
          </w:p>
        </w:tc>
        <w:tc>
          <w:tcPr>
            <w:tcW w:w="1417" w:type="dxa"/>
            <w:tcBorders>
              <w:left w:val="nil"/>
              <w:right w:val="nil"/>
            </w:tcBorders>
            <w:vAlign w:val="bottom"/>
          </w:tcPr>
          <w:p w14:paraId="39E3BBB4"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(6,302)</w:t>
            </w:r>
          </w:p>
        </w:tc>
      </w:tr>
      <w:tr w:rsidR="0005296F" w:rsidRPr="0005296F" w14:paraId="06533358" w14:textId="77777777" w:rsidTr="00E000A0">
        <w:trPr>
          <w:cantSplit/>
        </w:trPr>
        <w:tc>
          <w:tcPr>
            <w:tcW w:w="5556" w:type="dxa"/>
            <w:tcBorders>
              <w:top w:val="nil"/>
              <w:left w:val="nil"/>
            </w:tcBorders>
            <w:vAlign w:val="bottom"/>
          </w:tcPr>
          <w:p w14:paraId="7D57309C"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Actuarial losses reclassified to profit or loss upon loss of control over foreign subsidiaries</w:t>
            </w:r>
          </w:p>
        </w:tc>
        <w:tc>
          <w:tcPr>
            <w:tcW w:w="1020" w:type="dxa"/>
            <w:tcBorders>
              <w:top w:val="nil"/>
              <w:right w:val="nil"/>
            </w:tcBorders>
            <w:vAlign w:val="bottom"/>
          </w:tcPr>
          <w:p w14:paraId="14F0C2A4"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shd w:val="clear" w:color="auto" w:fill="auto"/>
            <w:vAlign w:val="bottom"/>
          </w:tcPr>
          <w:p w14:paraId="7367CBB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w:t>
            </w:r>
          </w:p>
        </w:tc>
        <w:tc>
          <w:tcPr>
            <w:tcW w:w="1417" w:type="dxa"/>
            <w:tcBorders>
              <w:left w:val="nil"/>
              <w:right w:val="nil"/>
            </w:tcBorders>
            <w:shd w:val="clear" w:color="auto" w:fill="auto"/>
            <w:vAlign w:val="bottom"/>
          </w:tcPr>
          <w:p w14:paraId="6FFE356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61</w:t>
            </w:r>
          </w:p>
        </w:tc>
      </w:tr>
      <w:tr w:rsidR="0005296F" w:rsidRPr="0005296F" w14:paraId="44591801" w14:textId="77777777" w:rsidTr="00E000A0">
        <w:trPr>
          <w:cantSplit/>
        </w:trPr>
        <w:tc>
          <w:tcPr>
            <w:tcW w:w="5556" w:type="dxa"/>
            <w:tcBorders>
              <w:top w:val="nil"/>
              <w:left w:val="nil"/>
              <w:bottom w:val="single" w:sz="4" w:space="0" w:color="auto"/>
            </w:tcBorders>
            <w:vAlign w:val="bottom"/>
          </w:tcPr>
          <w:p w14:paraId="40E56DBE"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nil"/>
              <w:bottom w:val="single" w:sz="4" w:space="0" w:color="auto"/>
              <w:right w:val="nil"/>
            </w:tcBorders>
            <w:vAlign w:val="bottom"/>
          </w:tcPr>
          <w:p w14:paraId="3CAFE365"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bottom w:val="single" w:sz="4" w:space="0" w:color="auto"/>
              <w:right w:val="nil"/>
            </w:tcBorders>
            <w:vAlign w:val="bottom"/>
          </w:tcPr>
          <w:p w14:paraId="42B37D9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1417" w:type="dxa"/>
            <w:tcBorders>
              <w:left w:val="nil"/>
              <w:bottom w:val="single" w:sz="4" w:space="0" w:color="auto"/>
              <w:right w:val="nil"/>
            </w:tcBorders>
            <w:vAlign w:val="bottom"/>
          </w:tcPr>
          <w:p w14:paraId="7AE528B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05296F" w:rsidRPr="0005296F" w14:paraId="1024FAA1" w14:textId="77777777" w:rsidTr="00E000A0">
        <w:trPr>
          <w:cantSplit/>
        </w:trPr>
        <w:tc>
          <w:tcPr>
            <w:tcW w:w="5556" w:type="dxa"/>
            <w:tcBorders>
              <w:top w:val="single" w:sz="4" w:space="0" w:color="auto"/>
              <w:left w:val="nil"/>
            </w:tcBorders>
            <w:vAlign w:val="bottom"/>
          </w:tcPr>
          <w:p w14:paraId="28FAB881"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single" w:sz="4" w:space="0" w:color="auto"/>
              <w:right w:val="nil"/>
            </w:tcBorders>
            <w:vAlign w:val="bottom"/>
          </w:tcPr>
          <w:p w14:paraId="3584F40C"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4" w:space="0" w:color="auto"/>
              <w:left w:val="nil"/>
              <w:right w:val="nil"/>
            </w:tcBorders>
            <w:vAlign w:val="bottom"/>
          </w:tcPr>
          <w:p w14:paraId="4893394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c>
          <w:tcPr>
            <w:tcW w:w="1417" w:type="dxa"/>
            <w:tcBorders>
              <w:top w:val="single" w:sz="4" w:space="0" w:color="auto"/>
              <w:left w:val="nil"/>
              <w:right w:val="nil"/>
            </w:tcBorders>
            <w:vAlign w:val="bottom"/>
          </w:tcPr>
          <w:p w14:paraId="5308B56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05296F" w:rsidRPr="0005296F" w14:paraId="30DDA1BB" w14:textId="77777777" w:rsidTr="00E000A0">
        <w:trPr>
          <w:cantSplit/>
        </w:trPr>
        <w:tc>
          <w:tcPr>
            <w:tcW w:w="5556" w:type="dxa"/>
            <w:tcBorders>
              <w:left w:val="nil"/>
              <w:right w:val="nil"/>
            </w:tcBorders>
            <w:vAlign w:val="bottom"/>
          </w:tcPr>
          <w:p w14:paraId="75AFB8C5"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Other comprehensive loss for the year</w:t>
            </w:r>
          </w:p>
        </w:tc>
        <w:tc>
          <w:tcPr>
            <w:tcW w:w="1020" w:type="dxa"/>
            <w:tcBorders>
              <w:left w:val="nil"/>
              <w:right w:val="nil"/>
            </w:tcBorders>
            <w:vAlign w:val="bottom"/>
          </w:tcPr>
          <w:p w14:paraId="715045F0"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417" w:type="dxa"/>
            <w:tcBorders>
              <w:left w:val="nil"/>
              <w:right w:val="nil"/>
            </w:tcBorders>
            <w:vAlign w:val="bottom"/>
          </w:tcPr>
          <w:p w14:paraId="2F980971"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b/>
                <w:bCs/>
                <w:spacing w:val="-2"/>
                <w:sz w:val="18"/>
                <w:szCs w:val="18"/>
                <w:lang w:val="en-US" w:eastAsia="ru-RU"/>
              </w:rPr>
            </w:pPr>
            <w:r w:rsidRPr="0005296F">
              <w:rPr>
                <w:rFonts w:ascii="Arial" w:eastAsia="Times New Roman" w:hAnsi="Arial" w:cs="Arial"/>
                <w:b/>
                <w:spacing w:val="-2"/>
                <w:sz w:val="18"/>
                <w:szCs w:val="18"/>
                <w:lang w:val="en-US" w:eastAsia="ru-RU"/>
              </w:rPr>
              <w:t>(35)</w:t>
            </w:r>
          </w:p>
        </w:tc>
        <w:tc>
          <w:tcPr>
            <w:tcW w:w="1417" w:type="dxa"/>
            <w:tcBorders>
              <w:left w:val="nil"/>
              <w:right w:val="nil"/>
            </w:tcBorders>
            <w:vAlign w:val="bottom"/>
          </w:tcPr>
          <w:p w14:paraId="76AEF443"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b/>
                <w:bCs/>
                <w:spacing w:val="-2"/>
                <w:sz w:val="18"/>
                <w:szCs w:val="18"/>
                <w:lang w:val="en-GB" w:eastAsia="ru-RU"/>
              </w:rPr>
            </w:pPr>
            <w:r w:rsidRPr="0005296F">
              <w:rPr>
                <w:rFonts w:ascii="Arial" w:eastAsia="Times New Roman" w:hAnsi="Arial" w:cs="Arial"/>
                <w:b/>
                <w:spacing w:val="-2"/>
                <w:sz w:val="18"/>
                <w:szCs w:val="18"/>
                <w:lang w:val="en-US" w:eastAsia="ru-RU"/>
              </w:rPr>
              <w:t>(9,446)</w:t>
            </w:r>
          </w:p>
        </w:tc>
      </w:tr>
      <w:tr w:rsidR="0005296F" w:rsidRPr="0005296F" w14:paraId="77EFEEAF" w14:textId="77777777" w:rsidTr="00E000A0">
        <w:trPr>
          <w:cantSplit/>
        </w:trPr>
        <w:tc>
          <w:tcPr>
            <w:tcW w:w="5556" w:type="dxa"/>
            <w:tcBorders>
              <w:left w:val="nil"/>
              <w:bottom w:val="single" w:sz="4" w:space="0" w:color="auto"/>
              <w:right w:val="nil"/>
            </w:tcBorders>
            <w:vAlign w:val="bottom"/>
          </w:tcPr>
          <w:p w14:paraId="41925248"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20" w:type="dxa"/>
            <w:tcBorders>
              <w:left w:val="nil"/>
              <w:bottom w:val="single" w:sz="4" w:space="0" w:color="auto"/>
              <w:right w:val="nil"/>
            </w:tcBorders>
            <w:vAlign w:val="bottom"/>
          </w:tcPr>
          <w:p w14:paraId="256B7BB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0"/>
                <w:szCs w:val="10"/>
                <w:lang w:val="en-GB" w:eastAsia="ru-RU"/>
              </w:rPr>
            </w:pPr>
          </w:p>
        </w:tc>
        <w:tc>
          <w:tcPr>
            <w:tcW w:w="1417" w:type="dxa"/>
            <w:tcBorders>
              <w:left w:val="nil"/>
              <w:bottom w:val="single" w:sz="4" w:space="0" w:color="auto"/>
              <w:right w:val="nil"/>
            </w:tcBorders>
            <w:vAlign w:val="bottom"/>
          </w:tcPr>
          <w:p w14:paraId="2775A9A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1417" w:type="dxa"/>
            <w:tcBorders>
              <w:left w:val="nil"/>
              <w:bottom w:val="single" w:sz="4" w:space="0" w:color="auto"/>
              <w:right w:val="nil"/>
            </w:tcBorders>
            <w:vAlign w:val="bottom"/>
          </w:tcPr>
          <w:p w14:paraId="67F9DF1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05296F" w:rsidRPr="0005296F" w14:paraId="2B11FF48" w14:textId="77777777" w:rsidTr="00E000A0">
        <w:trPr>
          <w:cantSplit/>
        </w:trPr>
        <w:tc>
          <w:tcPr>
            <w:tcW w:w="5556" w:type="dxa"/>
            <w:tcBorders>
              <w:top w:val="single" w:sz="4" w:space="0" w:color="auto"/>
              <w:left w:val="nil"/>
              <w:right w:val="nil"/>
            </w:tcBorders>
            <w:vAlign w:val="bottom"/>
          </w:tcPr>
          <w:p w14:paraId="4AA4A968"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20" w:type="dxa"/>
            <w:tcBorders>
              <w:top w:val="single" w:sz="4" w:space="0" w:color="auto"/>
              <w:left w:val="nil"/>
              <w:right w:val="nil"/>
            </w:tcBorders>
            <w:vAlign w:val="bottom"/>
          </w:tcPr>
          <w:p w14:paraId="2A03E21C"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0"/>
                <w:szCs w:val="10"/>
                <w:lang w:val="en-GB" w:eastAsia="ru-RU"/>
              </w:rPr>
            </w:pPr>
          </w:p>
        </w:tc>
        <w:tc>
          <w:tcPr>
            <w:tcW w:w="1417" w:type="dxa"/>
            <w:tcBorders>
              <w:top w:val="single" w:sz="4" w:space="0" w:color="auto"/>
              <w:left w:val="nil"/>
              <w:right w:val="nil"/>
            </w:tcBorders>
            <w:vAlign w:val="bottom"/>
          </w:tcPr>
          <w:p w14:paraId="7206122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1417" w:type="dxa"/>
            <w:tcBorders>
              <w:top w:val="single" w:sz="4" w:space="0" w:color="auto"/>
              <w:left w:val="nil"/>
              <w:right w:val="nil"/>
            </w:tcBorders>
            <w:vAlign w:val="bottom"/>
          </w:tcPr>
          <w:p w14:paraId="6DF3550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05296F" w:rsidRPr="0005296F" w14:paraId="3279524E" w14:textId="77777777" w:rsidTr="00E000A0">
        <w:trPr>
          <w:cantSplit/>
        </w:trPr>
        <w:tc>
          <w:tcPr>
            <w:tcW w:w="5556" w:type="dxa"/>
            <w:tcBorders>
              <w:left w:val="nil"/>
              <w:right w:val="nil"/>
            </w:tcBorders>
            <w:vAlign w:val="bottom"/>
          </w:tcPr>
          <w:p w14:paraId="6C7B2BDE"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Total comprehensive income for the year</w:t>
            </w:r>
          </w:p>
        </w:tc>
        <w:tc>
          <w:tcPr>
            <w:tcW w:w="1020" w:type="dxa"/>
            <w:tcBorders>
              <w:left w:val="nil"/>
              <w:right w:val="nil"/>
            </w:tcBorders>
            <w:vAlign w:val="bottom"/>
          </w:tcPr>
          <w:p w14:paraId="4C4EE520"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417" w:type="dxa"/>
            <w:tcBorders>
              <w:left w:val="nil"/>
              <w:right w:val="nil"/>
            </w:tcBorders>
            <w:vAlign w:val="bottom"/>
          </w:tcPr>
          <w:p w14:paraId="09B8D1A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05296F">
              <w:rPr>
                <w:rFonts w:ascii="Arial" w:eastAsia="Times New Roman" w:hAnsi="Arial" w:cs="Arial"/>
                <w:b/>
                <w:spacing w:val="-2"/>
                <w:sz w:val="18"/>
                <w:szCs w:val="18"/>
                <w:lang w:val="en-US" w:eastAsia="ru-RU"/>
              </w:rPr>
              <w:t>86,</w:t>
            </w:r>
            <w:r w:rsidRPr="0005296F">
              <w:rPr>
                <w:rFonts w:ascii="Arial" w:eastAsia="Times New Roman" w:hAnsi="Arial" w:cs="Arial"/>
                <w:b/>
                <w:spacing w:val="-2"/>
                <w:sz w:val="18"/>
                <w:szCs w:val="18"/>
                <w:lang w:val="ru-RU" w:eastAsia="ru-RU"/>
              </w:rPr>
              <w:t>106</w:t>
            </w:r>
          </w:p>
        </w:tc>
        <w:tc>
          <w:tcPr>
            <w:tcW w:w="1417" w:type="dxa"/>
            <w:tcBorders>
              <w:left w:val="nil"/>
              <w:right w:val="nil"/>
            </w:tcBorders>
            <w:vAlign w:val="bottom"/>
          </w:tcPr>
          <w:p w14:paraId="12506D2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05296F">
              <w:rPr>
                <w:rFonts w:ascii="Arial" w:eastAsia="Times New Roman" w:hAnsi="Arial" w:cs="Arial"/>
                <w:b/>
                <w:spacing w:val="-2"/>
                <w:sz w:val="18"/>
                <w:szCs w:val="18"/>
                <w:lang w:val="en-US" w:eastAsia="ru-RU"/>
              </w:rPr>
              <w:t>175,268</w:t>
            </w:r>
          </w:p>
        </w:tc>
      </w:tr>
      <w:tr w:rsidR="0005296F" w:rsidRPr="0005296F" w14:paraId="25268CED" w14:textId="77777777" w:rsidTr="00E000A0">
        <w:trPr>
          <w:cantSplit/>
        </w:trPr>
        <w:tc>
          <w:tcPr>
            <w:tcW w:w="5556" w:type="dxa"/>
            <w:tcBorders>
              <w:left w:val="nil"/>
              <w:bottom w:val="single" w:sz="12" w:space="0" w:color="auto"/>
              <w:right w:val="nil"/>
            </w:tcBorders>
            <w:vAlign w:val="bottom"/>
          </w:tcPr>
          <w:p w14:paraId="735756F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20" w:type="dxa"/>
            <w:tcBorders>
              <w:left w:val="nil"/>
              <w:bottom w:val="single" w:sz="12" w:space="0" w:color="auto"/>
              <w:right w:val="nil"/>
            </w:tcBorders>
            <w:vAlign w:val="bottom"/>
          </w:tcPr>
          <w:p w14:paraId="78AF6F3B"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0"/>
                <w:szCs w:val="10"/>
                <w:lang w:val="en-GB" w:eastAsia="ru-RU"/>
              </w:rPr>
            </w:pPr>
          </w:p>
        </w:tc>
        <w:tc>
          <w:tcPr>
            <w:tcW w:w="1417" w:type="dxa"/>
            <w:tcBorders>
              <w:left w:val="nil"/>
              <w:bottom w:val="single" w:sz="12" w:space="0" w:color="auto"/>
              <w:right w:val="nil"/>
            </w:tcBorders>
            <w:vAlign w:val="bottom"/>
          </w:tcPr>
          <w:p w14:paraId="7D4B2B3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0"/>
                <w:szCs w:val="10"/>
                <w:lang w:val="ru-RU" w:eastAsia="ru-RU"/>
              </w:rPr>
            </w:pPr>
          </w:p>
        </w:tc>
        <w:tc>
          <w:tcPr>
            <w:tcW w:w="1417" w:type="dxa"/>
            <w:tcBorders>
              <w:left w:val="nil"/>
              <w:bottom w:val="single" w:sz="12" w:space="0" w:color="auto"/>
              <w:right w:val="nil"/>
            </w:tcBorders>
            <w:vAlign w:val="bottom"/>
          </w:tcPr>
          <w:p w14:paraId="47C67FE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05296F" w:rsidRPr="0005296F" w14:paraId="5BBB6439" w14:textId="77777777" w:rsidTr="00E000A0">
        <w:trPr>
          <w:cantSplit/>
        </w:trPr>
        <w:tc>
          <w:tcPr>
            <w:tcW w:w="5556" w:type="dxa"/>
            <w:tcBorders>
              <w:top w:val="single" w:sz="12" w:space="0" w:color="auto"/>
              <w:left w:val="nil"/>
              <w:bottom w:val="nil"/>
              <w:right w:val="nil"/>
            </w:tcBorders>
            <w:vAlign w:val="bottom"/>
          </w:tcPr>
          <w:p w14:paraId="52F9342B"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top w:val="single" w:sz="12" w:space="0" w:color="auto"/>
              <w:left w:val="nil"/>
              <w:bottom w:val="nil"/>
              <w:right w:val="nil"/>
            </w:tcBorders>
            <w:vAlign w:val="bottom"/>
          </w:tcPr>
          <w:p w14:paraId="3D5327D1"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top w:val="single" w:sz="12" w:space="0" w:color="auto"/>
              <w:left w:val="nil"/>
              <w:right w:val="nil"/>
            </w:tcBorders>
            <w:vAlign w:val="bottom"/>
          </w:tcPr>
          <w:p w14:paraId="3A2B60B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417" w:type="dxa"/>
            <w:tcBorders>
              <w:top w:val="single" w:sz="12" w:space="0" w:color="auto"/>
              <w:left w:val="nil"/>
              <w:right w:val="nil"/>
            </w:tcBorders>
            <w:vAlign w:val="bottom"/>
          </w:tcPr>
          <w:p w14:paraId="2D2ABDA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44699E42" w14:textId="77777777" w:rsidTr="00E000A0">
        <w:trPr>
          <w:cantSplit/>
        </w:trPr>
        <w:tc>
          <w:tcPr>
            <w:tcW w:w="5556" w:type="dxa"/>
            <w:tcBorders>
              <w:top w:val="nil"/>
              <w:left w:val="nil"/>
              <w:bottom w:val="nil"/>
              <w:right w:val="nil"/>
            </w:tcBorders>
            <w:vAlign w:val="bottom"/>
          </w:tcPr>
          <w:p w14:paraId="3F00B866"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Attributable to:</w:t>
            </w:r>
          </w:p>
        </w:tc>
        <w:tc>
          <w:tcPr>
            <w:tcW w:w="1020" w:type="dxa"/>
            <w:tcBorders>
              <w:top w:val="nil"/>
              <w:left w:val="nil"/>
              <w:bottom w:val="nil"/>
              <w:right w:val="nil"/>
            </w:tcBorders>
            <w:vAlign w:val="bottom"/>
          </w:tcPr>
          <w:p w14:paraId="19AEE4CB"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left w:val="nil"/>
              <w:right w:val="nil"/>
            </w:tcBorders>
            <w:vAlign w:val="bottom"/>
          </w:tcPr>
          <w:p w14:paraId="658BFB0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417" w:type="dxa"/>
            <w:tcBorders>
              <w:left w:val="nil"/>
              <w:bottom w:val="nil"/>
              <w:right w:val="nil"/>
            </w:tcBorders>
            <w:vAlign w:val="bottom"/>
          </w:tcPr>
          <w:p w14:paraId="462995E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05296F" w:rsidRPr="0005296F" w14:paraId="1A57F816" w14:textId="77777777" w:rsidTr="00E000A0">
        <w:trPr>
          <w:cantSplit/>
        </w:trPr>
        <w:tc>
          <w:tcPr>
            <w:tcW w:w="5556" w:type="dxa"/>
            <w:tcBorders>
              <w:top w:val="nil"/>
              <w:left w:val="nil"/>
              <w:right w:val="nil"/>
            </w:tcBorders>
            <w:vAlign w:val="bottom"/>
          </w:tcPr>
          <w:p w14:paraId="22E918CE" w14:textId="77777777" w:rsidR="0005296F" w:rsidRPr="0005296F" w:rsidRDefault="0005296F" w:rsidP="0005296F">
            <w:pPr>
              <w:widowControl w:val="0"/>
              <w:autoSpaceDE w:val="0"/>
              <w:autoSpaceDN w:val="0"/>
              <w:adjustRightInd w:val="0"/>
              <w:spacing w:after="0" w:line="240" w:lineRule="auto"/>
              <w:ind w:left="113"/>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Shareholders of the Company</w:t>
            </w:r>
          </w:p>
        </w:tc>
        <w:tc>
          <w:tcPr>
            <w:tcW w:w="1020" w:type="dxa"/>
            <w:tcBorders>
              <w:top w:val="nil"/>
              <w:left w:val="nil"/>
              <w:right w:val="nil"/>
            </w:tcBorders>
            <w:vAlign w:val="bottom"/>
          </w:tcPr>
          <w:p w14:paraId="63694D9B"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59D32B0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8</w:t>
            </w:r>
            <w:r w:rsidRPr="0005296F">
              <w:rPr>
                <w:rFonts w:ascii="Arial" w:eastAsia="Times New Roman" w:hAnsi="Arial" w:cs="Arial"/>
                <w:spacing w:val="-2"/>
                <w:sz w:val="18"/>
                <w:szCs w:val="18"/>
                <w:lang w:val="ru-RU" w:eastAsia="ru-RU"/>
              </w:rPr>
              <w:t>6</w:t>
            </w:r>
            <w:r w:rsidRPr="0005296F">
              <w:rPr>
                <w:rFonts w:ascii="Arial" w:eastAsia="Times New Roman" w:hAnsi="Arial" w:cs="Arial"/>
                <w:spacing w:val="-2"/>
                <w:sz w:val="18"/>
                <w:szCs w:val="18"/>
                <w:lang w:val="en-US" w:eastAsia="ru-RU"/>
              </w:rPr>
              <w:t>,</w:t>
            </w:r>
            <w:r w:rsidRPr="0005296F">
              <w:rPr>
                <w:rFonts w:ascii="Arial" w:eastAsia="Times New Roman" w:hAnsi="Arial" w:cs="Arial"/>
                <w:spacing w:val="-2"/>
                <w:sz w:val="18"/>
                <w:szCs w:val="18"/>
                <w:lang w:val="ru-RU" w:eastAsia="ru-RU"/>
              </w:rPr>
              <w:t>049</w:t>
            </w:r>
          </w:p>
        </w:tc>
        <w:tc>
          <w:tcPr>
            <w:tcW w:w="1417" w:type="dxa"/>
            <w:tcBorders>
              <w:top w:val="nil"/>
              <w:left w:val="nil"/>
              <w:right w:val="nil"/>
            </w:tcBorders>
            <w:vAlign w:val="bottom"/>
          </w:tcPr>
          <w:p w14:paraId="152728E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175,216</w:t>
            </w:r>
          </w:p>
        </w:tc>
      </w:tr>
      <w:tr w:rsidR="0005296F" w:rsidRPr="0005296F" w14:paraId="7FC05FC9" w14:textId="77777777" w:rsidTr="00E000A0">
        <w:trPr>
          <w:cantSplit/>
        </w:trPr>
        <w:tc>
          <w:tcPr>
            <w:tcW w:w="5556" w:type="dxa"/>
            <w:tcBorders>
              <w:top w:val="nil"/>
              <w:left w:val="nil"/>
              <w:right w:val="nil"/>
            </w:tcBorders>
            <w:vAlign w:val="bottom"/>
          </w:tcPr>
          <w:p w14:paraId="3BD52E3F" w14:textId="77777777" w:rsidR="0005296F" w:rsidRPr="0005296F" w:rsidRDefault="0005296F" w:rsidP="0005296F">
            <w:pPr>
              <w:widowControl w:val="0"/>
              <w:autoSpaceDE w:val="0"/>
              <w:autoSpaceDN w:val="0"/>
              <w:adjustRightInd w:val="0"/>
              <w:spacing w:after="0" w:line="240" w:lineRule="auto"/>
              <w:ind w:left="113"/>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Non-controlling interests*</w:t>
            </w:r>
          </w:p>
        </w:tc>
        <w:tc>
          <w:tcPr>
            <w:tcW w:w="1020" w:type="dxa"/>
            <w:tcBorders>
              <w:top w:val="nil"/>
              <w:left w:val="nil"/>
              <w:right w:val="nil"/>
            </w:tcBorders>
            <w:vAlign w:val="bottom"/>
          </w:tcPr>
          <w:p w14:paraId="7C5C00F2"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417" w:type="dxa"/>
            <w:tcBorders>
              <w:top w:val="nil"/>
              <w:left w:val="nil"/>
              <w:right w:val="nil"/>
            </w:tcBorders>
            <w:vAlign w:val="bottom"/>
          </w:tcPr>
          <w:p w14:paraId="709D50D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57</w:t>
            </w:r>
          </w:p>
        </w:tc>
        <w:tc>
          <w:tcPr>
            <w:tcW w:w="1417" w:type="dxa"/>
            <w:tcBorders>
              <w:top w:val="nil"/>
              <w:left w:val="nil"/>
              <w:right w:val="nil"/>
            </w:tcBorders>
            <w:vAlign w:val="bottom"/>
          </w:tcPr>
          <w:p w14:paraId="5E33AEA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52</w:t>
            </w:r>
          </w:p>
        </w:tc>
      </w:tr>
      <w:tr w:rsidR="0005296F" w:rsidRPr="0005296F" w14:paraId="17BFDDDC" w14:textId="77777777" w:rsidTr="00E000A0">
        <w:trPr>
          <w:cantSplit/>
        </w:trPr>
        <w:tc>
          <w:tcPr>
            <w:tcW w:w="5556" w:type="dxa"/>
            <w:tcBorders>
              <w:left w:val="nil"/>
              <w:bottom w:val="single" w:sz="4" w:space="0" w:color="auto"/>
              <w:right w:val="nil"/>
            </w:tcBorders>
            <w:vAlign w:val="bottom"/>
          </w:tcPr>
          <w:p w14:paraId="12278C6C" w14:textId="77777777" w:rsidR="0005296F" w:rsidRPr="0005296F" w:rsidRDefault="0005296F" w:rsidP="0005296F">
            <w:pPr>
              <w:widowControl w:val="0"/>
              <w:autoSpaceDE w:val="0"/>
              <w:autoSpaceDN w:val="0"/>
              <w:adjustRightInd w:val="0"/>
              <w:spacing w:after="0" w:line="240" w:lineRule="auto"/>
              <w:ind w:left="113" w:hanging="113"/>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20" w:type="dxa"/>
            <w:tcBorders>
              <w:left w:val="nil"/>
              <w:bottom w:val="single" w:sz="4" w:space="0" w:color="auto"/>
              <w:right w:val="nil"/>
            </w:tcBorders>
            <w:vAlign w:val="bottom"/>
          </w:tcPr>
          <w:p w14:paraId="1242BC04"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417" w:type="dxa"/>
            <w:tcBorders>
              <w:left w:val="nil"/>
              <w:bottom w:val="single" w:sz="4" w:space="0" w:color="auto"/>
              <w:right w:val="nil"/>
            </w:tcBorders>
            <w:vAlign w:val="bottom"/>
          </w:tcPr>
          <w:p w14:paraId="2533A27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417" w:type="dxa"/>
            <w:tcBorders>
              <w:left w:val="nil"/>
              <w:bottom w:val="single" w:sz="4" w:space="0" w:color="auto"/>
              <w:right w:val="nil"/>
            </w:tcBorders>
            <w:vAlign w:val="bottom"/>
          </w:tcPr>
          <w:p w14:paraId="48EBC3B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bl>
    <w:p w14:paraId="79CC42DA" w14:textId="77777777" w:rsidR="0005296F" w:rsidRDefault="0005296F" w:rsidP="0005296F">
      <w:pPr>
        <w:widowControl w:val="0"/>
        <w:spacing w:before="120"/>
        <w:rPr>
          <w:rFonts w:ascii="Arial" w:hAnsi="Arial" w:cs="Arial"/>
          <w:i/>
          <w:iCs/>
          <w:sz w:val="16"/>
          <w:szCs w:val="16"/>
          <w:lang w:val="ru-RU"/>
        </w:rPr>
      </w:pPr>
    </w:p>
    <w:p w14:paraId="2E0DCDE8" w14:textId="77777777" w:rsidR="0005296F" w:rsidRPr="00E12F3E" w:rsidRDefault="0005296F" w:rsidP="0005296F">
      <w:pPr>
        <w:widowControl w:val="0"/>
        <w:autoSpaceDE w:val="0"/>
        <w:autoSpaceDN w:val="0"/>
        <w:adjustRightInd w:val="0"/>
        <w:spacing w:before="120" w:after="120"/>
        <w:jc w:val="both"/>
        <w:rPr>
          <w:rFonts w:ascii="Arial" w:hAnsi="Arial" w:cs="Arial"/>
          <w:i/>
          <w:iCs/>
          <w:sz w:val="18"/>
          <w:szCs w:val="16"/>
          <w:highlight w:val="yellow"/>
          <w:lang w:val="en-GB"/>
        </w:rPr>
      </w:pPr>
      <w:r w:rsidRPr="00E12F3E">
        <w:rPr>
          <w:rFonts w:ascii="Arial" w:hAnsi="Arial" w:cs="Arial"/>
          <w:i/>
          <w:iCs/>
          <w:sz w:val="18"/>
          <w:szCs w:val="16"/>
          <w:lang w:val="en-GB"/>
        </w:rPr>
        <w:t>*Non-controlling interests are the minority shareholders of the subsidiaries of PJSC “</w:t>
      </w:r>
      <w:proofErr w:type="spellStart"/>
      <w:proofErr w:type="gramStart"/>
      <w:r w:rsidRPr="00E12F3E">
        <w:rPr>
          <w:rFonts w:ascii="Arial" w:hAnsi="Arial" w:cs="Arial"/>
          <w:i/>
          <w:iCs/>
          <w:sz w:val="18"/>
          <w:szCs w:val="16"/>
          <w:lang w:val="en-GB"/>
        </w:rPr>
        <w:t>PhosAgro</w:t>
      </w:r>
      <w:proofErr w:type="spellEnd"/>
      <w:r w:rsidRPr="00E12F3E">
        <w:rPr>
          <w:rFonts w:ascii="Arial" w:hAnsi="Arial" w:cs="Arial"/>
          <w:i/>
          <w:iCs/>
          <w:sz w:val="18"/>
          <w:szCs w:val="16"/>
          <w:lang w:val="en-GB"/>
        </w:rPr>
        <w:t>”</w:t>
      </w:r>
      <w:proofErr w:type="gramEnd"/>
    </w:p>
    <w:p w14:paraId="6A8BB5B3" w14:textId="77777777" w:rsidR="0005296F" w:rsidRPr="0005296F" w:rsidRDefault="0005296F" w:rsidP="0005296F">
      <w:pPr>
        <w:rPr>
          <w:rFonts w:ascii="Arial" w:hAnsi="Arial" w:cs="Arial"/>
          <w:i/>
          <w:iCs/>
          <w:sz w:val="16"/>
          <w:szCs w:val="16"/>
          <w:lang w:val="en-GB"/>
        </w:rPr>
      </w:pPr>
    </w:p>
    <w:p w14:paraId="5020E409" w14:textId="678B0DF6" w:rsidR="0005296F" w:rsidRPr="0005296F" w:rsidRDefault="0005296F" w:rsidP="0005296F">
      <w:pPr>
        <w:rPr>
          <w:rFonts w:ascii="Arial" w:hAnsi="Arial" w:cs="Arial"/>
          <w:sz w:val="16"/>
          <w:szCs w:val="16"/>
          <w:lang w:val="en-US"/>
        </w:rPr>
        <w:sectPr w:rsidR="0005296F" w:rsidRPr="0005296F" w:rsidSect="00CE6A7A">
          <w:headerReference w:type="default" r:id="rId26"/>
          <w:footnotePr>
            <w:numRestart w:val="eachPage"/>
          </w:footnotePr>
          <w:pgSz w:w="11907" w:h="16840" w:code="9"/>
          <w:pgMar w:top="1134" w:right="1021" w:bottom="1134" w:left="1531" w:header="567" w:footer="567" w:gutter="0"/>
          <w:pgNumType w:start="1"/>
          <w:cols w:space="708"/>
          <w:docGrid w:linePitch="360"/>
        </w:sectPr>
      </w:pPr>
    </w:p>
    <w:tbl>
      <w:tblPr>
        <w:tblW w:w="9411" w:type="dxa"/>
        <w:tblLayout w:type="fixed"/>
        <w:tblCellMar>
          <w:left w:w="85" w:type="dxa"/>
          <w:right w:w="85" w:type="dxa"/>
        </w:tblCellMar>
        <w:tblLook w:val="0000" w:firstRow="0" w:lastRow="0" w:firstColumn="0" w:lastColumn="0" w:noHBand="0" w:noVBand="0"/>
      </w:tblPr>
      <w:tblGrid>
        <w:gridCol w:w="5272"/>
        <w:gridCol w:w="1077"/>
        <w:gridCol w:w="1531"/>
        <w:gridCol w:w="1531"/>
      </w:tblGrid>
      <w:tr w:rsidR="0005296F" w:rsidRPr="0005296F" w14:paraId="73EB5B9E" w14:textId="77777777" w:rsidTr="00E000A0">
        <w:trPr>
          <w:cantSplit/>
        </w:trPr>
        <w:tc>
          <w:tcPr>
            <w:tcW w:w="5272" w:type="dxa"/>
            <w:tcBorders>
              <w:top w:val="nil"/>
              <w:left w:val="nil"/>
              <w:bottom w:val="single" w:sz="4" w:space="0" w:color="auto"/>
              <w:right w:val="nil"/>
            </w:tcBorders>
            <w:vAlign w:val="bottom"/>
          </w:tcPr>
          <w:p w14:paraId="23C752B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i/>
                <w:iCs/>
                <w:spacing w:val="-2"/>
                <w:sz w:val="18"/>
                <w:szCs w:val="18"/>
                <w:highlight w:val="yellow"/>
                <w:lang w:val="en-GB" w:eastAsia="ru-RU"/>
              </w:rPr>
            </w:pPr>
            <w:r w:rsidRPr="0005296F">
              <w:rPr>
                <w:rFonts w:ascii="Arial" w:eastAsia="Times New Roman" w:hAnsi="Arial" w:cs="Arial"/>
                <w:i/>
                <w:iCs/>
                <w:spacing w:val="-2"/>
                <w:sz w:val="18"/>
                <w:szCs w:val="18"/>
                <w:lang w:val="en-GB" w:eastAsia="ru-RU"/>
              </w:rPr>
              <w:lastRenderedPageBreak/>
              <w:t>RUB million</w:t>
            </w:r>
          </w:p>
        </w:tc>
        <w:tc>
          <w:tcPr>
            <w:tcW w:w="1077" w:type="dxa"/>
            <w:tcBorders>
              <w:top w:val="nil"/>
              <w:left w:val="nil"/>
              <w:bottom w:val="single" w:sz="4" w:space="0" w:color="auto"/>
              <w:right w:val="nil"/>
            </w:tcBorders>
            <w:vAlign w:val="bottom"/>
          </w:tcPr>
          <w:p w14:paraId="30BE1FB6" w14:textId="42F4226D"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bCs/>
                <w:spacing w:val="-2"/>
                <w:sz w:val="18"/>
                <w:szCs w:val="18"/>
                <w:lang w:val="en-GB" w:eastAsia="ru-RU"/>
              </w:rPr>
            </w:pPr>
          </w:p>
        </w:tc>
        <w:tc>
          <w:tcPr>
            <w:tcW w:w="1531" w:type="dxa"/>
            <w:tcBorders>
              <w:top w:val="nil"/>
              <w:left w:val="nil"/>
              <w:bottom w:val="single" w:sz="4" w:space="0" w:color="auto"/>
              <w:right w:val="nil"/>
            </w:tcBorders>
            <w:vAlign w:val="bottom"/>
          </w:tcPr>
          <w:p w14:paraId="08D3570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05296F">
              <w:rPr>
                <w:rFonts w:ascii="Arial" w:eastAsia="Times New Roman" w:hAnsi="Arial" w:cs="Arial"/>
                <w:b/>
                <w:bCs/>
                <w:spacing w:val="-2"/>
                <w:sz w:val="18"/>
                <w:szCs w:val="18"/>
                <w:lang w:val="en-GB" w:eastAsia="ru-RU"/>
              </w:rPr>
              <w:t xml:space="preserve">31 December </w:t>
            </w:r>
            <w:r w:rsidRPr="0005296F">
              <w:rPr>
                <w:rFonts w:ascii="Arial" w:eastAsia="Times New Roman" w:hAnsi="Arial" w:cs="Arial"/>
                <w:b/>
                <w:bCs/>
                <w:spacing w:val="-2"/>
                <w:sz w:val="18"/>
                <w:szCs w:val="18"/>
                <w:lang w:val="en-GB" w:eastAsia="ru-RU"/>
              </w:rPr>
              <w:br/>
              <w:t>20</w:t>
            </w:r>
            <w:r w:rsidRPr="0005296F">
              <w:rPr>
                <w:rFonts w:ascii="Arial" w:eastAsia="Times New Roman" w:hAnsi="Arial" w:cs="Arial"/>
                <w:b/>
                <w:bCs/>
                <w:spacing w:val="-2"/>
                <w:sz w:val="18"/>
                <w:szCs w:val="18"/>
                <w:lang w:val="ru-RU" w:eastAsia="ru-RU"/>
              </w:rPr>
              <w:t>23</w:t>
            </w:r>
          </w:p>
        </w:tc>
        <w:tc>
          <w:tcPr>
            <w:tcW w:w="1531" w:type="dxa"/>
            <w:tcBorders>
              <w:top w:val="nil"/>
              <w:left w:val="nil"/>
              <w:bottom w:val="single" w:sz="4" w:space="0" w:color="auto"/>
              <w:right w:val="nil"/>
            </w:tcBorders>
            <w:vAlign w:val="bottom"/>
          </w:tcPr>
          <w:p w14:paraId="2EBF173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05296F">
              <w:rPr>
                <w:rFonts w:ascii="Arial" w:eastAsia="Times New Roman" w:hAnsi="Arial" w:cs="Arial"/>
                <w:b/>
                <w:bCs/>
                <w:spacing w:val="-2"/>
                <w:sz w:val="18"/>
                <w:szCs w:val="18"/>
                <w:lang w:val="en-GB" w:eastAsia="ru-RU"/>
              </w:rPr>
              <w:t xml:space="preserve">31 December </w:t>
            </w:r>
            <w:r w:rsidRPr="0005296F">
              <w:rPr>
                <w:rFonts w:ascii="Arial" w:eastAsia="Times New Roman" w:hAnsi="Arial" w:cs="Arial"/>
                <w:b/>
                <w:bCs/>
                <w:spacing w:val="-2"/>
                <w:sz w:val="18"/>
                <w:szCs w:val="18"/>
                <w:lang w:val="en-GB" w:eastAsia="ru-RU"/>
              </w:rPr>
              <w:br/>
              <w:t>20</w:t>
            </w:r>
            <w:r w:rsidRPr="0005296F">
              <w:rPr>
                <w:rFonts w:ascii="Arial" w:eastAsia="Times New Roman" w:hAnsi="Arial" w:cs="Arial"/>
                <w:b/>
                <w:bCs/>
                <w:spacing w:val="-2"/>
                <w:sz w:val="18"/>
                <w:szCs w:val="18"/>
                <w:lang w:val="ru-RU" w:eastAsia="ru-RU"/>
              </w:rPr>
              <w:t>2</w:t>
            </w:r>
            <w:r w:rsidRPr="0005296F">
              <w:rPr>
                <w:rFonts w:ascii="Arial" w:eastAsia="Times New Roman" w:hAnsi="Arial" w:cs="Arial"/>
                <w:b/>
                <w:bCs/>
                <w:spacing w:val="-2"/>
                <w:sz w:val="18"/>
                <w:szCs w:val="18"/>
                <w:lang w:val="en-US" w:eastAsia="ru-RU"/>
              </w:rPr>
              <w:t>2</w:t>
            </w:r>
          </w:p>
        </w:tc>
      </w:tr>
      <w:tr w:rsidR="0005296F" w:rsidRPr="0005296F" w14:paraId="6AE0CFEE" w14:textId="77777777" w:rsidTr="00E000A0">
        <w:trPr>
          <w:cantSplit/>
        </w:trPr>
        <w:tc>
          <w:tcPr>
            <w:tcW w:w="5272" w:type="dxa"/>
            <w:tcBorders>
              <w:top w:val="single" w:sz="4" w:space="0" w:color="auto"/>
              <w:left w:val="nil"/>
              <w:right w:val="nil"/>
            </w:tcBorders>
            <w:vAlign w:val="bottom"/>
          </w:tcPr>
          <w:p w14:paraId="2726C22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r w:rsidRPr="0005296F">
              <w:rPr>
                <w:rFonts w:ascii="Arial" w:eastAsia="Times New Roman" w:hAnsi="Arial" w:cs="Arial"/>
                <w:spacing w:val="-2"/>
                <w:sz w:val="10"/>
                <w:szCs w:val="10"/>
                <w:lang w:val="en-GB" w:eastAsia="ru-RU"/>
              </w:rPr>
              <w:t> </w:t>
            </w:r>
          </w:p>
        </w:tc>
        <w:tc>
          <w:tcPr>
            <w:tcW w:w="1077" w:type="dxa"/>
            <w:tcBorders>
              <w:top w:val="single" w:sz="4" w:space="0" w:color="auto"/>
              <w:left w:val="nil"/>
              <w:right w:val="nil"/>
            </w:tcBorders>
            <w:vAlign w:val="bottom"/>
          </w:tcPr>
          <w:p w14:paraId="14F2E820"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45BFCF91"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6A8AD380"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r>
      <w:tr w:rsidR="0005296F" w:rsidRPr="0005296F" w14:paraId="1D542D0E" w14:textId="77777777" w:rsidTr="00E000A0">
        <w:trPr>
          <w:cantSplit/>
        </w:trPr>
        <w:tc>
          <w:tcPr>
            <w:tcW w:w="5272" w:type="dxa"/>
            <w:tcBorders>
              <w:left w:val="nil"/>
              <w:bottom w:val="nil"/>
              <w:right w:val="nil"/>
            </w:tcBorders>
            <w:vAlign w:val="bottom"/>
          </w:tcPr>
          <w:p w14:paraId="4D95D605"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i/>
                <w:spacing w:val="-2"/>
                <w:sz w:val="18"/>
                <w:szCs w:val="18"/>
                <w:lang w:val="en-GB" w:eastAsia="ru-RU"/>
              </w:rPr>
            </w:pPr>
            <w:r w:rsidRPr="0005296F">
              <w:rPr>
                <w:rFonts w:ascii="Arial" w:eastAsia="Times New Roman" w:hAnsi="Arial" w:cs="Arial"/>
                <w:b/>
                <w:i/>
                <w:spacing w:val="-2"/>
                <w:sz w:val="18"/>
                <w:szCs w:val="18"/>
                <w:lang w:val="en-GB" w:eastAsia="ru-RU"/>
              </w:rPr>
              <w:t>Assets</w:t>
            </w:r>
          </w:p>
        </w:tc>
        <w:tc>
          <w:tcPr>
            <w:tcW w:w="1077" w:type="dxa"/>
            <w:tcBorders>
              <w:left w:val="nil"/>
              <w:bottom w:val="nil"/>
              <w:right w:val="nil"/>
            </w:tcBorders>
            <w:vAlign w:val="bottom"/>
          </w:tcPr>
          <w:p w14:paraId="084061B3"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bottom w:val="nil"/>
              <w:right w:val="nil"/>
            </w:tcBorders>
            <w:vAlign w:val="bottom"/>
          </w:tcPr>
          <w:p w14:paraId="28F0C86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highlight w:val="yellow"/>
                <w:lang w:val="en-GB" w:eastAsia="ru-RU"/>
              </w:rPr>
            </w:pPr>
          </w:p>
        </w:tc>
        <w:tc>
          <w:tcPr>
            <w:tcW w:w="1531" w:type="dxa"/>
            <w:tcBorders>
              <w:left w:val="nil"/>
              <w:bottom w:val="nil"/>
              <w:right w:val="nil"/>
            </w:tcBorders>
            <w:vAlign w:val="bottom"/>
          </w:tcPr>
          <w:p w14:paraId="3843D52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05296F" w:rsidRPr="0005296F" w14:paraId="7A7FEDFD" w14:textId="77777777" w:rsidTr="00E000A0">
        <w:trPr>
          <w:cantSplit/>
        </w:trPr>
        <w:tc>
          <w:tcPr>
            <w:tcW w:w="5272" w:type="dxa"/>
            <w:tcBorders>
              <w:top w:val="nil"/>
              <w:left w:val="nil"/>
              <w:bottom w:val="nil"/>
              <w:right w:val="nil"/>
            </w:tcBorders>
            <w:vAlign w:val="bottom"/>
          </w:tcPr>
          <w:p w14:paraId="4151324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 xml:space="preserve">Property, </w:t>
            </w:r>
            <w:proofErr w:type="gramStart"/>
            <w:r w:rsidRPr="0005296F">
              <w:rPr>
                <w:rFonts w:ascii="Arial" w:eastAsia="Times New Roman" w:hAnsi="Arial" w:cs="Arial"/>
                <w:spacing w:val="-2"/>
                <w:sz w:val="18"/>
                <w:szCs w:val="18"/>
                <w:lang w:val="en-GB" w:eastAsia="ru-RU"/>
              </w:rPr>
              <w:t>plant</w:t>
            </w:r>
            <w:proofErr w:type="gramEnd"/>
            <w:r w:rsidRPr="0005296F">
              <w:rPr>
                <w:rFonts w:ascii="Arial" w:eastAsia="Times New Roman" w:hAnsi="Arial" w:cs="Arial"/>
                <w:spacing w:val="-2"/>
                <w:sz w:val="18"/>
                <w:szCs w:val="18"/>
                <w:lang w:val="en-GB" w:eastAsia="ru-RU"/>
              </w:rPr>
              <w:t xml:space="preserve"> and equipment</w:t>
            </w:r>
          </w:p>
        </w:tc>
        <w:tc>
          <w:tcPr>
            <w:tcW w:w="1077" w:type="dxa"/>
            <w:tcBorders>
              <w:top w:val="nil"/>
              <w:left w:val="nil"/>
              <w:bottom w:val="nil"/>
              <w:right w:val="nil"/>
            </w:tcBorders>
            <w:vAlign w:val="bottom"/>
          </w:tcPr>
          <w:p w14:paraId="630380FF" w14:textId="7757B566"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1878AC5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308,663</w:t>
            </w:r>
          </w:p>
        </w:tc>
        <w:tc>
          <w:tcPr>
            <w:tcW w:w="1531" w:type="dxa"/>
            <w:tcBorders>
              <w:top w:val="nil"/>
              <w:left w:val="nil"/>
              <w:bottom w:val="nil"/>
              <w:right w:val="nil"/>
            </w:tcBorders>
            <w:vAlign w:val="bottom"/>
          </w:tcPr>
          <w:p w14:paraId="6878B9E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274,522</w:t>
            </w:r>
          </w:p>
        </w:tc>
      </w:tr>
      <w:tr w:rsidR="0005296F" w:rsidRPr="0005296F" w14:paraId="6A36B49F" w14:textId="77777777" w:rsidTr="00E000A0">
        <w:trPr>
          <w:cantSplit/>
        </w:trPr>
        <w:tc>
          <w:tcPr>
            <w:tcW w:w="5272" w:type="dxa"/>
            <w:tcBorders>
              <w:top w:val="nil"/>
              <w:left w:val="nil"/>
              <w:bottom w:val="nil"/>
              <w:right w:val="nil"/>
            </w:tcBorders>
            <w:vAlign w:val="bottom"/>
          </w:tcPr>
          <w:p w14:paraId="18D9E96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rPr>
              <w:t xml:space="preserve">Advances issued for property, </w:t>
            </w:r>
            <w:proofErr w:type="gramStart"/>
            <w:r w:rsidRPr="0005296F">
              <w:rPr>
                <w:rFonts w:ascii="Arial" w:eastAsia="Times New Roman" w:hAnsi="Arial" w:cs="Arial"/>
                <w:spacing w:val="-2"/>
                <w:sz w:val="18"/>
                <w:szCs w:val="18"/>
                <w:lang w:val="en-US"/>
              </w:rPr>
              <w:t>plant</w:t>
            </w:r>
            <w:proofErr w:type="gramEnd"/>
            <w:r w:rsidRPr="0005296F">
              <w:rPr>
                <w:rFonts w:ascii="Arial" w:eastAsia="Times New Roman" w:hAnsi="Arial" w:cs="Arial"/>
                <w:spacing w:val="-2"/>
                <w:sz w:val="18"/>
                <w:szCs w:val="18"/>
                <w:lang w:val="en-US"/>
              </w:rPr>
              <w:t xml:space="preserve"> and equipment</w:t>
            </w:r>
          </w:p>
        </w:tc>
        <w:tc>
          <w:tcPr>
            <w:tcW w:w="1077" w:type="dxa"/>
            <w:tcBorders>
              <w:top w:val="nil"/>
              <w:left w:val="nil"/>
              <w:bottom w:val="nil"/>
              <w:right w:val="nil"/>
            </w:tcBorders>
            <w:vAlign w:val="bottom"/>
          </w:tcPr>
          <w:p w14:paraId="7ADC4D90"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GB" w:eastAsia="ru-RU"/>
              </w:rPr>
            </w:pPr>
          </w:p>
        </w:tc>
        <w:tc>
          <w:tcPr>
            <w:tcW w:w="1531" w:type="dxa"/>
            <w:tcBorders>
              <w:top w:val="nil"/>
              <w:left w:val="nil"/>
              <w:bottom w:val="nil"/>
              <w:right w:val="nil"/>
            </w:tcBorders>
            <w:vAlign w:val="bottom"/>
          </w:tcPr>
          <w:p w14:paraId="7098872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10,337</w:t>
            </w:r>
          </w:p>
        </w:tc>
        <w:tc>
          <w:tcPr>
            <w:tcW w:w="1531" w:type="dxa"/>
            <w:tcBorders>
              <w:top w:val="nil"/>
              <w:left w:val="nil"/>
              <w:bottom w:val="nil"/>
              <w:right w:val="nil"/>
            </w:tcBorders>
            <w:vAlign w:val="bottom"/>
          </w:tcPr>
          <w:p w14:paraId="26857DC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9,270</w:t>
            </w:r>
          </w:p>
        </w:tc>
      </w:tr>
      <w:tr w:rsidR="0005296F" w:rsidRPr="0005296F" w14:paraId="627AF4FD" w14:textId="77777777" w:rsidTr="00E000A0">
        <w:trPr>
          <w:cantSplit/>
        </w:trPr>
        <w:tc>
          <w:tcPr>
            <w:tcW w:w="5272" w:type="dxa"/>
            <w:tcBorders>
              <w:top w:val="nil"/>
              <w:left w:val="nil"/>
              <w:bottom w:val="nil"/>
              <w:right w:val="nil"/>
            </w:tcBorders>
            <w:vAlign w:val="bottom"/>
          </w:tcPr>
          <w:p w14:paraId="4FBC3198"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Deferred tax assets</w:t>
            </w:r>
          </w:p>
        </w:tc>
        <w:tc>
          <w:tcPr>
            <w:tcW w:w="1077" w:type="dxa"/>
            <w:tcBorders>
              <w:top w:val="nil"/>
              <w:left w:val="nil"/>
              <w:bottom w:val="nil"/>
              <w:right w:val="nil"/>
            </w:tcBorders>
            <w:shd w:val="clear" w:color="auto" w:fill="auto"/>
            <w:vAlign w:val="bottom"/>
          </w:tcPr>
          <w:p w14:paraId="01C77B66" w14:textId="25108A8D"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tcPr>
          <w:p w14:paraId="5CD5B01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9,751</w:t>
            </w:r>
          </w:p>
        </w:tc>
        <w:tc>
          <w:tcPr>
            <w:tcW w:w="1531" w:type="dxa"/>
            <w:tcBorders>
              <w:top w:val="nil"/>
              <w:left w:val="nil"/>
              <w:bottom w:val="nil"/>
              <w:right w:val="nil"/>
            </w:tcBorders>
            <w:vAlign w:val="bottom"/>
          </w:tcPr>
          <w:p w14:paraId="0CD1AA3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7,903</w:t>
            </w:r>
          </w:p>
        </w:tc>
      </w:tr>
      <w:tr w:rsidR="0005296F" w:rsidRPr="0005296F" w14:paraId="28C4A827" w14:textId="77777777" w:rsidTr="00E000A0">
        <w:trPr>
          <w:cantSplit/>
        </w:trPr>
        <w:tc>
          <w:tcPr>
            <w:tcW w:w="5272" w:type="dxa"/>
            <w:tcBorders>
              <w:top w:val="nil"/>
              <w:left w:val="nil"/>
              <w:bottom w:val="nil"/>
              <w:right w:val="nil"/>
            </w:tcBorders>
            <w:vAlign w:val="bottom"/>
          </w:tcPr>
          <w:p w14:paraId="221569E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Other non-current assets</w:t>
            </w:r>
          </w:p>
        </w:tc>
        <w:tc>
          <w:tcPr>
            <w:tcW w:w="1077" w:type="dxa"/>
            <w:tcBorders>
              <w:top w:val="nil"/>
              <w:left w:val="nil"/>
              <w:bottom w:val="nil"/>
              <w:right w:val="nil"/>
            </w:tcBorders>
            <w:shd w:val="clear" w:color="auto" w:fill="auto"/>
            <w:vAlign w:val="bottom"/>
          </w:tcPr>
          <w:p w14:paraId="2A8D5EAC" w14:textId="47204524"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US" w:eastAsia="ru-RU"/>
              </w:rPr>
            </w:pPr>
          </w:p>
        </w:tc>
        <w:tc>
          <w:tcPr>
            <w:tcW w:w="1531" w:type="dxa"/>
            <w:tcBorders>
              <w:top w:val="nil"/>
              <w:left w:val="nil"/>
              <w:bottom w:val="nil"/>
              <w:right w:val="nil"/>
            </w:tcBorders>
          </w:tcPr>
          <w:p w14:paraId="0C75C17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8,262</w:t>
            </w:r>
          </w:p>
        </w:tc>
        <w:tc>
          <w:tcPr>
            <w:tcW w:w="1531" w:type="dxa"/>
            <w:tcBorders>
              <w:top w:val="nil"/>
              <w:left w:val="nil"/>
              <w:bottom w:val="nil"/>
              <w:right w:val="nil"/>
            </w:tcBorders>
            <w:vAlign w:val="bottom"/>
          </w:tcPr>
          <w:p w14:paraId="1C8B583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8,546</w:t>
            </w:r>
          </w:p>
        </w:tc>
      </w:tr>
      <w:tr w:rsidR="0005296F" w:rsidRPr="0005296F" w14:paraId="1D522737" w14:textId="77777777" w:rsidTr="00E000A0">
        <w:trPr>
          <w:cantSplit/>
        </w:trPr>
        <w:tc>
          <w:tcPr>
            <w:tcW w:w="5272" w:type="dxa"/>
            <w:tcBorders>
              <w:top w:val="nil"/>
              <w:left w:val="nil"/>
              <w:bottom w:val="nil"/>
              <w:right w:val="nil"/>
            </w:tcBorders>
            <w:vAlign w:val="bottom"/>
          </w:tcPr>
          <w:p w14:paraId="1B73960B"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Non-current</w:t>
            </w:r>
            <w:r w:rsidRPr="0005296F">
              <w:rPr>
                <w:rFonts w:ascii="Arial" w:eastAsia="Times New Roman" w:hAnsi="Arial" w:cs="Arial"/>
                <w:spacing w:val="-2"/>
                <w:sz w:val="18"/>
                <w:szCs w:val="18"/>
                <w:lang w:val="en-GB" w:eastAsia="ru-RU"/>
              </w:rPr>
              <w:t xml:space="preserve"> spare parts</w:t>
            </w:r>
          </w:p>
        </w:tc>
        <w:tc>
          <w:tcPr>
            <w:tcW w:w="1077" w:type="dxa"/>
            <w:tcBorders>
              <w:top w:val="nil"/>
              <w:left w:val="nil"/>
              <w:bottom w:val="nil"/>
              <w:right w:val="nil"/>
            </w:tcBorders>
            <w:vAlign w:val="bottom"/>
          </w:tcPr>
          <w:p w14:paraId="3C4FEE7A"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GB" w:eastAsia="ru-RU"/>
              </w:rPr>
            </w:pPr>
          </w:p>
        </w:tc>
        <w:tc>
          <w:tcPr>
            <w:tcW w:w="1531" w:type="dxa"/>
            <w:tcBorders>
              <w:top w:val="nil"/>
              <w:left w:val="nil"/>
              <w:bottom w:val="nil"/>
              <w:right w:val="nil"/>
            </w:tcBorders>
          </w:tcPr>
          <w:p w14:paraId="617C86E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8,059</w:t>
            </w:r>
          </w:p>
        </w:tc>
        <w:tc>
          <w:tcPr>
            <w:tcW w:w="1531" w:type="dxa"/>
            <w:tcBorders>
              <w:top w:val="nil"/>
              <w:left w:val="nil"/>
              <w:bottom w:val="nil"/>
              <w:right w:val="nil"/>
            </w:tcBorders>
            <w:vAlign w:val="bottom"/>
          </w:tcPr>
          <w:p w14:paraId="01510C5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5,125</w:t>
            </w:r>
          </w:p>
        </w:tc>
      </w:tr>
      <w:tr w:rsidR="0005296F" w:rsidRPr="0005296F" w14:paraId="6133A96A" w14:textId="77777777" w:rsidTr="00E000A0">
        <w:trPr>
          <w:cantSplit/>
        </w:trPr>
        <w:tc>
          <w:tcPr>
            <w:tcW w:w="5272" w:type="dxa"/>
            <w:tcBorders>
              <w:top w:val="nil"/>
              <w:left w:val="nil"/>
              <w:bottom w:val="nil"/>
              <w:right w:val="nil"/>
            </w:tcBorders>
            <w:vAlign w:val="bottom"/>
          </w:tcPr>
          <w:p w14:paraId="73B72DC3"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Right-of-use assets</w:t>
            </w:r>
          </w:p>
        </w:tc>
        <w:tc>
          <w:tcPr>
            <w:tcW w:w="1077" w:type="dxa"/>
            <w:tcBorders>
              <w:top w:val="nil"/>
              <w:left w:val="nil"/>
              <w:bottom w:val="nil"/>
              <w:right w:val="nil"/>
            </w:tcBorders>
            <w:vAlign w:val="bottom"/>
          </w:tcPr>
          <w:p w14:paraId="556393CD" w14:textId="4B77059D"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tcPr>
          <w:p w14:paraId="682A0EB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7,240</w:t>
            </w:r>
          </w:p>
        </w:tc>
        <w:tc>
          <w:tcPr>
            <w:tcW w:w="1531" w:type="dxa"/>
            <w:tcBorders>
              <w:top w:val="nil"/>
              <w:left w:val="nil"/>
              <w:bottom w:val="nil"/>
              <w:right w:val="nil"/>
            </w:tcBorders>
            <w:vAlign w:val="bottom"/>
          </w:tcPr>
          <w:p w14:paraId="30845EC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4,277</w:t>
            </w:r>
          </w:p>
        </w:tc>
      </w:tr>
      <w:tr w:rsidR="0005296F" w:rsidRPr="0005296F" w14:paraId="2CD480FA" w14:textId="77777777" w:rsidTr="00E000A0">
        <w:trPr>
          <w:cantSplit/>
        </w:trPr>
        <w:tc>
          <w:tcPr>
            <w:tcW w:w="5272" w:type="dxa"/>
            <w:tcBorders>
              <w:top w:val="nil"/>
              <w:left w:val="nil"/>
              <w:bottom w:val="nil"/>
              <w:right w:val="nil"/>
            </w:tcBorders>
            <w:vAlign w:val="bottom"/>
          </w:tcPr>
          <w:p w14:paraId="15F73428"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Intangible assets</w:t>
            </w:r>
          </w:p>
        </w:tc>
        <w:tc>
          <w:tcPr>
            <w:tcW w:w="1077" w:type="dxa"/>
            <w:tcBorders>
              <w:top w:val="nil"/>
              <w:left w:val="nil"/>
              <w:bottom w:val="nil"/>
              <w:right w:val="nil"/>
            </w:tcBorders>
            <w:vAlign w:val="bottom"/>
          </w:tcPr>
          <w:p w14:paraId="4798A48B"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GB" w:eastAsia="ru-RU"/>
              </w:rPr>
            </w:pPr>
          </w:p>
        </w:tc>
        <w:tc>
          <w:tcPr>
            <w:tcW w:w="1531" w:type="dxa"/>
            <w:tcBorders>
              <w:top w:val="nil"/>
              <w:left w:val="nil"/>
              <w:bottom w:val="nil"/>
              <w:right w:val="nil"/>
            </w:tcBorders>
          </w:tcPr>
          <w:p w14:paraId="45ED434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2,773</w:t>
            </w:r>
          </w:p>
        </w:tc>
        <w:tc>
          <w:tcPr>
            <w:tcW w:w="1531" w:type="dxa"/>
            <w:tcBorders>
              <w:top w:val="nil"/>
              <w:left w:val="nil"/>
              <w:bottom w:val="nil"/>
              <w:right w:val="nil"/>
            </w:tcBorders>
            <w:vAlign w:val="bottom"/>
          </w:tcPr>
          <w:p w14:paraId="3A3C0D3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2,099</w:t>
            </w:r>
          </w:p>
        </w:tc>
      </w:tr>
      <w:tr w:rsidR="0005296F" w:rsidRPr="0005296F" w14:paraId="0EAAF09D" w14:textId="77777777" w:rsidTr="00E000A0">
        <w:trPr>
          <w:cantSplit/>
        </w:trPr>
        <w:tc>
          <w:tcPr>
            <w:tcW w:w="5272" w:type="dxa"/>
            <w:tcBorders>
              <w:top w:val="nil"/>
              <w:left w:val="nil"/>
              <w:bottom w:val="nil"/>
              <w:right w:val="nil"/>
            </w:tcBorders>
            <w:vAlign w:val="bottom"/>
          </w:tcPr>
          <w:p w14:paraId="6F64C9E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Catalysts</w:t>
            </w:r>
          </w:p>
        </w:tc>
        <w:tc>
          <w:tcPr>
            <w:tcW w:w="1077" w:type="dxa"/>
            <w:tcBorders>
              <w:top w:val="nil"/>
              <w:left w:val="nil"/>
              <w:bottom w:val="nil"/>
              <w:right w:val="nil"/>
            </w:tcBorders>
            <w:vAlign w:val="bottom"/>
          </w:tcPr>
          <w:p w14:paraId="08A300B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GB" w:eastAsia="ru-RU"/>
              </w:rPr>
            </w:pPr>
          </w:p>
        </w:tc>
        <w:tc>
          <w:tcPr>
            <w:tcW w:w="1531" w:type="dxa"/>
            <w:tcBorders>
              <w:top w:val="nil"/>
              <w:left w:val="nil"/>
              <w:bottom w:val="nil"/>
              <w:right w:val="nil"/>
            </w:tcBorders>
          </w:tcPr>
          <w:p w14:paraId="705EEC6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2,667</w:t>
            </w:r>
          </w:p>
        </w:tc>
        <w:tc>
          <w:tcPr>
            <w:tcW w:w="1531" w:type="dxa"/>
            <w:tcBorders>
              <w:top w:val="nil"/>
              <w:left w:val="nil"/>
              <w:bottom w:val="nil"/>
              <w:right w:val="nil"/>
            </w:tcBorders>
            <w:vAlign w:val="bottom"/>
          </w:tcPr>
          <w:p w14:paraId="04A024A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1,965</w:t>
            </w:r>
          </w:p>
        </w:tc>
      </w:tr>
      <w:tr w:rsidR="0005296F" w:rsidRPr="0005296F" w14:paraId="7AC63238" w14:textId="77777777" w:rsidTr="00E000A0">
        <w:trPr>
          <w:cantSplit/>
        </w:trPr>
        <w:tc>
          <w:tcPr>
            <w:tcW w:w="5272" w:type="dxa"/>
            <w:tcBorders>
              <w:top w:val="nil"/>
              <w:left w:val="nil"/>
              <w:bottom w:val="nil"/>
              <w:right w:val="nil"/>
            </w:tcBorders>
            <w:vAlign w:val="bottom"/>
          </w:tcPr>
          <w:p w14:paraId="4EDD779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Investments in associates and joint ventures</w:t>
            </w:r>
          </w:p>
        </w:tc>
        <w:tc>
          <w:tcPr>
            <w:tcW w:w="1077" w:type="dxa"/>
            <w:tcBorders>
              <w:top w:val="nil"/>
              <w:left w:val="nil"/>
              <w:bottom w:val="nil"/>
              <w:right w:val="nil"/>
            </w:tcBorders>
            <w:shd w:val="clear" w:color="auto" w:fill="auto"/>
            <w:vAlign w:val="bottom"/>
          </w:tcPr>
          <w:p w14:paraId="2142FEA2" w14:textId="376D3430"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US" w:eastAsia="ru-RU"/>
              </w:rPr>
            </w:pPr>
          </w:p>
        </w:tc>
        <w:tc>
          <w:tcPr>
            <w:tcW w:w="1531" w:type="dxa"/>
            <w:tcBorders>
              <w:top w:val="nil"/>
              <w:left w:val="nil"/>
              <w:bottom w:val="nil"/>
              <w:right w:val="nil"/>
            </w:tcBorders>
            <w:vAlign w:val="bottom"/>
          </w:tcPr>
          <w:p w14:paraId="222F479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636</w:t>
            </w:r>
          </w:p>
        </w:tc>
        <w:tc>
          <w:tcPr>
            <w:tcW w:w="1531" w:type="dxa"/>
            <w:tcBorders>
              <w:top w:val="nil"/>
              <w:left w:val="nil"/>
              <w:bottom w:val="nil"/>
              <w:right w:val="nil"/>
            </w:tcBorders>
            <w:vAlign w:val="bottom"/>
          </w:tcPr>
          <w:p w14:paraId="0ADA7BA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592</w:t>
            </w:r>
          </w:p>
        </w:tc>
      </w:tr>
      <w:tr w:rsidR="0005296F" w:rsidRPr="0005296F" w14:paraId="4EE7360A" w14:textId="77777777" w:rsidTr="00E000A0">
        <w:trPr>
          <w:cantSplit/>
        </w:trPr>
        <w:tc>
          <w:tcPr>
            <w:tcW w:w="5272" w:type="dxa"/>
            <w:tcBorders>
              <w:top w:val="nil"/>
              <w:left w:val="nil"/>
              <w:bottom w:val="single" w:sz="4" w:space="0" w:color="auto"/>
              <w:right w:val="nil"/>
            </w:tcBorders>
            <w:vAlign w:val="bottom"/>
          </w:tcPr>
          <w:p w14:paraId="208180E9"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77" w:type="dxa"/>
            <w:tcBorders>
              <w:top w:val="nil"/>
              <w:left w:val="nil"/>
              <w:bottom w:val="single" w:sz="4" w:space="0" w:color="auto"/>
              <w:right w:val="nil"/>
            </w:tcBorders>
            <w:vAlign w:val="bottom"/>
          </w:tcPr>
          <w:p w14:paraId="233B3A25"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top w:val="nil"/>
              <w:left w:val="nil"/>
              <w:bottom w:val="single" w:sz="4" w:space="0" w:color="auto"/>
              <w:right w:val="nil"/>
            </w:tcBorders>
            <w:vAlign w:val="bottom"/>
          </w:tcPr>
          <w:p w14:paraId="32326C9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nil"/>
              <w:left w:val="nil"/>
              <w:bottom w:val="single" w:sz="4" w:space="0" w:color="auto"/>
              <w:right w:val="nil"/>
            </w:tcBorders>
            <w:vAlign w:val="bottom"/>
          </w:tcPr>
          <w:p w14:paraId="537BC95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4921AD50" w14:textId="77777777" w:rsidTr="00E000A0">
        <w:trPr>
          <w:cantSplit/>
        </w:trPr>
        <w:tc>
          <w:tcPr>
            <w:tcW w:w="5272" w:type="dxa"/>
            <w:tcBorders>
              <w:top w:val="single" w:sz="4" w:space="0" w:color="auto"/>
              <w:left w:val="nil"/>
              <w:right w:val="nil"/>
            </w:tcBorders>
            <w:vAlign w:val="bottom"/>
          </w:tcPr>
          <w:p w14:paraId="17110303"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77" w:type="dxa"/>
            <w:tcBorders>
              <w:top w:val="single" w:sz="4" w:space="0" w:color="auto"/>
              <w:left w:val="nil"/>
              <w:right w:val="nil"/>
            </w:tcBorders>
            <w:vAlign w:val="bottom"/>
          </w:tcPr>
          <w:p w14:paraId="02AD5AB7"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top w:val="single" w:sz="4" w:space="0" w:color="auto"/>
              <w:left w:val="nil"/>
              <w:right w:val="nil"/>
            </w:tcBorders>
            <w:vAlign w:val="bottom"/>
          </w:tcPr>
          <w:p w14:paraId="4F7DE30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right w:val="nil"/>
            </w:tcBorders>
            <w:vAlign w:val="bottom"/>
          </w:tcPr>
          <w:p w14:paraId="2B7BD83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1728201F" w14:textId="77777777" w:rsidTr="00E000A0">
        <w:trPr>
          <w:cantSplit/>
        </w:trPr>
        <w:tc>
          <w:tcPr>
            <w:tcW w:w="5272" w:type="dxa"/>
            <w:tcBorders>
              <w:left w:val="nil"/>
              <w:right w:val="nil"/>
            </w:tcBorders>
            <w:vAlign w:val="bottom"/>
          </w:tcPr>
          <w:p w14:paraId="2C02A3E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Non-current assets</w:t>
            </w:r>
          </w:p>
        </w:tc>
        <w:tc>
          <w:tcPr>
            <w:tcW w:w="1077" w:type="dxa"/>
            <w:tcBorders>
              <w:left w:val="nil"/>
              <w:right w:val="nil"/>
            </w:tcBorders>
            <w:vAlign w:val="bottom"/>
          </w:tcPr>
          <w:p w14:paraId="7C571747"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GB" w:eastAsia="ru-RU"/>
              </w:rPr>
            </w:pPr>
          </w:p>
        </w:tc>
        <w:tc>
          <w:tcPr>
            <w:tcW w:w="1531" w:type="dxa"/>
            <w:tcBorders>
              <w:left w:val="nil"/>
              <w:right w:val="nil"/>
            </w:tcBorders>
            <w:vAlign w:val="bottom"/>
          </w:tcPr>
          <w:p w14:paraId="342505B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lang w:val="en-US" w:eastAsia="ru-RU"/>
              </w:rPr>
              <w:t>358,388</w:t>
            </w:r>
          </w:p>
        </w:tc>
        <w:tc>
          <w:tcPr>
            <w:tcW w:w="1531" w:type="dxa"/>
            <w:tcBorders>
              <w:left w:val="nil"/>
              <w:right w:val="nil"/>
            </w:tcBorders>
            <w:vAlign w:val="bottom"/>
          </w:tcPr>
          <w:p w14:paraId="0B5A02B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05296F">
              <w:rPr>
                <w:rFonts w:ascii="Arial" w:eastAsia="Times New Roman" w:hAnsi="Arial" w:cs="Arial"/>
                <w:b/>
                <w:spacing w:val="-2"/>
                <w:sz w:val="18"/>
                <w:szCs w:val="18"/>
                <w:lang w:val="en-US" w:eastAsia="ru-RU"/>
              </w:rPr>
              <w:t>314,299</w:t>
            </w:r>
          </w:p>
        </w:tc>
      </w:tr>
      <w:tr w:rsidR="0005296F" w:rsidRPr="0005296F" w14:paraId="1D4E2857" w14:textId="77777777" w:rsidTr="00E000A0">
        <w:trPr>
          <w:cantSplit/>
        </w:trPr>
        <w:tc>
          <w:tcPr>
            <w:tcW w:w="5272" w:type="dxa"/>
            <w:tcBorders>
              <w:left w:val="nil"/>
              <w:bottom w:val="single" w:sz="4" w:space="0" w:color="auto"/>
              <w:right w:val="nil"/>
            </w:tcBorders>
            <w:vAlign w:val="bottom"/>
          </w:tcPr>
          <w:p w14:paraId="79650AB8"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77" w:type="dxa"/>
            <w:tcBorders>
              <w:left w:val="nil"/>
              <w:bottom w:val="single" w:sz="4" w:space="0" w:color="auto"/>
              <w:right w:val="nil"/>
            </w:tcBorders>
            <w:vAlign w:val="bottom"/>
          </w:tcPr>
          <w:p w14:paraId="34591D4B"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left w:val="nil"/>
              <w:bottom w:val="single" w:sz="4" w:space="0" w:color="auto"/>
              <w:right w:val="nil"/>
            </w:tcBorders>
            <w:vAlign w:val="bottom"/>
          </w:tcPr>
          <w:p w14:paraId="59C5A82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4" w:space="0" w:color="auto"/>
              <w:right w:val="nil"/>
            </w:tcBorders>
            <w:vAlign w:val="bottom"/>
          </w:tcPr>
          <w:p w14:paraId="0ED1AFB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05296F" w:rsidRPr="0005296F" w14:paraId="6F2A0CE7" w14:textId="77777777" w:rsidTr="00E000A0">
        <w:trPr>
          <w:cantSplit/>
        </w:trPr>
        <w:tc>
          <w:tcPr>
            <w:tcW w:w="5272" w:type="dxa"/>
            <w:tcBorders>
              <w:top w:val="single" w:sz="4" w:space="0" w:color="auto"/>
              <w:left w:val="nil"/>
              <w:right w:val="nil"/>
            </w:tcBorders>
            <w:vAlign w:val="bottom"/>
          </w:tcPr>
          <w:p w14:paraId="5A6E61E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i/>
                <w:iCs/>
                <w:spacing w:val="-2"/>
                <w:sz w:val="10"/>
                <w:szCs w:val="10"/>
                <w:lang w:val="en-GB" w:eastAsia="ru-RU"/>
              </w:rPr>
            </w:pPr>
            <w:r w:rsidRPr="0005296F">
              <w:rPr>
                <w:rFonts w:ascii="Arial" w:eastAsia="Times New Roman" w:hAnsi="Arial" w:cs="Arial"/>
                <w:i/>
                <w:iCs/>
                <w:spacing w:val="-2"/>
                <w:sz w:val="10"/>
                <w:szCs w:val="10"/>
                <w:lang w:val="en-GB" w:eastAsia="ru-RU"/>
              </w:rPr>
              <w:t> </w:t>
            </w:r>
          </w:p>
        </w:tc>
        <w:tc>
          <w:tcPr>
            <w:tcW w:w="1077" w:type="dxa"/>
            <w:tcBorders>
              <w:top w:val="single" w:sz="4" w:space="0" w:color="auto"/>
              <w:left w:val="nil"/>
              <w:right w:val="nil"/>
            </w:tcBorders>
            <w:vAlign w:val="bottom"/>
          </w:tcPr>
          <w:p w14:paraId="57AFB682"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top w:val="single" w:sz="4" w:space="0" w:color="auto"/>
              <w:left w:val="nil"/>
              <w:right w:val="nil"/>
            </w:tcBorders>
            <w:vAlign w:val="bottom"/>
          </w:tcPr>
          <w:p w14:paraId="0AF98B4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22609B1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347C5B2B" w14:textId="77777777" w:rsidTr="00E000A0">
        <w:trPr>
          <w:cantSplit/>
        </w:trPr>
        <w:tc>
          <w:tcPr>
            <w:tcW w:w="5272" w:type="dxa"/>
            <w:tcBorders>
              <w:top w:val="nil"/>
              <w:left w:val="nil"/>
              <w:bottom w:val="nil"/>
              <w:right w:val="nil"/>
            </w:tcBorders>
            <w:vAlign w:val="bottom"/>
          </w:tcPr>
          <w:p w14:paraId="3B3DF46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Trade and other receivables</w:t>
            </w:r>
          </w:p>
        </w:tc>
        <w:tc>
          <w:tcPr>
            <w:tcW w:w="1077" w:type="dxa"/>
            <w:tcBorders>
              <w:top w:val="nil"/>
              <w:left w:val="nil"/>
              <w:bottom w:val="nil"/>
              <w:right w:val="nil"/>
            </w:tcBorders>
            <w:vAlign w:val="bottom"/>
          </w:tcPr>
          <w:p w14:paraId="52D6D2D6" w14:textId="7377D93F"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1663426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66,</w:t>
            </w:r>
            <w:r w:rsidRPr="0005296F">
              <w:rPr>
                <w:rFonts w:ascii="Arial" w:eastAsia="Times New Roman" w:hAnsi="Arial" w:cs="Arial"/>
                <w:spacing w:val="-2"/>
                <w:sz w:val="18"/>
                <w:lang w:val="ru-RU" w:eastAsia="ru-RU"/>
              </w:rPr>
              <w:t>362</w:t>
            </w:r>
          </w:p>
        </w:tc>
        <w:tc>
          <w:tcPr>
            <w:tcW w:w="1531" w:type="dxa"/>
            <w:tcBorders>
              <w:top w:val="nil"/>
              <w:left w:val="nil"/>
              <w:bottom w:val="nil"/>
              <w:right w:val="nil"/>
            </w:tcBorders>
            <w:vAlign w:val="bottom"/>
          </w:tcPr>
          <w:p w14:paraId="78F6F0A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75,741</w:t>
            </w:r>
          </w:p>
        </w:tc>
      </w:tr>
      <w:tr w:rsidR="0005296F" w:rsidRPr="0005296F" w14:paraId="18950F7B" w14:textId="77777777" w:rsidTr="00E000A0">
        <w:trPr>
          <w:cantSplit/>
        </w:trPr>
        <w:tc>
          <w:tcPr>
            <w:tcW w:w="5272" w:type="dxa"/>
            <w:tcBorders>
              <w:top w:val="nil"/>
              <w:left w:val="nil"/>
              <w:bottom w:val="nil"/>
              <w:right w:val="nil"/>
            </w:tcBorders>
            <w:vAlign w:val="bottom"/>
          </w:tcPr>
          <w:p w14:paraId="21C2422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Inventories</w:t>
            </w:r>
          </w:p>
        </w:tc>
        <w:tc>
          <w:tcPr>
            <w:tcW w:w="1077" w:type="dxa"/>
            <w:tcBorders>
              <w:top w:val="nil"/>
              <w:left w:val="nil"/>
              <w:bottom w:val="nil"/>
              <w:right w:val="nil"/>
            </w:tcBorders>
            <w:vAlign w:val="bottom"/>
          </w:tcPr>
          <w:p w14:paraId="3471DC71" w14:textId="57D62E7C"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tcPr>
          <w:p w14:paraId="0F22ACF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48,468</w:t>
            </w:r>
          </w:p>
        </w:tc>
        <w:tc>
          <w:tcPr>
            <w:tcW w:w="1531" w:type="dxa"/>
            <w:tcBorders>
              <w:top w:val="nil"/>
              <w:left w:val="nil"/>
              <w:bottom w:val="nil"/>
              <w:right w:val="nil"/>
            </w:tcBorders>
            <w:vAlign w:val="bottom"/>
          </w:tcPr>
          <w:p w14:paraId="4051AE3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39,349</w:t>
            </w:r>
          </w:p>
        </w:tc>
      </w:tr>
      <w:tr w:rsidR="0005296F" w:rsidRPr="0005296F" w14:paraId="2F1DC643" w14:textId="77777777" w:rsidTr="00E000A0">
        <w:trPr>
          <w:cantSplit/>
        </w:trPr>
        <w:tc>
          <w:tcPr>
            <w:tcW w:w="5272" w:type="dxa"/>
            <w:tcBorders>
              <w:left w:val="nil"/>
              <w:bottom w:val="nil"/>
              <w:right w:val="nil"/>
            </w:tcBorders>
            <w:vAlign w:val="bottom"/>
          </w:tcPr>
          <w:p w14:paraId="297FAE90"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i/>
                <w:iCs/>
                <w:spacing w:val="-2"/>
                <w:sz w:val="18"/>
                <w:szCs w:val="18"/>
                <w:lang w:val="en-GB" w:eastAsia="ru-RU"/>
              </w:rPr>
            </w:pPr>
            <w:r w:rsidRPr="0005296F">
              <w:rPr>
                <w:rFonts w:ascii="Arial" w:eastAsia="Times New Roman" w:hAnsi="Arial" w:cs="Arial"/>
                <w:spacing w:val="-2"/>
                <w:sz w:val="18"/>
                <w:szCs w:val="18"/>
                <w:lang w:val="en-GB" w:eastAsia="ru-RU"/>
              </w:rPr>
              <w:t>Cash and cash equivalents</w:t>
            </w:r>
          </w:p>
        </w:tc>
        <w:tc>
          <w:tcPr>
            <w:tcW w:w="1077" w:type="dxa"/>
            <w:tcBorders>
              <w:left w:val="nil"/>
              <w:bottom w:val="nil"/>
              <w:right w:val="nil"/>
            </w:tcBorders>
            <w:vAlign w:val="bottom"/>
          </w:tcPr>
          <w:p w14:paraId="22588BBA" w14:textId="0C554461"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left w:val="nil"/>
              <w:bottom w:val="nil"/>
              <w:right w:val="nil"/>
            </w:tcBorders>
          </w:tcPr>
          <w:p w14:paraId="39F5280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29,163</w:t>
            </w:r>
          </w:p>
        </w:tc>
        <w:tc>
          <w:tcPr>
            <w:tcW w:w="1531" w:type="dxa"/>
            <w:tcBorders>
              <w:left w:val="nil"/>
              <w:bottom w:val="nil"/>
              <w:right w:val="nil"/>
            </w:tcBorders>
            <w:vAlign w:val="bottom"/>
          </w:tcPr>
          <w:p w14:paraId="0D0C622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13,356</w:t>
            </w:r>
          </w:p>
        </w:tc>
      </w:tr>
      <w:tr w:rsidR="0005296F" w:rsidRPr="0005296F" w14:paraId="168D46DD" w14:textId="77777777" w:rsidTr="00E000A0">
        <w:trPr>
          <w:cantSplit/>
        </w:trPr>
        <w:tc>
          <w:tcPr>
            <w:tcW w:w="5272" w:type="dxa"/>
            <w:tcBorders>
              <w:top w:val="nil"/>
              <w:left w:val="nil"/>
              <w:bottom w:val="nil"/>
              <w:right w:val="nil"/>
            </w:tcBorders>
            <w:vAlign w:val="bottom"/>
          </w:tcPr>
          <w:p w14:paraId="244BC13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VAT and other taxes receivable</w:t>
            </w:r>
          </w:p>
        </w:tc>
        <w:tc>
          <w:tcPr>
            <w:tcW w:w="1077" w:type="dxa"/>
            <w:tcBorders>
              <w:top w:val="nil"/>
              <w:left w:val="nil"/>
              <w:bottom w:val="nil"/>
              <w:right w:val="nil"/>
            </w:tcBorders>
            <w:vAlign w:val="bottom"/>
          </w:tcPr>
          <w:p w14:paraId="09415D9D"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tcPr>
          <w:p w14:paraId="2BB10DB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10,119</w:t>
            </w:r>
          </w:p>
        </w:tc>
        <w:tc>
          <w:tcPr>
            <w:tcW w:w="1531" w:type="dxa"/>
            <w:tcBorders>
              <w:top w:val="nil"/>
              <w:left w:val="nil"/>
              <w:bottom w:val="nil"/>
              <w:right w:val="nil"/>
            </w:tcBorders>
            <w:vAlign w:val="bottom"/>
          </w:tcPr>
          <w:p w14:paraId="426778A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12,565</w:t>
            </w:r>
          </w:p>
        </w:tc>
      </w:tr>
      <w:tr w:rsidR="0005296F" w:rsidRPr="0005296F" w14:paraId="2C5EC1C5" w14:textId="77777777" w:rsidTr="00E000A0">
        <w:trPr>
          <w:cantSplit/>
        </w:trPr>
        <w:tc>
          <w:tcPr>
            <w:tcW w:w="5272" w:type="dxa"/>
            <w:tcBorders>
              <w:top w:val="nil"/>
              <w:left w:val="nil"/>
              <w:bottom w:val="nil"/>
              <w:right w:val="nil"/>
            </w:tcBorders>
            <w:vAlign w:val="bottom"/>
          </w:tcPr>
          <w:p w14:paraId="44E440BC"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Security payment for windfall tax</w:t>
            </w:r>
          </w:p>
        </w:tc>
        <w:tc>
          <w:tcPr>
            <w:tcW w:w="1077" w:type="dxa"/>
            <w:tcBorders>
              <w:top w:val="nil"/>
              <w:left w:val="nil"/>
              <w:bottom w:val="nil"/>
              <w:right w:val="nil"/>
            </w:tcBorders>
            <w:vAlign w:val="bottom"/>
          </w:tcPr>
          <w:p w14:paraId="03944BD6" w14:textId="3E2CE22E"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6B2DF48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6,355</w:t>
            </w:r>
          </w:p>
        </w:tc>
        <w:tc>
          <w:tcPr>
            <w:tcW w:w="1531" w:type="dxa"/>
            <w:tcBorders>
              <w:top w:val="nil"/>
              <w:left w:val="nil"/>
              <w:bottom w:val="nil"/>
              <w:right w:val="nil"/>
            </w:tcBorders>
            <w:vAlign w:val="bottom"/>
          </w:tcPr>
          <w:p w14:paraId="5D0BE50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w:t>
            </w:r>
          </w:p>
        </w:tc>
      </w:tr>
      <w:tr w:rsidR="0005296F" w:rsidRPr="0005296F" w14:paraId="6C9DE3FA" w14:textId="77777777" w:rsidTr="00E000A0">
        <w:trPr>
          <w:cantSplit/>
        </w:trPr>
        <w:tc>
          <w:tcPr>
            <w:tcW w:w="5272" w:type="dxa"/>
            <w:tcBorders>
              <w:top w:val="nil"/>
              <w:left w:val="nil"/>
              <w:bottom w:val="nil"/>
              <w:right w:val="nil"/>
            </w:tcBorders>
            <w:vAlign w:val="bottom"/>
          </w:tcPr>
          <w:p w14:paraId="4A3C7630"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GB" w:eastAsia="ru-RU"/>
              </w:rPr>
              <w:t xml:space="preserve">Other </w:t>
            </w:r>
            <w:r w:rsidRPr="0005296F">
              <w:rPr>
                <w:rFonts w:ascii="Arial" w:eastAsia="Times New Roman" w:hAnsi="Arial" w:cs="Arial"/>
                <w:spacing w:val="-2"/>
                <w:sz w:val="18"/>
                <w:szCs w:val="18"/>
                <w:lang w:val="en-US" w:eastAsia="ru-RU"/>
              </w:rPr>
              <w:t>financial assets</w:t>
            </w:r>
          </w:p>
        </w:tc>
        <w:tc>
          <w:tcPr>
            <w:tcW w:w="1077" w:type="dxa"/>
            <w:tcBorders>
              <w:top w:val="nil"/>
              <w:left w:val="nil"/>
              <w:bottom w:val="nil"/>
              <w:right w:val="nil"/>
            </w:tcBorders>
            <w:vAlign w:val="bottom"/>
          </w:tcPr>
          <w:p w14:paraId="0C8EDE31" w14:textId="5AEDC73D"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ru-RU"/>
              </w:rPr>
            </w:pPr>
          </w:p>
        </w:tc>
        <w:tc>
          <w:tcPr>
            <w:tcW w:w="1531" w:type="dxa"/>
            <w:tcBorders>
              <w:top w:val="nil"/>
              <w:left w:val="nil"/>
              <w:bottom w:val="nil"/>
              <w:right w:val="nil"/>
            </w:tcBorders>
            <w:vAlign w:val="bottom"/>
          </w:tcPr>
          <w:p w14:paraId="5FEEAD9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5,083</w:t>
            </w:r>
          </w:p>
        </w:tc>
        <w:tc>
          <w:tcPr>
            <w:tcW w:w="1531" w:type="dxa"/>
            <w:tcBorders>
              <w:top w:val="nil"/>
              <w:left w:val="nil"/>
              <w:bottom w:val="nil"/>
              <w:right w:val="nil"/>
            </w:tcBorders>
            <w:vAlign w:val="bottom"/>
          </w:tcPr>
          <w:p w14:paraId="6286E8C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2</w:t>
            </w:r>
            <w:r w:rsidRPr="0005296F">
              <w:rPr>
                <w:rFonts w:ascii="Arial" w:eastAsia="Times New Roman" w:hAnsi="Arial" w:cs="Arial"/>
                <w:spacing w:val="-2"/>
                <w:sz w:val="18"/>
                <w:szCs w:val="18"/>
                <w:lang w:val="ru-RU" w:eastAsia="ru-RU"/>
              </w:rPr>
              <w:t>1</w:t>
            </w:r>
            <w:r w:rsidRPr="0005296F">
              <w:rPr>
                <w:rFonts w:ascii="Arial" w:eastAsia="Times New Roman" w:hAnsi="Arial" w:cs="Arial"/>
                <w:spacing w:val="-2"/>
                <w:sz w:val="18"/>
                <w:szCs w:val="18"/>
                <w:lang w:val="en-US" w:eastAsia="ru-RU"/>
              </w:rPr>
              <w:t>0</w:t>
            </w:r>
          </w:p>
        </w:tc>
      </w:tr>
      <w:tr w:rsidR="0005296F" w:rsidRPr="0005296F" w14:paraId="0B2DBF60" w14:textId="77777777" w:rsidTr="00E000A0">
        <w:trPr>
          <w:cantSplit/>
        </w:trPr>
        <w:tc>
          <w:tcPr>
            <w:tcW w:w="5272" w:type="dxa"/>
            <w:tcBorders>
              <w:left w:val="nil"/>
              <w:bottom w:val="nil"/>
              <w:right w:val="nil"/>
            </w:tcBorders>
            <w:vAlign w:val="bottom"/>
          </w:tcPr>
          <w:p w14:paraId="003FD00E"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Income tax receivable</w:t>
            </w:r>
          </w:p>
        </w:tc>
        <w:tc>
          <w:tcPr>
            <w:tcW w:w="1077" w:type="dxa"/>
            <w:tcBorders>
              <w:left w:val="nil"/>
              <w:bottom w:val="nil"/>
              <w:right w:val="nil"/>
            </w:tcBorders>
            <w:vAlign w:val="bottom"/>
          </w:tcPr>
          <w:p w14:paraId="2B1D61A9"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bottom w:val="nil"/>
              <w:right w:val="nil"/>
            </w:tcBorders>
            <w:vAlign w:val="bottom"/>
          </w:tcPr>
          <w:p w14:paraId="2138493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lang w:val="en-US" w:eastAsia="ru-RU"/>
              </w:rPr>
              <w:t>1,703</w:t>
            </w:r>
          </w:p>
        </w:tc>
        <w:tc>
          <w:tcPr>
            <w:tcW w:w="1531" w:type="dxa"/>
            <w:tcBorders>
              <w:left w:val="nil"/>
              <w:bottom w:val="nil"/>
              <w:right w:val="nil"/>
            </w:tcBorders>
            <w:vAlign w:val="bottom"/>
          </w:tcPr>
          <w:p w14:paraId="075CB8E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GB" w:eastAsia="ru-RU"/>
              </w:rPr>
              <w:t>93</w:t>
            </w:r>
          </w:p>
        </w:tc>
      </w:tr>
      <w:tr w:rsidR="0005296F" w:rsidRPr="0005296F" w14:paraId="147576AE" w14:textId="77777777" w:rsidTr="00E000A0">
        <w:trPr>
          <w:cantSplit/>
        </w:trPr>
        <w:tc>
          <w:tcPr>
            <w:tcW w:w="5272" w:type="dxa"/>
            <w:tcBorders>
              <w:top w:val="nil"/>
              <w:left w:val="nil"/>
              <w:bottom w:val="single" w:sz="4" w:space="0" w:color="auto"/>
              <w:right w:val="nil"/>
            </w:tcBorders>
            <w:vAlign w:val="bottom"/>
          </w:tcPr>
          <w:p w14:paraId="7513705B"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77" w:type="dxa"/>
            <w:tcBorders>
              <w:top w:val="nil"/>
              <w:left w:val="nil"/>
              <w:bottom w:val="single" w:sz="4" w:space="0" w:color="auto"/>
              <w:right w:val="nil"/>
            </w:tcBorders>
            <w:vAlign w:val="bottom"/>
          </w:tcPr>
          <w:p w14:paraId="05CA52E4"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top w:val="nil"/>
              <w:left w:val="nil"/>
              <w:bottom w:val="single" w:sz="4" w:space="0" w:color="auto"/>
              <w:right w:val="nil"/>
            </w:tcBorders>
            <w:vAlign w:val="bottom"/>
          </w:tcPr>
          <w:p w14:paraId="3DDAA3C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nil"/>
              <w:left w:val="nil"/>
              <w:bottom w:val="single" w:sz="4" w:space="0" w:color="auto"/>
              <w:right w:val="nil"/>
            </w:tcBorders>
            <w:vAlign w:val="bottom"/>
          </w:tcPr>
          <w:p w14:paraId="07CB11C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6269F075" w14:textId="77777777" w:rsidTr="00E000A0">
        <w:trPr>
          <w:cantSplit/>
        </w:trPr>
        <w:tc>
          <w:tcPr>
            <w:tcW w:w="5272" w:type="dxa"/>
            <w:tcBorders>
              <w:top w:val="single" w:sz="4" w:space="0" w:color="auto"/>
              <w:left w:val="nil"/>
              <w:bottom w:val="nil"/>
              <w:right w:val="nil"/>
            </w:tcBorders>
            <w:vAlign w:val="bottom"/>
          </w:tcPr>
          <w:p w14:paraId="7956A8F4"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77" w:type="dxa"/>
            <w:tcBorders>
              <w:top w:val="single" w:sz="4" w:space="0" w:color="auto"/>
              <w:left w:val="nil"/>
              <w:bottom w:val="nil"/>
              <w:right w:val="nil"/>
            </w:tcBorders>
            <w:vAlign w:val="bottom"/>
          </w:tcPr>
          <w:p w14:paraId="0C9C9E3E"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top w:val="single" w:sz="4" w:space="0" w:color="auto"/>
              <w:left w:val="nil"/>
              <w:right w:val="nil"/>
            </w:tcBorders>
            <w:vAlign w:val="bottom"/>
          </w:tcPr>
          <w:p w14:paraId="6F6F5EE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right w:val="nil"/>
            </w:tcBorders>
            <w:vAlign w:val="bottom"/>
          </w:tcPr>
          <w:p w14:paraId="1E98AE7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7E91F872" w14:textId="77777777" w:rsidTr="00E000A0">
        <w:trPr>
          <w:cantSplit/>
        </w:trPr>
        <w:tc>
          <w:tcPr>
            <w:tcW w:w="5272" w:type="dxa"/>
            <w:tcBorders>
              <w:top w:val="nil"/>
              <w:left w:val="nil"/>
              <w:right w:val="nil"/>
            </w:tcBorders>
            <w:vAlign w:val="bottom"/>
          </w:tcPr>
          <w:p w14:paraId="153AA18E"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Current assets</w:t>
            </w:r>
          </w:p>
        </w:tc>
        <w:tc>
          <w:tcPr>
            <w:tcW w:w="1077" w:type="dxa"/>
            <w:tcBorders>
              <w:top w:val="nil"/>
              <w:left w:val="nil"/>
              <w:right w:val="nil"/>
            </w:tcBorders>
            <w:vAlign w:val="bottom"/>
          </w:tcPr>
          <w:p w14:paraId="05549164"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GB" w:eastAsia="ru-RU"/>
              </w:rPr>
            </w:pPr>
          </w:p>
        </w:tc>
        <w:tc>
          <w:tcPr>
            <w:tcW w:w="1531" w:type="dxa"/>
            <w:tcBorders>
              <w:left w:val="nil"/>
              <w:right w:val="nil"/>
            </w:tcBorders>
            <w:vAlign w:val="bottom"/>
          </w:tcPr>
          <w:p w14:paraId="185A63C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05296F">
              <w:rPr>
                <w:rFonts w:ascii="Arial" w:eastAsia="Times New Roman" w:hAnsi="Arial" w:cs="Arial"/>
                <w:b/>
                <w:spacing w:val="-2"/>
                <w:sz w:val="18"/>
                <w:lang w:val="en-US" w:eastAsia="ru-RU"/>
              </w:rPr>
              <w:t>167,</w:t>
            </w:r>
            <w:r w:rsidRPr="0005296F">
              <w:rPr>
                <w:rFonts w:ascii="Arial" w:eastAsia="Times New Roman" w:hAnsi="Arial" w:cs="Arial"/>
                <w:b/>
                <w:spacing w:val="-2"/>
                <w:sz w:val="18"/>
                <w:lang w:val="ru-RU" w:eastAsia="ru-RU"/>
              </w:rPr>
              <w:t>25</w:t>
            </w:r>
            <w:r w:rsidRPr="0005296F">
              <w:rPr>
                <w:rFonts w:ascii="Arial" w:eastAsia="Times New Roman" w:hAnsi="Arial" w:cs="Arial"/>
                <w:b/>
                <w:spacing w:val="-2"/>
                <w:sz w:val="18"/>
                <w:lang w:val="en-US" w:eastAsia="ru-RU"/>
              </w:rPr>
              <w:t>3</w:t>
            </w:r>
          </w:p>
        </w:tc>
        <w:tc>
          <w:tcPr>
            <w:tcW w:w="1531" w:type="dxa"/>
            <w:tcBorders>
              <w:left w:val="nil"/>
              <w:right w:val="nil"/>
            </w:tcBorders>
            <w:vAlign w:val="bottom"/>
          </w:tcPr>
          <w:p w14:paraId="5EB2707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05296F">
              <w:rPr>
                <w:rFonts w:ascii="Arial" w:eastAsia="Times New Roman" w:hAnsi="Arial" w:cs="Arial"/>
                <w:b/>
                <w:spacing w:val="-2"/>
                <w:sz w:val="18"/>
                <w:szCs w:val="18"/>
                <w:lang w:val="en-US" w:eastAsia="ru-RU"/>
              </w:rPr>
              <w:t>141,314</w:t>
            </w:r>
          </w:p>
        </w:tc>
      </w:tr>
      <w:tr w:rsidR="0005296F" w:rsidRPr="0005296F" w14:paraId="68FB7E6E" w14:textId="77777777" w:rsidTr="00E000A0">
        <w:trPr>
          <w:cantSplit/>
        </w:trPr>
        <w:tc>
          <w:tcPr>
            <w:tcW w:w="5272" w:type="dxa"/>
            <w:tcBorders>
              <w:left w:val="nil"/>
              <w:bottom w:val="single" w:sz="4" w:space="0" w:color="auto"/>
              <w:right w:val="nil"/>
            </w:tcBorders>
            <w:vAlign w:val="bottom"/>
          </w:tcPr>
          <w:p w14:paraId="40F51E7B"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77" w:type="dxa"/>
            <w:tcBorders>
              <w:left w:val="nil"/>
              <w:bottom w:val="single" w:sz="4" w:space="0" w:color="auto"/>
              <w:right w:val="nil"/>
            </w:tcBorders>
            <w:vAlign w:val="bottom"/>
          </w:tcPr>
          <w:p w14:paraId="169F324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left w:val="nil"/>
              <w:bottom w:val="single" w:sz="4" w:space="0" w:color="auto"/>
              <w:right w:val="nil"/>
            </w:tcBorders>
            <w:vAlign w:val="bottom"/>
          </w:tcPr>
          <w:p w14:paraId="745855E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4" w:space="0" w:color="auto"/>
              <w:right w:val="nil"/>
            </w:tcBorders>
            <w:vAlign w:val="bottom"/>
          </w:tcPr>
          <w:p w14:paraId="7BE3B09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05296F" w:rsidRPr="0005296F" w14:paraId="6F2CF2BC" w14:textId="77777777" w:rsidTr="00E000A0">
        <w:trPr>
          <w:cantSplit/>
        </w:trPr>
        <w:tc>
          <w:tcPr>
            <w:tcW w:w="5272" w:type="dxa"/>
            <w:tcBorders>
              <w:top w:val="single" w:sz="4" w:space="0" w:color="auto"/>
              <w:left w:val="nil"/>
              <w:right w:val="nil"/>
            </w:tcBorders>
            <w:vAlign w:val="bottom"/>
          </w:tcPr>
          <w:p w14:paraId="132E247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77" w:type="dxa"/>
            <w:tcBorders>
              <w:top w:val="single" w:sz="4" w:space="0" w:color="auto"/>
              <w:left w:val="nil"/>
              <w:right w:val="nil"/>
            </w:tcBorders>
            <w:vAlign w:val="bottom"/>
          </w:tcPr>
          <w:p w14:paraId="6C3ACA24"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top w:val="single" w:sz="4" w:space="0" w:color="auto"/>
              <w:left w:val="nil"/>
              <w:right w:val="nil"/>
            </w:tcBorders>
            <w:vAlign w:val="bottom"/>
          </w:tcPr>
          <w:p w14:paraId="2669B52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top w:val="single" w:sz="4" w:space="0" w:color="auto"/>
              <w:left w:val="nil"/>
              <w:right w:val="nil"/>
            </w:tcBorders>
            <w:vAlign w:val="bottom"/>
          </w:tcPr>
          <w:p w14:paraId="4057463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05296F" w:rsidRPr="0005296F" w14:paraId="5AAC575A" w14:textId="77777777" w:rsidTr="00E000A0">
        <w:trPr>
          <w:cantSplit/>
        </w:trPr>
        <w:tc>
          <w:tcPr>
            <w:tcW w:w="5272" w:type="dxa"/>
            <w:tcBorders>
              <w:left w:val="nil"/>
              <w:right w:val="nil"/>
            </w:tcBorders>
            <w:vAlign w:val="bottom"/>
          </w:tcPr>
          <w:p w14:paraId="2A68F8D4"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Total assets</w:t>
            </w:r>
          </w:p>
        </w:tc>
        <w:tc>
          <w:tcPr>
            <w:tcW w:w="1077" w:type="dxa"/>
            <w:tcBorders>
              <w:left w:val="nil"/>
              <w:right w:val="nil"/>
            </w:tcBorders>
            <w:vAlign w:val="bottom"/>
          </w:tcPr>
          <w:p w14:paraId="181EB17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GB" w:eastAsia="ru-RU"/>
              </w:rPr>
            </w:pPr>
          </w:p>
        </w:tc>
        <w:tc>
          <w:tcPr>
            <w:tcW w:w="1531" w:type="dxa"/>
            <w:tcBorders>
              <w:left w:val="nil"/>
              <w:right w:val="nil"/>
            </w:tcBorders>
            <w:vAlign w:val="bottom"/>
          </w:tcPr>
          <w:p w14:paraId="6C8ACA8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lang w:val="en-US" w:eastAsia="ru-RU"/>
              </w:rPr>
              <w:t>525,</w:t>
            </w:r>
            <w:r w:rsidRPr="0005296F">
              <w:rPr>
                <w:rFonts w:ascii="Arial" w:eastAsia="Times New Roman" w:hAnsi="Arial" w:cs="Arial"/>
                <w:b/>
                <w:spacing w:val="-2"/>
                <w:sz w:val="18"/>
                <w:lang w:val="ru-RU" w:eastAsia="ru-RU"/>
              </w:rPr>
              <w:t>641</w:t>
            </w:r>
          </w:p>
        </w:tc>
        <w:tc>
          <w:tcPr>
            <w:tcW w:w="1531" w:type="dxa"/>
            <w:tcBorders>
              <w:left w:val="nil"/>
              <w:right w:val="nil"/>
            </w:tcBorders>
            <w:vAlign w:val="bottom"/>
          </w:tcPr>
          <w:p w14:paraId="238905B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05296F">
              <w:rPr>
                <w:rFonts w:ascii="Arial" w:eastAsia="Times New Roman" w:hAnsi="Arial" w:cs="Arial"/>
                <w:b/>
                <w:spacing w:val="-2"/>
                <w:sz w:val="18"/>
                <w:szCs w:val="18"/>
                <w:lang w:val="en-US" w:eastAsia="ru-RU"/>
              </w:rPr>
              <w:t>455,613</w:t>
            </w:r>
          </w:p>
        </w:tc>
      </w:tr>
      <w:tr w:rsidR="0005296F" w:rsidRPr="0005296F" w14:paraId="090D2D9F" w14:textId="77777777" w:rsidTr="00E000A0">
        <w:trPr>
          <w:cantSplit/>
        </w:trPr>
        <w:tc>
          <w:tcPr>
            <w:tcW w:w="5272" w:type="dxa"/>
            <w:tcBorders>
              <w:left w:val="nil"/>
              <w:bottom w:val="single" w:sz="12" w:space="0" w:color="auto"/>
              <w:right w:val="nil"/>
            </w:tcBorders>
            <w:vAlign w:val="bottom"/>
          </w:tcPr>
          <w:p w14:paraId="20A001CC"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77" w:type="dxa"/>
            <w:tcBorders>
              <w:left w:val="nil"/>
              <w:bottom w:val="single" w:sz="12" w:space="0" w:color="auto"/>
              <w:right w:val="nil"/>
            </w:tcBorders>
            <w:vAlign w:val="bottom"/>
          </w:tcPr>
          <w:p w14:paraId="3571AA61"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left w:val="nil"/>
              <w:bottom w:val="single" w:sz="12" w:space="0" w:color="auto"/>
              <w:right w:val="nil"/>
            </w:tcBorders>
            <w:vAlign w:val="bottom"/>
          </w:tcPr>
          <w:p w14:paraId="64A218B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12" w:space="0" w:color="auto"/>
              <w:right w:val="nil"/>
            </w:tcBorders>
            <w:vAlign w:val="bottom"/>
          </w:tcPr>
          <w:p w14:paraId="399AF74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05296F" w:rsidRPr="0005296F" w14:paraId="0193EFBD" w14:textId="77777777" w:rsidTr="00E000A0">
        <w:trPr>
          <w:cantSplit/>
        </w:trPr>
        <w:tc>
          <w:tcPr>
            <w:tcW w:w="5272" w:type="dxa"/>
            <w:tcBorders>
              <w:top w:val="single" w:sz="12" w:space="0" w:color="auto"/>
              <w:left w:val="nil"/>
              <w:right w:val="nil"/>
            </w:tcBorders>
            <w:vAlign w:val="bottom"/>
          </w:tcPr>
          <w:p w14:paraId="599BE388" w14:textId="77777777" w:rsidR="0005296F" w:rsidRPr="0005296F" w:rsidDel="00CD105E"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77" w:type="dxa"/>
            <w:tcBorders>
              <w:top w:val="single" w:sz="12" w:space="0" w:color="auto"/>
              <w:left w:val="nil"/>
              <w:right w:val="nil"/>
            </w:tcBorders>
            <w:vAlign w:val="bottom"/>
          </w:tcPr>
          <w:p w14:paraId="4C74D024"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top w:val="single" w:sz="12" w:space="0" w:color="auto"/>
              <w:left w:val="nil"/>
              <w:right w:val="nil"/>
            </w:tcBorders>
            <w:vAlign w:val="bottom"/>
          </w:tcPr>
          <w:p w14:paraId="3861D8F5" w14:textId="77777777" w:rsidR="0005296F" w:rsidRPr="0005296F" w:rsidDel="008324A4"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top w:val="single" w:sz="12" w:space="0" w:color="auto"/>
              <w:left w:val="nil"/>
              <w:right w:val="nil"/>
            </w:tcBorders>
            <w:vAlign w:val="bottom"/>
          </w:tcPr>
          <w:p w14:paraId="1CCD0DB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05296F" w:rsidRPr="0005296F" w14:paraId="2ABC3DA9" w14:textId="77777777" w:rsidTr="00E000A0">
        <w:trPr>
          <w:cantSplit/>
        </w:trPr>
        <w:tc>
          <w:tcPr>
            <w:tcW w:w="5272" w:type="dxa"/>
            <w:tcBorders>
              <w:left w:val="nil"/>
              <w:bottom w:val="nil"/>
              <w:right w:val="nil"/>
            </w:tcBorders>
            <w:vAlign w:val="bottom"/>
          </w:tcPr>
          <w:p w14:paraId="2360D95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b/>
                <w:i/>
                <w:spacing w:val="-2"/>
                <w:sz w:val="18"/>
                <w:szCs w:val="18"/>
                <w:lang w:val="en-GB" w:eastAsia="ru-RU"/>
              </w:rPr>
              <w:t>Equity</w:t>
            </w:r>
          </w:p>
        </w:tc>
        <w:tc>
          <w:tcPr>
            <w:tcW w:w="1077" w:type="dxa"/>
            <w:tcBorders>
              <w:left w:val="nil"/>
              <w:bottom w:val="nil"/>
              <w:right w:val="nil"/>
            </w:tcBorders>
            <w:vAlign w:val="bottom"/>
          </w:tcPr>
          <w:p w14:paraId="557F8500"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highlight w:val="yellow"/>
                <w:lang w:val="en-US" w:eastAsia="ru-RU"/>
              </w:rPr>
            </w:pPr>
          </w:p>
        </w:tc>
        <w:tc>
          <w:tcPr>
            <w:tcW w:w="1531" w:type="dxa"/>
            <w:tcBorders>
              <w:left w:val="nil"/>
              <w:bottom w:val="nil"/>
              <w:right w:val="nil"/>
            </w:tcBorders>
            <w:vAlign w:val="bottom"/>
          </w:tcPr>
          <w:p w14:paraId="181E298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531" w:type="dxa"/>
            <w:tcBorders>
              <w:left w:val="nil"/>
              <w:bottom w:val="nil"/>
              <w:right w:val="nil"/>
            </w:tcBorders>
            <w:vAlign w:val="bottom"/>
          </w:tcPr>
          <w:p w14:paraId="582BFE0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05296F" w:rsidRPr="0005296F" w14:paraId="5F0557CF" w14:textId="77777777" w:rsidTr="00E000A0">
        <w:trPr>
          <w:cantSplit/>
        </w:trPr>
        <w:tc>
          <w:tcPr>
            <w:tcW w:w="5272" w:type="dxa"/>
            <w:tcBorders>
              <w:top w:val="nil"/>
              <w:left w:val="nil"/>
              <w:bottom w:val="nil"/>
              <w:right w:val="nil"/>
            </w:tcBorders>
            <w:vAlign w:val="bottom"/>
          </w:tcPr>
          <w:p w14:paraId="1296594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i/>
                <w:iCs/>
                <w:spacing w:val="-2"/>
                <w:sz w:val="18"/>
                <w:szCs w:val="18"/>
                <w:lang w:val="en-GB" w:eastAsia="ru-RU"/>
              </w:rPr>
            </w:pPr>
            <w:r w:rsidRPr="0005296F">
              <w:rPr>
                <w:rFonts w:ascii="Arial" w:eastAsia="Times New Roman" w:hAnsi="Arial" w:cs="Arial"/>
                <w:spacing w:val="-2"/>
                <w:sz w:val="18"/>
                <w:szCs w:val="18"/>
                <w:lang w:val="en-GB" w:eastAsia="ru-RU"/>
              </w:rPr>
              <w:t>Share capital</w:t>
            </w:r>
          </w:p>
        </w:tc>
        <w:tc>
          <w:tcPr>
            <w:tcW w:w="1077" w:type="dxa"/>
            <w:tcBorders>
              <w:top w:val="nil"/>
              <w:left w:val="nil"/>
              <w:bottom w:val="nil"/>
              <w:right w:val="nil"/>
            </w:tcBorders>
            <w:vAlign w:val="bottom"/>
          </w:tcPr>
          <w:p w14:paraId="2CECE82B" w14:textId="6F0168C4"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1531" w:type="dxa"/>
            <w:tcBorders>
              <w:top w:val="nil"/>
              <w:left w:val="nil"/>
              <w:bottom w:val="nil"/>
              <w:right w:val="nil"/>
            </w:tcBorders>
            <w:vAlign w:val="bottom"/>
          </w:tcPr>
          <w:p w14:paraId="1793838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372</w:t>
            </w:r>
          </w:p>
        </w:tc>
        <w:tc>
          <w:tcPr>
            <w:tcW w:w="1531" w:type="dxa"/>
            <w:tcBorders>
              <w:top w:val="nil"/>
              <w:left w:val="nil"/>
              <w:bottom w:val="nil"/>
              <w:right w:val="nil"/>
            </w:tcBorders>
            <w:vAlign w:val="bottom"/>
          </w:tcPr>
          <w:p w14:paraId="1128A31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372</w:t>
            </w:r>
          </w:p>
        </w:tc>
      </w:tr>
      <w:tr w:rsidR="0005296F" w:rsidRPr="0005296F" w14:paraId="5D11831D" w14:textId="77777777" w:rsidTr="00E000A0">
        <w:trPr>
          <w:cantSplit/>
        </w:trPr>
        <w:tc>
          <w:tcPr>
            <w:tcW w:w="5272" w:type="dxa"/>
            <w:tcBorders>
              <w:top w:val="nil"/>
              <w:left w:val="nil"/>
              <w:bottom w:val="nil"/>
              <w:right w:val="nil"/>
            </w:tcBorders>
            <w:vAlign w:val="bottom"/>
          </w:tcPr>
          <w:p w14:paraId="6B0691B7"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Share premium</w:t>
            </w:r>
          </w:p>
        </w:tc>
        <w:tc>
          <w:tcPr>
            <w:tcW w:w="1077" w:type="dxa"/>
            <w:tcBorders>
              <w:top w:val="nil"/>
              <w:left w:val="nil"/>
              <w:bottom w:val="nil"/>
              <w:right w:val="nil"/>
            </w:tcBorders>
            <w:vAlign w:val="bottom"/>
          </w:tcPr>
          <w:p w14:paraId="7610FA6F"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0464765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7,494</w:t>
            </w:r>
          </w:p>
        </w:tc>
        <w:tc>
          <w:tcPr>
            <w:tcW w:w="1531" w:type="dxa"/>
            <w:tcBorders>
              <w:top w:val="nil"/>
              <w:left w:val="nil"/>
              <w:bottom w:val="nil"/>
              <w:right w:val="nil"/>
            </w:tcBorders>
            <w:vAlign w:val="bottom"/>
          </w:tcPr>
          <w:p w14:paraId="1D1C2DB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7,494</w:t>
            </w:r>
          </w:p>
        </w:tc>
      </w:tr>
      <w:tr w:rsidR="0005296F" w:rsidRPr="0005296F" w14:paraId="1D305BF1" w14:textId="77777777" w:rsidTr="00E000A0">
        <w:trPr>
          <w:cantSplit/>
        </w:trPr>
        <w:tc>
          <w:tcPr>
            <w:tcW w:w="5272" w:type="dxa"/>
            <w:tcBorders>
              <w:top w:val="nil"/>
              <w:left w:val="nil"/>
              <w:bottom w:val="nil"/>
              <w:right w:val="nil"/>
            </w:tcBorders>
            <w:vAlign w:val="bottom"/>
          </w:tcPr>
          <w:p w14:paraId="03DFE8F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Retained earnings</w:t>
            </w:r>
          </w:p>
        </w:tc>
        <w:tc>
          <w:tcPr>
            <w:tcW w:w="1077" w:type="dxa"/>
            <w:tcBorders>
              <w:top w:val="nil"/>
              <w:left w:val="nil"/>
              <w:bottom w:val="nil"/>
              <w:right w:val="nil"/>
            </w:tcBorders>
            <w:vAlign w:val="bottom"/>
          </w:tcPr>
          <w:p w14:paraId="3FFA42F9"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7EE8171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144,</w:t>
            </w:r>
            <w:r w:rsidRPr="0005296F">
              <w:rPr>
                <w:rFonts w:ascii="Arial" w:eastAsia="Times New Roman" w:hAnsi="Arial" w:cs="Arial"/>
                <w:spacing w:val="-2"/>
                <w:sz w:val="18"/>
                <w:lang w:val="ru-RU" w:eastAsia="ru-RU"/>
              </w:rPr>
              <w:t>658</w:t>
            </w:r>
          </w:p>
        </w:tc>
        <w:tc>
          <w:tcPr>
            <w:tcW w:w="1531" w:type="dxa"/>
            <w:tcBorders>
              <w:top w:val="nil"/>
              <w:left w:val="nil"/>
              <w:bottom w:val="nil"/>
              <w:right w:val="nil"/>
            </w:tcBorders>
            <w:vAlign w:val="bottom"/>
          </w:tcPr>
          <w:p w14:paraId="28CB600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190,664</w:t>
            </w:r>
          </w:p>
        </w:tc>
      </w:tr>
      <w:tr w:rsidR="0005296F" w:rsidRPr="0005296F" w14:paraId="2E343EFD" w14:textId="77777777" w:rsidTr="00E000A0">
        <w:trPr>
          <w:cantSplit/>
        </w:trPr>
        <w:tc>
          <w:tcPr>
            <w:tcW w:w="5272" w:type="dxa"/>
            <w:tcBorders>
              <w:top w:val="nil"/>
              <w:left w:val="nil"/>
              <w:bottom w:val="nil"/>
              <w:right w:val="nil"/>
            </w:tcBorders>
            <w:vAlign w:val="bottom"/>
          </w:tcPr>
          <w:p w14:paraId="6343ED23"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rPr>
              <w:t>Actuarial losses</w:t>
            </w:r>
          </w:p>
        </w:tc>
        <w:tc>
          <w:tcPr>
            <w:tcW w:w="1077" w:type="dxa"/>
            <w:tcBorders>
              <w:top w:val="nil"/>
              <w:left w:val="nil"/>
              <w:bottom w:val="nil"/>
              <w:right w:val="nil"/>
            </w:tcBorders>
            <w:vAlign w:val="bottom"/>
          </w:tcPr>
          <w:p w14:paraId="3FED4795"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bottom w:val="nil"/>
              <w:right w:val="nil"/>
            </w:tcBorders>
            <w:vAlign w:val="bottom"/>
          </w:tcPr>
          <w:p w14:paraId="0CE0003D"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(1,003)</w:t>
            </w:r>
          </w:p>
        </w:tc>
        <w:tc>
          <w:tcPr>
            <w:tcW w:w="1531" w:type="dxa"/>
            <w:tcBorders>
              <w:top w:val="nil"/>
              <w:left w:val="nil"/>
              <w:bottom w:val="nil"/>
              <w:right w:val="nil"/>
            </w:tcBorders>
            <w:vAlign w:val="bottom"/>
          </w:tcPr>
          <w:p w14:paraId="0875E73A"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(968)</w:t>
            </w:r>
          </w:p>
        </w:tc>
      </w:tr>
      <w:tr w:rsidR="0005296F" w:rsidRPr="0005296F" w14:paraId="2B14A74B" w14:textId="77777777" w:rsidTr="00E000A0">
        <w:trPr>
          <w:cantSplit/>
        </w:trPr>
        <w:tc>
          <w:tcPr>
            <w:tcW w:w="5272" w:type="dxa"/>
            <w:tcBorders>
              <w:top w:val="nil"/>
              <w:left w:val="nil"/>
              <w:bottom w:val="single" w:sz="4" w:space="0" w:color="auto"/>
              <w:right w:val="nil"/>
            </w:tcBorders>
            <w:vAlign w:val="bottom"/>
          </w:tcPr>
          <w:p w14:paraId="25613C1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US"/>
              </w:rPr>
            </w:pPr>
            <w:r w:rsidRPr="0005296F">
              <w:rPr>
                <w:rFonts w:ascii="Arial" w:eastAsia="Times New Roman" w:hAnsi="Arial" w:cs="Arial"/>
                <w:spacing w:val="-2"/>
                <w:sz w:val="10"/>
                <w:szCs w:val="10"/>
                <w:lang w:val="en-US"/>
              </w:rPr>
              <w:t> </w:t>
            </w:r>
          </w:p>
        </w:tc>
        <w:tc>
          <w:tcPr>
            <w:tcW w:w="1077" w:type="dxa"/>
            <w:tcBorders>
              <w:top w:val="nil"/>
              <w:left w:val="nil"/>
              <w:bottom w:val="single" w:sz="4" w:space="0" w:color="auto"/>
              <w:right w:val="nil"/>
            </w:tcBorders>
            <w:vAlign w:val="bottom"/>
          </w:tcPr>
          <w:p w14:paraId="1E4BF3F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nil"/>
              <w:left w:val="nil"/>
              <w:bottom w:val="single" w:sz="4" w:space="0" w:color="auto"/>
              <w:right w:val="nil"/>
            </w:tcBorders>
            <w:vAlign w:val="bottom"/>
          </w:tcPr>
          <w:p w14:paraId="62DAEC8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nil"/>
              <w:left w:val="nil"/>
              <w:bottom w:val="single" w:sz="4" w:space="0" w:color="auto"/>
              <w:right w:val="nil"/>
            </w:tcBorders>
            <w:vAlign w:val="bottom"/>
          </w:tcPr>
          <w:p w14:paraId="03B0A77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6F65F8E6" w14:textId="77777777" w:rsidTr="00E000A0">
        <w:trPr>
          <w:cantSplit/>
        </w:trPr>
        <w:tc>
          <w:tcPr>
            <w:tcW w:w="5272" w:type="dxa"/>
            <w:tcBorders>
              <w:top w:val="single" w:sz="4" w:space="0" w:color="auto"/>
              <w:left w:val="nil"/>
              <w:bottom w:val="nil"/>
              <w:right w:val="nil"/>
            </w:tcBorders>
            <w:vAlign w:val="bottom"/>
          </w:tcPr>
          <w:p w14:paraId="5262AAC8"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US"/>
              </w:rPr>
            </w:pPr>
            <w:r w:rsidRPr="0005296F">
              <w:rPr>
                <w:rFonts w:ascii="Arial" w:eastAsia="Times New Roman" w:hAnsi="Arial" w:cs="Arial"/>
                <w:spacing w:val="-2"/>
                <w:sz w:val="10"/>
                <w:szCs w:val="10"/>
                <w:lang w:val="en-US"/>
              </w:rPr>
              <w:t> </w:t>
            </w:r>
          </w:p>
        </w:tc>
        <w:tc>
          <w:tcPr>
            <w:tcW w:w="1077" w:type="dxa"/>
            <w:tcBorders>
              <w:top w:val="single" w:sz="4" w:space="0" w:color="auto"/>
              <w:left w:val="nil"/>
              <w:bottom w:val="nil"/>
              <w:right w:val="nil"/>
            </w:tcBorders>
            <w:vAlign w:val="bottom"/>
          </w:tcPr>
          <w:p w14:paraId="2E3E9FE3"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33888A2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right w:val="nil"/>
            </w:tcBorders>
            <w:vAlign w:val="bottom"/>
          </w:tcPr>
          <w:p w14:paraId="1828C6F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4C4D11D8" w14:textId="77777777" w:rsidTr="00E000A0">
        <w:trPr>
          <w:cantSplit/>
        </w:trPr>
        <w:tc>
          <w:tcPr>
            <w:tcW w:w="5272" w:type="dxa"/>
            <w:tcBorders>
              <w:top w:val="nil"/>
              <w:left w:val="nil"/>
              <w:bottom w:val="nil"/>
              <w:right w:val="nil"/>
            </w:tcBorders>
            <w:vAlign w:val="bottom"/>
          </w:tcPr>
          <w:p w14:paraId="360A8378"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Equity attributable to shareholders of the Company</w:t>
            </w:r>
          </w:p>
        </w:tc>
        <w:tc>
          <w:tcPr>
            <w:tcW w:w="1077" w:type="dxa"/>
            <w:tcBorders>
              <w:top w:val="nil"/>
              <w:left w:val="nil"/>
              <w:bottom w:val="nil"/>
              <w:right w:val="nil"/>
            </w:tcBorders>
            <w:vAlign w:val="bottom"/>
          </w:tcPr>
          <w:p w14:paraId="4C626C6F"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531" w:type="dxa"/>
            <w:tcBorders>
              <w:left w:val="nil"/>
              <w:right w:val="nil"/>
            </w:tcBorders>
            <w:vAlign w:val="bottom"/>
          </w:tcPr>
          <w:p w14:paraId="76E6AFF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lang w:val="en-US" w:eastAsia="ru-RU"/>
              </w:rPr>
              <w:t>151,</w:t>
            </w:r>
            <w:r w:rsidRPr="0005296F">
              <w:rPr>
                <w:rFonts w:ascii="Arial" w:eastAsia="Times New Roman" w:hAnsi="Arial" w:cs="Arial"/>
                <w:b/>
                <w:spacing w:val="-2"/>
                <w:sz w:val="18"/>
                <w:lang w:val="ru-RU" w:eastAsia="ru-RU"/>
              </w:rPr>
              <w:t>521</w:t>
            </w:r>
          </w:p>
        </w:tc>
        <w:tc>
          <w:tcPr>
            <w:tcW w:w="1531" w:type="dxa"/>
            <w:tcBorders>
              <w:left w:val="nil"/>
              <w:right w:val="nil"/>
            </w:tcBorders>
            <w:vAlign w:val="bottom"/>
          </w:tcPr>
          <w:p w14:paraId="0AFAA30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US" w:eastAsia="ru-RU"/>
              </w:rPr>
              <w:t>197,562</w:t>
            </w:r>
          </w:p>
        </w:tc>
      </w:tr>
      <w:tr w:rsidR="0005296F" w:rsidRPr="0005296F" w14:paraId="6F6BE123" w14:textId="77777777" w:rsidTr="00E000A0">
        <w:trPr>
          <w:cantSplit/>
        </w:trPr>
        <w:tc>
          <w:tcPr>
            <w:tcW w:w="5272" w:type="dxa"/>
            <w:tcBorders>
              <w:top w:val="nil"/>
              <w:left w:val="nil"/>
              <w:right w:val="nil"/>
            </w:tcBorders>
            <w:vAlign w:val="bottom"/>
          </w:tcPr>
          <w:p w14:paraId="43B25E31"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Equity attributable to non-controlling interests</w:t>
            </w:r>
          </w:p>
        </w:tc>
        <w:tc>
          <w:tcPr>
            <w:tcW w:w="1077" w:type="dxa"/>
            <w:tcBorders>
              <w:top w:val="nil"/>
              <w:left w:val="nil"/>
              <w:right w:val="nil"/>
            </w:tcBorders>
            <w:vAlign w:val="bottom"/>
          </w:tcPr>
          <w:p w14:paraId="2CD445A9"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right w:val="nil"/>
            </w:tcBorders>
            <w:vAlign w:val="bottom"/>
          </w:tcPr>
          <w:p w14:paraId="66811F4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84</w:t>
            </w:r>
          </w:p>
        </w:tc>
        <w:tc>
          <w:tcPr>
            <w:tcW w:w="1531" w:type="dxa"/>
            <w:tcBorders>
              <w:left w:val="nil"/>
              <w:right w:val="nil"/>
            </w:tcBorders>
            <w:vAlign w:val="bottom"/>
          </w:tcPr>
          <w:p w14:paraId="029A2AE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158</w:t>
            </w:r>
          </w:p>
        </w:tc>
      </w:tr>
      <w:tr w:rsidR="0005296F" w:rsidRPr="0005296F" w14:paraId="3AF90169" w14:textId="77777777" w:rsidTr="00E000A0">
        <w:trPr>
          <w:cantSplit/>
        </w:trPr>
        <w:tc>
          <w:tcPr>
            <w:tcW w:w="5272" w:type="dxa"/>
            <w:tcBorders>
              <w:top w:val="nil"/>
              <w:left w:val="nil"/>
              <w:bottom w:val="single" w:sz="4" w:space="0" w:color="auto"/>
              <w:right w:val="nil"/>
            </w:tcBorders>
            <w:vAlign w:val="bottom"/>
          </w:tcPr>
          <w:p w14:paraId="18A8EF09"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77" w:type="dxa"/>
            <w:tcBorders>
              <w:top w:val="nil"/>
              <w:left w:val="nil"/>
              <w:bottom w:val="single" w:sz="4" w:space="0" w:color="auto"/>
              <w:right w:val="nil"/>
            </w:tcBorders>
            <w:vAlign w:val="bottom"/>
          </w:tcPr>
          <w:p w14:paraId="23E6E54B"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left w:val="nil"/>
              <w:bottom w:val="single" w:sz="4" w:space="0" w:color="auto"/>
              <w:right w:val="nil"/>
            </w:tcBorders>
            <w:vAlign w:val="bottom"/>
          </w:tcPr>
          <w:p w14:paraId="6BF72A7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left w:val="nil"/>
              <w:bottom w:val="single" w:sz="4" w:space="0" w:color="auto"/>
              <w:right w:val="nil"/>
            </w:tcBorders>
            <w:vAlign w:val="bottom"/>
          </w:tcPr>
          <w:p w14:paraId="0425D8C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7AF4BD61" w14:textId="77777777" w:rsidTr="00E000A0">
        <w:trPr>
          <w:cantSplit/>
        </w:trPr>
        <w:tc>
          <w:tcPr>
            <w:tcW w:w="5272" w:type="dxa"/>
            <w:tcBorders>
              <w:top w:val="single" w:sz="4" w:space="0" w:color="auto"/>
              <w:left w:val="nil"/>
              <w:right w:val="nil"/>
            </w:tcBorders>
            <w:vAlign w:val="bottom"/>
          </w:tcPr>
          <w:p w14:paraId="7DB7F3CE"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77" w:type="dxa"/>
            <w:tcBorders>
              <w:top w:val="single" w:sz="4" w:space="0" w:color="auto"/>
              <w:left w:val="nil"/>
              <w:right w:val="nil"/>
            </w:tcBorders>
            <w:vAlign w:val="bottom"/>
          </w:tcPr>
          <w:p w14:paraId="15111DCD"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4CB0ED9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right w:val="nil"/>
            </w:tcBorders>
            <w:vAlign w:val="bottom"/>
          </w:tcPr>
          <w:p w14:paraId="3A982CA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6F23B047" w14:textId="77777777" w:rsidTr="00E000A0">
        <w:trPr>
          <w:cantSplit/>
        </w:trPr>
        <w:tc>
          <w:tcPr>
            <w:tcW w:w="5272" w:type="dxa"/>
            <w:tcBorders>
              <w:left w:val="nil"/>
              <w:right w:val="nil"/>
            </w:tcBorders>
            <w:vAlign w:val="bottom"/>
          </w:tcPr>
          <w:p w14:paraId="1A12287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b/>
                <w:spacing w:val="-2"/>
                <w:sz w:val="18"/>
                <w:szCs w:val="18"/>
                <w:lang w:val="en-GB" w:eastAsia="ru-RU"/>
              </w:rPr>
              <w:t>Total equity</w:t>
            </w:r>
          </w:p>
        </w:tc>
        <w:tc>
          <w:tcPr>
            <w:tcW w:w="1077" w:type="dxa"/>
            <w:tcBorders>
              <w:left w:val="nil"/>
              <w:right w:val="nil"/>
            </w:tcBorders>
            <w:vAlign w:val="bottom"/>
          </w:tcPr>
          <w:p w14:paraId="45A79C13"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right w:val="nil"/>
            </w:tcBorders>
            <w:vAlign w:val="bottom"/>
          </w:tcPr>
          <w:p w14:paraId="4A1B50E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lang w:val="en-US" w:eastAsia="ru-RU"/>
              </w:rPr>
              <w:t>151,</w:t>
            </w:r>
            <w:r w:rsidRPr="0005296F">
              <w:rPr>
                <w:rFonts w:ascii="Arial" w:eastAsia="Times New Roman" w:hAnsi="Arial" w:cs="Arial"/>
                <w:b/>
                <w:spacing w:val="-2"/>
                <w:sz w:val="18"/>
                <w:lang w:val="ru-RU" w:eastAsia="ru-RU"/>
              </w:rPr>
              <w:t>605</w:t>
            </w:r>
          </w:p>
        </w:tc>
        <w:tc>
          <w:tcPr>
            <w:tcW w:w="1531" w:type="dxa"/>
            <w:tcBorders>
              <w:left w:val="nil"/>
              <w:right w:val="nil"/>
            </w:tcBorders>
            <w:vAlign w:val="bottom"/>
          </w:tcPr>
          <w:p w14:paraId="14FAA8A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b/>
                <w:spacing w:val="-2"/>
                <w:sz w:val="18"/>
                <w:szCs w:val="18"/>
                <w:lang w:val="en-US" w:eastAsia="ru-RU"/>
              </w:rPr>
              <w:t>197,720</w:t>
            </w:r>
          </w:p>
        </w:tc>
      </w:tr>
      <w:tr w:rsidR="0005296F" w:rsidRPr="0005296F" w14:paraId="7263EE6B" w14:textId="77777777" w:rsidTr="00E000A0">
        <w:trPr>
          <w:cantSplit/>
        </w:trPr>
        <w:tc>
          <w:tcPr>
            <w:tcW w:w="5272" w:type="dxa"/>
            <w:tcBorders>
              <w:left w:val="nil"/>
              <w:bottom w:val="single" w:sz="4" w:space="0" w:color="auto"/>
              <w:right w:val="nil"/>
            </w:tcBorders>
            <w:vAlign w:val="bottom"/>
          </w:tcPr>
          <w:p w14:paraId="472E8FC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77" w:type="dxa"/>
            <w:tcBorders>
              <w:left w:val="nil"/>
              <w:bottom w:val="single" w:sz="4" w:space="0" w:color="auto"/>
              <w:right w:val="nil"/>
            </w:tcBorders>
            <w:vAlign w:val="bottom"/>
          </w:tcPr>
          <w:p w14:paraId="604F76A0"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left w:val="nil"/>
              <w:bottom w:val="single" w:sz="4" w:space="0" w:color="auto"/>
              <w:right w:val="nil"/>
            </w:tcBorders>
            <w:vAlign w:val="bottom"/>
          </w:tcPr>
          <w:p w14:paraId="6386B91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4" w:space="0" w:color="auto"/>
              <w:right w:val="nil"/>
            </w:tcBorders>
            <w:vAlign w:val="bottom"/>
          </w:tcPr>
          <w:p w14:paraId="4277361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05296F" w:rsidRPr="0005296F" w14:paraId="6BCEC566" w14:textId="77777777" w:rsidTr="00E000A0">
        <w:trPr>
          <w:cantSplit/>
        </w:trPr>
        <w:tc>
          <w:tcPr>
            <w:tcW w:w="5272" w:type="dxa"/>
            <w:tcBorders>
              <w:top w:val="single" w:sz="4" w:space="0" w:color="auto"/>
              <w:left w:val="nil"/>
              <w:bottom w:val="nil"/>
              <w:right w:val="nil"/>
            </w:tcBorders>
            <w:vAlign w:val="bottom"/>
          </w:tcPr>
          <w:p w14:paraId="7EBE70A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77" w:type="dxa"/>
            <w:tcBorders>
              <w:top w:val="single" w:sz="4" w:space="0" w:color="auto"/>
              <w:left w:val="nil"/>
              <w:bottom w:val="nil"/>
              <w:right w:val="nil"/>
            </w:tcBorders>
            <w:vAlign w:val="bottom"/>
          </w:tcPr>
          <w:p w14:paraId="6AF5E67A"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7697CEB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top w:val="single" w:sz="4" w:space="0" w:color="auto"/>
              <w:left w:val="nil"/>
              <w:right w:val="nil"/>
            </w:tcBorders>
            <w:vAlign w:val="bottom"/>
          </w:tcPr>
          <w:p w14:paraId="38E2B1E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05296F" w:rsidRPr="0005296F" w14:paraId="6296CD9F" w14:textId="77777777" w:rsidTr="00E000A0">
        <w:trPr>
          <w:cantSplit/>
        </w:trPr>
        <w:tc>
          <w:tcPr>
            <w:tcW w:w="5272" w:type="dxa"/>
            <w:tcBorders>
              <w:top w:val="nil"/>
              <w:left w:val="nil"/>
              <w:bottom w:val="nil"/>
              <w:right w:val="nil"/>
            </w:tcBorders>
            <w:vAlign w:val="bottom"/>
          </w:tcPr>
          <w:p w14:paraId="7677D0E3"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b/>
                <w:i/>
                <w:spacing w:val="-2"/>
                <w:sz w:val="18"/>
                <w:szCs w:val="18"/>
                <w:lang w:val="en-GB" w:eastAsia="ru-RU"/>
              </w:rPr>
              <w:t>Liabilities</w:t>
            </w:r>
          </w:p>
        </w:tc>
        <w:tc>
          <w:tcPr>
            <w:tcW w:w="1077" w:type="dxa"/>
            <w:tcBorders>
              <w:top w:val="nil"/>
              <w:left w:val="nil"/>
              <w:bottom w:val="nil"/>
              <w:right w:val="nil"/>
            </w:tcBorders>
            <w:vAlign w:val="bottom"/>
          </w:tcPr>
          <w:p w14:paraId="6D9597F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bottom w:val="nil"/>
              <w:right w:val="nil"/>
            </w:tcBorders>
            <w:vAlign w:val="bottom"/>
          </w:tcPr>
          <w:p w14:paraId="1EF3B02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531" w:type="dxa"/>
            <w:tcBorders>
              <w:left w:val="nil"/>
              <w:bottom w:val="nil"/>
              <w:right w:val="nil"/>
            </w:tcBorders>
            <w:vAlign w:val="bottom"/>
          </w:tcPr>
          <w:p w14:paraId="05BA994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05296F" w:rsidRPr="0005296F" w14:paraId="691C7826" w14:textId="77777777" w:rsidTr="00E000A0">
        <w:trPr>
          <w:cantSplit/>
        </w:trPr>
        <w:tc>
          <w:tcPr>
            <w:tcW w:w="5272" w:type="dxa"/>
            <w:tcBorders>
              <w:top w:val="nil"/>
              <w:left w:val="nil"/>
              <w:bottom w:val="nil"/>
              <w:right w:val="nil"/>
            </w:tcBorders>
            <w:vAlign w:val="bottom"/>
          </w:tcPr>
          <w:p w14:paraId="4E5B39A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Loans and borrowings</w:t>
            </w:r>
          </w:p>
        </w:tc>
        <w:tc>
          <w:tcPr>
            <w:tcW w:w="1077" w:type="dxa"/>
            <w:tcBorders>
              <w:top w:val="nil"/>
              <w:left w:val="nil"/>
              <w:bottom w:val="nil"/>
              <w:right w:val="nil"/>
            </w:tcBorders>
            <w:shd w:val="clear" w:color="auto" w:fill="auto"/>
            <w:vAlign w:val="bottom"/>
          </w:tcPr>
          <w:p w14:paraId="1CBED2C5" w14:textId="0C5B3FAB"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vAlign w:val="bottom"/>
          </w:tcPr>
          <w:p w14:paraId="5FA89E0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161,710</w:t>
            </w:r>
          </w:p>
        </w:tc>
        <w:tc>
          <w:tcPr>
            <w:tcW w:w="1531" w:type="dxa"/>
            <w:tcBorders>
              <w:top w:val="nil"/>
              <w:left w:val="nil"/>
              <w:bottom w:val="nil"/>
              <w:right w:val="nil"/>
            </w:tcBorders>
            <w:vAlign w:val="bottom"/>
          </w:tcPr>
          <w:p w14:paraId="62C2E01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109,784</w:t>
            </w:r>
          </w:p>
        </w:tc>
      </w:tr>
      <w:tr w:rsidR="0005296F" w:rsidRPr="0005296F" w14:paraId="09BE7EA1" w14:textId="77777777" w:rsidTr="00E000A0">
        <w:trPr>
          <w:cantSplit/>
        </w:trPr>
        <w:tc>
          <w:tcPr>
            <w:tcW w:w="5272" w:type="dxa"/>
            <w:tcBorders>
              <w:top w:val="nil"/>
              <w:left w:val="nil"/>
              <w:right w:val="nil"/>
            </w:tcBorders>
            <w:vAlign w:val="bottom"/>
          </w:tcPr>
          <w:p w14:paraId="043A2BD1"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spacing w:val="-2"/>
                <w:sz w:val="18"/>
                <w:szCs w:val="18"/>
                <w:lang w:val="en-GB" w:eastAsia="ru-RU"/>
              </w:rPr>
              <w:t>Deferred tax liabilities</w:t>
            </w:r>
          </w:p>
        </w:tc>
        <w:tc>
          <w:tcPr>
            <w:tcW w:w="1077" w:type="dxa"/>
            <w:tcBorders>
              <w:top w:val="nil"/>
              <w:left w:val="nil"/>
              <w:right w:val="nil"/>
            </w:tcBorders>
            <w:shd w:val="clear" w:color="auto" w:fill="auto"/>
            <w:vAlign w:val="bottom"/>
          </w:tcPr>
          <w:p w14:paraId="46AF9484" w14:textId="3BB16FEF"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left w:val="nil"/>
              <w:right w:val="nil"/>
            </w:tcBorders>
            <w:vAlign w:val="bottom"/>
          </w:tcPr>
          <w:p w14:paraId="58E1708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13,</w:t>
            </w:r>
            <w:r w:rsidRPr="0005296F">
              <w:rPr>
                <w:rFonts w:ascii="Arial" w:eastAsia="Times New Roman" w:hAnsi="Arial" w:cs="Arial"/>
                <w:spacing w:val="-2"/>
                <w:sz w:val="18"/>
                <w:lang w:val="ru-RU" w:eastAsia="ru-RU"/>
              </w:rPr>
              <w:t>603</w:t>
            </w:r>
          </w:p>
        </w:tc>
        <w:tc>
          <w:tcPr>
            <w:tcW w:w="1531" w:type="dxa"/>
            <w:tcBorders>
              <w:left w:val="nil"/>
              <w:right w:val="nil"/>
            </w:tcBorders>
            <w:vAlign w:val="bottom"/>
          </w:tcPr>
          <w:p w14:paraId="5BA5FBE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05296F">
              <w:rPr>
                <w:rFonts w:ascii="Arial" w:eastAsia="Times New Roman" w:hAnsi="Arial" w:cs="Arial"/>
                <w:spacing w:val="-2"/>
                <w:sz w:val="18"/>
                <w:szCs w:val="18"/>
                <w:lang w:val="en-US" w:eastAsia="ru-RU"/>
              </w:rPr>
              <w:t>17,820</w:t>
            </w:r>
          </w:p>
        </w:tc>
      </w:tr>
      <w:tr w:rsidR="0005296F" w:rsidRPr="0005296F" w14:paraId="65A597D7" w14:textId="77777777" w:rsidTr="00E000A0">
        <w:trPr>
          <w:cantSplit/>
        </w:trPr>
        <w:tc>
          <w:tcPr>
            <w:tcW w:w="5272" w:type="dxa"/>
            <w:tcBorders>
              <w:top w:val="nil"/>
              <w:left w:val="nil"/>
              <w:bottom w:val="nil"/>
              <w:right w:val="nil"/>
            </w:tcBorders>
            <w:vAlign w:val="bottom"/>
          </w:tcPr>
          <w:p w14:paraId="6C0C9D8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Lease liabilities</w:t>
            </w:r>
          </w:p>
        </w:tc>
        <w:tc>
          <w:tcPr>
            <w:tcW w:w="1077" w:type="dxa"/>
            <w:tcBorders>
              <w:top w:val="nil"/>
              <w:left w:val="nil"/>
              <w:bottom w:val="nil"/>
              <w:right w:val="nil"/>
            </w:tcBorders>
            <w:shd w:val="clear" w:color="auto" w:fill="auto"/>
            <w:vAlign w:val="bottom"/>
          </w:tcPr>
          <w:p w14:paraId="3B056432" w14:textId="62E31979"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right w:val="nil"/>
            </w:tcBorders>
          </w:tcPr>
          <w:p w14:paraId="58E1A5B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2,818</w:t>
            </w:r>
          </w:p>
        </w:tc>
        <w:tc>
          <w:tcPr>
            <w:tcW w:w="1531" w:type="dxa"/>
            <w:tcBorders>
              <w:top w:val="nil"/>
              <w:left w:val="nil"/>
              <w:right w:val="nil"/>
            </w:tcBorders>
            <w:vAlign w:val="bottom"/>
          </w:tcPr>
          <w:p w14:paraId="639EFEE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1,660</w:t>
            </w:r>
          </w:p>
        </w:tc>
      </w:tr>
      <w:tr w:rsidR="0005296F" w:rsidRPr="0005296F" w14:paraId="50E2DAF2" w14:textId="77777777" w:rsidTr="00E000A0">
        <w:trPr>
          <w:cantSplit/>
        </w:trPr>
        <w:tc>
          <w:tcPr>
            <w:tcW w:w="5272" w:type="dxa"/>
            <w:tcBorders>
              <w:top w:val="nil"/>
              <w:left w:val="nil"/>
              <w:bottom w:val="nil"/>
              <w:right w:val="nil"/>
            </w:tcBorders>
            <w:vAlign w:val="bottom"/>
          </w:tcPr>
          <w:p w14:paraId="1CBF0E97"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Defined benefit obligations</w:t>
            </w:r>
          </w:p>
        </w:tc>
        <w:tc>
          <w:tcPr>
            <w:tcW w:w="1077" w:type="dxa"/>
            <w:tcBorders>
              <w:top w:val="nil"/>
              <w:left w:val="nil"/>
              <w:bottom w:val="nil"/>
              <w:right w:val="nil"/>
            </w:tcBorders>
            <w:shd w:val="clear" w:color="auto" w:fill="auto"/>
            <w:vAlign w:val="bottom"/>
          </w:tcPr>
          <w:p w14:paraId="689F7784" w14:textId="0477C804"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right w:val="nil"/>
            </w:tcBorders>
          </w:tcPr>
          <w:p w14:paraId="48B8F9C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1,129</w:t>
            </w:r>
          </w:p>
        </w:tc>
        <w:tc>
          <w:tcPr>
            <w:tcW w:w="1531" w:type="dxa"/>
            <w:tcBorders>
              <w:top w:val="nil"/>
              <w:left w:val="nil"/>
              <w:right w:val="nil"/>
            </w:tcBorders>
            <w:vAlign w:val="bottom"/>
          </w:tcPr>
          <w:p w14:paraId="7B53975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1,050</w:t>
            </w:r>
          </w:p>
        </w:tc>
      </w:tr>
      <w:tr w:rsidR="0005296F" w:rsidRPr="0005296F" w14:paraId="3E72382C" w14:textId="77777777" w:rsidTr="00E000A0">
        <w:trPr>
          <w:cantSplit/>
        </w:trPr>
        <w:tc>
          <w:tcPr>
            <w:tcW w:w="5272" w:type="dxa"/>
            <w:tcBorders>
              <w:top w:val="nil"/>
              <w:left w:val="nil"/>
              <w:bottom w:val="single" w:sz="4" w:space="0" w:color="auto"/>
              <w:right w:val="nil"/>
            </w:tcBorders>
            <w:vAlign w:val="bottom"/>
          </w:tcPr>
          <w:p w14:paraId="29F6620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77" w:type="dxa"/>
            <w:tcBorders>
              <w:top w:val="nil"/>
              <w:left w:val="nil"/>
              <w:bottom w:val="single" w:sz="4" w:space="0" w:color="auto"/>
              <w:right w:val="nil"/>
            </w:tcBorders>
            <w:vAlign w:val="bottom"/>
          </w:tcPr>
          <w:p w14:paraId="6C1BD13A"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left w:val="nil"/>
              <w:bottom w:val="single" w:sz="4" w:space="0" w:color="auto"/>
              <w:right w:val="nil"/>
            </w:tcBorders>
            <w:vAlign w:val="bottom"/>
          </w:tcPr>
          <w:p w14:paraId="023695B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left w:val="nil"/>
              <w:bottom w:val="single" w:sz="4" w:space="0" w:color="auto"/>
              <w:right w:val="nil"/>
            </w:tcBorders>
            <w:vAlign w:val="bottom"/>
          </w:tcPr>
          <w:p w14:paraId="031B03E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543C2B98" w14:textId="77777777" w:rsidTr="00E000A0">
        <w:trPr>
          <w:cantSplit/>
        </w:trPr>
        <w:tc>
          <w:tcPr>
            <w:tcW w:w="5272" w:type="dxa"/>
            <w:tcBorders>
              <w:top w:val="single" w:sz="4" w:space="0" w:color="auto"/>
              <w:left w:val="nil"/>
              <w:right w:val="nil"/>
            </w:tcBorders>
            <w:vAlign w:val="bottom"/>
          </w:tcPr>
          <w:p w14:paraId="3EE1CCBE"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77" w:type="dxa"/>
            <w:tcBorders>
              <w:top w:val="single" w:sz="4" w:space="0" w:color="auto"/>
              <w:left w:val="nil"/>
              <w:right w:val="nil"/>
            </w:tcBorders>
            <w:vAlign w:val="bottom"/>
          </w:tcPr>
          <w:p w14:paraId="77786245"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top w:val="single" w:sz="4" w:space="0" w:color="auto"/>
              <w:left w:val="nil"/>
              <w:right w:val="nil"/>
            </w:tcBorders>
            <w:vAlign w:val="bottom"/>
          </w:tcPr>
          <w:p w14:paraId="605EFBA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right w:val="nil"/>
            </w:tcBorders>
            <w:vAlign w:val="bottom"/>
          </w:tcPr>
          <w:p w14:paraId="36EA43E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755AA7AF" w14:textId="77777777" w:rsidTr="00E000A0">
        <w:trPr>
          <w:cantSplit/>
        </w:trPr>
        <w:tc>
          <w:tcPr>
            <w:tcW w:w="5272" w:type="dxa"/>
            <w:tcBorders>
              <w:left w:val="nil"/>
              <w:right w:val="nil"/>
            </w:tcBorders>
            <w:vAlign w:val="bottom"/>
          </w:tcPr>
          <w:p w14:paraId="236139E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i/>
                <w:iCs/>
                <w:spacing w:val="-2"/>
                <w:sz w:val="18"/>
                <w:szCs w:val="18"/>
                <w:lang w:val="en-GB" w:eastAsia="ru-RU"/>
              </w:rPr>
            </w:pPr>
            <w:r w:rsidRPr="0005296F">
              <w:rPr>
                <w:rFonts w:ascii="Arial" w:eastAsia="Times New Roman" w:hAnsi="Arial" w:cs="Arial"/>
                <w:b/>
                <w:spacing w:val="-2"/>
                <w:sz w:val="18"/>
                <w:szCs w:val="18"/>
                <w:lang w:val="en-GB" w:eastAsia="ru-RU"/>
              </w:rPr>
              <w:t>Non-current liabilities</w:t>
            </w:r>
          </w:p>
        </w:tc>
        <w:tc>
          <w:tcPr>
            <w:tcW w:w="1077" w:type="dxa"/>
            <w:tcBorders>
              <w:left w:val="nil"/>
              <w:right w:val="nil"/>
            </w:tcBorders>
            <w:vAlign w:val="bottom"/>
          </w:tcPr>
          <w:p w14:paraId="63F79BB9"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GB" w:eastAsia="ru-RU"/>
              </w:rPr>
            </w:pPr>
          </w:p>
        </w:tc>
        <w:tc>
          <w:tcPr>
            <w:tcW w:w="1531" w:type="dxa"/>
            <w:tcBorders>
              <w:left w:val="nil"/>
              <w:right w:val="nil"/>
            </w:tcBorders>
            <w:vAlign w:val="bottom"/>
          </w:tcPr>
          <w:p w14:paraId="2D1E009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lang w:val="en-US" w:eastAsia="ru-RU"/>
              </w:rPr>
              <w:t>179,2</w:t>
            </w:r>
            <w:r w:rsidRPr="0005296F">
              <w:rPr>
                <w:rFonts w:ascii="Arial" w:eastAsia="Times New Roman" w:hAnsi="Arial" w:cs="Arial"/>
                <w:b/>
                <w:spacing w:val="-2"/>
                <w:sz w:val="18"/>
                <w:lang w:val="ru-RU" w:eastAsia="ru-RU"/>
              </w:rPr>
              <w:t>60</w:t>
            </w:r>
          </w:p>
        </w:tc>
        <w:tc>
          <w:tcPr>
            <w:tcW w:w="1531" w:type="dxa"/>
            <w:tcBorders>
              <w:left w:val="nil"/>
              <w:right w:val="nil"/>
            </w:tcBorders>
            <w:vAlign w:val="bottom"/>
          </w:tcPr>
          <w:p w14:paraId="730A834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b/>
                <w:spacing w:val="-2"/>
                <w:sz w:val="18"/>
                <w:szCs w:val="18"/>
                <w:lang w:val="en-US" w:eastAsia="ru-RU"/>
              </w:rPr>
              <w:t>130,314</w:t>
            </w:r>
          </w:p>
        </w:tc>
      </w:tr>
      <w:tr w:rsidR="0005296F" w:rsidRPr="0005296F" w14:paraId="630E2C96" w14:textId="77777777" w:rsidTr="00E000A0">
        <w:trPr>
          <w:cantSplit/>
        </w:trPr>
        <w:tc>
          <w:tcPr>
            <w:tcW w:w="5272" w:type="dxa"/>
            <w:tcBorders>
              <w:left w:val="nil"/>
              <w:bottom w:val="single" w:sz="4" w:space="0" w:color="auto"/>
              <w:right w:val="nil"/>
            </w:tcBorders>
            <w:vAlign w:val="bottom"/>
          </w:tcPr>
          <w:p w14:paraId="31DFD8A4"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77" w:type="dxa"/>
            <w:tcBorders>
              <w:left w:val="nil"/>
              <w:bottom w:val="single" w:sz="4" w:space="0" w:color="auto"/>
              <w:right w:val="nil"/>
            </w:tcBorders>
            <w:vAlign w:val="bottom"/>
          </w:tcPr>
          <w:p w14:paraId="7386CCFD"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left w:val="nil"/>
              <w:bottom w:val="single" w:sz="4" w:space="0" w:color="auto"/>
              <w:right w:val="nil"/>
            </w:tcBorders>
            <w:vAlign w:val="bottom"/>
          </w:tcPr>
          <w:p w14:paraId="1572F5B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4" w:space="0" w:color="auto"/>
              <w:right w:val="nil"/>
            </w:tcBorders>
            <w:vAlign w:val="bottom"/>
          </w:tcPr>
          <w:p w14:paraId="7648D48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05296F" w:rsidRPr="0005296F" w14:paraId="259B615D" w14:textId="77777777" w:rsidTr="00E000A0">
        <w:trPr>
          <w:cantSplit/>
        </w:trPr>
        <w:tc>
          <w:tcPr>
            <w:tcW w:w="5272" w:type="dxa"/>
            <w:tcBorders>
              <w:top w:val="single" w:sz="4" w:space="0" w:color="auto"/>
              <w:left w:val="nil"/>
              <w:bottom w:val="nil"/>
              <w:right w:val="nil"/>
            </w:tcBorders>
            <w:vAlign w:val="bottom"/>
          </w:tcPr>
          <w:p w14:paraId="31D165E9"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77" w:type="dxa"/>
            <w:tcBorders>
              <w:top w:val="single" w:sz="4" w:space="0" w:color="auto"/>
              <w:left w:val="nil"/>
              <w:bottom w:val="nil"/>
              <w:right w:val="nil"/>
            </w:tcBorders>
            <w:vAlign w:val="bottom"/>
          </w:tcPr>
          <w:p w14:paraId="493F794E"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top w:val="single" w:sz="4" w:space="0" w:color="auto"/>
              <w:left w:val="nil"/>
              <w:bottom w:val="nil"/>
              <w:right w:val="nil"/>
            </w:tcBorders>
            <w:vAlign w:val="bottom"/>
          </w:tcPr>
          <w:p w14:paraId="231D812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bottom w:val="nil"/>
              <w:right w:val="nil"/>
            </w:tcBorders>
            <w:vAlign w:val="bottom"/>
          </w:tcPr>
          <w:p w14:paraId="3DEF6FA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40B20F19" w14:textId="77777777" w:rsidTr="00E000A0">
        <w:trPr>
          <w:cantSplit/>
        </w:trPr>
        <w:tc>
          <w:tcPr>
            <w:tcW w:w="5272" w:type="dxa"/>
            <w:tcBorders>
              <w:top w:val="nil"/>
              <w:left w:val="nil"/>
              <w:bottom w:val="nil"/>
              <w:right w:val="nil"/>
            </w:tcBorders>
            <w:vAlign w:val="bottom"/>
          </w:tcPr>
          <w:p w14:paraId="54F304C0"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Loans and borrowings</w:t>
            </w:r>
          </w:p>
        </w:tc>
        <w:tc>
          <w:tcPr>
            <w:tcW w:w="1077" w:type="dxa"/>
            <w:tcBorders>
              <w:top w:val="nil"/>
              <w:left w:val="nil"/>
              <w:bottom w:val="nil"/>
              <w:right w:val="nil"/>
            </w:tcBorders>
            <w:vAlign w:val="bottom"/>
          </w:tcPr>
          <w:p w14:paraId="0A0A1D09" w14:textId="123A720A"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531" w:type="dxa"/>
            <w:tcBorders>
              <w:top w:val="nil"/>
              <w:left w:val="nil"/>
              <w:bottom w:val="nil"/>
              <w:right w:val="nil"/>
            </w:tcBorders>
          </w:tcPr>
          <w:p w14:paraId="4108893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86,429</w:t>
            </w:r>
          </w:p>
        </w:tc>
        <w:tc>
          <w:tcPr>
            <w:tcW w:w="1531" w:type="dxa"/>
            <w:tcBorders>
              <w:top w:val="nil"/>
              <w:left w:val="nil"/>
              <w:bottom w:val="nil"/>
              <w:right w:val="nil"/>
            </w:tcBorders>
            <w:vAlign w:val="bottom"/>
          </w:tcPr>
          <w:p w14:paraId="7F8587A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80,974</w:t>
            </w:r>
          </w:p>
        </w:tc>
      </w:tr>
      <w:tr w:rsidR="0005296F" w:rsidRPr="0005296F" w14:paraId="626247A7" w14:textId="77777777" w:rsidTr="00E000A0">
        <w:trPr>
          <w:cantSplit/>
        </w:trPr>
        <w:tc>
          <w:tcPr>
            <w:tcW w:w="5272" w:type="dxa"/>
            <w:tcBorders>
              <w:top w:val="nil"/>
              <w:left w:val="nil"/>
              <w:right w:val="nil"/>
            </w:tcBorders>
            <w:vAlign w:val="bottom"/>
          </w:tcPr>
          <w:p w14:paraId="09FA0E9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Dividends payable</w:t>
            </w:r>
          </w:p>
        </w:tc>
        <w:tc>
          <w:tcPr>
            <w:tcW w:w="1077" w:type="dxa"/>
            <w:tcBorders>
              <w:top w:val="nil"/>
              <w:left w:val="nil"/>
              <w:right w:val="nil"/>
            </w:tcBorders>
            <w:vAlign w:val="bottom"/>
          </w:tcPr>
          <w:p w14:paraId="590FA9C0"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right w:val="nil"/>
            </w:tcBorders>
            <w:vAlign w:val="bottom"/>
          </w:tcPr>
          <w:p w14:paraId="48F0093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54,919</w:t>
            </w:r>
          </w:p>
        </w:tc>
        <w:tc>
          <w:tcPr>
            <w:tcW w:w="1531" w:type="dxa"/>
            <w:tcBorders>
              <w:top w:val="nil"/>
              <w:left w:val="nil"/>
              <w:right w:val="nil"/>
            </w:tcBorders>
            <w:vAlign w:val="bottom"/>
          </w:tcPr>
          <w:p w14:paraId="3B9F1E8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82</w:t>
            </w:r>
          </w:p>
        </w:tc>
      </w:tr>
      <w:tr w:rsidR="0005296F" w:rsidRPr="0005296F" w14:paraId="7D9D71EA" w14:textId="77777777" w:rsidTr="00E000A0">
        <w:trPr>
          <w:cantSplit/>
        </w:trPr>
        <w:tc>
          <w:tcPr>
            <w:tcW w:w="5272" w:type="dxa"/>
            <w:tcBorders>
              <w:top w:val="nil"/>
              <w:left w:val="nil"/>
              <w:right w:val="nil"/>
            </w:tcBorders>
            <w:vAlign w:val="bottom"/>
          </w:tcPr>
          <w:p w14:paraId="6F63B71E"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Trade and other payables</w:t>
            </w:r>
          </w:p>
        </w:tc>
        <w:tc>
          <w:tcPr>
            <w:tcW w:w="1077" w:type="dxa"/>
            <w:tcBorders>
              <w:top w:val="nil"/>
              <w:left w:val="nil"/>
              <w:right w:val="nil"/>
            </w:tcBorders>
            <w:vAlign w:val="bottom"/>
          </w:tcPr>
          <w:p w14:paraId="5F74F7DA" w14:textId="6735A7D3"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1531" w:type="dxa"/>
            <w:tcBorders>
              <w:top w:val="nil"/>
              <w:left w:val="nil"/>
              <w:right w:val="nil"/>
            </w:tcBorders>
          </w:tcPr>
          <w:p w14:paraId="25554D1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42,653</w:t>
            </w:r>
          </w:p>
        </w:tc>
        <w:tc>
          <w:tcPr>
            <w:tcW w:w="1531" w:type="dxa"/>
            <w:tcBorders>
              <w:top w:val="nil"/>
              <w:left w:val="nil"/>
              <w:right w:val="nil"/>
            </w:tcBorders>
            <w:vAlign w:val="bottom"/>
          </w:tcPr>
          <w:p w14:paraId="547A947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39,412</w:t>
            </w:r>
          </w:p>
        </w:tc>
      </w:tr>
      <w:tr w:rsidR="0005296F" w:rsidRPr="0005296F" w14:paraId="39715E2C" w14:textId="77777777" w:rsidTr="00E000A0">
        <w:trPr>
          <w:cantSplit/>
        </w:trPr>
        <w:tc>
          <w:tcPr>
            <w:tcW w:w="5272" w:type="dxa"/>
            <w:tcBorders>
              <w:top w:val="nil"/>
              <w:left w:val="nil"/>
              <w:bottom w:val="nil"/>
              <w:right w:val="nil"/>
            </w:tcBorders>
            <w:vAlign w:val="bottom"/>
          </w:tcPr>
          <w:p w14:paraId="1C28070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Windfall tax payable</w:t>
            </w:r>
          </w:p>
        </w:tc>
        <w:tc>
          <w:tcPr>
            <w:tcW w:w="1077" w:type="dxa"/>
            <w:tcBorders>
              <w:top w:val="nil"/>
              <w:left w:val="nil"/>
              <w:bottom w:val="nil"/>
              <w:right w:val="nil"/>
            </w:tcBorders>
            <w:vAlign w:val="bottom"/>
          </w:tcPr>
          <w:p w14:paraId="46A39767" w14:textId="1074315B"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GB" w:eastAsia="ru-RU"/>
              </w:rPr>
            </w:pPr>
          </w:p>
        </w:tc>
        <w:tc>
          <w:tcPr>
            <w:tcW w:w="1531" w:type="dxa"/>
            <w:tcBorders>
              <w:top w:val="nil"/>
              <w:left w:val="nil"/>
              <w:bottom w:val="nil"/>
              <w:right w:val="nil"/>
            </w:tcBorders>
            <w:vAlign w:val="bottom"/>
          </w:tcPr>
          <w:p w14:paraId="0CF412C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6,355</w:t>
            </w:r>
          </w:p>
        </w:tc>
        <w:tc>
          <w:tcPr>
            <w:tcW w:w="1531" w:type="dxa"/>
            <w:tcBorders>
              <w:top w:val="nil"/>
              <w:left w:val="nil"/>
              <w:bottom w:val="nil"/>
              <w:right w:val="nil"/>
            </w:tcBorders>
            <w:vAlign w:val="bottom"/>
          </w:tcPr>
          <w:p w14:paraId="0A8207C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w:t>
            </w:r>
          </w:p>
        </w:tc>
      </w:tr>
      <w:tr w:rsidR="0005296F" w:rsidRPr="0005296F" w14:paraId="22E321BD" w14:textId="77777777" w:rsidTr="00E000A0">
        <w:trPr>
          <w:cantSplit/>
        </w:trPr>
        <w:tc>
          <w:tcPr>
            <w:tcW w:w="5272" w:type="dxa"/>
            <w:tcBorders>
              <w:top w:val="nil"/>
              <w:left w:val="nil"/>
              <w:bottom w:val="nil"/>
              <w:right w:val="nil"/>
            </w:tcBorders>
            <w:vAlign w:val="bottom"/>
          </w:tcPr>
          <w:p w14:paraId="4D3681A5"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VAT and other taxes payable</w:t>
            </w:r>
          </w:p>
        </w:tc>
        <w:tc>
          <w:tcPr>
            <w:tcW w:w="1077" w:type="dxa"/>
            <w:tcBorders>
              <w:top w:val="nil"/>
              <w:left w:val="nil"/>
              <w:bottom w:val="nil"/>
              <w:right w:val="nil"/>
            </w:tcBorders>
            <w:vAlign w:val="bottom"/>
          </w:tcPr>
          <w:p w14:paraId="3F18719B"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GB" w:eastAsia="ru-RU"/>
              </w:rPr>
            </w:pPr>
          </w:p>
        </w:tc>
        <w:tc>
          <w:tcPr>
            <w:tcW w:w="1531" w:type="dxa"/>
            <w:tcBorders>
              <w:top w:val="nil"/>
              <w:left w:val="nil"/>
              <w:bottom w:val="nil"/>
              <w:right w:val="nil"/>
            </w:tcBorders>
          </w:tcPr>
          <w:p w14:paraId="27CB18E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2,799</w:t>
            </w:r>
          </w:p>
        </w:tc>
        <w:tc>
          <w:tcPr>
            <w:tcW w:w="1531" w:type="dxa"/>
            <w:tcBorders>
              <w:top w:val="nil"/>
              <w:left w:val="nil"/>
              <w:bottom w:val="nil"/>
              <w:right w:val="nil"/>
            </w:tcBorders>
            <w:vAlign w:val="bottom"/>
          </w:tcPr>
          <w:p w14:paraId="35874EB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5,632</w:t>
            </w:r>
          </w:p>
        </w:tc>
      </w:tr>
      <w:tr w:rsidR="0005296F" w:rsidRPr="0005296F" w14:paraId="235EBBE0" w14:textId="77777777" w:rsidTr="00E000A0">
        <w:trPr>
          <w:cantSplit/>
        </w:trPr>
        <w:tc>
          <w:tcPr>
            <w:tcW w:w="5272" w:type="dxa"/>
            <w:tcBorders>
              <w:top w:val="nil"/>
              <w:left w:val="nil"/>
              <w:bottom w:val="nil"/>
              <w:right w:val="nil"/>
            </w:tcBorders>
            <w:vAlign w:val="bottom"/>
          </w:tcPr>
          <w:p w14:paraId="7E921B09"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Lease liabilities</w:t>
            </w:r>
            <w:r w:rsidRPr="0005296F" w:rsidDel="00306420">
              <w:rPr>
                <w:rFonts w:ascii="Arial" w:eastAsia="Times New Roman" w:hAnsi="Arial" w:cs="Arial"/>
                <w:spacing w:val="-2"/>
                <w:sz w:val="18"/>
                <w:szCs w:val="18"/>
                <w:lang w:val="en-GB" w:eastAsia="ru-RU"/>
              </w:rPr>
              <w:t xml:space="preserve"> </w:t>
            </w:r>
          </w:p>
        </w:tc>
        <w:tc>
          <w:tcPr>
            <w:tcW w:w="1077" w:type="dxa"/>
            <w:tcBorders>
              <w:top w:val="nil"/>
              <w:left w:val="nil"/>
              <w:bottom w:val="nil"/>
              <w:right w:val="nil"/>
            </w:tcBorders>
            <w:vAlign w:val="bottom"/>
          </w:tcPr>
          <w:p w14:paraId="46241E22" w14:textId="211CF694"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US" w:eastAsia="ru-RU"/>
              </w:rPr>
            </w:pPr>
          </w:p>
        </w:tc>
        <w:tc>
          <w:tcPr>
            <w:tcW w:w="1531" w:type="dxa"/>
            <w:tcBorders>
              <w:top w:val="nil"/>
              <w:left w:val="nil"/>
              <w:right w:val="nil"/>
            </w:tcBorders>
          </w:tcPr>
          <w:p w14:paraId="72A4CD8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1,413</w:t>
            </w:r>
          </w:p>
        </w:tc>
        <w:tc>
          <w:tcPr>
            <w:tcW w:w="1531" w:type="dxa"/>
            <w:tcBorders>
              <w:top w:val="nil"/>
              <w:left w:val="nil"/>
              <w:right w:val="nil"/>
            </w:tcBorders>
            <w:vAlign w:val="bottom"/>
          </w:tcPr>
          <w:p w14:paraId="376E73D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1,276</w:t>
            </w:r>
          </w:p>
        </w:tc>
      </w:tr>
      <w:tr w:rsidR="0005296F" w:rsidRPr="0005296F" w14:paraId="6EFB1D58" w14:textId="77777777" w:rsidTr="00E000A0">
        <w:trPr>
          <w:cantSplit/>
        </w:trPr>
        <w:tc>
          <w:tcPr>
            <w:tcW w:w="5272" w:type="dxa"/>
            <w:tcBorders>
              <w:top w:val="nil"/>
              <w:left w:val="nil"/>
              <w:bottom w:val="nil"/>
              <w:right w:val="nil"/>
            </w:tcBorders>
            <w:vAlign w:val="bottom"/>
          </w:tcPr>
          <w:p w14:paraId="045A3FC5"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Income tax payable</w:t>
            </w:r>
          </w:p>
        </w:tc>
        <w:tc>
          <w:tcPr>
            <w:tcW w:w="1077" w:type="dxa"/>
            <w:tcBorders>
              <w:top w:val="nil"/>
              <w:left w:val="nil"/>
              <w:bottom w:val="nil"/>
              <w:right w:val="nil"/>
            </w:tcBorders>
            <w:vAlign w:val="bottom"/>
          </w:tcPr>
          <w:p w14:paraId="154D0F4F"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531" w:type="dxa"/>
            <w:tcBorders>
              <w:top w:val="nil"/>
              <w:left w:val="nil"/>
              <w:right w:val="nil"/>
            </w:tcBorders>
            <w:vAlign w:val="bottom"/>
          </w:tcPr>
          <w:p w14:paraId="4850F9A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208</w:t>
            </w:r>
          </w:p>
        </w:tc>
        <w:tc>
          <w:tcPr>
            <w:tcW w:w="1531" w:type="dxa"/>
            <w:tcBorders>
              <w:top w:val="nil"/>
              <w:left w:val="nil"/>
              <w:right w:val="nil"/>
            </w:tcBorders>
            <w:vAlign w:val="bottom"/>
          </w:tcPr>
          <w:p w14:paraId="65865F1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203</w:t>
            </w:r>
          </w:p>
        </w:tc>
      </w:tr>
      <w:tr w:rsidR="0005296F" w:rsidRPr="0005296F" w14:paraId="4DA165EA" w14:textId="77777777" w:rsidTr="00E000A0">
        <w:trPr>
          <w:cantSplit/>
        </w:trPr>
        <w:tc>
          <w:tcPr>
            <w:tcW w:w="5272" w:type="dxa"/>
            <w:tcBorders>
              <w:top w:val="nil"/>
              <w:left w:val="nil"/>
              <w:bottom w:val="single" w:sz="4" w:space="0" w:color="auto"/>
              <w:right w:val="nil"/>
            </w:tcBorders>
            <w:vAlign w:val="bottom"/>
          </w:tcPr>
          <w:p w14:paraId="32A19BF3"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77" w:type="dxa"/>
            <w:tcBorders>
              <w:top w:val="nil"/>
              <w:left w:val="nil"/>
              <w:bottom w:val="single" w:sz="4" w:space="0" w:color="auto"/>
              <w:right w:val="nil"/>
            </w:tcBorders>
            <w:vAlign w:val="bottom"/>
          </w:tcPr>
          <w:p w14:paraId="7CE8912A"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nil"/>
              <w:left w:val="nil"/>
              <w:bottom w:val="single" w:sz="4" w:space="0" w:color="auto"/>
              <w:right w:val="nil"/>
            </w:tcBorders>
            <w:vAlign w:val="bottom"/>
          </w:tcPr>
          <w:p w14:paraId="0115FAF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nil"/>
              <w:left w:val="nil"/>
              <w:bottom w:val="single" w:sz="4" w:space="0" w:color="auto"/>
              <w:right w:val="nil"/>
            </w:tcBorders>
            <w:vAlign w:val="bottom"/>
          </w:tcPr>
          <w:p w14:paraId="4348744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7C8FFB00" w14:textId="77777777" w:rsidTr="00E000A0">
        <w:trPr>
          <w:cantSplit/>
        </w:trPr>
        <w:tc>
          <w:tcPr>
            <w:tcW w:w="5272" w:type="dxa"/>
            <w:tcBorders>
              <w:top w:val="single" w:sz="4" w:space="0" w:color="auto"/>
              <w:left w:val="nil"/>
              <w:bottom w:val="nil"/>
              <w:right w:val="nil"/>
            </w:tcBorders>
            <w:vAlign w:val="bottom"/>
          </w:tcPr>
          <w:p w14:paraId="43CFA80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1077" w:type="dxa"/>
            <w:tcBorders>
              <w:top w:val="single" w:sz="4" w:space="0" w:color="auto"/>
              <w:left w:val="nil"/>
              <w:bottom w:val="nil"/>
              <w:right w:val="nil"/>
            </w:tcBorders>
            <w:vAlign w:val="bottom"/>
          </w:tcPr>
          <w:p w14:paraId="106F306D"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531" w:type="dxa"/>
            <w:tcBorders>
              <w:top w:val="single" w:sz="4" w:space="0" w:color="auto"/>
              <w:left w:val="nil"/>
              <w:right w:val="nil"/>
            </w:tcBorders>
            <w:vAlign w:val="bottom"/>
          </w:tcPr>
          <w:p w14:paraId="14A18B6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531" w:type="dxa"/>
            <w:tcBorders>
              <w:top w:val="single" w:sz="4" w:space="0" w:color="auto"/>
              <w:left w:val="nil"/>
              <w:right w:val="nil"/>
            </w:tcBorders>
            <w:vAlign w:val="bottom"/>
          </w:tcPr>
          <w:p w14:paraId="146EDFE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4D58C767" w14:textId="77777777" w:rsidTr="00E000A0">
        <w:trPr>
          <w:cantSplit/>
        </w:trPr>
        <w:tc>
          <w:tcPr>
            <w:tcW w:w="5272" w:type="dxa"/>
            <w:tcBorders>
              <w:top w:val="nil"/>
              <w:left w:val="nil"/>
              <w:right w:val="nil"/>
            </w:tcBorders>
            <w:vAlign w:val="bottom"/>
          </w:tcPr>
          <w:p w14:paraId="3A9D32A6"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Current liabilities</w:t>
            </w:r>
          </w:p>
        </w:tc>
        <w:tc>
          <w:tcPr>
            <w:tcW w:w="1077" w:type="dxa"/>
            <w:tcBorders>
              <w:top w:val="nil"/>
              <w:left w:val="nil"/>
              <w:right w:val="nil"/>
            </w:tcBorders>
            <w:vAlign w:val="bottom"/>
          </w:tcPr>
          <w:p w14:paraId="3BACE9B0"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GB" w:eastAsia="ru-RU"/>
              </w:rPr>
            </w:pPr>
          </w:p>
        </w:tc>
        <w:tc>
          <w:tcPr>
            <w:tcW w:w="1531" w:type="dxa"/>
            <w:tcBorders>
              <w:left w:val="nil"/>
              <w:right w:val="nil"/>
            </w:tcBorders>
            <w:vAlign w:val="bottom"/>
          </w:tcPr>
          <w:p w14:paraId="738DE78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lang w:val="en-US" w:eastAsia="ru-RU"/>
              </w:rPr>
              <w:t>194,776</w:t>
            </w:r>
          </w:p>
        </w:tc>
        <w:tc>
          <w:tcPr>
            <w:tcW w:w="1531" w:type="dxa"/>
            <w:tcBorders>
              <w:left w:val="nil"/>
              <w:right w:val="nil"/>
            </w:tcBorders>
            <w:vAlign w:val="bottom"/>
          </w:tcPr>
          <w:p w14:paraId="25F89AD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05296F">
              <w:rPr>
                <w:rFonts w:ascii="Arial" w:eastAsia="Times New Roman" w:hAnsi="Arial" w:cs="Arial"/>
                <w:b/>
                <w:spacing w:val="-2"/>
                <w:sz w:val="18"/>
                <w:szCs w:val="18"/>
                <w:lang w:val="en-US" w:eastAsia="ru-RU"/>
              </w:rPr>
              <w:t>127,579</w:t>
            </w:r>
          </w:p>
        </w:tc>
      </w:tr>
      <w:tr w:rsidR="0005296F" w:rsidRPr="0005296F" w14:paraId="756327A3" w14:textId="77777777" w:rsidTr="00E000A0">
        <w:trPr>
          <w:cantSplit/>
        </w:trPr>
        <w:tc>
          <w:tcPr>
            <w:tcW w:w="5272" w:type="dxa"/>
            <w:tcBorders>
              <w:left w:val="nil"/>
              <w:bottom w:val="single" w:sz="4" w:space="0" w:color="auto"/>
              <w:right w:val="nil"/>
            </w:tcBorders>
            <w:vAlign w:val="bottom"/>
          </w:tcPr>
          <w:p w14:paraId="61E69514"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77" w:type="dxa"/>
            <w:tcBorders>
              <w:left w:val="nil"/>
              <w:bottom w:val="single" w:sz="4" w:space="0" w:color="auto"/>
              <w:right w:val="nil"/>
            </w:tcBorders>
            <w:vAlign w:val="bottom"/>
          </w:tcPr>
          <w:p w14:paraId="65F21839"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left w:val="nil"/>
              <w:bottom w:val="single" w:sz="4" w:space="0" w:color="auto"/>
              <w:right w:val="nil"/>
            </w:tcBorders>
            <w:vAlign w:val="bottom"/>
          </w:tcPr>
          <w:p w14:paraId="13983B7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left w:val="nil"/>
              <w:bottom w:val="single" w:sz="4" w:space="0" w:color="auto"/>
              <w:right w:val="nil"/>
            </w:tcBorders>
            <w:vAlign w:val="bottom"/>
          </w:tcPr>
          <w:p w14:paraId="522F231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05296F" w:rsidRPr="0005296F" w14:paraId="22194C2C" w14:textId="77777777" w:rsidTr="00E000A0">
        <w:trPr>
          <w:cantSplit/>
        </w:trPr>
        <w:tc>
          <w:tcPr>
            <w:tcW w:w="5272" w:type="dxa"/>
            <w:tcBorders>
              <w:top w:val="single" w:sz="4" w:space="0" w:color="auto"/>
              <w:left w:val="nil"/>
              <w:right w:val="nil"/>
            </w:tcBorders>
            <w:vAlign w:val="bottom"/>
          </w:tcPr>
          <w:p w14:paraId="77F48E13"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77" w:type="dxa"/>
            <w:tcBorders>
              <w:top w:val="single" w:sz="4" w:space="0" w:color="auto"/>
              <w:left w:val="nil"/>
              <w:right w:val="nil"/>
            </w:tcBorders>
            <w:vAlign w:val="bottom"/>
          </w:tcPr>
          <w:p w14:paraId="7BFB647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top w:val="single" w:sz="4" w:space="0" w:color="auto"/>
              <w:left w:val="nil"/>
              <w:right w:val="nil"/>
            </w:tcBorders>
            <w:vAlign w:val="bottom"/>
          </w:tcPr>
          <w:p w14:paraId="764A02E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531" w:type="dxa"/>
            <w:tcBorders>
              <w:top w:val="single" w:sz="4" w:space="0" w:color="auto"/>
              <w:left w:val="nil"/>
              <w:right w:val="nil"/>
            </w:tcBorders>
            <w:vAlign w:val="bottom"/>
          </w:tcPr>
          <w:p w14:paraId="105EDB8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05296F" w:rsidRPr="0005296F" w14:paraId="7D5664D6" w14:textId="77777777" w:rsidTr="00E000A0">
        <w:trPr>
          <w:cantSplit/>
        </w:trPr>
        <w:tc>
          <w:tcPr>
            <w:tcW w:w="5272" w:type="dxa"/>
            <w:tcBorders>
              <w:left w:val="nil"/>
              <w:right w:val="nil"/>
            </w:tcBorders>
            <w:vAlign w:val="bottom"/>
          </w:tcPr>
          <w:p w14:paraId="3F8C044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Total equity and liabilities</w:t>
            </w:r>
          </w:p>
        </w:tc>
        <w:tc>
          <w:tcPr>
            <w:tcW w:w="1077" w:type="dxa"/>
            <w:tcBorders>
              <w:left w:val="nil"/>
              <w:right w:val="nil"/>
            </w:tcBorders>
            <w:vAlign w:val="bottom"/>
          </w:tcPr>
          <w:p w14:paraId="798E19BF"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highlight w:val="yellow"/>
                <w:lang w:val="en-GB" w:eastAsia="ru-RU"/>
              </w:rPr>
            </w:pPr>
          </w:p>
        </w:tc>
        <w:tc>
          <w:tcPr>
            <w:tcW w:w="1531" w:type="dxa"/>
            <w:tcBorders>
              <w:left w:val="nil"/>
              <w:right w:val="nil"/>
            </w:tcBorders>
            <w:vAlign w:val="bottom"/>
          </w:tcPr>
          <w:p w14:paraId="5B7EA66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lang w:val="en-US" w:eastAsia="ru-RU"/>
              </w:rPr>
              <w:t>525,</w:t>
            </w:r>
            <w:r w:rsidRPr="0005296F">
              <w:rPr>
                <w:rFonts w:ascii="Arial" w:eastAsia="Times New Roman" w:hAnsi="Arial" w:cs="Arial"/>
                <w:b/>
                <w:spacing w:val="-2"/>
                <w:sz w:val="18"/>
                <w:lang w:val="ru-RU" w:eastAsia="ru-RU"/>
              </w:rPr>
              <w:t>641</w:t>
            </w:r>
          </w:p>
        </w:tc>
        <w:tc>
          <w:tcPr>
            <w:tcW w:w="1531" w:type="dxa"/>
            <w:tcBorders>
              <w:left w:val="nil"/>
              <w:right w:val="nil"/>
            </w:tcBorders>
            <w:vAlign w:val="bottom"/>
          </w:tcPr>
          <w:p w14:paraId="24C38F1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05296F">
              <w:rPr>
                <w:rFonts w:ascii="Arial" w:eastAsia="Times New Roman" w:hAnsi="Arial" w:cs="Arial"/>
                <w:b/>
                <w:spacing w:val="-2"/>
                <w:sz w:val="18"/>
                <w:szCs w:val="18"/>
                <w:lang w:val="en-US" w:eastAsia="ru-RU"/>
              </w:rPr>
              <w:t>455,613</w:t>
            </w:r>
          </w:p>
        </w:tc>
      </w:tr>
      <w:tr w:rsidR="0005296F" w:rsidRPr="0005296F" w14:paraId="6CBC0699" w14:textId="77777777" w:rsidTr="00E000A0">
        <w:trPr>
          <w:cantSplit/>
        </w:trPr>
        <w:tc>
          <w:tcPr>
            <w:tcW w:w="5272" w:type="dxa"/>
            <w:tcBorders>
              <w:left w:val="nil"/>
              <w:bottom w:val="single" w:sz="12" w:space="0" w:color="auto"/>
              <w:right w:val="nil"/>
            </w:tcBorders>
            <w:vAlign w:val="bottom"/>
          </w:tcPr>
          <w:p w14:paraId="76675801"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1077" w:type="dxa"/>
            <w:tcBorders>
              <w:left w:val="nil"/>
              <w:bottom w:val="single" w:sz="12" w:space="0" w:color="auto"/>
              <w:right w:val="nil"/>
            </w:tcBorders>
            <w:vAlign w:val="bottom"/>
          </w:tcPr>
          <w:p w14:paraId="75A81EB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highlight w:val="yellow"/>
                <w:lang w:val="en-GB" w:eastAsia="ru-RU"/>
              </w:rPr>
            </w:pPr>
          </w:p>
        </w:tc>
        <w:tc>
          <w:tcPr>
            <w:tcW w:w="1531" w:type="dxa"/>
            <w:tcBorders>
              <w:left w:val="nil"/>
              <w:bottom w:val="single" w:sz="12" w:space="0" w:color="auto"/>
              <w:right w:val="nil"/>
            </w:tcBorders>
            <w:vAlign w:val="bottom"/>
          </w:tcPr>
          <w:p w14:paraId="4DAF322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c>
          <w:tcPr>
            <w:tcW w:w="1531" w:type="dxa"/>
            <w:tcBorders>
              <w:left w:val="nil"/>
              <w:bottom w:val="single" w:sz="12" w:space="0" w:color="auto"/>
              <w:right w:val="nil"/>
            </w:tcBorders>
            <w:vAlign w:val="bottom"/>
          </w:tcPr>
          <w:p w14:paraId="55244D7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highlight w:val="green"/>
                <w:lang w:val="ru-RU" w:eastAsia="ru-RU"/>
              </w:rPr>
            </w:pPr>
          </w:p>
        </w:tc>
      </w:tr>
    </w:tbl>
    <w:p w14:paraId="1F18D7ED" w14:textId="77777777" w:rsidR="0005296F" w:rsidRPr="0005296F" w:rsidRDefault="0005296F" w:rsidP="0005296F">
      <w:pPr>
        <w:rPr>
          <w:rFonts w:ascii="Arial" w:hAnsi="Arial" w:cs="Arial"/>
          <w:sz w:val="16"/>
          <w:szCs w:val="16"/>
          <w:lang w:val="en-US"/>
        </w:rPr>
        <w:sectPr w:rsidR="0005296F" w:rsidRPr="0005296F" w:rsidSect="00CE6A7A">
          <w:headerReference w:type="default" r:id="rId27"/>
          <w:footnotePr>
            <w:numRestart w:val="eachPage"/>
          </w:footnotePr>
          <w:pgSz w:w="11907" w:h="16840" w:code="9"/>
          <w:pgMar w:top="1134" w:right="1021" w:bottom="1134" w:left="1531" w:header="567" w:footer="567" w:gutter="0"/>
          <w:pgNumType w:start="1"/>
          <w:cols w:space="708"/>
          <w:docGrid w:linePitch="360"/>
        </w:sectPr>
      </w:pPr>
    </w:p>
    <w:p w14:paraId="2A41C66D" w14:textId="77777777" w:rsidR="0005296F" w:rsidRDefault="0005296F" w:rsidP="0005296F">
      <w:pPr>
        <w:widowControl w:val="0"/>
        <w:spacing w:before="120"/>
        <w:rPr>
          <w:rFonts w:ascii="Arial" w:hAnsi="Arial" w:cs="Arial"/>
          <w:i/>
          <w:iCs/>
          <w:sz w:val="16"/>
          <w:szCs w:val="16"/>
          <w:lang w:val="en-US"/>
        </w:rPr>
      </w:pPr>
    </w:p>
    <w:tbl>
      <w:tblPr>
        <w:tblW w:w="5000" w:type="pct"/>
        <w:tblLayout w:type="fixed"/>
        <w:tblCellMar>
          <w:left w:w="85" w:type="dxa"/>
          <w:right w:w="85" w:type="dxa"/>
        </w:tblCellMar>
        <w:tblLook w:val="0000" w:firstRow="0" w:lastRow="0" w:firstColumn="0" w:lastColumn="0" w:noHBand="0" w:noVBand="0"/>
      </w:tblPr>
      <w:tblGrid>
        <w:gridCol w:w="5999"/>
        <w:gridCol w:w="791"/>
        <w:gridCol w:w="1302"/>
        <w:gridCol w:w="1298"/>
      </w:tblGrid>
      <w:tr w:rsidR="0005296F" w:rsidRPr="0005296F" w14:paraId="70F19AF6" w14:textId="77777777" w:rsidTr="00E000A0">
        <w:trPr>
          <w:cantSplit/>
        </w:trPr>
        <w:tc>
          <w:tcPr>
            <w:tcW w:w="5977" w:type="dxa"/>
            <w:tcBorders>
              <w:bottom w:val="single" w:sz="4" w:space="0" w:color="auto"/>
            </w:tcBorders>
            <w:vAlign w:val="bottom"/>
          </w:tcPr>
          <w:p w14:paraId="0151AC0B"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i/>
                <w:iCs/>
                <w:spacing w:val="-2"/>
                <w:sz w:val="18"/>
                <w:szCs w:val="18"/>
                <w:lang w:val="en-GB" w:eastAsia="ru-RU"/>
              </w:rPr>
            </w:pPr>
            <w:r w:rsidRPr="0005296F">
              <w:rPr>
                <w:rFonts w:ascii="Arial" w:eastAsia="Times New Roman" w:hAnsi="Arial" w:cs="Arial"/>
                <w:i/>
                <w:iCs/>
                <w:spacing w:val="-2"/>
                <w:sz w:val="18"/>
                <w:szCs w:val="18"/>
                <w:lang w:val="en-GB" w:eastAsia="ru-RU"/>
              </w:rPr>
              <w:t>RUB million</w:t>
            </w:r>
          </w:p>
        </w:tc>
        <w:tc>
          <w:tcPr>
            <w:tcW w:w="788" w:type="dxa"/>
            <w:tcBorders>
              <w:bottom w:val="single" w:sz="4" w:space="0" w:color="auto"/>
            </w:tcBorders>
            <w:vAlign w:val="bottom"/>
          </w:tcPr>
          <w:p w14:paraId="3541DB51" w14:textId="6F2C5292"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ru-RU" w:eastAsia="ru-RU"/>
              </w:rPr>
            </w:pPr>
          </w:p>
        </w:tc>
        <w:tc>
          <w:tcPr>
            <w:tcW w:w="1297" w:type="dxa"/>
            <w:tcBorders>
              <w:bottom w:val="single" w:sz="4" w:space="0" w:color="auto"/>
            </w:tcBorders>
            <w:vAlign w:val="bottom"/>
          </w:tcPr>
          <w:p w14:paraId="3A878A8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05296F">
              <w:rPr>
                <w:rFonts w:ascii="Arial" w:eastAsia="Times New Roman" w:hAnsi="Arial" w:cs="Arial"/>
                <w:b/>
                <w:bCs/>
                <w:spacing w:val="-2"/>
                <w:sz w:val="18"/>
                <w:szCs w:val="18"/>
                <w:lang w:val="en-GB" w:eastAsia="ru-RU"/>
              </w:rPr>
              <w:t>20</w:t>
            </w:r>
            <w:r w:rsidRPr="0005296F">
              <w:rPr>
                <w:rFonts w:ascii="Arial" w:eastAsia="Times New Roman" w:hAnsi="Arial" w:cs="Arial"/>
                <w:b/>
                <w:bCs/>
                <w:spacing w:val="-2"/>
                <w:sz w:val="18"/>
                <w:szCs w:val="18"/>
                <w:lang w:val="ru-RU" w:eastAsia="ru-RU"/>
              </w:rPr>
              <w:t>23</w:t>
            </w:r>
          </w:p>
        </w:tc>
        <w:tc>
          <w:tcPr>
            <w:tcW w:w="1293" w:type="dxa"/>
            <w:tcBorders>
              <w:bottom w:val="single" w:sz="4" w:space="0" w:color="auto"/>
            </w:tcBorders>
            <w:vAlign w:val="bottom"/>
          </w:tcPr>
          <w:p w14:paraId="7CDACCD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05296F">
              <w:rPr>
                <w:rFonts w:ascii="Arial" w:eastAsia="Times New Roman" w:hAnsi="Arial" w:cs="Arial"/>
                <w:b/>
                <w:bCs/>
                <w:spacing w:val="-2"/>
                <w:sz w:val="18"/>
                <w:szCs w:val="18"/>
                <w:lang w:val="en-GB" w:eastAsia="ru-RU"/>
              </w:rPr>
              <w:t>20</w:t>
            </w:r>
            <w:r w:rsidRPr="0005296F">
              <w:rPr>
                <w:rFonts w:ascii="Arial" w:eastAsia="Times New Roman" w:hAnsi="Arial" w:cs="Arial"/>
                <w:b/>
                <w:bCs/>
                <w:spacing w:val="-2"/>
                <w:sz w:val="18"/>
                <w:szCs w:val="18"/>
                <w:lang w:val="ru-RU" w:eastAsia="ru-RU"/>
              </w:rPr>
              <w:t>2</w:t>
            </w:r>
            <w:r w:rsidRPr="0005296F">
              <w:rPr>
                <w:rFonts w:ascii="Arial" w:eastAsia="Times New Roman" w:hAnsi="Arial" w:cs="Arial"/>
                <w:b/>
                <w:bCs/>
                <w:spacing w:val="-2"/>
                <w:sz w:val="18"/>
                <w:szCs w:val="18"/>
                <w:lang w:val="en-US" w:eastAsia="ru-RU"/>
              </w:rPr>
              <w:t>2</w:t>
            </w:r>
          </w:p>
        </w:tc>
      </w:tr>
      <w:tr w:rsidR="0005296F" w:rsidRPr="0005296F" w14:paraId="32E7E3BF" w14:textId="77777777" w:rsidTr="00E000A0">
        <w:trPr>
          <w:cantSplit/>
        </w:trPr>
        <w:tc>
          <w:tcPr>
            <w:tcW w:w="5977" w:type="dxa"/>
            <w:tcBorders>
              <w:top w:val="single" w:sz="4" w:space="0" w:color="auto"/>
            </w:tcBorders>
            <w:vAlign w:val="bottom"/>
          </w:tcPr>
          <w:p w14:paraId="7FD2D29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55E4E09D"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vAlign w:val="bottom"/>
          </w:tcPr>
          <w:p w14:paraId="4889BC14"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3" w:type="dxa"/>
            <w:tcBorders>
              <w:top w:val="single" w:sz="4" w:space="0" w:color="auto"/>
            </w:tcBorders>
            <w:vAlign w:val="bottom"/>
          </w:tcPr>
          <w:p w14:paraId="67012B52"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r>
      <w:tr w:rsidR="0005296F" w:rsidRPr="0005296F" w14:paraId="5BD6E4B3" w14:textId="77777777" w:rsidTr="00E000A0">
        <w:trPr>
          <w:cantSplit/>
        </w:trPr>
        <w:tc>
          <w:tcPr>
            <w:tcW w:w="5977" w:type="dxa"/>
            <w:vAlign w:val="bottom"/>
          </w:tcPr>
          <w:p w14:paraId="0518F301"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i/>
                <w:spacing w:val="-2"/>
                <w:sz w:val="18"/>
                <w:szCs w:val="18"/>
                <w:lang w:val="en-GB" w:eastAsia="ru-RU"/>
              </w:rPr>
            </w:pPr>
            <w:r w:rsidRPr="0005296F">
              <w:rPr>
                <w:rFonts w:ascii="Arial" w:eastAsia="Times New Roman" w:hAnsi="Arial" w:cs="Arial"/>
                <w:b/>
                <w:i/>
                <w:spacing w:val="-2"/>
                <w:sz w:val="18"/>
                <w:szCs w:val="18"/>
                <w:lang w:val="en-GB" w:eastAsia="ru-RU"/>
              </w:rPr>
              <w:t>Cash flows from operating activities</w:t>
            </w:r>
          </w:p>
        </w:tc>
        <w:tc>
          <w:tcPr>
            <w:tcW w:w="788" w:type="dxa"/>
            <w:vAlign w:val="bottom"/>
          </w:tcPr>
          <w:p w14:paraId="292F0DF5"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vAlign w:val="bottom"/>
          </w:tcPr>
          <w:p w14:paraId="0D374A5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293" w:type="dxa"/>
            <w:vAlign w:val="bottom"/>
          </w:tcPr>
          <w:p w14:paraId="1D2CD43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05296F" w:rsidRPr="0005296F" w14:paraId="10B09E97" w14:textId="77777777" w:rsidTr="00E000A0">
        <w:trPr>
          <w:cantSplit/>
        </w:trPr>
        <w:tc>
          <w:tcPr>
            <w:tcW w:w="5977" w:type="dxa"/>
            <w:vAlign w:val="bottom"/>
          </w:tcPr>
          <w:p w14:paraId="5E109E3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Operating profit</w:t>
            </w:r>
          </w:p>
        </w:tc>
        <w:tc>
          <w:tcPr>
            <w:tcW w:w="788" w:type="dxa"/>
            <w:vAlign w:val="bottom"/>
          </w:tcPr>
          <w:p w14:paraId="3E9363A0"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3761C65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150,</w:t>
            </w:r>
            <w:r w:rsidRPr="0005296F">
              <w:rPr>
                <w:rFonts w:ascii="Arial" w:eastAsia="Times New Roman" w:hAnsi="Arial" w:cs="Arial"/>
                <w:spacing w:val="-2"/>
                <w:sz w:val="18"/>
                <w:lang w:val="ru-RU" w:eastAsia="ru-RU"/>
              </w:rPr>
              <w:t>756</w:t>
            </w:r>
          </w:p>
        </w:tc>
        <w:tc>
          <w:tcPr>
            <w:tcW w:w="1293" w:type="dxa"/>
            <w:vAlign w:val="bottom"/>
          </w:tcPr>
          <w:p w14:paraId="3D01FF6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228</w:t>
            </w:r>
            <w:r w:rsidRPr="0005296F">
              <w:rPr>
                <w:rFonts w:ascii="Arial" w:eastAsia="Times New Roman" w:hAnsi="Arial" w:cs="Arial"/>
                <w:spacing w:val="-2"/>
                <w:sz w:val="18"/>
                <w:szCs w:val="18"/>
                <w:lang w:val="en-US" w:eastAsia="ru-RU"/>
              </w:rPr>
              <w:t>,340</w:t>
            </w:r>
          </w:p>
        </w:tc>
      </w:tr>
      <w:tr w:rsidR="0005296F" w:rsidRPr="0005296F" w14:paraId="6F4C2B6F" w14:textId="77777777" w:rsidTr="00E000A0">
        <w:trPr>
          <w:cantSplit/>
        </w:trPr>
        <w:tc>
          <w:tcPr>
            <w:tcW w:w="5977" w:type="dxa"/>
            <w:vAlign w:val="bottom"/>
          </w:tcPr>
          <w:p w14:paraId="62C0BDD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i/>
                <w:iCs/>
                <w:spacing w:val="-2"/>
                <w:sz w:val="18"/>
                <w:szCs w:val="18"/>
                <w:lang w:val="ru-RU" w:eastAsia="ru-RU"/>
              </w:rPr>
            </w:pPr>
            <w:r w:rsidRPr="0005296F">
              <w:rPr>
                <w:rFonts w:ascii="Arial" w:eastAsia="Times New Roman" w:hAnsi="Arial" w:cs="Arial"/>
                <w:i/>
                <w:iCs/>
                <w:spacing w:val="-2"/>
                <w:sz w:val="18"/>
                <w:szCs w:val="18"/>
                <w:lang w:val="en-GB" w:eastAsia="ru-RU"/>
              </w:rPr>
              <w:t>Adjustments for:</w:t>
            </w:r>
          </w:p>
        </w:tc>
        <w:tc>
          <w:tcPr>
            <w:tcW w:w="788" w:type="dxa"/>
            <w:vAlign w:val="bottom"/>
          </w:tcPr>
          <w:p w14:paraId="17403A7A"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i/>
                <w:iCs/>
                <w:spacing w:val="-2"/>
                <w:sz w:val="18"/>
                <w:szCs w:val="18"/>
                <w:lang w:val="en-GB" w:eastAsia="ru-RU"/>
              </w:rPr>
            </w:pPr>
          </w:p>
        </w:tc>
        <w:tc>
          <w:tcPr>
            <w:tcW w:w="1297" w:type="dxa"/>
            <w:shd w:val="clear" w:color="auto" w:fill="auto"/>
            <w:vAlign w:val="bottom"/>
          </w:tcPr>
          <w:p w14:paraId="16100B7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293" w:type="dxa"/>
            <w:vAlign w:val="bottom"/>
          </w:tcPr>
          <w:p w14:paraId="009500C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05296F" w:rsidRPr="0005296F" w14:paraId="17D1E208" w14:textId="77777777" w:rsidTr="00E000A0">
        <w:trPr>
          <w:cantSplit/>
        </w:trPr>
        <w:tc>
          <w:tcPr>
            <w:tcW w:w="5977" w:type="dxa"/>
            <w:vAlign w:val="bottom"/>
          </w:tcPr>
          <w:p w14:paraId="582B2A4C"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Depreciation and amortisation</w:t>
            </w:r>
          </w:p>
        </w:tc>
        <w:tc>
          <w:tcPr>
            <w:tcW w:w="788" w:type="dxa"/>
            <w:vAlign w:val="bottom"/>
          </w:tcPr>
          <w:p w14:paraId="0B029D6C" w14:textId="12689DD5"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297" w:type="dxa"/>
            <w:shd w:val="clear" w:color="auto" w:fill="auto"/>
            <w:vAlign w:val="bottom"/>
          </w:tcPr>
          <w:p w14:paraId="7E5DFCB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32,282</w:t>
            </w:r>
          </w:p>
        </w:tc>
        <w:tc>
          <w:tcPr>
            <w:tcW w:w="1293" w:type="dxa"/>
            <w:vAlign w:val="bottom"/>
          </w:tcPr>
          <w:p w14:paraId="76B4F96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29,539</w:t>
            </w:r>
          </w:p>
        </w:tc>
      </w:tr>
      <w:tr w:rsidR="0005296F" w:rsidRPr="0005296F" w14:paraId="124F1D29" w14:textId="77777777" w:rsidTr="00E000A0">
        <w:trPr>
          <w:cantSplit/>
        </w:trPr>
        <w:tc>
          <w:tcPr>
            <w:tcW w:w="5977" w:type="dxa"/>
            <w:vAlign w:val="bottom"/>
          </w:tcPr>
          <w:p w14:paraId="69D90420"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Loss on disposal of property, plant and equipment and intangible assets</w:t>
            </w:r>
          </w:p>
        </w:tc>
        <w:tc>
          <w:tcPr>
            <w:tcW w:w="788" w:type="dxa"/>
            <w:vAlign w:val="bottom"/>
          </w:tcPr>
          <w:p w14:paraId="45803ACF" w14:textId="527BB258"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297" w:type="dxa"/>
            <w:shd w:val="clear" w:color="auto" w:fill="auto"/>
            <w:vAlign w:val="bottom"/>
          </w:tcPr>
          <w:p w14:paraId="635CE25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365</w:t>
            </w:r>
          </w:p>
        </w:tc>
        <w:tc>
          <w:tcPr>
            <w:tcW w:w="1293" w:type="dxa"/>
            <w:vAlign w:val="bottom"/>
          </w:tcPr>
          <w:p w14:paraId="7D6477A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429</w:t>
            </w:r>
          </w:p>
        </w:tc>
      </w:tr>
      <w:tr w:rsidR="0005296F" w:rsidRPr="0005296F" w14:paraId="5EBA62FC" w14:textId="77777777" w:rsidTr="00E000A0">
        <w:trPr>
          <w:cantSplit/>
        </w:trPr>
        <w:tc>
          <w:tcPr>
            <w:tcW w:w="5977" w:type="dxa"/>
            <w:tcBorders>
              <w:bottom w:val="single" w:sz="4" w:space="0" w:color="auto"/>
            </w:tcBorders>
            <w:vAlign w:val="bottom"/>
          </w:tcPr>
          <w:p w14:paraId="001E592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bottom w:val="single" w:sz="4" w:space="0" w:color="auto"/>
            </w:tcBorders>
            <w:vAlign w:val="bottom"/>
          </w:tcPr>
          <w:p w14:paraId="274E1969"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7A31A37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bottom w:val="single" w:sz="4" w:space="0" w:color="auto"/>
            </w:tcBorders>
            <w:vAlign w:val="bottom"/>
          </w:tcPr>
          <w:p w14:paraId="5D59F28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1C040F3D" w14:textId="77777777" w:rsidTr="00E000A0">
        <w:trPr>
          <w:cantSplit/>
        </w:trPr>
        <w:tc>
          <w:tcPr>
            <w:tcW w:w="5977" w:type="dxa"/>
            <w:tcBorders>
              <w:top w:val="single" w:sz="4" w:space="0" w:color="auto"/>
            </w:tcBorders>
            <w:vAlign w:val="bottom"/>
          </w:tcPr>
          <w:p w14:paraId="2F7448F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1B21243F"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617854E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top w:val="single" w:sz="4" w:space="0" w:color="auto"/>
            </w:tcBorders>
            <w:vAlign w:val="bottom"/>
          </w:tcPr>
          <w:p w14:paraId="605E482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3C05DBBD" w14:textId="77777777" w:rsidTr="00E000A0">
        <w:trPr>
          <w:cantSplit/>
        </w:trPr>
        <w:tc>
          <w:tcPr>
            <w:tcW w:w="5977" w:type="dxa"/>
            <w:vAlign w:val="bottom"/>
          </w:tcPr>
          <w:p w14:paraId="62C95AAB"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Operating profit before changes in working capital</w:t>
            </w:r>
          </w:p>
        </w:tc>
        <w:tc>
          <w:tcPr>
            <w:tcW w:w="788" w:type="dxa"/>
            <w:vAlign w:val="bottom"/>
          </w:tcPr>
          <w:p w14:paraId="61A8453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297" w:type="dxa"/>
            <w:shd w:val="clear" w:color="auto" w:fill="auto"/>
            <w:vAlign w:val="bottom"/>
          </w:tcPr>
          <w:p w14:paraId="0F74027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05296F">
              <w:rPr>
                <w:rFonts w:ascii="Arial" w:eastAsia="Times New Roman" w:hAnsi="Arial" w:cs="Arial"/>
                <w:b/>
                <w:spacing w:val="-2"/>
                <w:sz w:val="18"/>
                <w:lang w:val="en-US" w:eastAsia="ru-RU"/>
              </w:rPr>
              <w:t>183</w:t>
            </w:r>
            <w:r w:rsidRPr="0005296F">
              <w:rPr>
                <w:rFonts w:ascii="Arial" w:eastAsia="Times New Roman" w:hAnsi="Arial" w:cs="Arial"/>
                <w:b/>
                <w:spacing w:val="-2"/>
                <w:sz w:val="18"/>
                <w:lang w:val="ru-RU" w:eastAsia="ru-RU"/>
              </w:rPr>
              <w:t>,403</w:t>
            </w:r>
          </w:p>
        </w:tc>
        <w:tc>
          <w:tcPr>
            <w:tcW w:w="1293" w:type="dxa"/>
            <w:vAlign w:val="bottom"/>
          </w:tcPr>
          <w:p w14:paraId="708F142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US" w:eastAsia="ru-RU"/>
              </w:rPr>
              <w:t>258,308</w:t>
            </w:r>
          </w:p>
        </w:tc>
      </w:tr>
      <w:tr w:rsidR="0005296F" w:rsidRPr="0005296F" w14:paraId="695A333E" w14:textId="77777777" w:rsidTr="00E000A0">
        <w:trPr>
          <w:cantSplit/>
        </w:trPr>
        <w:tc>
          <w:tcPr>
            <w:tcW w:w="5977" w:type="dxa"/>
            <w:vAlign w:val="bottom"/>
          </w:tcPr>
          <w:p w14:paraId="47CBAFF6" w14:textId="77777777" w:rsidR="0005296F" w:rsidRPr="0005296F" w:rsidRDefault="0005296F" w:rsidP="0005296F">
            <w:pPr>
              <w:widowControl w:val="0"/>
              <w:autoSpaceDE w:val="0"/>
              <w:autoSpaceDN w:val="0"/>
              <w:adjustRightInd w:val="0"/>
              <w:spacing w:after="0" w:line="240" w:lineRule="auto"/>
              <w:ind w:left="113"/>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 xml:space="preserve">Decrease in trade and other </w:t>
            </w:r>
            <w:r w:rsidRPr="0005296F">
              <w:rPr>
                <w:rFonts w:ascii="Arial" w:eastAsia="Times New Roman" w:hAnsi="Arial" w:cs="Arial"/>
                <w:spacing w:val="-2"/>
                <w:sz w:val="18"/>
                <w:lang w:val="en-GB" w:eastAsia="ru-RU"/>
              </w:rPr>
              <w:t>receivables</w:t>
            </w:r>
            <w:r w:rsidRPr="0005296F">
              <w:rPr>
                <w:rFonts w:ascii="Arial" w:eastAsia="Times New Roman" w:hAnsi="Arial" w:cs="Arial"/>
                <w:spacing w:val="-2"/>
                <w:sz w:val="18"/>
                <w:vertAlign w:val="superscript"/>
                <w:lang w:val="en-US"/>
              </w:rPr>
              <w:t>1</w:t>
            </w:r>
          </w:p>
        </w:tc>
        <w:tc>
          <w:tcPr>
            <w:tcW w:w="788" w:type="dxa"/>
            <w:vAlign w:val="bottom"/>
          </w:tcPr>
          <w:p w14:paraId="6C2A431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2C5C913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6,06</w:t>
            </w:r>
            <w:r w:rsidRPr="0005296F">
              <w:rPr>
                <w:rFonts w:ascii="Arial" w:eastAsia="Times New Roman" w:hAnsi="Arial" w:cs="Arial"/>
                <w:spacing w:val="-2"/>
                <w:sz w:val="18"/>
                <w:lang w:val="ru-RU" w:eastAsia="ru-RU"/>
              </w:rPr>
              <w:t>3</w:t>
            </w:r>
          </w:p>
        </w:tc>
        <w:tc>
          <w:tcPr>
            <w:tcW w:w="1293" w:type="dxa"/>
            <w:vAlign w:val="bottom"/>
          </w:tcPr>
          <w:p w14:paraId="763BA5F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7,498</w:t>
            </w:r>
          </w:p>
        </w:tc>
      </w:tr>
      <w:tr w:rsidR="0005296F" w:rsidRPr="0005296F" w14:paraId="588A4FDB" w14:textId="77777777" w:rsidTr="00E000A0">
        <w:trPr>
          <w:cantSplit/>
        </w:trPr>
        <w:tc>
          <w:tcPr>
            <w:tcW w:w="5977" w:type="dxa"/>
            <w:vAlign w:val="bottom"/>
          </w:tcPr>
          <w:p w14:paraId="446CB4F4" w14:textId="77777777" w:rsidR="0005296F" w:rsidRPr="0005296F" w:rsidRDefault="0005296F" w:rsidP="0005296F">
            <w:pPr>
              <w:widowControl w:val="0"/>
              <w:autoSpaceDE w:val="0"/>
              <w:autoSpaceDN w:val="0"/>
              <w:adjustRightInd w:val="0"/>
              <w:spacing w:after="0" w:line="240" w:lineRule="auto"/>
              <w:ind w:left="113"/>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 xml:space="preserve">Increase in inventories, </w:t>
            </w:r>
            <w:proofErr w:type="gramStart"/>
            <w:r w:rsidRPr="0005296F">
              <w:rPr>
                <w:rFonts w:ascii="Arial" w:eastAsia="Times New Roman" w:hAnsi="Arial" w:cs="Arial"/>
                <w:spacing w:val="-2"/>
                <w:sz w:val="18"/>
                <w:szCs w:val="18"/>
                <w:lang w:val="en-US"/>
              </w:rPr>
              <w:t>catalysts</w:t>
            </w:r>
            <w:proofErr w:type="gramEnd"/>
            <w:r w:rsidRPr="0005296F">
              <w:rPr>
                <w:rFonts w:ascii="Arial" w:eastAsia="Times New Roman" w:hAnsi="Arial" w:cs="Arial"/>
                <w:spacing w:val="-2"/>
                <w:sz w:val="18"/>
                <w:szCs w:val="18"/>
                <w:lang w:val="en-US"/>
              </w:rPr>
              <w:t xml:space="preserve"> and non-current spare parts</w:t>
            </w:r>
          </w:p>
        </w:tc>
        <w:tc>
          <w:tcPr>
            <w:tcW w:w="788" w:type="dxa"/>
            <w:vAlign w:val="bottom"/>
          </w:tcPr>
          <w:p w14:paraId="1966CFE8"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1842B3E7"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(11,624)</w:t>
            </w:r>
          </w:p>
        </w:tc>
        <w:tc>
          <w:tcPr>
            <w:tcW w:w="1293" w:type="dxa"/>
            <w:vAlign w:val="bottom"/>
          </w:tcPr>
          <w:p w14:paraId="51FC565F"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(12,308)</w:t>
            </w:r>
          </w:p>
        </w:tc>
      </w:tr>
      <w:tr w:rsidR="0005296F" w:rsidRPr="0005296F" w14:paraId="229275F1" w14:textId="77777777" w:rsidTr="00E000A0">
        <w:trPr>
          <w:cantSplit/>
        </w:trPr>
        <w:tc>
          <w:tcPr>
            <w:tcW w:w="5977" w:type="dxa"/>
            <w:vAlign w:val="bottom"/>
          </w:tcPr>
          <w:p w14:paraId="4D265A20" w14:textId="77777777" w:rsidR="0005296F" w:rsidRPr="0005296F" w:rsidRDefault="0005296F" w:rsidP="0005296F">
            <w:pPr>
              <w:widowControl w:val="0"/>
              <w:autoSpaceDE w:val="0"/>
              <w:autoSpaceDN w:val="0"/>
              <w:adjustRightInd w:val="0"/>
              <w:spacing w:after="0" w:line="240" w:lineRule="auto"/>
              <w:ind w:left="113"/>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GB" w:eastAsia="ru-RU"/>
              </w:rPr>
              <w:t xml:space="preserve">Decrease in trade and other </w:t>
            </w:r>
            <w:r w:rsidRPr="0005296F">
              <w:rPr>
                <w:rFonts w:ascii="Arial" w:eastAsia="Times New Roman" w:hAnsi="Arial" w:cs="Arial"/>
                <w:spacing w:val="-2"/>
                <w:sz w:val="18"/>
                <w:lang w:val="en-GB" w:eastAsia="ru-RU"/>
              </w:rPr>
              <w:t>payables</w:t>
            </w:r>
            <w:r w:rsidRPr="0005296F">
              <w:rPr>
                <w:rFonts w:ascii="Arial" w:eastAsia="Times New Roman" w:hAnsi="Arial" w:cs="Arial"/>
                <w:spacing w:val="-2"/>
                <w:sz w:val="18"/>
                <w:vertAlign w:val="superscript"/>
                <w:lang w:val="en-US"/>
              </w:rPr>
              <w:t>1</w:t>
            </w:r>
          </w:p>
        </w:tc>
        <w:tc>
          <w:tcPr>
            <w:tcW w:w="788" w:type="dxa"/>
            <w:vAlign w:val="bottom"/>
          </w:tcPr>
          <w:p w14:paraId="535C6819"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1B126532"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(46)</w:t>
            </w:r>
          </w:p>
        </w:tc>
        <w:tc>
          <w:tcPr>
            <w:tcW w:w="1293" w:type="dxa"/>
            <w:vAlign w:val="bottom"/>
          </w:tcPr>
          <w:p w14:paraId="2BC0E809"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(3,131)</w:t>
            </w:r>
          </w:p>
        </w:tc>
      </w:tr>
      <w:tr w:rsidR="0005296F" w:rsidRPr="0005296F" w14:paraId="36D87562" w14:textId="77777777" w:rsidTr="00E000A0">
        <w:trPr>
          <w:cantSplit/>
        </w:trPr>
        <w:tc>
          <w:tcPr>
            <w:tcW w:w="5977" w:type="dxa"/>
            <w:tcBorders>
              <w:bottom w:val="single" w:sz="4" w:space="0" w:color="auto"/>
            </w:tcBorders>
            <w:vAlign w:val="bottom"/>
          </w:tcPr>
          <w:p w14:paraId="67C35BC4"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bottom w:val="single" w:sz="4" w:space="0" w:color="auto"/>
            </w:tcBorders>
            <w:vAlign w:val="bottom"/>
          </w:tcPr>
          <w:p w14:paraId="4CA45767"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57B9E52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bottom w:val="single" w:sz="4" w:space="0" w:color="auto"/>
            </w:tcBorders>
            <w:vAlign w:val="bottom"/>
          </w:tcPr>
          <w:p w14:paraId="1199081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215C5FE6" w14:textId="77777777" w:rsidTr="00E000A0">
        <w:trPr>
          <w:cantSplit/>
        </w:trPr>
        <w:tc>
          <w:tcPr>
            <w:tcW w:w="5977" w:type="dxa"/>
            <w:tcBorders>
              <w:top w:val="single" w:sz="4" w:space="0" w:color="auto"/>
            </w:tcBorders>
            <w:vAlign w:val="bottom"/>
          </w:tcPr>
          <w:p w14:paraId="291C0353"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32B84F02"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63BBE0F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top w:val="single" w:sz="4" w:space="0" w:color="auto"/>
            </w:tcBorders>
            <w:vAlign w:val="bottom"/>
          </w:tcPr>
          <w:p w14:paraId="39B2F48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05296F" w:rsidRPr="0005296F" w14:paraId="65997878" w14:textId="77777777" w:rsidTr="00E000A0">
        <w:trPr>
          <w:cantSplit/>
        </w:trPr>
        <w:tc>
          <w:tcPr>
            <w:tcW w:w="5977" w:type="dxa"/>
            <w:vAlign w:val="bottom"/>
          </w:tcPr>
          <w:p w14:paraId="6FD7C781"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Cash flows from operations before income tax and interest paid</w:t>
            </w:r>
          </w:p>
        </w:tc>
        <w:tc>
          <w:tcPr>
            <w:tcW w:w="788" w:type="dxa"/>
            <w:vAlign w:val="bottom"/>
          </w:tcPr>
          <w:p w14:paraId="440D8E9B"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297" w:type="dxa"/>
            <w:shd w:val="clear" w:color="auto" w:fill="auto"/>
            <w:vAlign w:val="bottom"/>
          </w:tcPr>
          <w:p w14:paraId="5724BC2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lang w:val="en-US" w:eastAsia="ru-RU"/>
              </w:rPr>
              <w:t>177,79</w:t>
            </w:r>
            <w:r w:rsidRPr="0005296F">
              <w:rPr>
                <w:rFonts w:ascii="Arial" w:eastAsia="Times New Roman" w:hAnsi="Arial" w:cs="Arial"/>
                <w:b/>
                <w:spacing w:val="-2"/>
                <w:sz w:val="18"/>
                <w:lang w:val="ru-RU" w:eastAsia="ru-RU"/>
              </w:rPr>
              <w:t>6</w:t>
            </w:r>
          </w:p>
        </w:tc>
        <w:tc>
          <w:tcPr>
            <w:tcW w:w="1293" w:type="dxa"/>
            <w:vAlign w:val="bottom"/>
          </w:tcPr>
          <w:p w14:paraId="3752267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US" w:eastAsia="ru-RU"/>
              </w:rPr>
              <w:t>250,367</w:t>
            </w:r>
          </w:p>
        </w:tc>
      </w:tr>
      <w:tr w:rsidR="0005296F" w:rsidRPr="0005296F" w14:paraId="5825FA11" w14:textId="77777777" w:rsidTr="00E000A0">
        <w:trPr>
          <w:cantSplit/>
        </w:trPr>
        <w:tc>
          <w:tcPr>
            <w:tcW w:w="5977" w:type="dxa"/>
            <w:vAlign w:val="bottom"/>
          </w:tcPr>
          <w:p w14:paraId="4BAF6F0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Income tax paid</w:t>
            </w:r>
          </w:p>
        </w:tc>
        <w:tc>
          <w:tcPr>
            <w:tcW w:w="788" w:type="dxa"/>
            <w:vAlign w:val="bottom"/>
          </w:tcPr>
          <w:p w14:paraId="24426A48"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22F41BBB"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(29,77</w:t>
            </w:r>
            <w:r w:rsidRPr="0005296F">
              <w:rPr>
                <w:rFonts w:ascii="Arial" w:eastAsia="Times New Roman" w:hAnsi="Arial" w:cs="Arial"/>
                <w:spacing w:val="-2"/>
                <w:sz w:val="18"/>
                <w:lang w:val="ru-RU" w:eastAsia="ru-RU"/>
              </w:rPr>
              <w:t>7</w:t>
            </w:r>
            <w:r w:rsidRPr="0005296F">
              <w:rPr>
                <w:rFonts w:ascii="Arial" w:eastAsia="Times New Roman" w:hAnsi="Arial" w:cs="Arial"/>
                <w:spacing w:val="-2"/>
                <w:sz w:val="18"/>
                <w:lang w:val="en-US" w:eastAsia="ru-RU"/>
              </w:rPr>
              <w:t>)</w:t>
            </w:r>
          </w:p>
        </w:tc>
        <w:tc>
          <w:tcPr>
            <w:tcW w:w="1293" w:type="dxa"/>
            <w:vAlign w:val="bottom"/>
          </w:tcPr>
          <w:p w14:paraId="09D8AB08"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szCs w:val="18"/>
                <w:lang w:val="en-US" w:eastAsia="ru-RU"/>
              </w:rPr>
              <w:t>(41,811)</w:t>
            </w:r>
          </w:p>
        </w:tc>
      </w:tr>
      <w:tr w:rsidR="0005296F" w:rsidRPr="0005296F" w14:paraId="3ACD803F" w14:textId="77777777" w:rsidTr="00E000A0">
        <w:trPr>
          <w:cantSplit/>
        </w:trPr>
        <w:tc>
          <w:tcPr>
            <w:tcW w:w="5977" w:type="dxa"/>
            <w:vAlign w:val="bottom"/>
          </w:tcPr>
          <w:p w14:paraId="43F745C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Finance costs paid</w:t>
            </w:r>
          </w:p>
        </w:tc>
        <w:tc>
          <w:tcPr>
            <w:tcW w:w="788" w:type="dxa"/>
            <w:vAlign w:val="bottom"/>
          </w:tcPr>
          <w:p w14:paraId="003DAB55"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58E297E5"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(7,378)</w:t>
            </w:r>
          </w:p>
        </w:tc>
        <w:tc>
          <w:tcPr>
            <w:tcW w:w="1293" w:type="dxa"/>
            <w:vAlign w:val="bottom"/>
          </w:tcPr>
          <w:p w14:paraId="07EA18FE"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(5,275)</w:t>
            </w:r>
          </w:p>
        </w:tc>
      </w:tr>
      <w:tr w:rsidR="0005296F" w:rsidRPr="0005296F" w14:paraId="77369E07" w14:textId="77777777" w:rsidTr="00E000A0">
        <w:trPr>
          <w:cantSplit/>
        </w:trPr>
        <w:tc>
          <w:tcPr>
            <w:tcW w:w="5977" w:type="dxa"/>
            <w:vAlign w:val="bottom"/>
          </w:tcPr>
          <w:p w14:paraId="78BDBEA9"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W</w:t>
            </w:r>
            <w:proofErr w:type="spellStart"/>
            <w:r w:rsidRPr="0005296F">
              <w:rPr>
                <w:rFonts w:ascii="Arial" w:eastAsia="Times New Roman" w:hAnsi="Arial" w:cs="Arial"/>
                <w:spacing w:val="-2"/>
                <w:sz w:val="18"/>
                <w:szCs w:val="18"/>
                <w:lang w:val="en-GB" w:eastAsia="ru-RU"/>
              </w:rPr>
              <w:t>indfall</w:t>
            </w:r>
            <w:proofErr w:type="spellEnd"/>
            <w:r w:rsidRPr="0005296F">
              <w:rPr>
                <w:rFonts w:ascii="Arial" w:eastAsia="Times New Roman" w:hAnsi="Arial" w:cs="Arial"/>
                <w:spacing w:val="-2"/>
                <w:sz w:val="18"/>
                <w:szCs w:val="18"/>
                <w:lang w:val="en-GB" w:eastAsia="ru-RU"/>
              </w:rPr>
              <w:t xml:space="preserve"> tax security payment</w:t>
            </w:r>
          </w:p>
        </w:tc>
        <w:tc>
          <w:tcPr>
            <w:tcW w:w="788" w:type="dxa"/>
            <w:vAlign w:val="bottom"/>
          </w:tcPr>
          <w:p w14:paraId="22484811" w14:textId="6E75BC1F"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4A017297"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(6,355)</w:t>
            </w:r>
          </w:p>
        </w:tc>
        <w:tc>
          <w:tcPr>
            <w:tcW w:w="1293" w:type="dxa"/>
            <w:vAlign w:val="bottom"/>
          </w:tcPr>
          <w:p w14:paraId="3495F07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05296F">
              <w:rPr>
                <w:rFonts w:ascii="Arial" w:eastAsia="Times New Roman" w:hAnsi="Arial" w:cs="Arial"/>
                <w:spacing w:val="-2"/>
                <w:sz w:val="18"/>
                <w:lang w:val="en-US" w:eastAsia="ru-RU"/>
              </w:rPr>
              <w:t>-</w:t>
            </w:r>
          </w:p>
        </w:tc>
      </w:tr>
      <w:tr w:rsidR="0005296F" w:rsidRPr="0005296F" w14:paraId="43137649" w14:textId="77777777" w:rsidTr="00E000A0">
        <w:trPr>
          <w:cantSplit/>
        </w:trPr>
        <w:tc>
          <w:tcPr>
            <w:tcW w:w="5977" w:type="dxa"/>
            <w:tcBorders>
              <w:bottom w:val="single" w:sz="4" w:space="0" w:color="auto"/>
            </w:tcBorders>
            <w:vAlign w:val="bottom"/>
          </w:tcPr>
          <w:p w14:paraId="05597778"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bottom w:val="single" w:sz="4" w:space="0" w:color="auto"/>
            </w:tcBorders>
            <w:vAlign w:val="bottom"/>
          </w:tcPr>
          <w:p w14:paraId="5448F30F"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0DA176B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bottom w:val="single" w:sz="4" w:space="0" w:color="auto"/>
            </w:tcBorders>
            <w:vAlign w:val="bottom"/>
          </w:tcPr>
          <w:p w14:paraId="065341E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6F32E17B" w14:textId="77777777" w:rsidTr="00E000A0">
        <w:trPr>
          <w:cantSplit/>
        </w:trPr>
        <w:tc>
          <w:tcPr>
            <w:tcW w:w="5977" w:type="dxa"/>
            <w:tcBorders>
              <w:top w:val="single" w:sz="4" w:space="0" w:color="auto"/>
            </w:tcBorders>
            <w:vAlign w:val="bottom"/>
          </w:tcPr>
          <w:p w14:paraId="5CAD99AC"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0AED3C72"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4A34968A"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93" w:type="dxa"/>
            <w:tcBorders>
              <w:top w:val="single" w:sz="4" w:space="0" w:color="auto"/>
            </w:tcBorders>
            <w:vAlign w:val="bottom"/>
          </w:tcPr>
          <w:p w14:paraId="5E7FFDA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1A243CE6" w14:textId="77777777" w:rsidTr="00E000A0">
        <w:trPr>
          <w:cantSplit/>
        </w:trPr>
        <w:tc>
          <w:tcPr>
            <w:tcW w:w="5977" w:type="dxa"/>
            <w:vAlign w:val="bottom"/>
          </w:tcPr>
          <w:p w14:paraId="0E012884"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b/>
                <w:spacing w:val="-2"/>
                <w:sz w:val="18"/>
                <w:szCs w:val="18"/>
                <w:lang w:val="en-GB" w:eastAsia="ru-RU"/>
              </w:rPr>
              <w:t>Cash flows from operating activities</w:t>
            </w:r>
          </w:p>
        </w:tc>
        <w:tc>
          <w:tcPr>
            <w:tcW w:w="788" w:type="dxa"/>
            <w:vAlign w:val="bottom"/>
          </w:tcPr>
          <w:p w14:paraId="5D7C1B1B"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7D28BBC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lang w:val="en-US" w:eastAsia="ru-RU"/>
              </w:rPr>
              <w:t>134,286</w:t>
            </w:r>
          </w:p>
        </w:tc>
        <w:tc>
          <w:tcPr>
            <w:tcW w:w="1293" w:type="dxa"/>
            <w:vAlign w:val="bottom"/>
          </w:tcPr>
          <w:p w14:paraId="1EB829B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US" w:eastAsia="ru-RU"/>
              </w:rPr>
              <w:t>203,281</w:t>
            </w:r>
          </w:p>
        </w:tc>
      </w:tr>
      <w:tr w:rsidR="0005296F" w:rsidRPr="0005296F" w14:paraId="288411AB" w14:textId="77777777" w:rsidTr="00E000A0">
        <w:trPr>
          <w:cantSplit/>
        </w:trPr>
        <w:tc>
          <w:tcPr>
            <w:tcW w:w="5977" w:type="dxa"/>
            <w:tcBorders>
              <w:bottom w:val="single" w:sz="4" w:space="0" w:color="auto"/>
            </w:tcBorders>
            <w:vAlign w:val="bottom"/>
          </w:tcPr>
          <w:p w14:paraId="7B4115F9"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788" w:type="dxa"/>
            <w:tcBorders>
              <w:bottom w:val="single" w:sz="4" w:space="0" w:color="auto"/>
            </w:tcBorders>
            <w:vAlign w:val="bottom"/>
          </w:tcPr>
          <w:p w14:paraId="0AF4EA2C"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70C83F1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293" w:type="dxa"/>
            <w:tcBorders>
              <w:bottom w:val="single" w:sz="4" w:space="0" w:color="auto"/>
            </w:tcBorders>
            <w:vAlign w:val="bottom"/>
          </w:tcPr>
          <w:p w14:paraId="4D28925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05296F" w:rsidRPr="0005296F" w14:paraId="3E97308E" w14:textId="77777777" w:rsidTr="00E000A0">
        <w:trPr>
          <w:cantSplit/>
        </w:trPr>
        <w:tc>
          <w:tcPr>
            <w:tcW w:w="5977" w:type="dxa"/>
            <w:tcBorders>
              <w:top w:val="single" w:sz="4" w:space="0" w:color="auto"/>
            </w:tcBorders>
            <w:vAlign w:val="bottom"/>
          </w:tcPr>
          <w:p w14:paraId="6DA687B6"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28B152F8"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35C8C5B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top w:val="single" w:sz="4" w:space="0" w:color="auto"/>
            </w:tcBorders>
            <w:vAlign w:val="bottom"/>
          </w:tcPr>
          <w:p w14:paraId="7254E9B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3F5A5CD7" w14:textId="77777777" w:rsidTr="00E000A0">
        <w:trPr>
          <w:cantSplit/>
        </w:trPr>
        <w:tc>
          <w:tcPr>
            <w:tcW w:w="5977" w:type="dxa"/>
            <w:vAlign w:val="bottom"/>
          </w:tcPr>
          <w:p w14:paraId="492E830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b/>
                <w:i/>
                <w:spacing w:val="-2"/>
                <w:sz w:val="18"/>
                <w:szCs w:val="18"/>
                <w:lang w:val="en-GB" w:eastAsia="ru-RU"/>
              </w:rPr>
              <w:t>Cash flows from investing activities</w:t>
            </w:r>
          </w:p>
        </w:tc>
        <w:tc>
          <w:tcPr>
            <w:tcW w:w="788" w:type="dxa"/>
            <w:vAlign w:val="bottom"/>
          </w:tcPr>
          <w:p w14:paraId="1865ED1A"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1945C97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293" w:type="dxa"/>
            <w:vAlign w:val="bottom"/>
          </w:tcPr>
          <w:p w14:paraId="254E13C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05296F" w:rsidRPr="0005296F" w14:paraId="41C9B39F" w14:textId="77777777" w:rsidTr="00E000A0">
        <w:trPr>
          <w:cantSplit/>
        </w:trPr>
        <w:tc>
          <w:tcPr>
            <w:tcW w:w="5977" w:type="dxa"/>
            <w:vAlign w:val="bottom"/>
          </w:tcPr>
          <w:p w14:paraId="08A874E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Finance income</w:t>
            </w:r>
          </w:p>
        </w:tc>
        <w:tc>
          <w:tcPr>
            <w:tcW w:w="788" w:type="dxa"/>
            <w:vAlign w:val="bottom"/>
          </w:tcPr>
          <w:p w14:paraId="4198AE3C"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19610D1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lang w:val="en-US" w:eastAsia="ru-RU"/>
              </w:rPr>
              <w:t>2,000</w:t>
            </w:r>
          </w:p>
        </w:tc>
        <w:tc>
          <w:tcPr>
            <w:tcW w:w="1293" w:type="dxa"/>
            <w:vAlign w:val="bottom"/>
          </w:tcPr>
          <w:p w14:paraId="3B40D8C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3,783</w:t>
            </w:r>
          </w:p>
        </w:tc>
      </w:tr>
      <w:tr w:rsidR="0005296F" w:rsidRPr="0005296F" w14:paraId="412DDE51" w14:textId="77777777" w:rsidTr="00E000A0">
        <w:trPr>
          <w:cantSplit/>
        </w:trPr>
        <w:tc>
          <w:tcPr>
            <w:tcW w:w="5977" w:type="dxa"/>
            <w:vAlign w:val="bottom"/>
          </w:tcPr>
          <w:p w14:paraId="71FCA65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GB" w:eastAsia="ru-RU"/>
              </w:rPr>
              <w:t>Acquisition of property, plant and equipment and intangible assets</w:t>
            </w:r>
          </w:p>
        </w:tc>
        <w:tc>
          <w:tcPr>
            <w:tcW w:w="788" w:type="dxa"/>
            <w:vAlign w:val="bottom"/>
          </w:tcPr>
          <w:p w14:paraId="04872231"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4F377490"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(64,232)</w:t>
            </w:r>
          </w:p>
        </w:tc>
        <w:tc>
          <w:tcPr>
            <w:tcW w:w="1293" w:type="dxa"/>
            <w:vAlign w:val="bottom"/>
          </w:tcPr>
          <w:p w14:paraId="1D7F8C16"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(63,021)</w:t>
            </w:r>
          </w:p>
        </w:tc>
      </w:tr>
      <w:tr w:rsidR="0005296F" w:rsidRPr="0005296F" w14:paraId="44BA319E" w14:textId="77777777" w:rsidTr="00E000A0">
        <w:trPr>
          <w:cantSplit/>
        </w:trPr>
        <w:tc>
          <w:tcPr>
            <w:tcW w:w="5977" w:type="dxa"/>
            <w:vAlign w:val="bottom"/>
          </w:tcPr>
          <w:p w14:paraId="17B6975B"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 xml:space="preserve">Borrowing cost </w:t>
            </w:r>
            <w:proofErr w:type="spellStart"/>
            <w:r w:rsidRPr="0005296F">
              <w:rPr>
                <w:rFonts w:ascii="Arial" w:eastAsia="Times New Roman" w:hAnsi="Arial" w:cs="Arial"/>
                <w:spacing w:val="-2"/>
                <w:sz w:val="18"/>
                <w:szCs w:val="18"/>
                <w:lang w:val="en-US" w:eastAsia="ru-RU"/>
              </w:rPr>
              <w:t>capitalised</w:t>
            </w:r>
            <w:proofErr w:type="spellEnd"/>
            <w:r w:rsidRPr="0005296F">
              <w:rPr>
                <w:rFonts w:ascii="Arial" w:eastAsia="Times New Roman" w:hAnsi="Arial" w:cs="Arial"/>
                <w:spacing w:val="-2"/>
                <w:sz w:val="18"/>
                <w:szCs w:val="18"/>
                <w:lang w:val="en-US" w:eastAsia="ru-RU"/>
              </w:rPr>
              <w:t xml:space="preserve"> paid</w:t>
            </w:r>
          </w:p>
        </w:tc>
        <w:tc>
          <w:tcPr>
            <w:tcW w:w="788" w:type="dxa"/>
            <w:vAlign w:val="bottom"/>
          </w:tcPr>
          <w:p w14:paraId="52D92DF0" w14:textId="35BEEF84"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70C42CA5"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(1,896)</w:t>
            </w:r>
          </w:p>
        </w:tc>
        <w:tc>
          <w:tcPr>
            <w:tcW w:w="1293" w:type="dxa"/>
            <w:vAlign w:val="bottom"/>
          </w:tcPr>
          <w:p w14:paraId="30F1BBB1"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(976)</w:t>
            </w:r>
          </w:p>
        </w:tc>
      </w:tr>
      <w:tr w:rsidR="0005296F" w:rsidRPr="0005296F" w14:paraId="510AB032" w14:textId="77777777" w:rsidTr="00E000A0">
        <w:trPr>
          <w:cantSplit/>
        </w:trPr>
        <w:tc>
          <w:tcPr>
            <w:tcW w:w="5977" w:type="dxa"/>
            <w:vAlign w:val="bottom"/>
          </w:tcPr>
          <w:p w14:paraId="360E5CB5"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Advances issued for right-of-use assets</w:t>
            </w:r>
          </w:p>
        </w:tc>
        <w:tc>
          <w:tcPr>
            <w:tcW w:w="788" w:type="dxa"/>
            <w:vAlign w:val="bottom"/>
          </w:tcPr>
          <w:p w14:paraId="60074B37"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12DD776B"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(94)</w:t>
            </w:r>
          </w:p>
        </w:tc>
        <w:tc>
          <w:tcPr>
            <w:tcW w:w="1293" w:type="dxa"/>
            <w:vAlign w:val="bottom"/>
          </w:tcPr>
          <w:p w14:paraId="553AEFB4"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(850)</w:t>
            </w:r>
          </w:p>
        </w:tc>
      </w:tr>
      <w:tr w:rsidR="0005296F" w:rsidRPr="0005296F" w14:paraId="4A85F02F" w14:textId="77777777" w:rsidTr="00E000A0">
        <w:trPr>
          <w:cantSplit/>
        </w:trPr>
        <w:tc>
          <w:tcPr>
            <w:tcW w:w="5977" w:type="dxa"/>
            <w:vAlign w:val="bottom"/>
          </w:tcPr>
          <w:p w14:paraId="221645E8"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 xml:space="preserve">Cash and cash equivalents disposed </w:t>
            </w:r>
            <w:proofErr w:type="gramStart"/>
            <w:r w:rsidRPr="0005296F">
              <w:rPr>
                <w:rFonts w:ascii="Arial" w:eastAsia="Times New Roman" w:hAnsi="Arial" w:cs="Arial"/>
                <w:spacing w:val="-2"/>
                <w:sz w:val="18"/>
                <w:szCs w:val="18"/>
                <w:lang w:val="en-US" w:eastAsia="ru-RU"/>
              </w:rPr>
              <w:t>as a result of</w:t>
            </w:r>
            <w:proofErr w:type="gramEnd"/>
            <w:r w:rsidRPr="0005296F">
              <w:rPr>
                <w:rFonts w:ascii="Arial" w:eastAsia="Times New Roman" w:hAnsi="Arial" w:cs="Arial"/>
                <w:spacing w:val="-2"/>
                <w:sz w:val="18"/>
                <w:szCs w:val="18"/>
                <w:lang w:val="en-US" w:eastAsia="ru-RU"/>
              </w:rPr>
              <w:t xml:space="preserve"> loss of control over foreign subsidiaries</w:t>
            </w:r>
          </w:p>
        </w:tc>
        <w:tc>
          <w:tcPr>
            <w:tcW w:w="788" w:type="dxa"/>
            <w:vAlign w:val="bottom"/>
          </w:tcPr>
          <w:p w14:paraId="4B84A3A8"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3A873DB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lang w:val="en-US" w:eastAsia="ru-RU"/>
              </w:rPr>
              <w:t>-</w:t>
            </w:r>
          </w:p>
        </w:tc>
        <w:tc>
          <w:tcPr>
            <w:tcW w:w="1293" w:type="dxa"/>
            <w:vAlign w:val="bottom"/>
          </w:tcPr>
          <w:p w14:paraId="7157A5F1"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(36,729)</w:t>
            </w:r>
          </w:p>
        </w:tc>
      </w:tr>
      <w:tr w:rsidR="0005296F" w:rsidRPr="0005296F" w14:paraId="7A218F38" w14:textId="77777777" w:rsidTr="00E000A0">
        <w:trPr>
          <w:cantSplit/>
        </w:trPr>
        <w:tc>
          <w:tcPr>
            <w:tcW w:w="5977" w:type="dxa"/>
            <w:vAlign w:val="bottom"/>
          </w:tcPr>
          <w:p w14:paraId="0F5C08A1"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GB" w:eastAsia="ru-RU"/>
              </w:rPr>
              <w:t>Loans issued</w:t>
            </w:r>
          </w:p>
        </w:tc>
        <w:tc>
          <w:tcPr>
            <w:tcW w:w="788" w:type="dxa"/>
            <w:vAlign w:val="bottom"/>
          </w:tcPr>
          <w:p w14:paraId="58C3BBE3" w14:textId="78F77756"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680BE48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w:t>
            </w:r>
          </w:p>
        </w:tc>
        <w:tc>
          <w:tcPr>
            <w:tcW w:w="1293" w:type="dxa"/>
            <w:vAlign w:val="bottom"/>
          </w:tcPr>
          <w:p w14:paraId="2B4B12EB"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(3,130)</w:t>
            </w:r>
          </w:p>
        </w:tc>
      </w:tr>
      <w:tr w:rsidR="0005296F" w:rsidRPr="0005296F" w14:paraId="06206723" w14:textId="77777777" w:rsidTr="00E000A0">
        <w:trPr>
          <w:cantSplit/>
        </w:trPr>
        <w:tc>
          <w:tcPr>
            <w:tcW w:w="5977" w:type="dxa"/>
            <w:vAlign w:val="bottom"/>
          </w:tcPr>
          <w:p w14:paraId="74804CF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Proceeds from disposal of financial assets measured at fair value through profit or loss</w:t>
            </w:r>
          </w:p>
        </w:tc>
        <w:tc>
          <w:tcPr>
            <w:tcW w:w="788" w:type="dxa"/>
            <w:vAlign w:val="bottom"/>
          </w:tcPr>
          <w:p w14:paraId="791619EA"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5FED130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w:t>
            </w:r>
          </w:p>
        </w:tc>
        <w:tc>
          <w:tcPr>
            <w:tcW w:w="1293" w:type="dxa"/>
            <w:vAlign w:val="bottom"/>
          </w:tcPr>
          <w:p w14:paraId="24FFD87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1,778</w:t>
            </w:r>
          </w:p>
        </w:tc>
      </w:tr>
      <w:tr w:rsidR="0005296F" w:rsidRPr="0005296F" w14:paraId="1396CDAE" w14:textId="77777777" w:rsidTr="00E000A0">
        <w:trPr>
          <w:cantSplit/>
        </w:trPr>
        <w:tc>
          <w:tcPr>
            <w:tcW w:w="5977" w:type="dxa"/>
            <w:vAlign w:val="bottom"/>
          </w:tcPr>
          <w:p w14:paraId="242160A4"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Other</w:t>
            </w:r>
          </w:p>
        </w:tc>
        <w:tc>
          <w:tcPr>
            <w:tcW w:w="788" w:type="dxa"/>
            <w:vAlign w:val="bottom"/>
          </w:tcPr>
          <w:p w14:paraId="2F852C8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2309EC52" w14:textId="77777777" w:rsidR="0005296F" w:rsidRPr="0005296F" w:rsidDel="00305D7D"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lang w:val="en-US" w:eastAsia="ru-RU"/>
              </w:rPr>
              <w:t>144</w:t>
            </w:r>
          </w:p>
        </w:tc>
        <w:tc>
          <w:tcPr>
            <w:tcW w:w="1293" w:type="dxa"/>
            <w:vAlign w:val="bottom"/>
          </w:tcPr>
          <w:p w14:paraId="4EBBBEE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159</w:t>
            </w:r>
          </w:p>
        </w:tc>
      </w:tr>
      <w:tr w:rsidR="0005296F" w:rsidRPr="0005296F" w14:paraId="6217AB78" w14:textId="77777777" w:rsidTr="00E000A0">
        <w:trPr>
          <w:cantSplit/>
        </w:trPr>
        <w:tc>
          <w:tcPr>
            <w:tcW w:w="5977" w:type="dxa"/>
            <w:tcBorders>
              <w:bottom w:val="single" w:sz="4" w:space="0" w:color="auto"/>
            </w:tcBorders>
            <w:vAlign w:val="bottom"/>
          </w:tcPr>
          <w:p w14:paraId="1B5D3D11"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bottom w:val="single" w:sz="4" w:space="0" w:color="auto"/>
            </w:tcBorders>
            <w:vAlign w:val="bottom"/>
          </w:tcPr>
          <w:p w14:paraId="62FC7922"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0AC003E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bottom w:val="single" w:sz="4" w:space="0" w:color="auto"/>
            </w:tcBorders>
            <w:vAlign w:val="bottom"/>
          </w:tcPr>
          <w:p w14:paraId="036202F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31F9F8FA" w14:textId="77777777" w:rsidTr="00E000A0">
        <w:trPr>
          <w:cantSplit/>
        </w:trPr>
        <w:tc>
          <w:tcPr>
            <w:tcW w:w="5977" w:type="dxa"/>
            <w:tcBorders>
              <w:top w:val="single" w:sz="4" w:space="0" w:color="auto"/>
            </w:tcBorders>
            <w:vAlign w:val="bottom"/>
          </w:tcPr>
          <w:p w14:paraId="411A0538"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1E46FB08"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2419128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top w:val="single" w:sz="4" w:space="0" w:color="auto"/>
            </w:tcBorders>
            <w:vAlign w:val="bottom"/>
          </w:tcPr>
          <w:p w14:paraId="70E8E72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52E558BC" w14:textId="77777777" w:rsidTr="00E000A0">
        <w:trPr>
          <w:cantSplit/>
        </w:trPr>
        <w:tc>
          <w:tcPr>
            <w:tcW w:w="5977" w:type="dxa"/>
            <w:vAlign w:val="bottom"/>
          </w:tcPr>
          <w:p w14:paraId="5DD14EE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Cash flows used in investing activities</w:t>
            </w:r>
          </w:p>
        </w:tc>
        <w:tc>
          <w:tcPr>
            <w:tcW w:w="788" w:type="dxa"/>
            <w:vAlign w:val="bottom"/>
          </w:tcPr>
          <w:p w14:paraId="41CC198E"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297" w:type="dxa"/>
            <w:shd w:val="clear" w:color="auto" w:fill="auto"/>
            <w:vAlign w:val="bottom"/>
          </w:tcPr>
          <w:p w14:paraId="4DFD342D"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lang w:val="en-US" w:eastAsia="ru-RU"/>
              </w:rPr>
              <w:t>(64,078)</w:t>
            </w:r>
          </w:p>
        </w:tc>
        <w:tc>
          <w:tcPr>
            <w:tcW w:w="1293" w:type="dxa"/>
            <w:vAlign w:val="bottom"/>
          </w:tcPr>
          <w:p w14:paraId="05C78927"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US" w:eastAsia="ru-RU"/>
              </w:rPr>
              <w:t>(98,986)</w:t>
            </w:r>
          </w:p>
        </w:tc>
      </w:tr>
      <w:tr w:rsidR="0005296F" w:rsidRPr="0005296F" w14:paraId="432B03A7" w14:textId="77777777" w:rsidTr="00E000A0">
        <w:trPr>
          <w:cantSplit/>
        </w:trPr>
        <w:tc>
          <w:tcPr>
            <w:tcW w:w="5977" w:type="dxa"/>
            <w:tcBorders>
              <w:bottom w:val="single" w:sz="4" w:space="0" w:color="auto"/>
            </w:tcBorders>
            <w:vAlign w:val="bottom"/>
          </w:tcPr>
          <w:p w14:paraId="438A0DA5"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788" w:type="dxa"/>
            <w:tcBorders>
              <w:bottom w:val="single" w:sz="4" w:space="0" w:color="auto"/>
            </w:tcBorders>
            <w:vAlign w:val="bottom"/>
          </w:tcPr>
          <w:p w14:paraId="223A5B9E"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0"/>
                <w:szCs w:val="10"/>
                <w:lang w:val="en-GB" w:eastAsia="ru-RU"/>
              </w:rPr>
            </w:pPr>
          </w:p>
        </w:tc>
        <w:tc>
          <w:tcPr>
            <w:tcW w:w="1297" w:type="dxa"/>
            <w:tcBorders>
              <w:bottom w:val="single" w:sz="4" w:space="0" w:color="auto"/>
            </w:tcBorders>
            <w:shd w:val="clear" w:color="auto" w:fill="auto"/>
            <w:vAlign w:val="bottom"/>
          </w:tcPr>
          <w:p w14:paraId="33D98CB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293" w:type="dxa"/>
            <w:tcBorders>
              <w:bottom w:val="single" w:sz="4" w:space="0" w:color="auto"/>
            </w:tcBorders>
            <w:vAlign w:val="bottom"/>
          </w:tcPr>
          <w:p w14:paraId="3BF8644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05296F" w:rsidRPr="0005296F" w14:paraId="66DF8A2C" w14:textId="77777777" w:rsidTr="00E000A0">
        <w:trPr>
          <w:cantSplit/>
        </w:trPr>
        <w:tc>
          <w:tcPr>
            <w:tcW w:w="5977" w:type="dxa"/>
            <w:tcBorders>
              <w:top w:val="single" w:sz="4" w:space="0" w:color="auto"/>
            </w:tcBorders>
            <w:vAlign w:val="bottom"/>
          </w:tcPr>
          <w:p w14:paraId="6438090A"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54BFA9A3"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57DBA65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top w:val="single" w:sz="4" w:space="0" w:color="auto"/>
            </w:tcBorders>
            <w:vAlign w:val="bottom"/>
          </w:tcPr>
          <w:p w14:paraId="2089F09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55664666" w14:textId="77777777" w:rsidTr="00E000A0">
        <w:trPr>
          <w:cantSplit/>
        </w:trPr>
        <w:tc>
          <w:tcPr>
            <w:tcW w:w="5977" w:type="dxa"/>
            <w:vAlign w:val="bottom"/>
          </w:tcPr>
          <w:p w14:paraId="28C4B877"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b/>
                <w:i/>
                <w:spacing w:val="-2"/>
                <w:sz w:val="18"/>
                <w:szCs w:val="18"/>
                <w:lang w:val="en-GB" w:eastAsia="ru-RU"/>
              </w:rPr>
              <w:t>Cash flows from financing activities</w:t>
            </w:r>
          </w:p>
        </w:tc>
        <w:tc>
          <w:tcPr>
            <w:tcW w:w="788" w:type="dxa"/>
            <w:vAlign w:val="bottom"/>
          </w:tcPr>
          <w:p w14:paraId="1DE5781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073CA914"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c>
          <w:tcPr>
            <w:tcW w:w="1293" w:type="dxa"/>
            <w:vAlign w:val="bottom"/>
          </w:tcPr>
          <w:p w14:paraId="3D2F29E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p>
        </w:tc>
      </w:tr>
      <w:tr w:rsidR="0005296F" w:rsidRPr="0005296F" w14:paraId="000A5F2F" w14:textId="77777777" w:rsidTr="00E000A0">
        <w:trPr>
          <w:cantSplit/>
        </w:trPr>
        <w:tc>
          <w:tcPr>
            <w:tcW w:w="5977" w:type="dxa"/>
            <w:vAlign w:val="bottom"/>
          </w:tcPr>
          <w:p w14:paraId="4FA79098"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 xml:space="preserve">Proceeds from borrowings, net of transaction costs </w:t>
            </w:r>
          </w:p>
        </w:tc>
        <w:tc>
          <w:tcPr>
            <w:tcW w:w="788" w:type="dxa"/>
            <w:vAlign w:val="bottom"/>
          </w:tcPr>
          <w:p w14:paraId="6A62F361" w14:textId="41282F8B"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297" w:type="dxa"/>
            <w:shd w:val="clear" w:color="auto" w:fill="auto"/>
            <w:vAlign w:val="bottom"/>
          </w:tcPr>
          <w:p w14:paraId="711FBA1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lang w:val="en-US" w:eastAsia="ru-RU"/>
              </w:rPr>
              <w:t>172,906</w:t>
            </w:r>
          </w:p>
        </w:tc>
        <w:tc>
          <w:tcPr>
            <w:tcW w:w="1293" w:type="dxa"/>
            <w:vAlign w:val="bottom"/>
          </w:tcPr>
          <w:p w14:paraId="6933B742"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57,171</w:t>
            </w:r>
          </w:p>
        </w:tc>
      </w:tr>
      <w:tr w:rsidR="0005296F" w:rsidRPr="0005296F" w14:paraId="4A34E26F" w14:textId="77777777" w:rsidTr="00E000A0">
        <w:trPr>
          <w:cantSplit/>
        </w:trPr>
        <w:tc>
          <w:tcPr>
            <w:tcW w:w="5977" w:type="dxa"/>
            <w:vAlign w:val="bottom"/>
          </w:tcPr>
          <w:p w14:paraId="28F2396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Repayment of borrowings</w:t>
            </w:r>
          </w:p>
        </w:tc>
        <w:tc>
          <w:tcPr>
            <w:tcW w:w="788" w:type="dxa"/>
            <w:vAlign w:val="bottom"/>
          </w:tcPr>
          <w:p w14:paraId="6F903DFD" w14:textId="5A94EFF9"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297" w:type="dxa"/>
            <w:shd w:val="clear" w:color="auto" w:fill="auto"/>
            <w:vAlign w:val="bottom"/>
          </w:tcPr>
          <w:p w14:paraId="0BA71524"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lang w:val="en-US" w:eastAsia="ru-RU"/>
              </w:rPr>
              <w:t>(155,306)</w:t>
            </w:r>
          </w:p>
        </w:tc>
        <w:tc>
          <w:tcPr>
            <w:tcW w:w="1293" w:type="dxa"/>
            <w:vAlign w:val="bottom"/>
          </w:tcPr>
          <w:p w14:paraId="23E2ADDE"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(23,926)</w:t>
            </w:r>
          </w:p>
        </w:tc>
      </w:tr>
      <w:tr w:rsidR="0005296F" w:rsidRPr="0005296F" w14:paraId="71DB6F04" w14:textId="77777777" w:rsidTr="00E000A0">
        <w:trPr>
          <w:cantSplit/>
        </w:trPr>
        <w:tc>
          <w:tcPr>
            <w:tcW w:w="5977" w:type="dxa"/>
            <w:vAlign w:val="bottom"/>
          </w:tcPr>
          <w:p w14:paraId="69DF8C6C"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Refund of dividends paid</w:t>
            </w:r>
            <w:r w:rsidRPr="0005296F">
              <w:rPr>
                <w:rFonts w:ascii="Arial" w:eastAsia="Times New Roman" w:hAnsi="Arial" w:cs="Arial"/>
                <w:spacing w:val="-2"/>
                <w:sz w:val="18"/>
                <w:szCs w:val="18"/>
                <w:vertAlign w:val="superscript"/>
                <w:lang w:val="en-US" w:eastAsia="ru-RU"/>
              </w:rPr>
              <w:t>2</w:t>
            </w:r>
          </w:p>
        </w:tc>
        <w:tc>
          <w:tcPr>
            <w:tcW w:w="788" w:type="dxa"/>
            <w:vAlign w:val="bottom"/>
          </w:tcPr>
          <w:p w14:paraId="401AEBBE"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63D2B01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17,256</w:t>
            </w:r>
          </w:p>
        </w:tc>
        <w:tc>
          <w:tcPr>
            <w:tcW w:w="1293" w:type="dxa"/>
            <w:vAlign w:val="bottom"/>
          </w:tcPr>
          <w:p w14:paraId="24B9401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9</w:t>
            </w:r>
          </w:p>
        </w:tc>
      </w:tr>
      <w:tr w:rsidR="0005296F" w:rsidRPr="0005296F" w14:paraId="5923C161" w14:textId="77777777" w:rsidTr="00E000A0">
        <w:trPr>
          <w:cantSplit/>
        </w:trPr>
        <w:tc>
          <w:tcPr>
            <w:tcW w:w="5977" w:type="dxa"/>
            <w:vAlign w:val="bottom"/>
          </w:tcPr>
          <w:p w14:paraId="0A3ED80E"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Dividends paid to shareholders of the Company</w:t>
            </w:r>
          </w:p>
        </w:tc>
        <w:tc>
          <w:tcPr>
            <w:tcW w:w="788" w:type="dxa"/>
            <w:vAlign w:val="bottom"/>
          </w:tcPr>
          <w:p w14:paraId="27F33E45" w14:textId="551AE552"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297" w:type="dxa"/>
            <w:shd w:val="clear" w:color="auto" w:fill="auto"/>
            <w:vAlign w:val="bottom"/>
          </w:tcPr>
          <w:p w14:paraId="39A8A4D9"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lang w:val="en-US" w:eastAsia="ru-RU"/>
              </w:rPr>
              <w:t>(94,509)</w:t>
            </w:r>
          </w:p>
        </w:tc>
        <w:tc>
          <w:tcPr>
            <w:tcW w:w="1293" w:type="dxa"/>
            <w:vAlign w:val="bottom"/>
          </w:tcPr>
          <w:p w14:paraId="15C8F320"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(142,120)</w:t>
            </w:r>
          </w:p>
        </w:tc>
      </w:tr>
      <w:tr w:rsidR="0005296F" w:rsidRPr="0005296F" w14:paraId="1776FBF9" w14:textId="77777777" w:rsidTr="00E000A0">
        <w:trPr>
          <w:cantSplit/>
        </w:trPr>
        <w:tc>
          <w:tcPr>
            <w:tcW w:w="5977" w:type="dxa"/>
            <w:vAlign w:val="bottom"/>
          </w:tcPr>
          <w:p w14:paraId="4BBE8D44"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Lease payments</w:t>
            </w:r>
          </w:p>
        </w:tc>
        <w:tc>
          <w:tcPr>
            <w:tcW w:w="788" w:type="dxa"/>
            <w:vAlign w:val="bottom"/>
          </w:tcPr>
          <w:p w14:paraId="683E3A2D" w14:textId="38200538"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364AAD56"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lang w:val="en-US" w:eastAsia="ru-RU"/>
              </w:rPr>
              <w:t>(1,416)</w:t>
            </w:r>
          </w:p>
        </w:tc>
        <w:tc>
          <w:tcPr>
            <w:tcW w:w="1293" w:type="dxa"/>
            <w:vAlign w:val="bottom"/>
          </w:tcPr>
          <w:p w14:paraId="69E87FAD"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05296F">
              <w:rPr>
                <w:rFonts w:ascii="Arial" w:eastAsia="Times New Roman" w:hAnsi="Arial" w:cs="Arial"/>
                <w:spacing w:val="-2"/>
                <w:sz w:val="18"/>
                <w:szCs w:val="18"/>
                <w:lang w:val="en-US" w:eastAsia="ru-RU"/>
              </w:rPr>
              <w:t>(1,429)</w:t>
            </w:r>
          </w:p>
        </w:tc>
      </w:tr>
      <w:tr w:rsidR="0005296F" w:rsidRPr="0005296F" w14:paraId="7127521C" w14:textId="77777777" w:rsidTr="00E000A0">
        <w:trPr>
          <w:cantSplit/>
        </w:trPr>
        <w:tc>
          <w:tcPr>
            <w:tcW w:w="5977" w:type="dxa"/>
            <w:vAlign w:val="bottom"/>
          </w:tcPr>
          <w:p w14:paraId="4AAD370E"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Dividends paid to non-controlling interests</w:t>
            </w:r>
          </w:p>
        </w:tc>
        <w:tc>
          <w:tcPr>
            <w:tcW w:w="788" w:type="dxa"/>
            <w:vAlign w:val="bottom"/>
          </w:tcPr>
          <w:p w14:paraId="7225E561"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US" w:eastAsia="ru-RU"/>
              </w:rPr>
            </w:pPr>
          </w:p>
        </w:tc>
        <w:tc>
          <w:tcPr>
            <w:tcW w:w="1297" w:type="dxa"/>
            <w:shd w:val="clear" w:color="auto" w:fill="auto"/>
            <w:vAlign w:val="bottom"/>
          </w:tcPr>
          <w:p w14:paraId="32DDBD84"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(131)</w:t>
            </w:r>
          </w:p>
        </w:tc>
        <w:tc>
          <w:tcPr>
            <w:tcW w:w="1293" w:type="dxa"/>
            <w:vAlign w:val="bottom"/>
          </w:tcPr>
          <w:p w14:paraId="7FBC2D6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lang w:val="en-US" w:eastAsia="ru-RU"/>
              </w:rPr>
              <w:t>-</w:t>
            </w:r>
          </w:p>
        </w:tc>
      </w:tr>
      <w:tr w:rsidR="0005296F" w:rsidRPr="0005296F" w14:paraId="5A3A0876" w14:textId="77777777" w:rsidTr="00E000A0">
        <w:trPr>
          <w:cantSplit/>
        </w:trPr>
        <w:tc>
          <w:tcPr>
            <w:tcW w:w="5977" w:type="dxa"/>
            <w:tcBorders>
              <w:bottom w:val="single" w:sz="4" w:space="0" w:color="auto"/>
            </w:tcBorders>
            <w:vAlign w:val="bottom"/>
          </w:tcPr>
          <w:p w14:paraId="0C860046"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bottom w:val="single" w:sz="4" w:space="0" w:color="auto"/>
            </w:tcBorders>
            <w:vAlign w:val="bottom"/>
          </w:tcPr>
          <w:p w14:paraId="0BC539E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284AF670"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bottom w:val="single" w:sz="4" w:space="0" w:color="auto"/>
            </w:tcBorders>
            <w:vAlign w:val="bottom"/>
          </w:tcPr>
          <w:p w14:paraId="5EDCDDE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1712D1DB" w14:textId="77777777" w:rsidTr="00E000A0">
        <w:trPr>
          <w:cantSplit/>
        </w:trPr>
        <w:tc>
          <w:tcPr>
            <w:tcW w:w="5977" w:type="dxa"/>
            <w:tcBorders>
              <w:top w:val="single" w:sz="4" w:space="0" w:color="auto"/>
            </w:tcBorders>
            <w:vAlign w:val="bottom"/>
          </w:tcPr>
          <w:p w14:paraId="7F638861"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2873F890"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04136197"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top w:val="single" w:sz="4" w:space="0" w:color="auto"/>
            </w:tcBorders>
            <w:vAlign w:val="bottom"/>
          </w:tcPr>
          <w:p w14:paraId="769396F3"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r>
      <w:tr w:rsidR="0005296F" w:rsidRPr="0005296F" w14:paraId="792F6CA5" w14:textId="77777777" w:rsidTr="00E000A0">
        <w:trPr>
          <w:cantSplit/>
        </w:trPr>
        <w:tc>
          <w:tcPr>
            <w:tcW w:w="5977" w:type="dxa"/>
            <w:vAlign w:val="bottom"/>
          </w:tcPr>
          <w:p w14:paraId="48096F7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b/>
                <w:spacing w:val="-2"/>
                <w:sz w:val="18"/>
                <w:szCs w:val="18"/>
                <w:lang w:val="en-GB" w:eastAsia="ru-RU"/>
              </w:rPr>
              <w:t>Cash flows used in financing activities</w:t>
            </w:r>
          </w:p>
        </w:tc>
        <w:tc>
          <w:tcPr>
            <w:tcW w:w="788" w:type="dxa"/>
            <w:vAlign w:val="bottom"/>
          </w:tcPr>
          <w:p w14:paraId="2D06D957"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297" w:type="dxa"/>
            <w:shd w:val="clear" w:color="auto" w:fill="auto"/>
            <w:vAlign w:val="bottom"/>
          </w:tcPr>
          <w:p w14:paraId="7ACCAAA8"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lang w:val="en-US" w:eastAsia="ru-RU"/>
              </w:rPr>
              <w:t>(61,200)</w:t>
            </w:r>
          </w:p>
        </w:tc>
        <w:tc>
          <w:tcPr>
            <w:tcW w:w="1293" w:type="dxa"/>
            <w:vAlign w:val="bottom"/>
          </w:tcPr>
          <w:p w14:paraId="18BBD6E2"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US" w:eastAsia="ru-RU"/>
              </w:rPr>
              <w:t>(110,295)</w:t>
            </w:r>
          </w:p>
        </w:tc>
      </w:tr>
      <w:tr w:rsidR="0005296F" w:rsidRPr="0005296F" w14:paraId="38C75920" w14:textId="77777777" w:rsidTr="00E000A0">
        <w:trPr>
          <w:cantSplit/>
        </w:trPr>
        <w:tc>
          <w:tcPr>
            <w:tcW w:w="5977" w:type="dxa"/>
            <w:tcBorders>
              <w:bottom w:val="single" w:sz="4" w:space="0" w:color="auto"/>
            </w:tcBorders>
            <w:vAlign w:val="bottom"/>
          </w:tcPr>
          <w:p w14:paraId="2B680043"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788" w:type="dxa"/>
            <w:tcBorders>
              <w:bottom w:val="single" w:sz="4" w:space="0" w:color="auto"/>
            </w:tcBorders>
            <w:vAlign w:val="bottom"/>
          </w:tcPr>
          <w:p w14:paraId="4FDEC9CE"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0"/>
                <w:szCs w:val="10"/>
                <w:lang w:val="en-GB" w:eastAsia="ru-RU"/>
              </w:rPr>
            </w:pPr>
          </w:p>
        </w:tc>
        <w:tc>
          <w:tcPr>
            <w:tcW w:w="1297" w:type="dxa"/>
            <w:tcBorders>
              <w:bottom w:val="single" w:sz="4" w:space="0" w:color="auto"/>
            </w:tcBorders>
            <w:shd w:val="clear" w:color="auto" w:fill="auto"/>
            <w:vAlign w:val="bottom"/>
          </w:tcPr>
          <w:p w14:paraId="30F0B7E8"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293" w:type="dxa"/>
            <w:tcBorders>
              <w:bottom w:val="single" w:sz="4" w:space="0" w:color="auto"/>
            </w:tcBorders>
            <w:vAlign w:val="bottom"/>
          </w:tcPr>
          <w:p w14:paraId="1DCC117B"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05296F" w:rsidRPr="0005296F" w14:paraId="20011C85" w14:textId="77777777" w:rsidTr="00E000A0">
        <w:trPr>
          <w:cantSplit/>
        </w:trPr>
        <w:tc>
          <w:tcPr>
            <w:tcW w:w="5977" w:type="dxa"/>
            <w:tcBorders>
              <w:top w:val="single" w:sz="4" w:space="0" w:color="auto"/>
            </w:tcBorders>
            <w:vAlign w:val="bottom"/>
          </w:tcPr>
          <w:p w14:paraId="52B2F85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788" w:type="dxa"/>
            <w:tcBorders>
              <w:top w:val="single" w:sz="4" w:space="0" w:color="auto"/>
            </w:tcBorders>
            <w:vAlign w:val="bottom"/>
          </w:tcPr>
          <w:p w14:paraId="36EEFC86"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0"/>
                <w:szCs w:val="10"/>
                <w:lang w:val="en-GB" w:eastAsia="ru-RU"/>
              </w:rPr>
            </w:pPr>
          </w:p>
        </w:tc>
        <w:tc>
          <w:tcPr>
            <w:tcW w:w="1297" w:type="dxa"/>
            <w:tcBorders>
              <w:top w:val="single" w:sz="4" w:space="0" w:color="auto"/>
            </w:tcBorders>
            <w:shd w:val="clear" w:color="auto" w:fill="auto"/>
            <w:vAlign w:val="bottom"/>
          </w:tcPr>
          <w:p w14:paraId="095A7A5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293" w:type="dxa"/>
            <w:tcBorders>
              <w:top w:val="single" w:sz="4" w:space="0" w:color="auto"/>
            </w:tcBorders>
            <w:vAlign w:val="bottom"/>
          </w:tcPr>
          <w:p w14:paraId="6F15523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r>
      <w:tr w:rsidR="0005296F" w:rsidRPr="0005296F" w14:paraId="0A2CC2D8" w14:textId="77777777" w:rsidTr="00E000A0">
        <w:trPr>
          <w:cantSplit/>
        </w:trPr>
        <w:tc>
          <w:tcPr>
            <w:tcW w:w="5977" w:type="dxa"/>
            <w:vAlign w:val="bottom"/>
          </w:tcPr>
          <w:p w14:paraId="65AFE7DD"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Net increase</w:t>
            </w:r>
            <w:r w:rsidRPr="0005296F">
              <w:rPr>
                <w:rFonts w:ascii="Arial" w:eastAsia="Times New Roman" w:hAnsi="Arial" w:cs="Arial"/>
                <w:b/>
                <w:spacing w:val="-2"/>
                <w:sz w:val="18"/>
                <w:szCs w:val="18"/>
                <w:lang w:val="en-US" w:eastAsia="ru-RU"/>
              </w:rPr>
              <w:t>/</w:t>
            </w:r>
            <w:r w:rsidRPr="0005296F">
              <w:rPr>
                <w:rFonts w:ascii="Arial" w:eastAsia="Times New Roman" w:hAnsi="Arial" w:cs="Arial"/>
                <w:b/>
                <w:spacing w:val="-2"/>
                <w:sz w:val="18"/>
                <w:szCs w:val="18"/>
                <w:lang w:val="en-GB" w:eastAsia="ru-RU"/>
              </w:rPr>
              <w:t>(decrease) in cash and cash equivalents</w:t>
            </w:r>
          </w:p>
        </w:tc>
        <w:tc>
          <w:tcPr>
            <w:tcW w:w="788" w:type="dxa"/>
            <w:vAlign w:val="bottom"/>
          </w:tcPr>
          <w:p w14:paraId="285F096A"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spacing w:val="-2"/>
                <w:sz w:val="18"/>
                <w:szCs w:val="18"/>
                <w:lang w:val="en-GB" w:eastAsia="ru-RU"/>
              </w:rPr>
            </w:pPr>
          </w:p>
        </w:tc>
        <w:tc>
          <w:tcPr>
            <w:tcW w:w="1297" w:type="dxa"/>
            <w:shd w:val="clear" w:color="auto" w:fill="auto"/>
            <w:vAlign w:val="bottom"/>
          </w:tcPr>
          <w:p w14:paraId="60F8F23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lang w:val="en-US" w:eastAsia="ru-RU"/>
              </w:rPr>
              <w:t>9,008</w:t>
            </w:r>
          </w:p>
        </w:tc>
        <w:tc>
          <w:tcPr>
            <w:tcW w:w="1293" w:type="dxa"/>
            <w:vAlign w:val="bottom"/>
          </w:tcPr>
          <w:p w14:paraId="4970DF21"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US" w:eastAsia="ru-RU"/>
              </w:rPr>
              <w:t>(6,000)</w:t>
            </w:r>
          </w:p>
        </w:tc>
      </w:tr>
      <w:tr w:rsidR="0005296F" w:rsidRPr="0005296F" w14:paraId="47329800" w14:textId="77777777" w:rsidTr="00E000A0">
        <w:trPr>
          <w:cantSplit/>
        </w:trPr>
        <w:tc>
          <w:tcPr>
            <w:tcW w:w="5977" w:type="dxa"/>
            <w:vAlign w:val="bottom"/>
          </w:tcPr>
          <w:p w14:paraId="723B8160"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 xml:space="preserve">Cash and cash equivalents </w:t>
            </w:r>
            <w:proofErr w:type="gramStart"/>
            <w:r w:rsidRPr="0005296F">
              <w:rPr>
                <w:rFonts w:ascii="Arial" w:eastAsia="Times New Roman" w:hAnsi="Arial" w:cs="Arial"/>
                <w:spacing w:val="-2"/>
                <w:sz w:val="18"/>
                <w:szCs w:val="18"/>
                <w:lang w:val="en-GB" w:eastAsia="ru-RU"/>
              </w:rPr>
              <w:t>at</w:t>
            </w:r>
            <w:proofErr w:type="gramEnd"/>
            <w:r w:rsidRPr="0005296F">
              <w:rPr>
                <w:rFonts w:ascii="Arial" w:eastAsia="Times New Roman" w:hAnsi="Arial" w:cs="Arial"/>
                <w:spacing w:val="-2"/>
                <w:sz w:val="18"/>
                <w:szCs w:val="18"/>
                <w:lang w:val="en-GB" w:eastAsia="ru-RU"/>
              </w:rPr>
              <w:t xml:space="preserve"> 1 January</w:t>
            </w:r>
          </w:p>
        </w:tc>
        <w:tc>
          <w:tcPr>
            <w:tcW w:w="788" w:type="dxa"/>
            <w:vAlign w:val="bottom"/>
          </w:tcPr>
          <w:p w14:paraId="6FDF46D1"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63ACC55F"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lang w:val="en-US" w:eastAsia="ru-RU"/>
              </w:rPr>
              <w:t>13,356</w:t>
            </w:r>
          </w:p>
        </w:tc>
        <w:tc>
          <w:tcPr>
            <w:tcW w:w="1293" w:type="dxa"/>
            <w:vAlign w:val="bottom"/>
          </w:tcPr>
          <w:p w14:paraId="761CBAAE"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21,710</w:t>
            </w:r>
          </w:p>
        </w:tc>
      </w:tr>
      <w:tr w:rsidR="0005296F" w:rsidRPr="0005296F" w14:paraId="0DD10722" w14:textId="77777777" w:rsidTr="00E000A0">
        <w:trPr>
          <w:cantSplit/>
        </w:trPr>
        <w:tc>
          <w:tcPr>
            <w:tcW w:w="5977" w:type="dxa"/>
            <w:vAlign w:val="bottom"/>
          </w:tcPr>
          <w:p w14:paraId="7AFE1C53"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GB" w:eastAsia="ru-RU"/>
              </w:rPr>
              <w:t>Effect of exchange rates fluctuations</w:t>
            </w:r>
          </w:p>
        </w:tc>
        <w:tc>
          <w:tcPr>
            <w:tcW w:w="788" w:type="dxa"/>
            <w:vAlign w:val="bottom"/>
          </w:tcPr>
          <w:p w14:paraId="0191A4AD"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8"/>
                <w:szCs w:val="18"/>
                <w:lang w:val="en-GB" w:eastAsia="ru-RU"/>
              </w:rPr>
            </w:pPr>
          </w:p>
        </w:tc>
        <w:tc>
          <w:tcPr>
            <w:tcW w:w="1297" w:type="dxa"/>
            <w:shd w:val="clear" w:color="auto" w:fill="auto"/>
            <w:vAlign w:val="bottom"/>
          </w:tcPr>
          <w:p w14:paraId="4B673286"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lang w:val="en-US" w:eastAsia="ru-RU"/>
              </w:rPr>
              <w:t>6,799</w:t>
            </w:r>
          </w:p>
        </w:tc>
        <w:tc>
          <w:tcPr>
            <w:tcW w:w="1293" w:type="dxa"/>
            <w:vAlign w:val="bottom"/>
          </w:tcPr>
          <w:p w14:paraId="510A28EE" w14:textId="77777777" w:rsidR="0005296F" w:rsidRPr="0005296F" w:rsidRDefault="0005296F" w:rsidP="0005296F">
            <w:pPr>
              <w:widowControl w:val="0"/>
              <w:autoSpaceDE w:val="0"/>
              <w:autoSpaceDN w:val="0"/>
              <w:adjustRightInd w:val="0"/>
              <w:spacing w:after="0" w:line="240" w:lineRule="auto"/>
              <w:ind w:right="-57"/>
              <w:jc w:val="right"/>
              <w:rPr>
                <w:rFonts w:ascii="Arial" w:eastAsia="Times New Roman" w:hAnsi="Arial" w:cs="Arial"/>
                <w:spacing w:val="-2"/>
                <w:sz w:val="18"/>
                <w:szCs w:val="18"/>
                <w:lang w:val="en-GB" w:eastAsia="ru-RU"/>
              </w:rPr>
            </w:pPr>
            <w:r w:rsidRPr="0005296F">
              <w:rPr>
                <w:rFonts w:ascii="Arial" w:eastAsia="Times New Roman" w:hAnsi="Arial" w:cs="Arial"/>
                <w:spacing w:val="-2"/>
                <w:sz w:val="18"/>
                <w:szCs w:val="18"/>
                <w:lang w:val="en-US" w:eastAsia="ru-RU"/>
              </w:rPr>
              <w:t>(2,354)</w:t>
            </w:r>
          </w:p>
        </w:tc>
      </w:tr>
      <w:tr w:rsidR="0005296F" w:rsidRPr="0005296F" w14:paraId="12B5BB9F" w14:textId="77777777" w:rsidTr="00E000A0">
        <w:trPr>
          <w:cantSplit/>
        </w:trPr>
        <w:tc>
          <w:tcPr>
            <w:tcW w:w="5977" w:type="dxa"/>
            <w:tcBorders>
              <w:bottom w:val="single" w:sz="4" w:space="0" w:color="auto"/>
            </w:tcBorders>
            <w:vAlign w:val="bottom"/>
          </w:tcPr>
          <w:p w14:paraId="270B609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bottom w:val="single" w:sz="4" w:space="0" w:color="auto"/>
            </w:tcBorders>
            <w:vAlign w:val="bottom"/>
          </w:tcPr>
          <w:p w14:paraId="7A8483DF"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4" w:space="0" w:color="auto"/>
            </w:tcBorders>
            <w:shd w:val="clear" w:color="auto" w:fill="auto"/>
            <w:vAlign w:val="bottom"/>
          </w:tcPr>
          <w:p w14:paraId="48C4031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bottom w:val="single" w:sz="4" w:space="0" w:color="auto"/>
            </w:tcBorders>
            <w:vAlign w:val="bottom"/>
          </w:tcPr>
          <w:p w14:paraId="22B8482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05296F" w:rsidRPr="0005296F" w14:paraId="39043026" w14:textId="77777777" w:rsidTr="00E000A0">
        <w:trPr>
          <w:cantSplit/>
        </w:trPr>
        <w:tc>
          <w:tcPr>
            <w:tcW w:w="5977" w:type="dxa"/>
            <w:tcBorders>
              <w:top w:val="single" w:sz="4" w:space="0" w:color="auto"/>
            </w:tcBorders>
            <w:vAlign w:val="bottom"/>
          </w:tcPr>
          <w:p w14:paraId="60EB6AFF"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spacing w:val="-2"/>
                <w:sz w:val="10"/>
                <w:szCs w:val="10"/>
                <w:lang w:val="en-GB" w:eastAsia="ru-RU"/>
              </w:rPr>
            </w:pPr>
            <w:r w:rsidRPr="0005296F">
              <w:rPr>
                <w:rFonts w:ascii="Arial" w:eastAsia="Times New Roman" w:hAnsi="Arial" w:cs="Arial"/>
                <w:spacing w:val="-2"/>
                <w:sz w:val="10"/>
                <w:szCs w:val="10"/>
                <w:lang w:val="en-GB" w:eastAsia="ru-RU"/>
              </w:rPr>
              <w:t> </w:t>
            </w:r>
          </w:p>
        </w:tc>
        <w:tc>
          <w:tcPr>
            <w:tcW w:w="788" w:type="dxa"/>
            <w:tcBorders>
              <w:top w:val="single" w:sz="4" w:space="0" w:color="auto"/>
            </w:tcBorders>
            <w:vAlign w:val="bottom"/>
          </w:tcPr>
          <w:p w14:paraId="4274A73B"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top w:val="single" w:sz="4" w:space="0" w:color="auto"/>
            </w:tcBorders>
            <w:shd w:val="clear" w:color="auto" w:fill="auto"/>
            <w:vAlign w:val="bottom"/>
          </w:tcPr>
          <w:p w14:paraId="1040602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GB" w:eastAsia="ru-RU"/>
              </w:rPr>
            </w:pPr>
          </w:p>
        </w:tc>
        <w:tc>
          <w:tcPr>
            <w:tcW w:w="1293" w:type="dxa"/>
            <w:tcBorders>
              <w:top w:val="single" w:sz="4" w:space="0" w:color="auto"/>
            </w:tcBorders>
            <w:vAlign w:val="bottom"/>
          </w:tcPr>
          <w:p w14:paraId="10B63461"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05296F" w:rsidRPr="0005296F" w14:paraId="1226E30B" w14:textId="77777777" w:rsidTr="00E000A0">
        <w:trPr>
          <w:cantSplit/>
        </w:trPr>
        <w:tc>
          <w:tcPr>
            <w:tcW w:w="5977" w:type="dxa"/>
            <w:vAlign w:val="bottom"/>
          </w:tcPr>
          <w:p w14:paraId="70B8038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GB" w:eastAsia="ru-RU"/>
              </w:rPr>
              <w:t xml:space="preserve">Cash and cash equivalents </w:t>
            </w:r>
            <w:proofErr w:type="gramStart"/>
            <w:r w:rsidRPr="0005296F">
              <w:rPr>
                <w:rFonts w:ascii="Arial" w:eastAsia="Times New Roman" w:hAnsi="Arial" w:cs="Arial"/>
                <w:b/>
                <w:spacing w:val="-2"/>
                <w:sz w:val="18"/>
                <w:szCs w:val="18"/>
                <w:lang w:val="en-GB" w:eastAsia="ru-RU"/>
              </w:rPr>
              <w:t>at</w:t>
            </w:r>
            <w:proofErr w:type="gramEnd"/>
            <w:r w:rsidRPr="0005296F">
              <w:rPr>
                <w:rFonts w:ascii="Arial" w:eastAsia="Times New Roman" w:hAnsi="Arial" w:cs="Arial"/>
                <w:b/>
                <w:spacing w:val="-2"/>
                <w:sz w:val="18"/>
                <w:szCs w:val="18"/>
                <w:lang w:val="en-GB" w:eastAsia="ru-RU"/>
              </w:rPr>
              <w:t xml:space="preserve"> 31 December</w:t>
            </w:r>
          </w:p>
        </w:tc>
        <w:tc>
          <w:tcPr>
            <w:tcW w:w="788" w:type="dxa"/>
            <w:vAlign w:val="bottom"/>
          </w:tcPr>
          <w:p w14:paraId="5E6B8D08" w14:textId="0858B550"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b/>
                <w:bCs/>
                <w:spacing w:val="-2"/>
                <w:sz w:val="18"/>
                <w:szCs w:val="18"/>
                <w:lang w:val="en-US" w:eastAsia="ru-RU"/>
              </w:rPr>
            </w:pPr>
          </w:p>
        </w:tc>
        <w:tc>
          <w:tcPr>
            <w:tcW w:w="1297" w:type="dxa"/>
            <w:shd w:val="clear" w:color="auto" w:fill="auto"/>
            <w:vAlign w:val="bottom"/>
          </w:tcPr>
          <w:p w14:paraId="5F0E6105"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05296F">
              <w:rPr>
                <w:rFonts w:ascii="Arial" w:eastAsia="Times New Roman" w:hAnsi="Arial" w:cs="Arial"/>
                <w:b/>
                <w:spacing w:val="-2"/>
                <w:sz w:val="18"/>
                <w:lang w:val="en-US" w:eastAsia="ru-RU"/>
              </w:rPr>
              <w:t>29,163</w:t>
            </w:r>
          </w:p>
        </w:tc>
        <w:tc>
          <w:tcPr>
            <w:tcW w:w="1293" w:type="dxa"/>
            <w:vAlign w:val="bottom"/>
          </w:tcPr>
          <w:p w14:paraId="45ACD2FC"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8"/>
                <w:szCs w:val="18"/>
                <w:lang w:val="en-GB" w:eastAsia="ru-RU"/>
              </w:rPr>
            </w:pPr>
            <w:r w:rsidRPr="0005296F">
              <w:rPr>
                <w:rFonts w:ascii="Arial" w:eastAsia="Times New Roman" w:hAnsi="Arial" w:cs="Arial"/>
                <w:b/>
                <w:spacing w:val="-2"/>
                <w:sz w:val="18"/>
                <w:szCs w:val="18"/>
                <w:lang w:val="en-US" w:eastAsia="ru-RU"/>
              </w:rPr>
              <w:t>13,356</w:t>
            </w:r>
          </w:p>
        </w:tc>
      </w:tr>
      <w:tr w:rsidR="0005296F" w:rsidRPr="0005296F" w14:paraId="2CB220FA" w14:textId="77777777" w:rsidTr="00E000A0">
        <w:trPr>
          <w:cantSplit/>
        </w:trPr>
        <w:tc>
          <w:tcPr>
            <w:tcW w:w="5977" w:type="dxa"/>
            <w:tcBorders>
              <w:bottom w:val="single" w:sz="12" w:space="0" w:color="auto"/>
            </w:tcBorders>
            <w:vAlign w:val="bottom"/>
          </w:tcPr>
          <w:p w14:paraId="78E0DA22" w14:textId="77777777" w:rsidR="0005296F" w:rsidRPr="0005296F" w:rsidRDefault="0005296F" w:rsidP="0005296F">
            <w:pPr>
              <w:widowControl w:val="0"/>
              <w:autoSpaceDE w:val="0"/>
              <w:autoSpaceDN w:val="0"/>
              <w:adjustRightInd w:val="0"/>
              <w:spacing w:after="0" w:line="240" w:lineRule="auto"/>
              <w:rPr>
                <w:rFonts w:ascii="Arial" w:eastAsia="Times New Roman" w:hAnsi="Arial" w:cs="Arial"/>
                <w:b/>
                <w:spacing w:val="-2"/>
                <w:sz w:val="10"/>
                <w:szCs w:val="10"/>
                <w:lang w:val="en-GB" w:eastAsia="ru-RU"/>
              </w:rPr>
            </w:pPr>
            <w:r w:rsidRPr="0005296F">
              <w:rPr>
                <w:rFonts w:ascii="Arial" w:eastAsia="Times New Roman" w:hAnsi="Arial" w:cs="Arial"/>
                <w:b/>
                <w:spacing w:val="-2"/>
                <w:sz w:val="10"/>
                <w:szCs w:val="10"/>
                <w:lang w:val="en-GB" w:eastAsia="ru-RU"/>
              </w:rPr>
              <w:t> </w:t>
            </w:r>
          </w:p>
        </w:tc>
        <w:tc>
          <w:tcPr>
            <w:tcW w:w="788" w:type="dxa"/>
            <w:tcBorders>
              <w:bottom w:val="single" w:sz="12" w:space="0" w:color="auto"/>
            </w:tcBorders>
            <w:vAlign w:val="bottom"/>
          </w:tcPr>
          <w:p w14:paraId="651D52F2" w14:textId="77777777" w:rsidR="0005296F" w:rsidRPr="0005296F" w:rsidRDefault="0005296F" w:rsidP="0005296F">
            <w:pPr>
              <w:widowControl w:val="0"/>
              <w:autoSpaceDE w:val="0"/>
              <w:autoSpaceDN w:val="0"/>
              <w:adjustRightInd w:val="0"/>
              <w:spacing w:after="0" w:line="240" w:lineRule="auto"/>
              <w:jc w:val="center"/>
              <w:rPr>
                <w:rFonts w:ascii="Arial" w:eastAsia="Times New Roman" w:hAnsi="Arial" w:cs="Arial"/>
                <w:spacing w:val="-2"/>
                <w:sz w:val="10"/>
                <w:szCs w:val="10"/>
                <w:lang w:val="en-GB" w:eastAsia="ru-RU"/>
              </w:rPr>
            </w:pPr>
          </w:p>
        </w:tc>
        <w:tc>
          <w:tcPr>
            <w:tcW w:w="1297" w:type="dxa"/>
            <w:tcBorders>
              <w:bottom w:val="single" w:sz="12" w:space="0" w:color="auto"/>
            </w:tcBorders>
            <w:shd w:val="clear" w:color="auto" w:fill="auto"/>
            <w:vAlign w:val="bottom"/>
          </w:tcPr>
          <w:p w14:paraId="3103ECD9"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en-GB" w:eastAsia="ru-RU"/>
              </w:rPr>
            </w:pPr>
          </w:p>
        </w:tc>
        <w:tc>
          <w:tcPr>
            <w:tcW w:w="1293" w:type="dxa"/>
            <w:tcBorders>
              <w:bottom w:val="single" w:sz="12" w:space="0" w:color="auto"/>
            </w:tcBorders>
            <w:vAlign w:val="bottom"/>
          </w:tcPr>
          <w:p w14:paraId="7EA21FFD" w14:textId="77777777" w:rsidR="0005296F" w:rsidRPr="0005296F" w:rsidRDefault="0005296F" w:rsidP="0005296F">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bl>
    <w:p w14:paraId="1B3B7701" w14:textId="77777777" w:rsidR="0005296F" w:rsidRDefault="0005296F" w:rsidP="0005296F">
      <w:pPr>
        <w:pStyle w:val="a2"/>
        <w:widowControl w:val="0"/>
        <w:spacing w:before="120"/>
        <w:rPr>
          <w:spacing w:val="-2"/>
          <w:sz w:val="18"/>
          <w:vertAlign w:val="superscript"/>
          <w:lang w:val="en-US"/>
        </w:rPr>
      </w:pPr>
      <w:bookmarkStart w:id="1" w:name="_Hlk135317038"/>
    </w:p>
    <w:p w14:paraId="14DF43FC" w14:textId="27950708" w:rsidR="0005296F" w:rsidRDefault="0005296F" w:rsidP="0005296F">
      <w:pPr>
        <w:pStyle w:val="a2"/>
        <w:widowControl w:val="0"/>
        <w:spacing w:before="120"/>
        <w:rPr>
          <w:lang w:val="en-US"/>
        </w:rPr>
      </w:pPr>
      <w:r>
        <w:rPr>
          <w:spacing w:val="-2"/>
          <w:sz w:val="18"/>
          <w:vertAlign w:val="superscript"/>
        </w:rPr>
        <w:t xml:space="preserve">1 </w:t>
      </w:r>
      <w:r>
        <w:rPr>
          <w:i/>
          <w:spacing w:val="-2"/>
          <w:sz w:val="18"/>
          <w:szCs w:val="18"/>
          <w:lang w:val="en-US" w:eastAsia="ru-RU"/>
        </w:rPr>
        <w:t>Changes in trade and other receivables and changes in trade and other payables include effect of foreign exchange differences from operating activities.</w:t>
      </w:r>
    </w:p>
    <w:p w14:paraId="758F0E49" w14:textId="6B9D43A4" w:rsidR="0005296F" w:rsidRPr="0005296F" w:rsidRDefault="0005296F" w:rsidP="006B6993">
      <w:pPr>
        <w:pStyle w:val="a2"/>
        <w:widowControl w:val="0"/>
        <w:spacing w:before="200" w:after="200"/>
        <w:rPr>
          <w:rFonts w:asciiTheme="minorHAnsi" w:hAnsiTheme="minorHAnsi" w:cstheme="minorHAnsi"/>
          <w:b/>
          <w:bCs/>
          <w:i/>
          <w:iCs/>
          <w:sz w:val="22"/>
          <w:szCs w:val="22"/>
          <w:bdr w:val="none" w:sz="0" w:space="0" w:color="auto" w:frame="1"/>
          <w:lang w:val="en-US"/>
        </w:rPr>
      </w:pPr>
      <w:r>
        <w:rPr>
          <w:spacing w:val="-2"/>
          <w:sz w:val="18"/>
          <w:vertAlign w:val="superscript"/>
        </w:rPr>
        <w:t>2</w:t>
      </w:r>
      <w:r>
        <w:rPr>
          <w:spacing w:val="-2"/>
          <w:sz w:val="18"/>
          <w:szCs w:val="18"/>
          <w:lang w:eastAsia="ru-RU"/>
        </w:rPr>
        <w:t xml:space="preserve"> </w:t>
      </w:r>
      <w:r>
        <w:rPr>
          <w:i/>
          <w:spacing w:val="-2"/>
          <w:sz w:val="18"/>
          <w:szCs w:val="18"/>
          <w:lang w:val="en-US" w:eastAsia="ru-RU"/>
        </w:rPr>
        <w:t>The</w:t>
      </w:r>
      <w:r>
        <w:rPr>
          <w:spacing w:val="-2"/>
          <w:sz w:val="18"/>
          <w:szCs w:val="18"/>
          <w:lang w:val="en-US" w:eastAsia="ru-RU"/>
        </w:rPr>
        <w:t xml:space="preserve"> </w:t>
      </w:r>
      <w:r>
        <w:rPr>
          <w:i/>
          <w:spacing w:val="-2"/>
          <w:sz w:val="18"/>
          <w:szCs w:val="18"/>
          <w:lang w:val="en-US" w:eastAsia="ru-RU"/>
        </w:rPr>
        <w:t>Group</w:t>
      </w:r>
      <w:r>
        <w:rPr>
          <w:spacing w:val="-2"/>
          <w:sz w:val="18"/>
          <w:szCs w:val="18"/>
          <w:lang w:val="en-US" w:eastAsia="ru-RU"/>
        </w:rPr>
        <w:t xml:space="preserve"> </w:t>
      </w:r>
      <w:r>
        <w:rPr>
          <w:i/>
          <w:spacing w:val="-2"/>
          <w:sz w:val="18"/>
          <w:szCs w:val="18"/>
          <w:lang w:val="en-US" w:eastAsia="ru-RU"/>
        </w:rPr>
        <w:t>received cash refund from</w:t>
      </w:r>
      <w:r>
        <w:rPr>
          <w:spacing w:val="-2"/>
          <w:sz w:val="18"/>
          <w:szCs w:val="18"/>
          <w:lang w:val="en-US" w:eastAsia="ru-RU"/>
        </w:rPr>
        <w:t xml:space="preserve"> </w:t>
      </w:r>
      <w:r>
        <w:rPr>
          <w:i/>
          <w:spacing w:val="-2"/>
          <w:sz w:val="18"/>
          <w:szCs w:val="18"/>
          <w:lang w:val="en-US" w:eastAsia="ru-RU"/>
        </w:rPr>
        <w:t>depositories</w:t>
      </w:r>
      <w:r>
        <w:rPr>
          <w:spacing w:val="-2"/>
          <w:sz w:val="18"/>
          <w:szCs w:val="18"/>
          <w:lang w:val="en-US" w:eastAsia="ru-RU"/>
        </w:rPr>
        <w:t xml:space="preserve"> </w:t>
      </w:r>
      <w:r>
        <w:rPr>
          <w:i/>
          <w:spacing w:val="-2"/>
          <w:sz w:val="18"/>
          <w:szCs w:val="18"/>
          <w:lang w:val="en-US" w:eastAsia="ru-RU"/>
        </w:rPr>
        <w:t>paid</w:t>
      </w:r>
      <w:r>
        <w:rPr>
          <w:spacing w:val="-2"/>
          <w:sz w:val="18"/>
          <w:szCs w:val="18"/>
          <w:lang w:val="en-US" w:eastAsia="ru-RU"/>
        </w:rPr>
        <w:t xml:space="preserve"> </w:t>
      </w:r>
      <w:r>
        <w:rPr>
          <w:i/>
          <w:spacing w:val="-2"/>
          <w:sz w:val="18"/>
          <w:szCs w:val="18"/>
          <w:lang w:val="en-US" w:eastAsia="ru-RU"/>
        </w:rPr>
        <w:t>as</w:t>
      </w:r>
      <w:r>
        <w:rPr>
          <w:spacing w:val="-2"/>
          <w:sz w:val="18"/>
          <w:szCs w:val="18"/>
          <w:lang w:val="en-US" w:eastAsia="ru-RU"/>
        </w:rPr>
        <w:t xml:space="preserve"> </w:t>
      </w:r>
      <w:r>
        <w:rPr>
          <w:i/>
          <w:spacing w:val="-2"/>
          <w:sz w:val="18"/>
          <w:szCs w:val="18"/>
          <w:lang w:val="en-US" w:eastAsia="ru-RU"/>
        </w:rPr>
        <w:t>dividends</w:t>
      </w:r>
      <w:r>
        <w:rPr>
          <w:spacing w:val="-2"/>
          <w:sz w:val="18"/>
          <w:szCs w:val="18"/>
          <w:lang w:val="en-US" w:eastAsia="ru-RU"/>
        </w:rPr>
        <w:t xml:space="preserve"> </w:t>
      </w:r>
      <w:r>
        <w:rPr>
          <w:i/>
          <w:spacing w:val="-2"/>
          <w:sz w:val="18"/>
          <w:szCs w:val="18"/>
          <w:lang w:val="en-US" w:eastAsia="ru-RU"/>
        </w:rPr>
        <w:t>to</w:t>
      </w:r>
      <w:r>
        <w:rPr>
          <w:spacing w:val="-2"/>
          <w:sz w:val="18"/>
          <w:szCs w:val="18"/>
          <w:lang w:val="en-US" w:eastAsia="ru-RU"/>
        </w:rPr>
        <w:t xml:space="preserve"> </w:t>
      </w:r>
      <w:r>
        <w:rPr>
          <w:i/>
          <w:spacing w:val="-2"/>
          <w:sz w:val="18"/>
          <w:szCs w:val="18"/>
          <w:lang w:val="en-US" w:eastAsia="ru-RU"/>
        </w:rPr>
        <w:t>parties</w:t>
      </w:r>
      <w:r>
        <w:rPr>
          <w:spacing w:val="-2"/>
          <w:sz w:val="18"/>
          <w:szCs w:val="18"/>
          <w:lang w:val="en-US" w:eastAsia="ru-RU"/>
        </w:rPr>
        <w:t xml:space="preserve"> </w:t>
      </w:r>
      <w:r>
        <w:rPr>
          <w:i/>
          <w:spacing w:val="-2"/>
          <w:sz w:val="18"/>
          <w:szCs w:val="18"/>
          <w:lang w:val="en-US" w:eastAsia="ru-RU"/>
        </w:rPr>
        <w:t>who</w:t>
      </w:r>
      <w:r>
        <w:rPr>
          <w:spacing w:val="-2"/>
          <w:sz w:val="18"/>
          <w:szCs w:val="18"/>
          <w:lang w:val="en-US" w:eastAsia="ru-RU"/>
        </w:rPr>
        <w:t xml:space="preserve"> </w:t>
      </w:r>
      <w:r>
        <w:rPr>
          <w:i/>
          <w:spacing w:val="-2"/>
          <w:sz w:val="18"/>
          <w:szCs w:val="18"/>
          <w:lang w:val="en-US" w:eastAsia="ru-RU"/>
        </w:rPr>
        <w:t>were</w:t>
      </w:r>
      <w:r>
        <w:rPr>
          <w:spacing w:val="-2"/>
          <w:sz w:val="18"/>
          <w:szCs w:val="18"/>
          <w:lang w:val="en-US" w:eastAsia="ru-RU"/>
        </w:rPr>
        <w:t xml:space="preserve"> </w:t>
      </w:r>
      <w:r>
        <w:rPr>
          <w:i/>
          <w:spacing w:val="-2"/>
          <w:sz w:val="18"/>
          <w:szCs w:val="18"/>
          <w:lang w:val="en-US" w:eastAsia="ru-RU"/>
        </w:rPr>
        <w:t>entitled</w:t>
      </w:r>
      <w:r>
        <w:rPr>
          <w:spacing w:val="-2"/>
          <w:sz w:val="18"/>
          <w:szCs w:val="18"/>
          <w:lang w:val="en-US" w:eastAsia="ru-RU"/>
        </w:rPr>
        <w:t xml:space="preserve"> </w:t>
      </w:r>
      <w:r>
        <w:rPr>
          <w:i/>
          <w:spacing w:val="-2"/>
          <w:sz w:val="18"/>
          <w:szCs w:val="18"/>
          <w:lang w:val="en-US" w:eastAsia="ru-RU"/>
        </w:rPr>
        <w:t>to</w:t>
      </w:r>
      <w:r>
        <w:rPr>
          <w:spacing w:val="-2"/>
          <w:sz w:val="18"/>
          <w:szCs w:val="18"/>
          <w:lang w:val="en-US" w:eastAsia="ru-RU"/>
        </w:rPr>
        <w:t xml:space="preserve"> </w:t>
      </w:r>
      <w:r>
        <w:rPr>
          <w:i/>
          <w:spacing w:val="-2"/>
          <w:sz w:val="18"/>
          <w:szCs w:val="18"/>
          <w:lang w:val="en-US" w:eastAsia="ru-RU"/>
        </w:rPr>
        <w:t>receive</w:t>
      </w:r>
      <w:r>
        <w:rPr>
          <w:spacing w:val="-2"/>
          <w:sz w:val="18"/>
          <w:szCs w:val="18"/>
          <w:lang w:val="en-US" w:eastAsia="ru-RU"/>
        </w:rPr>
        <w:t xml:space="preserve"> </w:t>
      </w:r>
      <w:proofErr w:type="gramStart"/>
      <w:r>
        <w:rPr>
          <w:i/>
          <w:spacing w:val="-2"/>
          <w:sz w:val="18"/>
          <w:szCs w:val="18"/>
          <w:lang w:val="en-US" w:eastAsia="ru-RU"/>
        </w:rPr>
        <w:t>them,</w:t>
      </w:r>
      <w:r>
        <w:rPr>
          <w:spacing w:val="-2"/>
          <w:sz w:val="18"/>
          <w:szCs w:val="18"/>
          <w:lang w:val="en-US" w:eastAsia="ru-RU"/>
        </w:rPr>
        <w:t xml:space="preserve"> </w:t>
      </w:r>
      <w:r>
        <w:rPr>
          <w:i/>
          <w:spacing w:val="-2"/>
          <w:sz w:val="18"/>
          <w:szCs w:val="18"/>
          <w:lang w:val="en-US" w:eastAsia="ru-RU"/>
        </w:rPr>
        <w:t>but</w:t>
      </w:r>
      <w:proofErr w:type="gramEnd"/>
      <w:r>
        <w:rPr>
          <w:spacing w:val="-2"/>
          <w:sz w:val="18"/>
          <w:szCs w:val="18"/>
          <w:lang w:val="en-US" w:eastAsia="ru-RU"/>
        </w:rPr>
        <w:t xml:space="preserve"> </w:t>
      </w:r>
      <w:r>
        <w:rPr>
          <w:i/>
          <w:spacing w:val="-2"/>
          <w:sz w:val="18"/>
          <w:szCs w:val="18"/>
          <w:lang w:val="en-US" w:eastAsia="ru-RU"/>
        </w:rPr>
        <w:t>didn’t receive dividends due to reasons beyond the depositories’</w:t>
      </w:r>
      <w:r>
        <w:rPr>
          <w:spacing w:val="-2"/>
          <w:sz w:val="18"/>
          <w:szCs w:val="18"/>
          <w:lang w:val="en-US" w:eastAsia="ru-RU"/>
        </w:rPr>
        <w:t xml:space="preserve"> </w:t>
      </w:r>
      <w:r>
        <w:rPr>
          <w:i/>
          <w:spacing w:val="-2"/>
          <w:sz w:val="18"/>
          <w:szCs w:val="18"/>
          <w:lang w:val="en-US" w:eastAsia="ru-RU"/>
        </w:rPr>
        <w:t>control.</w:t>
      </w:r>
      <w:bookmarkEnd w:id="1"/>
    </w:p>
    <w:sectPr w:rsidR="0005296F" w:rsidRPr="0005296F" w:rsidSect="00CE6A7A">
      <w:headerReference w:type="default" r:id="rId28"/>
      <w:footnotePr>
        <w:numRestart w:val="eachPage"/>
      </w:footnotePr>
      <w:pgSz w:w="11907" w:h="16840" w:code="9"/>
      <w:pgMar w:top="1440" w:right="1077" w:bottom="1077"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80CCE" w14:textId="77777777" w:rsidR="00CE6A7A" w:rsidRDefault="00CE6A7A">
      <w:pPr>
        <w:spacing w:after="0" w:line="240" w:lineRule="auto"/>
      </w:pPr>
      <w:r>
        <w:separator/>
      </w:r>
    </w:p>
  </w:endnote>
  <w:endnote w:type="continuationSeparator" w:id="0">
    <w:p w14:paraId="5C5627F4" w14:textId="77777777" w:rsidR="00CE6A7A" w:rsidRDefault="00CE6A7A">
      <w:pPr>
        <w:spacing w:after="0" w:line="240" w:lineRule="auto"/>
      </w:pPr>
      <w:r>
        <w:continuationSeparator/>
      </w:r>
    </w:p>
  </w:endnote>
  <w:endnote w:type="continuationNotice" w:id="1">
    <w:p w14:paraId="057ABEA5" w14:textId="77777777" w:rsidR="00CE6A7A" w:rsidRDefault="00CE6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0000500000000000000"/>
    <w:charset w:val="00"/>
    <w:family w:val="modern"/>
    <w:notTrueType/>
    <w:pitch w:val="variable"/>
    <w:sig w:usb0="E40002FF" w:usb1="0200001B" w:usb2="01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45 Light">
    <w:altName w:val="Calibri"/>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55">
    <w:altName w:val="Arial Narrow"/>
    <w:charset w:val="00"/>
    <w:family w:val="auto"/>
    <w:pitch w:val="variable"/>
    <w:sig w:usb0="8000002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Univers LT Std 45 Light">
    <w:altName w:val="Calibri"/>
    <w:panose1 w:val="00000000000000000000"/>
    <w:charset w:val="00"/>
    <w:family w:val="swiss"/>
    <w:notTrueType/>
    <w:pitch w:val="variable"/>
    <w:sig w:usb0="00000003" w:usb1="4000204A" w:usb2="00000000" w:usb3="00000000" w:csb0="00000001"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orbel"/>
    <w:charset w:val="00"/>
    <w:family w:val="swiss"/>
    <w:pitch w:val="variable"/>
    <w:sig w:usb0="00000007" w:usb1="00000000" w:usb2="00000000" w:usb3="00000000" w:csb0="00000093" w:csb1="00000000"/>
  </w:font>
  <w:font w:name="Arial Bold">
    <w:altName w:val="Arial"/>
    <w:panose1 w:val="00000000000000000000"/>
    <w:charset w:val="00"/>
    <w:family w:val="roman"/>
    <w:notTrueType/>
    <w:pitch w:val="default"/>
  </w:font>
  <w:font w:name="Foco">
    <w:altName w:val="Arial"/>
    <w:panose1 w:val="00000000000000000000"/>
    <w:charset w:val="00"/>
    <w:family w:val="swiss"/>
    <w:notTrueType/>
    <w:pitch w:val="variable"/>
    <w:sig w:usb0="A00002EF" w:usb1="5000205B" w:usb2="00000008"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35313" w14:textId="77777777" w:rsidR="00CE6A7A" w:rsidRDefault="00CE6A7A">
      <w:pPr>
        <w:spacing w:after="0" w:line="240" w:lineRule="auto"/>
      </w:pPr>
      <w:r>
        <w:separator/>
      </w:r>
    </w:p>
  </w:footnote>
  <w:footnote w:type="continuationSeparator" w:id="0">
    <w:p w14:paraId="49416935" w14:textId="77777777" w:rsidR="00CE6A7A" w:rsidRDefault="00CE6A7A">
      <w:pPr>
        <w:spacing w:after="0" w:line="240" w:lineRule="auto"/>
      </w:pPr>
      <w:r>
        <w:continuationSeparator/>
      </w:r>
    </w:p>
  </w:footnote>
  <w:footnote w:type="continuationNotice" w:id="1">
    <w:p w14:paraId="30555B39" w14:textId="77777777" w:rsidR="00CE6A7A" w:rsidRDefault="00CE6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1B3B1" w14:textId="77777777" w:rsidR="0005296F" w:rsidRPr="00C246DE" w:rsidRDefault="0005296F" w:rsidP="00C246DE">
    <w:pPr>
      <w:pStyle w:val="a8"/>
    </w:pPr>
    <w:r w:rsidRPr="00C246D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4BA94" w14:textId="77777777" w:rsidR="0005296F" w:rsidRPr="0005296F" w:rsidRDefault="0005296F" w:rsidP="002A2232">
    <w:pPr>
      <w:pStyle w:val="a8"/>
      <w:pBdr>
        <w:bottom w:val="single" w:sz="4" w:space="1" w:color="auto"/>
      </w:pBdr>
      <w:jc w:val="right"/>
      <w:rPr>
        <w:lang w:val="ru-RU"/>
      </w:rPr>
    </w:pPr>
    <w:r w:rsidRPr="004356E2">
      <w:rPr>
        <w:rFonts w:cs="Calibri"/>
        <w:sz w:val="22"/>
        <w:szCs w:val="22"/>
        <w:lang w:val="ru-RU"/>
      </w:rPr>
      <w:t xml:space="preserve">Консолидированный промежуточный сокращенный отчет о движении денежных средств за </w:t>
    </w:r>
    <w:r>
      <w:rPr>
        <w:rFonts w:cs="Calibri"/>
        <w:sz w:val="22"/>
        <w:szCs w:val="22"/>
        <w:lang w:val="ru-RU"/>
      </w:rPr>
      <w:t>девять</w:t>
    </w:r>
    <w:r w:rsidRPr="004356E2">
      <w:rPr>
        <w:rFonts w:cs="Calibri"/>
        <w:sz w:val="22"/>
        <w:szCs w:val="22"/>
        <w:lang w:val="ru-RU"/>
      </w:rPr>
      <w:t xml:space="preserve"> месяцев, закончившихся 3</w:t>
    </w:r>
    <w:r>
      <w:rPr>
        <w:rFonts w:cs="Calibri"/>
        <w:sz w:val="22"/>
        <w:szCs w:val="22"/>
        <w:lang w:val="ru-RU"/>
      </w:rPr>
      <w:t>1</w:t>
    </w:r>
    <w:r w:rsidRPr="004356E2">
      <w:rPr>
        <w:rFonts w:cs="Calibri"/>
        <w:sz w:val="22"/>
        <w:szCs w:val="22"/>
        <w:lang w:val="ru-RU"/>
      </w:rPr>
      <w:t xml:space="preserve"> </w:t>
    </w:r>
    <w:r>
      <w:rPr>
        <w:rFonts w:cs="Calibri"/>
        <w:sz w:val="22"/>
        <w:szCs w:val="22"/>
        <w:lang w:val="ru-RU"/>
      </w:rPr>
      <w:t>декабря</w:t>
    </w:r>
    <w:r w:rsidRPr="004356E2">
      <w:rPr>
        <w:rFonts w:cs="Calibri"/>
        <w:sz w:val="22"/>
        <w:szCs w:val="22"/>
        <w:lang w:val="ru-RU"/>
      </w:rPr>
      <w:t xml:space="preserve"> 2022 года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5319" w14:textId="77777777" w:rsidR="0005296F" w:rsidRPr="0005296F" w:rsidRDefault="0005296F" w:rsidP="0005296F">
    <w:pPr>
      <w:spacing w:after="0" w:line="220" w:lineRule="atLeast"/>
      <w:rPr>
        <w:rFonts w:ascii="Arial" w:eastAsia="Times New Roman" w:hAnsi="Arial" w:cs="Arial"/>
        <w:b/>
        <w:bCs/>
        <w:i/>
        <w:sz w:val="20"/>
        <w:lang w:val="en-GB"/>
      </w:rPr>
    </w:pPr>
    <w:r w:rsidRPr="0005296F">
      <w:rPr>
        <w:rFonts w:ascii="Arial" w:eastAsia="Times New Roman" w:hAnsi="Arial" w:cs="Arial"/>
        <w:b/>
        <w:bCs/>
        <w:i/>
        <w:sz w:val="20"/>
        <w:lang w:val="en-US"/>
      </w:rPr>
      <w:t>PJSC “PhosAgro”</w:t>
    </w:r>
  </w:p>
  <w:p w14:paraId="790AB34B" w14:textId="4F4261F9" w:rsidR="0005296F" w:rsidRPr="0005296F" w:rsidRDefault="0005296F" w:rsidP="0005296F">
    <w:pPr>
      <w:pBdr>
        <w:bottom w:val="single" w:sz="4" w:space="1" w:color="auto"/>
      </w:pBdr>
      <w:spacing w:after="0" w:line="220" w:lineRule="atLeast"/>
      <w:rPr>
        <w:rFonts w:ascii="Arial" w:eastAsia="Times New Roman" w:hAnsi="Arial" w:cs="Arial"/>
        <w:i/>
        <w:sz w:val="18"/>
        <w:szCs w:val="22"/>
        <w:lang w:val="en-US"/>
      </w:rPr>
    </w:pPr>
    <w:bookmarkStart w:id="0" w:name="_Hlk126581593"/>
    <w:r w:rsidRPr="0005296F">
      <w:rPr>
        <w:rFonts w:ascii="Arial" w:eastAsia="Times New Roman" w:hAnsi="Arial" w:cs="Arial"/>
        <w:i/>
        <w:sz w:val="20"/>
        <w:lang w:val="en-GB"/>
      </w:rPr>
      <w:t xml:space="preserve">Consolidated Statement of Profit or Loss and Other Comprehensive Income for </w:t>
    </w:r>
    <w:r w:rsidRPr="0005296F">
      <w:rPr>
        <w:rFonts w:ascii="Arial" w:eastAsia="Times New Roman" w:hAnsi="Arial" w:cs="Arial"/>
        <w:i/>
        <w:sz w:val="20"/>
        <w:lang w:val="en-US"/>
      </w:rPr>
      <w:t>2023</w:t>
    </w:r>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C18E6" w14:textId="77777777" w:rsidR="0005296F" w:rsidRPr="00AC5D38" w:rsidRDefault="0005296F" w:rsidP="0005296F">
    <w:pPr>
      <w:pStyle w:val="a8"/>
      <w:rPr>
        <w:rFonts w:ascii="Arial" w:hAnsi="Arial" w:cs="Arial"/>
        <w:b/>
        <w:bCs/>
        <w:lang w:val="en-GB"/>
      </w:rPr>
    </w:pPr>
    <w:r w:rsidRPr="00AC5D38">
      <w:rPr>
        <w:rFonts w:ascii="Arial" w:hAnsi="Arial" w:cs="Arial"/>
        <w:b/>
        <w:bCs/>
      </w:rPr>
      <w:t>PJSC “</w:t>
    </w:r>
    <w:proofErr w:type="spellStart"/>
    <w:r w:rsidRPr="00AC5D38">
      <w:rPr>
        <w:rFonts w:ascii="Arial" w:hAnsi="Arial" w:cs="Arial"/>
        <w:b/>
        <w:bCs/>
      </w:rPr>
      <w:t>PhosAgro</w:t>
    </w:r>
    <w:proofErr w:type="spellEnd"/>
    <w:r w:rsidRPr="00AC5D38">
      <w:rPr>
        <w:rFonts w:ascii="Arial" w:hAnsi="Arial" w:cs="Arial"/>
        <w:b/>
        <w:bCs/>
      </w:rPr>
      <w:t>”</w:t>
    </w:r>
  </w:p>
  <w:p w14:paraId="490890EF" w14:textId="4379E421" w:rsidR="0005296F" w:rsidRPr="0005296F" w:rsidRDefault="0005296F" w:rsidP="0005296F">
    <w:pPr>
      <w:pStyle w:val="a8"/>
      <w:pBdr>
        <w:bottom w:val="single" w:sz="4" w:space="1" w:color="auto"/>
      </w:pBdr>
      <w:rPr>
        <w:rFonts w:ascii="Arial" w:hAnsi="Arial" w:cs="Arial"/>
      </w:rPr>
    </w:pPr>
    <w:r w:rsidRPr="00AC5D38">
      <w:rPr>
        <w:rFonts w:ascii="Arial" w:hAnsi="Arial" w:cs="Arial"/>
        <w:lang w:val="en-GB"/>
      </w:rPr>
      <w:t xml:space="preserve">Consolidated Statement of Financial Position as </w:t>
    </w:r>
    <w:proofErr w:type="gramStart"/>
    <w:r w:rsidRPr="00AC5D38">
      <w:rPr>
        <w:rFonts w:ascii="Arial" w:hAnsi="Arial" w:cs="Arial"/>
        <w:lang w:val="en-GB"/>
      </w:rPr>
      <w:t>at</w:t>
    </w:r>
    <w:proofErr w:type="gramEnd"/>
    <w:r w:rsidRPr="00AC5D38">
      <w:rPr>
        <w:rFonts w:ascii="Arial" w:hAnsi="Arial" w:cs="Arial"/>
        <w:lang w:val="en-GB"/>
      </w:rPr>
      <w:t xml:space="preserve"> </w:t>
    </w:r>
    <w:r w:rsidRPr="00AC5D38">
      <w:rPr>
        <w:rFonts w:ascii="Arial" w:hAnsi="Arial" w:cs="Arial"/>
      </w:rPr>
      <w:t>31 December</w:t>
    </w:r>
    <w:r w:rsidRPr="00AC5D38">
      <w:rPr>
        <w:rFonts w:ascii="Arial" w:hAnsi="Arial" w:cs="Arial"/>
        <w:lang w:val="en-GB"/>
      </w:rPr>
      <w:t xml:space="preserve"> 20</w:t>
    </w:r>
    <w:r w:rsidRPr="00AC5D38">
      <w:rPr>
        <w:rFonts w:ascii="Arial" w:hAnsi="Arial" w:cs="Arial"/>
      </w:rPr>
      <w:t>2</w:t>
    </w:r>
    <w:r w:rsidRPr="00553C78">
      <w:rPr>
        <w:rFonts w:ascii="Arial" w:hAnsi="Arial" w:cs="Arial"/>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0549" w14:textId="77777777" w:rsidR="003C00E7" w:rsidRPr="00B95ED0" w:rsidRDefault="003C00E7" w:rsidP="00B95ED0">
    <w:pPr>
      <w:pStyle w:val="a8"/>
      <w:spacing w:after="120"/>
      <w:rPr>
        <w:rFonts w:ascii="Arial" w:hAnsi="Arial" w:cs="Arial"/>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6E71"/>
    <w:multiLevelType w:val="hybridMultilevel"/>
    <w:tmpl w:val="19A423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D6666"/>
    <w:multiLevelType w:val="hybridMultilevel"/>
    <w:tmpl w:val="6B02B2B0"/>
    <w:lvl w:ilvl="0" w:tplc="0CA8D552">
      <w:start w:val="1"/>
      <w:numFmt w:val="bullet"/>
      <w:pStyle w:val="a"/>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53B7"/>
    <w:multiLevelType w:val="hybridMultilevel"/>
    <w:tmpl w:val="D5E2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512FBD"/>
    <w:multiLevelType w:val="hybridMultilevel"/>
    <w:tmpl w:val="3AD42622"/>
    <w:lvl w:ilvl="0" w:tplc="A2CE2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A2930"/>
    <w:multiLevelType w:val="hybridMultilevel"/>
    <w:tmpl w:val="EFC0396C"/>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6307A"/>
    <w:multiLevelType w:val="hybridMultilevel"/>
    <w:tmpl w:val="0FA0D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1B620F"/>
    <w:multiLevelType w:val="hybridMultilevel"/>
    <w:tmpl w:val="D7EAAA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E52D9C"/>
    <w:multiLevelType w:val="singleLevel"/>
    <w:tmpl w:val="D25E0B12"/>
    <w:lvl w:ilvl="0">
      <w:start w:val="1"/>
      <w:numFmt w:val="decimal"/>
      <w:pStyle w:val="Report"/>
      <w:lvlText w:val="%1"/>
      <w:lvlJc w:val="left"/>
      <w:pPr>
        <w:tabs>
          <w:tab w:val="num" w:pos="-4"/>
        </w:tabs>
        <w:ind w:left="-4" w:hanging="705"/>
      </w:pPr>
      <w:rPr>
        <w:b w:val="0"/>
        <w:i w:val="0"/>
      </w:rPr>
    </w:lvl>
  </w:abstractNum>
  <w:abstractNum w:abstractNumId="8" w15:restartNumberingAfterBreak="0">
    <w:nsid w:val="183013E9"/>
    <w:multiLevelType w:val="hybridMultilevel"/>
    <w:tmpl w:val="6B3C3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9D36C7"/>
    <w:multiLevelType w:val="hybridMultilevel"/>
    <w:tmpl w:val="AD4E2D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F470E"/>
    <w:multiLevelType w:val="hybridMultilevel"/>
    <w:tmpl w:val="6D32A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41DB6"/>
    <w:multiLevelType w:val="multilevel"/>
    <w:tmpl w:val="2ED6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76C78"/>
    <w:multiLevelType w:val="multilevel"/>
    <w:tmpl w:val="195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5702D"/>
    <w:multiLevelType w:val="hybridMultilevel"/>
    <w:tmpl w:val="9042973E"/>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14" w15:restartNumberingAfterBreak="0">
    <w:nsid w:val="32A50EE2"/>
    <w:multiLevelType w:val="hybridMultilevel"/>
    <w:tmpl w:val="09E0371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32E23483"/>
    <w:multiLevelType w:val="hybridMultilevel"/>
    <w:tmpl w:val="DA0C7A24"/>
    <w:lvl w:ilvl="0" w:tplc="3EF22616">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064488"/>
    <w:multiLevelType w:val="hybridMultilevel"/>
    <w:tmpl w:val="77382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4933B3"/>
    <w:multiLevelType w:val="hybridMultilevel"/>
    <w:tmpl w:val="34586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3B60EA"/>
    <w:multiLevelType w:val="multilevel"/>
    <w:tmpl w:val="7432FE96"/>
    <w:lvl w:ilvl="0">
      <w:start w:val="1"/>
      <w:numFmt w:val="decimal"/>
      <w:lvlText w:val="%1"/>
      <w:lvlJc w:val="left"/>
      <w:pPr>
        <w:tabs>
          <w:tab w:val="num" w:pos="964"/>
        </w:tabs>
        <w:ind w:left="964" w:hanging="964"/>
      </w:pPr>
      <w:rPr>
        <w:rFonts w:ascii="Arial" w:hAnsi="Arial" w:cs="Arial" w:hint="default"/>
        <w:b/>
        <w:color w:val="00B6DA"/>
        <w:sz w:val="20"/>
      </w:rPr>
    </w:lvl>
    <w:lvl w:ilvl="1">
      <w:start w:val="2"/>
      <w:numFmt w:val="lowerLetter"/>
      <w:lvlText w:val="(%2)"/>
      <w:lvlJc w:val="left"/>
      <w:pPr>
        <w:tabs>
          <w:tab w:val="num" w:pos="3658"/>
        </w:tabs>
        <w:ind w:left="3658" w:hanging="964"/>
      </w:pPr>
      <w:rPr>
        <w:rFonts w:hint="default"/>
        <w:b/>
      </w:rPr>
    </w:lvl>
    <w:lvl w:ilvl="2">
      <w:start w:val="2"/>
      <w:numFmt w:val="lowerRoman"/>
      <w:lvlText w:val="(%3)"/>
      <w:lvlJc w:val="left"/>
      <w:pPr>
        <w:tabs>
          <w:tab w:val="num" w:pos="0"/>
        </w:tabs>
        <w:ind w:left="0" w:hanging="964"/>
      </w:pPr>
      <w:rPr>
        <w:rFonts w:hint="default"/>
      </w:rPr>
    </w:lvl>
    <w:lvl w:ilvl="3">
      <w:start w:val="1"/>
      <w:numFmt w:val="decimal"/>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04512E"/>
    <w:multiLevelType w:val="hybridMultilevel"/>
    <w:tmpl w:val="D5CED666"/>
    <w:lvl w:ilvl="0" w:tplc="04090001">
      <w:start w:val="1"/>
      <w:numFmt w:val="bullet"/>
      <w:lvlText w:val=""/>
      <w:lvlJc w:val="left"/>
      <w:pPr>
        <w:ind w:left="2062" w:hanging="360"/>
      </w:pPr>
      <w:rPr>
        <w:rFonts w:ascii="Symbol" w:hAnsi="Symbol" w:hint="default"/>
      </w:rPr>
    </w:lvl>
    <w:lvl w:ilvl="1" w:tplc="B186F270">
      <w:start w:val="1"/>
      <w:numFmt w:val="bullet"/>
      <w:lvlText w:val=""/>
      <w:lvlJc w:val="left"/>
      <w:pPr>
        <w:ind w:left="6315" w:hanging="360"/>
      </w:pPr>
      <w:rPr>
        <w:rFonts w:ascii="Wingdings" w:hAnsi="Wingdings" w:hint="default"/>
        <w:lang w:val="ru-RU"/>
      </w:rPr>
    </w:lvl>
    <w:lvl w:ilvl="2" w:tplc="04090005">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0" w15:restartNumberingAfterBreak="0">
    <w:nsid w:val="442513DC"/>
    <w:multiLevelType w:val="hybridMultilevel"/>
    <w:tmpl w:val="AF2EEE16"/>
    <w:lvl w:ilvl="0" w:tplc="53D69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7E2C3D"/>
    <w:multiLevelType w:val="hybridMultilevel"/>
    <w:tmpl w:val="C6262756"/>
    <w:lvl w:ilvl="0" w:tplc="F90AA62E">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64C14"/>
    <w:multiLevelType w:val="hybridMultilevel"/>
    <w:tmpl w:val="01BAA0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DC2CE3"/>
    <w:multiLevelType w:val="hybridMultilevel"/>
    <w:tmpl w:val="52F2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B502E"/>
    <w:multiLevelType w:val="hybridMultilevel"/>
    <w:tmpl w:val="60064D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BB0EE8"/>
    <w:multiLevelType w:val="hybridMultilevel"/>
    <w:tmpl w:val="2EB4FE38"/>
    <w:name w:val="Notes Pag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E71461"/>
    <w:multiLevelType w:val="hybridMultilevel"/>
    <w:tmpl w:val="DD14E0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29B5182"/>
    <w:multiLevelType w:val="hybridMultilevel"/>
    <w:tmpl w:val="71624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0B6F6F"/>
    <w:multiLevelType w:val="hybridMultilevel"/>
    <w:tmpl w:val="93AA4702"/>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DB27C1"/>
    <w:multiLevelType w:val="hybridMultilevel"/>
    <w:tmpl w:val="A1EEBAC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15:restartNumberingAfterBreak="0">
    <w:nsid w:val="58003228"/>
    <w:multiLevelType w:val="hybridMultilevel"/>
    <w:tmpl w:val="E028E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04E4B09"/>
    <w:multiLevelType w:val="hybridMultilevel"/>
    <w:tmpl w:val="DF7E7C74"/>
    <w:lvl w:ilvl="0" w:tplc="A2CE2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5437B0"/>
    <w:multiLevelType w:val="hybridMultilevel"/>
    <w:tmpl w:val="2EC8F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6AE7EB8"/>
    <w:multiLevelType w:val="hybridMultilevel"/>
    <w:tmpl w:val="46C69C30"/>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2A13B1"/>
    <w:multiLevelType w:val="hybridMultilevel"/>
    <w:tmpl w:val="612A0A36"/>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4030FF"/>
    <w:multiLevelType w:val="singleLevel"/>
    <w:tmpl w:val="06F64BC0"/>
    <w:lvl w:ilvl="0">
      <w:start w:val="1"/>
      <w:numFmt w:val="bullet"/>
      <w:pStyle w:val="2"/>
      <w:lvlText w:val="-"/>
      <w:lvlJc w:val="left"/>
      <w:pPr>
        <w:tabs>
          <w:tab w:val="num" w:pos="680"/>
        </w:tabs>
        <w:ind w:left="680" w:hanging="340"/>
      </w:pPr>
      <w:rPr>
        <w:rFonts w:ascii="Times New Roman" w:hAnsi="Times New Roman" w:hint="default"/>
      </w:rPr>
    </w:lvl>
  </w:abstractNum>
  <w:abstractNum w:abstractNumId="36" w15:restartNumberingAfterBreak="0">
    <w:nsid w:val="72591CA9"/>
    <w:multiLevelType w:val="multilevel"/>
    <w:tmpl w:val="F37C7346"/>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15:restartNumberingAfterBreak="0">
    <w:nsid w:val="7495498F"/>
    <w:multiLevelType w:val="multilevel"/>
    <w:tmpl w:val="01F804E0"/>
    <w:lvl w:ilvl="0">
      <w:start w:val="1"/>
      <w:numFmt w:val="none"/>
      <w:pStyle w:val="TableBodyRowHeading"/>
      <w:suff w:val="nothing"/>
      <w:lvlText w:val=""/>
      <w:lvlJc w:val="left"/>
      <w:pPr>
        <w:ind w:left="0" w:firstLine="0"/>
      </w:pPr>
      <w:rPr>
        <w:rFonts w:hint="default"/>
      </w:rPr>
    </w:lvl>
    <w:lvl w:ilvl="1">
      <w:start w:val="1"/>
      <w:numFmt w:val="decimal"/>
      <w:lvlText w:val="%1%2."/>
      <w:lvlJc w:val="left"/>
      <w:pPr>
        <w:ind w:left="720" w:hanging="720"/>
      </w:pPr>
      <w:rPr>
        <w:rFonts w:hint="default"/>
      </w:rPr>
    </w:lvl>
    <w:lvl w:ilvl="2">
      <w:start w:val="1"/>
      <w:numFmt w:val="lowerLetter"/>
      <w:suff w:val="space"/>
      <w:lvlText w:val="%1%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9E14D8"/>
    <w:multiLevelType w:val="hybridMultilevel"/>
    <w:tmpl w:val="CA1C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A6207A"/>
    <w:multiLevelType w:val="hybridMultilevel"/>
    <w:tmpl w:val="63DED0D6"/>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7E5F97"/>
    <w:multiLevelType w:val="multilevel"/>
    <w:tmpl w:val="F1BE9EC2"/>
    <w:lvl w:ilvl="0">
      <w:start w:val="1"/>
      <w:numFmt w:val="upperLetter"/>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1" w15:restartNumberingAfterBreak="0">
    <w:nsid w:val="79E2255F"/>
    <w:multiLevelType w:val="hybridMultilevel"/>
    <w:tmpl w:val="50C4E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265984"/>
    <w:multiLevelType w:val="hybridMultilevel"/>
    <w:tmpl w:val="C756E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E195590"/>
    <w:multiLevelType w:val="hybridMultilevel"/>
    <w:tmpl w:val="AE522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B00ACD"/>
    <w:multiLevelType w:val="hybridMultilevel"/>
    <w:tmpl w:val="751E7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08583373">
    <w:abstractNumId w:val="19"/>
  </w:num>
  <w:num w:numId="2" w16cid:durableId="788283834">
    <w:abstractNumId w:val="40"/>
  </w:num>
  <w:num w:numId="3" w16cid:durableId="542181842">
    <w:abstractNumId w:val="1"/>
  </w:num>
  <w:num w:numId="4" w16cid:durableId="1145732803">
    <w:abstractNumId w:val="35"/>
  </w:num>
  <w:num w:numId="5" w16cid:durableId="89737526">
    <w:abstractNumId w:val="7"/>
  </w:num>
  <w:num w:numId="6" w16cid:durableId="1600602964">
    <w:abstractNumId w:val="29"/>
  </w:num>
  <w:num w:numId="7" w16cid:durableId="1897542161">
    <w:abstractNumId w:val="34"/>
  </w:num>
  <w:num w:numId="8" w16cid:durableId="1715152656">
    <w:abstractNumId w:val="33"/>
  </w:num>
  <w:num w:numId="9" w16cid:durableId="1204291713">
    <w:abstractNumId w:val="25"/>
  </w:num>
  <w:num w:numId="10" w16cid:durableId="1170217233">
    <w:abstractNumId w:val="5"/>
  </w:num>
  <w:num w:numId="11" w16cid:durableId="729039765">
    <w:abstractNumId w:val="12"/>
  </w:num>
  <w:num w:numId="12" w16cid:durableId="98255214">
    <w:abstractNumId w:val="23"/>
  </w:num>
  <w:num w:numId="13" w16cid:durableId="1828935846">
    <w:abstractNumId w:val="6"/>
  </w:num>
  <w:num w:numId="14" w16cid:durableId="1900747036">
    <w:abstractNumId w:val="28"/>
  </w:num>
  <w:num w:numId="15" w16cid:durableId="1257447353">
    <w:abstractNumId w:val="39"/>
  </w:num>
  <w:num w:numId="16" w16cid:durableId="1394503806">
    <w:abstractNumId w:val="27"/>
  </w:num>
  <w:num w:numId="17" w16cid:durableId="729228009">
    <w:abstractNumId w:val="4"/>
  </w:num>
  <w:num w:numId="18" w16cid:durableId="1149785348">
    <w:abstractNumId w:val="38"/>
  </w:num>
  <w:num w:numId="19" w16cid:durableId="1558861887">
    <w:abstractNumId w:val="2"/>
  </w:num>
  <w:num w:numId="20" w16cid:durableId="1398094502">
    <w:abstractNumId w:val="11"/>
  </w:num>
  <w:num w:numId="21" w16cid:durableId="40978393">
    <w:abstractNumId w:val="17"/>
  </w:num>
  <w:num w:numId="22" w16cid:durableId="1519663125">
    <w:abstractNumId w:val="42"/>
  </w:num>
  <w:num w:numId="23" w16cid:durableId="774058560">
    <w:abstractNumId w:val="10"/>
  </w:num>
  <w:num w:numId="24" w16cid:durableId="779646690">
    <w:abstractNumId w:val="13"/>
  </w:num>
  <w:num w:numId="25" w16cid:durableId="2041200612">
    <w:abstractNumId w:val="24"/>
  </w:num>
  <w:num w:numId="26" w16cid:durableId="1227493560">
    <w:abstractNumId w:val="19"/>
  </w:num>
  <w:num w:numId="27" w16cid:durableId="307589450">
    <w:abstractNumId w:val="32"/>
  </w:num>
  <w:num w:numId="28" w16cid:durableId="1334988152">
    <w:abstractNumId w:val="14"/>
  </w:num>
  <w:num w:numId="29" w16cid:durableId="1249004938">
    <w:abstractNumId w:val="26"/>
  </w:num>
  <w:num w:numId="30" w16cid:durableId="1953630322">
    <w:abstractNumId w:val="18"/>
  </w:num>
  <w:num w:numId="31" w16cid:durableId="649556484">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3286733">
    <w:abstractNumId w:val="15"/>
  </w:num>
  <w:num w:numId="33" w16cid:durableId="377778478">
    <w:abstractNumId w:val="3"/>
  </w:num>
  <w:num w:numId="34" w16cid:durableId="1542790563">
    <w:abstractNumId w:val="21"/>
  </w:num>
  <w:num w:numId="35" w16cid:durableId="911551605">
    <w:abstractNumId w:val="36"/>
  </w:num>
  <w:num w:numId="36" w16cid:durableId="712728542">
    <w:abstractNumId w:val="37"/>
  </w:num>
  <w:num w:numId="37" w16cid:durableId="14498771">
    <w:abstractNumId w:val="16"/>
  </w:num>
  <w:num w:numId="38" w16cid:durableId="180751458">
    <w:abstractNumId w:val="31"/>
  </w:num>
  <w:num w:numId="39" w16cid:durableId="737483270">
    <w:abstractNumId w:val="22"/>
  </w:num>
  <w:num w:numId="40" w16cid:durableId="1232078828">
    <w:abstractNumId w:val="0"/>
  </w:num>
  <w:num w:numId="41" w16cid:durableId="1400706868">
    <w:abstractNumId w:val="41"/>
  </w:num>
  <w:num w:numId="42" w16cid:durableId="1859344544">
    <w:abstractNumId w:val="9"/>
  </w:num>
  <w:num w:numId="43" w16cid:durableId="599290458">
    <w:abstractNumId w:val="44"/>
  </w:num>
  <w:num w:numId="44" w16cid:durableId="11635445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5830697">
    <w:abstractNumId w:val="43"/>
  </w:num>
  <w:num w:numId="46" w16cid:durableId="120996480">
    <w:abstractNumId w:val="8"/>
  </w:num>
  <w:num w:numId="47" w16cid:durableId="10003698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CA" w:vendorID="64" w:dllVersion="0" w:nlCheck="1" w:checkStyle="0"/>
  <w:activeWritingStyle w:appName="MSWord" w:lang="en-CA" w:vendorID="64" w:dllVersion="6" w:nlCheck="1" w:checkStyle="1"/>
  <w:proofState w:spelling="clean" w:grammar="clean"/>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C19"/>
    <w:rsid w:val="00000846"/>
    <w:rsid w:val="00001942"/>
    <w:rsid w:val="00001D05"/>
    <w:rsid w:val="00001F89"/>
    <w:rsid w:val="00001FEF"/>
    <w:rsid w:val="000025A6"/>
    <w:rsid w:val="0000299F"/>
    <w:rsid w:val="00002C0A"/>
    <w:rsid w:val="000031C7"/>
    <w:rsid w:val="000033D9"/>
    <w:rsid w:val="000035F7"/>
    <w:rsid w:val="00003D5B"/>
    <w:rsid w:val="0000407F"/>
    <w:rsid w:val="00004266"/>
    <w:rsid w:val="000046B4"/>
    <w:rsid w:val="000048AD"/>
    <w:rsid w:val="0000491F"/>
    <w:rsid w:val="00004C4C"/>
    <w:rsid w:val="00005462"/>
    <w:rsid w:val="00005B13"/>
    <w:rsid w:val="00005D00"/>
    <w:rsid w:val="00006652"/>
    <w:rsid w:val="00006824"/>
    <w:rsid w:val="00006D33"/>
    <w:rsid w:val="00006D98"/>
    <w:rsid w:val="00006F31"/>
    <w:rsid w:val="00006F86"/>
    <w:rsid w:val="00007003"/>
    <w:rsid w:val="0000738F"/>
    <w:rsid w:val="00007463"/>
    <w:rsid w:val="00007884"/>
    <w:rsid w:val="00007BB2"/>
    <w:rsid w:val="00010035"/>
    <w:rsid w:val="000101AC"/>
    <w:rsid w:val="00010425"/>
    <w:rsid w:val="000107EB"/>
    <w:rsid w:val="00010804"/>
    <w:rsid w:val="000108FF"/>
    <w:rsid w:val="00010BC6"/>
    <w:rsid w:val="00010F28"/>
    <w:rsid w:val="0001128E"/>
    <w:rsid w:val="000114E0"/>
    <w:rsid w:val="0001156D"/>
    <w:rsid w:val="00011F77"/>
    <w:rsid w:val="000123E0"/>
    <w:rsid w:val="00012440"/>
    <w:rsid w:val="0001275C"/>
    <w:rsid w:val="00012E68"/>
    <w:rsid w:val="000130A8"/>
    <w:rsid w:val="000132A9"/>
    <w:rsid w:val="0001334B"/>
    <w:rsid w:val="000134CC"/>
    <w:rsid w:val="000135DB"/>
    <w:rsid w:val="00013732"/>
    <w:rsid w:val="00013D96"/>
    <w:rsid w:val="0001420A"/>
    <w:rsid w:val="00014243"/>
    <w:rsid w:val="000142FF"/>
    <w:rsid w:val="0001436B"/>
    <w:rsid w:val="00014A4E"/>
    <w:rsid w:val="00014C0F"/>
    <w:rsid w:val="00014D65"/>
    <w:rsid w:val="0001554C"/>
    <w:rsid w:val="00015C30"/>
    <w:rsid w:val="00016C4F"/>
    <w:rsid w:val="00016C96"/>
    <w:rsid w:val="00016CAD"/>
    <w:rsid w:val="0001705B"/>
    <w:rsid w:val="000170E9"/>
    <w:rsid w:val="00017120"/>
    <w:rsid w:val="0001712B"/>
    <w:rsid w:val="000173AA"/>
    <w:rsid w:val="00017A6E"/>
    <w:rsid w:val="00017E02"/>
    <w:rsid w:val="00020333"/>
    <w:rsid w:val="00020546"/>
    <w:rsid w:val="00020B66"/>
    <w:rsid w:val="00020ED1"/>
    <w:rsid w:val="00021061"/>
    <w:rsid w:val="00021212"/>
    <w:rsid w:val="00021942"/>
    <w:rsid w:val="00021A9B"/>
    <w:rsid w:val="00021AC5"/>
    <w:rsid w:val="00021C2A"/>
    <w:rsid w:val="00021E96"/>
    <w:rsid w:val="00022080"/>
    <w:rsid w:val="000220F2"/>
    <w:rsid w:val="00022477"/>
    <w:rsid w:val="000224D8"/>
    <w:rsid w:val="00022D04"/>
    <w:rsid w:val="00022D6A"/>
    <w:rsid w:val="00022F61"/>
    <w:rsid w:val="00023093"/>
    <w:rsid w:val="000231A0"/>
    <w:rsid w:val="0002321D"/>
    <w:rsid w:val="000232B9"/>
    <w:rsid w:val="000232F4"/>
    <w:rsid w:val="0002338F"/>
    <w:rsid w:val="0002346E"/>
    <w:rsid w:val="000236F2"/>
    <w:rsid w:val="000239FF"/>
    <w:rsid w:val="00023A0F"/>
    <w:rsid w:val="00023B66"/>
    <w:rsid w:val="00023B75"/>
    <w:rsid w:val="00023ECF"/>
    <w:rsid w:val="00023F60"/>
    <w:rsid w:val="00023FDA"/>
    <w:rsid w:val="00024108"/>
    <w:rsid w:val="000242C3"/>
    <w:rsid w:val="000248C5"/>
    <w:rsid w:val="000249B8"/>
    <w:rsid w:val="00024A85"/>
    <w:rsid w:val="00024C4B"/>
    <w:rsid w:val="00024D3E"/>
    <w:rsid w:val="00024FB8"/>
    <w:rsid w:val="000250CE"/>
    <w:rsid w:val="00025263"/>
    <w:rsid w:val="0002560F"/>
    <w:rsid w:val="00025690"/>
    <w:rsid w:val="000258B0"/>
    <w:rsid w:val="00025943"/>
    <w:rsid w:val="000259CA"/>
    <w:rsid w:val="000261CA"/>
    <w:rsid w:val="00026287"/>
    <w:rsid w:val="000262EE"/>
    <w:rsid w:val="00026959"/>
    <w:rsid w:val="000269E4"/>
    <w:rsid w:val="00026E51"/>
    <w:rsid w:val="00026F3C"/>
    <w:rsid w:val="00027756"/>
    <w:rsid w:val="00027E2E"/>
    <w:rsid w:val="0003041A"/>
    <w:rsid w:val="0003052F"/>
    <w:rsid w:val="00030573"/>
    <w:rsid w:val="0003074B"/>
    <w:rsid w:val="00030886"/>
    <w:rsid w:val="00030B27"/>
    <w:rsid w:val="00030B96"/>
    <w:rsid w:val="00030DA3"/>
    <w:rsid w:val="000311C5"/>
    <w:rsid w:val="00031A2D"/>
    <w:rsid w:val="00032631"/>
    <w:rsid w:val="00032727"/>
    <w:rsid w:val="00033280"/>
    <w:rsid w:val="00033391"/>
    <w:rsid w:val="0003371A"/>
    <w:rsid w:val="000337A4"/>
    <w:rsid w:val="0003392F"/>
    <w:rsid w:val="00033A0F"/>
    <w:rsid w:val="00033F9B"/>
    <w:rsid w:val="0003427B"/>
    <w:rsid w:val="000343CF"/>
    <w:rsid w:val="00034562"/>
    <w:rsid w:val="00034FCB"/>
    <w:rsid w:val="00035212"/>
    <w:rsid w:val="00035718"/>
    <w:rsid w:val="00035BF6"/>
    <w:rsid w:val="00035C51"/>
    <w:rsid w:val="00035C84"/>
    <w:rsid w:val="00035E04"/>
    <w:rsid w:val="00035F83"/>
    <w:rsid w:val="00035F87"/>
    <w:rsid w:val="00036C39"/>
    <w:rsid w:val="00036F02"/>
    <w:rsid w:val="0003703C"/>
    <w:rsid w:val="00037484"/>
    <w:rsid w:val="000374D0"/>
    <w:rsid w:val="00040005"/>
    <w:rsid w:val="00040021"/>
    <w:rsid w:val="000404CE"/>
    <w:rsid w:val="00040827"/>
    <w:rsid w:val="00040C09"/>
    <w:rsid w:val="00040EE1"/>
    <w:rsid w:val="000410F8"/>
    <w:rsid w:val="000412D2"/>
    <w:rsid w:val="000412DF"/>
    <w:rsid w:val="00041301"/>
    <w:rsid w:val="00041324"/>
    <w:rsid w:val="000415CE"/>
    <w:rsid w:val="000415D0"/>
    <w:rsid w:val="00041844"/>
    <w:rsid w:val="00041CAC"/>
    <w:rsid w:val="00041D7A"/>
    <w:rsid w:val="00041E62"/>
    <w:rsid w:val="0004219A"/>
    <w:rsid w:val="00042204"/>
    <w:rsid w:val="000423DF"/>
    <w:rsid w:val="00042534"/>
    <w:rsid w:val="000429C9"/>
    <w:rsid w:val="00042CA7"/>
    <w:rsid w:val="00042DDD"/>
    <w:rsid w:val="00042E0D"/>
    <w:rsid w:val="00043345"/>
    <w:rsid w:val="00043CE0"/>
    <w:rsid w:val="00043FE1"/>
    <w:rsid w:val="000443E6"/>
    <w:rsid w:val="0004442E"/>
    <w:rsid w:val="000444A1"/>
    <w:rsid w:val="0004458B"/>
    <w:rsid w:val="000446D1"/>
    <w:rsid w:val="00044913"/>
    <w:rsid w:val="000449C8"/>
    <w:rsid w:val="00044AF3"/>
    <w:rsid w:val="00044BE5"/>
    <w:rsid w:val="00044C8C"/>
    <w:rsid w:val="000450D4"/>
    <w:rsid w:val="00045760"/>
    <w:rsid w:val="00045801"/>
    <w:rsid w:val="00045C9A"/>
    <w:rsid w:val="0004605B"/>
    <w:rsid w:val="00046422"/>
    <w:rsid w:val="0004646C"/>
    <w:rsid w:val="0004698A"/>
    <w:rsid w:val="00046D5C"/>
    <w:rsid w:val="00046E7E"/>
    <w:rsid w:val="0004708C"/>
    <w:rsid w:val="000470E4"/>
    <w:rsid w:val="00047494"/>
    <w:rsid w:val="00047E4D"/>
    <w:rsid w:val="00047FC5"/>
    <w:rsid w:val="000501BE"/>
    <w:rsid w:val="00050A1A"/>
    <w:rsid w:val="00050D20"/>
    <w:rsid w:val="000510AB"/>
    <w:rsid w:val="00051A5E"/>
    <w:rsid w:val="00051DB4"/>
    <w:rsid w:val="00052003"/>
    <w:rsid w:val="000522DA"/>
    <w:rsid w:val="000528AF"/>
    <w:rsid w:val="00052937"/>
    <w:rsid w:val="0005296F"/>
    <w:rsid w:val="00052D1C"/>
    <w:rsid w:val="00052D95"/>
    <w:rsid w:val="00052F52"/>
    <w:rsid w:val="000531C6"/>
    <w:rsid w:val="0005398F"/>
    <w:rsid w:val="00053E20"/>
    <w:rsid w:val="00054513"/>
    <w:rsid w:val="00054CED"/>
    <w:rsid w:val="00054F58"/>
    <w:rsid w:val="00055166"/>
    <w:rsid w:val="00055363"/>
    <w:rsid w:val="000557EF"/>
    <w:rsid w:val="000559BB"/>
    <w:rsid w:val="0005636B"/>
    <w:rsid w:val="00056378"/>
    <w:rsid w:val="000569F1"/>
    <w:rsid w:val="00056BA0"/>
    <w:rsid w:val="00057349"/>
    <w:rsid w:val="0005789D"/>
    <w:rsid w:val="00057B66"/>
    <w:rsid w:val="00057CEF"/>
    <w:rsid w:val="00057ECD"/>
    <w:rsid w:val="000602D1"/>
    <w:rsid w:val="00060358"/>
    <w:rsid w:val="00060854"/>
    <w:rsid w:val="0006094E"/>
    <w:rsid w:val="00060C44"/>
    <w:rsid w:val="00060C87"/>
    <w:rsid w:val="00060DC8"/>
    <w:rsid w:val="00061291"/>
    <w:rsid w:val="000613E2"/>
    <w:rsid w:val="00061AC0"/>
    <w:rsid w:val="00062401"/>
    <w:rsid w:val="0006240E"/>
    <w:rsid w:val="000624D3"/>
    <w:rsid w:val="00062945"/>
    <w:rsid w:val="00062AF6"/>
    <w:rsid w:val="00062BE4"/>
    <w:rsid w:val="00063916"/>
    <w:rsid w:val="00063D93"/>
    <w:rsid w:val="0006400E"/>
    <w:rsid w:val="00064198"/>
    <w:rsid w:val="000643A8"/>
    <w:rsid w:val="00064722"/>
    <w:rsid w:val="00064E70"/>
    <w:rsid w:val="000652DF"/>
    <w:rsid w:val="0006576B"/>
    <w:rsid w:val="00065ABF"/>
    <w:rsid w:val="00065C19"/>
    <w:rsid w:val="000660E9"/>
    <w:rsid w:val="00066584"/>
    <w:rsid w:val="00066B38"/>
    <w:rsid w:val="00066C19"/>
    <w:rsid w:val="00066EEA"/>
    <w:rsid w:val="000676B6"/>
    <w:rsid w:val="00067777"/>
    <w:rsid w:val="00067CC2"/>
    <w:rsid w:val="00067EF0"/>
    <w:rsid w:val="00070072"/>
    <w:rsid w:val="00070081"/>
    <w:rsid w:val="000702E2"/>
    <w:rsid w:val="0007041E"/>
    <w:rsid w:val="00070452"/>
    <w:rsid w:val="00070877"/>
    <w:rsid w:val="000709E0"/>
    <w:rsid w:val="00070A0D"/>
    <w:rsid w:val="00070E48"/>
    <w:rsid w:val="00070FAB"/>
    <w:rsid w:val="0007168D"/>
    <w:rsid w:val="00071814"/>
    <w:rsid w:val="00071C59"/>
    <w:rsid w:val="00072F33"/>
    <w:rsid w:val="00073DD1"/>
    <w:rsid w:val="00073FBC"/>
    <w:rsid w:val="000740BF"/>
    <w:rsid w:val="00074418"/>
    <w:rsid w:val="0007497C"/>
    <w:rsid w:val="00074A6F"/>
    <w:rsid w:val="00075105"/>
    <w:rsid w:val="00075185"/>
    <w:rsid w:val="000756A5"/>
    <w:rsid w:val="00075DAD"/>
    <w:rsid w:val="00076435"/>
    <w:rsid w:val="0007666B"/>
    <w:rsid w:val="000769C3"/>
    <w:rsid w:val="00076BF4"/>
    <w:rsid w:val="00076D71"/>
    <w:rsid w:val="0007775A"/>
    <w:rsid w:val="0008008A"/>
    <w:rsid w:val="0008041E"/>
    <w:rsid w:val="000806D8"/>
    <w:rsid w:val="00080DF3"/>
    <w:rsid w:val="00081066"/>
    <w:rsid w:val="000811F7"/>
    <w:rsid w:val="00081FB9"/>
    <w:rsid w:val="00082152"/>
    <w:rsid w:val="00082166"/>
    <w:rsid w:val="0008228A"/>
    <w:rsid w:val="00082346"/>
    <w:rsid w:val="000827F9"/>
    <w:rsid w:val="00082BC4"/>
    <w:rsid w:val="00082BD3"/>
    <w:rsid w:val="00082C2A"/>
    <w:rsid w:val="00083EA5"/>
    <w:rsid w:val="000843CD"/>
    <w:rsid w:val="00084505"/>
    <w:rsid w:val="000848F5"/>
    <w:rsid w:val="00084D74"/>
    <w:rsid w:val="0008559A"/>
    <w:rsid w:val="00085A43"/>
    <w:rsid w:val="00085CA8"/>
    <w:rsid w:val="000863D0"/>
    <w:rsid w:val="00086590"/>
    <w:rsid w:val="00086607"/>
    <w:rsid w:val="0008699D"/>
    <w:rsid w:val="000869F5"/>
    <w:rsid w:val="00086B83"/>
    <w:rsid w:val="00086C1A"/>
    <w:rsid w:val="00086FB9"/>
    <w:rsid w:val="0008706C"/>
    <w:rsid w:val="000876FE"/>
    <w:rsid w:val="000877C6"/>
    <w:rsid w:val="000879CC"/>
    <w:rsid w:val="00087F9A"/>
    <w:rsid w:val="000900C8"/>
    <w:rsid w:val="000900E7"/>
    <w:rsid w:val="00090AE0"/>
    <w:rsid w:val="00090D00"/>
    <w:rsid w:val="00090DFB"/>
    <w:rsid w:val="00091304"/>
    <w:rsid w:val="000914D1"/>
    <w:rsid w:val="00091897"/>
    <w:rsid w:val="000919B5"/>
    <w:rsid w:val="00091AE6"/>
    <w:rsid w:val="000920F1"/>
    <w:rsid w:val="00092216"/>
    <w:rsid w:val="0009269F"/>
    <w:rsid w:val="000926FE"/>
    <w:rsid w:val="000928B1"/>
    <w:rsid w:val="0009358C"/>
    <w:rsid w:val="00093C3D"/>
    <w:rsid w:val="00093CFF"/>
    <w:rsid w:val="00094140"/>
    <w:rsid w:val="000941F2"/>
    <w:rsid w:val="0009444D"/>
    <w:rsid w:val="0009496D"/>
    <w:rsid w:val="00094E43"/>
    <w:rsid w:val="000952CB"/>
    <w:rsid w:val="00095556"/>
    <w:rsid w:val="000958A6"/>
    <w:rsid w:val="00095B0D"/>
    <w:rsid w:val="000961FF"/>
    <w:rsid w:val="000964AB"/>
    <w:rsid w:val="000966C0"/>
    <w:rsid w:val="00096DAA"/>
    <w:rsid w:val="000972E0"/>
    <w:rsid w:val="0009771E"/>
    <w:rsid w:val="0009775E"/>
    <w:rsid w:val="000A016B"/>
    <w:rsid w:val="000A02C5"/>
    <w:rsid w:val="000A0A6D"/>
    <w:rsid w:val="000A0C72"/>
    <w:rsid w:val="000A0CE6"/>
    <w:rsid w:val="000A0E4F"/>
    <w:rsid w:val="000A0E74"/>
    <w:rsid w:val="000A0F56"/>
    <w:rsid w:val="000A117D"/>
    <w:rsid w:val="000A1495"/>
    <w:rsid w:val="000A1948"/>
    <w:rsid w:val="000A1D03"/>
    <w:rsid w:val="000A1F67"/>
    <w:rsid w:val="000A230B"/>
    <w:rsid w:val="000A23E6"/>
    <w:rsid w:val="000A24DA"/>
    <w:rsid w:val="000A2542"/>
    <w:rsid w:val="000A2698"/>
    <w:rsid w:val="000A2CD3"/>
    <w:rsid w:val="000A3239"/>
    <w:rsid w:val="000A32FD"/>
    <w:rsid w:val="000A3463"/>
    <w:rsid w:val="000A34BC"/>
    <w:rsid w:val="000A34E4"/>
    <w:rsid w:val="000A3824"/>
    <w:rsid w:val="000A3966"/>
    <w:rsid w:val="000A3BDB"/>
    <w:rsid w:val="000A3E72"/>
    <w:rsid w:val="000A3F38"/>
    <w:rsid w:val="000A3FAA"/>
    <w:rsid w:val="000A3FB6"/>
    <w:rsid w:val="000A4488"/>
    <w:rsid w:val="000A45F6"/>
    <w:rsid w:val="000A47A3"/>
    <w:rsid w:val="000A482D"/>
    <w:rsid w:val="000A4AED"/>
    <w:rsid w:val="000A4B0A"/>
    <w:rsid w:val="000A4BB9"/>
    <w:rsid w:val="000A5791"/>
    <w:rsid w:val="000A584B"/>
    <w:rsid w:val="000A59C8"/>
    <w:rsid w:val="000A6173"/>
    <w:rsid w:val="000A6234"/>
    <w:rsid w:val="000A652C"/>
    <w:rsid w:val="000A6D10"/>
    <w:rsid w:val="000A7582"/>
    <w:rsid w:val="000A777A"/>
    <w:rsid w:val="000A782A"/>
    <w:rsid w:val="000A79EC"/>
    <w:rsid w:val="000B0154"/>
    <w:rsid w:val="000B0392"/>
    <w:rsid w:val="000B0492"/>
    <w:rsid w:val="000B0C25"/>
    <w:rsid w:val="000B1134"/>
    <w:rsid w:val="000B130A"/>
    <w:rsid w:val="000B16AB"/>
    <w:rsid w:val="000B1816"/>
    <w:rsid w:val="000B1ABB"/>
    <w:rsid w:val="000B1CBB"/>
    <w:rsid w:val="000B22BE"/>
    <w:rsid w:val="000B248A"/>
    <w:rsid w:val="000B30BF"/>
    <w:rsid w:val="000B3343"/>
    <w:rsid w:val="000B3544"/>
    <w:rsid w:val="000B35CA"/>
    <w:rsid w:val="000B3C60"/>
    <w:rsid w:val="000B3F6D"/>
    <w:rsid w:val="000B4909"/>
    <w:rsid w:val="000B4AB5"/>
    <w:rsid w:val="000B512C"/>
    <w:rsid w:val="000B5493"/>
    <w:rsid w:val="000B5603"/>
    <w:rsid w:val="000B5ABC"/>
    <w:rsid w:val="000B60F7"/>
    <w:rsid w:val="000B627F"/>
    <w:rsid w:val="000B6306"/>
    <w:rsid w:val="000B73A9"/>
    <w:rsid w:val="000B7721"/>
    <w:rsid w:val="000B79AB"/>
    <w:rsid w:val="000B7B56"/>
    <w:rsid w:val="000B7FAA"/>
    <w:rsid w:val="000C0068"/>
    <w:rsid w:val="000C06DA"/>
    <w:rsid w:val="000C1845"/>
    <w:rsid w:val="000C1A99"/>
    <w:rsid w:val="000C1F2F"/>
    <w:rsid w:val="000C2336"/>
    <w:rsid w:val="000C259E"/>
    <w:rsid w:val="000C28CF"/>
    <w:rsid w:val="000C2B71"/>
    <w:rsid w:val="000C2CA7"/>
    <w:rsid w:val="000C3250"/>
    <w:rsid w:val="000C330B"/>
    <w:rsid w:val="000C386C"/>
    <w:rsid w:val="000C3955"/>
    <w:rsid w:val="000C3AE4"/>
    <w:rsid w:val="000C3B03"/>
    <w:rsid w:val="000C3F7B"/>
    <w:rsid w:val="000C4325"/>
    <w:rsid w:val="000C436F"/>
    <w:rsid w:val="000C45B1"/>
    <w:rsid w:val="000C4795"/>
    <w:rsid w:val="000C49C7"/>
    <w:rsid w:val="000C4AC5"/>
    <w:rsid w:val="000C4CC9"/>
    <w:rsid w:val="000C4D8E"/>
    <w:rsid w:val="000C4DA3"/>
    <w:rsid w:val="000C61D1"/>
    <w:rsid w:val="000C656F"/>
    <w:rsid w:val="000C6633"/>
    <w:rsid w:val="000C66F0"/>
    <w:rsid w:val="000C6940"/>
    <w:rsid w:val="000C6F3A"/>
    <w:rsid w:val="000C6F8D"/>
    <w:rsid w:val="000C6FB8"/>
    <w:rsid w:val="000C7092"/>
    <w:rsid w:val="000C72D9"/>
    <w:rsid w:val="000C7631"/>
    <w:rsid w:val="000C7E2A"/>
    <w:rsid w:val="000C7EE7"/>
    <w:rsid w:val="000D0989"/>
    <w:rsid w:val="000D12D3"/>
    <w:rsid w:val="000D12E6"/>
    <w:rsid w:val="000D160C"/>
    <w:rsid w:val="000D193F"/>
    <w:rsid w:val="000D1A45"/>
    <w:rsid w:val="000D1AE6"/>
    <w:rsid w:val="000D1AF0"/>
    <w:rsid w:val="000D2B17"/>
    <w:rsid w:val="000D300E"/>
    <w:rsid w:val="000D3406"/>
    <w:rsid w:val="000D3522"/>
    <w:rsid w:val="000D3B36"/>
    <w:rsid w:val="000D3DCD"/>
    <w:rsid w:val="000D3FFC"/>
    <w:rsid w:val="000D415A"/>
    <w:rsid w:val="000D424B"/>
    <w:rsid w:val="000D4483"/>
    <w:rsid w:val="000D4517"/>
    <w:rsid w:val="000D4827"/>
    <w:rsid w:val="000D4C21"/>
    <w:rsid w:val="000D4E2C"/>
    <w:rsid w:val="000D5015"/>
    <w:rsid w:val="000D51C4"/>
    <w:rsid w:val="000D5456"/>
    <w:rsid w:val="000D54B4"/>
    <w:rsid w:val="000D55B1"/>
    <w:rsid w:val="000D5A52"/>
    <w:rsid w:val="000D5AE2"/>
    <w:rsid w:val="000D5C0E"/>
    <w:rsid w:val="000D5E27"/>
    <w:rsid w:val="000D5E28"/>
    <w:rsid w:val="000D5E4B"/>
    <w:rsid w:val="000D6102"/>
    <w:rsid w:val="000D6232"/>
    <w:rsid w:val="000D6886"/>
    <w:rsid w:val="000D72DF"/>
    <w:rsid w:val="000D73AF"/>
    <w:rsid w:val="000D73EF"/>
    <w:rsid w:val="000D7467"/>
    <w:rsid w:val="000D7767"/>
    <w:rsid w:val="000D77C6"/>
    <w:rsid w:val="000D7808"/>
    <w:rsid w:val="000D79F2"/>
    <w:rsid w:val="000D7D46"/>
    <w:rsid w:val="000D7DF5"/>
    <w:rsid w:val="000E0465"/>
    <w:rsid w:val="000E0C3F"/>
    <w:rsid w:val="000E11FC"/>
    <w:rsid w:val="000E1570"/>
    <w:rsid w:val="000E17B2"/>
    <w:rsid w:val="000E192A"/>
    <w:rsid w:val="000E19A9"/>
    <w:rsid w:val="000E19F7"/>
    <w:rsid w:val="000E1F78"/>
    <w:rsid w:val="000E2366"/>
    <w:rsid w:val="000E2732"/>
    <w:rsid w:val="000E28C8"/>
    <w:rsid w:val="000E29AA"/>
    <w:rsid w:val="000E2E33"/>
    <w:rsid w:val="000E30DF"/>
    <w:rsid w:val="000E350E"/>
    <w:rsid w:val="000E3797"/>
    <w:rsid w:val="000E3DCA"/>
    <w:rsid w:val="000E40D1"/>
    <w:rsid w:val="000E437E"/>
    <w:rsid w:val="000E4A7E"/>
    <w:rsid w:val="000E4EE1"/>
    <w:rsid w:val="000E4FCE"/>
    <w:rsid w:val="000E52C6"/>
    <w:rsid w:val="000E5DF1"/>
    <w:rsid w:val="000E5EAF"/>
    <w:rsid w:val="000E67D8"/>
    <w:rsid w:val="000E6CE3"/>
    <w:rsid w:val="000E6E6C"/>
    <w:rsid w:val="000E7310"/>
    <w:rsid w:val="000E742D"/>
    <w:rsid w:val="000E75A6"/>
    <w:rsid w:val="000E7612"/>
    <w:rsid w:val="000E766E"/>
    <w:rsid w:val="000E7707"/>
    <w:rsid w:val="000E7E3B"/>
    <w:rsid w:val="000F0068"/>
    <w:rsid w:val="000F0527"/>
    <w:rsid w:val="000F077C"/>
    <w:rsid w:val="000F0B47"/>
    <w:rsid w:val="000F0D56"/>
    <w:rsid w:val="000F18AB"/>
    <w:rsid w:val="000F1926"/>
    <w:rsid w:val="000F1A3C"/>
    <w:rsid w:val="000F1E21"/>
    <w:rsid w:val="000F1EF8"/>
    <w:rsid w:val="000F231B"/>
    <w:rsid w:val="000F2668"/>
    <w:rsid w:val="000F28D8"/>
    <w:rsid w:val="000F29AE"/>
    <w:rsid w:val="000F2E19"/>
    <w:rsid w:val="000F2EDC"/>
    <w:rsid w:val="000F2EE9"/>
    <w:rsid w:val="000F2FDE"/>
    <w:rsid w:val="000F3119"/>
    <w:rsid w:val="000F33B8"/>
    <w:rsid w:val="000F340E"/>
    <w:rsid w:val="000F34F2"/>
    <w:rsid w:val="000F3546"/>
    <w:rsid w:val="000F363D"/>
    <w:rsid w:val="000F393A"/>
    <w:rsid w:val="000F429C"/>
    <w:rsid w:val="000F4415"/>
    <w:rsid w:val="000F4524"/>
    <w:rsid w:val="000F5178"/>
    <w:rsid w:val="000F51A9"/>
    <w:rsid w:val="000F546C"/>
    <w:rsid w:val="000F6ACE"/>
    <w:rsid w:val="000F6B8B"/>
    <w:rsid w:val="000F7291"/>
    <w:rsid w:val="000F74DB"/>
    <w:rsid w:val="000F7F80"/>
    <w:rsid w:val="000F7FD7"/>
    <w:rsid w:val="0010036F"/>
    <w:rsid w:val="00100531"/>
    <w:rsid w:val="00100F20"/>
    <w:rsid w:val="00100F7C"/>
    <w:rsid w:val="00101755"/>
    <w:rsid w:val="00101AB6"/>
    <w:rsid w:val="001021C5"/>
    <w:rsid w:val="00102554"/>
    <w:rsid w:val="001025FB"/>
    <w:rsid w:val="001026B0"/>
    <w:rsid w:val="001027CB"/>
    <w:rsid w:val="001029B2"/>
    <w:rsid w:val="00102ACF"/>
    <w:rsid w:val="00102FA9"/>
    <w:rsid w:val="001030D8"/>
    <w:rsid w:val="00103334"/>
    <w:rsid w:val="001036B1"/>
    <w:rsid w:val="00103A7F"/>
    <w:rsid w:val="00103EBA"/>
    <w:rsid w:val="00103F77"/>
    <w:rsid w:val="001040C0"/>
    <w:rsid w:val="00104653"/>
    <w:rsid w:val="00104658"/>
    <w:rsid w:val="001049CF"/>
    <w:rsid w:val="00104D71"/>
    <w:rsid w:val="00104E50"/>
    <w:rsid w:val="00104EA8"/>
    <w:rsid w:val="00105060"/>
    <w:rsid w:val="001051D9"/>
    <w:rsid w:val="001056BF"/>
    <w:rsid w:val="00105EC4"/>
    <w:rsid w:val="00106132"/>
    <w:rsid w:val="001065F1"/>
    <w:rsid w:val="0010679C"/>
    <w:rsid w:val="00106CB5"/>
    <w:rsid w:val="00106D6D"/>
    <w:rsid w:val="00106E8B"/>
    <w:rsid w:val="00106EA7"/>
    <w:rsid w:val="0010709D"/>
    <w:rsid w:val="0010712E"/>
    <w:rsid w:val="001077A2"/>
    <w:rsid w:val="00107F7B"/>
    <w:rsid w:val="001103E2"/>
    <w:rsid w:val="00110739"/>
    <w:rsid w:val="00110853"/>
    <w:rsid w:val="00110A3D"/>
    <w:rsid w:val="00111229"/>
    <w:rsid w:val="001112CE"/>
    <w:rsid w:val="00111460"/>
    <w:rsid w:val="001119A4"/>
    <w:rsid w:val="00111BB7"/>
    <w:rsid w:val="00111FCA"/>
    <w:rsid w:val="0011218C"/>
    <w:rsid w:val="0011266F"/>
    <w:rsid w:val="0011269C"/>
    <w:rsid w:val="00112802"/>
    <w:rsid w:val="00112933"/>
    <w:rsid w:val="00114150"/>
    <w:rsid w:val="00114219"/>
    <w:rsid w:val="0011450C"/>
    <w:rsid w:val="001148AD"/>
    <w:rsid w:val="001148D4"/>
    <w:rsid w:val="00114A03"/>
    <w:rsid w:val="00114BE3"/>
    <w:rsid w:val="001151C8"/>
    <w:rsid w:val="0011531B"/>
    <w:rsid w:val="00115826"/>
    <w:rsid w:val="00115982"/>
    <w:rsid w:val="00115EF5"/>
    <w:rsid w:val="0011667B"/>
    <w:rsid w:val="00116886"/>
    <w:rsid w:val="00116EAD"/>
    <w:rsid w:val="00117259"/>
    <w:rsid w:val="00117776"/>
    <w:rsid w:val="001179FE"/>
    <w:rsid w:val="00117A2C"/>
    <w:rsid w:val="00117C3A"/>
    <w:rsid w:val="00120389"/>
    <w:rsid w:val="00120526"/>
    <w:rsid w:val="00120F11"/>
    <w:rsid w:val="00121791"/>
    <w:rsid w:val="00121EAB"/>
    <w:rsid w:val="00122012"/>
    <w:rsid w:val="00122123"/>
    <w:rsid w:val="001223AE"/>
    <w:rsid w:val="001223BC"/>
    <w:rsid w:val="00122463"/>
    <w:rsid w:val="00122D56"/>
    <w:rsid w:val="0012306E"/>
    <w:rsid w:val="001230C3"/>
    <w:rsid w:val="001231F0"/>
    <w:rsid w:val="0012366D"/>
    <w:rsid w:val="001239B6"/>
    <w:rsid w:val="00123A34"/>
    <w:rsid w:val="00123C6F"/>
    <w:rsid w:val="001246FF"/>
    <w:rsid w:val="0012479B"/>
    <w:rsid w:val="00124B0F"/>
    <w:rsid w:val="00124D9B"/>
    <w:rsid w:val="00124DD4"/>
    <w:rsid w:val="00125006"/>
    <w:rsid w:val="00125103"/>
    <w:rsid w:val="001254EF"/>
    <w:rsid w:val="00125532"/>
    <w:rsid w:val="00125AFD"/>
    <w:rsid w:val="00125B21"/>
    <w:rsid w:val="00126A85"/>
    <w:rsid w:val="00126EBD"/>
    <w:rsid w:val="00127114"/>
    <w:rsid w:val="00127C0D"/>
    <w:rsid w:val="00127F3E"/>
    <w:rsid w:val="001301B8"/>
    <w:rsid w:val="00130CA8"/>
    <w:rsid w:val="00130EF0"/>
    <w:rsid w:val="001313C8"/>
    <w:rsid w:val="001318A0"/>
    <w:rsid w:val="00131D72"/>
    <w:rsid w:val="00131EF2"/>
    <w:rsid w:val="00132615"/>
    <w:rsid w:val="00132EA2"/>
    <w:rsid w:val="001331A7"/>
    <w:rsid w:val="001333D3"/>
    <w:rsid w:val="00133663"/>
    <w:rsid w:val="001336BF"/>
    <w:rsid w:val="0013374B"/>
    <w:rsid w:val="001338C5"/>
    <w:rsid w:val="001339B0"/>
    <w:rsid w:val="0013467D"/>
    <w:rsid w:val="00135406"/>
    <w:rsid w:val="00135BE7"/>
    <w:rsid w:val="00135F0A"/>
    <w:rsid w:val="0013622D"/>
    <w:rsid w:val="001364CD"/>
    <w:rsid w:val="001364F2"/>
    <w:rsid w:val="0013650F"/>
    <w:rsid w:val="00136647"/>
    <w:rsid w:val="001367E8"/>
    <w:rsid w:val="00136C14"/>
    <w:rsid w:val="00136D11"/>
    <w:rsid w:val="00136E0B"/>
    <w:rsid w:val="001370E7"/>
    <w:rsid w:val="001371A5"/>
    <w:rsid w:val="00137346"/>
    <w:rsid w:val="001373D5"/>
    <w:rsid w:val="0013752D"/>
    <w:rsid w:val="0013790B"/>
    <w:rsid w:val="0013798C"/>
    <w:rsid w:val="00137F4C"/>
    <w:rsid w:val="00141286"/>
    <w:rsid w:val="0014158F"/>
    <w:rsid w:val="001417E1"/>
    <w:rsid w:val="0014187C"/>
    <w:rsid w:val="00141ABD"/>
    <w:rsid w:val="001420A1"/>
    <w:rsid w:val="001427FE"/>
    <w:rsid w:val="0014323F"/>
    <w:rsid w:val="00143431"/>
    <w:rsid w:val="001436CD"/>
    <w:rsid w:val="00143CBC"/>
    <w:rsid w:val="0014422E"/>
    <w:rsid w:val="00144547"/>
    <w:rsid w:val="0014469B"/>
    <w:rsid w:val="001447F5"/>
    <w:rsid w:val="00144D0A"/>
    <w:rsid w:val="0014531B"/>
    <w:rsid w:val="001457AB"/>
    <w:rsid w:val="00145842"/>
    <w:rsid w:val="001459DF"/>
    <w:rsid w:val="00145C7B"/>
    <w:rsid w:val="00145F0B"/>
    <w:rsid w:val="00146066"/>
    <w:rsid w:val="0014634D"/>
    <w:rsid w:val="0014657D"/>
    <w:rsid w:val="00146591"/>
    <w:rsid w:val="00147619"/>
    <w:rsid w:val="00147E7E"/>
    <w:rsid w:val="00147FB8"/>
    <w:rsid w:val="001502B3"/>
    <w:rsid w:val="0015032F"/>
    <w:rsid w:val="00150723"/>
    <w:rsid w:val="0015158B"/>
    <w:rsid w:val="0015170A"/>
    <w:rsid w:val="001518CC"/>
    <w:rsid w:val="00151C16"/>
    <w:rsid w:val="00151D00"/>
    <w:rsid w:val="00151D2E"/>
    <w:rsid w:val="00151EBF"/>
    <w:rsid w:val="0015304B"/>
    <w:rsid w:val="00153380"/>
    <w:rsid w:val="001533A3"/>
    <w:rsid w:val="00153879"/>
    <w:rsid w:val="0015390B"/>
    <w:rsid w:val="001540D4"/>
    <w:rsid w:val="001543B0"/>
    <w:rsid w:val="00154A7E"/>
    <w:rsid w:val="00154B68"/>
    <w:rsid w:val="00154C6E"/>
    <w:rsid w:val="00155238"/>
    <w:rsid w:val="00155565"/>
    <w:rsid w:val="00155A29"/>
    <w:rsid w:val="00155D00"/>
    <w:rsid w:val="00155F74"/>
    <w:rsid w:val="001566CA"/>
    <w:rsid w:val="00156833"/>
    <w:rsid w:val="00156966"/>
    <w:rsid w:val="00156984"/>
    <w:rsid w:val="00156B59"/>
    <w:rsid w:val="00157084"/>
    <w:rsid w:val="001572EB"/>
    <w:rsid w:val="00157546"/>
    <w:rsid w:val="00157A68"/>
    <w:rsid w:val="00157FE1"/>
    <w:rsid w:val="00160051"/>
    <w:rsid w:val="001600E7"/>
    <w:rsid w:val="00160569"/>
    <w:rsid w:val="0016065C"/>
    <w:rsid w:val="0016065D"/>
    <w:rsid w:val="001606C8"/>
    <w:rsid w:val="0016077F"/>
    <w:rsid w:val="00160DCF"/>
    <w:rsid w:val="00161144"/>
    <w:rsid w:val="0016115B"/>
    <w:rsid w:val="001611AE"/>
    <w:rsid w:val="001611EB"/>
    <w:rsid w:val="00161601"/>
    <w:rsid w:val="001617AA"/>
    <w:rsid w:val="001618AB"/>
    <w:rsid w:val="0016195A"/>
    <w:rsid w:val="00161BA9"/>
    <w:rsid w:val="00161EA7"/>
    <w:rsid w:val="00161ED9"/>
    <w:rsid w:val="00162393"/>
    <w:rsid w:val="0016270E"/>
    <w:rsid w:val="00162804"/>
    <w:rsid w:val="00163591"/>
    <w:rsid w:val="00163604"/>
    <w:rsid w:val="001636EC"/>
    <w:rsid w:val="001647C5"/>
    <w:rsid w:val="001648CA"/>
    <w:rsid w:val="0016492F"/>
    <w:rsid w:val="00164AEC"/>
    <w:rsid w:val="00164D8B"/>
    <w:rsid w:val="001650C3"/>
    <w:rsid w:val="0016524D"/>
    <w:rsid w:val="00165A30"/>
    <w:rsid w:val="00165F17"/>
    <w:rsid w:val="00165FF5"/>
    <w:rsid w:val="00166357"/>
    <w:rsid w:val="00166853"/>
    <w:rsid w:val="00166A57"/>
    <w:rsid w:val="00166F1A"/>
    <w:rsid w:val="00167028"/>
    <w:rsid w:val="00167462"/>
    <w:rsid w:val="00167558"/>
    <w:rsid w:val="001675FF"/>
    <w:rsid w:val="001678B9"/>
    <w:rsid w:val="00167C74"/>
    <w:rsid w:val="00167EB6"/>
    <w:rsid w:val="00167FC4"/>
    <w:rsid w:val="0017004A"/>
    <w:rsid w:val="0017059E"/>
    <w:rsid w:val="001709A2"/>
    <w:rsid w:val="00170B59"/>
    <w:rsid w:val="00170D40"/>
    <w:rsid w:val="00170F2C"/>
    <w:rsid w:val="00171370"/>
    <w:rsid w:val="001713FD"/>
    <w:rsid w:val="001717AF"/>
    <w:rsid w:val="00171EC6"/>
    <w:rsid w:val="001722FB"/>
    <w:rsid w:val="00172ABF"/>
    <w:rsid w:val="00173571"/>
    <w:rsid w:val="0017366D"/>
    <w:rsid w:val="0017373E"/>
    <w:rsid w:val="001740D4"/>
    <w:rsid w:val="0017433E"/>
    <w:rsid w:val="0017461E"/>
    <w:rsid w:val="0017469C"/>
    <w:rsid w:val="001747D3"/>
    <w:rsid w:val="0017487C"/>
    <w:rsid w:val="00174AEE"/>
    <w:rsid w:val="00174D79"/>
    <w:rsid w:val="00174D9A"/>
    <w:rsid w:val="00174E50"/>
    <w:rsid w:val="0017506B"/>
    <w:rsid w:val="0017519D"/>
    <w:rsid w:val="001756CC"/>
    <w:rsid w:val="00175AAA"/>
    <w:rsid w:val="00175AC8"/>
    <w:rsid w:val="00175DA2"/>
    <w:rsid w:val="0017630E"/>
    <w:rsid w:val="001764FB"/>
    <w:rsid w:val="0017670F"/>
    <w:rsid w:val="00176C03"/>
    <w:rsid w:val="00176C89"/>
    <w:rsid w:val="00176E36"/>
    <w:rsid w:val="001772B1"/>
    <w:rsid w:val="0017750E"/>
    <w:rsid w:val="00177D53"/>
    <w:rsid w:val="00177E82"/>
    <w:rsid w:val="00180722"/>
    <w:rsid w:val="00180737"/>
    <w:rsid w:val="00180980"/>
    <w:rsid w:val="00180B11"/>
    <w:rsid w:val="00180D1C"/>
    <w:rsid w:val="0018133F"/>
    <w:rsid w:val="00181D42"/>
    <w:rsid w:val="00181FA3"/>
    <w:rsid w:val="00181FAC"/>
    <w:rsid w:val="001821E2"/>
    <w:rsid w:val="0018249E"/>
    <w:rsid w:val="0018290E"/>
    <w:rsid w:val="00182BD6"/>
    <w:rsid w:val="00183250"/>
    <w:rsid w:val="0018342F"/>
    <w:rsid w:val="00183789"/>
    <w:rsid w:val="00183C8E"/>
    <w:rsid w:val="00183F3E"/>
    <w:rsid w:val="00184342"/>
    <w:rsid w:val="00184462"/>
    <w:rsid w:val="0018466A"/>
    <w:rsid w:val="001851D3"/>
    <w:rsid w:val="0018526A"/>
    <w:rsid w:val="00185366"/>
    <w:rsid w:val="0018544B"/>
    <w:rsid w:val="00185AC5"/>
    <w:rsid w:val="00185AF6"/>
    <w:rsid w:val="0018641F"/>
    <w:rsid w:val="0018654F"/>
    <w:rsid w:val="001865A2"/>
    <w:rsid w:val="0018662F"/>
    <w:rsid w:val="00186E4A"/>
    <w:rsid w:val="00186E6F"/>
    <w:rsid w:val="001870B5"/>
    <w:rsid w:val="00187153"/>
    <w:rsid w:val="00187366"/>
    <w:rsid w:val="0018747D"/>
    <w:rsid w:val="00187483"/>
    <w:rsid w:val="0018754A"/>
    <w:rsid w:val="00187568"/>
    <w:rsid w:val="001875CD"/>
    <w:rsid w:val="0018760B"/>
    <w:rsid w:val="0018794F"/>
    <w:rsid w:val="00187CE9"/>
    <w:rsid w:val="00187E09"/>
    <w:rsid w:val="00187E3C"/>
    <w:rsid w:val="00187E70"/>
    <w:rsid w:val="00190C6D"/>
    <w:rsid w:val="0019106F"/>
    <w:rsid w:val="001913B2"/>
    <w:rsid w:val="00191433"/>
    <w:rsid w:val="0019147D"/>
    <w:rsid w:val="00191733"/>
    <w:rsid w:val="00191F69"/>
    <w:rsid w:val="00191F6B"/>
    <w:rsid w:val="0019202D"/>
    <w:rsid w:val="00192074"/>
    <w:rsid w:val="0019220E"/>
    <w:rsid w:val="00192BD5"/>
    <w:rsid w:val="00192D8D"/>
    <w:rsid w:val="00193305"/>
    <w:rsid w:val="00193343"/>
    <w:rsid w:val="00193678"/>
    <w:rsid w:val="001937B8"/>
    <w:rsid w:val="00193905"/>
    <w:rsid w:val="001939FB"/>
    <w:rsid w:val="00193A35"/>
    <w:rsid w:val="00193B3A"/>
    <w:rsid w:val="00193F55"/>
    <w:rsid w:val="00194384"/>
    <w:rsid w:val="001943EE"/>
    <w:rsid w:val="00194957"/>
    <w:rsid w:val="00194A52"/>
    <w:rsid w:val="0019531B"/>
    <w:rsid w:val="00196056"/>
    <w:rsid w:val="0019623E"/>
    <w:rsid w:val="001962E3"/>
    <w:rsid w:val="001963AE"/>
    <w:rsid w:val="0019642C"/>
    <w:rsid w:val="001966E2"/>
    <w:rsid w:val="00196B56"/>
    <w:rsid w:val="00196E87"/>
    <w:rsid w:val="00197138"/>
    <w:rsid w:val="0019739B"/>
    <w:rsid w:val="00197F62"/>
    <w:rsid w:val="001A0200"/>
    <w:rsid w:val="001A0241"/>
    <w:rsid w:val="001A03BB"/>
    <w:rsid w:val="001A099D"/>
    <w:rsid w:val="001A0DF8"/>
    <w:rsid w:val="001A0F7E"/>
    <w:rsid w:val="001A0FB3"/>
    <w:rsid w:val="001A1265"/>
    <w:rsid w:val="001A149D"/>
    <w:rsid w:val="001A160E"/>
    <w:rsid w:val="001A1D38"/>
    <w:rsid w:val="001A1D57"/>
    <w:rsid w:val="001A2219"/>
    <w:rsid w:val="001A25A6"/>
    <w:rsid w:val="001A2B0B"/>
    <w:rsid w:val="001A2C34"/>
    <w:rsid w:val="001A2D8C"/>
    <w:rsid w:val="001A2F90"/>
    <w:rsid w:val="001A3416"/>
    <w:rsid w:val="001A3485"/>
    <w:rsid w:val="001A3D44"/>
    <w:rsid w:val="001A3D77"/>
    <w:rsid w:val="001A4947"/>
    <w:rsid w:val="001A4C47"/>
    <w:rsid w:val="001A4DC4"/>
    <w:rsid w:val="001A5464"/>
    <w:rsid w:val="001A5937"/>
    <w:rsid w:val="001A59DF"/>
    <w:rsid w:val="001A5D12"/>
    <w:rsid w:val="001A66B2"/>
    <w:rsid w:val="001A692E"/>
    <w:rsid w:val="001A6D87"/>
    <w:rsid w:val="001A71B0"/>
    <w:rsid w:val="001A7479"/>
    <w:rsid w:val="001A787D"/>
    <w:rsid w:val="001A7F4B"/>
    <w:rsid w:val="001B04A9"/>
    <w:rsid w:val="001B05D4"/>
    <w:rsid w:val="001B0623"/>
    <w:rsid w:val="001B0645"/>
    <w:rsid w:val="001B0BD8"/>
    <w:rsid w:val="001B0DA1"/>
    <w:rsid w:val="001B0DD5"/>
    <w:rsid w:val="001B14F5"/>
    <w:rsid w:val="001B158C"/>
    <w:rsid w:val="001B177E"/>
    <w:rsid w:val="001B1ADF"/>
    <w:rsid w:val="001B1D09"/>
    <w:rsid w:val="001B204B"/>
    <w:rsid w:val="001B2475"/>
    <w:rsid w:val="001B2695"/>
    <w:rsid w:val="001B2AA1"/>
    <w:rsid w:val="001B2B8A"/>
    <w:rsid w:val="001B2D85"/>
    <w:rsid w:val="001B3046"/>
    <w:rsid w:val="001B3AF0"/>
    <w:rsid w:val="001B3DBA"/>
    <w:rsid w:val="001B3E08"/>
    <w:rsid w:val="001B3FF6"/>
    <w:rsid w:val="001B406F"/>
    <w:rsid w:val="001B49C1"/>
    <w:rsid w:val="001B4BA5"/>
    <w:rsid w:val="001B4F7A"/>
    <w:rsid w:val="001B56DA"/>
    <w:rsid w:val="001B5C66"/>
    <w:rsid w:val="001B5D7C"/>
    <w:rsid w:val="001B5E6E"/>
    <w:rsid w:val="001B60EB"/>
    <w:rsid w:val="001B628D"/>
    <w:rsid w:val="001B62A0"/>
    <w:rsid w:val="001B6645"/>
    <w:rsid w:val="001B68BC"/>
    <w:rsid w:val="001B78FC"/>
    <w:rsid w:val="001B7BFA"/>
    <w:rsid w:val="001B7C37"/>
    <w:rsid w:val="001B7E50"/>
    <w:rsid w:val="001C00B6"/>
    <w:rsid w:val="001C02A8"/>
    <w:rsid w:val="001C02D7"/>
    <w:rsid w:val="001C055F"/>
    <w:rsid w:val="001C0760"/>
    <w:rsid w:val="001C0800"/>
    <w:rsid w:val="001C09EB"/>
    <w:rsid w:val="001C0BE7"/>
    <w:rsid w:val="001C0CDB"/>
    <w:rsid w:val="001C0D96"/>
    <w:rsid w:val="001C0E56"/>
    <w:rsid w:val="001C11D3"/>
    <w:rsid w:val="001C13CE"/>
    <w:rsid w:val="001C1526"/>
    <w:rsid w:val="001C1828"/>
    <w:rsid w:val="001C1AD0"/>
    <w:rsid w:val="001C1E37"/>
    <w:rsid w:val="001C1F71"/>
    <w:rsid w:val="001C2052"/>
    <w:rsid w:val="001C2081"/>
    <w:rsid w:val="001C2261"/>
    <w:rsid w:val="001C279E"/>
    <w:rsid w:val="001C2E09"/>
    <w:rsid w:val="001C307E"/>
    <w:rsid w:val="001C3775"/>
    <w:rsid w:val="001C3A5B"/>
    <w:rsid w:val="001C3DC8"/>
    <w:rsid w:val="001C3F64"/>
    <w:rsid w:val="001C428F"/>
    <w:rsid w:val="001C4290"/>
    <w:rsid w:val="001C4391"/>
    <w:rsid w:val="001C4A76"/>
    <w:rsid w:val="001C568A"/>
    <w:rsid w:val="001C59EC"/>
    <w:rsid w:val="001C5EF6"/>
    <w:rsid w:val="001C6063"/>
    <w:rsid w:val="001C6597"/>
    <w:rsid w:val="001C65E4"/>
    <w:rsid w:val="001C6612"/>
    <w:rsid w:val="001C67F2"/>
    <w:rsid w:val="001C6A0D"/>
    <w:rsid w:val="001C6B25"/>
    <w:rsid w:val="001C6E91"/>
    <w:rsid w:val="001C6E9D"/>
    <w:rsid w:val="001C6EA1"/>
    <w:rsid w:val="001C7061"/>
    <w:rsid w:val="001C7C72"/>
    <w:rsid w:val="001D01D3"/>
    <w:rsid w:val="001D062F"/>
    <w:rsid w:val="001D06C8"/>
    <w:rsid w:val="001D0723"/>
    <w:rsid w:val="001D0751"/>
    <w:rsid w:val="001D081C"/>
    <w:rsid w:val="001D0B9E"/>
    <w:rsid w:val="001D0CA7"/>
    <w:rsid w:val="001D0DB6"/>
    <w:rsid w:val="001D0F21"/>
    <w:rsid w:val="001D1387"/>
    <w:rsid w:val="001D1702"/>
    <w:rsid w:val="001D1762"/>
    <w:rsid w:val="001D1D9E"/>
    <w:rsid w:val="001D1E82"/>
    <w:rsid w:val="001D235E"/>
    <w:rsid w:val="001D23F3"/>
    <w:rsid w:val="001D27EB"/>
    <w:rsid w:val="001D286A"/>
    <w:rsid w:val="001D291E"/>
    <w:rsid w:val="001D2BD1"/>
    <w:rsid w:val="001D2BEA"/>
    <w:rsid w:val="001D2C61"/>
    <w:rsid w:val="001D2D7B"/>
    <w:rsid w:val="001D37E0"/>
    <w:rsid w:val="001D3908"/>
    <w:rsid w:val="001D39A0"/>
    <w:rsid w:val="001D4158"/>
    <w:rsid w:val="001D43FA"/>
    <w:rsid w:val="001D4569"/>
    <w:rsid w:val="001D48A8"/>
    <w:rsid w:val="001D4995"/>
    <w:rsid w:val="001D4B8E"/>
    <w:rsid w:val="001D5080"/>
    <w:rsid w:val="001D5C32"/>
    <w:rsid w:val="001D5FC1"/>
    <w:rsid w:val="001D603B"/>
    <w:rsid w:val="001D61E2"/>
    <w:rsid w:val="001D636C"/>
    <w:rsid w:val="001D6926"/>
    <w:rsid w:val="001D6B4D"/>
    <w:rsid w:val="001D6C94"/>
    <w:rsid w:val="001D6CB4"/>
    <w:rsid w:val="001D70D1"/>
    <w:rsid w:val="001D713A"/>
    <w:rsid w:val="001D7493"/>
    <w:rsid w:val="001D7596"/>
    <w:rsid w:val="001D769F"/>
    <w:rsid w:val="001D7786"/>
    <w:rsid w:val="001D7850"/>
    <w:rsid w:val="001D7D50"/>
    <w:rsid w:val="001D7F48"/>
    <w:rsid w:val="001E0408"/>
    <w:rsid w:val="001E0894"/>
    <w:rsid w:val="001E0BEB"/>
    <w:rsid w:val="001E0F14"/>
    <w:rsid w:val="001E0F43"/>
    <w:rsid w:val="001E132A"/>
    <w:rsid w:val="001E13EF"/>
    <w:rsid w:val="001E1435"/>
    <w:rsid w:val="001E1A11"/>
    <w:rsid w:val="001E1BF9"/>
    <w:rsid w:val="001E2007"/>
    <w:rsid w:val="001E2381"/>
    <w:rsid w:val="001E263A"/>
    <w:rsid w:val="001E282D"/>
    <w:rsid w:val="001E298F"/>
    <w:rsid w:val="001E2A16"/>
    <w:rsid w:val="001E2E7A"/>
    <w:rsid w:val="001E37F6"/>
    <w:rsid w:val="001E3AB1"/>
    <w:rsid w:val="001E3AE1"/>
    <w:rsid w:val="001E4123"/>
    <w:rsid w:val="001E44F9"/>
    <w:rsid w:val="001E4891"/>
    <w:rsid w:val="001E4C5A"/>
    <w:rsid w:val="001E4DE0"/>
    <w:rsid w:val="001E5222"/>
    <w:rsid w:val="001E57E2"/>
    <w:rsid w:val="001E5955"/>
    <w:rsid w:val="001E5A45"/>
    <w:rsid w:val="001E5F8B"/>
    <w:rsid w:val="001E611E"/>
    <w:rsid w:val="001E6935"/>
    <w:rsid w:val="001E6B68"/>
    <w:rsid w:val="001E6C51"/>
    <w:rsid w:val="001E6D13"/>
    <w:rsid w:val="001E6D33"/>
    <w:rsid w:val="001E741E"/>
    <w:rsid w:val="001E78D4"/>
    <w:rsid w:val="001F03E1"/>
    <w:rsid w:val="001F0496"/>
    <w:rsid w:val="001F07A3"/>
    <w:rsid w:val="001F087A"/>
    <w:rsid w:val="001F0D40"/>
    <w:rsid w:val="001F1EE0"/>
    <w:rsid w:val="001F2619"/>
    <w:rsid w:val="001F2644"/>
    <w:rsid w:val="001F2772"/>
    <w:rsid w:val="001F2BA4"/>
    <w:rsid w:val="001F2EE5"/>
    <w:rsid w:val="001F33F8"/>
    <w:rsid w:val="001F34B6"/>
    <w:rsid w:val="001F375D"/>
    <w:rsid w:val="001F3B31"/>
    <w:rsid w:val="001F3B3C"/>
    <w:rsid w:val="001F3F6C"/>
    <w:rsid w:val="001F415C"/>
    <w:rsid w:val="001F4545"/>
    <w:rsid w:val="001F4588"/>
    <w:rsid w:val="001F4B24"/>
    <w:rsid w:val="001F4C72"/>
    <w:rsid w:val="001F5134"/>
    <w:rsid w:val="001F5329"/>
    <w:rsid w:val="001F54E4"/>
    <w:rsid w:val="001F569F"/>
    <w:rsid w:val="001F5BAF"/>
    <w:rsid w:val="001F5DC2"/>
    <w:rsid w:val="001F65D1"/>
    <w:rsid w:val="001F6718"/>
    <w:rsid w:val="001F6D15"/>
    <w:rsid w:val="001F7053"/>
    <w:rsid w:val="001F708F"/>
    <w:rsid w:val="001F7755"/>
    <w:rsid w:val="001F7F37"/>
    <w:rsid w:val="00200140"/>
    <w:rsid w:val="002004F1"/>
    <w:rsid w:val="002006A3"/>
    <w:rsid w:val="0020091F"/>
    <w:rsid w:val="00200BE4"/>
    <w:rsid w:val="00200FF0"/>
    <w:rsid w:val="00201004"/>
    <w:rsid w:val="00201269"/>
    <w:rsid w:val="002012D1"/>
    <w:rsid w:val="0020152D"/>
    <w:rsid w:val="00201C6F"/>
    <w:rsid w:val="00201C9A"/>
    <w:rsid w:val="00201EB9"/>
    <w:rsid w:val="00201F57"/>
    <w:rsid w:val="00201F59"/>
    <w:rsid w:val="00202184"/>
    <w:rsid w:val="002021CC"/>
    <w:rsid w:val="00202623"/>
    <w:rsid w:val="002028DE"/>
    <w:rsid w:val="00202937"/>
    <w:rsid w:val="00202B62"/>
    <w:rsid w:val="00202E83"/>
    <w:rsid w:val="0020318E"/>
    <w:rsid w:val="00203237"/>
    <w:rsid w:val="002032B4"/>
    <w:rsid w:val="002033E5"/>
    <w:rsid w:val="00203A57"/>
    <w:rsid w:val="00203AA4"/>
    <w:rsid w:val="00203E37"/>
    <w:rsid w:val="00204884"/>
    <w:rsid w:val="00204A60"/>
    <w:rsid w:val="00204CCF"/>
    <w:rsid w:val="00204D19"/>
    <w:rsid w:val="00204E49"/>
    <w:rsid w:val="00205012"/>
    <w:rsid w:val="002053AA"/>
    <w:rsid w:val="002054C5"/>
    <w:rsid w:val="0020557C"/>
    <w:rsid w:val="0020601D"/>
    <w:rsid w:val="002060A5"/>
    <w:rsid w:val="00206122"/>
    <w:rsid w:val="002062F7"/>
    <w:rsid w:val="00206561"/>
    <w:rsid w:val="00206576"/>
    <w:rsid w:val="00206C8D"/>
    <w:rsid w:val="002072F6"/>
    <w:rsid w:val="00207BB4"/>
    <w:rsid w:val="00207BD7"/>
    <w:rsid w:val="00207D96"/>
    <w:rsid w:val="00210342"/>
    <w:rsid w:val="002105E0"/>
    <w:rsid w:val="0021073C"/>
    <w:rsid w:val="00210EA6"/>
    <w:rsid w:val="00211186"/>
    <w:rsid w:val="00211458"/>
    <w:rsid w:val="0021175C"/>
    <w:rsid w:val="0021177D"/>
    <w:rsid w:val="00211837"/>
    <w:rsid w:val="00211E2F"/>
    <w:rsid w:val="00211F89"/>
    <w:rsid w:val="002122C1"/>
    <w:rsid w:val="00212746"/>
    <w:rsid w:val="00212905"/>
    <w:rsid w:val="002139FA"/>
    <w:rsid w:val="00213A5C"/>
    <w:rsid w:val="00214562"/>
    <w:rsid w:val="00214D9E"/>
    <w:rsid w:val="0021541C"/>
    <w:rsid w:val="00215A52"/>
    <w:rsid w:val="00215C5A"/>
    <w:rsid w:val="00216611"/>
    <w:rsid w:val="00216B79"/>
    <w:rsid w:val="00216C0E"/>
    <w:rsid w:val="00216F7D"/>
    <w:rsid w:val="00216FAA"/>
    <w:rsid w:val="002171DD"/>
    <w:rsid w:val="002171E4"/>
    <w:rsid w:val="00217C4A"/>
    <w:rsid w:val="00220080"/>
    <w:rsid w:val="0022031C"/>
    <w:rsid w:val="00220332"/>
    <w:rsid w:val="002206CC"/>
    <w:rsid w:val="00220989"/>
    <w:rsid w:val="002209DE"/>
    <w:rsid w:val="00220FFD"/>
    <w:rsid w:val="00220FFF"/>
    <w:rsid w:val="0022197B"/>
    <w:rsid w:val="00221A7F"/>
    <w:rsid w:val="00221B58"/>
    <w:rsid w:val="00221C0A"/>
    <w:rsid w:val="0022236A"/>
    <w:rsid w:val="0022268C"/>
    <w:rsid w:val="0022276D"/>
    <w:rsid w:val="00222803"/>
    <w:rsid w:val="00222844"/>
    <w:rsid w:val="00222888"/>
    <w:rsid w:val="002228E7"/>
    <w:rsid w:val="0022363B"/>
    <w:rsid w:val="00223BA8"/>
    <w:rsid w:val="00223FAA"/>
    <w:rsid w:val="0022403C"/>
    <w:rsid w:val="0022456C"/>
    <w:rsid w:val="00224699"/>
    <w:rsid w:val="002248C9"/>
    <w:rsid w:val="00224BD2"/>
    <w:rsid w:val="00224C64"/>
    <w:rsid w:val="00224E95"/>
    <w:rsid w:val="00225A1B"/>
    <w:rsid w:val="00225AEA"/>
    <w:rsid w:val="00225DDE"/>
    <w:rsid w:val="00225E4B"/>
    <w:rsid w:val="00225EEC"/>
    <w:rsid w:val="0022602D"/>
    <w:rsid w:val="002261BB"/>
    <w:rsid w:val="00226289"/>
    <w:rsid w:val="0022646D"/>
    <w:rsid w:val="002269B8"/>
    <w:rsid w:val="002270D6"/>
    <w:rsid w:val="0022795D"/>
    <w:rsid w:val="0023013C"/>
    <w:rsid w:val="00230DB1"/>
    <w:rsid w:val="00231A36"/>
    <w:rsid w:val="00232ADB"/>
    <w:rsid w:val="00232B00"/>
    <w:rsid w:val="0023301B"/>
    <w:rsid w:val="0023308B"/>
    <w:rsid w:val="002330F8"/>
    <w:rsid w:val="002331A7"/>
    <w:rsid w:val="0023322F"/>
    <w:rsid w:val="002332F0"/>
    <w:rsid w:val="00233420"/>
    <w:rsid w:val="00233466"/>
    <w:rsid w:val="002334FE"/>
    <w:rsid w:val="00233DD0"/>
    <w:rsid w:val="00233E85"/>
    <w:rsid w:val="00233F80"/>
    <w:rsid w:val="00233F9D"/>
    <w:rsid w:val="002341E4"/>
    <w:rsid w:val="002342ED"/>
    <w:rsid w:val="00234466"/>
    <w:rsid w:val="00234A78"/>
    <w:rsid w:val="00234C23"/>
    <w:rsid w:val="00234CF7"/>
    <w:rsid w:val="00234F2C"/>
    <w:rsid w:val="0023503C"/>
    <w:rsid w:val="002351DF"/>
    <w:rsid w:val="0023523F"/>
    <w:rsid w:val="0023532E"/>
    <w:rsid w:val="002354F8"/>
    <w:rsid w:val="002357B3"/>
    <w:rsid w:val="0023600E"/>
    <w:rsid w:val="0023652E"/>
    <w:rsid w:val="00236DFC"/>
    <w:rsid w:val="002372BA"/>
    <w:rsid w:val="00237429"/>
    <w:rsid w:val="00237787"/>
    <w:rsid w:val="00240281"/>
    <w:rsid w:val="00240321"/>
    <w:rsid w:val="002407C6"/>
    <w:rsid w:val="0024107C"/>
    <w:rsid w:val="002411C6"/>
    <w:rsid w:val="00241821"/>
    <w:rsid w:val="00241BF9"/>
    <w:rsid w:val="00241D43"/>
    <w:rsid w:val="00242AC1"/>
    <w:rsid w:val="00242E73"/>
    <w:rsid w:val="00243003"/>
    <w:rsid w:val="00243328"/>
    <w:rsid w:val="0024359C"/>
    <w:rsid w:val="00243920"/>
    <w:rsid w:val="00243945"/>
    <w:rsid w:val="002439EE"/>
    <w:rsid w:val="00243B15"/>
    <w:rsid w:val="00243E04"/>
    <w:rsid w:val="00243E63"/>
    <w:rsid w:val="002445B4"/>
    <w:rsid w:val="0024482D"/>
    <w:rsid w:val="00244853"/>
    <w:rsid w:val="002449BD"/>
    <w:rsid w:val="00244B76"/>
    <w:rsid w:val="00244D2A"/>
    <w:rsid w:val="00244E19"/>
    <w:rsid w:val="0024549C"/>
    <w:rsid w:val="0024549E"/>
    <w:rsid w:val="00245C5B"/>
    <w:rsid w:val="002463B8"/>
    <w:rsid w:val="00246540"/>
    <w:rsid w:val="002469E6"/>
    <w:rsid w:val="00246A60"/>
    <w:rsid w:val="00247027"/>
    <w:rsid w:val="00247A54"/>
    <w:rsid w:val="00247FDB"/>
    <w:rsid w:val="002503BC"/>
    <w:rsid w:val="0025058A"/>
    <w:rsid w:val="00250796"/>
    <w:rsid w:val="00250937"/>
    <w:rsid w:val="00250B2E"/>
    <w:rsid w:val="002511E6"/>
    <w:rsid w:val="00251383"/>
    <w:rsid w:val="002514EB"/>
    <w:rsid w:val="002516C4"/>
    <w:rsid w:val="00251A93"/>
    <w:rsid w:val="00252D11"/>
    <w:rsid w:val="00252FC8"/>
    <w:rsid w:val="0025308E"/>
    <w:rsid w:val="002530DF"/>
    <w:rsid w:val="002532B5"/>
    <w:rsid w:val="00253FAE"/>
    <w:rsid w:val="00254642"/>
    <w:rsid w:val="00254A04"/>
    <w:rsid w:val="002551AA"/>
    <w:rsid w:val="002555FB"/>
    <w:rsid w:val="002558F7"/>
    <w:rsid w:val="0025595F"/>
    <w:rsid w:val="00255AF0"/>
    <w:rsid w:val="00255C08"/>
    <w:rsid w:val="00255F9B"/>
    <w:rsid w:val="00255FE1"/>
    <w:rsid w:val="00256340"/>
    <w:rsid w:val="0025685E"/>
    <w:rsid w:val="002568A0"/>
    <w:rsid w:val="00256950"/>
    <w:rsid w:val="002569B4"/>
    <w:rsid w:val="00257E08"/>
    <w:rsid w:val="00260232"/>
    <w:rsid w:val="002602C6"/>
    <w:rsid w:val="00260674"/>
    <w:rsid w:val="002607A9"/>
    <w:rsid w:val="0026082A"/>
    <w:rsid w:val="002608D9"/>
    <w:rsid w:val="00260B31"/>
    <w:rsid w:val="002611F3"/>
    <w:rsid w:val="002615BE"/>
    <w:rsid w:val="002617C2"/>
    <w:rsid w:val="00261B69"/>
    <w:rsid w:val="00261CAA"/>
    <w:rsid w:val="0026215A"/>
    <w:rsid w:val="002625B0"/>
    <w:rsid w:val="00262F47"/>
    <w:rsid w:val="00263149"/>
    <w:rsid w:val="00263192"/>
    <w:rsid w:val="00263361"/>
    <w:rsid w:val="002635E7"/>
    <w:rsid w:val="00263AFE"/>
    <w:rsid w:val="002647B5"/>
    <w:rsid w:val="0026499C"/>
    <w:rsid w:val="00265704"/>
    <w:rsid w:val="0026592A"/>
    <w:rsid w:val="00265C76"/>
    <w:rsid w:val="00265D21"/>
    <w:rsid w:val="00265DC7"/>
    <w:rsid w:val="002666AE"/>
    <w:rsid w:val="00266855"/>
    <w:rsid w:val="00266B83"/>
    <w:rsid w:val="00266D08"/>
    <w:rsid w:val="00266DFF"/>
    <w:rsid w:val="00267996"/>
    <w:rsid w:val="00267EF9"/>
    <w:rsid w:val="0027023E"/>
    <w:rsid w:val="00270426"/>
    <w:rsid w:val="00270C8D"/>
    <w:rsid w:val="00270DE3"/>
    <w:rsid w:val="00270E19"/>
    <w:rsid w:val="00270ECE"/>
    <w:rsid w:val="00270FB9"/>
    <w:rsid w:val="002710A2"/>
    <w:rsid w:val="002710A6"/>
    <w:rsid w:val="0027127B"/>
    <w:rsid w:val="00271B30"/>
    <w:rsid w:val="00271D03"/>
    <w:rsid w:val="00271F67"/>
    <w:rsid w:val="00272272"/>
    <w:rsid w:val="002722E4"/>
    <w:rsid w:val="002723F9"/>
    <w:rsid w:val="002725E4"/>
    <w:rsid w:val="00272D16"/>
    <w:rsid w:val="002735A7"/>
    <w:rsid w:val="00273AAB"/>
    <w:rsid w:val="00273C3B"/>
    <w:rsid w:val="0027405B"/>
    <w:rsid w:val="0027439A"/>
    <w:rsid w:val="002746B4"/>
    <w:rsid w:val="00274C8E"/>
    <w:rsid w:val="00274F02"/>
    <w:rsid w:val="00275E2C"/>
    <w:rsid w:val="00276250"/>
    <w:rsid w:val="00277586"/>
    <w:rsid w:val="002775FE"/>
    <w:rsid w:val="0027778C"/>
    <w:rsid w:val="00277871"/>
    <w:rsid w:val="002779C9"/>
    <w:rsid w:val="00277A8B"/>
    <w:rsid w:val="00277B43"/>
    <w:rsid w:val="00277B9D"/>
    <w:rsid w:val="00277ECC"/>
    <w:rsid w:val="00280091"/>
    <w:rsid w:val="002800BA"/>
    <w:rsid w:val="002803F0"/>
    <w:rsid w:val="00280444"/>
    <w:rsid w:val="0028054D"/>
    <w:rsid w:val="002806EE"/>
    <w:rsid w:val="0028072A"/>
    <w:rsid w:val="002809A2"/>
    <w:rsid w:val="00280A40"/>
    <w:rsid w:val="00280BFF"/>
    <w:rsid w:val="00281761"/>
    <w:rsid w:val="00281911"/>
    <w:rsid w:val="00281BDE"/>
    <w:rsid w:val="002823F3"/>
    <w:rsid w:val="002824CB"/>
    <w:rsid w:val="00282695"/>
    <w:rsid w:val="00282FC1"/>
    <w:rsid w:val="002830ED"/>
    <w:rsid w:val="002831CF"/>
    <w:rsid w:val="0028326E"/>
    <w:rsid w:val="00283400"/>
    <w:rsid w:val="002834A8"/>
    <w:rsid w:val="002834AA"/>
    <w:rsid w:val="00283615"/>
    <w:rsid w:val="002837AF"/>
    <w:rsid w:val="002840DC"/>
    <w:rsid w:val="0028467C"/>
    <w:rsid w:val="002848F8"/>
    <w:rsid w:val="00284C79"/>
    <w:rsid w:val="00284E81"/>
    <w:rsid w:val="00284FDD"/>
    <w:rsid w:val="0028511A"/>
    <w:rsid w:val="002852B7"/>
    <w:rsid w:val="00285406"/>
    <w:rsid w:val="0028560B"/>
    <w:rsid w:val="00285AE5"/>
    <w:rsid w:val="00285B4A"/>
    <w:rsid w:val="00285BFC"/>
    <w:rsid w:val="002861F1"/>
    <w:rsid w:val="0028643D"/>
    <w:rsid w:val="00286497"/>
    <w:rsid w:val="00286613"/>
    <w:rsid w:val="00286B4C"/>
    <w:rsid w:val="00286E10"/>
    <w:rsid w:val="00287445"/>
    <w:rsid w:val="002874F2"/>
    <w:rsid w:val="00287AD8"/>
    <w:rsid w:val="00287C41"/>
    <w:rsid w:val="002901E1"/>
    <w:rsid w:val="00290279"/>
    <w:rsid w:val="00290307"/>
    <w:rsid w:val="00290AA0"/>
    <w:rsid w:val="00290F8E"/>
    <w:rsid w:val="0029166C"/>
    <w:rsid w:val="00291BDB"/>
    <w:rsid w:val="00291DCE"/>
    <w:rsid w:val="00291E20"/>
    <w:rsid w:val="00291F7A"/>
    <w:rsid w:val="0029224A"/>
    <w:rsid w:val="00292335"/>
    <w:rsid w:val="00292530"/>
    <w:rsid w:val="002926BC"/>
    <w:rsid w:val="00292901"/>
    <w:rsid w:val="00292CB2"/>
    <w:rsid w:val="00292E13"/>
    <w:rsid w:val="00292EFE"/>
    <w:rsid w:val="00292F78"/>
    <w:rsid w:val="00293157"/>
    <w:rsid w:val="00293299"/>
    <w:rsid w:val="002934BE"/>
    <w:rsid w:val="00293B0A"/>
    <w:rsid w:val="00293BF7"/>
    <w:rsid w:val="00293C6B"/>
    <w:rsid w:val="0029406B"/>
    <w:rsid w:val="0029414C"/>
    <w:rsid w:val="00294AFC"/>
    <w:rsid w:val="00294C0D"/>
    <w:rsid w:val="00294E33"/>
    <w:rsid w:val="00294FB0"/>
    <w:rsid w:val="002957D4"/>
    <w:rsid w:val="002965B3"/>
    <w:rsid w:val="002966CF"/>
    <w:rsid w:val="00296825"/>
    <w:rsid w:val="00296896"/>
    <w:rsid w:val="002969C1"/>
    <w:rsid w:val="00296A19"/>
    <w:rsid w:val="002974BF"/>
    <w:rsid w:val="00297607"/>
    <w:rsid w:val="00297A8E"/>
    <w:rsid w:val="00297EA5"/>
    <w:rsid w:val="002A03EB"/>
    <w:rsid w:val="002A1226"/>
    <w:rsid w:val="002A12E1"/>
    <w:rsid w:val="002A1394"/>
    <w:rsid w:val="002A13C1"/>
    <w:rsid w:val="002A1B5C"/>
    <w:rsid w:val="002A20F4"/>
    <w:rsid w:val="002A2232"/>
    <w:rsid w:val="002A229B"/>
    <w:rsid w:val="002A2378"/>
    <w:rsid w:val="002A2813"/>
    <w:rsid w:val="002A2A93"/>
    <w:rsid w:val="002A2BC2"/>
    <w:rsid w:val="002A2D79"/>
    <w:rsid w:val="002A3003"/>
    <w:rsid w:val="002A3517"/>
    <w:rsid w:val="002A3569"/>
    <w:rsid w:val="002A3581"/>
    <w:rsid w:val="002A392C"/>
    <w:rsid w:val="002A3F69"/>
    <w:rsid w:val="002A43CB"/>
    <w:rsid w:val="002A4568"/>
    <w:rsid w:val="002A4602"/>
    <w:rsid w:val="002A4BA2"/>
    <w:rsid w:val="002A4FB7"/>
    <w:rsid w:val="002A5065"/>
    <w:rsid w:val="002A5077"/>
    <w:rsid w:val="002A54DA"/>
    <w:rsid w:val="002A5593"/>
    <w:rsid w:val="002A5C8A"/>
    <w:rsid w:val="002A5FB9"/>
    <w:rsid w:val="002A6006"/>
    <w:rsid w:val="002A6054"/>
    <w:rsid w:val="002A6283"/>
    <w:rsid w:val="002A635D"/>
    <w:rsid w:val="002A63F2"/>
    <w:rsid w:val="002A68E1"/>
    <w:rsid w:val="002A6EE0"/>
    <w:rsid w:val="002A7210"/>
    <w:rsid w:val="002A7246"/>
    <w:rsid w:val="002A7836"/>
    <w:rsid w:val="002A7FC0"/>
    <w:rsid w:val="002B0546"/>
    <w:rsid w:val="002B0B41"/>
    <w:rsid w:val="002B0CF8"/>
    <w:rsid w:val="002B0D14"/>
    <w:rsid w:val="002B13FF"/>
    <w:rsid w:val="002B146E"/>
    <w:rsid w:val="002B18A7"/>
    <w:rsid w:val="002B1CCC"/>
    <w:rsid w:val="002B249C"/>
    <w:rsid w:val="002B2632"/>
    <w:rsid w:val="002B2C77"/>
    <w:rsid w:val="002B2E22"/>
    <w:rsid w:val="002B2F4E"/>
    <w:rsid w:val="002B3243"/>
    <w:rsid w:val="002B3316"/>
    <w:rsid w:val="002B3812"/>
    <w:rsid w:val="002B3E92"/>
    <w:rsid w:val="002B3EA5"/>
    <w:rsid w:val="002B4242"/>
    <w:rsid w:val="002B42FB"/>
    <w:rsid w:val="002B5143"/>
    <w:rsid w:val="002B52AC"/>
    <w:rsid w:val="002B55E1"/>
    <w:rsid w:val="002B5767"/>
    <w:rsid w:val="002B57E0"/>
    <w:rsid w:val="002B582A"/>
    <w:rsid w:val="002B5F51"/>
    <w:rsid w:val="002B6168"/>
    <w:rsid w:val="002B673F"/>
    <w:rsid w:val="002B68DB"/>
    <w:rsid w:val="002B6945"/>
    <w:rsid w:val="002B6BF3"/>
    <w:rsid w:val="002B6BFF"/>
    <w:rsid w:val="002B7022"/>
    <w:rsid w:val="002B7848"/>
    <w:rsid w:val="002B7892"/>
    <w:rsid w:val="002B79EF"/>
    <w:rsid w:val="002B7AA6"/>
    <w:rsid w:val="002B7C09"/>
    <w:rsid w:val="002B7E1F"/>
    <w:rsid w:val="002C00D6"/>
    <w:rsid w:val="002C07E6"/>
    <w:rsid w:val="002C0AA4"/>
    <w:rsid w:val="002C0B7B"/>
    <w:rsid w:val="002C0C8E"/>
    <w:rsid w:val="002C151A"/>
    <w:rsid w:val="002C163E"/>
    <w:rsid w:val="002C1DA7"/>
    <w:rsid w:val="002C214E"/>
    <w:rsid w:val="002C24AE"/>
    <w:rsid w:val="002C2921"/>
    <w:rsid w:val="002C2988"/>
    <w:rsid w:val="002C2A34"/>
    <w:rsid w:val="002C2F53"/>
    <w:rsid w:val="002C3723"/>
    <w:rsid w:val="002C37EB"/>
    <w:rsid w:val="002C3945"/>
    <w:rsid w:val="002C3AAA"/>
    <w:rsid w:val="002C3CFC"/>
    <w:rsid w:val="002C3DC0"/>
    <w:rsid w:val="002C3F4A"/>
    <w:rsid w:val="002C404F"/>
    <w:rsid w:val="002C43DD"/>
    <w:rsid w:val="002C47A4"/>
    <w:rsid w:val="002C4A34"/>
    <w:rsid w:val="002C4A49"/>
    <w:rsid w:val="002C4B09"/>
    <w:rsid w:val="002C4DD7"/>
    <w:rsid w:val="002C5036"/>
    <w:rsid w:val="002C533D"/>
    <w:rsid w:val="002C5BF9"/>
    <w:rsid w:val="002C5ED9"/>
    <w:rsid w:val="002C5F76"/>
    <w:rsid w:val="002C5FFD"/>
    <w:rsid w:val="002C6024"/>
    <w:rsid w:val="002C6557"/>
    <w:rsid w:val="002C6BCA"/>
    <w:rsid w:val="002C7236"/>
    <w:rsid w:val="002C72F8"/>
    <w:rsid w:val="002C737F"/>
    <w:rsid w:val="002C763C"/>
    <w:rsid w:val="002C7989"/>
    <w:rsid w:val="002C7ABD"/>
    <w:rsid w:val="002D0650"/>
    <w:rsid w:val="002D08A6"/>
    <w:rsid w:val="002D1202"/>
    <w:rsid w:val="002D1D41"/>
    <w:rsid w:val="002D1D7C"/>
    <w:rsid w:val="002D2021"/>
    <w:rsid w:val="002D20C1"/>
    <w:rsid w:val="002D2EE8"/>
    <w:rsid w:val="002D3125"/>
    <w:rsid w:val="002D3276"/>
    <w:rsid w:val="002D3DC2"/>
    <w:rsid w:val="002D405E"/>
    <w:rsid w:val="002D4196"/>
    <w:rsid w:val="002D4299"/>
    <w:rsid w:val="002D4853"/>
    <w:rsid w:val="002D53E2"/>
    <w:rsid w:val="002D580E"/>
    <w:rsid w:val="002D5A09"/>
    <w:rsid w:val="002D6332"/>
    <w:rsid w:val="002D6A7C"/>
    <w:rsid w:val="002D6B4E"/>
    <w:rsid w:val="002D6CD9"/>
    <w:rsid w:val="002D6D99"/>
    <w:rsid w:val="002D7018"/>
    <w:rsid w:val="002D71C1"/>
    <w:rsid w:val="002D76ED"/>
    <w:rsid w:val="002D7AE9"/>
    <w:rsid w:val="002D7B1D"/>
    <w:rsid w:val="002E015D"/>
    <w:rsid w:val="002E077C"/>
    <w:rsid w:val="002E090C"/>
    <w:rsid w:val="002E097E"/>
    <w:rsid w:val="002E0DC3"/>
    <w:rsid w:val="002E115E"/>
    <w:rsid w:val="002E13DD"/>
    <w:rsid w:val="002E1A6F"/>
    <w:rsid w:val="002E2213"/>
    <w:rsid w:val="002E23C8"/>
    <w:rsid w:val="002E24F1"/>
    <w:rsid w:val="002E2663"/>
    <w:rsid w:val="002E28D4"/>
    <w:rsid w:val="002E2906"/>
    <w:rsid w:val="002E2C2C"/>
    <w:rsid w:val="002E2EEE"/>
    <w:rsid w:val="002E32CD"/>
    <w:rsid w:val="002E3319"/>
    <w:rsid w:val="002E350E"/>
    <w:rsid w:val="002E383B"/>
    <w:rsid w:val="002E395A"/>
    <w:rsid w:val="002E3C43"/>
    <w:rsid w:val="002E40C3"/>
    <w:rsid w:val="002E4460"/>
    <w:rsid w:val="002E4C4C"/>
    <w:rsid w:val="002E4EA3"/>
    <w:rsid w:val="002E55F3"/>
    <w:rsid w:val="002E5710"/>
    <w:rsid w:val="002E5A8D"/>
    <w:rsid w:val="002E5F40"/>
    <w:rsid w:val="002E6675"/>
    <w:rsid w:val="002E6A95"/>
    <w:rsid w:val="002E6D84"/>
    <w:rsid w:val="002E6F45"/>
    <w:rsid w:val="002E71B9"/>
    <w:rsid w:val="002E78FC"/>
    <w:rsid w:val="002E7C55"/>
    <w:rsid w:val="002E7C9B"/>
    <w:rsid w:val="002E7CBA"/>
    <w:rsid w:val="002F02C3"/>
    <w:rsid w:val="002F04B8"/>
    <w:rsid w:val="002F08C0"/>
    <w:rsid w:val="002F08CD"/>
    <w:rsid w:val="002F09CE"/>
    <w:rsid w:val="002F1189"/>
    <w:rsid w:val="002F14A5"/>
    <w:rsid w:val="002F163B"/>
    <w:rsid w:val="002F17E3"/>
    <w:rsid w:val="002F1BD1"/>
    <w:rsid w:val="002F1D66"/>
    <w:rsid w:val="002F1FAA"/>
    <w:rsid w:val="002F264F"/>
    <w:rsid w:val="002F2870"/>
    <w:rsid w:val="002F2A10"/>
    <w:rsid w:val="002F2E83"/>
    <w:rsid w:val="002F320C"/>
    <w:rsid w:val="002F3414"/>
    <w:rsid w:val="002F425F"/>
    <w:rsid w:val="002F43C4"/>
    <w:rsid w:val="002F4EE6"/>
    <w:rsid w:val="002F53DD"/>
    <w:rsid w:val="002F57D9"/>
    <w:rsid w:val="002F5C1B"/>
    <w:rsid w:val="002F6307"/>
    <w:rsid w:val="002F6605"/>
    <w:rsid w:val="002F680B"/>
    <w:rsid w:val="002F6C56"/>
    <w:rsid w:val="002F6D22"/>
    <w:rsid w:val="002F6DBC"/>
    <w:rsid w:val="002F6EE0"/>
    <w:rsid w:val="002F727B"/>
    <w:rsid w:val="002F752A"/>
    <w:rsid w:val="002F79C9"/>
    <w:rsid w:val="002F7CF0"/>
    <w:rsid w:val="002F7D08"/>
    <w:rsid w:val="002F7EB4"/>
    <w:rsid w:val="003006D9"/>
    <w:rsid w:val="00300D53"/>
    <w:rsid w:val="00300DD2"/>
    <w:rsid w:val="00301347"/>
    <w:rsid w:val="003016D5"/>
    <w:rsid w:val="0030170F"/>
    <w:rsid w:val="0030172C"/>
    <w:rsid w:val="00301B28"/>
    <w:rsid w:val="00301BC9"/>
    <w:rsid w:val="00302028"/>
    <w:rsid w:val="003021BA"/>
    <w:rsid w:val="00302489"/>
    <w:rsid w:val="0030280D"/>
    <w:rsid w:val="00302F5B"/>
    <w:rsid w:val="00303199"/>
    <w:rsid w:val="00303487"/>
    <w:rsid w:val="0030352D"/>
    <w:rsid w:val="0030371B"/>
    <w:rsid w:val="00303744"/>
    <w:rsid w:val="003037B5"/>
    <w:rsid w:val="00303853"/>
    <w:rsid w:val="00303949"/>
    <w:rsid w:val="003039C0"/>
    <w:rsid w:val="00303D33"/>
    <w:rsid w:val="00303E78"/>
    <w:rsid w:val="003043DF"/>
    <w:rsid w:val="00304917"/>
    <w:rsid w:val="00304A73"/>
    <w:rsid w:val="00304B83"/>
    <w:rsid w:val="003050CC"/>
    <w:rsid w:val="0030512E"/>
    <w:rsid w:val="0030548A"/>
    <w:rsid w:val="00305702"/>
    <w:rsid w:val="00305A49"/>
    <w:rsid w:val="00305ED6"/>
    <w:rsid w:val="0030692A"/>
    <w:rsid w:val="00306AF8"/>
    <w:rsid w:val="00306EC8"/>
    <w:rsid w:val="0030750C"/>
    <w:rsid w:val="003078C0"/>
    <w:rsid w:val="00307ADE"/>
    <w:rsid w:val="00307BB0"/>
    <w:rsid w:val="0031038D"/>
    <w:rsid w:val="00310906"/>
    <w:rsid w:val="00310AF6"/>
    <w:rsid w:val="00311062"/>
    <w:rsid w:val="00311110"/>
    <w:rsid w:val="00311138"/>
    <w:rsid w:val="00311395"/>
    <w:rsid w:val="00311467"/>
    <w:rsid w:val="0031175E"/>
    <w:rsid w:val="00312243"/>
    <w:rsid w:val="003125E1"/>
    <w:rsid w:val="0031285B"/>
    <w:rsid w:val="003128C7"/>
    <w:rsid w:val="003129DE"/>
    <w:rsid w:val="00312C4E"/>
    <w:rsid w:val="00312DAB"/>
    <w:rsid w:val="00313173"/>
    <w:rsid w:val="003133FF"/>
    <w:rsid w:val="003134D3"/>
    <w:rsid w:val="00313A63"/>
    <w:rsid w:val="00313FA7"/>
    <w:rsid w:val="0031436C"/>
    <w:rsid w:val="00314470"/>
    <w:rsid w:val="0031484A"/>
    <w:rsid w:val="00315ADC"/>
    <w:rsid w:val="00315F6C"/>
    <w:rsid w:val="00316091"/>
    <w:rsid w:val="003163AE"/>
    <w:rsid w:val="0031679D"/>
    <w:rsid w:val="0031710C"/>
    <w:rsid w:val="0031766D"/>
    <w:rsid w:val="00317898"/>
    <w:rsid w:val="00317F5B"/>
    <w:rsid w:val="00320252"/>
    <w:rsid w:val="0032050B"/>
    <w:rsid w:val="00320686"/>
    <w:rsid w:val="003206BF"/>
    <w:rsid w:val="00320755"/>
    <w:rsid w:val="00320835"/>
    <w:rsid w:val="00320844"/>
    <w:rsid w:val="00320A33"/>
    <w:rsid w:val="003211A7"/>
    <w:rsid w:val="00321453"/>
    <w:rsid w:val="003215A3"/>
    <w:rsid w:val="00322409"/>
    <w:rsid w:val="00322797"/>
    <w:rsid w:val="00323654"/>
    <w:rsid w:val="00323822"/>
    <w:rsid w:val="0032388F"/>
    <w:rsid w:val="00323E68"/>
    <w:rsid w:val="00324588"/>
    <w:rsid w:val="003247AE"/>
    <w:rsid w:val="00324905"/>
    <w:rsid w:val="00324915"/>
    <w:rsid w:val="00324EE2"/>
    <w:rsid w:val="00324F7B"/>
    <w:rsid w:val="00325225"/>
    <w:rsid w:val="00325616"/>
    <w:rsid w:val="0032577E"/>
    <w:rsid w:val="00325823"/>
    <w:rsid w:val="00325BC0"/>
    <w:rsid w:val="00325D5E"/>
    <w:rsid w:val="00325F1D"/>
    <w:rsid w:val="00325FC2"/>
    <w:rsid w:val="0032639E"/>
    <w:rsid w:val="00326784"/>
    <w:rsid w:val="00326C6D"/>
    <w:rsid w:val="00326CBA"/>
    <w:rsid w:val="00326CFA"/>
    <w:rsid w:val="00327B65"/>
    <w:rsid w:val="00327FA1"/>
    <w:rsid w:val="003300BB"/>
    <w:rsid w:val="003300EB"/>
    <w:rsid w:val="003302D0"/>
    <w:rsid w:val="00330C05"/>
    <w:rsid w:val="00330ED2"/>
    <w:rsid w:val="00331E2E"/>
    <w:rsid w:val="00331F11"/>
    <w:rsid w:val="00331FE5"/>
    <w:rsid w:val="00332211"/>
    <w:rsid w:val="00332572"/>
    <w:rsid w:val="0033288A"/>
    <w:rsid w:val="00333258"/>
    <w:rsid w:val="003332AE"/>
    <w:rsid w:val="003334DA"/>
    <w:rsid w:val="003334F1"/>
    <w:rsid w:val="00333786"/>
    <w:rsid w:val="00333AFD"/>
    <w:rsid w:val="00333B50"/>
    <w:rsid w:val="00333B55"/>
    <w:rsid w:val="003342D8"/>
    <w:rsid w:val="00334687"/>
    <w:rsid w:val="0033482C"/>
    <w:rsid w:val="00334A38"/>
    <w:rsid w:val="00334F09"/>
    <w:rsid w:val="00335164"/>
    <w:rsid w:val="00335192"/>
    <w:rsid w:val="0033543F"/>
    <w:rsid w:val="003356E1"/>
    <w:rsid w:val="00335736"/>
    <w:rsid w:val="003359AC"/>
    <w:rsid w:val="00335EE2"/>
    <w:rsid w:val="00335F49"/>
    <w:rsid w:val="00336093"/>
    <w:rsid w:val="00336730"/>
    <w:rsid w:val="00336808"/>
    <w:rsid w:val="00336A1D"/>
    <w:rsid w:val="00336B18"/>
    <w:rsid w:val="00336F17"/>
    <w:rsid w:val="00336F9A"/>
    <w:rsid w:val="0033711B"/>
    <w:rsid w:val="00337457"/>
    <w:rsid w:val="003374DE"/>
    <w:rsid w:val="00337A39"/>
    <w:rsid w:val="00337B60"/>
    <w:rsid w:val="00340479"/>
    <w:rsid w:val="0034066D"/>
    <w:rsid w:val="00340749"/>
    <w:rsid w:val="00340BF5"/>
    <w:rsid w:val="00341944"/>
    <w:rsid w:val="00341DBF"/>
    <w:rsid w:val="00341EA7"/>
    <w:rsid w:val="0034259D"/>
    <w:rsid w:val="00342871"/>
    <w:rsid w:val="00342EF8"/>
    <w:rsid w:val="00342F24"/>
    <w:rsid w:val="0034352D"/>
    <w:rsid w:val="003435ED"/>
    <w:rsid w:val="0034396A"/>
    <w:rsid w:val="00343AE9"/>
    <w:rsid w:val="00344497"/>
    <w:rsid w:val="00344A8D"/>
    <w:rsid w:val="00344BD1"/>
    <w:rsid w:val="00344FC5"/>
    <w:rsid w:val="00345291"/>
    <w:rsid w:val="003456B7"/>
    <w:rsid w:val="003457BB"/>
    <w:rsid w:val="003459CC"/>
    <w:rsid w:val="00345C09"/>
    <w:rsid w:val="00345FA0"/>
    <w:rsid w:val="00346762"/>
    <w:rsid w:val="0034682C"/>
    <w:rsid w:val="0034692E"/>
    <w:rsid w:val="00346F88"/>
    <w:rsid w:val="0034713B"/>
    <w:rsid w:val="0034734F"/>
    <w:rsid w:val="00347587"/>
    <w:rsid w:val="003477FA"/>
    <w:rsid w:val="00347894"/>
    <w:rsid w:val="00347A0E"/>
    <w:rsid w:val="003505ED"/>
    <w:rsid w:val="00350B77"/>
    <w:rsid w:val="00350DCC"/>
    <w:rsid w:val="00350FA3"/>
    <w:rsid w:val="00351343"/>
    <w:rsid w:val="003514B2"/>
    <w:rsid w:val="00351574"/>
    <w:rsid w:val="00351994"/>
    <w:rsid w:val="00351DE1"/>
    <w:rsid w:val="0035219C"/>
    <w:rsid w:val="003521D4"/>
    <w:rsid w:val="00352A2D"/>
    <w:rsid w:val="00352ED5"/>
    <w:rsid w:val="003538AD"/>
    <w:rsid w:val="00353A8D"/>
    <w:rsid w:val="00353C76"/>
    <w:rsid w:val="00353DD8"/>
    <w:rsid w:val="003540A5"/>
    <w:rsid w:val="00354134"/>
    <w:rsid w:val="00354356"/>
    <w:rsid w:val="0035455E"/>
    <w:rsid w:val="00354666"/>
    <w:rsid w:val="003547CD"/>
    <w:rsid w:val="00354936"/>
    <w:rsid w:val="00354C4D"/>
    <w:rsid w:val="00354E09"/>
    <w:rsid w:val="003555CD"/>
    <w:rsid w:val="003557EE"/>
    <w:rsid w:val="00355AFE"/>
    <w:rsid w:val="00355BD4"/>
    <w:rsid w:val="00355DD2"/>
    <w:rsid w:val="00356024"/>
    <w:rsid w:val="00356465"/>
    <w:rsid w:val="003564CD"/>
    <w:rsid w:val="00356870"/>
    <w:rsid w:val="003607D1"/>
    <w:rsid w:val="00361428"/>
    <w:rsid w:val="0036193D"/>
    <w:rsid w:val="00362471"/>
    <w:rsid w:val="003625A8"/>
    <w:rsid w:val="00362996"/>
    <w:rsid w:val="00362C42"/>
    <w:rsid w:val="00362E92"/>
    <w:rsid w:val="00362ECD"/>
    <w:rsid w:val="00362F1D"/>
    <w:rsid w:val="00363377"/>
    <w:rsid w:val="003639CC"/>
    <w:rsid w:val="00363B31"/>
    <w:rsid w:val="0036441B"/>
    <w:rsid w:val="003648B4"/>
    <w:rsid w:val="00364C11"/>
    <w:rsid w:val="00365105"/>
    <w:rsid w:val="00365246"/>
    <w:rsid w:val="0036534E"/>
    <w:rsid w:val="0036554E"/>
    <w:rsid w:val="00365591"/>
    <w:rsid w:val="00365D4E"/>
    <w:rsid w:val="00365EF0"/>
    <w:rsid w:val="003663E1"/>
    <w:rsid w:val="0036666E"/>
    <w:rsid w:val="00366788"/>
    <w:rsid w:val="003668CF"/>
    <w:rsid w:val="0036692D"/>
    <w:rsid w:val="0036694B"/>
    <w:rsid w:val="003673EC"/>
    <w:rsid w:val="003675B4"/>
    <w:rsid w:val="0036779A"/>
    <w:rsid w:val="00367A42"/>
    <w:rsid w:val="00367C03"/>
    <w:rsid w:val="00367D01"/>
    <w:rsid w:val="00367F52"/>
    <w:rsid w:val="00367F8C"/>
    <w:rsid w:val="0037025D"/>
    <w:rsid w:val="00370996"/>
    <w:rsid w:val="00370D1C"/>
    <w:rsid w:val="00370ECF"/>
    <w:rsid w:val="00370F57"/>
    <w:rsid w:val="00371453"/>
    <w:rsid w:val="00371A08"/>
    <w:rsid w:val="00371A92"/>
    <w:rsid w:val="00371F90"/>
    <w:rsid w:val="00371FCF"/>
    <w:rsid w:val="003726B2"/>
    <w:rsid w:val="003726CA"/>
    <w:rsid w:val="003726CE"/>
    <w:rsid w:val="003726EE"/>
    <w:rsid w:val="003727DD"/>
    <w:rsid w:val="00372EA4"/>
    <w:rsid w:val="0037375D"/>
    <w:rsid w:val="00373CAB"/>
    <w:rsid w:val="00373D3E"/>
    <w:rsid w:val="003742FE"/>
    <w:rsid w:val="003745D8"/>
    <w:rsid w:val="00374B5A"/>
    <w:rsid w:val="00375028"/>
    <w:rsid w:val="00375144"/>
    <w:rsid w:val="00375380"/>
    <w:rsid w:val="00375469"/>
    <w:rsid w:val="0037577B"/>
    <w:rsid w:val="0037580F"/>
    <w:rsid w:val="0037592F"/>
    <w:rsid w:val="00375B41"/>
    <w:rsid w:val="00375F06"/>
    <w:rsid w:val="00376800"/>
    <w:rsid w:val="00376F1C"/>
    <w:rsid w:val="003772B3"/>
    <w:rsid w:val="003774F8"/>
    <w:rsid w:val="003779BC"/>
    <w:rsid w:val="00377A56"/>
    <w:rsid w:val="00380501"/>
    <w:rsid w:val="00380C55"/>
    <w:rsid w:val="00380F61"/>
    <w:rsid w:val="00380F64"/>
    <w:rsid w:val="0038114C"/>
    <w:rsid w:val="00381484"/>
    <w:rsid w:val="00381A32"/>
    <w:rsid w:val="00381AC6"/>
    <w:rsid w:val="00381BE0"/>
    <w:rsid w:val="0038220B"/>
    <w:rsid w:val="00382338"/>
    <w:rsid w:val="00382540"/>
    <w:rsid w:val="00382608"/>
    <w:rsid w:val="00382C6E"/>
    <w:rsid w:val="00382D69"/>
    <w:rsid w:val="00382F08"/>
    <w:rsid w:val="003836C9"/>
    <w:rsid w:val="00383A9B"/>
    <w:rsid w:val="00383B40"/>
    <w:rsid w:val="00383C2A"/>
    <w:rsid w:val="0038440D"/>
    <w:rsid w:val="0038451B"/>
    <w:rsid w:val="0038487C"/>
    <w:rsid w:val="003849C5"/>
    <w:rsid w:val="00384D05"/>
    <w:rsid w:val="00384DDA"/>
    <w:rsid w:val="00384F2D"/>
    <w:rsid w:val="0038524E"/>
    <w:rsid w:val="00385413"/>
    <w:rsid w:val="00385B14"/>
    <w:rsid w:val="00385B7C"/>
    <w:rsid w:val="00385BED"/>
    <w:rsid w:val="00385C0F"/>
    <w:rsid w:val="00385C11"/>
    <w:rsid w:val="003861DF"/>
    <w:rsid w:val="003863F7"/>
    <w:rsid w:val="003866AA"/>
    <w:rsid w:val="00386A27"/>
    <w:rsid w:val="00386AAB"/>
    <w:rsid w:val="00386C6D"/>
    <w:rsid w:val="00386F1A"/>
    <w:rsid w:val="00386FDD"/>
    <w:rsid w:val="00387120"/>
    <w:rsid w:val="003874C1"/>
    <w:rsid w:val="00387664"/>
    <w:rsid w:val="0038776E"/>
    <w:rsid w:val="00390330"/>
    <w:rsid w:val="0039063D"/>
    <w:rsid w:val="003910BB"/>
    <w:rsid w:val="0039127D"/>
    <w:rsid w:val="003913A9"/>
    <w:rsid w:val="00391BE3"/>
    <w:rsid w:val="00391C63"/>
    <w:rsid w:val="00391ECC"/>
    <w:rsid w:val="00392667"/>
    <w:rsid w:val="00392728"/>
    <w:rsid w:val="00392FA0"/>
    <w:rsid w:val="00393398"/>
    <w:rsid w:val="00393516"/>
    <w:rsid w:val="003935A6"/>
    <w:rsid w:val="00393C0A"/>
    <w:rsid w:val="00393FF7"/>
    <w:rsid w:val="003940F5"/>
    <w:rsid w:val="00394480"/>
    <w:rsid w:val="00394FD8"/>
    <w:rsid w:val="00395252"/>
    <w:rsid w:val="0039535F"/>
    <w:rsid w:val="00395F02"/>
    <w:rsid w:val="0039603B"/>
    <w:rsid w:val="0039639C"/>
    <w:rsid w:val="00396479"/>
    <w:rsid w:val="0039686D"/>
    <w:rsid w:val="003968E7"/>
    <w:rsid w:val="00396979"/>
    <w:rsid w:val="00396FEF"/>
    <w:rsid w:val="0039710F"/>
    <w:rsid w:val="003971B8"/>
    <w:rsid w:val="0039739F"/>
    <w:rsid w:val="003974C7"/>
    <w:rsid w:val="003975B5"/>
    <w:rsid w:val="003977E1"/>
    <w:rsid w:val="00397811"/>
    <w:rsid w:val="00397C7D"/>
    <w:rsid w:val="003A0226"/>
    <w:rsid w:val="003A046F"/>
    <w:rsid w:val="003A05FA"/>
    <w:rsid w:val="003A07C4"/>
    <w:rsid w:val="003A07C7"/>
    <w:rsid w:val="003A1303"/>
    <w:rsid w:val="003A16AE"/>
    <w:rsid w:val="003A1BE6"/>
    <w:rsid w:val="003A1D64"/>
    <w:rsid w:val="003A201E"/>
    <w:rsid w:val="003A2200"/>
    <w:rsid w:val="003A22C4"/>
    <w:rsid w:val="003A23AD"/>
    <w:rsid w:val="003A2C9A"/>
    <w:rsid w:val="003A2D0C"/>
    <w:rsid w:val="003A2DC0"/>
    <w:rsid w:val="003A2FCC"/>
    <w:rsid w:val="003A3405"/>
    <w:rsid w:val="003A3717"/>
    <w:rsid w:val="003A39D5"/>
    <w:rsid w:val="003A3D36"/>
    <w:rsid w:val="003A3D6C"/>
    <w:rsid w:val="003A3E38"/>
    <w:rsid w:val="003A4027"/>
    <w:rsid w:val="003A4488"/>
    <w:rsid w:val="003A491D"/>
    <w:rsid w:val="003A4B74"/>
    <w:rsid w:val="003A4BDF"/>
    <w:rsid w:val="003A5234"/>
    <w:rsid w:val="003A533B"/>
    <w:rsid w:val="003A5397"/>
    <w:rsid w:val="003A540D"/>
    <w:rsid w:val="003A589A"/>
    <w:rsid w:val="003A598D"/>
    <w:rsid w:val="003A5D5E"/>
    <w:rsid w:val="003A633D"/>
    <w:rsid w:val="003A662D"/>
    <w:rsid w:val="003A669C"/>
    <w:rsid w:val="003A6AF5"/>
    <w:rsid w:val="003A6BD7"/>
    <w:rsid w:val="003A70F9"/>
    <w:rsid w:val="003A7146"/>
    <w:rsid w:val="003A71F6"/>
    <w:rsid w:val="003A729F"/>
    <w:rsid w:val="003A7541"/>
    <w:rsid w:val="003A774F"/>
    <w:rsid w:val="003A79FC"/>
    <w:rsid w:val="003A7CA4"/>
    <w:rsid w:val="003B0536"/>
    <w:rsid w:val="003B1037"/>
    <w:rsid w:val="003B109E"/>
    <w:rsid w:val="003B178B"/>
    <w:rsid w:val="003B1B96"/>
    <w:rsid w:val="003B2450"/>
    <w:rsid w:val="003B2930"/>
    <w:rsid w:val="003B2A9A"/>
    <w:rsid w:val="003B2DA2"/>
    <w:rsid w:val="003B2F6B"/>
    <w:rsid w:val="003B3357"/>
    <w:rsid w:val="003B374A"/>
    <w:rsid w:val="003B3943"/>
    <w:rsid w:val="003B3DCE"/>
    <w:rsid w:val="003B4059"/>
    <w:rsid w:val="003B4279"/>
    <w:rsid w:val="003B4A4B"/>
    <w:rsid w:val="003B4AFC"/>
    <w:rsid w:val="003B4B65"/>
    <w:rsid w:val="003B4EC5"/>
    <w:rsid w:val="003B511A"/>
    <w:rsid w:val="003B5141"/>
    <w:rsid w:val="003B5652"/>
    <w:rsid w:val="003B56C4"/>
    <w:rsid w:val="003B5CB8"/>
    <w:rsid w:val="003B5EEF"/>
    <w:rsid w:val="003B5F6C"/>
    <w:rsid w:val="003B60AB"/>
    <w:rsid w:val="003B6170"/>
    <w:rsid w:val="003B634F"/>
    <w:rsid w:val="003B6493"/>
    <w:rsid w:val="003B6785"/>
    <w:rsid w:val="003B6902"/>
    <w:rsid w:val="003B7733"/>
    <w:rsid w:val="003B78B9"/>
    <w:rsid w:val="003B7A00"/>
    <w:rsid w:val="003B7AEC"/>
    <w:rsid w:val="003B7B6B"/>
    <w:rsid w:val="003B7C21"/>
    <w:rsid w:val="003C00E7"/>
    <w:rsid w:val="003C0245"/>
    <w:rsid w:val="003C079C"/>
    <w:rsid w:val="003C0D8B"/>
    <w:rsid w:val="003C0DE8"/>
    <w:rsid w:val="003C1A92"/>
    <w:rsid w:val="003C1D08"/>
    <w:rsid w:val="003C2705"/>
    <w:rsid w:val="003C2855"/>
    <w:rsid w:val="003C2A42"/>
    <w:rsid w:val="003C2B60"/>
    <w:rsid w:val="003C2DCB"/>
    <w:rsid w:val="003C2FEC"/>
    <w:rsid w:val="003C3187"/>
    <w:rsid w:val="003C326F"/>
    <w:rsid w:val="003C34B6"/>
    <w:rsid w:val="003C386D"/>
    <w:rsid w:val="003C3D35"/>
    <w:rsid w:val="003C4263"/>
    <w:rsid w:val="003C45C3"/>
    <w:rsid w:val="003C48C4"/>
    <w:rsid w:val="003C4A52"/>
    <w:rsid w:val="003C4FD4"/>
    <w:rsid w:val="003C5267"/>
    <w:rsid w:val="003C535A"/>
    <w:rsid w:val="003C5385"/>
    <w:rsid w:val="003C571C"/>
    <w:rsid w:val="003C5769"/>
    <w:rsid w:val="003C6136"/>
    <w:rsid w:val="003C68DC"/>
    <w:rsid w:val="003C6982"/>
    <w:rsid w:val="003C6A49"/>
    <w:rsid w:val="003C6C72"/>
    <w:rsid w:val="003C7516"/>
    <w:rsid w:val="003C765F"/>
    <w:rsid w:val="003C785C"/>
    <w:rsid w:val="003C7C24"/>
    <w:rsid w:val="003D0137"/>
    <w:rsid w:val="003D0383"/>
    <w:rsid w:val="003D09BF"/>
    <w:rsid w:val="003D0D69"/>
    <w:rsid w:val="003D0ECC"/>
    <w:rsid w:val="003D17E1"/>
    <w:rsid w:val="003D19F2"/>
    <w:rsid w:val="003D1A47"/>
    <w:rsid w:val="003D1B14"/>
    <w:rsid w:val="003D1B74"/>
    <w:rsid w:val="003D1D65"/>
    <w:rsid w:val="003D1E9A"/>
    <w:rsid w:val="003D1F86"/>
    <w:rsid w:val="003D2629"/>
    <w:rsid w:val="003D26A9"/>
    <w:rsid w:val="003D2700"/>
    <w:rsid w:val="003D2813"/>
    <w:rsid w:val="003D3472"/>
    <w:rsid w:val="003D372C"/>
    <w:rsid w:val="003D3828"/>
    <w:rsid w:val="003D38D2"/>
    <w:rsid w:val="003D399C"/>
    <w:rsid w:val="003D3D4F"/>
    <w:rsid w:val="003D41E6"/>
    <w:rsid w:val="003D4227"/>
    <w:rsid w:val="003D42C1"/>
    <w:rsid w:val="003D4414"/>
    <w:rsid w:val="003D4A62"/>
    <w:rsid w:val="003D4B7F"/>
    <w:rsid w:val="003D4C3A"/>
    <w:rsid w:val="003D5054"/>
    <w:rsid w:val="003D5095"/>
    <w:rsid w:val="003D56BE"/>
    <w:rsid w:val="003D5842"/>
    <w:rsid w:val="003D593D"/>
    <w:rsid w:val="003D5A07"/>
    <w:rsid w:val="003D6298"/>
    <w:rsid w:val="003D6302"/>
    <w:rsid w:val="003D6372"/>
    <w:rsid w:val="003D6A90"/>
    <w:rsid w:val="003D6F97"/>
    <w:rsid w:val="003D711B"/>
    <w:rsid w:val="003D7247"/>
    <w:rsid w:val="003D74B7"/>
    <w:rsid w:val="003D7F67"/>
    <w:rsid w:val="003E0412"/>
    <w:rsid w:val="003E0560"/>
    <w:rsid w:val="003E09D2"/>
    <w:rsid w:val="003E0A99"/>
    <w:rsid w:val="003E0B11"/>
    <w:rsid w:val="003E0EF6"/>
    <w:rsid w:val="003E0F17"/>
    <w:rsid w:val="003E0F36"/>
    <w:rsid w:val="003E12D1"/>
    <w:rsid w:val="003E14DC"/>
    <w:rsid w:val="003E1612"/>
    <w:rsid w:val="003E1981"/>
    <w:rsid w:val="003E1A2A"/>
    <w:rsid w:val="003E1ADA"/>
    <w:rsid w:val="003E1ED7"/>
    <w:rsid w:val="003E22EA"/>
    <w:rsid w:val="003E2435"/>
    <w:rsid w:val="003E2809"/>
    <w:rsid w:val="003E2B6A"/>
    <w:rsid w:val="003E358A"/>
    <w:rsid w:val="003E3652"/>
    <w:rsid w:val="003E3B1C"/>
    <w:rsid w:val="003E3E57"/>
    <w:rsid w:val="003E3FB5"/>
    <w:rsid w:val="003E4007"/>
    <w:rsid w:val="003E4F3B"/>
    <w:rsid w:val="003E50F4"/>
    <w:rsid w:val="003E51F1"/>
    <w:rsid w:val="003E5A75"/>
    <w:rsid w:val="003E5EC6"/>
    <w:rsid w:val="003E656B"/>
    <w:rsid w:val="003E66E1"/>
    <w:rsid w:val="003E697E"/>
    <w:rsid w:val="003E6B51"/>
    <w:rsid w:val="003E72D7"/>
    <w:rsid w:val="003E7747"/>
    <w:rsid w:val="003E7880"/>
    <w:rsid w:val="003E78F4"/>
    <w:rsid w:val="003E7B22"/>
    <w:rsid w:val="003E7BA0"/>
    <w:rsid w:val="003E7C96"/>
    <w:rsid w:val="003E7ECA"/>
    <w:rsid w:val="003F044F"/>
    <w:rsid w:val="003F0496"/>
    <w:rsid w:val="003F0531"/>
    <w:rsid w:val="003F1126"/>
    <w:rsid w:val="003F1419"/>
    <w:rsid w:val="003F1572"/>
    <w:rsid w:val="003F1971"/>
    <w:rsid w:val="003F1B46"/>
    <w:rsid w:val="003F1E52"/>
    <w:rsid w:val="003F2620"/>
    <w:rsid w:val="003F2E25"/>
    <w:rsid w:val="003F319D"/>
    <w:rsid w:val="003F32D8"/>
    <w:rsid w:val="003F3357"/>
    <w:rsid w:val="003F351E"/>
    <w:rsid w:val="003F3677"/>
    <w:rsid w:val="003F39BC"/>
    <w:rsid w:val="003F419D"/>
    <w:rsid w:val="003F4230"/>
    <w:rsid w:val="003F4682"/>
    <w:rsid w:val="003F5098"/>
    <w:rsid w:val="003F54B5"/>
    <w:rsid w:val="003F5C7E"/>
    <w:rsid w:val="003F5E88"/>
    <w:rsid w:val="003F604F"/>
    <w:rsid w:val="003F65B5"/>
    <w:rsid w:val="003F6BC4"/>
    <w:rsid w:val="003F6FBC"/>
    <w:rsid w:val="003F76B6"/>
    <w:rsid w:val="003F77C7"/>
    <w:rsid w:val="003F7B7A"/>
    <w:rsid w:val="00400327"/>
    <w:rsid w:val="00400453"/>
    <w:rsid w:val="004006A8"/>
    <w:rsid w:val="00400ED1"/>
    <w:rsid w:val="004010F2"/>
    <w:rsid w:val="00401222"/>
    <w:rsid w:val="00401228"/>
    <w:rsid w:val="00401297"/>
    <w:rsid w:val="00401354"/>
    <w:rsid w:val="004016B8"/>
    <w:rsid w:val="0040199E"/>
    <w:rsid w:val="00401A3E"/>
    <w:rsid w:val="00402114"/>
    <w:rsid w:val="004024E9"/>
    <w:rsid w:val="004031B7"/>
    <w:rsid w:val="0040391B"/>
    <w:rsid w:val="00403C3D"/>
    <w:rsid w:val="00403C55"/>
    <w:rsid w:val="00403DB7"/>
    <w:rsid w:val="00403E0C"/>
    <w:rsid w:val="004046C9"/>
    <w:rsid w:val="00405050"/>
    <w:rsid w:val="0040512F"/>
    <w:rsid w:val="00405BDF"/>
    <w:rsid w:val="00405E59"/>
    <w:rsid w:val="00405EDE"/>
    <w:rsid w:val="004060A9"/>
    <w:rsid w:val="0040650D"/>
    <w:rsid w:val="0040668F"/>
    <w:rsid w:val="00406751"/>
    <w:rsid w:val="004069FA"/>
    <w:rsid w:val="00406D66"/>
    <w:rsid w:val="00406D78"/>
    <w:rsid w:val="004073E6"/>
    <w:rsid w:val="004076A3"/>
    <w:rsid w:val="004078D9"/>
    <w:rsid w:val="00407A80"/>
    <w:rsid w:val="00407AE1"/>
    <w:rsid w:val="00407AF9"/>
    <w:rsid w:val="00407CC4"/>
    <w:rsid w:val="00407D2F"/>
    <w:rsid w:val="00407D6C"/>
    <w:rsid w:val="00407E21"/>
    <w:rsid w:val="0041013E"/>
    <w:rsid w:val="004102A5"/>
    <w:rsid w:val="00411250"/>
    <w:rsid w:val="00411932"/>
    <w:rsid w:val="00411A33"/>
    <w:rsid w:val="00411BFC"/>
    <w:rsid w:val="00411DCB"/>
    <w:rsid w:val="00411E77"/>
    <w:rsid w:val="00411F48"/>
    <w:rsid w:val="0041201A"/>
    <w:rsid w:val="00412801"/>
    <w:rsid w:val="00412832"/>
    <w:rsid w:val="0041297C"/>
    <w:rsid w:val="00412DAD"/>
    <w:rsid w:val="00412F74"/>
    <w:rsid w:val="004131AB"/>
    <w:rsid w:val="00413248"/>
    <w:rsid w:val="004133EB"/>
    <w:rsid w:val="00413897"/>
    <w:rsid w:val="0041412F"/>
    <w:rsid w:val="004144A4"/>
    <w:rsid w:val="004144DA"/>
    <w:rsid w:val="00414C3A"/>
    <w:rsid w:val="00414C4C"/>
    <w:rsid w:val="0041502A"/>
    <w:rsid w:val="00415184"/>
    <w:rsid w:val="00416721"/>
    <w:rsid w:val="00416BCA"/>
    <w:rsid w:val="00416EA3"/>
    <w:rsid w:val="004171EA"/>
    <w:rsid w:val="004172A0"/>
    <w:rsid w:val="00417591"/>
    <w:rsid w:val="00417774"/>
    <w:rsid w:val="00420B10"/>
    <w:rsid w:val="00420E79"/>
    <w:rsid w:val="00421554"/>
    <w:rsid w:val="00421CFB"/>
    <w:rsid w:val="00422039"/>
    <w:rsid w:val="00422167"/>
    <w:rsid w:val="00422177"/>
    <w:rsid w:val="004222C9"/>
    <w:rsid w:val="0042267F"/>
    <w:rsid w:val="00422897"/>
    <w:rsid w:val="0042292C"/>
    <w:rsid w:val="004229DF"/>
    <w:rsid w:val="00422A36"/>
    <w:rsid w:val="00422CAB"/>
    <w:rsid w:val="00423178"/>
    <w:rsid w:val="0042323A"/>
    <w:rsid w:val="00423243"/>
    <w:rsid w:val="0042338C"/>
    <w:rsid w:val="00423746"/>
    <w:rsid w:val="00423912"/>
    <w:rsid w:val="00423DC2"/>
    <w:rsid w:val="00424062"/>
    <w:rsid w:val="00424CEE"/>
    <w:rsid w:val="00424D39"/>
    <w:rsid w:val="00424EC5"/>
    <w:rsid w:val="00424FB7"/>
    <w:rsid w:val="00424FC4"/>
    <w:rsid w:val="00425072"/>
    <w:rsid w:val="00425425"/>
    <w:rsid w:val="004255B5"/>
    <w:rsid w:val="00426049"/>
    <w:rsid w:val="0042623B"/>
    <w:rsid w:val="00426681"/>
    <w:rsid w:val="004266D9"/>
    <w:rsid w:val="00426963"/>
    <w:rsid w:val="00426C78"/>
    <w:rsid w:val="00426CEF"/>
    <w:rsid w:val="00427286"/>
    <w:rsid w:val="0042731A"/>
    <w:rsid w:val="004274B2"/>
    <w:rsid w:val="0042763E"/>
    <w:rsid w:val="0042769E"/>
    <w:rsid w:val="004277CC"/>
    <w:rsid w:val="00427AF8"/>
    <w:rsid w:val="00427F0F"/>
    <w:rsid w:val="00427F66"/>
    <w:rsid w:val="00430156"/>
    <w:rsid w:val="004304F8"/>
    <w:rsid w:val="00430A53"/>
    <w:rsid w:val="00430E0E"/>
    <w:rsid w:val="00430E35"/>
    <w:rsid w:val="00430EC4"/>
    <w:rsid w:val="00431078"/>
    <w:rsid w:val="0043116D"/>
    <w:rsid w:val="0043117F"/>
    <w:rsid w:val="00431327"/>
    <w:rsid w:val="0043140F"/>
    <w:rsid w:val="0043183B"/>
    <w:rsid w:val="00431854"/>
    <w:rsid w:val="004318FE"/>
    <w:rsid w:val="00431F20"/>
    <w:rsid w:val="00431F58"/>
    <w:rsid w:val="00431F9E"/>
    <w:rsid w:val="00431FAA"/>
    <w:rsid w:val="00431FC4"/>
    <w:rsid w:val="0043203E"/>
    <w:rsid w:val="00432113"/>
    <w:rsid w:val="00432588"/>
    <w:rsid w:val="00432FBE"/>
    <w:rsid w:val="00433B05"/>
    <w:rsid w:val="00433BB2"/>
    <w:rsid w:val="00433CF2"/>
    <w:rsid w:val="00433D78"/>
    <w:rsid w:val="00433E0E"/>
    <w:rsid w:val="00433F5B"/>
    <w:rsid w:val="0043407D"/>
    <w:rsid w:val="0043418F"/>
    <w:rsid w:val="00434432"/>
    <w:rsid w:val="004346A0"/>
    <w:rsid w:val="00434767"/>
    <w:rsid w:val="00434AA2"/>
    <w:rsid w:val="00434D29"/>
    <w:rsid w:val="004356E2"/>
    <w:rsid w:val="00435C2D"/>
    <w:rsid w:val="00436E08"/>
    <w:rsid w:val="004374A6"/>
    <w:rsid w:val="00437503"/>
    <w:rsid w:val="0043769A"/>
    <w:rsid w:val="00440838"/>
    <w:rsid w:val="00440852"/>
    <w:rsid w:val="004409BE"/>
    <w:rsid w:val="00440D33"/>
    <w:rsid w:val="00440E58"/>
    <w:rsid w:val="00441066"/>
    <w:rsid w:val="0044129C"/>
    <w:rsid w:val="004412DE"/>
    <w:rsid w:val="00441639"/>
    <w:rsid w:val="00441875"/>
    <w:rsid w:val="00441CDD"/>
    <w:rsid w:val="00441D64"/>
    <w:rsid w:val="00441FC1"/>
    <w:rsid w:val="00442194"/>
    <w:rsid w:val="004422E4"/>
    <w:rsid w:val="004425E9"/>
    <w:rsid w:val="004428B1"/>
    <w:rsid w:val="00442B17"/>
    <w:rsid w:val="00442D46"/>
    <w:rsid w:val="0044309B"/>
    <w:rsid w:val="0044326A"/>
    <w:rsid w:val="00443301"/>
    <w:rsid w:val="00443547"/>
    <w:rsid w:val="004438E6"/>
    <w:rsid w:val="00443993"/>
    <w:rsid w:val="00444391"/>
    <w:rsid w:val="00444477"/>
    <w:rsid w:val="004448CB"/>
    <w:rsid w:val="00444ACC"/>
    <w:rsid w:val="00444BCD"/>
    <w:rsid w:val="00445560"/>
    <w:rsid w:val="004458D8"/>
    <w:rsid w:val="00445AC7"/>
    <w:rsid w:val="00445ACE"/>
    <w:rsid w:val="00445CBB"/>
    <w:rsid w:val="00445FB3"/>
    <w:rsid w:val="00446183"/>
    <w:rsid w:val="00446355"/>
    <w:rsid w:val="004465F9"/>
    <w:rsid w:val="00446FA2"/>
    <w:rsid w:val="00447609"/>
    <w:rsid w:val="004477C2"/>
    <w:rsid w:val="00447BB2"/>
    <w:rsid w:val="00447E23"/>
    <w:rsid w:val="00450591"/>
    <w:rsid w:val="00450850"/>
    <w:rsid w:val="0045099C"/>
    <w:rsid w:val="00450CC1"/>
    <w:rsid w:val="00450D92"/>
    <w:rsid w:val="00450DB2"/>
    <w:rsid w:val="00450F2D"/>
    <w:rsid w:val="00450FD9"/>
    <w:rsid w:val="0045105F"/>
    <w:rsid w:val="00451143"/>
    <w:rsid w:val="00451496"/>
    <w:rsid w:val="004514D9"/>
    <w:rsid w:val="004515D2"/>
    <w:rsid w:val="00451C27"/>
    <w:rsid w:val="00451C97"/>
    <w:rsid w:val="00452041"/>
    <w:rsid w:val="004529C5"/>
    <w:rsid w:val="00452C1C"/>
    <w:rsid w:val="00452CF2"/>
    <w:rsid w:val="00452D19"/>
    <w:rsid w:val="00452F3A"/>
    <w:rsid w:val="00452F6D"/>
    <w:rsid w:val="00452FCD"/>
    <w:rsid w:val="004530E9"/>
    <w:rsid w:val="004532F1"/>
    <w:rsid w:val="00453761"/>
    <w:rsid w:val="0045391F"/>
    <w:rsid w:val="00453CAB"/>
    <w:rsid w:val="00453EC1"/>
    <w:rsid w:val="00453EFD"/>
    <w:rsid w:val="00455387"/>
    <w:rsid w:val="00455BA8"/>
    <w:rsid w:val="00455DE8"/>
    <w:rsid w:val="004565C0"/>
    <w:rsid w:val="00456A15"/>
    <w:rsid w:val="0045705B"/>
    <w:rsid w:val="004570FF"/>
    <w:rsid w:val="00457BB7"/>
    <w:rsid w:val="0046016D"/>
    <w:rsid w:val="00460877"/>
    <w:rsid w:val="00460A9F"/>
    <w:rsid w:val="00460BA1"/>
    <w:rsid w:val="00460D0F"/>
    <w:rsid w:val="004614D9"/>
    <w:rsid w:val="004616A7"/>
    <w:rsid w:val="00461B3D"/>
    <w:rsid w:val="0046209B"/>
    <w:rsid w:val="004620AD"/>
    <w:rsid w:val="00462356"/>
    <w:rsid w:val="0046280A"/>
    <w:rsid w:val="004629FB"/>
    <w:rsid w:val="00462FB2"/>
    <w:rsid w:val="0046317E"/>
    <w:rsid w:val="0046329A"/>
    <w:rsid w:val="00463963"/>
    <w:rsid w:val="00463ADB"/>
    <w:rsid w:val="00463AFA"/>
    <w:rsid w:val="00463F80"/>
    <w:rsid w:val="00464205"/>
    <w:rsid w:val="004642C8"/>
    <w:rsid w:val="00464855"/>
    <w:rsid w:val="00464863"/>
    <w:rsid w:val="00464EC3"/>
    <w:rsid w:val="0046524D"/>
    <w:rsid w:val="0046569A"/>
    <w:rsid w:val="0046576A"/>
    <w:rsid w:val="004659FE"/>
    <w:rsid w:val="00465BE7"/>
    <w:rsid w:val="00466537"/>
    <w:rsid w:val="00466BC0"/>
    <w:rsid w:val="00466C04"/>
    <w:rsid w:val="004670A0"/>
    <w:rsid w:val="004670CF"/>
    <w:rsid w:val="00467443"/>
    <w:rsid w:val="004675C6"/>
    <w:rsid w:val="00467605"/>
    <w:rsid w:val="0046776B"/>
    <w:rsid w:val="0046780D"/>
    <w:rsid w:val="004701B6"/>
    <w:rsid w:val="0047032E"/>
    <w:rsid w:val="00470A8C"/>
    <w:rsid w:val="0047134C"/>
    <w:rsid w:val="004715D5"/>
    <w:rsid w:val="00471809"/>
    <w:rsid w:val="00471AF7"/>
    <w:rsid w:val="004720A5"/>
    <w:rsid w:val="004724EB"/>
    <w:rsid w:val="004724EC"/>
    <w:rsid w:val="0047255F"/>
    <w:rsid w:val="00472951"/>
    <w:rsid w:val="00472BBA"/>
    <w:rsid w:val="00472C98"/>
    <w:rsid w:val="00472CD2"/>
    <w:rsid w:val="00472D50"/>
    <w:rsid w:val="00472DEA"/>
    <w:rsid w:val="00472FB3"/>
    <w:rsid w:val="00472FEB"/>
    <w:rsid w:val="004731C2"/>
    <w:rsid w:val="004737C7"/>
    <w:rsid w:val="00473D3F"/>
    <w:rsid w:val="0047461A"/>
    <w:rsid w:val="00475D80"/>
    <w:rsid w:val="0047605A"/>
    <w:rsid w:val="0047618E"/>
    <w:rsid w:val="004762AD"/>
    <w:rsid w:val="00476692"/>
    <w:rsid w:val="00476822"/>
    <w:rsid w:val="00477769"/>
    <w:rsid w:val="00477E41"/>
    <w:rsid w:val="004806F5"/>
    <w:rsid w:val="00480C8E"/>
    <w:rsid w:val="00481062"/>
    <w:rsid w:val="004813D2"/>
    <w:rsid w:val="0048154F"/>
    <w:rsid w:val="00481872"/>
    <w:rsid w:val="004820A3"/>
    <w:rsid w:val="004823DD"/>
    <w:rsid w:val="004828E0"/>
    <w:rsid w:val="00482B47"/>
    <w:rsid w:val="00482D22"/>
    <w:rsid w:val="00482FD8"/>
    <w:rsid w:val="00483015"/>
    <w:rsid w:val="004831EE"/>
    <w:rsid w:val="00483407"/>
    <w:rsid w:val="0048350D"/>
    <w:rsid w:val="0048380E"/>
    <w:rsid w:val="004839F1"/>
    <w:rsid w:val="00483AC8"/>
    <w:rsid w:val="00483C7B"/>
    <w:rsid w:val="00483DE4"/>
    <w:rsid w:val="00484887"/>
    <w:rsid w:val="0048489F"/>
    <w:rsid w:val="00484B18"/>
    <w:rsid w:val="00484C19"/>
    <w:rsid w:val="00484E98"/>
    <w:rsid w:val="00485025"/>
    <w:rsid w:val="004853B4"/>
    <w:rsid w:val="0048576F"/>
    <w:rsid w:val="00485AAB"/>
    <w:rsid w:val="00485D60"/>
    <w:rsid w:val="00486309"/>
    <w:rsid w:val="0048701B"/>
    <w:rsid w:val="00487050"/>
    <w:rsid w:val="004872FA"/>
    <w:rsid w:val="00487BA1"/>
    <w:rsid w:val="00487C84"/>
    <w:rsid w:val="00487FCB"/>
    <w:rsid w:val="00490079"/>
    <w:rsid w:val="00490081"/>
    <w:rsid w:val="0049011E"/>
    <w:rsid w:val="004901B0"/>
    <w:rsid w:val="00490342"/>
    <w:rsid w:val="00490668"/>
    <w:rsid w:val="00490B4D"/>
    <w:rsid w:val="00490C03"/>
    <w:rsid w:val="00490CB7"/>
    <w:rsid w:val="0049147D"/>
    <w:rsid w:val="00491610"/>
    <w:rsid w:val="004919D3"/>
    <w:rsid w:val="004919E3"/>
    <w:rsid w:val="00491A5C"/>
    <w:rsid w:val="00491AC7"/>
    <w:rsid w:val="00491AFE"/>
    <w:rsid w:val="00491BD6"/>
    <w:rsid w:val="004923E6"/>
    <w:rsid w:val="00492956"/>
    <w:rsid w:val="00492CF4"/>
    <w:rsid w:val="00492EF0"/>
    <w:rsid w:val="0049348E"/>
    <w:rsid w:val="004939A2"/>
    <w:rsid w:val="00494167"/>
    <w:rsid w:val="00494F4B"/>
    <w:rsid w:val="0049524C"/>
    <w:rsid w:val="00495533"/>
    <w:rsid w:val="00495683"/>
    <w:rsid w:val="00495713"/>
    <w:rsid w:val="004961B1"/>
    <w:rsid w:val="00496257"/>
    <w:rsid w:val="004967B1"/>
    <w:rsid w:val="00496BEE"/>
    <w:rsid w:val="00496C57"/>
    <w:rsid w:val="004971D4"/>
    <w:rsid w:val="0049730A"/>
    <w:rsid w:val="00497778"/>
    <w:rsid w:val="00497800"/>
    <w:rsid w:val="00497B89"/>
    <w:rsid w:val="00497D81"/>
    <w:rsid w:val="004A0154"/>
    <w:rsid w:val="004A058D"/>
    <w:rsid w:val="004A06A3"/>
    <w:rsid w:val="004A0761"/>
    <w:rsid w:val="004A077A"/>
    <w:rsid w:val="004A093D"/>
    <w:rsid w:val="004A0D98"/>
    <w:rsid w:val="004A16E7"/>
    <w:rsid w:val="004A1EB6"/>
    <w:rsid w:val="004A20CB"/>
    <w:rsid w:val="004A2503"/>
    <w:rsid w:val="004A28FA"/>
    <w:rsid w:val="004A2930"/>
    <w:rsid w:val="004A2B48"/>
    <w:rsid w:val="004A2E1E"/>
    <w:rsid w:val="004A2F6C"/>
    <w:rsid w:val="004A316D"/>
    <w:rsid w:val="004A3190"/>
    <w:rsid w:val="004A34DF"/>
    <w:rsid w:val="004A3AEB"/>
    <w:rsid w:val="004A3DF0"/>
    <w:rsid w:val="004A4104"/>
    <w:rsid w:val="004A418F"/>
    <w:rsid w:val="004A4653"/>
    <w:rsid w:val="004A478E"/>
    <w:rsid w:val="004A4D93"/>
    <w:rsid w:val="004A525F"/>
    <w:rsid w:val="004A5529"/>
    <w:rsid w:val="004A560C"/>
    <w:rsid w:val="004A5786"/>
    <w:rsid w:val="004A5E60"/>
    <w:rsid w:val="004A6219"/>
    <w:rsid w:val="004A6266"/>
    <w:rsid w:val="004A642F"/>
    <w:rsid w:val="004A65CB"/>
    <w:rsid w:val="004A6676"/>
    <w:rsid w:val="004A6BFE"/>
    <w:rsid w:val="004A6C40"/>
    <w:rsid w:val="004A6D33"/>
    <w:rsid w:val="004A6DFC"/>
    <w:rsid w:val="004A6E88"/>
    <w:rsid w:val="004A6F38"/>
    <w:rsid w:val="004A7439"/>
    <w:rsid w:val="004A761F"/>
    <w:rsid w:val="004A7944"/>
    <w:rsid w:val="004A79C0"/>
    <w:rsid w:val="004B0321"/>
    <w:rsid w:val="004B036F"/>
    <w:rsid w:val="004B04D8"/>
    <w:rsid w:val="004B1231"/>
    <w:rsid w:val="004B132F"/>
    <w:rsid w:val="004B13B5"/>
    <w:rsid w:val="004B16B9"/>
    <w:rsid w:val="004B17E1"/>
    <w:rsid w:val="004B1C09"/>
    <w:rsid w:val="004B1DC7"/>
    <w:rsid w:val="004B219B"/>
    <w:rsid w:val="004B21C6"/>
    <w:rsid w:val="004B2400"/>
    <w:rsid w:val="004B251A"/>
    <w:rsid w:val="004B268D"/>
    <w:rsid w:val="004B2756"/>
    <w:rsid w:val="004B2939"/>
    <w:rsid w:val="004B2C6A"/>
    <w:rsid w:val="004B2C7C"/>
    <w:rsid w:val="004B2C7D"/>
    <w:rsid w:val="004B3176"/>
    <w:rsid w:val="004B34E4"/>
    <w:rsid w:val="004B3B52"/>
    <w:rsid w:val="004B3D71"/>
    <w:rsid w:val="004B4165"/>
    <w:rsid w:val="004B4330"/>
    <w:rsid w:val="004B4464"/>
    <w:rsid w:val="004B4497"/>
    <w:rsid w:val="004B45D6"/>
    <w:rsid w:val="004B4A82"/>
    <w:rsid w:val="004B4FAB"/>
    <w:rsid w:val="004B4FBB"/>
    <w:rsid w:val="004B527E"/>
    <w:rsid w:val="004B52A6"/>
    <w:rsid w:val="004B5951"/>
    <w:rsid w:val="004B5A9C"/>
    <w:rsid w:val="004B5AA2"/>
    <w:rsid w:val="004B5B61"/>
    <w:rsid w:val="004B5BF6"/>
    <w:rsid w:val="004B5C7D"/>
    <w:rsid w:val="004B5CAA"/>
    <w:rsid w:val="004B5E54"/>
    <w:rsid w:val="004B6AD9"/>
    <w:rsid w:val="004B6F8C"/>
    <w:rsid w:val="004B7021"/>
    <w:rsid w:val="004B7129"/>
    <w:rsid w:val="004B7409"/>
    <w:rsid w:val="004B7684"/>
    <w:rsid w:val="004B7815"/>
    <w:rsid w:val="004B7928"/>
    <w:rsid w:val="004B7D24"/>
    <w:rsid w:val="004B7E13"/>
    <w:rsid w:val="004B7E4B"/>
    <w:rsid w:val="004C00F2"/>
    <w:rsid w:val="004C03A5"/>
    <w:rsid w:val="004C057D"/>
    <w:rsid w:val="004C091C"/>
    <w:rsid w:val="004C0E66"/>
    <w:rsid w:val="004C1008"/>
    <w:rsid w:val="004C12A3"/>
    <w:rsid w:val="004C1AD9"/>
    <w:rsid w:val="004C2175"/>
    <w:rsid w:val="004C235A"/>
    <w:rsid w:val="004C26E4"/>
    <w:rsid w:val="004C2AD6"/>
    <w:rsid w:val="004C3560"/>
    <w:rsid w:val="004C396C"/>
    <w:rsid w:val="004C3E6E"/>
    <w:rsid w:val="004C4056"/>
    <w:rsid w:val="004C427B"/>
    <w:rsid w:val="004C4933"/>
    <w:rsid w:val="004C4982"/>
    <w:rsid w:val="004C4A13"/>
    <w:rsid w:val="004C4C8F"/>
    <w:rsid w:val="004C4D82"/>
    <w:rsid w:val="004C524A"/>
    <w:rsid w:val="004C54C2"/>
    <w:rsid w:val="004C5837"/>
    <w:rsid w:val="004C59F4"/>
    <w:rsid w:val="004C5AF8"/>
    <w:rsid w:val="004C5B6A"/>
    <w:rsid w:val="004C5B7B"/>
    <w:rsid w:val="004C6A9A"/>
    <w:rsid w:val="004C6C0C"/>
    <w:rsid w:val="004C6CB8"/>
    <w:rsid w:val="004C6D3C"/>
    <w:rsid w:val="004C719B"/>
    <w:rsid w:val="004C75A3"/>
    <w:rsid w:val="004C75B5"/>
    <w:rsid w:val="004C763F"/>
    <w:rsid w:val="004C7C2D"/>
    <w:rsid w:val="004C7C69"/>
    <w:rsid w:val="004D0374"/>
    <w:rsid w:val="004D0509"/>
    <w:rsid w:val="004D0635"/>
    <w:rsid w:val="004D0796"/>
    <w:rsid w:val="004D1105"/>
    <w:rsid w:val="004D16F5"/>
    <w:rsid w:val="004D2197"/>
    <w:rsid w:val="004D28BA"/>
    <w:rsid w:val="004D3334"/>
    <w:rsid w:val="004D382D"/>
    <w:rsid w:val="004D40ED"/>
    <w:rsid w:val="004D4307"/>
    <w:rsid w:val="004D4497"/>
    <w:rsid w:val="004D465C"/>
    <w:rsid w:val="004D4D82"/>
    <w:rsid w:val="004D5078"/>
    <w:rsid w:val="004D5104"/>
    <w:rsid w:val="004D5336"/>
    <w:rsid w:val="004D54CB"/>
    <w:rsid w:val="004D556F"/>
    <w:rsid w:val="004D562E"/>
    <w:rsid w:val="004D5C25"/>
    <w:rsid w:val="004D5F91"/>
    <w:rsid w:val="004D607D"/>
    <w:rsid w:val="004D694C"/>
    <w:rsid w:val="004D6DA2"/>
    <w:rsid w:val="004D700C"/>
    <w:rsid w:val="004D719D"/>
    <w:rsid w:val="004D756A"/>
    <w:rsid w:val="004D777E"/>
    <w:rsid w:val="004D7CC7"/>
    <w:rsid w:val="004E036F"/>
    <w:rsid w:val="004E03A4"/>
    <w:rsid w:val="004E09D9"/>
    <w:rsid w:val="004E0C8F"/>
    <w:rsid w:val="004E0CC3"/>
    <w:rsid w:val="004E1072"/>
    <w:rsid w:val="004E15BE"/>
    <w:rsid w:val="004E15FD"/>
    <w:rsid w:val="004E1BB8"/>
    <w:rsid w:val="004E21FB"/>
    <w:rsid w:val="004E24A5"/>
    <w:rsid w:val="004E28D9"/>
    <w:rsid w:val="004E2B1E"/>
    <w:rsid w:val="004E322D"/>
    <w:rsid w:val="004E34C0"/>
    <w:rsid w:val="004E3A06"/>
    <w:rsid w:val="004E3B42"/>
    <w:rsid w:val="004E3F8C"/>
    <w:rsid w:val="004E4794"/>
    <w:rsid w:val="004E47AB"/>
    <w:rsid w:val="004E495E"/>
    <w:rsid w:val="004E4DB7"/>
    <w:rsid w:val="004E4E2A"/>
    <w:rsid w:val="004E51EF"/>
    <w:rsid w:val="004E57C6"/>
    <w:rsid w:val="004E581F"/>
    <w:rsid w:val="004E58C5"/>
    <w:rsid w:val="004E5B8D"/>
    <w:rsid w:val="004E5EB5"/>
    <w:rsid w:val="004E6C43"/>
    <w:rsid w:val="004E7038"/>
    <w:rsid w:val="004E74D7"/>
    <w:rsid w:val="004E7546"/>
    <w:rsid w:val="004E7807"/>
    <w:rsid w:val="004E78C3"/>
    <w:rsid w:val="004E79C7"/>
    <w:rsid w:val="004E7AF2"/>
    <w:rsid w:val="004E7B7A"/>
    <w:rsid w:val="004E7D60"/>
    <w:rsid w:val="004E7EB4"/>
    <w:rsid w:val="004F09D4"/>
    <w:rsid w:val="004F1018"/>
    <w:rsid w:val="004F12C6"/>
    <w:rsid w:val="004F155E"/>
    <w:rsid w:val="004F177C"/>
    <w:rsid w:val="004F1862"/>
    <w:rsid w:val="004F1CE7"/>
    <w:rsid w:val="004F2178"/>
    <w:rsid w:val="004F2BDB"/>
    <w:rsid w:val="004F2BEE"/>
    <w:rsid w:val="004F313A"/>
    <w:rsid w:val="004F3569"/>
    <w:rsid w:val="004F4109"/>
    <w:rsid w:val="004F4365"/>
    <w:rsid w:val="004F4369"/>
    <w:rsid w:val="004F440C"/>
    <w:rsid w:val="004F475A"/>
    <w:rsid w:val="004F47BB"/>
    <w:rsid w:val="004F47F6"/>
    <w:rsid w:val="004F4888"/>
    <w:rsid w:val="004F4BDE"/>
    <w:rsid w:val="004F4E68"/>
    <w:rsid w:val="004F5061"/>
    <w:rsid w:val="004F5340"/>
    <w:rsid w:val="004F5372"/>
    <w:rsid w:val="004F5682"/>
    <w:rsid w:val="004F56AA"/>
    <w:rsid w:val="004F5758"/>
    <w:rsid w:val="004F5A51"/>
    <w:rsid w:val="004F5ABE"/>
    <w:rsid w:val="004F5AF9"/>
    <w:rsid w:val="004F5D05"/>
    <w:rsid w:val="004F5E35"/>
    <w:rsid w:val="004F5E6B"/>
    <w:rsid w:val="004F5EEB"/>
    <w:rsid w:val="004F601D"/>
    <w:rsid w:val="004F663F"/>
    <w:rsid w:val="005002B3"/>
    <w:rsid w:val="00500997"/>
    <w:rsid w:val="00500E0F"/>
    <w:rsid w:val="00501468"/>
    <w:rsid w:val="00501A30"/>
    <w:rsid w:val="00501B08"/>
    <w:rsid w:val="00501C69"/>
    <w:rsid w:val="00501DD5"/>
    <w:rsid w:val="00501DDD"/>
    <w:rsid w:val="005020F3"/>
    <w:rsid w:val="005027B4"/>
    <w:rsid w:val="0050295F"/>
    <w:rsid w:val="00502C52"/>
    <w:rsid w:val="00502F33"/>
    <w:rsid w:val="005032F1"/>
    <w:rsid w:val="00503471"/>
    <w:rsid w:val="005036E7"/>
    <w:rsid w:val="00503C5B"/>
    <w:rsid w:val="00504186"/>
    <w:rsid w:val="005049AA"/>
    <w:rsid w:val="00504A70"/>
    <w:rsid w:val="00504C1D"/>
    <w:rsid w:val="00504CAE"/>
    <w:rsid w:val="00504FFF"/>
    <w:rsid w:val="00505334"/>
    <w:rsid w:val="00505593"/>
    <w:rsid w:val="00506587"/>
    <w:rsid w:val="005067DC"/>
    <w:rsid w:val="005069E9"/>
    <w:rsid w:val="00507053"/>
    <w:rsid w:val="005070DF"/>
    <w:rsid w:val="005070F2"/>
    <w:rsid w:val="00507177"/>
    <w:rsid w:val="005077A6"/>
    <w:rsid w:val="00507D5A"/>
    <w:rsid w:val="00507D99"/>
    <w:rsid w:val="00507FBB"/>
    <w:rsid w:val="0051024C"/>
    <w:rsid w:val="0051047C"/>
    <w:rsid w:val="0051153E"/>
    <w:rsid w:val="00511904"/>
    <w:rsid w:val="00511C79"/>
    <w:rsid w:val="00511E0F"/>
    <w:rsid w:val="00511E78"/>
    <w:rsid w:val="00512026"/>
    <w:rsid w:val="005122C3"/>
    <w:rsid w:val="00512605"/>
    <w:rsid w:val="00512623"/>
    <w:rsid w:val="00512865"/>
    <w:rsid w:val="00512957"/>
    <w:rsid w:val="00512BBC"/>
    <w:rsid w:val="00512CB2"/>
    <w:rsid w:val="00512CC0"/>
    <w:rsid w:val="00512D38"/>
    <w:rsid w:val="00512F49"/>
    <w:rsid w:val="00513491"/>
    <w:rsid w:val="005136C3"/>
    <w:rsid w:val="0051371F"/>
    <w:rsid w:val="0051383A"/>
    <w:rsid w:val="0051383B"/>
    <w:rsid w:val="00513925"/>
    <w:rsid w:val="00513E5F"/>
    <w:rsid w:val="005141E9"/>
    <w:rsid w:val="00514283"/>
    <w:rsid w:val="00514482"/>
    <w:rsid w:val="0051490C"/>
    <w:rsid w:val="00514E91"/>
    <w:rsid w:val="00514FD5"/>
    <w:rsid w:val="005158AE"/>
    <w:rsid w:val="00515FB4"/>
    <w:rsid w:val="0051648F"/>
    <w:rsid w:val="005174AF"/>
    <w:rsid w:val="00517522"/>
    <w:rsid w:val="00517815"/>
    <w:rsid w:val="005179ED"/>
    <w:rsid w:val="00517EA8"/>
    <w:rsid w:val="00517FD4"/>
    <w:rsid w:val="0052003E"/>
    <w:rsid w:val="005201BD"/>
    <w:rsid w:val="005202E6"/>
    <w:rsid w:val="005203BB"/>
    <w:rsid w:val="00520706"/>
    <w:rsid w:val="005209E8"/>
    <w:rsid w:val="00520DAB"/>
    <w:rsid w:val="00520DEA"/>
    <w:rsid w:val="005210EE"/>
    <w:rsid w:val="005216B9"/>
    <w:rsid w:val="0052179C"/>
    <w:rsid w:val="00521922"/>
    <w:rsid w:val="00521C21"/>
    <w:rsid w:val="00521F73"/>
    <w:rsid w:val="00522140"/>
    <w:rsid w:val="00522246"/>
    <w:rsid w:val="00522284"/>
    <w:rsid w:val="00522332"/>
    <w:rsid w:val="005223E4"/>
    <w:rsid w:val="00522558"/>
    <w:rsid w:val="00522A7E"/>
    <w:rsid w:val="00522A99"/>
    <w:rsid w:val="00522AEE"/>
    <w:rsid w:val="005232F4"/>
    <w:rsid w:val="00523397"/>
    <w:rsid w:val="0052373B"/>
    <w:rsid w:val="00523749"/>
    <w:rsid w:val="005237B3"/>
    <w:rsid w:val="00523A13"/>
    <w:rsid w:val="00523B1B"/>
    <w:rsid w:val="00524B68"/>
    <w:rsid w:val="00524D52"/>
    <w:rsid w:val="00525A54"/>
    <w:rsid w:val="00525AE2"/>
    <w:rsid w:val="00525B64"/>
    <w:rsid w:val="00525CE5"/>
    <w:rsid w:val="00526159"/>
    <w:rsid w:val="0052632A"/>
    <w:rsid w:val="00526412"/>
    <w:rsid w:val="00526A51"/>
    <w:rsid w:val="00527018"/>
    <w:rsid w:val="005271E8"/>
    <w:rsid w:val="0052727D"/>
    <w:rsid w:val="005274B1"/>
    <w:rsid w:val="00527ED2"/>
    <w:rsid w:val="00527EE4"/>
    <w:rsid w:val="005302C1"/>
    <w:rsid w:val="0053033A"/>
    <w:rsid w:val="0053037B"/>
    <w:rsid w:val="0053098D"/>
    <w:rsid w:val="00531672"/>
    <w:rsid w:val="005318F7"/>
    <w:rsid w:val="00531940"/>
    <w:rsid w:val="00531A9C"/>
    <w:rsid w:val="00531D69"/>
    <w:rsid w:val="00532142"/>
    <w:rsid w:val="0053226A"/>
    <w:rsid w:val="005325FB"/>
    <w:rsid w:val="0053273A"/>
    <w:rsid w:val="00532A2E"/>
    <w:rsid w:val="00532F87"/>
    <w:rsid w:val="005336D9"/>
    <w:rsid w:val="00533BF5"/>
    <w:rsid w:val="00534015"/>
    <w:rsid w:val="0053420F"/>
    <w:rsid w:val="00534987"/>
    <w:rsid w:val="0053539A"/>
    <w:rsid w:val="0053596B"/>
    <w:rsid w:val="00535F1D"/>
    <w:rsid w:val="00535F73"/>
    <w:rsid w:val="00535F89"/>
    <w:rsid w:val="00536436"/>
    <w:rsid w:val="00536437"/>
    <w:rsid w:val="005367B9"/>
    <w:rsid w:val="0053685D"/>
    <w:rsid w:val="00536A1D"/>
    <w:rsid w:val="00536C2F"/>
    <w:rsid w:val="005370F4"/>
    <w:rsid w:val="00537221"/>
    <w:rsid w:val="00537237"/>
    <w:rsid w:val="00537404"/>
    <w:rsid w:val="00537B6E"/>
    <w:rsid w:val="005401C2"/>
    <w:rsid w:val="00540369"/>
    <w:rsid w:val="0054041A"/>
    <w:rsid w:val="00540520"/>
    <w:rsid w:val="00540E19"/>
    <w:rsid w:val="00540FEB"/>
    <w:rsid w:val="00541277"/>
    <w:rsid w:val="00541BF3"/>
    <w:rsid w:val="00541DB0"/>
    <w:rsid w:val="00542633"/>
    <w:rsid w:val="00542B73"/>
    <w:rsid w:val="00543891"/>
    <w:rsid w:val="00543922"/>
    <w:rsid w:val="00543C59"/>
    <w:rsid w:val="00543D7D"/>
    <w:rsid w:val="005441B8"/>
    <w:rsid w:val="00544831"/>
    <w:rsid w:val="00544D3A"/>
    <w:rsid w:val="00545B56"/>
    <w:rsid w:val="00545B8F"/>
    <w:rsid w:val="00545F9C"/>
    <w:rsid w:val="00545FA4"/>
    <w:rsid w:val="0054603E"/>
    <w:rsid w:val="005465C3"/>
    <w:rsid w:val="005465FB"/>
    <w:rsid w:val="00546657"/>
    <w:rsid w:val="00546A7D"/>
    <w:rsid w:val="005477E4"/>
    <w:rsid w:val="00547818"/>
    <w:rsid w:val="00550446"/>
    <w:rsid w:val="005504A2"/>
    <w:rsid w:val="00550C5E"/>
    <w:rsid w:val="00551190"/>
    <w:rsid w:val="005517AD"/>
    <w:rsid w:val="0055200E"/>
    <w:rsid w:val="005529DD"/>
    <w:rsid w:val="00552DD7"/>
    <w:rsid w:val="00553057"/>
    <w:rsid w:val="00553430"/>
    <w:rsid w:val="0055399F"/>
    <w:rsid w:val="00553D60"/>
    <w:rsid w:val="00554139"/>
    <w:rsid w:val="00554991"/>
    <w:rsid w:val="00555103"/>
    <w:rsid w:val="0055517E"/>
    <w:rsid w:val="00555568"/>
    <w:rsid w:val="005556D2"/>
    <w:rsid w:val="0055579D"/>
    <w:rsid w:val="00555902"/>
    <w:rsid w:val="00555937"/>
    <w:rsid w:val="00555F83"/>
    <w:rsid w:val="0055603C"/>
    <w:rsid w:val="005566EA"/>
    <w:rsid w:val="005569B4"/>
    <w:rsid w:val="00556E7A"/>
    <w:rsid w:val="0055708A"/>
    <w:rsid w:val="0055714F"/>
    <w:rsid w:val="00557235"/>
    <w:rsid w:val="005573A1"/>
    <w:rsid w:val="005577D0"/>
    <w:rsid w:val="00557A5D"/>
    <w:rsid w:val="0056077A"/>
    <w:rsid w:val="00560821"/>
    <w:rsid w:val="00560A0B"/>
    <w:rsid w:val="00561074"/>
    <w:rsid w:val="00561514"/>
    <w:rsid w:val="00561B12"/>
    <w:rsid w:val="00561BBC"/>
    <w:rsid w:val="00561C0F"/>
    <w:rsid w:val="00561C83"/>
    <w:rsid w:val="00561EEB"/>
    <w:rsid w:val="00561FED"/>
    <w:rsid w:val="005625D7"/>
    <w:rsid w:val="0056264D"/>
    <w:rsid w:val="0056271E"/>
    <w:rsid w:val="00562B1C"/>
    <w:rsid w:val="00562B9B"/>
    <w:rsid w:val="00562D2A"/>
    <w:rsid w:val="005633BF"/>
    <w:rsid w:val="00563B40"/>
    <w:rsid w:val="005640D0"/>
    <w:rsid w:val="0056459A"/>
    <w:rsid w:val="005653FC"/>
    <w:rsid w:val="0056545C"/>
    <w:rsid w:val="00565513"/>
    <w:rsid w:val="0056566A"/>
    <w:rsid w:val="0056566B"/>
    <w:rsid w:val="00565A51"/>
    <w:rsid w:val="00566035"/>
    <w:rsid w:val="00566183"/>
    <w:rsid w:val="00566254"/>
    <w:rsid w:val="00566521"/>
    <w:rsid w:val="00566528"/>
    <w:rsid w:val="005665BA"/>
    <w:rsid w:val="005665D8"/>
    <w:rsid w:val="005674A9"/>
    <w:rsid w:val="00567747"/>
    <w:rsid w:val="00567B51"/>
    <w:rsid w:val="00567F1E"/>
    <w:rsid w:val="00570240"/>
    <w:rsid w:val="00570326"/>
    <w:rsid w:val="0057034F"/>
    <w:rsid w:val="0057037C"/>
    <w:rsid w:val="00570397"/>
    <w:rsid w:val="00570541"/>
    <w:rsid w:val="00570CDD"/>
    <w:rsid w:val="00570F73"/>
    <w:rsid w:val="005710CB"/>
    <w:rsid w:val="00571928"/>
    <w:rsid w:val="00571A9B"/>
    <w:rsid w:val="00571B35"/>
    <w:rsid w:val="00572402"/>
    <w:rsid w:val="00572999"/>
    <w:rsid w:val="00572A9F"/>
    <w:rsid w:val="00572CEA"/>
    <w:rsid w:val="00573154"/>
    <w:rsid w:val="00573448"/>
    <w:rsid w:val="0057344B"/>
    <w:rsid w:val="00573469"/>
    <w:rsid w:val="00573DAF"/>
    <w:rsid w:val="00573FC4"/>
    <w:rsid w:val="00573FFA"/>
    <w:rsid w:val="0057430C"/>
    <w:rsid w:val="005743BC"/>
    <w:rsid w:val="00574472"/>
    <w:rsid w:val="005744C8"/>
    <w:rsid w:val="005745A2"/>
    <w:rsid w:val="005745EE"/>
    <w:rsid w:val="005749E5"/>
    <w:rsid w:val="00574F2E"/>
    <w:rsid w:val="00574F7C"/>
    <w:rsid w:val="005752FF"/>
    <w:rsid w:val="005758F2"/>
    <w:rsid w:val="0057590A"/>
    <w:rsid w:val="00575932"/>
    <w:rsid w:val="00575D89"/>
    <w:rsid w:val="0057716E"/>
    <w:rsid w:val="005773CF"/>
    <w:rsid w:val="005775FF"/>
    <w:rsid w:val="0057763B"/>
    <w:rsid w:val="005776B4"/>
    <w:rsid w:val="0057774C"/>
    <w:rsid w:val="00577910"/>
    <w:rsid w:val="005779FA"/>
    <w:rsid w:val="00577A7B"/>
    <w:rsid w:val="00577FBB"/>
    <w:rsid w:val="00580395"/>
    <w:rsid w:val="00580530"/>
    <w:rsid w:val="00580863"/>
    <w:rsid w:val="00580F6E"/>
    <w:rsid w:val="0058103F"/>
    <w:rsid w:val="00581077"/>
    <w:rsid w:val="005810F7"/>
    <w:rsid w:val="00581587"/>
    <w:rsid w:val="00581A9E"/>
    <w:rsid w:val="00581E9F"/>
    <w:rsid w:val="0058222B"/>
    <w:rsid w:val="00582BDD"/>
    <w:rsid w:val="00583805"/>
    <w:rsid w:val="00583DFF"/>
    <w:rsid w:val="005849B0"/>
    <w:rsid w:val="00584C4D"/>
    <w:rsid w:val="00584EB8"/>
    <w:rsid w:val="00585124"/>
    <w:rsid w:val="00585515"/>
    <w:rsid w:val="0058599B"/>
    <w:rsid w:val="00585F5E"/>
    <w:rsid w:val="005868EA"/>
    <w:rsid w:val="00586918"/>
    <w:rsid w:val="00586976"/>
    <w:rsid w:val="00586CC4"/>
    <w:rsid w:val="00586E6B"/>
    <w:rsid w:val="005871D4"/>
    <w:rsid w:val="005874CB"/>
    <w:rsid w:val="00587C37"/>
    <w:rsid w:val="0059086D"/>
    <w:rsid w:val="00590F99"/>
    <w:rsid w:val="0059147B"/>
    <w:rsid w:val="00591B03"/>
    <w:rsid w:val="00591C33"/>
    <w:rsid w:val="00591FAC"/>
    <w:rsid w:val="0059202D"/>
    <w:rsid w:val="005923D4"/>
    <w:rsid w:val="00592911"/>
    <w:rsid w:val="00592E79"/>
    <w:rsid w:val="00592FF5"/>
    <w:rsid w:val="00593029"/>
    <w:rsid w:val="005935B3"/>
    <w:rsid w:val="0059373F"/>
    <w:rsid w:val="00593AF3"/>
    <w:rsid w:val="00593E91"/>
    <w:rsid w:val="00593F10"/>
    <w:rsid w:val="00594138"/>
    <w:rsid w:val="0059428D"/>
    <w:rsid w:val="005942CD"/>
    <w:rsid w:val="00594373"/>
    <w:rsid w:val="005946DB"/>
    <w:rsid w:val="005947A6"/>
    <w:rsid w:val="00594C93"/>
    <w:rsid w:val="00594EC0"/>
    <w:rsid w:val="00595335"/>
    <w:rsid w:val="00595BDA"/>
    <w:rsid w:val="00595D7E"/>
    <w:rsid w:val="00595F1F"/>
    <w:rsid w:val="005962DC"/>
    <w:rsid w:val="0059649C"/>
    <w:rsid w:val="005964E7"/>
    <w:rsid w:val="00596AA5"/>
    <w:rsid w:val="00596EE7"/>
    <w:rsid w:val="00596EF8"/>
    <w:rsid w:val="005970E8"/>
    <w:rsid w:val="00597548"/>
    <w:rsid w:val="00597C0A"/>
    <w:rsid w:val="005A07B1"/>
    <w:rsid w:val="005A09AB"/>
    <w:rsid w:val="005A0BAD"/>
    <w:rsid w:val="005A0FEB"/>
    <w:rsid w:val="005A1406"/>
    <w:rsid w:val="005A1859"/>
    <w:rsid w:val="005A1C98"/>
    <w:rsid w:val="005A21C3"/>
    <w:rsid w:val="005A21C8"/>
    <w:rsid w:val="005A2A47"/>
    <w:rsid w:val="005A2AF5"/>
    <w:rsid w:val="005A2BB0"/>
    <w:rsid w:val="005A2C3A"/>
    <w:rsid w:val="005A2EEF"/>
    <w:rsid w:val="005A32C8"/>
    <w:rsid w:val="005A32FC"/>
    <w:rsid w:val="005A34A8"/>
    <w:rsid w:val="005A368C"/>
    <w:rsid w:val="005A3ED5"/>
    <w:rsid w:val="005A4365"/>
    <w:rsid w:val="005A43C5"/>
    <w:rsid w:val="005A4493"/>
    <w:rsid w:val="005A4769"/>
    <w:rsid w:val="005A4886"/>
    <w:rsid w:val="005A48C0"/>
    <w:rsid w:val="005A4D1A"/>
    <w:rsid w:val="005A5E17"/>
    <w:rsid w:val="005A60B6"/>
    <w:rsid w:val="005A634F"/>
    <w:rsid w:val="005A6433"/>
    <w:rsid w:val="005A64B3"/>
    <w:rsid w:val="005A686F"/>
    <w:rsid w:val="005A721A"/>
    <w:rsid w:val="005A723F"/>
    <w:rsid w:val="005A72CD"/>
    <w:rsid w:val="005A74DF"/>
    <w:rsid w:val="005A75C0"/>
    <w:rsid w:val="005A7645"/>
    <w:rsid w:val="005A7CC3"/>
    <w:rsid w:val="005B04BE"/>
    <w:rsid w:val="005B0ED8"/>
    <w:rsid w:val="005B14BA"/>
    <w:rsid w:val="005B17C1"/>
    <w:rsid w:val="005B190E"/>
    <w:rsid w:val="005B19AC"/>
    <w:rsid w:val="005B1C30"/>
    <w:rsid w:val="005B2539"/>
    <w:rsid w:val="005B2583"/>
    <w:rsid w:val="005B2697"/>
    <w:rsid w:val="005B2A53"/>
    <w:rsid w:val="005B2AC0"/>
    <w:rsid w:val="005B2BA0"/>
    <w:rsid w:val="005B2C1A"/>
    <w:rsid w:val="005B2D5F"/>
    <w:rsid w:val="005B37E8"/>
    <w:rsid w:val="005B3C8D"/>
    <w:rsid w:val="005B3D2C"/>
    <w:rsid w:val="005B3D56"/>
    <w:rsid w:val="005B3FAF"/>
    <w:rsid w:val="005B4217"/>
    <w:rsid w:val="005B43C8"/>
    <w:rsid w:val="005B4639"/>
    <w:rsid w:val="005B4753"/>
    <w:rsid w:val="005B4C38"/>
    <w:rsid w:val="005B4CC5"/>
    <w:rsid w:val="005B5047"/>
    <w:rsid w:val="005B5443"/>
    <w:rsid w:val="005B5D0A"/>
    <w:rsid w:val="005B6150"/>
    <w:rsid w:val="005B6580"/>
    <w:rsid w:val="005B6AAC"/>
    <w:rsid w:val="005B6AE9"/>
    <w:rsid w:val="005B6B61"/>
    <w:rsid w:val="005B6C0C"/>
    <w:rsid w:val="005B6E63"/>
    <w:rsid w:val="005B7140"/>
    <w:rsid w:val="005B7367"/>
    <w:rsid w:val="005B7BD7"/>
    <w:rsid w:val="005C0927"/>
    <w:rsid w:val="005C09D6"/>
    <w:rsid w:val="005C0B0E"/>
    <w:rsid w:val="005C1158"/>
    <w:rsid w:val="005C172E"/>
    <w:rsid w:val="005C17EF"/>
    <w:rsid w:val="005C1C78"/>
    <w:rsid w:val="005C1EE5"/>
    <w:rsid w:val="005C2187"/>
    <w:rsid w:val="005C256E"/>
    <w:rsid w:val="005C25B1"/>
    <w:rsid w:val="005C25E5"/>
    <w:rsid w:val="005C2E30"/>
    <w:rsid w:val="005C32FA"/>
    <w:rsid w:val="005C3480"/>
    <w:rsid w:val="005C369A"/>
    <w:rsid w:val="005C377C"/>
    <w:rsid w:val="005C3A56"/>
    <w:rsid w:val="005C3C6B"/>
    <w:rsid w:val="005C3C8A"/>
    <w:rsid w:val="005C3CFD"/>
    <w:rsid w:val="005C3E15"/>
    <w:rsid w:val="005C3F9C"/>
    <w:rsid w:val="005C5227"/>
    <w:rsid w:val="005C524C"/>
    <w:rsid w:val="005C53DC"/>
    <w:rsid w:val="005C5608"/>
    <w:rsid w:val="005C580A"/>
    <w:rsid w:val="005C5D12"/>
    <w:rsid w:val="005C6756"/>
    <w:rsid w:val="005C6797"/>
    <w:rsid w:val="005C684B"/>
    <w:rsid w:val="005C6A50"/>
    <w:rsid w:val="005C6A89"/>
    <w:rsid w:val="005C717F"/>
    <w:rsid w:val="005C75A4"/>
    <w:rsid w:val="005C75F3"/>
    <w:rsid w:val="005D0043"/>
    <w:rsid w:val="005D023F"/>
    <w:rsid w:val="005D04A3"/>
    <w:rsid w:val="005D0516"/>
    <w:rsid w:val="005D0744"/>
    <w:rsid w:val="005D0969"/>
    <w:rsid w:val="005D0A12"/>
    <w:rsid w:val="005D10AE"/>
    <w:rsid w:val="005D11A9"/>
    <w:rsid w:val="005D11FE"/>
    <w:rsid w:val="005D12C0"/>
    <w:rsid w:val="005D198D"/>
    <w:rsid w:val="005D1A5D"/>
    <w:rsid w:val="005D1A9B"/>
    <w:rsid w:val="005D1AF0"/>
    <w:rsid w:val="005D1C33"/>
    <w:rsid w:val="005D1C57"/>
    <w:rsid w:val="005D1D99"/>
    <w:rsid w:val="005D24E7"/>
    <w:rsid w:val="005D24F9"/>
    <w:rsid w:val="005D25EF"/>
    <w:rsid w:val="005D2F97"/>
    <w:rsid w:val="005D2FCA"/>
    <w:rsid w:val="005D31C0"/>
    <w:rsid w:val="005D3D5A"/>
    <w:rsid w:val="005D3FEE"/>
    <w:rsid w:val="005D4448"/>
    <w:rsid w:val="005D450F"/>
    <w:rsid w:val="005D45FD"/>
    <w:rsid w:val="005D46E8"/>
    <w:rsid w:val="005D4786"/>
    <w:rsid w:val="005D49E1"/>
    <w:rsid w:val="005D4B1C"/>
    <w:rsid w:val="005D4C22"/>
    <w:rsid w:val="005D4F60"/>
    <w:rsid w:val="005D50DE"/>
    <w:rsid w:val="005D57D4"/>
    <w:rsid w:val="005D5970"/>
    <w:rsid w:val="005D5DEA"/>
    <w:rsid w:val="005D6409"/>
    <w:rsid w:val="005D666E"/>
    <w:rsid w:val="005D6743"/>
    <w:rsid w:val="005D7710"/>
    <w:rsid w:val="005D7776"/>
    <w:rsid w:val="005D7DB3"/>
    <w:rsid w:val="005E018E"/>
    <w:rsid w:val="005E1432"/>
    <w:rsid w:val="005E14C2"/>
    <w:rsid w:val="005E1E0B"/>
    <w:rsid w:val="005E2047"/>
    <w:rsid w:val="005E2601"/>
    <w:rsid w:val="005E2D94"/>
    <w:rsid w:val="005E3316"/>
    <w:rsid w:val="005E3B74"/>
    <w:rsid w:val="005E4144"/>
    <w:rsid w:val="005E42BF"/>
    <w:rsid w:val="005E436C"/>
    <w:rsid w:val="005E4488"/>
    <w:rsid w:val="005E49E2"/>
    <w:rsid w:val="005E4A59"/>
    <w:rsid w:val="005E4C29"/>
    <w:rsid w:val="005E4C2B"/>
    <w:rsid w:val="005E4EAB"/>
    <w:rsid w:val="005E5135"/>
    <w:rsid w:val="005E5180"/>
    <w:rsid w:val="005E536A"/>
    <w:rsid w:val="005E547E"/>
    <w:rsid w:val="005E5A4D"/>
    <w:rsid w:val="005E5E57"/>
    <w:rsid w:val="005E5EBC"/>
    <w:rsid w:val="005E681B"/>
    <w:rsid w:val="005E68CD"/>
    <w:rsid w:val="005E6C23"/>
    <w:rsid w:val="005E6C56"/>
    <w:rsid w:val="005E6CB5"/>
    <w:rsid w:val="005E70E4"/>
    <w:rsid w:val="005E7256"/>
    <w:rsid w:val="005E7360"/>
    <w:rsid w:val="005E7CC9"/>
    <w:rsid w:val="005E7E3E"/>
    <w:rsid w:val="005F00E9"/>
    <w:rsid w:val="005F04CF"/>
    <w:rsid w:val="005F0614"/>
    <w:rsid w:val="005F081C"/>
    <w:rsid w:val="005F0AF5"/>
    <w:rsid w:val="005F0FA5"/>
    <w:rsid w:val="005F1019"/>
    <w:rsid w:val="005F120E"/>
    <w:rsid w:val="005F1A5E"/>
    <w:rsid w:val="005F1F61"/>
    <w:rsid w:val="005F2650"/>
    <w:rsid w:val="005F291C"/>
    <w:rsid w:val="005F2BAA"/>
    <w:rsid w:val="005F2D63"/>
    <w:rsid w:val="005F2DB0"/>
    <w:rsid w:val="005F3079"/>
    <w:rsid w:val="005F3270"/>
    <w:rsid w:val="005F33B1"/>
    <w:rsid w:val="005F38B4"/>
    <w:rsid w:val="005F3E5C"/>
    <w:rsid w:val="005F41EF"/>
    <w:rsid w:val="005F449F"/>
    <w:rsid w:val="005F44B1"/>
    <w:rsid w:val="005F4820"/>
    <w:rsid w:val="005F52BC"/>
    <w:rsid w:val="005F548F"/>
    <w:rsid w:val="005F5A11"/>
    <w:rsid w:val="005F5DF4"/>
    <w:rsid w:val="005F5DF7"/>
    <w:rsid w:val="005F62AB"/>
    <w:rsid w:val="005F6EA9"/>
    <w:rsid w:val="005F7148"/>
    <w:rsid w:val="005F728E"/>
    <w:rsid w:val="005F7758"/>
    <w:rsid w:val="00600082"/>
    <w:rsid w:val="00600210"/>
    <w:rsid w:val="00600249"/>
    <w:rsid w:val="006008F1"/>
    <w:rsid w:val="0060092C"/>
    <w:rsid w:val="006009E9"/>
    <w:rsid w:val="00600A06"/>
    <w:rsid w:val="00600DB5"/>
    <w:rsid w:val="00601084"/>
    <w:rsid w:val="006012B7"/>
    <w:rsid w:val="006013A1"/>
    <w:rsid w:val="0060167B"/>
    <w:rsid w:val="006018D0"/>
    <w:rsid w:val="00601BDB"/>
    <w:rsid w:val="0060207D"/>
    <w:rsid w:val="0060244E"/>
    <w:rsid w:val="00602B82"/>
    <w:rsid w:val="00602B8B"/>
    <w:rsid w:val="00602DE5"/>
    <w:rsid w:val="00602EE7"/>
    <w:rsid w:val="006033C0"/>
    <w:rsid w:val="006033E7"/>
    <w:rsid w:val="0060340D"/>
    <w:rsid w:val="006039DD"/>
    <w:rsid w:val="00603B87"/>
    <w:rsid w:val="00603D6C"/>
    <w:rsid w:val="00603F50"/>
    <w:rsid w:val="00603F9D"/>
    <w:rsid w:val="00604127"/>
    <w:rsid w:val="0060428B"/>
    <w:rsid w:val="006044CB"/>
    <w:rsid w:val="00604604"/>
    <w:rsid w:val="00604E44"/>
    <w:rsid w:val="00605077"/>
    <w:rsid w:val="00605293"/>
    <w:rsid w:val="00605633"/>
    <w:rsid w:val="00605B5B"/>
    <w:rsid w:val="00605F19"/>
    <w:rsid w:val="00605FF1"/>
    <w:rsid w:val="00606A83"/>
    <w:rsid w:val="00607298"/>
    <w:rsid w:val="00607372"/>
    <w:rsid w:val="00607554"/>
    <w:rsid w:val="0060759B"/>
    <w:rsid w:val="00607768"/>
    <w:rsid w:val="00607A27"/>
    <w:rsid w:val="00607ADF"/>
    <w:rsid w:val="00607C76"/>
    <w:rsid w:val="00607D09"/>
    <w:rsid w:val="00610556"/>
    <w:rsid w:val="006106BF"/>
    <w:rsid w:val="00610795"/>
    <w:rsid w:val="00610935"/>
    <w:rsid w:val="00610948"/>
    <w:rsid w:val="00611012"/>
    <w:rsid w:val="00611079"/>
    <w:rsid w:val="00611331"/>
    <w:rsid w:val="0061139C"/>
    <w:rsid w:val="00611415"/>
    <w:rsid w:val="00611581"/>
    <w:rsid w:val="00611763"/>
    <w:rsid w:val="006118D5"/>
    <w:rsid w:val="0061191C"/>
    <w:rsid w:val="00611F79"/>
    <w:rsid w:val="00612163"/>
    <w:rsid w:val="0061239C"/>
    <w:rsid w:val="00612B2F"/>
    <w:rsid w:val="00612CE9"/>
    <w:rsid w:val="006131EB"/>
    <w:rsid w:val="0061384C"/>
    <w:rsid w:val="00613EE9"/>
    <w:rsid w:val="006145BD"/>
    <w:rsid w:val="006150D5"/>
    <w:rsid w:val="006154C0"/>
    <w:rsid w:val="0061573F"/>
    <w:rsid w:val="00615B01"/>
    <w:rsid w:val="006163DB"/>
    <w:rsid w:val="00616BA8"/>
    <w:rsid w:val="00616EBD"/>
    <w:rsid w:val="0061720D"/>
    <w:rsid w:val="0061733C"/>
    <w:rsid w:val="006173CD"/>
    <w:rsid w:val="0061759B"/>
    <w:rsid w:val="00617996"/>
    <w:rsid w:val="00617BC3"/>
    <w:rsid w:val="00617CB0"/>
    <w:rsid w:val="00617D91"/>
    <w:rsid w:val="00620014"/>
    <w:rsid w:val="0062065D"/>
    <w:rsid w:val="006213D1"/>
    <w:rsid w:val="00621A77"/>
    <w:rsid w:val="00621AE7"/>
    <w:rsid w:val="00621CB1"/>
    <w:rsid w:val="00622190"/>
    <w:rsid w:val="00622228"/>
    <w:rsid w:val="00622465"/>
    <w:rsid w:val="0062289D"/>
    <w:rsid w:val="006229D0"/>
    <w:rsid w:val="00622CA6"/>
    <w:rsid w:val="00623445"/>
    <w:rsid w:val="0062387C"/>
    <w:rsid w:val="00623A26"/>
    <w:rsid w:val="00623F31"/>
    <w:rsid w:val="006247F7"/>
    <w:rsid w:val="00624969"/>
    <w:rsid w:val="00624A6E"/>
    <w:rsid w:val="00624B23"/>
    <w:rsid w:val="00625289"/>
    <w:rsid w:val="0062539A"/>
    <w:rsid w:val="006256C6"/>
    <w:rsid w:val="0062584B"/>
    <w:rsid w:val="00625BAD"/>
    <w:rsid w:val="00625C7C"/>
    <w:rsid w:val="00626061"/>
    <w:rsid w:val="00626577"/>
    <w:rsid w:val="006265A5"/>
    <w:rsid w:val="006269C7"/>
    <w:rsid w:val="00626B54"/>
    <w:rsid w:val="00626CD1"/>
    <w:rsid w:val="00626FB5"/>
    <w:rsid w:val="00627067"/>
    <w:rsid w:val="00627570"/>
    <w:rsid w:val="0062768A"/>
    <w:rsid w:val="00627D57"/>
    <w:rsid w:val="006306A2"/>
    <w:rsid w:val="00630818"/>
    <w:rsid w:val="00630BAF"/>
    <w:rsid w:val="00630BC9"/>
    <w:rsid w:val="00630C94"/>
    <w:rsid w:val="00630D99"/>
    <w:rsid w:val="006310F2"/>
    <w:rsid w:val="006310FE"/>
    <w:rsid w:val="0063176E"/>
    <w:rsid w:val="00631A42"/>
    <w:rsid w:val="00631B7B"/>
    <w:rsid w:val="00632087"/>
    <w:rsid w:val="00632137"/>
    <w:rsid w:val="006328BD"/>
    <w:rsid w:val="00632B64"/>
    <w:rsid w:val="00632CF7"/>
    <w:rsid w:val="00632F8E"/>
    <w:rsid w:val="006333D7"/>
    <w:rsid w:val="006334EC"/>
    <w:rsid w:val="00633919"/>
    <w:rsid w:val="0063396C"/>
    <w:rsid w:val="00634539"/>
    <w:rsid w:val="006349F2"/>
    <w:rsid w:val="00634C8E"/>
    <w:rsid w:val="00634D2C"/>
    <w:rsid w:val="00635232"/>
    <w:rsid w:val="00635464"/>
    <w:rsid w:val="00635ABB"/>
    <w:rsid w:val="00635F06"/>
    <w:rsid w:val="0063611B"/>
    <w:rsid w:val="0063645C"/>
    <w:rsid w:val="006365AB"/>
    <w:rsid w:val="00636665"/>
    <w:rsid w:val="0063667F"/>
    <w:rsid w:val="00636A4A"/>
    <w:rsid w:val="00636AC7"/>
    <w:rsid w:val="00636F38"/>
    <w:rsid w:val="006372CD"/>
    <w:rsid w:val="006373B2"/>
    <w:rsid w:val="00637521"/>
    <w:rsid w:val="00637B7D"/>
    <w:rsid w:val="00637E57"/>
    <w:rsid w:val="0064057F"/>
    <w:rsid w:val="00640AC8"/>
    <w:rsid w:val="00640C02"/>
    <w:rsid w:val="00640E45"/>
    <w:rsid w:val="00640FA6"/>
    <w:rsid w:val="00640FEE"/>
    <w:rsid w:val="006410DE"/>
    <w:rsid w:val="0064131B"/>
    <w:rsid w:val="00641486"/>
    <w:rsid w:val="00641546"/>
    <w:rsid w:val="006417A3"/>
    <w:rsid w:val="006423D6"/>
    <w:rsid w:val="00642EFE"/>
    <w:rsid w:val="0064320E"/>
    <w:rsid w:val="00643BFB"/>
    <w:rsid w:val="00644683"/>
    <w:rsid w:val="00644B98"/>
    <w:rsid w:val="00644BF3"/>
    <w:rsid w:val="006450FB"/>
    <w:rsid w:val="006452EB"/>
    <w:rsid w:val="006453F1"/>
    <w:rsid w:val="00645695"/>
    <w:rsid w:val="006459C0"/>
    <w:rsid w:val="00645E73"/>
    <w:rsid w:val="00645EF6"/>
    <w:rsid w:val="00645F85"/>
    <w:rsid w:val="006461CF"/>
    <w:rsid w:val="006463E3"/>
    <w:rsid w:val="006464E2"/>
    <w:rsid w:val="0064662A"/>
    <w:rsid w:val="00646C1B"/>
    <w:rsid w:val="00647970"/>
    <w:rsid w:val="0064798D"/>
    <w:rsid w:val="00647B31"/>
    <w:rsid w:val="00647FA7"/>
    <w:rsid w:val="00647FE6"/>
    <w:rsid w:val="00650B00"/>
    <w:rsid w:val="00650E5B"/>
    <w:rsid w:val="0065127E"/>
    <w:rsid w:val="0065163F"/>
    <w:rsid w:val="006517D2"/>
    <w:rsid w:val="006518CC"/>
    <w:rsid w:val="00651F10"/>
    <w:rsid w:val="006522ED"/>
    <w:rsid w:val="00653290"/>
    <w:rsid w:val="006535C7"/>
    <w:rsid w:val="006537AC"/>
    <w:rsid w:val="00653870"/>
    <w:rsid w:val="006545E6"/>
    <w:rsid w:val="00654692"/>
    <w:rsid w:val="00654702"/>
    <w:rsid w:val="00654762"/>
    <w:rsid w:val="00654C03"/>
    <w:rsid w:val="0065509C"/>
    <w:rsid w:val="00655520"/>
    <w:rsid w:val="006556EC"/>
    <w:rsid w:val="00655A14"/>
    <w:rsid w:val="00655AD8"/>
    <w:rsid w:val="00655EBD"/>
    <w:rsid w:val="0065603F"/>
    <w:rsid w:val="0065637A"/>
    <w:rsid w:val="006565C5"/>
    <w:rsid w:val="00656AD8"/>
    <w:rsid w:val="00656D05"/>
    <w:rsid w:val="00656D27"/>
    <w:rsid w:val="0065739D"/>
    <w:rsid w:val="0065748A"/>
    <w:rsid w:val="0065748C"/>
    <w:rsid w:val="00657912"/>
    <w:rsid w:val="00660766"/>
    <w:rsid w:val="006607EE"/>
    <w:rsid w:val="0066091F"/>
    <w:rsid w:val="00660A03"/>
    <w:rsid w:val="00660C60"/>
    <w:rsid w:val="0066116D"/>
    <w:rsid w:val="00661975"/>
    <w:rsid w:val="00661F57"/>
    <w:rsid w:val="00661F95"/>
    <w:rsid w:val="0066211B"/>
    <w:rsid w:val="0066255D"/>
    <w:rsid w:val="00662575"/>
    <w:rsid w:val="00662A07"/>
    <w:rsid w:val="00662A2C"/>
    <w:rsid w:val="00662DCE"/>
    <w:rsid w:val="00662FA5"/>
    <w:rsid w:val="006632C8"/>
    <w:rsid w:val="006635B6"/>
    <w:rsid w:val="006639B9"/>
    <w:rsid w:val="00663C35"/>
    <w:rsid w:val="00663CF5"/>
    <w:rsid w:val="00664011"/>
    <w:rsid w:val="00664079"/>
    <w:rsid w:val="0066427B"/>
    <w:rsid w:val="0066475D"/>
    <w:rsid w:val="006648B4"/>
    <w:rsid w:val="00664C02"/>
    <w:rsid w:val="00664E1E"/>
    <w:rsid w:val="00664E7B"/>
    <w:rsid w:val="0066511B"/>
    <w:rsid w:val="0066517A"/>
    <w:rsid w:val="00665341"/>
    <w:rsid w:val="006653FA"/>
    <w:rsid w:val="006654B5"/>
    <w:rsid w:val="00665591"/>
    <w:rsid w:val="00665936"/>
    <w:rsid w:val="00665DA9"/>
    <w:rsid w:val="00666426"/>
    <w:rsid w:val="0066669C"/>
    <w:rsid w:val="00666813"/>
    <w:rsid w:val="00666996"/>
    <w:rsid w:val="00666A2E"/>
    <w:rsid w:val="00666F88"/>
    <w:rsid w:val="00667220"/>
    <w:rsid w:val="00667354"/>
    <w:rsid w:val="00667522"/>
    <w:rsid w:val="006675BD"/>
    <w:rsid w:val="0066781E"/>
    <w:rsid w:val="00667D74"/>
    <w:rsid w:val="006701A4"/>
    <w:rsid w:val="006704F9"/>
    <w:rsid w:val="00670634"/>
    <w:rsid w:val="00670BDC"/>
    <w:rsid w:val="00670DFD"/>
    <w:rsid w:val="006710FD"/>
    <w:rsid w:val="0067121C"/>
    <w:rsid w:val="006713E5"/>
    <w:rsid w:val="006716D5"/>
    <w:rsid w:val="00671957"/>
    <w:rsid w:val="00671A72"/>
    <w:rsid w:val="00671ACF"/>
    <w:rsid w:val="00671F9B"/>
    <w:rsid w:val="00672691"/>
    <w:rsid w:val="006728C0"/>
    <w:rsid w:val="00672D40"/>
    <w:rsid w:val="00672FE1"/>
    <w:rsid w:val="00673156"/>
    <w:rsid w:val="00673237"/>
    <w:rsid w:val="0067336F"/>
    <w:rsid w:val="00673BCD"/>
    <w:rsid w:val="00674402"/>
    <w:rsid w:val="00674560"/>
    <w:rsid w:val="00674F62"/>
    <w:rsid w:val="00675190"/>
    <w:rsid w:val="00675210"/>
    <w:rsid w:val="00675876"/>
    <w:rsid w:val="00675973"/>
    <w:rsid w:val="00675F98"/>
    <w:rsid w:val="0067643D"/>
    <w:rsid w:val="006766DB"/>
    <w:rsid w:val="006767DF"/>
    <w:rsid w:val="00677262"/>
    <w:rsid w:val="006774E6"/>
    <w:rsid w:val="00677994"/>
    <w:rsid w:val="006779D0"/>
    <w:rsid w:val="00677B75"/>
    <w:rsid w:val="00677D54"/>
    <w:rsid w:val="00677DAD"/>
    <w:rsid w:val="00680133"/>
    <w:rsid w:val="0068013C"/>
    <w:rsid w:val="00680143"/>
    <w:rsid w:val="0068041A"/>
    <w:rsid w:val="0068074A"/>
    <w:rsid w:val="00680882"/>
    <w:rsid w:val="0068120C"/>
    <w:rsid w:val="00681351"/>
    <w:rsid w:val="006815DC"/>
    <w:rsid w:val="00681902"/>
    <w:rsid w:val="00681C76"/>
    <w:rsid w:val="006825C4"/>
    <w:rsid w:val="006829E4"/>
    <w:rsid w:val="00682A22"/>
    <w:rsid w:val="00682BBF"/>
    <w:rsid w:val="00683621"/>
    <w:rsid w:val="006837A6"/>
    <w:rsid w:val="0068386E"/>
    <w:rsid w:val="00683B67"/>
    <w:rsid w:val="00684214"/>
    <w:rsid w:val="0068489F"/>
    <w:rsid w:val="006848B0"/>
    <w:rsid w:val="00685073"/>
    <w:rsid w:val="0068568E"/>
    <w:rsid w:val="0068597B"/>
    <w:rsid w:val="00685A46"/>
    <w:rsid w:val="00685D6E"/>
    <w:rsid w:val="006860B0"/>
    <w:rsid w:val="006863C7"/>
    <w:rsid w:val="00686468"/>
    <w:rsid w:val="006866A4"/>
    <w:rsid w:val="00686D22"/>
    <w:rsid w:val="00686EAD"/>
    <w:rsid w:val="00686F80"/>
    <w:rsid w:val="00686FD8"/>
    <w:rsid w:val="00686FE7"/>
    <w:rsid w:val="00687500"/>
    <w:rsid w:val="0068769B"/>
    <w:rsid w:val="00687720"/>
    <w:rsid w:val="0068772C"/>
    <w:rsid w:val="00687E0E"/>
    <w:rsid w:val="00687F62"/>
    <w:rsid w:val="006903B9"/>
    <w:rsid w:val="006905E7"/>
    <w:rsid w:val="0069082E"/>
    <w:rsid w:val="00690C56"/>
    <w:rsid w:val="006913FB"/>
    <w:rsid w:val="00691473"/>
    <w:rsid w:val="0069156D"/>
    <w:rsid w:val="006917D2"/>
    <w:rsid w:val="0069197C"/>
    <w:rsid w:val="00691C88"/>
    <w:rsid w:val="006925BA"/>
    <w:rsid w:val="006928F0"/>
    <w:rsid w:val="00692AD2"/>
    <w:rsid w:val="00692BE1"/>
    <w:rsid w:val="00693138"/>
    <w:rsid w:val="006932D8"/>
    <w:rsid w:val="00693548"/>
    <w:rsid w:val="00693734"/>
    <w:rsid w:val="00693D24"/>
    <w:rsid w:val="00693F00"/>
    <w:rsid w:val="006940B4"/>
    <w:rsid w:val="00694546"/>
    <w:rsid w:val="006951C5"/>
    <w:rsid w:val="006954D6"/>
    <w:rsid w:val="0069571E"/>
    <w:rsid w:val="00695914"/>
    <w:rsid w:val="00695E03"/>
    <w:rsid w:val="00695E57"/>
    <w:rsid w:val="00696122"/>
    <w:rsid w:val="00696127"/>
    <w:rsid w:val="006963C6"/>
    <w:rsid w:val="0069678D"/>
    <w:rsid w:val="00696988"/>
    <w:rsid w:val="00696B36"/>
    <w:rsid w:val="00696C1D"/>
    <w:rsid w:val="006975BB"/>
    <w:rsid w:val="006977B9"/>
    <w:rsid w:val="00697974"/>
    <w:rsid w:val="00697AF2"/>
    <w:rsid w:val="00697DFE"/>
    <w:rsid w:val="006A0146"/>
    <w:rsid w:val="006A0377"/>
    <w:rsid w:val="006A0A76"/>
    <w:rsid w:val="006A0C2E"/>
    <w:rsid w:val="006A15A8"/>
    <w:rsid w:val="006A183C"/>
    <w:rsid w:val="006A188F"/>
    <w:rsid w:val="006A1941"/>
    <w:rsid w:val="006A1B70"/>
    <w:rsid w:val="006A1C33"/>
    <w:rsid w:val="006A1ECD"/>
    <w:rsid w:val="006A1F29"/>
    <w:rsid w:val="006A202F"/>
    <w:rsid w:val="006A276A"/>
    <w:rsid w:val="006A2AE7"/>
    <w:rsid w:val="006A31CF"/>
    <w:rsid w:val="006A3A04"/>
    <w:rsid w:val="006A3A17"/>
    <w:rsid w:val="006A3B4C"/>
    <w:rsid w:val="006A3E51"/>
    <w:rsid w:val="006A3FEF"/>
    <w:rsid w:val="006A40DC"/>
    <w:rsid w:val="006A4782"/>
    <w:rsid w:val="006A48A6"/>
    <w:rsid w:val="006A4A02"/>
    <w:rsid w:val="006A4F30"/>
    <w:rsid w:val="006A5606"/>
    <w:rsid w:val="006A5643"/>
    <w:rsid w:val="006A5914"/>
    <w:rsid w:val="006A5CC2"/>
    <w:rsid w:val="006A6397"/>
    <w:rsid w:val="006A66CB"/>
    <w:rsid w:val="006A67A0"/>
    <w:rsid w:val="006A6FC8"/>
    <w:rsid w:val="006A75DB"/>
    <w:rsid w:val="006A76AF"/>
    <w:rsid w:val="006A790C"/>
    <w:rsid w:val="006A7976"/>
    <w:rsid w:val="006A79D7"/>
    <w:rsid w:val="006A7B4C"/>
    <w:rsid w:val="006A7C66"/>
    <w:rsid w:val="006A7EE1"/>
    <w:rsid w:val="006A7F43"/>
    <w:rsid w:val="006B026A"/>
    <w:rsid w:val="006B0A96"/>
    <w:rsid w:val="006B0D03"/>
    <w:rsid w:val="006B0FDA"/>
    <w:rsid w:val="006B13BC"/>
    <w:rsid w:val="006B1730"/>
    <w:rsid w:val="006B18FA"/>
    <w:rsid w:val="006B190A"/>
    <w:rsid w:val="006B1AC7"/>
    <w:rsid w:val="006B1B9A"/>
    <w:rsid w:val="006B1CAC"/>
    <w:rsid w:val="006B2714"/>
    <w:rsid w:val="006B2732"/>
    <w:rsid w:val="006B28A6"/>
    <w:rsid w:val="006B2AA6"/>
    <w:rsid w:val="006B2B64"/>
    <w:rsid w:val="006B2E1B"/>
    <w:rsid w:val="006B2E9B"/>
    <w:rsid w:val="006B3168"/>
    <w:rsid w:val="006B349C"/>
    <w:rsid w:val="006B3675"/>
    <w:rsid w:val="006B37E0"/>
    <w:rsid w:val="006B3C6A"/>
    <w:rsid w:val="006B3F70"/>
    <w:rsid w:val="006B41ED"/>
    <w:rsid w:val="006B4322"/>
    <w:rsid w:val="006B4E67"/>
    <w:rsid w:val="006B5063"/>
    <w:rsid w:val="006B5325"/>
    <w:rsid w:val="006B57A3"/>
    <w:rsid w:val="006B5CD2"/>
    <w:rsid w:val="006B603A"/>
    <w:rsid w:val="006B613C"/>
    <w:rsid w:val="006B622A"/>
    <w:rsid w:val="006B6449"/>
    <w:rsid w:val="006B6682"/>
    <w:rsid w:val="006B66A5"/>
    <w:rsid w:val="006B6993"/>
    <w:rsid w:val="006B7172"/>
    <w:rsid w:val="006B7436"/>
    <w:rsid w:val="006B75CB"/>
    <w:rsid w:val="006B7B24"/>
    <w:rsid w:val="006B7B45"/>
    <w:rsid w:val="006B7CA3"/>
    <w:rsid w:val="006B7E7D"/>
    <w:rsid w:val="006B7F92"/>
    <w:rsid w:val="006C0359"/>
    <w:rsid w:val="006C038E"/>
    <w:rsid w:val="006C058D"/>
    <w:rsid w:val="006C08FD"/>
    <w:rsid w:val="006C0ADD"/>
    <w:rsid w:val="006C0D0D"/>
    <w:rsid w:val="006C1DF9"/>
    <w:rsid w:val="006C2044"/>
    <w:rsid w:val="006C2378"/>
    <w:rsid w:val="006C255F"/>
    <w:rsid w:val="006C25FA"/>
    <w:rsid w:val="006C2600"/>
    <w:rsid w:val="006C281F"/>
    <w:rsid w:val="006C28B5"/>
    <w:rsid w:val="006C2B8F"/>
    <w:rsid w:val="006C2BDD"/>
    <w:rsid w:val="006C306A"/>
    <w:rsid w:val="006C333C"/>
    <w:rsid w:val="006C3BAD"/>
    <w:rsid w:val="006C3CF2"/>
    <w:rsid w:val="006C4209"/>
    <w:rsid w:val="006C4405"/>
    <w:rsid w:val="006C450A"/>
    <w:rsid w:val="006C45F3"/>
    <w:rsid w:val="006C460D"/>
    <w:rsid w:val="006C4633"/>
    <w:rsid w:val="006C4A89"/>
    <w:rsid w:val="006C5EF4"/>
    <w:rsid w:val="006C6464"/>
    <w:rsid w:val="006C667D"/>
    <w:rsid w:val="006C6C47"/>
    <w:rsid w:val="006C6EC0"/>
    <w:rsid w:val="006C755D"/>
    <w:rsid w:val="006C7934"/>
    <w:rsid w:val="006C7B1F"/>
    <w:rsid w:val="006C7C3D"/>
    <w:rsid w:val="006C7D1E"/>
    <w:rsid w:val="006D01E1"/>
    <w:rsid w:val="006D03EB"/>
    <w:rsid w:val="006D05C5"/>
    <w:rsid w:val="006D0C27"/>
    <w:rsid w:val="006D115A"/>
    <w:rsid w:val="006D1173"/>
    <w:rsid w:val="006D14D2"/>
    <w:rsid w:val="006D1DB1"/>
    <w:rsid w:val="006D2030"/>
    <w:rsid w:val="006D21AA"/>
    <w:rsid w:val="006D2B4F"/>
    <w:rsid w:val="006D2CE6"/>
    <w:rsid w:val="006D2DBA"/>
    <w:rsid w:val="006D2F0D"/>
    <w:rsid w:val="006D2FFD"/>
    <w:rsid w:val="006D394A"/>
    <w:rsid w:val="006D3995"/>
    <w:rsid w:val="006D3E11"/>
    <w:rsid w:val="006D3F08"/>
    <w:rsid w:val="006D42D1"/>
    <w:rsid w:val="006D4B79"/>
    <w:rsid w:val="006D4C89"/>
    <w:rsid w:val="006D505F"/>
    <w:rsid w:val="006D53AB"/>
    <w:rsid w:val="006D571C"/>
    <w:rsid w:val="006D5885"/>
    <w:rsid w:val="006D63DA"/>
    <w:rsid w:val="006D73BE"/>
    <w:rsid w:val="006D76F0"/>
    <w:rsid w:val="006D7889"/>
    <w:rsid w:val="006E00BC"/>
    <w:rsid w:val="006E01B5"/>
    <w:rsid w:val="006E0307"/>
    <w:rsid w:val="006E0598"/>
    <w:rsid w:val="006E05A4"/>
    <w:rsid w:val="006E06F6"/>
    <w:rsid w:val="006E0756"/>
    <w:rsid w:val="006E0A83"/>
    <w:rsid w:val="006E0E68"/>
    <w:rsid w:val="006E1760"/>
    <w:rsid w:val="006E1CE9"/>
    <w:rsid w:val="006E22F2"/>
    <w:rsid w:val="006E24FD"/>
    <w:rsid w:val="006E259A"/>
    <w:rsid w:val="006E25A4"/>
    <w:rsid w:val="006E28B6"/>
    <w:rsid w:val="006E2A99"/>
    <w:rsid w:val="006E2DB2"/>
    <w:rsid w:val="006E310E"/>
    <w:rsid w:val="006E33E4"/>
    <w:rsid w:val="006E3670"/>
    <w:rsid w:val="006E3869"/>
    <w:rsid w:val="006E3B9F"/>
    <w:rsid w:val="006E4189"/>
    <w:rsid w:val="006E4D3A"/>
    <w:rsid w:val="006E50E2"/>
    <w:rsid w:val="006E52D7"/>
    <w:rsid w:val="006E533D"/>
    <w:rsid w:val="006E5470"/>
    <w:rsid w:val="006E5F34"/>
    <w:rsid w:val="006E6878"/>
    <w:rsid w:val="006E6B06"/>
    <w:rsid w:val="006E6B1C"/>
    <w:rsid w:val="006E6B7A"/>
    <w:rsid w:val="006E6F65"/>
    <w:rsid w:val="006E7212"/>
    <w:rsid w:val="006E7666"/>
    <w:rsid w:val="006E767F"/>
    <w:rsid w:val="006E7A27"/>
    <w:rsid w:val="006E7B00"/>
    <w:rsid w:val="006E7DC0"/>
    <w:rsid w:val="006F0709"/>
    <w:rsid w:val="006F0CA1"/>
    <w:rsid w:val="006F14E5"/>
    <w:rsid w:val="006F157C"/>
    <w:rsid w:val="006F1AC2"/>
    <w:rsid w:val="006F1BBB"/>
    <w:rsid w:val="006F1C1F"/>
    <w:rsid w:val="006F1D4A"/>
    <w:rsid w:val="006F2563"/>
    <w:rsid w:val="006F2635"/>
    <w:rsid w:val="006F26AA"/>
    <w:rsid w:val="006F29FE"/>
    <w:rsid w:val="006F3368"/>
    <w:rsid w:val="006F33DB"/>
    <w:rsid w:val="006F367C"/>
    <w:rsid w:val="006F3789"/>
    <w:rsid w:val="006F37FA"/>
    <w:rsid w:val="006F3EC2"/>
    <w:rsid w:val="006F3F39"/>
    <w:rsid w:val="006F4157"/>
    <w:rsid w:val="006F4E84"/>
    <w:rsid w:val="006F4EE5"/>
    <w:rsid w:val="006F5739"/>
    <w:rsid w:val="006F5C27"/>
    <w:rsid w:val="006F622F"/>
    <w:rsid w:val="006F6420"/>
    <w:rsid w:val="006F65A0"/>
    <w:rsid w:val="006F6796"/>
    <w:rsid w:val="006F70CF"/>
    <w:rsid w:val="006F7260"/>
    <w:rsid w:val="006F7A55"/>
    <w:rsid w:val="007000ED"/>
    <w:rsid w:val="007003E9"/>
    <w:rsid w:val="007006FC"/>
    <w:rsid w:val="00700765"/>
    <w:rsid w:val="00700CDD"/>
    <w:rsid w:val="00700F2A"/>
    <w:rsid w:val="00701213"/>
    <w:rsid w:val="007019D4"/>
    <w:rsid w:val="00701BB8"/>
    <w:rsid w:val="00701F06"/>
    <w:rsid w:val="00702239"/>
    <w:rsid w:val="00702A86"/>
    <w:rsid w:val="00702B9E"/>
    <w:rsid w:val="00703188"/>
    <w:rsid w:val="007031BB"/>
    <w:rsid w:val="007032FE"/>
    <w:rsid w:val="00703470"/>
    <w:rsid w:val="00703471"/>
    <w:rsid w:val="00703E3F"/>
    <w:rsid w:val="0070426B"/>
    <w:rsid w:val="007046A4"/>
    <w:rsid w:val="0070485A"/>
    <w:rsid w:val="00704D0E"/>
    <w:rsid w:val="00704E80"/>
    <w:rsid w:val="00704FFE"/>
    <w:rsid w:val="00705282"/>
    <w:rsid w:val="007052DB"/>
    <w:rsid w:val="007053BA"/>
    <w:rsid w:val="007059E2"/>
    <w:rsid w:val="00705A60"/>
    <w:rsid w:val="00705B4C"/>
    <w:rsid w:val="00705B56"/>
    <w:rsid w:val="00705B88"/>
    <w:rsid w:val="00705F16"/>
    <w:rsid w:val="00705F7B"/>
    <w:rsid w:val="00705FA6"/>
    <w:rsid w:val="007061AB"/>
    <w:rsid w:val="00706493"/>
    <w:rsid w:val="00706738"/>
    <w:rsid w:val="0070699A"/>
    <w:rsid w:val="00706D7C"/>
    <w:rsid w:val="00707213"/>
    <w:rsid w:val="00707240"/>
    <w:rsid w:val="007074B0"/>
    <w:rsid w:val="007074CB"/>
    <w:rsid w:val="00707627"/>
    <w:rsid w:val="00707BCA"/>
    <w:rsid w:val="00707E0B"/>
    <w:rsid w:val="007100A0"/>
    <w:rsid w:val="0071022D"/>
    <w:rsid w:val="007105E0"/>
    <w:rsid w:val="00710B5A"/>
    <w:rsid w:val="00710BCD"/>
    <w:rsid w:val="00710E4F"/>
    <w:rsid w:val="00711115"/>
    <w:rsid w:val="0071122C"/>
    <w:rsid w:val="007113C0"/>
    <w:rsid w:val="007115E8"/>
    <w:rsid w:val="00711AF9"/>
    <w:rsid w:val="00711D63"/>
    <w:rsid w:val="00711DE1"/>
    <w:rsid w:val="00711FB4"/>
    <w:rsid w:val="007125CC"/>
    <w:rsid w:val="007128E0"/>
    <w:rsid w:val="00712B04"/>
    <w:rsid w:val="00712B8A"/>
    <w:rsid w:val="00712D58"/>
    <w:rsid w:val="00712EB4"/>
    <w:rsid w:val="00713323"/>
    <w:rsid w:val="007137E2"/>
    <w:rsid w:val="00713A28"/>
    <w:rsid w:val="00713CF1"/>
    <w:rsid w:val="00714497"/>
    <w:rsid w:val="00714A63"/>
    <w:rsid w:val="00714A69"/>
    <w:rsid w:val="00714C72"/>
    <w:rsid w:val="00714EB8"/>
    <w:rsid w:val="00715741"/>
    <w:rsid w:val="0071585B"/>
    <w:rsid w:val="00715988"/>
    <w:rsid w:val="00715CF4"/>
    <w:rsid w:val="00715F74"/>
    <w:rsid w:val="00716048"/>
    <w:rsid w:val="007163E0"/>
    <w:rsid w:val="00716921"/>
    <w:rsid w:val="0071711E"/>
    <w:rsid w:val="00717252"/>
    <w:rsid w:val="007172DB"/>
    <w:rsid w:val="007177CE"/>
    <w:rsid w:val="007179A1"/>
    <w:rsid w:val="00717CC8"/>
    <w:rsid w:val="00717E57"/>
    <w:rsid w:val="00720034"/>
    <w:rsid w:val="0072012E"/>
    <w:rsid w:val="00720268"/>
    <w:rsid w:val="0072032D"/>
    <w:rsid w:val="007209E0"/>
    <w:rsid w:val="0072113A"/>
    <w:rsid w:val="00721178"/>
    <w:rsid w:val="00721334"/>
    <w:rsid w:val="0072179E"/>
    <w:rsid w:val="00721CBA"/>
    <w:rsid w:val="00721D58"/>
    <w:rsid w:val="00721DB5"/>
    <w:rsid w:val="00721DE5"/>
    <w:rsid w:val="0072244F"/>
    <w:rsid w:val="007229A6"/>
    <w:rsid w:val="00722BFB"/>
    <w:rsid w:val="00722EA2"/>
    <w:rsid w:val="0072306A"/>
    <w:rsid w:val="007231C2"/>
    <w:rsid w:val="0072382E"/>
    <w:rsid w:val="00723C25"/>
    <w:rsid w:val="007241B3"/>
    <w:rsid w:val="007242A9"/>
    <w:rsid w:val="00724828"/>
    <w:rsid w:val="00724867"/>
    <w:rsid w:val="00724B77"/>
    <w:rsid w:val="00724C23"/>
    <w:rsid w:val="007257FA"/>
    <w:rsid w:val="00725851"/>
    <w:rsid w:val="00725853"/>
    <w:rsid w:val="00725967"/>
    <w:rsid w:val="00725C7C"/>
    <w:rsid w:val="00725EE3"/>
    <w:rsid w:val="0072601F"/>
    <w:rsid w:val="00726DA3"/>
    <w:rsid w:val="00726E9E"/>
    <w:rsid w:val="007273BD"/>
    <w:rsid w:val="0072744F"/>
    <w:rsid w:val="007276B4"/>
    <w:rsid w:val="00727AC3"/>
    <w:rsid w:val="00727E39"/>
    <w:rsid w:val="007300DF"/>
    <w:rsid w:val="007305FC"/>
    <w:rsid w:val="00730657"/>
    <w:rsid w:val="00730CF3"/>
    <w:rsid w:val="007311A0"/>
    <w:rsid w:val="00731388"/>
    <w:rsid w:val="0073157C"/>
    <w:rsid w:val="0073172D"/>
    <w:rsid w:val="0073195A"/>
    <w:rsid w:val="00731B32"/>
    <w:rsid w:val="00732043"/>
    <w:rsid w:val="0073251B"/>
    <w:rsid w:val="00732619"/>
    <w:rsid w:val="00732DDE"/>
    <w:rsid w:val="00732F42"/>
    <w:rsid w:val="0073339C"/>
    <w:rsid w:val="0073375A"/>
    <w:rsid w:val="00733A1D"/>
    <w:rsid w:val="00733DA4"/>
    <w:rsid w:val="00734570"/>
    <w:rsid w:val="007346C3"/>
    <w:rsid w:val="0073497A"/>
    <w:rsid w:val="00734B11"/>
    <w:rsid w:val="00734E8B"/>
    <w:rsid w:val="007351EE"/>
    <w:rsid w:val="00735652"/>
    <w:rsid w:val="00735AED"/>
    <w:rsid w:val="00735BCC"/>
    <w:rsid w:val="00735C54"/>
    <w:rsid w:val="00735F46"/>
    <w:rsid w:val="00735FB0"/>
    <w:rsid w:val="007360F8"/>
    <w:rsid w:val="007362E7"/>
    <w:rsid w:val="00736821"/>
    <w:rsid w:val="00736828"/>
    <w:rsid w:val="00736FBE"/>
    <w:rsid w:val="007374E2"/>
    <w:rsid w:val="00737659"/>
    <w:rsid w:val="00737716"/>
    <w:rsid w:val="00740292"/>
    <w:rsid w:val="0074032D"/>
    <w:rsid w:val="00740D5A"/>
    <w:rsid w:val="007414F6"/>
    <w:rsid w:val="007415F9"/>
    <w:rsid w:val="0074162F"/>
    <w:rsid w:val="00741818"/>
    <w:rsid w:val="00741B03"/>
    <w:rsid w:val="00741B15"/>
    <w:rsid w:val="0074227E"/>
    <w:rsid w:val="0074250E"/>
    <w:rsid w:val="00742620"/>
    <w:rsid w:val="00742764"/>
    <w:rsid w:val="00742A3E"/>
    <w:rsid w:val="0074321D"/>
    <w:rsid w:val="007436D9"/>
    <w:rsid w:val="00743817"/>
    <w:rsid w:val="00743CD3"/>
    <w:rsid w:val="00743E25"/>
    <w:rsid w:val="007448C8"/>
    <w:rsid w:val="00744BC4"/>
    <w:rsid w:val="00744EDC"/>
    <w:rsid w:val="00744F3B"/>
    <w:rsid w:val="0074502E"/>
    <w:rsid w:val="00745056"/>
    <w:rsid w:val="007451AD"/>
    <w:rsid w:val="00745C9C"/>
    <w:rsid w:val="00745E64"/>
    <w:rsid w:val="0074651E"/>
    <w:rsid w:val="007467E2"/>
    <w:rsid w:val="00746A60"/>
    <w:rsid w:val="007471F4"/>
    <w:rsid w:val="007471FE"/>
    <w:rsid w:val="007473F4"/>
    <w:rsid w:val="00747504"/>
    <w:rsid w:val="007476AF"/>
    <w:rsid w:val="00747924"/>
    <w:rsid w:val="00747AC8"/>
    <w:rsid w:val="00747C64"/>
    <w:rsid w:val="0075034D"/>
    <w:rsid w:val="00750520"/>
    <w:rsid w:val="007505E9"/>
    <w:rsid w:val="00750B00"/>
    <w:rsid w:val="00750C94"/>
    <w:rsid w:val="00750CC3"/>
    <w:rsid w:val="00750DBC"/>
    <w:rsid w:val="007510D7"/>
    <w:rsid w:val="00751B2C"/>
    <w:rsid w:val="0075230D"/>
    <w:rsid w:val="00752523"/>
    <w:rsid w:val="00752A14"/>
    <w:rsid w:val="00752A43"/>
    <w:rsid w:val="00753046"/>
    <w:rsid w:val="007531B1"/>
    <w:rsid w:val="0075325E"/>
    <w:rsid w:val="00753435"/>
    <w:rsid w:val="00753716"/>
    <w:rsid w:val="0075375F"/>
    <w:rsid w:val="00753CFC"/>
    <w:rsid w:val="00753DF7"/>
    <w:rsid w:val="00754072"/>
    <w:rsid w:val="00754487"/>
    <w:rsid w:val="007546A4"/>
    <w:rsid w:val="00754B60"/>
    <w:rsid w:val="00754D90"/>
    <w:rsid w:val="00755487"/>
    <w:rsid w:val="00755656"/>
    <w:rsid w:val="007559D7"/>
    <w:rsid w:val="00755BAA"/>
    <w:rsid w:val="00755BEE"/>
    <w:rsid w:val="00755C55"/>
    <w:rsid w:val="00755D20"/>
    <w:rsid w:val="0075662B"/>
    <w:rsid w:val="00756DDA"/>
    <w:rsid w:val="0075736F"/>
    <w:rsid w:val="007574F6"/>
    <w:rsid w:val="007575FD"/>
    <w:rsid w:val="00757796"/>
    <w:rsid w:val="00757973"/>
    <w:rsid w:val="00757C79"/>
    <w:rsid w:val="00757CE8"/>
    <w:rsid w:val="0076041C"/>
    <w:rsid w:val="00760628"/>
    <w:rsid w:val="00760A1A"/>
    <w:rsid w:val="007611F1"/>
    <w:rsid w:val="00761C90"/>
    <w:rsid w:val="00761FAF"/>
    <w:rsid w:val="00762215"/>
    <w:rsid w:val="00762372"/>
    <w:rsid w:val="00763235"/>
    <w:rsid w:val="0076349A"/>
    <w:rsid w:val="0076357D"/>
    <w:rsid w:val="00763760"/>
    <w:rsid w:val="00763AA1"/>
    <w:rsid w:val="00763D7F"/>
    <w:rsid w:val="00763DA7"/>
    <w:rsid w:val="0076435E"/>
    <w:rsid w:val="007645A0"/>
    <w:rsid w:val="00764C3D"/>
    <w:rsid w:val="00764FA1"/>
    <w:rsid w:val="007653BF"/>
    <w:rsid w:val="00765407"/>
    <w:rsid w:val="0076565E"/>
    <w:rsid w:val="0076612C"/>
    <w:rsid w:val="007664AD"/>
    <w:rsid w:val="007665EE"/>
    <w:rsid w:val="00766782"/>
    <w:rsid w:val="0076697C"/>
    <w:rsid w:val="00766D74"/>
    <w:rsid w:val="0076702F"/>
    <w:rsid w:val="00767430"/>
    <w:rsid w:val="00767A44"/>
    <w:rsid w:val="00767A76"/>
    <w:rsid w:val="00767EA2"/>
    <w:rsid w:val="007702E8"/>
    <w:rsid w:val="00770369"/>
    <w:rsid w:val="007707BB"/>
    <w:rsid w:val="00770843"/>
    <w:rsid w:val="007716F6"/>
    <w:rsid w:val="00771AEA"/>
    <w:rsid w:val="00771D9D"/>
    <w:rsid w:val="00771DD7"/>
    <w:rsid w:val="00772634"/>
    <w:rsid w:val="0077274B"/>
    <w:rsid w:val="007733AC"/>
    <w:rsid w:val="00773A85"/>
    <w:rsid w:val="00773ACC"/>
    <w:rsid w:val="00773B70"/>
    <w:rsid w:val="00773E84"/>
    <w:rsid w:val="00774217"/>
    <w:rsid w:val="00774439"/>
    <w:rsid w:val="00774520"/>
    <w:rsid w:val="007747D0"/>
    <w:rsid w:val="00774802"/>
    <w:rsid w:val="00774E34"/>
    <w:rsid w:val="00774EC1"/>
    <w:rsid w:val="007752CD"/>
    <w:rsid w:val="00775332"/>
    <w:rsid w:val="00775D85"/>
    <w:rsid w:val="00775DBF"/>
    <w:rsid w:val="007760B2"/>
    <w:rsid w:val="0077681C"/>
    <w:rsid w:val="0077710E"/>
    <w:rsid w:val="007773F7"/>
    <w:rsid w:val="00777780"/>
    <w:rsid w:val="007777C9"/>
    <w:rsid w:val="007803E6"/>
    <w:rsid w:val="00780555"/>
    <w:rsid w:val="00780771"/>
    <w:rsid w:val="00780AFA"/>
    <w:rsid w:val="00780BAA"/>
    <w:rsid w:val="0078137A"/>
    <w:rsid w:val="00781A43"/>
    <w:rsid w:val="007820CF"/>
    <w:rsid w:val="0078236E"/>
    <w:rsid w:val="007826D2"/>
    <w:rsid w:val="00782D21"/>
    <w:rsid w:val="00782DDA"/>
    <w:rsid w:val="007833A4"/>
    <w:rsid w:val="007834A1"/>
    <w:rsid w:val="00783524"/>
    <w:rsid w:val="007837D2"/>
    <w:rsid w:val="0078388C"/>
    <w:rsid w:val="00783C71"/>
    <w:rsid w:val="00783CBA"/>
    <w:rsid w:val="00784026"/>
    <w:rsid w:val="007841E0"/>
    <w:rsid w:val="0078458E"/>
    <w:rsid w:val="007845EA"/>
    <w:rsid w:val="00784615"/>
    <w:rsid w:val="0078474A"/>
    <w:rsid w:val="007848E2"/>
    <w:rsid w:val="00784A73"/>
    <w:rsid w:val="00784ACB"/>
    <w:rsid w:val="00784DAF"/>
    <w:rsid w:val="007853E3"/>
    <w:rsid w:val="00785447"/>
    <w:rsid w:val="00785526"/>
    <w:rsid w:val="00785687"/>
    <w:rsid w:val="0078595D"/>
    <w:rsid w:val="00785E92"/>
    <w:rsid w:val="00786174"/>
    <w:rsid w:val="007861D1"/>
    <w:rsid w:val="0078621C"/>
    <w:rsid w:val="00786279"/>
    <w:rsid w:val="0078689F"/>
    <w:rsid w:val="00786F29"/>
    <w:rsid w:val="00787605"/>
    <w:rsid w:val="0078793B"/>
    <w:rsid w:val="00787D55"/>
    <w:rsid w:val="00787D91"/>
    <w:rsid w:val="00790071"/>
    <w:rsid w:val="007900DC"/>
    <w:rsid w:val="0079016C"/>
    <w:rsid w:val="0079062A"/>
    <w:rsid w:val="0079077B"/>
    <w:rsid w:val="007908EF"/>
    <w:rsid w:val="00790958"/>
    <w:rsid w:val="007909BB"/>
    <w:rsid w:val="00790CB5"/>
    <w:rsid w:val="00790CD9"/>
    <w:rsid w:val="00790D21"/>
    <w:rsid w:val="00790F8D"/>
    <w:rsid w:val="007910A2"/>
    <w:rsid w:val="0079124F"/>
    <w:rsid w:val="007914C1"/>
    <w:rsid w:val="00791A42"/>
    <w:rsid w:val="00791ADA"/>
    <w:rsid w:val="00791C65"/>
    <w:rsid w:val="00792399"/>
    <w:rsid w:val="00792678"/>
    <w:rsid w:val="007929CF"/>
    <w:rsid w:val="007931FB"/>
    <w:rsid w:val="0079349A"/>
    <w:rsid w:val="007938E5"/>
    <w:rsid w:val="00793BE0"/>
    <w:rsid w:val="007947C1"/>
    <w:rsid w:val="00794E2D"/>
    <w:rsid w:val="007956EE"/>
    <w:rsid w:val="00795B5F"/>
    <w:rsid w:val="00795CB1"/>
    <w:rsid w:val="00795CE3"/>
    <w:rsid w:val="00795DB4"/>
    <w:rsid w:val="0079649E"/>
    <w:rsid w:val="00796C6F"/>
    <w:rsid w:val="0079700B"/>
    <w:rsid w:val="00797154"/>
    <w:rsid w:val="007971A8"/>
    <w:rsid w:val="00797E6C"/>
    <w:rsid w:val="007A009E"/>
    <w:rsid w:val="007A0106"/>
    <w:rsid w:val="007A0B00"/>
    <w:rsid w:val="007A103A"/>
    <w:rsid w:val="007A1094"/>
    <w:rsid w:val="007A1658"/>
    <w:rsid w:val="007A1A52"/>
    <w:rsid w:val="007A20B3"/>
    <w:rsid w:val="007A21A3"/>
    <w:rsid w:val="007A22BA"/>
    <w:rsid w:val="007A22E0"/>
    <w:rsid w:val="007A2C5E"/>
    <w:rsid w:val="007A354D"/>
    <w:rsid w:val="007A3DF9"/>
    <w:rsid w:val="007A421F"/>
    <w:rsid w:val="007A4290"/>
    <w:rsid w:val="007A4755"/>
    <w:rsid w:val="007A4AC4"/>
    <w:rsid w:val="007A4AC9"/>
    <w:rsid w:val="007A4AEA"/>
    <w:rsid w:val="007A4E5E"/>
    <w:rsid w:val="007A4F51"/>
    <w:rsid w:val="007A5673"/>
    <w:rsid w:val="007A58A0"/>
    <w:rsid w:val="007A5AB7"/>
    <w:rsid w:val="007A5B53"/>
    <w:rsid w:val="007A5C7A"/>
    <w:rsid w:val="007A622F"/>
    <w:rsid w:val="007A6322"/>
    <w:rsid w:val="007A63C4"/>
    <w:rsid w:val="007A6620"/>
    <w:rsid w:val="007A6724"/>
    <w:rsid w:val="007A6E0F"/>
    <w:rsid w:val="007A6FD8"/>
    <w:rsid w:val="007A7057"/>
    <w:rsid w:val="007A70C1"/>
    <w:rsid w:val="007A7574"/>
    <w:rsid w:val="007A7591"/>
    <w:rsid w:val="007A7798"/>
    <w:rsid w:val="007A7916"/>
    <w:rsid w:val="007A7DDA"/>
    <w:rsid w:val="007A7FC0"/>
    <w:rsid w:val="007B00BE"/>
    <w:rsid w:val="007B0744"/>
    <w:rsid w:val="007B0CFE"/>
    <w:rsid w:val="007B0D89"/>
    <w:rsid w:val="007B0E88"/>
    <w:rsid w:val="007B12CB"/>
    <w:rsid w:val="007B17B3"/>
    <w:rsid w:val="007B1EF2"/>
    <w:rsid w:val="007B227F"/>
    <w:rsid w:val="007B2332"/>
    <w:rsid w:val="007B2D37"/>
    <w:rsid w:val="007B30B4"/>
    <w:rsid w:val="007B3309"/>
    <w:rsid w:val="007B3465"/>
    <w:rsid w:val="007B34AF"/>
    <w:rsid w:val="007B37D5"/>
    <w:rsid w:val="007B3BDA"/>
    <w:rsid w:val="007B3E49"/>
    <w:rsid w:val="007B48E3"/>
    <w:rsid w:val="007B4A56"/>
    <w:rsid w:val="007B4C3D"/>
    <w:rsid w:val="007B4D47"/>
    <w:rsid w:val="007B4FBD"/>
    <w:rsid w:val="007B5200"/>
    <w:rsid w:val="007B5411"/>
    <w:rsid w:val="007B54D4"/>
    <w:rsid w:val="007B54F3"/>
    <w:rsid w:val="007B55B6"/>
    <w:rsid w:val="007B596E"/>
    <w:rsid w:val="007B5A79"/>
    <w:rsid w:val="007B6116"/>
    <w:rsid w:val="007B6552"/>
    <w:rsid w:val="007B68B4"/>
    <w:rsid w:val="007B69BE"/>
    <w:rsid w:val="007B7776"/>
    <w:rsid w:val="007B7A1B"/>
    <w:rsid w:val="007B7FB1"/>
    <w:rsid w:val="007C0466"/>
    <w:rsid w:val="007C0B1D"/>
    <w:rsid w:val="007C102D"/>
    <w:rsid w:val="007C10F8"/>
    <w:rsid w:val="007C1192"/>
    <w:rsid w:val="007C1529"/>
    <w:rsid w:val="007C17C0"/>
    <w:rsid w:val="007C19D4"/>
    <w:rsid w:val="007C1BF3"/>
    <w:rsid w:val="007C1CDF"/>
    <w:rsid w:val="007C2522"/>
    <w:rsid w:val="007C2525"/>
    <w:rsid w:val="007C2888"/>
    <w:rsid w:val="007C2B5B"/>
    <w:rsid w:val="007C330C"/>
    <w:rsid w:val="007C35E9"/>
    <w:rsid w:val="007C36B6"/>
    <w:rsid w:val="007C3E08"/>
    <w:rsid w:val="007C3F2F"/>
    <w:rsid w:val="007C4E1C"/>
    <w:rsid w:val="007C4F15"/>
    <w:rsid w:val="007C5DB1"/>
    <w:rsid w:val="007C603B"/>
    <w:rsid w:val="007C6247"/>
    <w:rsid w:val="007C6F31"/>
    <w:rsid w:val="007C6F9C"/>
    <w:rsid w:val="007C7438"/>
    <w:rsid w:val="007C7A7B"/>
    <w:rsid w:val="007C7FD2"/>
    <w:rsid w:val="007D0EE0"/>
    <w:rsid w:val="007D110E"/>
    <w:rsid w:val="007D136F"/>
    <w:rsid w:val="007D15F6"/>
    <w:rsid w:val="007D18AD"/>
    <w:rsid w:val="007D1953"/>
    <w:rsid w:val="007D19A1"/>
    <w:rsid w:val="007D1BE6"/>
    <w:rsid w:val="007D222E"/>
    <w:rsid w:val="007D24B1"/>
    <w:rsid w:val="007D28DF"/>
    <w:rsid w:val="007D2D59"/>
    <w:rsid w:val="007D2EE5"/>
    <w:rsid w:val="007D31C2"/>
    <w:rsid w:val="007D362B"/>
    <w:rsid w:val="007D3846"/>
    <w:rsid w:val="007D385B"/>
    <w:rsid w:val="007D3F5E"/>
    <w:rsid w:val="007D410F"/>
    <w:rsid w:val="007D4436"/>
    <w:rsid w:val="007D44C5"/>
    <w:rsid w:val="007D4617"/>
    <w:rsid w:val="007D49A1"/>
    <w:rsid w:val="007D4BC1"/>
    <w:rsid w:val="007D4E59"/>
    <w:rsid w:val="007D4E86"/>
    <w:rsid w:val="007D5043"/>
    <w:rsid w:val="007D54CB"/>
    <w:rsid w:val="007D5B75"/>
    <w:rsid w:val="007D5E6F"/>
    <w:rsid w:val="007D5F60"/>
    <w:rsid w:val="007D61AB"/>
    <w:rsid w:val="007D66A3"/>
    <w:rsid w:val="007D6EF5"/>
    <w:rsid w:val="007D7265"/>
    <w:rsid w:val="007D750E"/>
    <w:rsid w:val="007D7712"/>
    <w:rsid w:val="007D7D48"/>
    <w:rsid w:val="007E01EC"/>
    <w:rsid w:val="007E03A6"/>
    <w:rsid w:val="007E075F"/>
    <w:rsid w:val="007E08BE"/>
    <w:rsid w:val="007E08C2"/>
    <w:rsid w:val="007E0D5B"/>
    <w:rsid w:val="007E0FBA"/>
    <w:rsid w:val="007E11A8"/>
    <w:rsid w:val="007E1489"/>
    <w:rsid w:val="007E16C2"/>
    <w:rsid w:val="007E1735"/>
    <w:rsid w:val="007E1814"/>
    <w:rsid w:val="007E1995"/>
    <w:rsid w:val="007E1E37"/>
    <w:rsid w:val="007E2427"/>
    <w:rsid w:val="007E2870"/>
    <w:rsid w:val="007E2BB8"/>
    <w:rsid w:val="007E2E29"/>
    <w:rsid w:val="007E3258"/>
    <w:rsid w:val="007E350C"/>
    <w:rsid w:val="007E37CD"/>
    <w:rsid w:val="007E3800"/>
    <w:rsid w:val="007E39A6"/>
    <w:rsid w:val="007E3A9B"/>
    <w:rsid w:val="007E3D87"/>
    <w:rsid w:val="007E3DCA"/>
    <w:rsid w:val="007E3FD1"/>
    <w:rsid w:val="007E4010"/>
    <w:rsid w:val="007E4038"/>
    <w:rsid w:val="007E4512"/>
    <w:rsid w:val="007E4677"/>
    <w:rsid w:val="007E4C6E"/>
    <w:rsid w:val="007E4DA3"/>
    <w:rsid w:val="007E4DC9"/>
    <w:rsid w:val="007E4FC5"/>
    <w:rsid w:val="007E5226"/>
    <w:rsid w:val="007E53B3"/>
    <w:rsid w:val="007E5424"/>
    <w:rsid w:val="007E5AE1"/>
    <w:rsid w:val="007E5F1D"/>
    <w:rsid w:val="007E63D5"/>
    <w:rsid w:val="007E6511"/>
    <w:rsid w:val="007E6607"/>
    <w:rsid w:val="007E66A3"/>
    <w:rsid w:val="007E68D8"/>
    <w:rsid w:val="007E6DEA"/>
    <w:rsid w:val="007E72A2"/>
    <w:rsid w:val="007E7A0F"/>
    <w:rsid w:val="007E7A90"/>
    <w:rsid w:val="007E7A9E"/>
    <w:rsid w:val="007E7D9C"/>
    <w:rsid w:val="007E7EBF"/>
    <w:rsid w:val="007F0897"/>
    <w:rsid w:val="007F0B63"/>
    <w:rsid w:val="007F127C"/>
    <w:rsid w:val="007F1517"/>
    <w:rsid w:val="007F16FE"/>
    <w:rsid w:val="007F177B"/>
    <w:rsid w:val="007F1F87"/>
    <w:rsid w:val="007F1FF0"/>
    <w:rsid w:val="007F2159"/>
    <w:rsid w:val="007F275B"/>
    <w:rsid w:val="007F2D34"/>
    <w:rsid w:val="007F38A0"/>
    <w:rsid w:val="007F39A8"/>
    <w:rsid w:val="007F3B5F"/>
    <w:rsid w:val="007F3EE4"/>
    <w:rsid w:val="007F3F07"/>
    <w:rsid w:val="007F4AFA"/>
    <w:rsid w:val="007F531F"/>
    <w:rsid w:val="007F5425"/>
    <w:rsid w:val="007F555A"/>
    <w:rsid w:val="007F56A2"/>
    <w:rsid w:val="007F5F5D"/>
    <w:rsid w:val="007F6455"/>
    <w:rsid w:val="007F651F"/>
    <w:rsid w:val="007F67D7"/>
    <w:rsid w:val="007F6BAC"/>
    <w:rsid w:val="007F6BF3"/>
    <w:rsid w:val="007F6D4B"/>
    <w:rsid w:val="007F6ECC"/>
    <w:rsid w:val="007F71CF"/>
    <w:rsid w:val="007F73CC"/>
    <w:rsid w:val="007F7A2A"/>
    <w:rsid w:val="007F7BD1"/>
    <w:rsid w:val="007F7C8F"/>
    <w:rsid w:val="007F7DD9"/>
    <w:rsid w:val="007F7E1C"/>
    <w:rsid w:val="0080022B"/>
    <w:rsid w:val="00800855"/>
    <w:rsid w:val="00800C70"/>
    <w:rsid w:val="00801053"/>
    <w:rsid w:val="00801148"/>
    <w:rsid w:val="008011A2"/>
    <w:rsid w:val="0080121D"/>
    <w:rsid w:val="0080156B"/>
    <w:rsid w:val="00801736"/>
    <w:rsid w:val="00801C58"/>
    <w:rsid w:val="00801F8C"/>
    <w:rsid w:val="00802074"/>
    <w:rsid w:val="00802D16"/>
    <w:rsid w:val="00803239"/>
    <w:rsid w:val="008039E0"/>
    <w:rsid w:val="00803A36"/>
    <w:rsid w:val="00803A69"/>
    <w:rsid w:val="00803C9E"/>
    <w:rsid w:val="00804110"/>
    <w:rsid w:val="00804462"/>
    <w:rsid w:val="00804998"/>
    <w:rsid w:val="00804A73"/>
    <w:rsid w:val="00804D81"/>
    <w:rsid w:val="00804DAB"/>
    <w:rsid w:val="00805DF4"/>
    <w:rsid w:val="00805EB3"/>
    <w:rsid w:val="008060F4"/>
    <w:rsid w:val="0080612C"/>
    <w:rsid w:val="008069C2"/>
    <w:rsid w:val="00806CFD"/>
    <w:rsid w:val="00806DED"/>
    <w:rsid w:val="0080735A"/>
    <w:rsid w:val="00807528"/>
    <w:rsid w:val="008075F6"/>
    <w:rsid w:val="00807B02"/>
    <w:rsid w:val="00807C38"/>
    <w:rsid w:val="00807C3F"/>
    <w:rsid w:val="008102A4"/>
    <w:rsid w:val="008105C4"/>
    <w:rsid w:val="00810658"/>
    <w:rsid w:val="00810AF6"/>
    <w:rsid w:val="0081102B"/>
    <w:rsid w:val="00811132"/>
    <w:rsid w:val="0081116B"/>
    <w:rsid w:val="008111FD"/>
    <w:rsid w:val="00811403"/>
    <w:rsid w:val="008115D4"/>
    <w:rsid w:val="0081164C"/>
    <w:rsid w:val="0081189D"/>
    <w:rsid w:val="00811DDC"/>
    <w:rsid w:val="00811FD8"/>
    <w:rsid w:val="008121E0"/>
    <w:rsid w:val="00812352"/>
    <w:rsid w:val="00812609"/>
    <w:rsid w:val="008127AB"/>
    <w:rsid w:val="0081296D"/>
    <w:rsid w:val="00812AD7"/>
    <w:rsid w:val="00812B9E"/>
    <w:rsid w:val="00812D57"/>
    <w:rsid w:val="0081326B"/>
    <w:rsid w:val="008132FC"/>
    <w:rsid w:val="00813755"/>
    <w:rsid w:val="00813C6F"/>
    <w:rsid w:val="00813DC5"/>
    <w:rsid w:val="00814A1E"/>
    <w:rsid w:val="00814CF7"/>
    <w:rsid w:val="008151CD"/>
    <w:rsid w:val="00815444"/>
    <w:rsid w:val="008154B3"/>
    <w:rsid w:val="00815614"/>
    <w:rsid w:val="008156CE"/>
    <w:rsid w:val="008164EE"/>
    <w:rsid w:val="00816BD9"/>
    <w:rsid w:val="00816EA1"/>
    <w:rsid w:val="00817031"/>
    <w:rsid w:val="00817565"/>
    <w:rsid w:val="00817912"/>
    <w:rsid w:val="00817953"/>
    <w:rsid w:val="00817980"/>
    <w:rsid w:val="008200D4"/>
    <w:rsid w:val="0082011D"/>
    <w:rsid w:val="0082054D"/>
    <w:rsid w:val="008206C8"/>
    <w:rsid w:val="008209BE"/>
    <w:rsid w:val="00820B66"/>
    <w:rsid w:val="00820FB0"/>
    <w:rsid w:val="00820FD8"/>
    <w:rsid w:val="00821579"/>
    <w:rsid w:val="00821826"/>
    <w:rsid w:val="00821A41"/>
    <w:rsid w:val="00821EDB"/>
    <w:rsid w:val="00821F8D"/>
    <w:rsid w:val="008224E9"/>
    <w:rsid w:val="00822D8A"/>
    <w:rsid w:val="00823106"/>
    <w:rsid w:val="0082392F"/>
    <w:rsid w:val="00823CF8"/>
    <w:rsid w:val="00823F1D"/>
    <w:rsid w:val="00823F59"/>
    <w:rsid w:val="008244E2"/>
    <w:rsid w:val="008246E0"/>
    <w:rsid w:val="00824DDB"/>
    <w:rsid w:val="00824E06"/>
    <w:rsid w:val="00824F5A"/>
    <w:rsid w:val="00825116"/>
    <w:rsid w:val="00825163"/>
    <w:rsid w:val="0082536C"/>
    <w:rsid w:val="00825390"/>
    <w:rsid w:val="00825629"/>
    <w:rsid w:val="00825773"/>
    <w:rsid w:val="00825778"/>
    <w:rsid w:val="008258B6"/>
    <w:rsid w:val="00825980"/>
    <w:rsid w:val="00825A3F"/>
    <w:rsid w:val="00825C4B"/>
    <w:rsid w:val="008266D8"/>
    <w:rsid w:val="00826AC4"/>
    <w:rsid w:val="00826D82"/>
    <w:rsid w:val="008273BF"/>
    <w:rsid w:val="008276AC"/>
    <w:rsid w:val="008279B2"/>
    <w:rsid w:val="00827B4B"/>
    <w:rsid w:val="00827CF0"/>
    <w:rsid w:val="00827FBE"/>
    <w:rsid w:val="00830A00"/>
    <w:rsid w:val="00830B7A"/>
    <w:rsid w:val="00830E04"/>
    <w:rsid w:val="00831288"/>
    <w:rsid w:val="0083149D"/>
    <w:rsid w:val="00831575"/>
    <w:rsid w:val="00831A57"/>
    <w:rsid w:val="00831E7B"/>
    <w:rsid w:val="008321B7"/>
    <w:rsid w:val="0083225B"/>
    <w:rsid w:val="008328DB"/>
    <w:rsid w:val="00832C00"/>
    <w:rsid w:val="00832EF3"/>
    <w:rsid w:val="00833402"/>
    <w:rsid w:val="00833525"/>
    <w:rsid w:val="0083417A"/>
    <w:rsid w:val="00834607"/>
    <w:rsid w:val="0083460E"/>
    <w:rsid w:val="008346B0"/>
    <w:rsid w:val="008348B4"/>
    <w:rsid w:val="008348E1"/>
    <w:rsid w:val="00834F64"/>
    <w:rsid w:val="0083520C"/>
    <w:rsid w:val="00835509"/>
    <w:rsid w:val="00835789"/>
    <w:rsid w:val="008359B5"/>
    <w:rsid w:val="00835D80"/>
    <w:rsid w:val="00835F69"/>
    <w:rsid w:val="008361AD"/>
    <w:rsid w:val="008364CB"/>
    <w:rsid w:val="008368C8"/>
    <w:rsid w:val="00836B9F"/>
    <w:rsid w:val="00837012"/>
    <w:rsid w:val="0083739B"/>
    <w:rsid w:val="0083747E"/>
    <w:rsid w:val="00837617"/>
    <w:rsid w:val="00837D46"/>
    <w:rsid w:val="008401CE"/>
    <w:rsid w:val="0084049B"/>
    <w:rsid w:val="00840F48"/>
    <w:rsid w:val="008410B2"/>
    <w:rsid w:val="008418EC"/>
    <w:rsid w:val="00842042"/>
    <w:rsid w:val="0084250D"/>
    <w:rsid w:val="0084252D"/>
    <w:rsid w:val="008429AE"/>
    <w:rsid w:val="00842AF1"/>
    <w:rsid w:val="00842C32"/>
    <w:rsid w:val="00842EF1"/>
    <w:rsid w:val="00842F33"/>
    <w:rsid w:val="008431C8"/>
    <w:rsid w:val="008438CD"/>
    <w:rsid w:val="00843CFD"/>
    <w:rsid w:val="00843DB2"/>
    <w:rsid w:val="00844305"/>
    <w:rsid w:val="0084430A"/>
    <w:rsid w:val="0084432B"/>
    <w:rsid w:val="008446EC"/>
    <w:rsid w:val="0084512A"/>
    <w:rsid w:val="008453B6"/>
    <w:rsid w:val="008456CC"/>
    <w:rsid w:val="008457D3"/>
    <w:rsid w:val="0084591F"/>
    <w:rsid w:val="00845B48"/>
    <w:rsid w:val="00846005"/>
    <w:rsid w:val="0084651C"/>
    <w:rsid w:val="0084674F"/>
    <w:rsid w:val="0084696E"/>
    <w:rsid w:val="00846A7C"/>
    <w:rsid w:val="00846AE2"/>
    <w:rsid w:val="00846E18"/>
    <w:rsid w:val="00847043"/>
    <w:rsid w:val="008470B6"/>
    <w:rsid w:val="008473C3"/>
    <w:rsid w:val="0084758C"/>
    <w:rsid w:val="008476EE"/>
    <w:rsid w:val="008479BD"/>
    <w:rsid w:val="00847AF1"/>
    <w:rsid w:val="00847B93"/>
    <w:rsid w:val="00847F09"/>
    <w:rsid w:val="008501E5"/>
    <w:rsid w:val="00850671"/>
    <w:rsid w:val="00850E5B"/>
    <w:rsid w:val="00850E68"/>
    <w:rsid w:val="00850F0C"/>
    <w:rsid w:val="00851122"/>
    <w:rsid w:val="00851398"/>
    <w:rsid w:val="008514D2"/>
    <w:rsid w:val="0085189E"/>
    <w:rsid w:val="008519FC"/>
    <w:rsid w:val="00851B47"/>
    <w:rsid w:val="00851CB8"/>
    <w:rsid w:val="008522F7"/>
    <w:rsid w:val="0085252F"/>
    <w:rsid w:val="00852884"/>
    <w:rsid w:val="008529FD"/>
    <w:rsid w:val="008533E7"/>
    <w:rsid w:val="00853B37"/>
    <w:rsid w:val="00854220"/>
    <w:rsid w:val="00854253"/>
    <w:rsid w:val="008543B9"/>
    <w:rsid w:val="0085474A"/>
    <w:rsid w:val="00854789"/>
    <w:rsid w:val="00854CE2"/>
    <w:rsid w:val="008554A4"/>
    <w:rsid w:val="00855590"/>
    <w:rsid w:val="008556BF"/>
    <w:rsid w:val="008559AD"/>
    <w:rsid w:val="00855AAC"/>
    <w:rsid w:val="00855EB2"/>
    <w:rsid w:val="00856180"/>
    <w:rsid w:val="0085625E"/>
    <w:rsid w:val="008563B2"/>
    <w:rsid w:val="008565DF"/>
    <w:rsid w:val="00856796"/>
    <w:rsid w:val="00857EBF"/>
    <w:rsid w:val="00857ED2"/>
    <w:rsid w:val="008600F5"/>
    <w:rsid w:val="0086046C"/>
    <w:rsid w:val="008606DE"/>
    <w:rsid w:val="00860822"/>
    <w:rsid w:val="0086093D"/>
    <w:rsid w:val="008609FA"/>
    <w:rsid w:val="00860D99"/>
    <w:rsid w:val="00861D65"/>
    <w:rsid w:val="008621B9"/>
    <w:rsid w:val="008624A7"/>
    <w:rsid w:val="0086273F"/>
    <w:rsid w:val="00862BB8"/>
    <w:rsid w:val="00863257"/>
    <w:rsid w:val="00863545"/>
    <w:rsid w:val="008636E2"/>
    <w:rsid w:val="00863A3D"/>
    <w:rsid w:val="00863C31"/>
    <w:rsid w:val="00863CA2"/>
    <w:rsid w:val="00864224"/>
    <w:rsid w:val="0086547A"/>
    <w:rsid w:val="008658BE"/>
    <w:rsid w:val="00866003"/>
    <w:rsid w:val="00866599"/>
    <w:rsid w:val="008666F6"/>
    <w:rsid w:val="00866970"/>
    <w:rsid w:val="00866CA7"/>
    <w:rsid w:val="00866E08"/>
    <w:rsid w:val="00866E28"/>
    <w:rsid w:val="00866F2A"/>
    <w:rsid w:val="0086716C"/>
    <w:rsid w:val="0086750E"/>
    <w:rsid w:val="008675ED"/>
    <w:rsid w:val="00867C61"/>
    <w:rsid w:val="00870723"/>
    <w:rsid w:val="0087085D"/>
    <w:rsid w:val="00870A47"/>
    <w:rsid w:val="00870C40"/>
    <w:rsid w:val="008719EA"/>
    <w:rsid w:val="00871AE0"/>
    <w:rsid w:val="00871C02"/>
    <w:rsid w:val="00871C9B"/>
    <w:rsid w:val="00871E6B"/>
    <w:rsid w:val="00871F65"/>
    <w:rsid w:val="008721C7"/>
    <w:rsid w:val="0087222F"/>
    <w:rsid w:val="008722AE"/>
    <w:rsid w:val="008728A2"/>
    <w:rsid w:val="00872C5D"/>
    <w:rsid w:val="00873275"/>
    <w:rsid w:val="008732D3"/>
    <w:rsid w:val="0087337B"/>
    <w:rsid w:val="008736DB"/>
    <w:rsid w:val="00873856"/>
    <w:rsid w:val="00873DA8"/>
    <w:rsid w:val="00873F9C"/>
    <w:rsid w:val="0087411A"/>
    <w:rsid w:val="00874258"/>
    <w:rsid w:val="00874411"/>
    <w:rsid w:val="00874421"/>
    <w:rsid w:val="008751A3"/>
    <w:rsid w:val="00875211"/>
    <w:rsid w:val="00875239"/>
    <w:rsid w:val="00875273"/>
    <w:rsid w:val="008752D9"/>
    <w:rsid w:val="008754F4"/>
    <w:rsid w:val="00875C48"/>
    <w:rsid w:val="00875DED"/>
    <w:rsid w:val="00875EFD"/>
    <w:rsid w:val="008763D3"/>
    <w:rsid w:val="00876F68"/>
    <w:rsid w:val="008770F5"/>
    <w:rsid w:val="00877C10"/>
    <w:rsid w:val="00877CE6"/>
    <w:rsid w:val="00877D87"/>
    <w:rsid w:val="00877EF1"/>
    <w:rsid w:val="00880035"/>
    <w:rsid w:val="00880366"/>
    <w:rsid w:val="00880B98"/>
    <w:rsid w:val="008812A9"/>
    <w:rsid w:val="0088154B"/>
    <w:rsid w:val="00881898"/>
    <w:rsid w:val="00881CE7"/>
    <w:rsid w:val="00882157"/>
    <w:rsid w:val="00882404"/>
    <w:rsid w:val="008824CD"/>
    <w:rsid w:val="00882534"/>
    <w:rsid w:val="00883058"/>
    <w:rsid w:val="00883135"/>
    <w:rsid w:val="00883398"/>
    <w:rsid w:val="0088346D"/>
    <w:rsid w:val="00883E11"/>
    <w:rsid w:val="00883EC4"/>
    <w:rsid w:val="00883FF1"/>
    <w:rsid w:val="0088436E"/>
    <w:rsid w:val="00884517"/>
    <w:rsid w:val="00884748"/>
    <w:rsid w:val="008848A3"/>
    <w:rsid w:val="00884E25"/>
    <w:rsid w:val="0088563C"/>
    <w:rsid w:val="008858F7"/>
    <w:rsid w:val="00885907"/>
    <w:rsid w:val="00885967"/>
    <w:rsid w:val="00885E7A"/>
    <w:rsid w:val="00885F3B"/>
    <w:rsid w:val="008860A9"/>
    <w:rsid w:val="00886644"/>
    <w:rsid w:val="00886721"/>
    <w:rsid w:val="00886A0D"/>
    <w:rsid w:val="00886ACB"/>
    <w:rsid w:val="00886AEC"/>
    <w:rsid w:val="0088717F"/>
    <w:rsid w:val="00887228"/>
    <w:rsid w:val="008875B2"/>
    <w:rsid w:val="008879E8"/>
    <w:rsid w:val="00887E94"/>
    <w:rsid w:val="0089015D"/>
    <w:rsid w:val="008904D4"/>
    <w:rsid w:val="00890797"/>
    <w:rsid w:val="00890821"/>
    <w:rsid w:val="008908D8"/>
    <w:rsid w:val="0089094B"/>
    <w:rsid w:val="00890F88"/>
    <w:rsid w:val="00891281"/>
    <w:rsid w:val="00891306"/>
    <w:rsid w:val="008915FD"/>
    <w:rsid w:val="00891835"/>
    <w:rsid w:val="00891BD5"/>
    <w:rsid w:val="0089226C"/>
    <w:rsid w:val="008924DD"/>
    <w:rsid w:val="00892529"/>
    <w:rsid w:val="008925AE"/>
    <w:rsid w:val="00892824"/>
    <w:rsid w:val="008928DD"/>
    <w:rsid w:val="008928FC"/>
    <w:rsid w:val="00892DD0"/>
    <w:rsid w:val="00892DE7"/>
    <w:rsid w:val="008933D8"/>
    <w:rsid w:val="008936BE"/>
    <w:rsid w:val="008939FD"/>
    <w:rsid w:val="00893B1B"/>
    <w:rsid w:val="00893B5B"/>
    <w:rsid w:val="00893D9C"/>
    <w:rsid w:val="00893F87"/>
    <w:rsid w:val="00893FC7"/>
    <w:rsid w:val="00894318"/>
    <w:rsid w:val="00894345"/>
    <w:rsid w:val="0089440A"/>
    <w:rsid w:val="008944DB"/>
    <w:rsid w:val="00894BFF"/>
    <w:rsid w:val="00894CEE"/>
    <w:rsid w:val="00894CF5"/>
    <w:rsid w:val="00894D79"/>
    <w:rsid w:val="00894DAA"/>
    <w:rsid w:val="00894EA0"/>
    <w:rsid w:val="00895442"/>
    <w:rsid w:val="008954CB"/>
    <w:rsid w:val="00895631"/>
    <w:rsid w:val="0089577B"/>
    <w:rsid w:val="00895F84"/>
    <w:rsid w:val="00895FE0"/>
    <w:rsid w:val="0089620B"/>
    <w:rsid w:val="00896E61"/>
    <w:rsid w:val="0089708C"/>
    <w:rsid w:val="008971E0"/>
    <w:rsid w:val="0089737C"/>
    <w:rsid w:val="008973A1"/>
    <w:rsid w:val="00897682"/>
    <w:rsid w:val="00897CE6"/>
    <w:rsid w:val="00897D91"/>
    <w:rsid w:val="008A0211"/>
    <w:rsid w:val="008A0381"/>
    <w:rsid w:val="008A05BE"/>
    <w:rsid w:val="008A06B5"/>
    <w:rsid w:val="008A09E8"/>
    <w:rsid w:val="008A0A0C"/>
    <w:rsid w:val="008A0D37"/>
    <w:rsid w:val="008A0EA2"/>
    <w:rsid w:val="008A0F8D"/>
    <w:rsid w:val="008A14BD"/>
    <w:rsid w:val="008A1BF2"/>
    <w:rsid w:val="008A1D2B"/>
    <w:rsid w:val="008A1E22"/>
    <w:rsid w:val="008A2046"/>
    <w:rsid w:val="008A3426"/>
    <w:rsid w:val="008A372F"/>
    <w:rsid w:val="008A3986"/>
    <w:rsid w:val="008A39EC"/>
    <w:rsid w:val="008A3B87"/>
    <w:rsid w:val="008A4074"/>
    <w:rsid w:val="008A43CD"/>
    <w:rsid w:val="008A443D"/>
    <w:rsid w:val="008A4A31"/>
    <w:rsid w:val="008A4AA9"/>
    <w:rsid w:val="008A4B31"/>
    <w:rsid w:val="008A4E5D"/>
    <w:rsid w:val="008A5007"/>
    <w:rsid w:val="008A56B1"/>
    <w:rsid w:val="008A5B83"/>
    <w:rsid w:val="008A5CF8"/>
    <w:rsid w:val="008A5E4B"/>
    <w:rsid w:val="008A6064"/>
    <w:rsid w:val="008A61AB"/>
    <w:rsid w:val="008A6429"/>
    <w:rsid w:val="008A6CE6"/>
    <w:rsid w:val="008A70D7"/>
    <w:rsid w:val="008A7419"/>
    <w:rsid w:val="008A778D"/>
    <w:rsid w:val="008A79BF"/>
    <w:rsid w:val="008A7A52"/>
    <w:rsid w:val="008A7E0A"/>
    <w:rsid w:val="008A7EE0"/>
    <w:rsid w:val="008A7F83"/>
    <w:rsid w:val="008B0152"/>
    <w:rsid w:val="008B0408"/>
    <w:rsid w:val="008B0BD3"/>
    <w:rsid w:val="008B1375"/>
    <w:rsid w:val="008B233A"/>
    <w:rsid w:val="008B248B"/>
    <w:rsid w:val="008B2499"/>
    <w:rsid w:val="008B2797"/>
    <w:rsid w:val="008B28C7"/>
    <w:rsid w:val="008B2E74"/>
    <w:rsid w:val="008B2F19"/>
    <w:rsid w:val="008B3210"/>
    <w:rsid w:val="008B344A"/>
    <w:rsid w:val="008B3749"/>
    <w:rsid w:val="008B394B"/>
    <w:rsid w:val="008B3D2C"/>
    <w:rsid w:val="008B3D87"/>
    <w:rsid w:val="008B4013"/>
    <w:rsid w:val="008B4A95"/>
    <w:rsid w:val="008B4FC4"/>
    <w:rsid w:val="008B5EFD"/>
    <w:rsid w:val="008B6936"/>
    <w:rsid w:val="008B6B4E"/>
    <w:rsid w:val="008B6C6B"/>
    <w:rsid w:val="008B6D15"/>
    <w:rsid w:val="008B772F"/>
    <w:rsid w:val="008B782D"/>
    <w:rsid w:val="008B79DD"/>
    <w:rsid w:val="008B7B44"/>
    <w:rsid w:val="008C0093"/>
    <w:rsid w:val="008C009F"/>
    <w:rsid w:val="008C02C8"/>
    <w:rsid w:val="008C0345"/>
    <w:rsid w:val="008C0372"/>
    <w:rsid w:val="008C0BC8"/>
    <w:rsid w:val="008C0FDE"/>
    <w:rsid w:val="008C1145"/>
    <w:rsid w:val="008C1231"/>
    <w:rsid w:val="008C12F0"/>
    <w:rsid w:val="008C1904"/>
    <w:rsid w:val="008C1A62"/>
    <w:rsid w:val="008C2057"/>
    <w:rsid w:val="008C23DC"/>
    <w:rsid w:val="008C26BA"/>
    <w:rsid w:val="008C2727"/>
    <w:rsid w:val="008C28E2"/>
    <w:rsid w:val="008C3697"/>
    <w:rsid w:val="008C3801"/>
    <w:rsid w:val="008C398F"/>
    <w:rsid w:val="008C3D6C"/>
    <w:rsid w:val="008C3F87"/>
    <w:rsid w:val="008C4489"/>
    <w:rsid w:val="008C4595"/>
    <w:rsid w:val="008C480D"/>
    <w:rsid w:val="008C4887"/>
    <w:rsid w:val="008C4AF5"/>
    <w:rsid w:val="008C4B8B"/>
    <w:rsid w:val="008C4EF4"/>
    <w:rsid w:val="008C5040"/>
    <w:rsid w:val="008C5117"/>
    <w:rsid w:val="008C5270"/>
    <w:rsid w:val="008C5303"/>
    <w:rsid w:val="008C565D"/>
    <w:rsid w:val="008C5F25"/>
    <w:rsid w:val="008C6058"/>
    <w:rsid w:val="008C62FF"/>
    <w:rsid w:val="008C6367"/>
    <w:rsid w:val="008C6842"/>
    <w:rsid w:val="008C68C8"/>
    <w:rsid w:val="008C6B2A"/>
    <w:rsid w:val="008C6C3C"/>
    <w:rsid w:val="008C70C8"/>
    <w:rsid w:val="008C7493"/>
    <w:rsid w:val="008C7B87"/>
    <w:rsid w:val="008C7CFC"/>
    <w:rsid w:val="008D03A2"/>
    <w:rsid w:val="008D0607"/>
    <w:rsid w:val="008D0C1C"/>
    <w:rsid w:val="008D0E45"/>
    <w:rsid w:val="008D1081"/>
    <w:rsid w:val="008D109C"/>
    <w:rsid w:val="008D14A9"/>
    <w:rsid w:val="008D1731"/>
    <w:rsid w:val="008D190E"/>
    <w:rsid w:val="008D2BF2"/>
    <w:rsid w:val="008D33F3"/>
    <w:rsid w:val="008D3794"/>
    <w:rsid w:val="008D3B86"/>
    <w:rsid w:val="008D3FC6"/>
    <w:rsid w:val="008D4622"/>
    <w:rsid w:val="008D4960"/>
    <w:rsid w:val="008D544C"/>
    <w:rsid w:val="008D55BA"/>
    <w:rsid w:val="008D5FC6"/>
    <w:rsid w:val="008D60F4"/>
    <w:rsid w:val="008D6335"/>
    <w:rsid w:val="008D6340"/>
    <w:rsid w:val="008D66C2"/>
    <w:rsid w:val="008D672B"/>
    <w:rsid w:val="008D6E05"/>
    <w:rsid w:val="008D74F2"/>
    <w:rsid w:val="008D75BD"/>
    <w:rsid w:val="008D75EC"/>
    <w:rsid w:val="008D799D"/>
    <w:rsid w:val="008D79C3"/>
    <w:rsid w:val="008D7B80"/>
    <w:rsid w:val="008E045F"/>
    <w:rsid w:val="008E0550"/>
    <w:rsid w:val="008E0677"/>
    <w:rsid w:val="008E07C9"/>
    <w:rsid w:val="008E0AD0"/>
    <w:rsid w:val="008E0AF2"/>
    <w:rsid w:val="008E0DB8"/>
    <w:rsid w:val="008E0E49"/>
    <w:rsid w:val="008E1434"/>
    <w:rsid w:val="008E15C3"/>
    <w:rsid w:val="008E1907"/>
    <w:rsid w:val="008E1A2F"/>
    <w:rsid w:val="008E29E4"/>
    <w:rsid w:val="008E2D56"/>
    <w:rsid w:val="008E32D9"/>
    <w:rsid w:val="008E32F0"/>
    <w:rsid w:val="008E3A52"/>
    <w:rsid w:val="008E3BC2"/>
    <w:rsid w:val="008E3D90"/>
    <w:rsid w:val="008E40AA"/>
    <w:rsid w:val="008E40CC"/>
    <w:rsid w:val="008E451B"/>
    <w:rsid w:val="008E4587"/>
    <w:rsid w:val="008E4892"/>
    <w:rsid w:val="008E4A28"/>
    <w:rsid w:val="008E4C08"/>
    <w:rsid w:val="008E511D"/>
    <w:rsid w:val="008E551D"/>
    <w:rsid w:val="008E5630"/>
    <w:rsid w:val="008E5AE1"/>
    <w:rsid w:val="008E5FF9"/>
    <w:rsid w:val="008E63C1"/>
    <w:rsid w:val="008E6528"/>
    <w:rsid w:val="008E6613"/>
    <w:rsid w:val="008E6AFD"/>
    <w:rsid w:val="008E6D37"/>
    <w:rsid w:val="008E6F2F"/>
    <w:rsid w:val="008E7175"/>
    <w:rsid w:val="008E73C3"/>
    <w:rsid w:val="008E7A9A"/>
    <w:rsid w:val="008E7AAF"/>
    <w:rsid w:val="008E7FD1"/>
    <w:rsid w:val="008F03B3"/>
    <w:rsid w:val="008F0574"/>
    <w:rsid w:val="008F06B8"/>
    <w:rsid w:val="008F085B"/>
    <w:rsid w:val="008F08C4"/>
    <w:rsid w:val="008F099F"/>
    <w:rsid w:val="008F0F82"/>
    <w:rsid w:val="008F1245"/>
    <w:rsid w:val="008F1720"/>
    <w:rsid w:val="008F22E7"/>
    <w:rsid w:val="008F2338"/>
    <w:rsid w:val="008F2402"/>
    <w:rsid w:val="008F26A3"/>
    <w:rsid w:val="008F276B"/>
    <w:rsid w:val="008F2868"/>
    <w:rsid w:val="008F29FE"/>
    <w:rsid w:val="008F31F0"/>
    <w:rsid w:val="008F3999"/>
    <w:rsid w:val="008F3D30"/>
    <w:rsid w:val="008F3E1A"/>
    <w:rsid w:val="008F3E84"/>
    <w:rsid w:val="008F493E"/>
    <w:rsid w:val="008F4CEC"/>
    <w:rsid w:val="008F4DD3"/>
    <w:rsid w:val="008F4EA8"/>
    <w:rsid w:val="008F52F7"/>
    <w:rsid w:val="008F5543"/>
    <w:rsid w:val="008F56EC"/>
    <w:rsid w:val="008F56FD"/>
    <w:rsid w:val="008F57EF"/>
    <w:rsid w:val="008F5962"/>
    <w:rsid w:val="008F6209"/>
    <w:rsid w:val="008F62B2"/>
    <w:rsid w:val="008F62CE"/>
    <w:rsid w:val="008F6553"/>
    <w:rsid w:val="008F694F"/>
    <w:rsid w:val="008F6B2E"/>
    <w:rsid w:val="008F6DEF"/>
    <w:rsid w:val="008F7082"/>
    <w:rsid w:val="008F755A"/>
    <w:rsid w:val="008F78CC"/>
    <w:rsid w:val="008F7A79"/>
    <w:rsid w:val="008F7AA1"/>
    <w:rsid w:val="008F7B22"/>
    <w:rsid w:val="008F7BB0"/>
    <w:rsid w:val="008F7DBF"/>
    <w:rsid w:val="0090025D"/>
    <w:rsid w:val="00900969"/>
    <w:rsid w:val="00900A11"/>
    <w:rsid w:val="00900E36"/>
    <w:rsid w:val="00900E91"/>
    <w:rsid w:val="009019FD"/>
    <w:rsid w:val="00901D6D"/>
    <w:rsid w:val="00901DEB"/>
    <w:rsid w:val="00902566"/>
    <w:rsid w:val="0090263C"/>
    <w:rsid w:val="00902838"/>
    <w:rsid w:val="009028F0"/>
    <w:rsid w:val="00902A82"/>
    <w:rsid w:val="00902C88"/>
    <w:rsid w:val="00903382"/>
    <w:rsid w:val="009036FA"/>
    <w:rsid w:val="00903709"/>
    <w:rsid w:val="00904344"/>
    <w:rsid w:val="009045D0"/>
    <w:rsid w:val="00904754"/>
    <w:rsid w:val="00904A60"/>
    <w:rsid w:val="00904E19"/>
    <w:rsid w:val="009052B4"/>
    <w:rsid w:val="00905365"/>
    <w:rsid w:val="00905D24"/>
    <w:rsid w:val="00905F89"/>
    <w:rsid w:val="0090612A"/>
    <w:rsid w:val="00906640"/>
    <w:rsid w:val="009068CE"/>
    <w:rsid w:val="00906BDB"/>
    <w:rsid w:val="00906FAB"/>
    <w:rsid w:val="00907143"/>
    <w:rsid w:val="00907174"/>
    <w:rsid w:val="00910719"/>
    <w:rsid w:val="0091105F"/>
    <w:rsid w:val="00911097"/>
    <w:rsid w:val="0091114D"/>
    <w:rsid w:val="00911846"/>
    <w:rsid w:val="00911BA1"/>
    <w:rsid w:val="0091213A"/>
    <w:rsid w:val="009129A2"/>
    <w:rsid w:val="00912BFE"/>
    <w:rsid w:val="00912C9B"/>
    <w:rsid w:val="0091304F"/>
    <w:rsid w:val="009135A0"/>
    <w:rsid w:val="009136B9"/>
    <w:rsid w:val="0091381E"/>
    <w:rsid w:val="009138AC"/>
    <w:rsid w:val="00913AC5"/>
    <w:rsid w:val="00913DE6"/>
    <w:rsid w:val="00914042"/>
    <w:rsid w:val="009141B9"/>
    <w:rsid w:val="009142F5"/>
    <w:rsid w:val="0091453D"/>
    <w:rsid w:val="00915E9F"/>
    <w:rsid w:val="00915F83"/>
    <w:rsid w:val="009160D4"/>
    <w:rsid w:val="0091635E"/>
    <w:rsid w:val="0091693E"/>
    <w:rsid w:val="00916A83"/>
    <w:rsid w:val="00916CD7"/>
    <w:rsid w:val="00916F27"/>
    <w:rsid w:val="00916F5A"/>
    <w:rsid w:val="00916F8F"/>
    <w:rsid w:val="0091702E"/>
    <w:rsid w:val="009170E2"/>
    <w:rsid w:val="00917181"/>
    <w:rsid w:val="00917234"/>
    <w:rsid w:val="009173A1"/>
    <w:rsid w:val="0091749F"/>
    <w:rsid w:val="00917592"/>
    <w:rsid w:val="0091782A"/>
    <w:rsid w:val="00917B00"/>
    <w:rsid w:val="009200EE"/>
    <w:rsid w:val="009202F7"/>
    <w:rsid w:val="00920343"/>
    <w:rsid w:val="009203FB"/>
    <w:rsid w:val="009204F5"/>
    <w:rsid w:val="00920756"/>
    <w:rsid w:val="009208BE"/>
    <w:rsid w:val="009208D6"/>
    <w:rsid w:val="0092130B"/>
    <w:rsid w:val="009215F5"/>
    <w:rsid w:val="009223FA"/>
    <w:rsid w:val="009224BA"/>
    <w:rsid w:val="00922573"/>
    <w:rsid w:val="0092261B"/>
    <w:rsid w:val="009229BB"/>
    <w:rsid w:val="009229D3"/>
    <w:rsid w:val="00922B64"/>
    <w:rsid w:val="00922D9B"/>
    <w:rsid w:val="00922F02"/>
    <w:rsid w:val="00922F5D"/>
    <w:rsid w:val="009230DC"/>
    <w:rsid w:val="009235B7"/>
    <w:rsid w:val="00924102"/>
    <w:rsid w:val="00924442"/>
    <w:rsid w:val="00924BDF"/>
    <w:rsid w:val="009250F8"/>
    <w:rsid w:val="009251E7"/>
    <w:rsid w:val="00925725"/>
    <w:rsid w:val="00925C5D"/>
    <w:rsid w:val="00925C69"/>
    <w:rsid w:val="00925E8F"/>
    <w:rsid w:val="00925F21"/>
    <w:rsid w:val="00926499"/>
    <w:rsid w:val="0092654E"/>
    <w:rsid w:val="0092674F"/>
    <w:rsid w:val="0092690A"/>
    <w:rsid w:val="00926946"/>
    <w:rsid w:val="00926995"/>
    <w:rsid w:val="00926BFA"/>
    <w:rsid w:val="0092757B"/>
    <w:rsid w:val="009278FB"/>
    <w:rsid w:val="00927D5D"/>
    <w:rsid w:val="0093007E"/>
    <w:rsid w:val="009300E0"/>
    <w:rsid w:val="00930308"/>
    <w:rsid w:val="0093030F"/>
    <w:rsid w:val="009303F8"/>
    <w:rsid w:val="00930427"/>
    <w:rsid w:val="009306B6"/>
    <w:rsid w:val="0093098E"/>
    <w:rsid w:val="0093165B"/>
    <w:rsid w:val="00931972"/>
    <w:rsid w:val="009319DB"/>
    <w:rsid w:val="00931FF3"/>
    <w:rsid w:val="00933061"/>
    <w:rsid w:val="00933B48"/>
    <w:rsid w:val="00933F39"/>
    <w:rsid w:val="00934307"/>
    <w:rsid w:val="00934952"/>
    <w:rsid w:val="00934E41"/>
    <w:rsid w:val="00935183"/>
    <w:rsid w:val="0093538B"/>
    <w:rsid w:val="00935887"/>
    <w:rsid w:val="00936192"/>
    <w:rsid w:val="009362ED"/>
    <w:rsid w:val="0093689C"/>
    <w:rsid w:val="00936993"/>
    <w:rsid w:val="00936B12"/>
    <w:rsid w:val="00936B5B"/>
    <w:rsid w:val="00936B6F"/>
    <w:rsid w:val="00936FA5"/>
    <w:rsid w:val="00936FC8"/>
    <w:rsid w:val="00937185"/>
    <w:rsid w:val="00937190"/>
    <w:rsid w:val="009371F1"/>
    <w:rsid w:val="009373C8"/>
    <w:rsid w:val="00937F71"/>
    <w:rsid w:val="0094017A"/>
    <w:rsid w:val="00940447"/>
    <w:rsid w:val="00940464"/>
    <w:rsid w:val="00940515"/>
    <w:rsid w:val="00940B4B"/>
    <w:rsid w:val="00940B78"/>
    <w:rsid w:val="00940B89"/>
    <w:rsid w:val="00940EE8"/>
    <w:rsid w:val="00941256"/>
    <w:rsid w:val="00941300"/>
    <w:rsid w:val="009413C4"/>
    <w:rsid w:val="00941E7E"/>
    <w:rsid w:val="00942080"/>
    <w:rsid w:val="009421FD"/>
    <w:rsid w:val="009422B4"/>
    <w:rsid w:val="00942374"/>
    <w:rsid w:val="009428EF"/>
    <w:rsid w:val="00942BF1"/>
    <w:rsid w:val="00942D33"/>
    <w:rsid w:val="00942DE4"/>
    <w:rsid w:val="00942F03"/>
    <w:rsid w:val="00942F8D"/>
    <w:rsid w:val="00943115"/>
    <w:rsid w:val="00943174"/>
    <w:rsid w:val="009432F0"/>
    <w:rsid w:val="0094356E"/>
    <w:rsid w:val="009436CC"/>
    <w:rsid w:val="009436FD"/>
    <w:rsid w:val="00943709"/>
    <w:rsid w:val="0094392D"/>
    <w:rsid w:val="00943ACE"/>
    <w:rsid w:val="00943C19"/>
    <w:rsid w:val="00943D48"/>
    <w:rsid w:val="00944345"/>
    <w:rsid w:val="00944376"/>
    <w:rsid w:val="009447D2"/>
    <w:rsid w:val="00944938"/>
    <w:rsid w:val="00944D4D"/>
    <w:rsid w:val="009450A3"/>
    <w:rsid w:val="009453D6"/>
    <w:rsid w:val="009454C6"/>
    <w:rsid w:val="0094555D"/>
    <w:rsid w:val="0094562B"/>
    <w:rsid w:val="0094570D"/>
    <w:rsid w:val="0094586A"/>
    <w:rsid w:val="00945BA5"/>
    <w:rsid w:val="00946016"/>
    <w:rsid w:val="00946280"/>
    <w:rsid w:val="009463F9"/>
    <w:rsid w:val="00946852"/>
    <w:rsid w:val="00946872"/>
    <w:rsid w:val="00947285"/>
    <w:rsid w:val="009472DA"/>
    <w:rsid w:val="009473D0"/>
    <w:rsid w:val="00947564"/>
    <w:rsid w:val="0094791A"/>
    <w:rsid w:val="00947BC1"/>
    <w:rsid w:val="00947F07"/>
    <w:rsid w:val="00947FBD"/>
    <w:rsid w:val="0095019F"/>
    <w:rsid w:val="0095023E"/>
    <w:rsid w:val="00950AAC"/>
    <w:rsid w:val="00950DA5"/>
    <w:rsid w:val="00950F39"/>
    <w:rsid w:val="009511E4"/>
    <w:rsid w:val="0095193F"/>
    <w:rsid w:val="009519B8"/>
    <w:rsid w:val="009523B0"/>
    <w:rsid w:val="00952411"/>
    <w:rsid w:val="00952A5F"/>
    <w:rsid w:val="00952AC5"/>
    <w:rsid w:val="00952E90"/>
    <w:rsid w:val="00952FA0"/>
    <w:rsid w:val="009531CD"/>
    <w:rsid w:val="00953588"/>
    <w:rsid w:val="00953604"/>
    <w:rsid w:val="00953758"/>
    <w:rsid w:val="009537CA"/>
    <w:rsid w:val="0095385F"/>
    <w:rsid w:val="00953E78"/>
    <w:rsid w:val="0095430D"/>
    <w:rsid w:val="009549BD"/>
    <w:rsid w:val="00954A34"/>
    <w:rsid w:val="00954AC7"/>
    <w:rsid w:val="00954D17"/>
    <w:rsid w:val="009551D7"/>
    <w:rsid w:val="00955520"/>
    <w:rsid w:val="009559AD"/>
    <w:rsid w:val="00955DD6"/>
    <w:rsid w:val="00955E04"/>
    <w:rsid w:val="00956043"/>
    <w:rsid w:val="0095648D"/>
    <w:rsid w:val="009569FD"/>
    <w:rsid w:val="00956A76"/>
    <w:rsid w:val="0095788B"/>
    <w:rsid w:val="00957B1E"/>
    <w:rsid w:val="00957E2A"/>
    <w:rsid w:val="00957F25"/>
    <w:rsid w:val="009602F8"/>
    <w:rsid w:val="00960988"/>
    <w:rsid w:val="00960B44"/>
    <w:rsid w:val="0096105F"/>
    <w:rsid w:val="009611C1"/>
    <w:rsid w:val="00961C7C"/>
    <w:rsid w:val="00961E44"/>
    <w:rsid w:val="00961F3E"/>
    <w:rsid w:val="009628E4"/>
    <w:rsid w:val="009629D2"/>
    <w:rsid w:val="00962DD9"/>
    <w:rsid w:val="009631BE"/>
    <w:rsid w:val="00963D43"/>
    <w:rsid w:val="00963F1F"/>
    <w:rsid w:val="00963F6E"/>
    <w:rsid w:val="00963F92"/>
    <w:rsid w:val="00964173"/>
    <w:rsid w:val="009644FE"/>
    <w:rsid w:val="00964BF0"/>
    <w:rsid w:val="0096501D"/>
    <w:rsid w:val="0096598E"/>
    <w:rsid w:val="00965A8D"/>
    <w:rsid w:val="0096607B"/>
    <w:rsid w:val="009663B1"/>
    <w:rsid w:val="009663E2"/>
    <w:rsid w:val="00966C37"/>
    <w:rsid w:val="00967141"/>
    <w:rsid w:val="00967186"/>
    <w:rsid w:val="00967447"/>
    <w:rsid w:val="009674F1"/>
    <w:rsid w:val="0096764D"/>
    <w:rsid w:val="0096785C"/>
    <w:rsid w:val="00967ADD"/>
    <w:rsid w:val="00967B11"/>
    <w:rsid w:val="00967B37"/>
    <w:rsid w:val="00967D7C"/>
    <w:rsid w:val="00967F65"/>
    <w:rsid w:val="00970025"/>
    <w:rsid w:val="0097035F"/>
    <w:rsid w:val="009703A3"/>
    <w:rsid w:val="00970A1A"/>
    <w:rsid w:val="00970C34"/>
    <w:rsid w:val="00970E41"/>
    <w:rsid w:val="00971082"/>
    <w:rsid w:val="00971224"/>
    <w:rsid w:val="00971343"/>
    <w:rsid w:val="0097197B"/>
    <w:rsid w:val="00971A91"/>
    <w:rsid w:val="00971F00"/>
    <w:rsid w:val="0097245F"/>
    <w:rsid w:val="00972504"/>
    <w:rsid w:val="00972A4C"/>
    <w:rsid w:val="00972ACC"/>
    <w:rsid w:val="00972D27"/>
    <w:rsid w:val="0097300C"/>
    <w:rsid w:val="00973224"/>
    <w:rsid w:val="009734AD"/>
    <w:rsid w:val="00973C75"/>
    <w:rsid w:val="00974A62"/>
    <w:rsid w:val="00974B64"/>
    <w:rsid w:val="00974D0E"/>
    <w:rsid w:val="00974E2E"/>
    <w:rsid w:val="0097546C"/>
    <w:rsid w:val="009769E9"/>
    <w:rsid w:val="00976BC0"/>
    <w:rsid w:val="00976D49"/>
    <w:rsid w:val="009770A9"/>
    <w:rsid w:val="00977500"/>
    <w:rsid w:val="009779D4"/>
    <w:rsid w:val="00977C3E"/>
    <w:rsid w:val="00977CF0"/>
    <w:rsid w:val="00977DA1"/>
    <w:rsid w:val="009802CB"/>
    <w:rsid w:val="00980440"/>
    <w:rsid w:val="00980AE8"/>
    <w:rsid w:val="00980B82"/>
    <w:rsid w:val="00980CCB"/>
    <w:rsid w:val="009812B2"/>
    <w:rsid w:val="0098137E"/>
    <w:rsid w:val="00981406"/>
    <w:rsid w:val="00981431"/>
    <w:rsid w:val="00981ED0"/>
    <w:rsid w:val="00983B27"/>
    <w:rsid w:val="00984506"/>
    <w:rsid w:val="0098493D"/>
    <w:rsid w:val="00984AE0"/>
    <w:rsid w:val="00984DBF"/>
    <w:rsid w:val="009850C0"/>
    <w:rsid w:val="00985165"/>
    <w:rsid w:val="009857EB"/>
    <w:rsid w:val="009857F3"/>
    <w:rsid w:val="0098588F"/>
    <w:rsid w:val="009860F0"/>
    <w:rsid w:val="009862B7"/>
    <w:rsid w:val="00986434"/>
    <w:rsid w:val="00986716"/>
    <w:rsid w:val="009868F9"/>
    <w:rsid w:val="00986963"/>
    <w:rsid w:val="00986BB7"/>
    <w:rsid w:val="00986ECA"/>
    <w:rsid w:val="00986FFA"/>
    <w:rsid w:val="009873F9"/>
    <w:rsid w:val="0098742D"/>
    <w:rsid w:val="009875F9"/>
    <w:rsid w:val="00987911"/>
    <w:rsid w:val="00990107"/>
    <w:rsid w:val="0099065A"/>
    <w:rsid w:val="00990871"/>
    <w:rsid w:val="00990A5B"/>
    <w:rsid w:val="00991480"/>
    <w:rsid w:val="00991962"/>
    <w:rsid w:val="00991E57"/>
    <w:rsid w:val="00992356"/>
    <w:rsid w:val="009923B1"/>
    <w:rsid w:val="00992623"/>
    <w:rsid w:val="009928FF"/>
    <w:rsid w:val="009929B7"/>
    <w:rsid w:val="00992A33"/>
    <w:rsid w:val="00992A61"/>
    <w:rsid w:val="00992BA2"/>
    <w:rsid w:val="00992C1B"/>
    <w:rsid w:val="0099300D"/>
    <w:rsid w:val="00993B80"/>
    <w:rsid w:val="00993D79"/>
    <w:rsid w:val="00993D97"/>
    <w:rsid w:val="00993DBA"/>
    <w:rsid w:val="009940E6"/>
    <w:rsid w:val="009944F0"/>
    <w:rsid w:val="009948B1"/>
    <w:rsid w:val="00994B0E"/>
    <w:rsid w:val="00994B2A"/>
    <w:rsid w:val="00995457"/>
    <w:rsid w:val="009954A8"/>
    <w:rsid w:val="00995888"/>
    <w:rsid w:val="00995A91"/>
    <w:rsid w:val="00995B5F"/>
    <w:rsid w:val="009961DF"/>
    <w:rsid w:val="009963B0"/>
    <w:rsid w:val="00996752"/>
    <w:rsid w:val="00996AD2"/>
    <w:rsid w:val="00996B22"/>
    <w:rsid w:val="0099712B"/>
    <w:rsid w:val="009971DB"/>
    <w:rsid w:val="009972DD"/>
    <w:rsid w:val="00997340"/>
    <w:rsid w:val="0099765C"/>
    <w:rsid w:val="009A058C"/>
    <w:rsid w:val="009A0653"/>
    <w:rsid w:val="009A08E8"/>
    <w:rsid w:val="009A17A6"/>
    <w:rsid w:val="009A184A"/>
    <w:rsid w:val="009A1E76"/>
    <w:rsid w:val="009A22B3"/>
    <w:rsid w:val="009A2B16"/>
    <w:rsid w:val="009A2C2B"/>
    <w:rsid w:val="009A309B"/>
    <w:rsid w:val="009A352D"/>
    <w:rsid w:val="009A35DB"/>
    <w:rsid w:val="009A3A93"/>
    <w:rsid w:val="009A3E80"/>
    <w:rsid w:val="009A5BAF"/>
    <w:rsid w:val="009A5DDC"/>
    <w:rsid w:val="009A5F21"/>
    <w:rsid w:val="009A5F7A"/>
    <w:rsid w:val="009A6342"/>
    <w:rsid w:val="009A6750"/>
    <w:rsid w:val="009A6762"/>
    <w:rsid w:val="009A67DE"/>
    <w:rsid w:val="009A6AC1"/>
    <w:rsid w:val="009A6B7D"/>
    <w:rsid w:val="009A6B80"/>
    <w:rsid w:val="009A6D75"/>
    <w:rsid w:val="009A7300"/>
    <w:rsid w:val="009A743F"/>
    <w:rsid w:val="009A7583"/>
    <w:rsid w:val="009A7D45"/>
    <w:rsid w:val="009B05AD"/>
    <w:rsid w:val="009B0CED"/>
    <w:rsid w:val="009B0D07"/>
    <w:rsid w:val="009B0FAE"/>
    <w:rsid w:val="009B1276"/>
    <w:rsid w:val="009B1913"/>
    <w:rsid w:val="009B1B22"/>
    <w:rsid w:val="009B20A1"/>
    <w:rsid w:val="009B2323"/>
    <w:rsid w:val="009B2722"/>
    <w:rsid w:val="009B2B1A"/>
    <w:rsid w:val="009B2D36"/>
    <w:rsid w:val="009B3363"/>
    <w:rsid w:val="009B3384"/>
    <w:rsid w:val="009B3402"/>
    <w:rsid w:val="009B3A45"/>
    <w:rsid w:val="009B43AF"/>
    <w:rsid w:val="009B44E1"/>
    <w:rsid w:val="009B469D"/>
    <w:rsid w:val="009B4838"/>
    <w:rsid w:val="009B4ED0"/>
    <w:rsid w:val="009B50D2"/>
    <w:rsid w:val="009B56F1"/>
    <w:rsid w:val="009B574D"/>
    <w:rsid w:val="009B5836"/>
    <w:rsid w:val="009B5DF1"/>
    <w:rsid w:val="009B5E87"/>
    <w:rsid w:val="009B603C"/>
    <w:rsid w:val="009B6110"/>
    <w:rsid w:val="009B6241"/>
    <w:rsid w:val="009B656D"/>
    <w:rsid w:val="009B6675"/>
    <w:rsid w:val="009B68F6"/>
    <w:rsid w:val="009B6A69"/>
    <w:rsid w:val="009B6EE5"/>
    <w:rsid w:val="009B725B"/>
    <w:rsid w:val="009B73CE"/>
    <w:rsid w:val="009B76F3"/>
    <w:rsid w:val="009B7716"/>
    <w:rsid w:val="009B77C6"/>
    <w:rsid w:val="009B7864"/>
    <w:rsid w:val="009B78EB"/>
    <w:rsid w:val="009B7902"/>
    <w:rsid w:val="009B7E32"/>
    <w:rsid w:val="009B7F3F"/>
    <w:rsid w:val="009C01F6"/>
    <w:rsid w:val="009C05AA"/>
    <w:rsid w:val="009C06D0"/>
    <w:rsid w:val="009C0767"/>
    <w:rsid w:val="009C0A13"/>
    <w:rsid w:val="009C0B55"/>
    <w:rsid w:val="009C0C62"/>
    <w:rsid w:val="009C0E45"/>
    <w:rsid w:val="009C0F86"/>
    <w:rsid w:val="009C1028"/>
    <w:rsid w:val="009C1460"/>
    <w:rsid w:val="009C16A0"/>
    <w:rsid w:val="009C1816"/>
    <w:rsid w:val="009C1AB3"/>
    <w:rsid w:val="009C1DCB"/>
    <w:rsid w:val="009C1F36"/>
    <w:rsid w:val="009C28E3"/>
    <w:rsid w:val="009C2A7C"/>
    <w:rsid w:val="009C2BDC"/>
    <w:rsid w:val="009C2C4F"/>
    <w:rsid w:val="009C2C77"/>
    <w:rsid w:val="009C2CD9"/>
    <w:rsid w:val="009C31A2"/>
    <w:rsid w:val="009C33EF"/>
    <w:rsid w:val="009C3416"/>
    <w:rsid w:val="009C356E"/>
    <w:rsid w:val="009C36D4"/>
    <w:rsid w:val="009C3DF4"/>
    <w:rsid w:val="009C3E7A"/>
    <w:rsid w:val="009C48AA"/>
    <w:rsid w:val="009C5466"/>
    <w:rsid w:val="009C54E5"/>
    <w:rsid w:val="009C5609"/>
    <w:rsid w:val="009C58EB"/>
    <w:rsid w:val="009C5B01"/>
    <w:rsid w:val="009C5B0B"/>
    <w:rsid w:val="009C5D2F"/>
    <w:rsid w:val="009C5D33"/>
    <w:rsid w:val="009C5F2C"/>
    <w:rsid w:val="009C60C5"/>
    <w:rsid w:val="009C60F6"/>
    <w:rsid w:val="009C6445"/>
    <w:rsid w:val="009C68D4"/>
    <w:rsid w:val="009C6922"/>
    <w:rsid w:val="009C695B"/>
    <w:rsid w:val="009C6A26"/>
    <w:rsid w:val="009C6C99"/>
    <w:rsid w:val="009C7060"/>
    <w:rsid w:val="009C735B"/>
    <w:rsid w:val="009C770B"/>
    <w:rsid w:val="009C7895"/>
    <w:rsid w:val="009C7B7E"/>
    <w:rsid w:val="009C7B87"/>
    <w:rsid w:val="009D033A"/>
    <w:rsid w:val="009D03DA"/>
    <w:rsid w:val="009D03E0"/>
    <w:rsid w:val="009D129D"/>
    <w:rsid w:val="009D167F"/>
    <w:rsid w:val="009D17A5"/>
    <w:rsid w:val="009D1A37"/>
    <w:rsid w:val="009D1AAB"/>
    <w:rsid w:val="009D21BE"/>
    <w:rsid w:val="009D2A06"/>
    <w:rsid w:val="009D2EBA"/>
    <w:rsid w:val="009D3679"/>
    <w:rsid w:val="009D3799"/>
    <w:rsid w:val="009D3B30"/>
    <w:rsid w:val="009D3B99"/>
    <w:rsid w:val="009D3BC6"/>
    <w:rsid w:val="009D4742"/>
    <w:rsid w:val="009D47D1"/>
    <w:rsid w:val="009D488F"/>
    <w:rsid w:val="009D4B5D"/>
    <w:rsid w:val="009D5082"/>
    <w:rsid w:val="009D528C"/>
    <w:rsid w:val="009D56D9"/>
    <w:rsid w:val="009D5D1F"/>
    <w:rsid w:val="009D5FA2"/>
    <w:rsid w:val="009D5FCC"/>
    <w:rsid w:val="009D6075"/>
    <w:rsid w:val="009D6BCB"/>
    <w:rsid w:val="009D701D"/>
    <w:rsid w:val="009D79E8"/>
    <w:rsid w:val="009D7D91"/>
    <w:rsid w:val="009D7F60"/>
    <w:rsid w:val="009E05D8"/>
    <w:rsid w:val="009E07F3"/>
    <w:rsid w:val="009E09E8"/>
    <w:rsid w:val="009E0B36"/>
    <w:rsid w:val="009E0D37"/>
    <w:rsid w:val="009E1077"/>
    <w:rsid w:val="009E1139"/>
    <w:rsid w:val="009E124D"/>
    <w:rsid w:val="009E14DC"/>
    <w:rsid w:val="009E187D"/>
    <w:rsid w:val="009E19BE"/>
    <w:rsid w:val="009E1A3F"/>
    <w:rsid w:val="009E1BF5"/>
    <w:rsid w:val="009E1C7F"/>
    <w:rsid w:val="009E1D51"/>
    <w:rsid w:val="009E1E51"/>
    <w:rsid w:val="009E1F59"/>
    <w:rsid w:val="009E288D"/>
    <w:rsid w:val="009E3064"/>
    <w:rsid w:val="009E30A6"/>
    <w:rsid w:val="009E322A"/>
    <w:rsid w:val="009E32DA"/>
    <w:rsid w:val="009E3338"/>
    <w:rsid w:val="009E399E"/>
    <w:rsid w:val="009E39BD"/>
    <w:rsid w:val="009E3B04"/>
    <w:rsid w:val="009E3EEF"/>
    <w:rsid w:val="009E3F3A"/>
    <w:rsid w:val="009E4649"/>
    <w:rsid w:val="009E49FA"/>
    <w:rsid w:val="009E4BD5"/>
    <w:rsid w:val="009E5BB4"/>
    <w:rsid w:val="009E5D24"/>
    <w:rsid w:val="009E5E78"/>
    <w:rsid w:val="009E5FAD"/>
    <w:rsid w:val="009E5FC1"/>
    <w:rsid w:val="009E607B"/>
    <w:rsid w:val="009E6184"/>
    <w:rsid w:val="009E6221"/>
    <w:rsid w:val="009E637A"/>
    <w:rsid w:val="009E65BE"/>
    <w:rsid w:val="009E6704"/>
    <w:rsid w:val="009E6863"/>
    <w:rsid w:val="009E68AB"/>
    <w:rsid w:val="009E6B55"/>
    <w:rsid w:val="009E742E"/>
    <w:rsid w:val="009E7819"/>
    <w:rsid w:val="009E7F56"/>
    <w:rsid w:val="009F0361"/>
    <w:rsid w:val="009F0B88"/>
    <w:rsid w:val="009F0CCA"/>
    <w:rsid w:val="009F1083"/>
    <w:rsid w:val="009F166D"/>
    <w:rsid w:val="009F183A"/>
    <w:rsid w:val="009F1933"/>
    <w:rsid w:val="009F1D55"/>
    <w:rsid w:val="009F2DD4"/>
    <w:rsid w:val="009F30BB"/>
    <w:rsid w:val="009F30F6"/>
    <w:rsid w:val="009F32EF"/>
    <w:rsid w:val="009F33CF"/>
    <w:rsid w:val="009F357C"/>
    <w:rsid w:val="009F3797"/>
    <w:rsid w:val="009F3F62"/>
    <w:rsid w:val="009F4113"/>
    <w:rsid w:val="009F4787"/>
    <w:rsid w:val="009F4B39"/>
    <w:rsid w:val="009F4D17"/>
    <w:rsid w:val="009F5553"/>
    <w:rsid w:val="009F5D43"/>
    <w:rsid w:val="009F5E43"/>
    <w:rsid w:val="009F623F"/>
    <w:rsid w:val="009F62EA"/>
    <w:rsid w:val="009F64F6"/>
    <w:rsid w:val="009F6FF7"/>
    <w:rsid w:val="009F7105"/>
    <w:rsid w:val="009F73A7"/>
    <w:rsid w:val="009F75E6"/>
    <w:rsid w:val="009F77CC"/>
    <w:rsid w:val="009F7B9F"/>
    <w:rsid w:val="009F7DE2"/>
    <w:rsid w:val="00A0013A"/>
    <w:rsid w:val="00A00AD5"/>
    <w:rsid w:val="00A00CA5"/>
    <w:rsid w:val="00A00CF1"/>
    <w:rsid w:val="00A010ED"/>
    <w:rsid w:val="00A01283"/>
    <w:rsid w:val="00A0158D"/>
    <w:rsid w:val="00A0191E"/>
    <w:rsid w:val="00A01A69"/>
    <w:rsid w:val="00A01D9A"/>
    <w:rsid w:val="00A02161"/>
    <w:rsid w:val="00A0266D"/>
    <w:rsid w:val="00A03062"/>
    <w:rsid w:val="00A03134"/>
    <w:rsid w:val="00A035FE"/>
    <w:rsid w:val="00A0369E"/>
    <w:rsid w:val="00A04006"/>
    <w:rsid w:val="00A0421B"/>
    <w:rsid w:val="00A045F1"/>
    <w:rsid w:val="00A04B86"/>
    <w:rsid w:val="00A04C4D"/>
    <w:rsid w:val="00A04E76"/>
    <w:rsid w:val="00A05234"/>
    <w:rsid w:val="00A05A69"/>
    <w:rsid w:val="00A05C55"/>
    <w:rsid w:val="00A0600A"/>
    <w:rsid w:val="00A065DC"/>
    <w:rsid w:val="00A06616"/>
    <w:rsid w:val="00A06943"/>
    <w:rsid w:val="00A06A0F"/>
    <w:rsid w:val="00A07375"/>
    <w:rsid w:val="00A0739B"/>
    <w:rsid w:val="00A075D8"/>
    <w:rsid w:val="00A07619"/>
    <w:rsid w:val="00A0770D"/>
    <w:rsid w:val="00A078CB"/>
    <w:rsid w:val="00A078D5"/>
    <w:rsid w:val="00A07E1F"/>
    <w:rsid w:val="00A101BB"/>
    <w:rsid w:val="00A102FB"/>
    <w:rsid w:val="00A106D9"/>
    <w:rsid w:val="00A106ED"/>
    <w:rsid w:val="00A10843"/>
    <w:rsid w:val="00A10CD7"/>
    <w:rsid w:val="00A10E3E"/>
    <w:rsid w:val="00A10ED1"/>
    <w:rsid w:val="00A10FCF"/>
    <w:rsid w:val="00A11747"/>
    <w:rsid w:val="00A119BF"/>
    <w:rsid w:val="00A11E2F"/>
    <w:rsid w:val="00A11F49"/>
    <w:rsid w:val="00A11FD7"/>
    <w:rsid w:val="00A125FB"/>
    <w:rsid w:val="00A12841"/>
    <w:rsid w:val="00A128EB"/>
    <w:rsid w:val="00A12DFB"/>
    <w:rsid w:val="00A13AF1"/>
    <w:rsid w:val="00A13C62"/>
    <w:rsid w:val="00A13E46"/>
    <w:rsid w:val="00A1418A"/>
    <w:rsid w:val="00A141FD"/>
    <w:rsid w:val="00A14299"/>
    <w:rsid w:val="00A14F7C"/>
    <w:rsid w:val="00A1500B"/>
    <w:rsid w:val="00A151CF"/>
    <w:rsid w:val="00A1530D"/>
    <w:rsid w:val="00A1555D"/>
    <w:rsid w:val="00A156F8"/>
    <w:rsid w:val="00A15970"/>
    <w:rsid w:val="00A15A66"/>
    <w:rsid w:val="00A15F7D"/>
    <w:rsid w:val="00A16068"/>
    <w:rsid w:val="00A16315"/>
    <w:rsid w:val="00A169C3"/>
    <w:rsid w:val="00A16AA9"/>
    <w:rsid w:val="00A171FB"/>
    <w:rsid w:val="00A17359"/>
    <w:rsid w:val="00A173B6"/>
    <w:rsid w:val="00A17515"/>
    <w:rsid w:val="00A177D3"/>
    <w:rsid w:val="00A1785C"/>
    <w:rsid w:val="00A17AF8"/>
    <w:rsid w:val="00A17D9A"/>
    <w:rsid w:val="00A17FB2"/>
    <w:rsid w:val="00A20087"/>
    <w:rsid w:val="00A2035D"/>
    <w:rsid w:val="00A205B2"/>
    <w:rsid w:val="00A2089A"/>
    <w:rsid w:val="00A20AC5"/>
    <w:rsid w:val="00A20F46"/>
    <w:rsid w:val="00A20F92"/>
    <w:rsid w:val="00A21241"/>
    <w:rsid w:val="00A214E2"/>
    <w:rsid w:val="00A21A8A"/>
    <w:rsid w:val="00A21D3D"/>
    <w:rsid w:val="00A21FC3"/>
    <w:rsid w:val="00A22BF9"/>
    <w:rsid w:val="00A22D72"/>
    <w:rsid w:val="00A230E5"/>
    <w:rsid w:val="00A23193"/>
    <w:rsid w:val="00A232E6"/>
    <w:rsid w:val="00A242EA"/>
    <w:rsid w:val="00A243C1"/>
    <w:rsid w:val="00A244A4"/>
    <w:rsid w:val="00A248AC"/>
    <w:rsid w:val="00A24B2F"/>
    <w:rsid w:val="00A24D8A"/>
    <w:rsid w:val="00A2512E"/>
    <w:rsid w:val="00A256BD"/>
    <w:rsid w:val="00A25737"/>
    <w:rsid w:val="00A25961"/>
    <w:rsid w:val="00A25ED4"/>
    <w:rsid w:val="00A26126"/>
    <w:rsid w:val="00A26292"/>
    <w:rsid w:val="00A26300"/>
    <w:rsid w:val="00A264B2"/>
    <w:rsid w:val="00A26A3F"/>
    <w:rsid w:val="00A274FB"/>
    <w:rsid w:val="00A2752E"/>
    <w:rsid w:val="00A27B7A"/>
    <w:rsid w:val="00A27CAF"/>
    <w:rsid w:val="00A30676"/>
    <w:rsid w:val="00A3075B"/>
    <w:rsid w:val="00A30C35"/>
    <w:rsid w:val="00A3123E"/>
    <w:rsid w:val="00A313C8"/>
    <w:rsid w:val="00A316FA"/>
    <w:rsid w:val="00A31CA3"/>
    <w:rsid w:val="00A32338"/>
    <w:rsid w:val="00A32438"/>
    <w:rsid w:val="00A325CA"/>
    <w:rsid w:val="00A3269E"/>
    <w:rsid w:val="00A32875"/>
    <w:rsid w:val="00A32A29"/>
    <w:rsid w:val="00A32AC1"/>
    <w:rsid w:val="00A32BAF"/>
    <w:rsid w:val="00A32CFB"/>
    <w:rsid w:val="00A32D7B"/>
    <w:rsid w:val="00A32FE9"/>
    <w:rsid w:val="00A33055"/>
    <w:rsid w:val="00A333ED"/>
    <w:rsid w:val="00A334B6"/>
    <w:rsid w:val="00A335B4"/>
    <w:rsid w:val="00A33A55"/>
    <w:rsid w:val="00A34503"/>
    <w:rsid w:val="00A3495A"/>
    <w:rsid w:val="00A34CD3"/>
    <w:rsid w:val="00A34E24"/>
    <w:rsid w:val="00A3557E"/>
    <w:rsid w:val="00A35624"/>
    <w:rsid w:val="00A356D6"/>
    <w:rsid w:val="00A356EF"/>
    <w:rsid w:val="00A35741"/>
    <w:rsid w:val="00A35743"/>
    <w:rsid w:val="00A35DFD"/>
    <w:rsid w:val="00A35E39"/>
    <w:rsid w:val="00A35E81"/>
    <w:rsid w:val="00A367C5"/>
    <w:rsid w:val="00A368EC"/>
    <w:rsid w:val="00A3709E"/>
    <w:rsid w:val="00A375B8"/>
    <w:rsid w:val="00A377D2"/>
    <w:rsid w:val="00A377DB"/>
    <w:rsid w:val="00A37832"/>
    <w:rsid w:val="00A37E81"/>
    <w:rsid w:val="00A40040"/>
    <w:rsid w:val="00A40551"/>
    <w:rsid w:val="00A4074B"/>
    <w:rsid w:val="00A409E0"/>
    <w:rsid w:val="00A41260"/>
    <w:rsid w:val="00A41BC6"/>
    <w:rsid w:val="00A420E5"/>
    <w:rsid w:val="00A42621"/>
    <w:rsid w:val="00A42839"/>
    <w:rsid w:val="00A4286B"/>
    <w:rsid w:val="00A42A3A"/>
    <w:rsid w:val="00A42A93"/>
    <w:rsid w:val="00A430A7"/>
    <w:rsid w:val="00A43114"/>
    <w:rsid w:val="00A4385B"/>
    <w:rsid w:val="00A4392A"/>
    <w:rsid w:val="00A43E45"/>
    <w:rsid w:val="00A447AB"/>
    <w:rsid w:val="00A44A94"/>
    <w:rsid w:val="00A44E93"/>
    <w:rsid w:val="00A44EE7"/>
    <w:rsid w:val="00A45888"/>
    <w:rsid w:val="00A46090"/>
    <w:rsid w:val="00A461E5"/>
    <w:rsid w:val="00A4646C"/>
    <w:rsid w:val="00A46615"/>
    <w:rsid w:val="00A4687F"/>
    <w:rsid w:val="00A46ADE"/>
    <w:rsid w:val="00A46B92"/>
    <w:rsid w:val="00A46DBF"/>
    <w:rsid w:val="00A4731D"/>
    <w:rsid w:val="00A4758E"/>
    <w:rsid w:val="00A47816"/>
    <w:rsid w:val="00A478C3"/>
    <w:rsid w:val="00A47B1E"/>
    <w:rsid w:val="00A47C21"/>
    <w:rsid w:val="00A47D27"/>
    <w:rsid w:val="00A500C2"/>
    <w:rsid w:val="00A50204"/>
    <w:rsid w:val="00A506E8"/>
    <w:rsid w:val="00A50736"/>
    <w:rsid w:val="00A5096C"/>
    <w:rsid w:val="00A50D0F"/>
    <w:rsid w:val="00A50DFD"/>
    <w:rsid w:val="00A51037"/>
    <w:rsid w:val="00A510C1"/>
    <w:rsid w:val="00A51220"/>
    <w:rsid w:val="00A51272"/>
    <w:rsid w:val="00A51A59"/>
    <w:rsid w:val="00A51C60"/>
    <w:rsid w:val="00A51DD7"/>
    <w:rsid w:val="00A51E1B"/>
    <w:rsid w:val="00A52013"/>
    <w:rsid w:val="00A520F0"/>
    <w:rsid w:val="00A52118"/>
    <w:rsid w:val="00A52358"/>
    <w:rsid w:val="00A526C6"/>
    <w:rsid w:val="00A526E0"/>
    <w:rsid w:val="00A52E63"/>
    <w:rsid w:val="00A52FC4"/>
    <w:rsid w:val="00A53267"/>
    <w:rsid w:val="00A534D5"/>
    <w:rsid w:val="00A5391B"/>
    <w:rsid w:val="00A53BCC"/>
    <w:rsid w:val="00A54C9F"/>
    <w:rsid w:val="00A55002"/>
    <w:rsid w:val="00A5534C"/>
    <w:rsid w:val="00A559BE"/>
    <w:rsid w:val="00A56591"/>
    <w:rsid w:val="00A5679A"/>
    <w:rsid w:val="00A56B0A"/>
    <w:rsid w:val="00A56EE6"/>
    <w:rsid w:val="00A570F8"/>
    <w:rsid w:val="00A57524"/>
    <w:rsid w:val="00A57821"/>
    <w:rsid w:val="00A57E4B"/>
    <w:rsid w:val="00A600C0"/>
    <w:rsid w:val="00A600E2"/>
    <w:rsid w:val="00A60337"/>
    <w:rsid w:val="00A60456"/>
    <w:rsid w:val="00A606C3"/>
    <w:rsid w:val="00A607CB"/>
    <w:rsid w:val="00A60A2B"/>
    <w:rsid w:val="00A60AFC"/>
    <w:rsid w:val="00A60D4D"/>
    <w:rsid w:val="00A6181D"/>
    <w:rsid w:val="00A61B6D"/>
    <w:rsid w:val="00A61D2B"/>
    <w:rsid w:val="00A62319"/>
    <w:rsid w:val="00A62847"/>
    <w:rsid w:val="00A62FB9"/>
    <w:rsid w:val="00A6342F"/>
    <w:rsid w:val="00A63B22"/>
    <w:rsid w:val="00A63F10"/>
    <w:rsid w:val="00A6437B"/>
    <w:rsid w:val="00A64E0D"/>
    <w:rsid w:val="00A64F1C"/>
    <w:rsid w:val="00A653A2"/>
    <w:rsid w:val="00A6549D"/>
    <w:rsid w:val="00A65848"/>
    <w:rsid w:val="00A65B4A"/>
    <w:rsid w:val="00A66973"/>
    <w:rsid w:val="00A66DBA"/>
    <w:rsid w:val="00A6728A"/>
    <w:rsid w:val="00A67A24"/>
    <w:rsid w:val="00A67EF2"/>
    <w:rsid w:val="00A7026F"/>
    <w:rsid w:val="00A702F0"/>
    <w:rsid w:val="00A706C7"/>
    <w:rsid w:val="00A707C4"/>
    <w:rsid w:val="00A70899"/>
    <w:rsid w:val="00A712C3"/>
    <w:rsid w:val="00A71934"/>
    <w:rsid w:val="00A71951"/>
    <w:rsid w:val="00A71A8D"/>
    <w:rsid w:val="00A7208E"/>
    <w:rsid w:val="00A72690"/>
    <w:rsid w:val="00A726DA"/>
    <w:rsid w:val="00A72745"/>
    <w:rsid w:val="00A7298A"/>
    <w:rsid w:val="00A72E39"/>
    <w:rsid w:val="00A72EC8"/>
    <w:rsid w:val="00A72F15"/>
    <w:rsid w:val="00A732CF"/>
    <w:rsid w:val="00A73589"/>
    <w:rsid w:val="00A7373C"/>
    <w:rsid w:val="00A73887"/>
    <w:rsid w:val="00A73937"/>
    <w:rsid w:val="00A73950"/>
    <w:rsid w:val="00A744A2"/>
    <w:rsid w:val="00A74640"/>
    <w:rsid w:val="00A74B12"/>
    <w:rsid w:val="00A74B83"/>
    <w:rsid w:val="00A74BEB"/>
    <w:rsid w:val="00A74F68"/>
    <w:rsid w:val="00A752BD"/>
    <w:rsid w:val="00A756B9"/>
    <w:rsid w:val="00A758AC"/>
    <w:rsid w:val="00A7594C"/>
    <w:rsid w:val="00A75A34"/>
    <w:rsid w:val="00A76025"/>
    <w:rsid w:val="00A7607A"/>
    <w:rsid w:val="00A768AF"/>
    <w:rsid w:val="00A76A5B"/>
    <w:rsid w:val="00A76CE2"/>
    <w:rsid w:val="00A76E7B"/>
    <w:rsid w:val="00A771CF"/>
    <w:rsid w:val="00A7731B"/>
    <w:rsid w:val="00A77762"/>
    <w:rsid w:val="00A778BA"/>
    <w:rsid w:val="00A77D77"/>
    <w:rsid w:val="00A77D83"/>
    <w:rsid w:val="00A77FB0"/>
    <w:rsid w:val="00A80325"/>
    <w:rsid w:val="00A80D71"/>
    <w:rsid w:val="00A80E5B"/>
    <w:rsid w:val="00A8187F"/>
    <w:rsid w:val="00A81E41"/>
    <w:rsid w:val="00A82014"/>
    <w:rsid w:val="00A825C1"/>
    <w:rsid w:val="00A827A6"/>
    <w:rsid w:val="00A827AA"/>
    <w:rsid w:val="00A82AF9"/>
    <w:rsid w:val="00A82B0C"/>
    <w:rsid w:val="00A82B9F"/>
    <w:rsid w:val="00A82ED7"/>
    <w:rsid w:val="00A8323C"/>
    <w:rsid w:val="00A83659"/>
    <w:rsid w:val="00A837C5"/>
    <w:rsid w:val="00A83839"/>
    <w:rsid w:val="00A83B7A"/>
    <w:rsid w:val="00A83B97"/>
    <w:rsid w:val="00A84001"/>
    <w:rsid w:val="00A84207"/>
    <w:rsid w:val="00A849EF"/>
    <w:rsid w:val="00A84DED"/>
    <w:rsid w:val="00A854DC"/>
    <w:rsid w:val="00A8556F"/>
    <w:rsid w:val="00A855E3"/>
    <w:rsid w:val="00A856B2"/>
    <w:rsid w:val="00A856FB"/>
    <w:rsid w:val="00A85A2E"/>
    <w:rsid w:val="00A85D69"/>
    <w:rsid w:val="00A85EED"/>
    <w:rsid w:val="00A85F50"/>
    <w:rsid w:val="00A861A7"/>
    <w:rsid w:val="00A86531"/>
    <w:rsid w:val="00A86E3A"/>
    <w:rsid w:val="00A87053"/>
    <w:rsid w:val="00A8723D"/>
    <w:rsid w:val="00A872B1"/>
    <w:rsid w:val="00A87823"/>
    <w:rsid w:val="00A90706"/>
    <w:rsid w:val="00A908D0"/>
    <w:rsid w:val="00A9097F"/>
    <w:rsid w:val="00A909B2"/>
    <w:rsid w:val="00A90A00"/>
    <w:rsid w:val="00A90DC5"/>
    <w:rsid w:val="00A90E8B"/>
    <w:rsid w:val="00A9104D"/>
    <w:rsid w:val="00A91DA6"/>
    <w:rsid w:val="00A92519"/>
    <w:rsid w:val="00A92A66"/>
    <w:rsid w:val="00A92AC7"/>
    <w:rsid w:val="00A92C12"/>
    <w:rsid w:val="00A92C22"/>
    <w:rsid w:val="00A9318E"/>
    <w:rsid w:val="00A936C7"/>
    <w:rsid w:val="00A9378A"/>
    <w:rsid w:val="00A93828"/>
    <w:rsid w:val="00A93840"/>
    <w:rsid w:val="00A93E5F"/>
    <w:rsid w:val="00A943C3"/>
    <w:rsid w:val="00A94444"/>
    <w:rsid w:val="00A94761"/>
    <w:rsid w:val="00A94EA3"/>
    <w:rsid w:val="00A9578D"/>
    <w:rsid w:val="00A95823"/>
    <w:rsid w:val="00A95A75"/>
    <w:rsid w:val="00A95B91"/>
    <w:rsid w:val="00A95E11"/>
    <w:rsid w:val="00A96077"/>
    <w:rsid w:val="00A96745"/>
    <w:rsid w:val="00A967EE"/>
    <w:rsid w:val="00A97011"/>
    <w:rsid w:val="00A97A0C"/>
    <w:rsid w:val="00A97A27"/>
    <w:rsid w:val="00A97D03"/>
    <w:rsid w:val="00A97F7D"/>
    <w:rsid w:val="00AA029D"/>
    <w:rsid w:val="00AA0405"/>
    <w:rsid w:val="00AA04B5"/>
    <w:rsid w:val="00AA051D"/>
    <w:rsid w:val="00AA0558"/>
    <w:rsid w:val="00AA098A"/>
    <w:rsid w:val="00AA1168"/>
    <w:rsid w:val="00AA11A5"/>
    <w:rsid w:val="00AA17E6"/>
    <w:rsid w:val="00AA1815"/>
    <w:rsid w:val="00AA1B38"/>
    <w:rsid w:val="00AA2004"/>
    <w:rsid w:val="00AA2A67"/>
    <w:rsid w:val="00AA2C66"/>
    <w:rsid w:val="00AA2DC4"/>
    <w:rsid w:val="00AA30E8"/>
    <w:rsid w:val="00AA3172"/>
    <w:rsid w:val="00AA324F"/>
    <w:rsid w:val="00AA3266"/>
    <w:rsid w:val="00AA34F9"/>
    <w:rsid w:val="00AA35B3"/>
    <w:rsid w:val="00AA3D1E"/>
    <w:rsid w:val="00AA3F96"/>
    <w:rsid w:val="00AA47E0"/>
    <w:rsid w:val="00AA47E4"/>
    <w:rsid w:val="00AA490D"/>
    <w:rsid w:val="00AA4D26"/>
    <w:rsid w:val="00AA4DDC"/>
    <w:rsid w:val="00AA5103"/>
    <w:rsid w:val="00AA51F4"/>
    <w:rsid w:val="00AA562C"/>
    <w:rsid w:val="00AA56A3"/>
    <w:rsid w:val="00AA5982"/>
    <w:rsid w:val="00AA5BD4"/>
    <w:rsid w:val="00AA5F62"/>
    <w:rsid w:val="00AA6288"/>
    <w:rsid w:val="00AA6F93"/>
    <w:rsid w:val="00AA76DC"/>
    <w:rsid w:val="00AA7A05"/>
    <w:rsid w:val="00AA7BCE"/>
    <w:rsid w:val="00AA7C17"/>
    <w:rsid w:val="00AB0626"/>
    <w:rsid w:val="00AB0C57"/>
    <w:rsid w:val="00AB0DCF"/>
    <w:rsid w:val="00AB0E6C"/>
    <w:rsid w:val="00AB0FD4"/>
    <w:rsid w:val="00AB1696"/>
    <w:rsid w:val="00AB16DB"/>
    <w:rsid w:val="00AB18F9"/>
    <w:rsid w:val="00AB1B45"/>
    <w:rsid w:val="00AB1D05"/>
    <w:rsid w:val="00AB20A4"/>
    <w:rsid w:val="00AB2173"/>
    <w:rsid w:val="00AB2533"/>
    <w:rsid w:val="00AB27FB"/>
    <w:rsid w:val="00AB2895"/>
    <w:rsid w:val="00AB29CC"/>
    <w:rsid w:val="00AB30B7"/>
    <w:rsid w:val="00AB31AC"/>
    <w:rsid w:val="00AB31C1"/>
    <w:rsid w:val="00AB3319"/>
    <w:rsid w:val="00AB3502"/>
    <w:rsid w:val="00AB35EB"/>
    <w:rsid w:val="00AB36B8"/>
    <w:rsid w:val="00AB3F26"/>
    <w:rsid w:val="00AB41A8"/>
    <w:rsid w:val="00AB4A08"/>
    <w:rsid w:val="00AB510F"/>
    <w:rsid w:val="00AB526A"/>
    <w:rsid w:val="00AB536D"/>
    <w:rsid w:val="00AB5400"/>
    <w:rsid w:val="00AB546C"/>
    <w:rsid w:val="00AB58EC"/>
    <w:rsid w:val="00AB5D4D"/>
    <w:rsid w:val="00AB5F29"/>
    <w:rsid w:val="00AB605E"/>
    <w:rsid w:val="00AB6147"/>
    <w:rsid w:val="00AB6548"/>
    <w:rsid w:val="00AB6895"/>
    <w:rsid w:val="00AB69A6"/>
    <w:rsid w:val="00AB69CB"/>
    <w:rsid w:val="00AB6CF9"/>
    <w:rsid w:val="00AB7B15"/>
    <w:rsid w:val="00AB7D17"/>
    <w:rsid w:val="00AB7E7B"/>
    <w:rsid w:val="00AC0010"/>
    <w:rsid w:val="00AC0166"/>
    <w:rsid w:val="00AC01B4"/>
    <w:rsid w:val="00AC07C6"/>
    <w:rsid w:val="00AC0C2A"/>
    <w:rsid w:val="00AC1191"/>
    <w:rsid w:val="00AC154A"/>
    <w:rsid w:val="00AC1968"/>
    <w:rsid w:val="00AC1ADD"/>
    <w:rsid w:val="00AC1C75"/>
    <w:rsid w:val="00AC2334"/>
    <w:rsid w:val="00AC2444"/>
    <w:rsid w:val="00AC2933"/>
    <w:rsid w:val="00AC2A46"/>
    <w:rsid w:val="00AC2BA7"/>
    <w:rsid w:val="00AC3491"/>
    <w:rsid w:val="00AC352A"/>
    <w:rsid w:val="00AC3987"/>
    <w:rsid w:val="00AC3C08"/>
    <w:rsid w:val="00AC3C7B"/>
    <w:rsid w:val="00AC3CAE"/>
    <w:rsid w:val="00AC3D28"/>
    <w:rsid w:val="00AC444B"/>
    <w:rsid w:val="00AC5007"/>
    <w:rsid w:val="00AC517C"/>
    <w:rsid w:val="00AC51B4"/>
    <w:rsid w:val="00AC561A"/>
    <w:rsid w:val="00AC5B70"/>
    <w:rsid w:val="00AC5E50"/>
    <w:rsid w:val="00AC60C6"/>
    <w:rsid w:val="00AC661E"/>
    <w:rsid w:val="00AC6757"/>
    <w:rsid w:val="00AC6AA5"/>
    <w:rsid w:val="00AC7180"/>
    <w:rsid w:val="00AC7207"/>
    <w:rsid w:val="00AC7509"/>
    <w:rsid w:val="00AC759E"/>
    <w:rsid w:val="00AC7847"/>
    <w:rsid w:val="00AC7B08"/>
    <w:rsid w:val="00AC7D51"/>
    <w:rsid w:val="00AC7DBE"/>
    <w:rsid w:val="00AD05B0"/>
    <w:rsid w:val="00AD0E84"/>
    <w:rsid w:val="00AD1201"/>
    <w:rsid w:val="00AD1260"/>
    <w:rsid w:val="00AD130C"/>
    <w:rsid w:val="00AD232D"/>
    <w:rsid w:val="00AD26E1"/>
    <w:rsid w:val="00AD2993"/>
    <w:rsid w:val="00AD2D52"/>
    <w:rsid w:val="00AD2D79"/>
    <w:rsid w:val="00AD2E5E"/>
    <w:rsid w:val="00AD2E8F"/>
    <w:rsid w:val="00AD3B67"/>
    <w:rsid w:val="00AD4045"/>
    <w:rsid w:val="00AD4587"/>
    <w:rsid w:val="00AD4613"/>
    <w:rsid w:val="00AD468B"/>
    <w:rsid w:val="00AD47D4"/>
    <w:rsid w:val="00AD4990"/>
    <w:rsid w:val="00AD4ADB"/>
    <w:rsid w:val="00AD4D5E"/>
    <w:rsid w:val="00AD4E47"/>
    <w:rsid w:val="00AD525C"/>
    <w:rsid w:val="00AD535E"/>
    <w:rsid w:val="00AD574F"/>
    <w:rsid w:val="00AD58FF"/>
    <w:rsid w:val="00AD5A7C"/>
    <w:rsid w:val="00AD5C0F"/>
    <w:rsid w:val="00AD68F8"/>
    <w:rsid w:val="00AD6B74"/>
    <w:rsid w:val="00AD6BBD"/>
    <w:rsid w:val="00AD6DDE"/>
    <w:rsid w:val="00AD6DE3"/>
    <w:rsid w:val="00AD76C2"/>
    <w:rsid w:val="00AD7B02"/>
    <w:rsid w:val="00AE0045"/>
    <w:rsid w:val="00AE07D0"/>
    <w:rsid w:val="00AE08A4"/>
    <w:rsid w:val="00AE0ADA"/>
    <w:rsid w:val="00AE0BFF"/>
    <w:rsid w:val="00AE0EE3"/>
    <w:rsid w:val="00AE1120"/>
    <w:rsid w:val="00AE1298"/>
    <w:rsid w:val="00AE1661"/>
    <w:rsid w:val="00AE1816"/>
    <w:rsid w:val="00AE25A5"/>
    <w:rsid w:val="00AE26E3"/>
    <w:rsid w:val="00AE2ACE"/>
    <w:rsid w:val="00AE2CF2"/>
    <w:rsid w:val="00AE2E40"/>
    <w:rsid w:val="00AE332B"/>
    <w:rsid w:val="00AE376C"/>
    <w:rsid w:val="00AE3864"/>
    <w:rsid w:val="00AE3A87"/>
    <w:rsid w:val="00AE3C00"/>
    <w:rsid w:val="00AE3C05"/>
    <w:rsid w:val="00AE3C83"/>
    <w:rsid w:val="00AE4702"/>
    <w:rsid w:val="00AE490A"/>
    <w:rsid w:val="00AE4E85"/>
    <w:rsid w:val="00AE4F7D"/>
    <w:rsid w:val="00AE4FC3"/>
    <w:rsid w:val="00AE5437"/>
    <w:rsid w:val="00AE558D"/>
    <w:rsid w:val="00AE561C"/>
    <w:rsid w:val="00AE5813"/>
    <w:rsid w:val="00AE584C"/>
    <w:rsid w:val="00AE5D0F"/>
    <w:rsid w:val="00AE5DF4"/>
    <w:rsid w:val="00AE5E13"/>
    <w:rsid w:val="00AE5F13"/>
    <w:rsid w:val="00AE5FFD"/>
    <w:rsid w:val="00AE6178"/>
    <w:rsid w:val="00AE6215"/>
    <w:rsid w:val="00AE640D"/>
    <w:rsid w:val="00AE6455"/>
    <w:rsid w:val="00AE64C7"/>
    <w:rsid w:val="00AE6B7B"/>
    <w:rsid w:val="00AE6CD3"/>
    <w:rsid w:val="00AE6CF8"/>
    <w:rsid w:val="00AE6E64"/>
    <w:rsid w:val="00AE6FBF"/>
    <w:rsid w:val="00AE73C2"/>
    <w:rsid w:val="00AF08B6"/>
    <w:rsid w:val="00AF0928"/>
    <w:rsid w:val="00AF0ADD"/>
    <w:rsid w:val="00AF0D91"/>
    <w:rsid w:val="00AF0EC5"/>
    <w:rsid w:val="00AF116D"/>
    <w:rsid w:val="00AF1393"/>
    <w:rsid w:val="00AF146D"/>
    <w:rsid w:val="00AF1497"/>
    <w:rsid w:val="00AF172E"/>
    <w:rsid w:val="00AF1892"/>
    <w:rsid w:val="00AF19FF"/>
    <w:rsid w:val="00AF1B6D"/>
    <w:rsid w:val="00AF1D24"/>
    <w:rsid w:val="00AF1EC1"/>
    <w:rsid w:val="00AF202B"/>
    <w:rsid w:val="00AF2B77"/>
    <w:rsid w:val="00AF3EA8"/>
    <w:rsid w:val="00AF3F7D"/>
    <w:rsid w:val="00AF41CC"/>
    <w:rsid w:val="00AF43E3"/>
    <w:rsid w:val="00AF4727"/>
    <w:rsid w:val="00AF4860"/>
    <w:rsid w:val="00AF49D7"/>
    <w:rsid w:val="00AF4B3B"/>
    <w:rsid w:val="00AF4BC0"/>
    <w:rsid w:val="00AF4DAF"/>
    <w:rsid w:val="00AF4EC4"/>
    <w:rsid w:val="00AF4EEC"/>
    <w:rsid w:val="00AF4FAE"/>
    <w:rsid w:val="00AF526A"/>
    <w:rsid w:val="00AF545B"/>
    <w:rsid w:val="00AF5E7B"/>
    <w:rsid w:val="00AF645C"/>
    <w:rsid w:val="00AF6921"/>
    <w:rsid w:val="00AF6A27"/>
    <w:rsid w:val="00AF6F58"/>
    <w:rsid w:val="00AF7063"/>
    <w:rsid w:val="00AF7398"/>
    <w:rsid w:val="00AF78BE"/>
    <w:rsid w:val="00AF7932"/>
    <w:rsid w:val="00AF7A4F"/>
    <w:rsid w:val="00AF7AA1"/>
    <w:rsid w:val="00AF7AA4"/>
    <w:rsid w:val="00AF7C24"/>
    <w:rsid w:val="00AF7EA6"/>
    <w:rsid w:val="00B00022"/>
    <w:rsid w:val="00B002DA"/>
    <w:rsid w:val="00B006CB"/>
    <w:rsid w:val="00B0080F"/>
    <w:rsid w:val="00B008A5"/>
    <w:rsid w:val="00B00EDF"/>
    <w:rsid w:val="00B00F5C"/>
    <w:rsid w:val="00B01299"/>
    <w:rsid w:val="00B01324"/>
    <w:rsid w:val="00B016F4"/>
    <w:rsid w:val="00B02FC1"/>
    <w:rsid w:val="00B02FF4"/>
    <w:rsid w:val="00B02FF9"/>
    <w:rsid w:val="00B034CD"/>
    <w:rsid w:val="00B037C1"/>
    <w:rsid w:val="00B038C6"/>
    <w:rsid w:val="00B03EED"/>
    <w:rsid w:val="00B03FEE"/>
    <w:rsid w:val="00B0458E"/>
    <w:rsid w:val="00B04D70"/>
    <w:rsid w:val="00B052F1"/>
    <w:rsid w:val="00B053FD"/>
    <w:rsid w:val="00B054BB"/>
    <w:rsid w:val="00B0553F"/>
    <w:rsid w:val="00B05628"/>
    <w:rsid w:val="00B05EAB"/>
    <w:rsid w:val="00B05F87"/>
    <w:rsid w:val="00B05FF7"/>
    <w:rsid w:val="00B06316"/>
    <w:rsid w:val="00B063DD"/>
    <w:rsid w:val="00B06456"/>
    <w:rsid w:val="00B06AD5"/>
    <w:rsid w:val="00B06C50"/>
    <w:rsid w:val="00B07372"/>
    <w:rsid w:val="00B073B0"/>
    <w:rsid w:val="00B0742E"/>
    <w:rsid w:val="00B07672"/>
    <w:rsid w:val="00B10703"/>
    <w:rsid w:val="00B10972"/>
    <w:rsid w:val="00B10999"/>
    <w:rsid w:val="00B10E3C"/>
    <w:rsid w:val="00B11956"/>
    <w:rsid w:val="00B1208A"/>
    <w:rsid w:val="00B124AB"/>
    <w:rsid w:val="00B126AC"/>
    <w:rsid w:val="00B127F7"/>
    <w:rsid w:val="00B12F07"/>
    <w:rsid w:val="00B130C7"/>
    <w:rsid w:val="00B134FA"/>
    <w:rsid w:val="00B1356E"/>
    <w:rsid w:val="00B13BDC"/>
    <w:rsid w:val="00B141C5"/>
    <w:rsid w:val="00B14202"/>
    <w:rsid w:val="00B1498D"/>
    <w:rsid w:val="00B14B95"/>
    <w:rsid w:val="00B14DF5"/>
    <w:rsid w:val="00B15017"/>
    <w:rsid w:val="00B153A3"/>
    <w:rsid w:val="00B15559"/>
    <w:rsid w:val="00B15C80"/>
    <w:rsid w:val="00B15D69"/>
    <w:rsid w:val="00B1607F"/>
    <w:rsid w:val="00B16175"/>
    <w:rsid w:val="00B1676B"/>
    <w:rsid w:val="00B17181"/>
    <w:rsid w:val="00B175EC"/>
    <w:rsid w:val="00B176CE"/>
    <w:rsid w:val="00B17D53"/>
    <w:rsid w:val="00B20054"/>
    <w:rsid w:val="00B2018C"/>
    <w:rsid w:val="00B205EC"/>
    <w:rsid w:val="00B2063D"/>
    <w:rsid w:val="00B20876"/>
    <w:rsid w:val="00B2098D"/>
    <w:rsid w:val="00B20A4B"/>
    <w:rsid w:val="00B20ACD"/>
    <w:rsid w:val="00B20C35"/>
    <w:rsid w:val="00B20DD7"/>
    <w:rsid w:val="00B20E59"/>
    <w:rsid w:val="00B21CBE"/>
    <w:rsid w:val="00B21EAD"/>
    <w:rsid w:val="00B21FBC"/>
    <w:rsid w:val="00B220C9"/>
    <w:rsid w:val="00B22160"/>
    <w:rsid w:val="00B221D8"/>
    <w:rsid w:val="00B2259F"/>
    <w:rsid w:val="00B23321"/>
    <w:rsid w:val="00B23392"/>
    <w:rsid w:val="00B23EF9"/>
    <w:rsid w:val="00B242C4"/>
    <w:rsid w:val="00B24306"/>
    <w:rsid w:val="00B243FE"/>
    <w:rsid w:val="00B24511"/>
    <w:rsid w:val="00B247EE"/>
    <w:rsid w:val="00B2584F"/>
    <w:rsid w:val="00B261CE"/>
    <w:rsid w:val="00B263E9"/>
    <w:rsid w:val="00B264CD"/>
    <w:rsid w:val="00B2657E"/>
    <w:rsid w:val="00B2658C"/>
    <w:rsid w:val="00B2678A"/>
    <w:rsid w:val="00B2696A"/>
    <w:rsid w:val="00B26A66"/>
    <w:rsid w:val="00B27092"/>
    <w:rsid w:val="00B271D5"/>
    <w:rsid w:val="00B27A5C"/>
    <w:rsid w:val="00B27C56"/>
    <w:rsid w:val="00B27F51"/>
    <w:rsid w:val="00B301EC"/>
    <w:rsid w:val="00B301EE"/>
    <w:rsid w:val="00B30822"/>
    <w:rsid w:val="00B31054"/>
    <w:rsid w:val="00B31282"/>
    <w:rsid w:val="00B314FA"/>
    <w:rsid w:val="00B318BC"/>
    <w:rsid w:val="00B31AA8"/>
    <w:rsid w:val="00B31E19"/>
    <w:rsid w:val="00B322D6"/>
    <w:rsid w:val="00B32639"/>
    <w:rsid w:val="00B3272B"/>
    <w:rsid w:val="00B32C26"/>
    <w:rsid w:val="00B33152"/>
    <w:rsid w:val="00B33167"/>
    <w:rsid w:val="00B3355D"/>
    <w:rsid w:val="00B335A2"/>
    <w:rsid w:val="00B3363E"/>
    <w:rsid w:val="00B3367F"/>
    <w:rsid w:val="00B33696"/>
    <w:rsid w:val="00B33717"/>
    <w:rsid w:val="00B337F4"/>
    <w:rsid w:val="00B3397B"/>
    <w:rsid w:val="00B339A8"/>
    <w:rsid w:val="00B33C6F"/>
    <w:rsid w:val="00B33CDD"/>
    <w:rsid w:val="00B33D89"/>
    <w:rsid w:val="00B348C8"/>
    <w:rsid w:val="00B34924"/>
    <w:rsid w:val="00B34936"/>
    <w:rsid w:val="00B34E30"/>
    <w:rsid w:val="00B34F91"/>
    <w:rsid w:val="00B35441"/>
    <w:rsid w:val="00B35501"/>
    <w:rsid w:val="00B35E8A"/>
    <w:rsid w:val="00B366B2"/>
    <w:rsid w:val="00B368EB"/>
    <w:rsid w:val="00B36A25"/>
    <w:rsid w:val="00B37128"/>
    <w:rsid w:val="00B37FA1"/>
    <w:rsid w:val="00B402A4"/>
    <w:rsid w:val="00B40411"/>
    <w:rsid w:val="00B408CA"/>
    <w:rsid w:val="00B40C24"/>
    <w:rsid w:val="00B40D88"/>
    <w:rsid w:val="00B40E4A"/>
    <w:rsid w:val="00B41A2B"/>
    <w:rsid w:val="00B41B7B"/>
    <w:rsid w:val="00B41E86"/>
    <w:rsid w:val="00B424C0"/>
    <w:rsid w:val="00B4251E"/>
    <w:rsid w:val="00B42591"/>
    <w:rsid w:val="00B4310E"/>
    <w:rsid w:val="00B43191"/>
    <w:rsid w:val="00B43217"/>
    <w:rsid w:val="00B432DA"/>
    <w:rsid w:val="00B43799"/>
    <w:rsid w:val="00B439A7"/>
    <w:rsid w:val="00B43D8D"/>
    <w:rsid w:val="00B43FA4"/>
    <w:rsid w:val="00B442A7"/>
    <w:rsid w:val="00B44917"/>
    <w:rsid w:val="00B44CFE"/>
    <w:rsid w:val="00B44F36"/>
    <w:rsid w:val="00B45791"/>
    <w:rsid w:val="00B45B25"/>
    <w:rsid w:val="00B45B80"/>
    <w:rsid w:val="00B45BAD"/>
    <w:rsid w:val="00B45F61"/>
    <w:rsid w:val="00B45FDB"/>
    <w:rsid w:val="00B45FEF"/>
    <w:rsid w:val="00B46228"/>
    <w:rsid w:val="00B46656"/>
    <w:rsid w:val="00B467F4"/>
    <w:rsid w:val="00B46BF9"/>
    <w:rsid w:val="00B46E2F"/>
    <w:rsid w:val="00B471F0"/>
    <w:rsid w:val="00B47A40"/>
    <w:rsid w:val="00B47BBF"/>
    <w:rsid w:val="00B50045"/>
    <w:rsid w:val="00B503CA"/>
    <w:rsid w:val="00B507CA"/>
    <w:rsid w:val="00B50890"/>
    <w:rsid w:val="00B509D0"/>
    <w:rsid w:val="00B50CCE"/>
    <w:rsid w:val="00B510B0"/>
    <w:rsid w:val="00B511B2"/>
    <w:rsid w:val="00B519B3"/>
    <w:rsid w:val="00B51B4A"/>
    <w:rsid w:val="00B51C0C"/>
    <w:rsid w:val="00B51DC8"/>
    <w:rsid w:val="00B51E66"/>
    <w:rsid w:val="00B522F5"/>
    <w:rsid w:val="00B52551"/>
    <w:rsid w:val="00B5287B"/>
    <w:rsid w:val="00B52D94"/>
    <w:rsid w:val="00B531E9"/>
    <w:rsid w:val="00B5393A"/>
    <w:rsid w:val="00B54656"/>
    <w:rsid w:val="00B54778"/>
    <w:rsid w:val="00B54A2B"/>
    <w:rsid w:val="00B54D4F"/>
    <w:rsid w:val="00B55482"/>
    <w:rsid w:val="00B556C0"/>
    <w:rsid w:val="00B5574E"/>
    <w:rsid w:val="00B5577E"/>
    <w:rsid w:val="00B55933"/>
    <w:rsid w:val="00B55C9E"/>
    <w:rsid w:val="00B55DBF"/>
    <w:rsid w:val="00B55DE7"/>
    <w:rsid w:val="00B55E74"/>
    <w:rsid w:val="00B5625C"/>
    <w:rsid w:val="00B56366"/>
    <w:rsid w:val="00B56FB6"/>
    <w:rsid w:val="00B56FC0"/>
    <w:rsid w:val="00B57124"/>
    <w:rsid w:val="00B57194"/>
    <w:rsid w:val="00B57614"/>
    <w:rsid w:val="00B5761C"/>
    <w:rsid w:val="00B5797E"/>
    <w:rsid w:val="00B579A5"/>
    <w:rsid w:val="00B57AB9"/>
    <w:rsid w:val="00B57F1D"/>
    <w:rsid w:val="00B607BC"/>
    <w:rsid w:val="00B60ADD"/>
    <w:rsid w:val="00B60C59"/>
    <w:rsid w:val="00B61006"/>
    <w:rsid w:val="00B61021"/>
    <w:rsid w:val="00B61244"/>
    <w:rsid w:val="00B6161A"/>
    <w:rsid w:val="00B616A4"/>
    <w:rsid w:val="00B61A4C"/>
    <w:rsid w:val="00B61FE1"/>
    <w:rsid w:val="00B621A5"/>
    <w:rsid w:val="00B622D0"/>
    <w:rsid w:val="00B624E4"/>
    <w:rsid w:val="00B62952"/>
    <w:rsid w:val="00B62C00"/>
    <w:rsid w:val="00B63B59"/>
    <w:rsid w:val="00B640E1"/>
    <w:rsid w:val="00B64202"/>
    <w:rsid w:val="00B6434B"/>
    <w:rsid w:val="00B645AB"/>
    <w:rsid w:val="00B64CD8"/>
    <w:rsid w:val="00B64D25"/>
    <w:rsid w:val="00B65234"/>
    <w:rsid w:val="00B652F1"/>
    <w:rsid w:val="00B65316"/>
    <w:rsid w:val="00B6576F"/>
    <w:rsid w:val="00B65D63"/>
    <w:rsid w:val="00B66012"/>
    <w:rsid w:val="00B664FE"/>
    <w:rsid w:val="00B665B8"/>
    <w:rsid w:val="00B66DC1"/>
    <w:rsid w:val="00B66E5F"/>
    <w:rsid w:val="00B66FCD"/>
    <w:rsid w:val="00B6721C"/>
    <w:rsid w:val="00B677A7"/>
    <w:rsid w:val="00B67B92"/>
    <w:rsid w:val="00B67F35"/>
    <w:rsid w:val="00B701B6"/>
    <w:rsid w:val="00B70379"/>
    <w:rsid w:val="00B70AA2"/>
    <w:rsid w:val="00B70AFD"/>
    <w:rsid w:val="00B70E64"/>
    <w:rsid w:val="00B717BC"/>
    <w:rsid w:val="00B71821"/>
    <w:rsid w:val="00B719EB"/>
    <w:rsid w:val="00B71A30"/>
    <w:rsid w:val="00B71D13"/>
    <w:rsid w:val="00B7250B"/>
    <w:rsid w:val="00B7274F"/>
    <w:rsid w:val="00B72859"/>
    <w:rsid w:val="00B72983"/>
    <w:rsid w:val="00B72AC0"/>
    <w:rsid w:val="00B72B39"/>
    <w:rsid w:val="00B73625"/>
    <w:rsid w:val="00B73873"/>
    <w:rsid w:val="00B74171"/>
    <w:rsid w:val="00B74194"/>
    <w:rsid w:val="00B74324"/>
    <w:rsid w:val="00B746A8"/>
    <w:rsid w:val="00B746BA"/>
    <w:rsid w:val="00B751C4"/>
    <w:rsid w:val="00B75503"/>
    <w:rsid w:val="00B7597E"/>
    <w:rsid w:val="00B75CAD"/>
    <w:rsid w:val="00B75E0C"/>
    <w:rsid w:val="00B75E3B"/>
    <w:rsid w:val="00B767E5"/>
    <w:rsid w:val="00B767FE"/>
    <w:rsid w:val="00B769F9"/>
    <w:rsid w:val="00B76AA2"/>
    <w:rsid w:val="00B76D3C"/>
    <w:rsid w:val="00B76EF8"/>
    <w:rsid w:val="00B7730A"/>
    <w:rsid w:val="00B776AA"/>
    <w:rsid w:val="00B77EFB"/>
    <w:rsid w:val="00B801D3"/>
    <w:rsid w:val="00B803B4"/>
    <w:rsid w:val="00B80635"/>
    <w:rsid w:val="00B806CC"/>
    <w:rsid w:val="00B80D1E"/>
    <w:rsid w:val="00B80D42"/>
    <w:rsid w:val="00B80FF8"/>
    <w:rsid w:val="00B814D9"/>
    <w:rsid w:val="00B814F9"/>
    <w:rsid w:val="00B8193E"/>
    <w:rsid w:val="00B81D49"/>
    <w:rsid w:val="00B81EFF"/>
    <w:rsid w:val="00B81FFA"/>
    <w:rsid w:val="00B82138"/>
    <w:rsid w:val="00B8240A"/>
    <w:rsid w:val="00B82A0D"/>
    <w:rsid w:val="00B82A3E"/>
    <w:rsid w:val="00B82C1A"/>
    <w:rsid w:val="00B8392A"/>
    <w:rsid w:val="00B83F3B"/>
    <w:rsid w:val="00B8425C"/>
    <w:rsid w:val="00B847E3"/>
    <w:rsid w:val="00B85186"/>
    <w:rsid w:val="00B85194"/>
    <w:rsid w:val="00B852B5"/>
    <w:rsid w:val="00B85A45"/>
    <w:rsid w:val="00B85AC6"/>
    <w:rsid w:val="00B85B2A"/>
    <w:rsid w:val="00B85F93"/>
    <w:rsid w:val="00B8683D"/>
    <w:rsid w:val="00B86CAD"/>
    <w:rsid w:val="00B86F34"/>
    <w:rsid w:val="00B87469"/>
    <w:rsid w:val="00B87D0E"/>
    <w:rsid w:val="00B90291"/>
    <w:rsid w:val="00B90457"/>
    <w:rsid w:val="00B909A6"/>
    <w:rsid w:val="00B909A7"/>
    <w:rsid w:val="00B90C1B"/>
    <w:rsid w:val="00B90C61"/>
    <w:rsid w:val="00B90E5E"/>
    <w:rsid w:val="00B91990"/>
    <w:rsid w:val="00B91C78"/>
    <w:rsid w:val="00B91EE8"/>
    <w:rsid w:val="00B91F03"/>
    <w:rsid w:val="00B92312"/>
    <w:rsid w:val="00B9258F"/>
    <w:rsid w:val="00B926D1"/>
    <w:rsid w:val="00B9287E"/>
    <w:rsid w:val="00B928DD"/>
    <w:rsid w:val="00B92D09"/>
    <w:rsid w:val="00B92E45"/>
    <w:rsid w:val="00B934A3"/>
    <w:rsid w:val="00B93507"/>
    <w:rsid w:val="00B93AB1"/>
    <w:rsid w:val="00B93CA1"/>
    <w:rsid w:val="00B93D32"/>
    <w:rsid w:val="00B93D46"/>
    <w:rsid w:val="00B93F44"/>
    <w:rsid w:val="00B93F5F"/>
    <w:rsid w:val="00B9426D"/>
    <w:rsid w:val="00B944B7"/>
    <w:rsid w:val="00B94ACA"/>
    <w:rsid w:val="00B94AE9"/>
    <w:rsid w:val="00B94BCF"/>
    <w:rsid w:val="00B94F87"/>
    <w:rsid w:val="00B9525E"/>
    <w:rsid w:val="00B95804"/>
    <w:rsid w:val="00B95ED0"/>
    <w:rsid w:val="00B95FE7"/>
    <w:rsid w:val="00B960BB"/>
    <w:rsid w:val="00B96DFC"/>
    <w:rsid w:val="00B9771F"/>
    <w:rsid w:val="00B97F45"/>
    <w:rsid w:val="00BA000B"/>
    <w:rsid w:val="00BA039F"/>
    <w:rsid w:val="00BA0401"/>
    <w:rsid w:val="00BA05F0"/>
    <w:rsid w:val="00BA0699"/>
    <w:rsid w:val="00BA0908"/>
    <w:rsid w:val="00BA114E"/>
    <w:rsid w:val="00BA1502"/>
    <w:rsid w:val="00BA1BDD"/>
    <w:rsid w:val="00BA1D33"/>
    <w:rsid w:val="00BA1E2B"/>
    <w:rsid w:val="00BA25DE"/>
    <w:rsid w:val="00BA2CB7"/>
    <w:rsid w:val="00BA3018"/>
    <w:rsid w:val="00BA3032"/>
    <w:rsid w:val="00BA3797"/>
    <w:rsid w:val="00BA3A4F"/>
    <w:rsid w:val="00BA3F3D"/>
    <w:rsid w:val="00BA4591"/>
    <w:rsid w:val="00BA48CB"/>
    <w:rsid w:val="00BA48E0"/>
    <w:rsid w:val="00BA4BC7"/>
    <w:rsid w:val="00BA4CCB"/>
    <w:rsid w:val="00BA5A80"/>
    <w:rsid w:val="00BA5C64"/>
    <w:rsid w:val="00BA60A8"/>
    <w:rsid w:val="00BA673E"/>
    <w:rsid w:val="00BA682C"/>
    <w:rsid w:val="00BA6851"/>
    <w:rsid w:val="00BA6954"/>
    <w:rsid w:val="00BA69B3"/>
    <w:rsid w:val="00BA6E74"/>
    <w:rsid w:val="00BA7392"/>
    <w:rsid w:val="00BA7665"/>
    <w:rsid w:val="00BA7988"/>
    <w:rsid w:val="00BB025C"/>
    <w:rsid w:val="00BB02C1"/>
    <w:rsid w:val="00BB05E3"/>
    <w:rsid w:val="00BB0797"/>
    <w:rsid w:val="00BB0A2F"/>
    <w:rsid w:val="00BB0DED"/>
    <w:rsid w:val="00BB0EE2"/>
    <w:rsid w:val="00BB11E5"/>
    <w:rsid w:val="00BB1933"/>
    <w:rsid w:val="00BB1942"/>
    <w:rsid w:val="00BB1952"/>
    <w:rsid w:val="00BB1BC2"/>
    <w:rsid w:val="00BB1E3E"/>
    <w:rsid w:val="00BB1EC7"/>
    <w:rsid w:val="00BB230B"/>
    <w:rsid w:val="00BB2627"/>
    <w:rsid w:val="00BB26D4"/>
    <w:rsid w:val="00BB2A7F"/>
    <w:rsid w:val="00BB2EDD"/>
    <w:rsid w:val="00BB3222"/>
    <w:rsid w:val="00BB35D3"/>
    <w:rsid w:val="00BB3654"/>
    <w:rsid w:val="00BB369D"/>
    <w:rsid w:val="00BB3A25"/>
    <w:rsid w:val="00BB4056"/>
    <w:rsid w:val="00BB485B"/>
    <w:rsid w:val="00BB4925"/>
    <w:rsid w:val="00BB4BBD"/>
    <w:rsid w:val="00BB4D6B"/>
    <w:rsid w:val="00BB4F0D"/>
    <w:rsid w:val="00BB5013"/>
    <w:rsid w:val="00BB5254"/>
    <w:rsid w:val="00BB5D86"/>
    <w:rsid w:val="00BB5EE9"/>
    <w:rsid w:val="00BB6132"/>
    <w:rsid w:val="00BB62AF"/>
    <w:rsid w:val="00BB645C"/>
    <w:rsid w:val="00BB6544"/>
    <w:rsid w:val="00BB67F1"/>
    <w:rsid w:val="00BB6FCC"/>
    <w:rsid w:val="00BB7104"/>
    <w:rsid w:val="00BB7357"/>
    <w:rsid w:val="00BB7372"/>
    <w:rsid w:val="00BB73CB"/>
    <w:rsid w:val="00BB79D7"/>
    <w:rsid w:val="00BB7C5C"/>
    <w:rsid w:val="00BB7D84"/>
    <w:rsid w:val="00BB7E84"/>
    <w:rsid w:val="00BC0451"/>
    <w:rsid w:val="00BC0A6A"/>
    <w:rsid w:val="00BC0CC0"/>
    <w:rsid w:val="00BC0DC6"/>
    <w:rsid w:val="00BC1127"/>
    <w:rsid w:val="00BC123A"/>
    <w:rsid w:val="00BC12C4"/>
    <w:rsid w:val="00BC1451"/>
    <w:rsid w:val="00BC1B23"/>
    <w:rsid w:val="00BC1C95"/>
    <w:rsid w:val="00BC22C6"/>
    <w:rsid w:val="00BC2519"/>
    <w:rsid w:val="00BC25D6"/>
    <w:rsid w:val="00BC27C7"/>
    <w:rsid w:val="00BC2BF2"/>
    <w:rsid w:val="00BC2C7E"/>
    <w:rsid w:val="00BC2EBA"/>
    <w:rsid w:val="00BC2F77"/>
    <w:rsid w:val="00BC356E"/>
    <w:rsid w:val="00BC37DE"/>
    <w:rsid w:val="00BC3E3C"/>
    <w:rsid w:val="00BC4441"/>
    <w:rsid w:val="00BC45A1"/>
    <w:rsid w:val="00BC45D0"/>
    <w:rsid w:val="00BC4B33"/>
    <w:rsid w:val="00BC4D2A"/>
    <w:rsid w:val="00BC4D7B"/>
    <w:rsid w:val="00BC5004"/>
    <w:rsid w:val="00BC5231"/>
    <w:rsid w:val="00BC5705"/>
    <w:rsid w:val="00BC58DA"/>
    <w:rsid w:val="00BC5A74"/>
    <w:rsid w:val="00BC5D16"/>
    <w:rsid w:val="00BC5D3F"/>
    <w:rsid w:val="00BC5D9E"/>
    <w:rsid w:val="00BC5F6C"/>
    <w:rsid w:val="00BC6124"/>
    <w:rsid w:val="00BC624A"/>
    <w:rsid w:val="00BC74EC"/>
    <w:rsid w:val="00BC77ED"/>
    <w:rsid w:val="00BC7C43"/>
    <w:rsid w:val="00BD0048"/>
    <w:rsid w:val="00BD01A2"/>
    <w:rsid w:val="00BD04C0"/>
    <w:rsid w:val="00BD0645"/>
    <w:rsid w:val="00BD0699"/>
    <w:rsid w:val="00BD0860"/>
    <w:rsid w:val="00BD0E07"/>
    <w:rsid w:val="00BD12E3"/>
    <w:rsid w:val="00BD18DE"/>
    <w:rsid w:val="00BD1ABB"/>
    <w:rsid w:val="00BD1F60"/>
    <w:rsid w:val="00BD2075"/>
    <w:rsid w:val="00BD2760"/>
    <w:rsid w:val="00BD2C85"/>
    <w:rsid w:val="00BD318B"/>
    <w:rsid w:val="00BD3215"/>
    <w:rsid w:val="00BD3E24"/>
    <w:rsid w:val="00BD3F34"/>
    <w:rsid w:val="00BD40F0"/>
    <w:rsid w:val="00BD43A7"/>
    <w:rsid w:val="00BD52AD"/>
    <w:rsid w:val="00BD56F7"/>
    <w:rsid w:val="00BD5A24"/>
    <w:rsid w:val="00BD5BB9"/>
    <w:rsid w:val="00BD5C4A"/>
    <w:rsid w:val="00BD5CD8"/>
    <w:rsid w:val="00BD6162"/>
    <w:rsid w:val="00BD642B"/>
    <w:rsid w:val="00BD6439"/>
    <w:rsid w:val="00BD684D"/>
    <w:rsid w:val="00BD6A95"/>
    <w:rsid w:val="00BD70FC"/>
    <w:rsid w:val="00BD7102"/>
    <w:rsid w:val="00BD715E"/>
    <w:rsid w:val="00BD7AAB"/>
    <w:rsid w:val="00BE0368"/>
    <w:rsid w:val="00BE06C0"/>
    <w:rsid w:val="00BE06D5"/>
    <w:rsid w:val="00BE06ED"/>
    <w:rsid w:val="00BE0867"/>
    <w:rsid w:val="00BE0B18"/>
    <w:rsid w:val="00BE0C3A"/>
    <w:rsid w:val="00BE13F4"/>
    <w:rsid w:val="00BE1411"/>
    <w:rsid w:val="00BE1631"/>
    <w:rsid w:val="00BE1B35"/>
    <w:rsid w:val="00BE1DB7"/>
    <w:rsid w:val="00BE22BB"/>
    <w:rsid w:val="00BE2564"/>
    <w:rsid w:val="00BE2978"/>
    <w:rsid w:val="00BE2A71"/>
    <w:rsid w:val="00BE2E9A"/>
    <w:rsid w:val="00BE30F4"/>
    <w:rsid w:val="00BE31E6"/>
    <w:rsid w:val="00BE33B1"/>
    <w:rsid w:val="00BE3627"/>
    <w:rsid w:val="00BE3926"/>
    <w:rsid w:val="00BE39CC"/>
    <w:rsid w:val="00BE4026"/>
    <w:rsid w:val="00BE40BE"/>
    <w:rsid w:val="00BE44A6"/>
    <w:rsid w:val="00BE45A3"/>
    <w:rsid w:val="00BE48AA"/>
    <w:rsid w:val="00BE56D0"/>
    <w:rsid w:val="00BE5F63"/>
    <w:rsid w:val="00BE6114"/>
    <w:rsid w:val="00BE6330"/>
    <w:rsid w:val="00BE689C"/>
    <w:rsid w:val="00BE699E"/>
    <w:rsid w:val="00BE6E71"/>
    <w:rsid w:val="00BE71E8"/>
    <w:rsid w:val="00BE725E"/>
    <w:rsid w:val="00BE7303"/>
    <w:rsid w:val="00BE78F4"/>
    <w:rsid w:val="00BE7D93"/>
    <w:rsid w:val="00BF0285"/>
    <w:rsid w:val="00BF0288"/>
    <w:rsid w:val="00BF043D"/>
    <w:rsid w:val="00BF0470"/>
    <w:rsid w:val="00BF09A0"/>
    <w:rsid w:val="00BF0B21"/>
    <w:rsid w:val="00BF0D19"/>
    <w:rsid w:val="00BF1032"/>
    <w:rsid w:val="00BF19D0"/>
    <w:rsid w:val="00BF1A95"/>
    <w:rsid w:val="00BF217B"/>
    <w:rsid w:val="00BF22DD"/>
    <w:rsid w:val="00BF23A2"/>
    <w:rsid w:val="00BF26C8"/>
    <w:rsid w:val="00BF28F4"/>
    <w:rsid w:val="00BF30AA"/>
    <w:rsid w:val="00BF31A5"/>
    <w:rsid w:val="00BF31AB"/>
    <w:rsid w:val="00BF347B"/>
    <w:rsid w:val="00BF397E"/>
    <w:rsid w:val="00BF3DA8"/>
    <w:rsid w:val="00BF3F5C"/>
    <w:rsid w:val="00BF40EC"/>
    <w:rsid w:val="00BF4141"/>
    <w:rsid w:val="00BF4840"/>
    <w:rsid w:val="00BF4B8B"/>
    <w:rsid w:val="00BF4D76"/>
    <w:rsid w:val="00BF4D93"/>
    <w:rsid w:val="00BF4F46"/>
    <w:rsid w:val="00BF5020"/>
    <w:rsid w:val="00BF5038"/>
    <w:rsid w:val="00BF514D"/>
    <w:rsid w:val="00BF5421"/>
    <w:rsid w:val="00BF55A8"/>
    <w:rsid w:val="00BF55F4"/>
    <w:rsid w:val="00BF5AB5"/>
    <w:rsid w:val="00BF5F4A"/>
    <w:rsid w:val="00BF6385"/>
    <w:rsid w:val="00BF6629"/>
    <w:rsid w:val="00BF67DA"/>
    <w:rsid w:val="00BF6AA1"/>
    <w:rsid w:val="00BF72F4"/>
    <w:rsid w:val="00BF7469"/>
    <w:rsid w:val="00BF764C"/>
    <w:rsid w:val="00BF799F"/>
    <w:rsid w:val="00BF7B90"/>
    <w:rsid w:val="00C00ADD"/>
    <w:rsid w:val="00C00D84"/>
    <w:rsid w:val="00C01413"/>
    <w:rsid w:val="00C01550"/>
    <w:rsid w:val="00C01573"/>
    <w:rsid w:val="00C01611"/>
    <w:rsid w:val="00C01B95"/>
    <w:rsid w:val="00C01C3A"/>
    <w:rsid w:val="00C01F3B"/>
    <w:rsid w:val="00C0200B"/>
    <w:rsid w:val="00C025BE"/>
    <w:rsid w:val="00C027C8"/>
    <w:rsid w:val="00C0292C"/>
    <w:rsid w:val="00C02B48"/>
    <w:rsid w:val="00C02B8B"/>
    <w:rsid w:val="00C02D0E"/>
    <w:rsid w:val="00C02F78"/>
    <w:rsid w:val="00C0300F"/>
    <w:rsid w:val="00C037AE"/>
    <w:rsid w:val="00C03A83"/>
    <w:rsid w:val="00C03CC7"/>
    <w:rsid w:val="00C03D7E"/>
    <w:rsid w:val="00C03E09"/>
    <w:rsid w:val="00C03F4F"/>
    <w:rsid w:val="00C04146"/>
    <w:rsid w:val="00C043C4"/>
    <w:rsid w:val="00C0490F"/>
    <w:rsid w:val="00C04CEB"/>
    <w:rsid w:val="00C04D75"/>
    <w:rsid w:val="00C04ECF"/>
    <w:rsid w:val="00C05171"/>
    <w:rsid w:val="00C052CE"/>
    <w:rsid w:val="00C056B6"/>
    <w:rsid w:val="00C06855"/>
    <w:rsid w:val="00C06A58"/>
    <w:rsid w:val="00C07666"/>
    <w:rsid w:val="00C07A41"/>
    <w:rsid w:val="00C100B1"/>
    <w:rsid w:val="00C100C3"/>
    <w:rsid w:val="00C103C5"/>
    <w:rsid w:val="00C1066D"/>
    <w:rsid w:val="00C1074E"/>
    <w:rsid w:val="00C10CEA"/>
    <w:rsid w:val="00C10EF1"/>
    <w:rsid w:val="00C110D8"/>
    <w:rsid w:val="00C11253"/>
    <w:rsid w:val="00C114BA"/>
    <w:rsid w:val="00C11522"/>
    <w:rsid w:val="00C11904"/>
    <w:rsid w:val="00C11A48"/>
    <w:rsid w:val="00C11B65"/>
    <w:rsid w:val="00C11D1D"/>
    <w:rsid w:val="00C12685"/>
    <w:rsid w:val="00C12AFC"/>
    <w:rsid w:val="00C12D18"/>
    <w:rsid w:val="00C13190"/>
    <w:rsid w:val="00C1358B"/>
    <w:rsid w:val="00C1383D"/>
    <w:rsid w:val="00C13DA3"/>
    <w:rsid w:val="00C13EBA"/>
    <w:rsid w:val="00C140ED"/>
    <w:rsid w:val="00C14372"/>
    <w:rsid w:val="00C14749"/>
    <w:rsid w:val="00C14A57"/>
    <w:rsid w:val="00C14ECD"/>
    <w:rsid w:val="00C14FA4"/>
    <w:rsid w:val="00C1511A"/>
    <w:rsid w:val="00C1551C"/>
    <w:rsid w:val="00C157BC"/>
    <w:rsid w:val="00C15A3C"/>
    <w:rsid w:val="00C15D0D"/>
    <w:rsid w:val="00C15FA9"/>
    <w:rsid w:val="00C16225"/>
    <w:rsid w:val="00C1739B"/>
    <w:rsid w:val="00C174A6"/>
    <w:rsid w:val="00C174FF"/>
    <w:rsid w:val="00C17532"/>
    <w:rsid w:val="00C176B5"/>
    <w:rsid w:val="00C17C77"/>
    <w:rsid w:val="00C17DB4"/>
    <w:rsid w:val="00C17DCF"/>
    <w:rsid w:val="00C202D7"/>
    <w:rsid w:val="00C20343"/>
    <w:rsid w:val="00C2054A"/>
    <w:rsid w:val="00C20774"/>
    <w:rsid w:val="00C20806"/>
    <w:rsid w:val="00C20850"/>
    <w:rsid w:val="00C20A57"/>
    <w:rsid w:val="00C20B3D"/>
    <w:rsid w:val="00C20B5D"/>
    <w:rsid w:val="00C20C78"/>
    <w:rsid w:val="00C21186"/>
    <w:rsid w:val="00C21527"/>
    <w:rsid w:val="00C21AAA"/>
    <w:rsid w:val="00C21F06"/>
    <w:rsid w:val="00C21F35"/>
    <w:rsid w:val="00C221BE"/>
    <w:rsid w:val="00C2285E"/>
    <w:rsid w:val="00C22E0F"/>
    <w:rsid w:val="00C230B9"/>
    <w:rsid w:val="00C234D3"/>
    <w:rsid w:val="00C23835"/>
    <w:rsid w:val="00C23FBA"/>
    <w:rsid w:val="00C243BA"/>
    <w:rsid w:val="00C246DE"/>
    <w:rsid w:val="00C247BC"/>
    <w:rsid w:val="00C24BBE"/>
    <w:rsid w:val="00C24F28"/>
    <w:rsid w:val="00C2522B"/>
    <w:rsid w:val="00C25256"/>
    <w:rsid w:val="00C25698"/>
    <w:rsid w:val="00C256ED"/>
    <w:rsid w:val="00C2580B"/>
    <w:rsid w:val="00C260AB"/>
    <w:rsid w:val="00C263CD"/>
    <w:rsid w:val="00C26A05"/>
    <w:rsid w:val="00C26B04"/>
    <w:rsid w:val="00C26F40"/>
    <w:rsid w:val="00C27176"/>
    <w:rsid w:val="00C2744C"/>
    <w:rsid w:val="00C274CD"/>
    <w:rsid w:val="00C27653"/>
    <w:rsid w:val="00C27E89"/>
    <w:rsid w:val="00C301BA"/>
    <w:rsid w:val="00C30DFA"/>
    <w:rsid w:val="00C31614"/>
    <w:rsid w:val="00C317DA"/>
    <w:rsid w:val="00C3183F"/>
    <w:rsid w:val="00C31C1A"/>
    <w:rsid w:val="00C31FF5"/>
    <w:rsid w:val="00C32E05"/>
    <w:rsid w:val="00C32F24"/>
    <w:rsid w:val="00C33001"/>
    <w:rsid w:val="00C33420"/>
    <w:rsid w:val="00C33489"/>
    <w:rsid w:val="00C33581"/>
    <w:rsid w:val="00C33B1F"/>
    <w:rsid w:val="00C33EA5"/>
    <w:rsid w:val="00C341C3"/>
    <w:rsid w:val="00C356A5"/>
    <w:rsid w:val="00C356FA"/>
    <w:rsid w:val="00C357F5"/>
    <w:rsid w:val="00C35AE5"/>
    <w:rsid w:val="00C36341"/>
    <w:rsid w:val="00C36477"/>
    <w:rsid w:val="00C36589"/>
    <w:rsid w:val="00C36846"/>
    <w:rsid w:val="00C36992"/>
    <w:rsid w:val="00C36A17"/>
    <w:rsid w:val="00C37259"/>
    <w:rsid w:val="00C37A9E"/>
    <w:rsid w:val="00C4034F"/>
    <w:rsid w:val="00C405B9"/>
    <w:rsid w:val="00C40D21"/>
    <w:rsid w:val="00C40EB0"/>
    <w:rsid w:val="00C410E1"/>
    <w:rsid w:val="00C41346"/>
    <w:rsid w:val="00C413E4"/>
    <w:rsid w:val="00C417EF"/>
    <w:rsid w:val="00C41BA0"/>
    <w:rsid w:val="00C42202"/>
    <w:rsid w:val="00C42511"/>
    <w:rsid w:val="00C42821"/>
    <w:rsid w:val="00C4287D"/>
    <w:rsid w:val="00C42A05"/>
    <w:rsid w:val="00C42A78"/>
    <w:rsid w:val="00C42B8E"/>
    <w:rsid w:val="00C4315A"/>
    <w:rsid w:val="00C432BE"/>
    <w:rsid w:val="00C43ACA"/>
    <w:rsid w:val="00C44398"/>
    <w:rsid w:val="00C44563"/>
    <w:rsid w:val="00C44662"/>
    <w:rsid w:val="00C448A3"/>
    <w:rsid w:val="00C44BED"/>
    <w:rsid w:val="00C44FAC"/>
    <w:rsid w:val="00C457DD"/>
    <w:rsid w:val="00C45913"/>
    <w:rsid w:val="00C45F53"/>
    <w:rsid w:val="00C45FC1"/>
    <w:rsid w:val="00C4679F"/>
    <w:rsid w:val="00C46879"/>
    <w:rsid w:val="00C46915"/>
    <w:rsid w:val="00C46A06"/>
    <w:rsid w:val="00C46ED3"/>
    <w:rsid w:val="00C47CB5"/>
    <w:rsid w:val="00C50A33"/>
    <w:rsid w:val="00C50C16"/>
    <w:rsid w:val="00C50F0B"/>
    <w:rsid w:val="00C513A3"/>
    <w:rsid w:val="00C5147B"/>
    <w:rsid w:val="00C51EF2"/>
    <w:rsid w:val="00C520C1"/>
    <w:rsid w:val="00C522DD"/>
    <w:rsid w:val="00C52E4F"/>
    <w:rsid w:val="00C52E5F"/>
    <w:rsid w:val="00C53724"/>
    <w:rsid w:val="00C540B2"/>
    <w:rsid w:val="00C542D6"/>
    <w:rsid w:val="00C54505"/>
    <w:rsid w:val="00C54955"/>
    <w:rsid w:val="00C54C5D"/>
    <w:rsid w:val="00C55128"/>
    <w:rsid w:val="00C55131"/>
    <w:rsid w:val="00C55413"/>
    <w:rsid w:val="00C55AF7"/>
    <w:rsid w:val="00C55B1B"/>
    <w:rsid w:val="00C55C89"/>
    <w:rsid w:val="00C56324"/>
    <w:rsid w:val="00C5637C"/>
    <w:rsid w:val="00C5648E"/>
    <w:rsid w:val="00C56744"/>
    <w:rsid w:val="00C56D4F"/>
    <w:rsid w:val="00C56DDB"/>
    <w:rsid w:val="00C5727F"/>
    <w:rsid w:val="00C575BA"/>
    <w:rsid w:val="00C577A0"/>
    <w:rsid w:val="00C57A41"/>
    <w:rsid w:val="00C57A81"/>
    <w:rsid w:val="00C57E9F"/>
    <w:rsid w:val="00C601FD"/>
    <w:rsid w:val="00C60393"/>
    <w:rsid w:val="00C60953"/>
    <w:rsid w:val="00C609AC"/>
    <w:rsid w:val="00C60BDF"/>
    <w:rsid w:val="00C60C16"/>
    <w:rsid w:val="00C6127C"/>
    <w:rsid w:val="00C61310"/>
    <w:rsid w:val="00C6173E"/>
    <w:rsid w:val="00C617D1"/>
    <w:rsid w:val="00C61E39"/>
    <w:rsid w:val="00C61E78"/>
    <w:rsid w:val="00C62498"/>
    <w:rsid w:val="00C624B7"/>
    <w:rsid w:val="00C62B48"/>
    <w:rsid w:val="00C630B2"/>
    <w:rsid w:val="00C631A1"/>
    <w:rsid w:val="00C632DD"/>
    <w:rsid w:val="00C63BC6"/>
    <w:rsid w:val="00C6481C"/>
    <w:rsid w:val="00C64F60"/>
    <w:rsid w:val="00C655B5"/>
    <w:rsid w:val="00C65627"/>
    <w:rsid w:val="00C658A4"/>
    <w:rsid w:val="00C6593E"/>
    <w:rsid w:val="00C65C2A"/>
    <w:rsid w:val="00C663CE"/>
    <w:rsid w:val="00C663DB"/>
    <w:rsid w:val="00C66561"/>
    <w:rsid w:val="00C66A66"/>
    <w:rsid w:val="00C66D01"/>
    <w:rsid w:val="00C66D06"/>
    <w:rsid w:val="00C6762E"/>
    <w:rsid w:val="00C678A3"/>
    <w:rsid w:val="00C70034"/>
    <w:rsid w:val="00C704B0"/>
    <w:rsid w:val="00C70A9D"/>
    <w:rsid w:val="00C70AC3"/>
    <w:rsid w:val="00C70BB9"/>
    <w:rsid w:val="00C713F4"/>
    <w:rsid w:val="00C716F4"/>
    <w:rsid w:val="00C720AF"/>
    <w:rsid w:val="00C724E4"/>
    <w:rsid w:val="00C72BF4"/>
    <w:rsid w:val="00C73326"/>
    <w:rsid w:val="00C7384B"/>
    <w:rsid w:val="00C73AE2"/>
    <w:rsid w:val="00C73F33"/>
    <w:rsid w:val="00C74660"/>
    <w:rsid w:val="00C74673"/>
    <w:rsid w:val="00C74CFA"/>
    <w:rsid w:val="00C74ED2"/>
    <w:rsid w:val="00C75334"/>
    <w:rsid w:val="00C760CE"/>
    <w:rsid w:val="00C7640A"/>
    <w:rsid w:val="00C764AB"/>
    <w:rsid w:val="00C767C8"/>
    <w:rsid w:val="00C76BFD"/>
    <w:rsid w:val="00C76CC3"/>
    <w:rsid w:val="00C76D70"/>
    <w:rsid w:val="00C76FD8"/>
    <w:rsid w:val="00C77EE0"/>
    <w:rsid w:val="00C8001C"/>
    <w:rsid w:val="00C8011A"/>
    <w:rsid w:val="00C8071C"/>
    <w:rsid w:val="00C80847"/>
    <w:rsid w:val="00C80900"/>
    <w:rsid w:val="00C80EF3"/>
    <w:rsid w:val="00C80FA0"/>
    <w:rsid w:val="00C81297"/>
    <w:rsid w:val="00C81A4A"/>
    <w:rsid w:val="00C81ED1"/>
    <w:rsid w:val="00C8227F"/>
    <w:rsid w:val="00C8241F"/>
    <w:rsid w:val="00C8246D"/>
    <w:rsid w:val="00C82A3C"/>
    <w:rsid w:val="00C83199"/>
    <w:rsid w:val="00C8357E"/>
    <w:rsid w:val="00C838BE"/>
    <w:rsid w:val="00C83A79"/>
    <w:rsid w:val="00C83AA6"/>
    <w:rsid w:val="00C84769"/>
    <w:rsid w:val="00C84A72"/>
    <w:rsid w:val="00C84AA1"/>
    <w:rsid w:val="00C84ACE"/>
    <w:rsid w:val="00C84DD6"/>
    <w:rsid w:val="00C85108"/>
    <w:rsid w:val="00C862CB"/>
    <w:rsid w:val="00C86416"/>
    <w:rsid w:val="00C864A9"/>
    <w:rsid w:val="00C866BD"/>
    <w:rsid w:val="00C8680F"/>
    <w:rsid w:val="00C8696D"/>
    <w:rsid w:val="00C871E5"/>
    <w:rsid w:val="00C872AA"/>
    <w:rsid w:val="00C873DB"/>
    <w:rsid w:val="00C8750B"/>
    <w:rsid w:val="00C879CB"/>
    <w:rsid w:val="00C87B31"/>
    <w:rsid w:val="00C87C10"/>
    <w:rsid w:val="00C90311"/>
    <w:rsid w:val="00C904D5"/>
    <w:rsid w:val="00C90E5D"/>
    <w:rsid w:val="00C91B4A"/>
    <w:rsid w:val="00C91CA8"/>
    <w:rsid w:val="00C91D7D"/>
    <w:rsid w:val="00C91F1D"/>
    <w:rsid w:val="00C92209"/>
    <w:rsid w:val="00C92313"/>
    <w:rsid w:val="00C9264F"/>
    <w:rsid w:val="00C927D4"/>
    <w:rsid w:val="00C92B0D"/>
    <w:rsid w:val="00C92CBB"/>
    <w:rsid w:val="00C937AC"/>
    <w:rsid w:val="00C9386E"/>
    <w:rsid w:val="00C94A36"/>
    <w:rsid w:val="00C94B57"/>
    <w:rsid w:val="00C95480"/>
    <w:rsid w:val="00C95578"/>
    <w:rsid w:val="00C958DC"/>
    <w:rsid w:val="00C95CF6"/>
    <w:rsid w:val="00C95E8B"/>
    <w:rsid w:val="00C95EF5"/>
    <w:rsid w:val="00C96483"/>
    <w:rsid w:val="00C96646"/>
    <w:rsid w:val="00C96674"/>
    <w:rsid w:val="00C96E29"/>
    <w:rsid w:val="00C9787A"/>
    <w:rsid w:val="00C9793F"/>
    <w:rsid w:val="00C97A62"/>
    <w:rsid w:val="00C97AE6"/>
    <w:rsid w:val="00CA01EB"/>
    <w:rsid w:val="00CA0484"/>
    <w:rsid w:val="00CA0581"/>
    <w:rsid w:val="00CA05C0"/>
    <w:rsid w:val="00CA0943"/>
    <w:rsid w:val="00CA0CE1"/>
    <w:rsid w:val="00CA13FE"/>
    <w:rsid w:val="00CA1C11"/>
    <w:rsid w:val="00CA2446"/>
    <w:rsid w:val="00CA2A5F"/>
    <w:rsid w:val="00CA2C35"/>
    <w:rsid w:val="00CA312A"/>
    <w:rsid w:val="00CA31AE"/>
    <w:rsid w:val="00CA33C8"/>
    <w:rsid w:val="00CA387C"/>
    <w:rsid w:val="00CA3BAF"/>
    <w:rsid w:val="00CA3BE9"/>
    <w:rsid w:val="00CA3F7D"/>
    <w:rsid w:val="00CA4073"/>
    <w:rsid w:val="00CA4096"/>
    <w:rsid w:val="00CA490A"/>
    <w:rsid w:val="00CA56A8"/>
    <w:rsid w:val="00CA5704"/>
    <w:rsid w:val="00CA5734"/>
    <w:rsid w:val="00CA5C6A"/>
    <w:rsid w:val="00CA5D9F"/>
    <w:rsid w:val="00CA5DEE"/>
    <w:rsid w:val="00CA611D"/>
    <w:rsid w:val="00CA6348"/>
    <w:rsid w:val="00CA6B62"/>
    <w:rsid w:val="00CA7107"/>
    <w:rsid w:val="00CA7C97"/>
    <w:rsid w:val="00CA7E49"/>
    <w:rsid w:val="00CB071A"/>
    <w:rsid w:val="00CB075B"/>
    <w:rsid w:val="00CB081D"/>
    <w:rsid w:val="00CB0B38"/>
    <w:rsid w:val="00CB0FCB"/>
    <w:rsid w:val="00CB11AC"/>
    <w:rsid w:val="00CB1709"/>
    <w:rsid w:val="00CB183C"/>
    <w:rsid w:val="00CB19F6"/>
    <w:rsid w:val="00CB1A80"/>
    <w:rsid w:val="00CB1EDD"/>
    <w:rsid w:val="00CB2296"/>
    <w:rsid w:val="00CB2359"/>
    <w:rsid w:val="00CB2392"/>
    <w:rsid w:val="00CB277F"/>
    <w:rsid w:val="00CB29F7"/>
    <w:rsid w:val="00CB2ADB"/>
    <w:rsid w:val="00CB2BB5"/>
    <w:rsid w:val="00CB2D1D"/>
    <w:rsid w:val="00CB2F24"/>
    <w:rsid w:val="00CB376C"/>
    <w:rsid w:val="00CB3E00"/>
    <w:rsid w:val="00CB4678"/>
    <w:rsid w:val="00CB4FFE"/>
    <w:rsid w:val="00CB51E9"/>
    <w:rsid w:val="00CB542A"/>
    <w:rsid w:val="00CB5504"/>
    <w:rsid w:val="00CB58CA"/>
    <w:rsid w:val="00CB5CFF"/>
    <w:rsid w:val="00CB5D3C"/>
    <w:rsid w:val="00CB6564"/>
    <w:rsid w:val="00CB688E"/>
    <w:rsid w:val="00CB69E5"/>
    <w:rsid w:val="00CB6EDB"/>
    <w:rsid w:val="00CB7176"/>
    <w:rsid w:val="00CB7281"/>
    <w:rsid w:val="00CB7543"/>
    <w:rsid w:val="00CB769D"/>
    <w:rsid w:val="00CB7C42"/>
    <w:rsid w:val="00CB7E36"/>
    <w:rsid w:val="00CC0B66"/>
    <w:rsid w:val="00CC0BCA"/>
    <w:rsid w:val="00CC1358"/>
    <w:rsid w:val="00CC16D7"/>
    <w:rsid w:val="00CC1B57"/>
    <w:rsid w:val="00CC1BB2"/>
    <w:rsid w:val="00CC2225"/>
    <w:rsid w:val="00CC2270"/>
    <w:rsid w:val="00CC22A2"/>
    <w:rsid w:val="00CC2354"/>
    <w:rsid w:val="00CC285E"/>
    <w:rsid w:val="00CC29BE"/>
    <w:rsid w:val="00CC2DD7"/>
    <w:rsid w:val="00CC322E"/>
    <w:rsid w:val="00CC3314"/>
    <w:rsid w:val="00CC340E"/>
    <w:rsid w:val="00CC3510"/>
    <w:rsid w:val="00CC4044"/>
    <w:rsid w:val="00CC40ED"/>
    <w:rsid w:val="00CC44CF"/>
    <w:rsid w:val="00CC4861"/>
    <w:rsid w:val="00CC4E17"/>
    <w:rsid w:val="00CC5052"/>
    <w:rsid w:val="00CC52D3"/>
    <w:rsid w:val="00CC552A"/>
    <w:rsid w:val="00CC55E9"/>
    <w:rsid w:val="00CC5C4C"/>
    <w:rsid w:val="00CC5D5E"/>
    <w:rsid w:val="00CC6748"/>
    <w:rsid w:val="00CC6793"/>
    <w:rsid w:val="00CC7119"/>
    <w:rsid w:val="00CC7C21"/>
    <w:rsid w:val="00CC7EA7"/>
    <w:rsid w:val="00CD03A2"/>
    <w:rsid w:val="00CD04C4"/>
    <w:rsid w:val="00CD05B0"/>
    <w:rsid w:val="00CD0905"/>
    <w:rsid w:val="00CD091B"/>
    <w:rsid w:val="00CD2324"/>
    <w:rsid w:val="00CD2745"/>
    <w:rsid w:val="00CD2A7E"/>
    <w:rsid w:val="00CD2BAC"/>
    <w:rsid w:val="00CD2D6E"/>
    <w:rsid w:val="00CD354E"/>
    <w:rsid w:val="00CD355B"/>
    <w:rsid w:val="00CD3EA6"/>
    <w:rsid w:val="00CD454C"/>
    <w:rsid w:val="00CD4638"/>
    <w:rsid w:val="00CD4772"/>
    <w:rsid w:val="00CD48E5"/>
    <w:rsid w:val="00CD4D4F"/>
    <w:rsid w:val="00CD4EED"/>
    <w:rsid w:val="00CD5336"/>
    <w:rsid w:val="00CD5644"/>
    <w:rsid w:val="00CD585C"/>
    <w:rsid w:val="00CD617A"/>
    <w:rsid w:val="00CD6C89"/>
    <w:rsid w:val="00CD6D57"/>
    <w:rsid w:val="00CD6E4D"/>
    <w:rsid w:val="00CD7033"/>
    <w:rsid w:val="00CD7491"/>
    <w:rsid w:val="00CD7A0E"/>
    <w:rsid w:val="00CD7C25"/>
    <w:rsid w:val="00CD7CCC"/>
    <w:rsid w:val="00CE0098"/>
    <w:rsid w:val="00CE00B8"/>
    <w:rsid w:val="00CE02E2"/>
    <w:rsid w:val="00CE09CD"/>
    <w:rsid w:val="00CE0A9E"/>
    <w:rsid w:val="00CE0AB3"/>
    <w:rsid w:val="00CE0C7A"/>
    <w:rsid w:val="00CE1426"/>
    <w:rsid w:val="00CE1AE2"/>
    <w:rsid w:val="00CE1BE6"/>
    <w:rsid w:val="00CE24A4"/>
    <w:rsid w:val="00CE2B48"/>
    <w:rsid w:val="00CE2DFF"/>
    <w:rsid w:val="00CE31D3"/>
    <w:rsid w:val="00CE3A9F"/>
    <w:rsid w:val="00CE3FF5"/>
    <w:rsid w:val="00CE41FF"/>
    <w:rsid w:val="00CE4301"/>
    <w:rsid w:val="00CE44EF"/>
    <w:rsid w:val="00CE4621"/>
    <w:rsid w:val="00CE482C"/>
    <w:rsid w:val="00CE4891"/>
    <w:rsid w:val="00CE49E9"/>
    <w:rsid w:val="00CE4CEC"/>
    <w:rsid w:val="00CE52DC"/>
    <w:rsid w:val="00CE5538"/>
    <w:rsid w:val="00CE5633"/>
    <w:rsid w:val="00CE67B5"/>
    <w:rsid w:val="00CE69B8"/>
    <w:rsid w:val="00CE69EA"/>
    <w:rsid w:val="00CE6A7A"/>
    <w:rsid w:val="00CE6B15"/>
    <w:rsid w:val="00CE6CB1"/>
    <w:rsid w:val="00CE6E7F"/>
    <w:rsid w:val="00CE6EE2"/>
    <w:rsid w:val="00CE718C"/>
    <w:rsid w:val="00CE7CC0"/>
    <w:rsid w:val="00CE7E8E"/>
    <w:rsid w:val="00CF0158"/>
    <w:rsid w:val="00CF015B"/>
    <w:rsid w:val="00CF0679"/>
    <w:rsid w:val="00CF089E"/>
    <w:rsid w:val="00CF0F05"/>
    <w:rsid w:val="00CF0F88"/>
    <w:rsid w:val="00CF0F96"/>
    <w:rsid w:val="00CF1516"/>
    <w:rsid w:val="00CF1E5C"/>
    <w:rsid w:val="00CF204E"/>
    <w:rsid w:val="00CF20B5"/>
    <w:rsid w:val="00CF2217"/>
    <w:rsid w:val="00CF22E3"/>
    <w:rsid w:val="00CF26FA"/>
    <w:rsid w:val="00CF2EB7"/>
    <w:rsid w:val="00CF2F48"/>
    <w:rsid w:val="00CF2FC1"/>
    <w:rsid w:val="00CF31B0"/>
    <w:rsid w:val="00CF3757"/>
    <w:rsid w:val="00CF37B2"/>
    <w:rsid w:val="00CF3B1B"/>
    <w:rsid w:val="00CF3C54"/>
    <w:rsid w:val="00CF3C6E"/>
    <w:rsid w:val="00CF3CED"/>
    <w:rsid w:val="00CF42F7"/>
    <w:rsid w:val="00CF45DC"/>
    <w:rsid w:val="00CF46A6"/>
    <w:rsid w:val="00CF4984"/>
    <w:rsid w:val="00CF4A4F"/>
    <w:rsid w:val="00CF4AF2"/>
    <w:rsid w:val="00CF4B2D"/>
    <w:rsid w:val="00CF4C19"/>
    <w:rsid w:val="00CF53C3"/>
    <w:rsid w:val="00CF545C"/>
    <w:rsid w:val="00CF5EFF"/>
    <w:rsid w:val="00CF617D"/>
    <w:rsid w:val="00CF6189"/>
    <w:rsid w:val="00CF6864"/>
    <w:rsid w:val="00CF6D07"/>
    <w:rsid w:val="00CF6EF2"/>
    <w:rsid w:val="00CF7314"/>
    <w:rsid w:val="00CF74F9"/>
    <w:rsid w:val="00CF7F66"/>
    <w:rsid w:val="00CF7FC4"/>
    <w:rsid w:val="00D0035E"/>
    <w:rsid w:val="00D00376"/>
    <w:rsid w:val="00D00660"/>
    <w:rsid w:val="00D0067D"/>
    <w:rsid w:val="00D00CFF"/>
    <w:rsid w:val="00D00E87"/>
    <w:rsid w:val="00D00F8A"/>
    <w:rsid w:val="00D01003"/>
    <w:rsid w:val="00D01A5A"/>
    <w:rsid w:val="00D01CF5"/>
    <w:rsid w:val="00D01D1C"/>
    <w:rsid w:val="00D01F3A"/>
    <w:rsid w:val="00D0213D"/>
    <w:rsid w:val="00D02A3A"/>
    <w:rsid w:val="00D02ABC"/>
    <w:rsid w:val="00D031F3"/>
    <w:rsid w:val="00D03810"/>
    <w:rsid w:val="00D03D7D"/>
    <w:rsid w:val="00D041E2"/>
    <w:rsid w:val="00D0483D"/>
    <w:rsid w:val="00D04844"/>
    <w:rsid w:val="00D050B1"/>
    <w:rsid w:val="00D0519B"/>
    <w:rsid w:val="00D05386"/>
    <w:rsid w:val="00D054CA"/>
    <w:rsid w:val="00D05A15"/>
    <w:rsid w:val="00D05C6C"/>
    <w:rsid w:val="00D05D86"/>
    <w:rsid w:val="00D06114"/>
    <w:rsid w:val="00D06685"/>
    <w:rsid w:val="00D06AE9"/>
    <w:rsid w:val="00D06E14"/>
    <w:rsid w:val="00D06E46"/>
    <w:rsid w:val="00D06FD8"/>
    <w:rsid w:val="00D0710B"/>
    <w:rsid w:val="00D0725C"/>
    <w:rsid w:val="00D07843"/>
    <w:rsid w:val="00D07860"/>
    <w:rsid w:val="00D07898"/>
    <w:rsid w:val="00D07B32"/>
    <w:rsid w:val="00D07F6E"/>
    <w:rsid w:val="00D104C2"/>
    <w:rsid w:val="00D108D9"/>
    <w:rsid w:val="00D10943"/>
    <w:rsid w:val="00D10A77"/>
    <w:rsid w:val="00D10BC8"/>
    <w:rsid w:val="00D10DEC"/>
    <w:rsid w:val="00D1105C"/>
    <w:rsid w:val="00D11167"/>
    <w:rsid w:val="00D11B88"/>
    <w:rsid w:val="00D11C96"/>
    <w:rsid w:val="00D11EFB"/>
    <w:rsid w:val="00D1251C"/>
    <w:rsid w:val="00D12CCB"/>
    <w:rsid w:val="00D12F46"/>
    <w:rsid w:val="00D12FB2"/>
    <w:rsid w:val="00D134DD"/>
    <w:rsid w:val="00D1354F"/>
    <w:rsid w:val="00D13DEE"/>
    <w:rsid w:val="00D1407E"/>
    <w:rsid w:val="00D141B2"/>
    <w:rsid w:val="00D145ED"/>
    <w:rsid w:val="00D149B7"/>
    <w:rsid w:val="00D149F5"/>
    <w:rsid w:val="00D14ABB"/>
    <w:rsid w:val="00D14F37"/>
    <w:rsid w:val="00D1554C"/>
    <w:rsid w:val="00D155E3"/>
    <w:rsid w:val="00D1567F"/>
    <w:rsid w:val="00D15890"/>
    <w:rsid w:val="00D1617F"/>
    <w:rsid w:val="00D1658A"/>
    <w:rsid w:val="00D16655"/>
    <w:rsid w:val="00D16EA2"/>
    <w:rsid w:val="00D17588"/>
    <w:rsid w:val="00D17EC4"/>
    <w:rsid w:val="00D20119"/>
    <w:rsid w:val="00D204F9"/>
    <w:rsid w:val="00D20D05"/>
    <w:rsid w:val="00D20EC4"/>
    <w:rsid w:val="00D21136"/>
    <w:rsid w:val="00D211CF"/>
    <w:rsid w:val="00D212A4"/>
    <w:rsid w:val="00D2167E"/>
    <w:rsid w:val="00D2172C"/>
    <w:rsid w:val="00D217A8"/>
    <w:rsid w:val="00D21969"/>
    <w:rsid w:val="00D21ADD"/>
    <w:rsid w:val="00D21F44"/>
    <w:rsid w:val="00D22080"/>
    <w:rsid w:val="00D2278D"/>
    <w:rsid w:val="00D22D60"/>
    <w:rsid w:val="00D22E2B"/>
    <w:rsid w:val="00D231D6"/>
    <w:rsid w:val="00D234FD"/>
    <w:rsid w:val="00D2399B"/>
    <w:rsid w:val="00D23FAE"/>
    <w:rsid w:val="00D246B9"/>
    <w:rsid w:val="00D24932"/>
    <w:rsid w:val="00D24BCF"/>
    <w:rsid w:val="00D2502B"/>
    <w:rsid w:val="00D250A0"/>
    <w:rsid w:val="00D251C0"/>
    <w:rsid w:val="00D2534E"/>
    <w:rsid w:val="00D2536D"/>
    <w:rsid w:val="00D257F6"/>
    <w:rsid w:val="00D25EEE"/>
    <w:rsid w:val="00D25F3F"/>
    <w:rsid w:val="00D269F4"/>
    <w:rsid w:val="00D26DE7"/>
    <w:rsid w:val="00D275E0"/>
    <w:rsid w:val="00D27778"/>
    <w:rsid w:val="00D277E1"/>
    <w:rsid w:val="00D27A02"/>
    <w:rsid w:val="00D27D83"/>
    <w:rsid w:val="00D300A9"/>
    <w:rsid w:val="00D300D8"/>
    <w:rsid w:val="00D3040F"/>
    <w:rsid w:val="00D304D3"/>
    <w:rsid w:val="00D30820"/>
    <w:rsid w:val="00D30EE3"/>
    <w:rsid w:val="00D3100B"/>
    <w:rsid w:val="00D310FA"/>
    <w:rsid w:val="00D3126D"/>
    <w:rsid w:val="00D313D4"/>
    <w:rsid w:val="00D316F7"/>
    <w:rsid w:val="00D318D8"/>
    <w:rsid w:val="00D3198D"/>
    <w:rsid w:val="00D321D5"/>
    <w:rsid w:val="00D321E5"/>
    <w:rsid w:val="00D323C9"/>
    <w:rsid w:val="00D325C6"/>
    <w:rsid w:val="00D3269A"/>
    <w:rsid w:val="00D32A3A"/>
    <w:rsid w:val="00D3307A"/>
    <w:rsid w:val="00D3321F"/>
    <w:rsid w:val="00D33443"/>
    <w:rsid w:val="00D33DE0"/>
    <w:rsid w:val="00D33E9F"/>
    <w:rsid w:val="00D349B7"/>
    <w:rsid w:val="00D34DF5"/>
    <w:rsid w:val="00D356E2"/>
    <w:rsid w:val="00D35C73"/>
    <w:rsid w:val="00D3674B"/>
    <w:rsid w:val="00D368D8"/>
    <w:rsid w:val="00D36AB4"/>
    <w:rsid w:val="00D36B7E"/>
    <w:rsid w:val="00D36EC4"/>
    <w:rsid w:val="00D36FED"/>
    <w:rsid w:val="00D3722B"/>
    <w:rsid w:val="00D3739F"/>
    <w:rsid w:val="00D373A8"/>
    <w:rsid w:val="00D37594"/>
    <w:rsid w:val="00D376A2"/>
    <w:rsid w:val="00D378B6"/>
    <w:rsid w:val="00D37BD2"/>
    <w:rsid w:val="00D37C99"/>
    <w:rsid w:val="00D37CA4"/>
    <w:rsid w:val="00D37FA3"/>
    <w:rsid w:val="00D40390"/>
    <w:rsid w:val="00D403C7"/>
    <w:rsid w:val="00D403D5"/>
    <w:rsid w:val="00D4057E"/>
    <w:rsid w:val="00D40778"/>
    <w:rsid w:val="00D40961"/>
    <w:rsid w:val="00D40D5A"/>
    <w:rsid w:val="00D41E5D"/>
    <w:rsid w:val="00D42004"/>
    <w:rsid w:val="00D4208B"/>
    <w:rsid w:val="00D42114"/>
    <w:rsid w:val="00D42607"/>
    <w:rsid w:val="00D42776"/>
    <w:rsid w:val="00D42846"/>
    <w:rsid w:val="00D42AAD"/>
    <w:rsid w:val="00D42B03"/>
    <w:rsid w:val="00D42B2A"/>
    <w:rsid w:val="00D42B98"/>
    <w:rsid w:val="00D42C50"/>
    <w:rsid w:val="00D43245"/>
    <w:rsid w:val="00D439F2"/>
    <w:rsid w:val="00D43B3E"/>
    <w:rsid w:val="00D43CE4"/>
    <w:rsid w:val="00D43E19"/>
    <w:rsid w:val="00D43E89"/>
    <w:rsid w:val="00D43ECA"/>
    <w:rsid w:val="00D445EE"/>
    <w:rsid w:val="00D4484F"/>
    <w:rsid w:val="00D4485E"/>
    <w:rsid w:val="00D44E77"/>
    <w:rsid w:val="00D450D5"/>
    <w:rsid w:val="00D45252"/>
    <w:rsid w:val="00D460AE"/>
    <w:rsid w:val="00D46485"/>
    <w:rsid w:val="00D4695E"/>
    <w:rsid w:val="00D47616"/>
    <w:rsid w:val="00D47F2C"/>
    <w:rsid w:val="00D5029F"/>
    <w:rsid w:val="00D503F9"/>
    <w:rsid w:val="00D50AAD"/>
    <w:rsid w:val="00D517B2"/>
    <w:rsid w:val="00D51A80"/>
    <w:rsid w:val="00D51B5E"/>
    <w:rsid w:val="00D51C4F"/>
    <w:rsid w:val="00D51DED"/>
    <w:rsid w:val="00D52053"/>
    <w:rsid w:val="00D520B2"/>
    <w:rsid w:val="00D522ED"/>
    <w:rsid w:val="00D5266F"/>
    <w:rsid w:val="00D52710"/>
    <w:rsid w:val="00D529E5"/>
    <w:rsid w:val="00D52AB5"/>
    <w:rsid w:val="00D52FAF"/>
    <w:rsid w:val="00D53129"/>
    <w:rsid w:val="00D536A2"/>
    <w:rsid w:val="00D54D79"/>
    <w:rsid w:val="00D54E1B"/>
    <w:rsid w:val="00D54F46"/>
    <w:rsid w:val="00D55151"/>
    <w:rsid w:val="00D55BA4"/>
    <w:rsid w:val="00D55D91"/>
    <w:rsid w:val="00D56129"/>
    <w:rsid w:val="00D56568"/>
    <w:rsid w:val="00D56693"/>
    <w:rsid w:val="00D56CE8"/>
    <w:rsid w:val="00D571E8"/>
    <w:rsid w:val="00D57321"/>
    <w:rsid w:val="00D5736C"/>
    <w:rsid w:val="00D574DD"/>
    <w:rsid w:val="00D575C9"/>
    <w:rsid w:val="00D5770E"/>
    <w:rsid w:val="00D5783C"/>
    <w:rsid w:val="00D57F1F"/>
    <w:rsid w:val="00D57F9C"/>
    <w:rsid w:val="00D604B9"/>
    <w:rsid w:val="00D605C4"/>
    <w:rsid w:val="00D60708"/>
    <w:rsid w:val="00D60975"/>
    <w:rsid w:val="00D609B0"/>
    <w:rsid w:val="00D60C59"/>
    <w:rsid w:val="00D60CC0"/>
    <w:rsid w:val="00D61624"/>
    <w:rsid w:val="00D61928"/>
    <w:rsid w:val="00D619F5"/>
    <w:rsid w:val="00D62607"/>
    <w:rsid w:val="00D62A7B"/>
    <w:rsid w:val="00D62DFC"/>
    <w:rsid w:val="00D62EA8"/>
    <w:rsid w:val="00D630A0"/>
    <w:rsid w:val="00D633A4"/>
    <w:rsid w:val="00D63406"/>
    <w:rsid w:val="00D63FCF"/>
    <w:rsid w:val="00D643A2"/>
    <w:rsid w:val="00D6442E"/>
    <w:rsid w:val="00D64A81"/>
    <w:rsid w:val="00D6507B"/>
    <w:rsid w:val="00D65563"/>
    <w:rsid w:val="00D657AD"/>
    <w:rsid w:val="00D65839"/>
    <w:rsid w:val="00D65A4D"/>
    <w:rsid w:val="00D65B92"/>
    <w:rsid w:val="00D65EFE"/>
    <w:rsid w:val="00D65F74"/>
    <w:rsid w:val="00D66060"/>
    <w:rsid w:val="00D66501"/>
    <w:rsid w:val="00D66767"/>
    <w:rsid w:val="00D66AA2"/>
    <w:rsid w:val="00D6711A"/>
    <w:rsid w:val="00D67243"/>
    <w:rsid w:val="00D674FA"/>
    <w:rsid w:val="00D67535"/>
    <w:rsid w:val="00D67AC3"/>
    <w:rsid w:val="00D67BCC"/>
    <w:rsid w:val="00D702DF"/>
    <w:rsid w:val="00D70770"/>
    <w:rsid w:val="00D70916"/>
    <w:rsid w:val="00D70A0D"/>
    <w:rsid w:val="00D7160C"/>
    <w:rsid w:val="00D7205E"/>
    <w:rsid w:val="00D721AF"/>
    <w:rsid w:val="00D72718"/>
    <w:rsid w:val="00D727AB"/>
    <w:rsid w:val="00D727EE"/>
    <w:rsid w:val="00D73048"/>
    <w:rsid w:val="00D7350B"/>
    <w:rsid w:val="00D736E1"/>
    <w:rsid w:val="00D73D16"/>
    <w:rsid w:val="00D73DB2"/>
    <w:rsid w:val="00D74B4B"/>
    <w:rsid w:val="00D750A3"/>
    <w:rsid w:val="00D75900"/>
    <w:rsid w:val="00D75A45"/>
    <w:rsid w:val="00D75A55"/>
    <w:rsid w:val="00D75D9F"/>
    <w:rsid w:val="00D761EB"/>
    <w:rsid w:val="00D763B1"/>
    <w:rsid w:val="00D766D9"/>
    <w:rsid w:val="00D7682C"/>
    <w:rsid w:val="00D76CA3"/>
    <w:rsid w:val="00D7702C"/>
    <w:rsid w:val="00D7737E"/>
    <w:rsid w:val="00D77934"/>
    <w:rsid w:val="00D77B7D"/>
    <w:rsid w:val="00D77D24"/>
    <w:rsid w:val="00D77D9F"/>
    <w:rsid w:val="00D77DDB"/>
    <w:rsid w:val="00D77E09"/>
    <w:rsid w:val="00D77E0D"/>
    <w:rsid w:val="00D77F75"/>
    <w:rsid w:val="00D801BC"/>
    <w:rsid w:val="00D802E4"/>
    <w:rsid w:val="00D80315"/>
    <w:rsid w:val="00D80338"/>
    <w:rsid w:val="00D81034"/>
    <w:rsid w:val="00D811AF"/>
    <w:rsid w:val="00D81302"/>
    <w:rsid w:val="00D81581"/>
    <w:rsid w:val="00D815E7"/>
    <w:rsid w:val="00D81AD5"/>
    <w:rsid w:val="00D81BC2"/>
    <w:rsid w:val="00D82117"/>
    <w:rsid w:val="00D821DA"/>
    <w:rsid w:val="00D821F2"/>
    <w:rsid w:val="00D8229D"/>
    <w:rsid w:val="00D824E4"/>
    <w:rsid w:val="00D8294D"/>
    <w:rsid w:val="00D83193"/>
    <w:rsid w:val="00D8385D"/>
    <w:rsid w:val="00D83AD2"/>
    <w:rsid w:val="00D83D0A"/>
    <w:rsid w:val="00D83E4D"/>
    <w:rsid w:val="00D84066"/>
    <w:rsid w:val="00D84134"/>
    <w:rsid w:val="00D841A8"/>
    <w:rsid w:val="00D84494"/>
    <w:rsid w:val="00D84689"/>
    <w:rsid w:val="00D8476D"/>
    <w:rsid w:val="00D849A6"/>
    <w:rsid w:val="00D84A1D"/>
    <w:rsid w:val="00D84DBA"/>
    <w:rsid w:val="00D84DFB"/>
    <w:rsid w:val="00D85165"/>
    <w:rsid w:val="00D85BDE"/>
    <w:rsid w:val="00D8609A"/>
    <w:rsid w:val="00D8661C"/>
    <w:rsid w:val="00D86EE3"/>
    <w:rsid w:val="00D86FCD"/>
    <w:rsid w:val="00D87734"/>
    <w:rsid w:val="00D878CC"/>
    <w:rsid w:val="00D87957"/>
    <w:rsid w:val="00D904B0"/>
    <w:rsid w:val="00D904CB"/>
    <w:rsid w:val="00D90713"/>
    <w:rsid w:val="00D90843"/>
    <w:rsid w:val="00D911D4"/>
    <w:rsid w:val="00D913D0"/>
    <w:rsid w:val="00D92198"/>
    <w:rsid w:val="00D92932"/>
    <w:rsid w:val="00D92982"/>
    <w:rsid w:val="00D92C83"/>
    <w:rsid w:val="00D931A5"/>
    <w:rsid w:val="00D9392A"/>
    <w:rsid w:val="00D93C33"/>
    <w:rsid w:val="00D9411F"/>
    <w:rsid w:val="00D9486A"/>
    <w:rsid w:val="00D94B2D"/>
    <w:rsid w:val="00D94BFF"/>
    <w:rsid w:val="00D94D88"/>
    <w:rsid w:val="00D94FC6"/>
    <w:rsid w:val="00D951DA"/>
    <w:rsid w:val="00D95286"/>
    <w:rsid w:val="00D95657"/>
    <w:rsid w:val="00D968E0"/>
    <w:rsid w:val="00D96A4E"/>
    <w:rsid w:val="00D96E85"/>
    <w:rsid w:val="00D96F58"/>
    <w:rsid w:val="00D96F97"/>
    <w:rsid w:val="00D96FDB"/>
    <w:rsid w:val="00D97286"/>
    <w:rsid w:val="00D97335"/>
    <w:rsid w:val="00D975BA"/>
    <w:rsid w:val="00D97AD0"/>
    <w:rsid w:val="00D97AF7"/>
    <w:rsid w:val="00D97BB2"/>
    <w:rsid w:val="00DA04E1"/>
    <w:rsid w:val="00DA0911"/>
    <w:rsid w:val="00DA09AC"/>
    <w:rsid w:val="00DA0A24"/>
    <w:rsid w:val="00DA0E44"/>
    <w:rsid w:val="00DA1013"/>
    <w:rsid w:val="00DA11CB"/>
    <w:rsid w:val="00DA18E5"/>
    <w:rsid w:val="00DA1CF8"/>
    <w:rsid w:val="00DA2285"/>
    <w:rsid w:val="00DA2AE7"/>
    <w:rsid w:val="00DA2B41"/>
    <w:rsid w:val="00DA307A"/>
    <w:rsid w:val="00DA30CF"/>
    <w:rsid w:val="00DA39E6"/>
    <w:rsid w:val="00DA3C83"/>
    <w:rsid w:val="00DA43FC"/>
    <w:rsid w:val="00DA44AE"/>
    <w:rsid w:val="00DA454B"/>
    <w:rsid w:val="00DA4620"/>
    <w:rsid w:val="00DA49FF"/>
    <w:rsid w:val="00DA4B5A"/>
    <w:rsid w:val="00DA5338"/>
    <w:rsid w:val="00DA5581"/>
    <w:rsid w:val="00DA56E7"/>
    <w:rsid w:val="00DA576F"/>
    <w:rsid w:val="00DA5874"/>
    <w:rsid w:val="00DA5937"/>
    <w:rsid w:val="00DA5B58"/>
    <w:rsid w:val="00DA5C5A"/>
    <w:rsid w:val="00DA664D"/>
    <w:rsid w:val="00DA69EF"/>
    <w:rsid w:val="00DA6B21"/>
    <w:rsid w:val="00DA702F"/>
    <w:rsid w:val="00DA7057"/>
    <w:rsid w:val="00DA74CB"/>
    <w:rsid w:val="00DA78F1"/>
    <w:rsid w:val="00DA7BD5"/>
    <w:rsid w:val="00DB04FD"/>
    <w:rsid w:val="00DB09D4"/>
    <w:rsid w:val="00DB1027"/>
    <w:rsid w:val="00DB11C0"/>
    <w:rsid w:val="00DB12E1"/>
    <w:rsid w:val="00DB1307"/>
    <w:rsid w:val="00DB13C8"/>
    <w:rsid w:val="00DB17B8"/>
    <w:rsid w:val="00DB19C4"/>
    <w:rsid w:val="00DB1C28"/>
    <w:rsid w:val="00DB1D42"/>
    <w:rsid w:val="00DB2094"/>
    <w:rsid w:val="00DB2119"/>
    <w:rsid w:val="00DB25BC"/>
    <w:rsid w:val="00DB319F"/>
    <w:rsid w:val="00DB340D"/>
    <w:rsid w:val="00DB3D84"/>
    <w:rsid w:val="00DB426F"/>
    <w:rsid w:val="00DB4C88"/>
    <w:rsid w:val="00DB536A"/>
    <w:rsid w:val="00DB53BE"/>
    <w:rsid w:val="00DB5424"/>
    <w:rsid w:val="00DB5532"/>
    <w:rsid w:val="00DB5682"/>
    <w:rsid w:val="00DB6245"/>
    <w:rsid w:val="00DB7B27"/>
    <w:rsid w:val="00DC02FD"/>
    <w:rsid w:val="00DC046A"/>
    <w:rsid w:val="00DC05F6"/>
    <w:rsid w:val="00DC060F"/>
    <w:rsid w:val="00DC07E2"/>
    <w:rsid w:val="00DC0BB1"/>
    <w:rsid w:val="00DC106B"/>
    <w:rsid w:val="00DC1594"/>
    <w:rsid w:val="00DC15B2"/>
    <w:rsid w:val="00DC18B3"/>
    <w:rsid w:val="00DC1A30"/>
    <w:rsid w:val="00DC1D4E"/>
    <w:rsid w:val="00DC21F3"/>
    <w:rsid w:val="00DC25CC"/>
    <w:rsid w:val="00DC2658"/>
    <w:rsid w:val="00DC3312"/>
    <w:rsid w:val="00DC3681"/>
    <w:rsid w:val="00DC3712"/>
    <w:rsid w:val="00DC371F"/>
    <w:rsid w:val="00DC3B8C"/>
    <w:rsid w:val="00DC3C5D"/>
    <w:rsid w:val="00DC3CF1"/>
    <w:rsid w:val="00DC3DA6"/>
    <w:rsid w:val="00DC3DCC"/>
    <w:rsid w:val="00DC3F00"/>
    <w:rsid w:val="00DC3F6C"/>
    <w:rsid w:val="00DC4466"/>
    <w:rsid w:val="00DC459D"/>
    <w:rsid w:val="00DC4645"/>
    <w:rsid w:val="00DC4C59"/>
    <w:rsid w:val="00DC4DBE"/>
    <w:rsid w:val="00DC5012"/>
    <w:rsid w:val="00DC5258"/>
    <w:rsid w:val="00DC52B6"/>
    <w:rsid w:val="00DC5604"/>
    <w:rsid w:val="00DC5682"/>
    <w:rsid w:val="00DC583A"/>
    <w:rsid w:val="00DC5840"/>
    <w:rsid w:val="00DC5CC1"/>
    <w:rsid w:val="00DC5DDD"/>
    <w:rsid w:val="00DC5F50"/>
    <w:rsid w:val="00DC6514"/>
    <w:rsid w:val="00DC654C"/>
    <w:rsid w:val="00DC6AE5"/>
    <w:rsid w:val="00DC6C27"/>
    <w:rsid w:val="00DC7357"/>
    <w:rsid w:val="00DC745C"/>
    <w:rsid w:val="00DC74C2"/>
    <w:rsid w:val="00DC790B"/>
    <w:rsid w:val="00DD0159"/>
    <w:rsid w:val="00DD09A0"/>
    <w:rsid w:val="00DD0A4A"/>
    <w:rsid w:val="00DD12E3"/>
    <w:rsid w:val="00DD13E0"/>
    <w:rsid w:val="00DD1717"/>
    <w:rsid w:val="00DD1723"/>
    <w:rsid w:val="00DD1738"/>
    <w:rsid w:val="00DD178E"/>
    <w:rsid w:val="00DD184D"/>
    <w:rsid w:val="00DD1FEB"/>
    <w:rsid w:val="00DD23E7"/>
    <w:rsid w:val="00DD26BE"/>
    <w:rsid w:val="00DD27F8"/>
    <w:rsid w:val="00DD2C64"/>
    <w:rsid w:val="00DD2D81"/>
    <w:rsid w:val="00DD30C0"/>
    <w:rsid w:val="00DD3A61"/>
    <w:rsid w:val="00DD3BA1"/>
    <w:rsid w:val="00DD3CC7"/>
    <w:rsid w:val="00DD4EA1"/>
    <w:rsid w:val="00DD5320"/>
    <w:rsid w:val="00DD5A39"/>
    <w:rsid w:val="00DD640E"/>
    <w:rsid w:val="00DD66F4"/>
    <w:rsid w:val="00DD696B"/>
    <w:rsid w:val="00DD69E4"/>
    <w:rsid w:val="00DD6AB7"/>
    <w:rsid w:val="00DD6DEB"/>
    <w:rsid w:val="00DD72E5"/>
    <w:rsid w:val="00DD7B2D"/>
    <w:rsid w:val="00DD7F77"/>
    <w:rsid w:val="00DE055B"/>
    <w:rsid w:val="00DE0B58"/>
    <w:rsid w:val="00DE0C9F"/>
    <w:rsid w:val="00DE1019"/>
    <w:rsid w:val="00DE17A8"/>
    <w:rsid w:val="00DE1D4F"/>
    <w:rsid w:val="00DE1F49"/>
    <w:rsid w:val="00DE2135"/>
    <w:rsid w:val="00DE268D"/>
    <w:rsid w:val="00DE2792"/>
    <w:rsid w:val="00DE2A88"/>
    <w:rsid w:val="00DE2B53"/>
    <w:rsid w:val="00DE31C6"/>
    <w:rsid w:val="00DE33A4"/>
    <w:rsid w:val="00DE351A"/>
    <w:rsid w:val="00DE3DBF"/>
    <w:rsid w:val="00DE40FA"/>
    <w:rsid w:val="00DE4321"/>
    <w:rsid w:val="00DE498E"/>
    <w:rsid w:val="00DE4E40"/>
    <w:rsid w:val="00DE5057"/>
    <w:rsid w:val="00DE587B"/>
    <w:rsid w:val="00DE6EB8"/>
    <w:rsid w:val="00DE6F72"/>
    <w:rsid w:val="00DE714C"/>
    <w:rsid w:val="00DE75B3"/>
    <w:rsid w:val="00DE7763"/>
    <w:rsid w:val="00DE7923"/>
    <w:rsid w:val="00DE7BB1"/>
    <w:rsid w:val="00DF0149"/>
    <w:rsid w:val="00DF0246"/>
    <w:rsid w:val="00DF04D9"/>
    <w:rsid w:val="00DF0878"/>
    <w:rsid w:val="00DF0A37"/>
    <w:rsid w:val="00DF0CD0"/>
    <w:rsid w:val="00DF0F66"/>
    <w:rsid w:val="00DF1681"/>
    <w:rsid w:val="00DF1FE3"/>
    <w:rsid w:val="00DF21F6"/>
    <w:rsid w:val="00DF2789"/>
    <w:rsid w:val="00DF2E5D"/>
    <w:rsid w:val="00DF2E84"/>
    <w:rsid w:val="00DF30A0"/>
    <w:rsid w:val="00DF3123"/>
    <w:rsid w:val="00DF316E"/>
    <w:rsid w:val="00DF3448"/>
    <w:rsid w:val="00DF372E"/>
    <w:rsid w:val="00DF3D62"/>
    <w:rsid w:val="00DF45D8"/>
    <w:rsid w:val="00DF4AA0"/>
    <w:rsid w:val="00DF4EBD"/>
    <w:rsid w:val="00DF5226"/>
    <w:rsid w:val="00DF5283"/>
    <w:rsid w:val="00DF530E"/>
    <w:rsid w:val="00DF535C"/>
    <w:rsid w:val="00DF563F"/>
    <w:rsid w:val="00DF5B2B"/>
    <w:rsid w:val="00DF5C9A"/>
    <w:rsid w:val="00DF5EBC"/>
    <w:rsid w:val="00DF5F4B"/>
    <w:rsid w:val="00DF6993"/>
    <w:rsid w:val="00DF6D2D"/>
    <w:rsid w:val="00DF73CB"/>
    <w:rsid w:val="00DF7564"/>
    <w:rsid w:val="00DF75A6"/>
    <w:rsid w:val="00DF77EE"/>
    <w:rsid w:val="00DF7866"/>
    <w:rsid w:val="00DF78A8"/>
    <w:rsid w:val="00DF7A8A"/>
    <w:rsid w:val="00DF7FF5"/>
    <w:rsid w:val="00E008C0"/>
    <w:rsid w:val="00E00DDB"/>
    <w:rsid w:val="00E013D1"/>
    <w:rsid w:val="00E0146D"/>
    <w:rsid w:val="00E01560"/>
    <w:rsid w:val="00E017C2"/>
    <w:rsid w:val="00E01921"/>
    <w:rsid w:val="00E01FC9"/>
    <w:rsid w:val="00E0267E"/>
    <w:rsid w:val="00E026C4"/>
    <w:rsid w:val="00E02778"/>
    <w:rsid w:val="00E02879"/>
    <w:rsid w:val="00E028BE"/>
    <w:rsid w:val="00E029D5"/>
    <w:rsid w:val="00E0323C"/>
    <w:rsid w:val="00E0386A"/>
    <w:rsid w:val="00E03A47"/>
    <w:rsid w:val="00E03AD1"/>
    <w:rsid w:val="00E03EB8"/>
    <w:rsid w:val="00E04AB6"/>
    <w:rsid w:val="00E05164"/>
    <w:rsid w:val="00E054C5"/>
    <w:rsid w:val="00E05BC4"/>
    <w:rsid w:val="00E05D4E"/>
    <w:rsid w:val="00E05D8F"/>
    <w:rsid w:val="00E05DFE"/>
    <w:rsid w:val="00E06093"/>
    <w:rsid w:val="00E06D7D"/>
    <w:rsid w:val="00E0700F"/>
    <w:rsid w:val="00E07144"/>
    <w:rsid w:val="00E07A6C"/>
    <w:rsid w:val="00E10BD8"/>
    <w:rsid w:val="00E10CCA"/>
    <w:rsid w:val="00E111A9"/>
    <w:rsid w:val="00E1166E"/>
    <w:rsid w:val="00E116E3"/>
    <w:rsid w:val="00E11ACD"/>
    <w:rsid w:val="00E11B4B"/>
    <w:rsid w:val="00E11F23"/>
    <w:rsid w:val="00E11FF0"/>
    <w:rsid w:val="00E128AE"/>
    <w:rsid w:val="00E12AC7"/>
    <w:rsid w:val="00E12B08"/>
    <w:rsid w:val="00E12D47"/>
    <w:rsid w:val="00E1343D"/>
    <w:rsid w:val="00E13892"/>
    <w:rsid w:val="00E1397D"/>
    <w:rsid w:val="00E13B09"/>
    <w:rsid w:val="00E13EB4"/>
    <w:rsid w:val="00E13FAF"/>
    <w:rsid w:val="00E14022"/>
    <w:rsid w:val="00E14321"/>
    <w:rsid w:val="00E14447"/>
    <w:rsid w:val="00E14601"/>
    <w:rsid w:val="00E1479D"/>
    <w:rsid w:val="00E14BDE"/>
    <w:rsid w:val="00E14C6C"/>
    <w:rsid w:val="00E1588B"/>
    <w:rsid w:val="00E15EAB"/>
    <w:rsid w:val="00E15EFE"/>
    <w:rsid w:val="00E15FC0"/>
    <w:rsid w:val="00E16E48"/>
    <w:rsid w:val="00E170C2"/>
    <w:rsid w:val="00E173E0"/>
    <w:rsid w:val="00E17BE5"/>
    <w:rsid w:val="00E17C6A"/>
    <w:rsid w:val="00E17DC5"/>
    <w:rsid w:val="00E2002D"/>
    <w:rsid w:val="00E20318"/>
    <w:rsid w:val="00E20937"/>
    <w:rsid w:val="00E20AC8"/>
    <w:rsid w:val="00E20B01"/>
    <w:rsid w:val="00E20DF6"/>
    <w:rsid w:val="00E20E6A"/>
    <w:rsid w:val="00E21036"/>
    <w:rsid w:val="00E212F8"/>
    <w:rsid w:val="00E21474"/>
    <w:rsid w:val="00E21508"/>
    <w:rsid w:val="00E2157D"/>
    <w:rsid w:val="00E2166F"/>
    <w:rsid w:val="00E21942"/>
    <w:rsid w:val="00E22A07"/>
    <w:rsid w:val="00E22F75"/>
    <w:rsid w:val="00E23378"/>
    <w:rsid w:val="00E23891"/>
    <w:rsid w:val="00E23BA9"/>
    <w:rsid w:val="00E24279"/>
    <w:rsid w:val="00E24739"/>
    <w:rsid w:val="00E247D3"/>
    <w:rsid w:val="00E24CA0"/>
    <w:rsid w:val="00E24DEC"/>
    <w:rsid w:val="00E25135"/>
    <w:rsid w:val="00E257BB"/>
    <w:rsid w:val="00E25944"/>
    <w:rsid w:val="00E261E9"/>
    <w:rsid w:val="00E26363"/>
    <w:rsid w:val="00E264B5"/>
    <w:rsid w:val="00E2656B"/>
    <w:rsid w:val="00E26B97"/>
    <w:rsid w:val="00E26C3D"/>
    <w:rsid w:val="00E27083"/>
    <w:rsid w:val="00E27280"/>
    <w:rsid w:val="00E2737D"/>
    <w:rsid w:val="00E27603"/>
    <w:rsid w:val="00E27B9B"/>
    <w:rsid w:val="00E3042E"/>
    <w:rsid w:val="00E3084F"/>
    <w:rsid w:val="00E30A2A"/>
    <w:rsid w:val="00E30BDD"/>
    <w:rsid w:val="00E30C90"/>
    <w:rsid w:val="00E30FC1"/>
    <w:rsid w:val="00E31375"/>
    <w:rsid w:val="00E32104"/>
    <w:rsid w:val="00E32108"/>
    <w:rsid w:val="00E32465"/>
    <w:rsid w:val="00E3249F"/>
    <w:rsid w:val="00E325DA"/>
    <w:rsid w:val="00E32FD2"/>
    <w:rsid w:val="00E332C8"/>
    <w:rsid w:val="00E333C0"/>
    <w:rsid w:val="00E33673"/>
    <w:rsid w:val="00E338DF"/>
    <w:rsid w:val="00E33DF1"/>
    <w:rsid w:val="00E33E8F"/>
    <w:rsid w:val="00E33F08"/>
    <w:rsid w:val="00E34091"/>
    <w:rsid w:val="00E3416E"/>
    <w:rsid w:val="00E342E9"/>
    <w:rsid w:val="00E344BF"/>
    <w:rsid w:val="00E34ACA"/>
    <w:rsid w:val="00E34CD4"/>
    <w:rsid w:val="00E34F35"/>
    <w:rsid w:val="00E3507C"/>
    <w:rsid w:val="00E358B4"/>
    <w:rsid w:val="00E35909"/>
    <w:rsid w:val="00E35D6D"/>
    <w:rsid w:val="00E35F70"/>
    <w:rsid w:val="00E3609D"/>
    <w:rsid w:val="00E361EA"/>
    <w:rsid w:val="00E363F2"/>
    <w:rsid w:val="00E3655D"/>
    <w:rsid w:val="00E367AB"/>
    <w:rsid w:val="00E368B3"/>
    <w:rsid w:val="00E368DA"/>
    <w:rsid w:val="00E369AF"/>
    <w:rsid w:val="00E36C52"/>
    <w:rsid w:val="00E36DAC"/>
    <w:rsid w:val="00E36DBD"/>
    <w:rsid w:val="00E36DCD"/>
    <w:rsid w:val="00E37A26"/>
    <w:rsid w:val="00E4001E"/>
    <w:rsid w:val="00E400B9"/>
    <w:rsid w:val="00E4021D"/>
    <w:rsid w:val="00E4026F"/>
    <w:rsid w:val="00E402B6"/>
    <w:rsid w:val="00E41043"/>
    <w:rsid w:val="00E41069"/>
    <w:rsid w:val="00E4187C"/>
    <w:rsid w:val="00E41892"/>
    <w:rsid w:val="00E419E0"/>
    <w:rsid w:val="00E41B5A"/>
    <w:rsid w:val="00E41CF1"/>
    <w:rsid w:val="00E41D18"/>
    <w:rsid w:val="00E41E8B"/>
    <w:rsid w:val="00E42533"/>
    <w:rsid w:val="00E4263F"/>
    <w:rsid w:val="00E42D33"/>
    <w:rsid w:val="00E42DF8"/>
    <w:rsid w:val="00E431CC"/>
    <w:rsid w:val="00E435B2"/>
    <w:rsid w:val="00E439D4"/>
    <w:rsid w:val="00E43A73"/>
    <w:rsid w:val="00E43B8A"/>
    <w:rsid w:val="00E440BD"/>
    <w:rsid w:val="00E4420A"/>
    <w:rsid w:val="00E443CC"/>
    <w:rsid w:val="00E44ACF"/>
    <w:rsid w:val="00E44C3F"/>
    <w:rsid w:val="00E450D3"/>
    <w:rsid w:val="00E45D09"/>
    <w:rsid w:val="00E45F63"/>
    <w:rsid w:val="00E46465"/>
    <w:rsid w:val="00E46850"/>
    <w:rsid w:val="00E47406"/>
    <w:rsid w:val="00E47500"/>
    <w:rsid w:val="00E47731"/>
    <w:rsid w:val="00E477BA"/>
    <w:rsid w:val="00E47E43"/>
    <w:rsid w:val="00E507C8"/>
    <w:rsid w:val="00E5141E"/>
    <w:rsid w:val="00E51B61"/>
    <w:rsid w:val="00E52085"/>
    <w:rsid w:val="00E522A0"/>
    <w:rsid w:val="00E524AB"/>
    <w:rsid w:val="00E53648"/>
    <w:rsid w:val="00E53B8F"/>
    <w:rsid w:val="00E541C3"/>
    <w:rsid w:val="00E54218"/>
    <w:rsid w:val="00E54CA3"/>
    <w:rsid w:val="00E54F73"/>
    <w:rsid w:val="00E55227"/>
    <w:rsid w:val="00E5533C"/>
    <w:rsid w:val="00E556D4"/>
    <w:rsid w:val="00E556F0"/>
    <w:rsid w:val="00E55B3F"/>
    <w:rsid w:val="00E55BBB"/>
    <w:rsid w:val="00E56127"/>
    <w:rsid w:val="00E5623B"/>
    <w:rsid w:val="00E5644D"/>
    <w:rsid w:val="00E56834"/>
    <w:rsid w:val="00E56A66"/>
    <w:rsid w:val="00E56E20"/>
    <w:rsid w:val="00E56EAC"/>
    <w:rsid w:val="00E56F9A"/>
    <w:rsid w:val="00E57395"/>
    <w:rsid w:val="00E57439"/>
    <w:rsid w:val="00E577A9"/>
    <w:rsid w:val="00E600B5"/>
    <w:rsid w:val="00E60939"/>
    <w:rsid w:val="00E60CF2"/>
    <w:rsid w:val="00E60DDE"/>
    <w:rsid w:val="00E60E5F"/>
    <w:rsid w:val="00E60E61"/>
    <w:rsid w:val="00E610EF"/>
    <w:rsid w:val="00E615D5"/>
    <w:rsid w:val="00E61AC5"/>
    <w:rsid w:val="00E61B5A"/>
    <w:rsid w:val="00E61DC4"/>
    <w:rsid w:val="00E6212E"/>
    <w:rsid w:val="00E621E0"/>
    <w:rsid w:val="00E627C8"/>
    <w:rsid w:val="00E63197"/>
    <w:rsid w:val="00E63319"/>
    <w:rsid w:val="00E640BE"/>
    <w:rsid w:val="00E641FC"/>
    <w:rsid w:val="00E64388"/>
    <w:rsid w:val="00E6479E"/>
    <w:rsid w:val="00E64BBF"/>
    <w:rsid w:val="00E64DDB"/>
    <w:rsid w:val="00E64E70"/>
    <w:rsid w:val="00E654B6"/>
    <w:rsid w:val="00E656B9"/>
    <w:rsid w:val="00E659DE"/>
    <w:rsid w:val="00E65BAA"/>
    <w:rsid w:val="00E662A4"/>
    <w:rsid w:val="00E66A59"/>
    <w:rsid w:val="00E67167"/>
    <w:rsid w:val="00E678AA"/>
    <w:rsid w:val="00E67D92"/>
    <w:rsid w:val="00E70050"/>
    <w:rsid w:val="00E709CB"/>
    <w:rsid w:val="00E70CFD"/>
    <w:rsid w:val="00E70F10"/>
    <w:rsid w:val="00E70FF2"/>
    <w:rsid w:val="00E714D9"/>
    <w:rsid w:val="00E717AC"/>
    <w:rsid w:val="00E718E6"/>
    <w:rsid w:val="00E71A63"/>
    <w:rsid w:val="00E71B57"/>
    <w:rsid w:val="00E71F09"/>
    <w:rsid w:val="00E71F1E"/>
    <w:rsid w:val="00E722DD"/>
    <w:rsid w:val="00E7246E"/>
    <w:rsid w:val="00E724A9"/>
    <w:rsid w:val="00E724DF"/>
    <w:rsid w:val="00E724F3"/>
    <w:rsid w:val="00E72629"/>
    <w:rsid w:val="00E7266A"/>
    <w:rsid w:val="00E72B41"/>
    <w:rsid w:val="00E72CB1"/>
    <w:rsid w:val="00E72D82"/>
    <w:rsid w:val="00E72E17"/>
    <w:rsid w:val="00E72FE7"/>
    <w:rsid w:val="00E731C7"/>
    <w:rsid w:val="00E733D3"/>
    <w:rsid w:val="00E734F4"/>
    <w:rsid w:val="00E73B9E"/>
    <w:rsid w:val="00E73DB7"/>
    <w:rsid w:val="00E7441E"/>
    <w:rsid w:val="00E745A5"/>
    <w:rsid w:val="00E747C3"/>
    <w:rsid w:val="00E749E7"/>
    <w:rsid w:val="00E74C27"/>
    <w:rsid w:val="00E74D24"/>
    <w:rsid w:val="00E755D2"/>
    <w:rsid w:val="00E75749"/>
    <w:rsid w:val="00E7587B"/>
    <w:rsid w:val="00E75E76"/>
    <w:rsid w:val="00E75EF9"/>
    <w:rsid w:val="00E7612F"/>
    <w:rsid w:val="00E761F8"/>
    <w:rsid w:val="00E76539"/>
    <w:rsid w:val="00E769CF"/>
    <w:rsid w:val="00E76B6B"/>
    <w:rsid w:val="00E76C0D"/>
    <w:rsid w:val="00E76CB2"/>
    <w:rsid w:val="00E76EC1"/>
    <w:rsid w:val="00E7763A"/>
    <w:rsid w:val="00E77A0D"/>
    <w:rsid w:val="00E77ED5"/>
    <w:rsid w:val="00E77F5E"/>
    <w:rsid w:val="00E8035A"/>
    <w:rsid w:val="00E80B36"/>
    <w:rsid w:val="00E80BD5"/>
    <w:rsid w:val="00E80D44"/>
    <w:rsid w:val="00E81096"/>
    <w:rsid w:val="00E81358"/>
    <w:rsid w:val="00E81A02"/>
    <w:rsid w:val="00E81C39"/>
    <w:rsid w:val="00E81CA6"/>
    <w:rsid w:val="00E81CF5"/>
    <w:rsid w:val="00E81FF4"/>
    <w:rsid w:val="00E820D3"/>
    <w:rsid w:val="00E82117"/>
    <w:rsid w:val="00E82443"/>
    <w:rsid w:val="00E82AFB"/>
    <w:rsid w:val="00E82E5D"/>
    <w:rsid w:val="00E82EFB"/>
    <w:rsid w:val="00E83011"/>
    <w:rsid w:val="00E831A4"/>
    <w:rsid w:val="00E834BE"/>
    <w:rsid w:val="00E83741"/>
    <w:rsid w:val="00E83A58"/>
    <w:rsid w:val="00E83B31"/>
    <w:rsid w:val="00E83B96"/>
    <w:rsid w:val="00E83F80"/>
    <w:rsid w:val="00E840F0"/>
    <w:rsid w:val="00E842CD"/>
    <w:rsid w:val="00E845AB"/>
    <w:rsid w:val="00E84673"/>
    <w:rsid w:val="00E84700"/>
    <w:rsid w:val="00E8497B"/>
    <w:rsid w:val="00E849BB"/>
    <w:rsid w:val="00E84AF7"/>
    <w:rsid w:val="00E84CEF"/>
    <w:rsid w:val="00E850B5"/>
    <w:rsid w:val="00E8583C"/>
    <w:rsid w:val="00E858FE"/>
    <w:rsid w:val="00E85FAC"/>
    <w:rsid w:val="00E86115"/>
    <w:rsid w:val="00E86154"/>
    <w:rsid w:val="00E862CC"/>
    <w:rsid w:val="00E864D7"/>
    <w:rsid w:val="00E86758"/>
    <w:rsid w:val="00E86C88"/>
    <w:rsid w:val="00E86F70"/>
    <w:rsid w:val="00E86FB3"/>
    <w:rsid w:val="00E872F5"/>
    <w:rsid w:val="00E872FD"/>
    <w:rsid w:val="00E87491"/>
    <w:rsid w:val="00E87689"/>
    <w:rsid w:val="00E87973"/>
    <w:rsid w:val="00E87AC9"/>
    <w:rsid w:val="00E87B5D"/>
    <w:rsid w:val="00E87D47"/>
    <w:rsid w:val="00E87DF3"/>
    <w:rsid w:val="00E90327"/>
    <w:rsid w:val="00E90407"/>
    <w:rsid w:val="00E9084C"/>
    <w:rsid w:val="00E90A51"/>
    <w:rsid w:val="00E90AA0"/>
    <w:rsid w:val="00E90B35"/>
    <w:rsid w:val="00E90BFB"/>
    <w:rsid w:val="00E90C83"/>
    <w:rsid w:val="00E90E22"/>
    <w:rsid w:val="00E90FAF"/>
    <w:rsid w:val="00E91107"/>
    <w:rsid w:val="00E91127"/>
    <w:rsid w:val="00E912D4"/>
    <w:rsid w:val="00E91427"/>
    <w:rsid w:val="00E914DA"/>
    <w:rsid w:val="00E91DD2"/>
    <w:rsid w:val="00E9265D"/>
    <w:rsid w:val="00E92930"/>
    <w:rsid w:val="00E92DBA"/>
    <w:rsid w:val="00E934CB"/>
    <w:rsid w:val="00E9359F"/>
    <w:rsid w:val="00E93738"/>
    <w:rsid w:val="00E93A99"/>
    <w:rsid w:val="00E946CD"/>
    <w:rsid w:val="00E94A58"/>
    <w:rsid w:val="00E94B3B"/>
    <w:rsid w:val="00E94F8D"/>
    <w:rsid w:val="00E94FFB"/>
    <w:rsid w:val="00E9518D"/>
    <w:rsid w:val="00E95240"/>
    <w:rsid w:val="00E95A4C"/>
    <w:rsid w:val="00E95C19"/>
    <w:rsid w:val="00E95C65"/>
    <w:rsid w:val="00E960DA"/>
    <w:rsid w:val="00E96508"/>
    <w:rsid w:val="00E96739"/>
    <w:rsid w:val="00E968A8"/>
    <w:rsid w:val="00E97126"/>
    <w:rsid w:val="00E973C8"/>
    <w:rsid w:val="00E97EC1"/>
    <w:rsid w:val="00EA04FB"/>
    <w:rsid w:val="00EA127B"/>
    <w:rsid w:val="00EA13D2"/>
    <w:rsid w:val="00EA13FF"/>
    <w:rsid w:val="00EA14BE"/>
    <w:rsid w:val="00EA1782"/>
    <w:rsid w:val="00EA1AFA"/>
    <w:rsid w:val="00EA1C8B"/>
    <w:rsid w:val="00EA2219"/>
    <w:rsid w:val="00EA2406"/>
    <w:rsid w:val="00EA2466"/>
    <w:rsid w:val="00EA2870"/>
    <w:rsid w:val="00EA29D5"/>
    <w:rsid w:val="00EA3039"/>
    <w:rsid w:val="00EA3161"/>
    <w:rsid w:val="00EA33AA"/>
    <w:rsid w:val="00EA35A8"/>
    <w:rsid w:val="00EA35DD"/>
    <w:rsid w:val="00EA38B7"/>
    <w:rsid w:val="00EA4439"/>
    <w:rsid w:val="00EA465A"/>
    <w:rsid w:val="00EA47CE"/>
    <w:rsid w:val="00EA49AC"/>
    <w:rsid w:val="00EA4E33"/>
    <w:rsid w:val="00EA546A"/>
    <w:rsid w:val="00EA5864"/>
    <w:rsid w:val="00EA58C2"/>
    <w:rsid w:val="00EA596E"/>
    <w:rsid w:val="00EA5A22"/>
    <w:rsid w:val="00EA5A55"/>
    <w:rsid w:val="00EA5D4F"/>
    <w:rsid w:val="00EA60F7"/>
    <w:rsid w:val="00EA675B"/>
    <w:rsid w:val="00EA6958"/>
    <w:rsid w:val="00EA6C9E"/>
    <w:rsid w:val="00EA6D8F"/>
    <w:rsid w:val="00EA7390"/>
    <w:rsid w:val="00EA73F5"/>
    <w:rsid w:val="00EA76B7"/>
    <w:rsid w:val="00EA7B31"/>
    <w:rsid w:val="00EA7B34"/>
    <w:rsid w:val="00EB04B2"/>
    <w:rsid w:val="00EB06D6"/>
    <w:rsid w:val="00EB0741"/>
    <w:rsid w:val="00EB07AD"/>
    <w:rsid w:val="00EB0AAA"/>
    <w:rsid w:val="00EB1391"/>
    <w:rsid w:val="00EB13D0"/>
    <w:rsid w:val="00EB1AD9"/>
    <w:rsid w:val="00EB1AFA"/>
    <w:rsid w:val="00EB1BEA"/>
    <w:rsid w:val="00EB20C5"/>
    <w:rsid w:val="00EB217B"/>
    <w:rsid w:val="00EB2603"/>
    <w:rsid w:val="00EB2773"/>
    <w:rsid w:val="00EB296D"/>
    <w:rsid w:val="00EB2CF1"/>
    <w:rsid w:val="00EB393C"/>
    <w:rsid w:val="00EB3B82"/>
    <w:rsid w:val="00EB3F0F"/>
    <w:rsid w:val="00EB40DF"/>
    <w:rsid w:val="00EB423F"/>
    <w:rsid w:val="00EB42D6"/>
    <w:rsid w:val="00EB4368"/>
    <w:rsid w:val="00EB474B"/>
    <w:rsid w:val="00EB54BB"/>
    <w:rsid w:val="00EB5B86"/>
    <w:rsid w:val="00EB5D43"/>
    <w:rsid w:val="00EB62A2"/>
    <w:rsid w:val="00EB63B2"/>
    <w:rsid w:val="00EB6413"/>
    <w:rsid w:val="00EB647B"/>
    <w:rsid w:val="00EB6B40"/>
    <w:rsid w:val="00EB7386"/>
    <w:rsid w:val="00EB762E"/>
    <w:rsid w:val="00EB7B21"/>
    <w:rsid w:val="00EB7C1A"/>
    <w:rsid w:val="00EB7DFC"/>
    <w:rsid w:val="00EC00C6"/>
    <w:rsid w:val="00EC02C0"/>
    <w:rsid w:val="00EC0399"/>
    <w:rsid w:val="00EC0C80"/>
    <w:rsid w:val="00EC1292"/>
    <w:rsid w:val="00EC134E"/>
    <w:rsid w:val="00EC1932"/>
    <w:rsid w:val="00EC1F85"/>
    <w:rsid w:val="00EC2101"/>
    <w:rsid w:val="00EC285F"/>
    <w:rsid w:val="00EC2BC2"/>
    <w:rsid w:val="00EC2F55"/>
    <w:rsid w:val="00EC30E8"/>
    <w:rsid w:val="00EC3427"/>
    <w:rsid w:val="00EC3B50"/>
    <w:rsid w:val="00EC3CC3"/>
    <w:rsid w:val="00EC42FF"/>
    <w:rsid w:val="00EC439C"/>
    <w:rsid w:val="00EC4529"/>
    <w:rsid w:val="00EC45D0"/>
    <w:rsid w:val="00EC4602"/>
    <w:rsid w:val="00EC479F"/>
    <w:rsid w:val="00EC4A9F"/>
    <w:rsid w:val="00EC4C38"/>
    <w:rsid w:val="00EC4F02"/>
    <w:rsid w:val="00EC55E3"/>
    <w:rsid w:val="00EC57BE"/>
    <w:rsid w:val="00EC5C33"/>
    <w:rsid w:val="00EC5EB9"/>
    <w:rsid w:val="00EC5F15"/>
    <w:rsid w:val="00EC620E"/>
    <w:rsid w:val="00EC62FE"/>
    <w:rsid w:val="00EC72E8"/>
    <w:rsid w:val="00EC73A1"/>
    <w:rsid w:val="00EC7744"/>
    <w:rsid w:val="00ED025E"/>
    <w:rsid w:val="00ED0A19"/>
    <w:rsid w:val="00ED0CE8"/>
    <w:rsid w:val="00ED0ED6"/>
    <w:rsid w:val="00ED1945"/>
    <w:rsid w:val="00ED1A8A"/>
    <w:rsid w:val="00ED1D78"/>
    <w:rsid w:val="00ED1DA8"/>
    <w:rsid w:val="00ED285C"/>
    <w:rsid w:val="00ED29DF"/>
    <w:rsid w:val="00ED2B6D"/>
    <w:rsid w:val="00ED2C38"/>
    <w:rsid w:val="00ED31D0"/>
    <w:rsid w:val="00ED3494"/>
    <w:rsid w:val="00ED3772"/>
    <w:rsid w:val="00ED3D78"/>
    <w:rsid w:val="00ED4835"/>
    <w:rsid w:val="00ED4CDD"/>
    <w:rsid w:val="00ED4F6D"/>
    <w:rsid w:val="00ED500E"/>
    <w:rsid w:val="00ED5A4E"/>
    <w:rsid w:val="00ED6396"/>
    <w:rsid w:val="00ED6576"/>
    <w:rsid w:val="00ED6AFF"/>
    <w:rsid w:val="00ED6EBD"/>
    <w:rsid w:val="00ED7194"/>
    <w:rsid w:val="00ED74AB"/>
    <w:rsid w:val="00ED7C71"/>
    <w:rsid w:val="00ED7CAC"/>
    <w:rsid w:val="00ED7DC1"/>
    <w:rsid w:val="00EE03D8"/>
    <w:rsid w:val="00EE06C7"/>
    <w:rsid w:val="00EE13C7"/>
    <w:rsid w:val="00EE16D5"/>
    <w:rsid w:val="00EE1A06"/>
    <w:rsid w:val="00EE1FC0"/>
    <w:rsid w:val="00EE23BF"/>
    <w:rsid w:val="00EE2563"/>
    <w:rsid w:val="00EE2587"/>
    <w:rsid w:val="00EE26F3"/>
    <w:rsid w:val="00EE278A"/>
    <w:rsid w:val="00EE2842"/>
    <w:rsid w:val="00EE2E94"/>
    <w:rsid w:val="00EE32BD"/>
    <w:rsid w:val="00EE3381"/>
    <w:rsid w:val="00EE3712"/>
    <w:rsid w:val="00EE399E"/>
    <w:rsid w:val="00EE42A5"/>
    <w:rsid w:val="00EE45A1"/>
    <w:rsid w:val="00EE465C"/>
    <w:rsid w:val="00EE484A"/>
    <w:rsid w:val="00EE4993"/>
    <w:rsid w:val="00EE4C5C"/>
    <w:rsid w:val="00EE4CCF"/>
    <w:rsid w:val="00EE4CFC"/>
    <w:rsid w:val="00EE4D91"/>
    <w:rsid w:val="00EE4EAC"/>
    <w:rsid w:val="00EE5708"/>
    <w:rsid w:val="00EE5B90"/>
    <w:rsid w:val="00EE60F7"/>
    <w:rsid w:val="00EE66B8"/>
    <w:rsid w:val="00EE6B9E"/>
    <w:rsid w:val="00EE7013"/>
    <w:rsid w:val="00EE7359"/>
    <w:rsid w:val="00EE753A"/>
    <w:rsid w:val="00EE778D"/>
    <w:rsid w:val="00EE7942"/>
    <w:rsid w:val="00EE7B08"/>
    <w:rsid w:val="00EE7DAB"/>
    <w:rsid w:val="00EE7F6C"/>
    <w:rsid w:val="00EF0960"/>
    <w:rsid w:val="00EF134F"/>
    <w:rsid w:val="00EF1389"/>
    <w:rsid w:val="00EF1454"/>
    <w:rsid w:val="00EF17E5"/>
    <w:rsid w:val="00EF19D3"/>
    <w:rsid w:val="00EF1BAC"/>
    <w:rsid w:val="00EF1DE3"/>
    <w:rsid w:val="00EF1EF5"/>
    <w:rsid w:val="00EF1FD0"/>
    <w:rsid w:val="00EF201C"/>
    <w:rsid w:val="00EF22DB"/>
    <w:rsid w:val="00EF28FC"/>
    <w:rsid w:val="00EF2CF4"/>
    <w:rsid w:val="00EF32D6"/>
    <w:rsid w:val="00EF32D9"/>
    <w:rsid w:val="00EF332E"/>
    <w:rsid w:val="00EF3628"/>
    <w:rsid w:val="00EF3A3F"/>
    <w:rsid w:val="00EF3F12"/>
    <w:rsid w:val="00EF4555"/>
    <w:rsid w:val="00EF4745"/>
    <w:rsid w:val="00EF4866"/>
    <w:rsid w:val="00EF48AB"/>
    <w:rsid w:val="00EF54ED"/>
    <w:rsid w:val="00EF5A83"/>
    <w:rsid w:val="00EF5D62"/>
    <w:rsid w:val="00EF635F"/>
    <w:rsid w:val="00EF6602"/>
    <w:rsid w:val="00EF6AC8"/>
    <w:rsid w:val="00EF6DC0"/>
    <w:rsid w:val="00EF7077"/>
    <w:rsid w:val="00EF745C"/>
    <w:rsid w:val="00EF7CE6"/>
    <w:rsid w:val="00F0069C"/>
    <w:rsid w:val="00F01081"/>
    <w:rsid w:val="00F010CF"/>
    <w:rsid w:val="00F015E2"/>
    <w:rsid w:val="00F01C16"/>
    <w:rsid w:val="00F02296"/>
    <w:rsid w:val="00F025B6"/>
    <w:rsid w:val="00F0279B"/>
    <w:rsid w:val="00F02882"/>
    <w:rsid w:val="00F02931"/>
    <w:rsid w:val="00F029C0"/>
    <w:rsid w:val="00F02DA5"/>
    <w:rsid w:val="00F03292"/>
    <w:rsid w:val="00F0355A"/>
    <w:rsid w:val="00F037B4"/>
    <w:rsid w:val="00F03CE4"/>
    <w:rsid w:val="00F03E89"/>
    <w:rsid w:val="00F03FBF"/>
    <w:rsid w:val="00F04063"/>
    <w:rsid w:val="00F041FC"/>
    <w:rsid w:val="00F048E1"/>
    <w:rsid w:val="00F04934"/>
    <w:rsid w:val="00F04CC6"/>
    <w:rsid w:val="00F04F2A"/>
    <w:rsid w:val="00F04F76"/>
    <w:rsid w:val="00F05538"/>
    <w:rsid w:val="00F05789"/>
    <w:rsid w:val="00F05C44"/>
    <w:rsid w:val="00F05E4F"/>
    <w:rsid w:val="00F0604F"/>
    <w:rsid w:val="00F0611F"/>
    <w:rsid w:val="00F0618D"/>
    <w:rsid w:val="00F063BA"/>
    <w:rsid w:val="00F064E6"/>
    <w:rsid w:val="00F065BD"/>
    <w:rsid w:val="00F06C9B"/>
    <w:rsid w:val="00F06DDD"/>
    <w:rsid w:val="00F0708D"/>
    <w:rsid w:val="00F07095"/>
    <w:rsid w:val="00F0710B"/>
    <w:rsid w:val="00F07872"/>
    <w:rsid w:val="00F07B9E"/>
    <w:rsid w:val="00F07BCE"/>
    <w:rsid w:val="00F07D30"/>
    <w:rsid w:val="00F07DD6"/>
    <w:rsid w:val="00F07E02"/>
    <w:rsid w:val="00F10028"/>
    <w:rsid w:val="00F1012D"/>
    <w:rsid w:val="00F10817"/>
    <w:rsid w:val="00F10909"/>
    <w:rsid w:val="00F10A09"/>
    <w:rsid w:val="00F10B00"/>
    <w:rsid w:val="00F10E65"/>
    <w:rsid w:val="00F11125"/>
    <w:rsid w:val="00F1142F"/>
    <w:rsid w:val="00F114C3"/>
    <w:rsid w:val="00F11574"/>
    <w:rsid w:val="00F11994"/>
    <w:rsid w:val="00F11A42"/>
    <w:rsid w:val="00F11BEC"/>
    <w:rsid w:val="00F11E75"/>
    <w:rsid w:val="00F122CB"/>
    <w:rsid w:val="00F1250C"/>
    <w:rsid w:val="00F12597"/>
    <w:rsid w:val="00F128F8"/>
    <w:rsid w:val="00F12A16"/>
    <w:rsid w:val="00F12AC6"/>
    <w:rsid w:val="00F12CB1"/>
    <w:rsid w:val="00F12CFD"/>
    <w:rsid w:val="00F1345C"/>
    <w:rsid w:val="00F13464"/>
    <w:rsid w:val="00F13A9A"/>
    <w:rsid w:val="00F13B76"/>
    <w:rsid w:val="00F13EA4"/>
    <w:rsid w:val="00F13FD0"/>
    <w:rsid w:val="00F140A0"/>
    <w:rsid w:val="00F144D6"/>
    <w:rsid w:val="00F14AA0"/>
    <w:rsid w:val="00F14AD0"/>
    <w:rsid w:val="00F14E76"/>
    <w:rsid w:val="00F14F1F"/>
    <w:rsid w:val="00F14F38"/>
    <w:rsid w:val="00F15041"/>
    <w:rsid w:val="00F153A6"/>
    <w:rsid w:val="00F15514"/>
    <w:rsid w:val="00F155DD"/>
    <w:rsid w:val="00F15A41"/>
    <w:rsid w:val="00F160F9"/>
    <w:rsid w:val="00F16731"/>
    <w:rsid w:val="00F16B6F"/>
    <w:rsid w:val="00F16C8C"/>
    <w:rsid w:val="00F17C97"/>
    <w:rsid w:val="00F20088"/>
    <w:rsid w:val="00F2009A"/>
    <w:rsid w:val="00F201D5"/>
    <w:rsid w:val="00F20578"/>
    <w:rsid w:val="00F20806"/>
    <w:rsid w:val="00F20834"/>
    <w:rsid w:val="00F20D25"/>
    <w:rsid w:val="00F20F6A"/>
    <w:rsid w:val="00F218D5"/>
    <w:rsid w:val="00F21B76"/>
    <w:rsid w:val="00F21D55"/>
    <w:rsid w:val="00F21D89"/>
    <w:rsid w:val="00F21F27"/>
    <w:rsid w:val="00F21FF6"/>
    <w:rsid w:val="00F22AA4"/>
    <w:rsid w:val="00F22B3D"/>
    <w:rsid w:val="00F22B47"/>
    <w:rsid w:val="00F23771"/>
    <w:rsid w:val="00F23A36"/>
    <w:rsid w:val="00F23D45"/>
    <w:rsid w:val="00F23F2C"/>
    <w:rsid w:val="00F245B7"/>
    <w:rsid w:val="00F245E2"/>
    <w:rsid w:val="00F24F51"/>
    <w:rsid w:val="00F2506E"/>
    <w:rsid w:val="00F250E5"/>
    <w:rsid w:val="00F25223"/>
    <w:rsid w:val="00F25298"/>
    <w:rsid w:val="00F25B02"/>
    <w:rsid w:val="00F25B21"/>
    <w:rsid w:val="00F25CB9"/>
    <w:rsid w:val="00F25DDA"/>
    <w:rsid w:val="00F266C8"/>
    <w:rsid w:val="00F2697B"/>
    <w:rsid w:val="00F26C32"/>
    <w:rsid w:val="00F26EC1"/>
    <w:rsid w:val="00F27028"/>
    <w:rsid w:val="00F27381"/>
    <w:rsid w:val="00F2744F"/>
    <w:rsid w:val="00F275EC"/>
    <w:rsid w:val="00F2769E"/>
    <w:rsid w:val="00F3065C"/>
    <w:rsid w:val="00F306E4"/>
    <w:rsid w:val="00F30769"/>
    <w:rsid w:val="00F309E8"/>
    <w:rsid w:val="00F30A17"/>
    <w:rsid w:val="00F31154"/>
    <w:rsid w:val="00F31326"/>
    <w:rsid w:val="00F3157F"/>
    <w:rsid w:val="00F3186A"/>
    <w:rsid w:val="00F318F9"/>
    <w:rsid w:val="00F31A8A"/>
    <w:rsid w:val="00F31CF9"/>
    <w:rsid w:val="00F32A82"/>
    <w:rsid w:val="00F32C33"/>
    <w:rsid w:val="00F33052"/>
    <w:rsid w:val="00F33122"/>
    <w:rsid w:val="00F331BA"/>
    <w:rsid w:val="00F3383A"/>
    <w:rsid w:val="00F33EAB"/>
    <w:rsid w:val="00F3444B"/>
    <w:rsid w:val="00F34627"/>
    <w:rsid w:val="00F34633"/>
    <w:rsid w:val="00F3469C"/>
    <w:rsid w:val="00F346A2"/>
    <w:rsid w:val="00F34845"/>
    <w:rsid w:val="00F34EE8"/>
    <w:rsid w:val="00F3507D"/>
    <w:rsid w:val="00F35250"/>
    <w:rsid w:val="00F35680"/>
    <w:rsid w:val="00F35715"/>
    <w:rsid w:val="00F37C35"/>
    <w:rsid w:val="00F37D6D"/>
    <w:rsid w:val="00F4006A"/>
    <w:rsid w:val="00F40614"/>
    <w:rsid w:val="00F40A96"/>
    <w:rsid w:val="00F40CBB"/>
    <w:rsid w:val="00F40F9B"/>
    <w:rsid w:val="00F41183"/>
    <w:rsid w:val="00F414BA"/>
    <w:rsid w:val="00F415D8"/>
    <w:rsid w:val="00F4165B"/>
    <w:rsid w:val="00F418F7"/>
    <w:rsid w:val="00F419EC"/>
    <w:rsid w:val="00F41BE6"/>
    <w:rsid w:val="00F41BE7"/>
    <w:rsid w:val="00F41CB6"/>
    <w:rsid w:val="00F4224B"/>
    <w:rsid w:val="00F42551"/>
    <w:rsid w:val="00F426C1"/>
    <w:rsid w:val="00F429F5"/>
    <w:rsid w:val="00F42A86"/>
    <w:rsid w:val="00F4357C"/>
    <w:rsid w:val="00F44206"/>
    <w:rsid w:val="00F442E2"/>
    <w:rsid w:val="00F44870"/>
    <w:rsid w:val="00F44C6E"/>
    <w:rsid w:val="00F450D9"/>
    <w:rsid w:val="00F45268"/>
    <w:rsid w:val="00F45CEF"/>
    <w:rsid w:val="00F45D61"/>
    <w:rsid w:val="00F45F7A"/>
    <w:rsid w:val="00F46335"/>
    <w:rsid w:val="00F467C5"/>
    <w:rsid w:val="00F46ED8"/>
    <w:rsid w:val="00F46F71"/>
    <w:rsid w:val="00F472EA"/>
    <w:rsid w:val="00F473E8"/>
    <w:rsid w:val="00F47EB9"/>
    <w:rsid w:val="00F504B5"/>
    <w:rsid w:val="00F50683"/>
    <w:rsid w:val="00F50EAF"/>
    <w:rsid w:val="00F5131B"/>
    <w:rsid w:val="00F515DB"/>
    <w:rsid w:val="00F51F1D"/>
    <w:rsid w:val="00F51F9C"/>
    <w:rsid w:val="00F52194"/>
    <w:rsid w:val="00F523B0"/>
    <w:rsid w:val="00F523F7"/>
    <w:rsid w:val="00F524F7"/>
    <w:rsid w:val="00F525A4"/>
    <w:rsid w:val="00F526C9"/>
    <w:rsid w:val="00F528BA"/>
    <w:rsid w:val="00F5290F"/>
    <w:rsid w:val="00F52AA6"/>
    <w:rsid w:val="00F5333E"/>
    <w:rsid w:val="00F5347B"/>
    <w:rsid w:val="00F534F5"/>
    <w:rsid w:val="00F53621"/>
    <w:rsid w:val="00F53826"/>
    <w:rsid w:val="00F53C83"/>
    <w:rsid w:val="00F53CB0"/>
    <w:rsid w:val="00F53CE4"/>
    <w:rsid w:val="00F53D40"/>
    <w:rsid w:val="00F540E2"/>
    <w:rsid w:val="00F541B1"/>
    <w:rsid w:val="00F5454E"/>
    <w:rsid w:val="00F54735"/>
    <w:rsid w:val="00F549F3"/>
    <w:rsid w:val="00F54C5F"/>
    <w:rsid w:val="00F54D74"/>
    <w:rsid w:val="00F54E9D"/>
    <w:rsid w:val="00F550EC"/>
    <w:rsid w:val="00F552C0"/>
    <w:rsid w:val="00F55315"/>
    <w:rsid w:val="00F5534D"/>
    <w:rsid w:val="00F5559B"/>
    <w:rsid w:val="00F5595B"/>
    <w:rsid w:val="00F55BFA"/>
    <w:rsid w:val="00F55C25"/>
    <w:rsid w:val="00F55EDB"/>
    <w:rsid w:val="00F5615A"/>
    <w:rsid w:val="00F563DB"/>
    <w:rsid w:val="00F56527"/>
    <w:rsid w:val="00F56963"/>
    <w:rsid w:val="00F569F6"/>
    <w:rsid w:val="00F56C1C"/>
    <w:rsid w:val="00F56F49"/>
    <w:rsid w:val="00F57007"/>
    <w:rsid w:val="00F578DC"/>
    <w:rsid w:val="00F579F5"/>
    <w:rsid w:val="00F57AE6"/>
    <w:rsid w:val="00F57EC9"/>
    <w:rsid w:val="00F60760"/>
    <w:rsid w:val="00F609C3"/>
    <w:rsid w:val="00F60A3A"/>
    <w:rsid w:val="00F60C9B"/>
    <w:rsid w:val="00F6119A"/>
    <w:rsid w:val="00F61F05"/>
    <w:rsid w:val="00F62278"/>
    <w:rsid w:val="00F62DE7"/>
    <w:rsid w:val="00F62ED0"/>
    <w:rsid w:val="00F634FA"/>
    <w:rsid w:val="00F63530"/>
    <w:rsid w:val="00F636B3"/>
    <w:rsid w:val="00F63C2C"/>
    <w:rsid w:val="00F63D25"/>
    <w:rsid w:val="00F6400D"/>
    <w:rsid w:val="00F64442"/>
    <w:rsid w:val="00F64463"/>
    <w:rsid w:val="00F64C78"/>
    <w:rsid w:val="00F64F47"/>
    <w:rsid w:val="00F6501B"/>
    <w:rsid w:val="00F650C7"/>
    <w:rsid w:val="00F6529A"/>
    <w:rsid w:val="00F65400"/>
    <w:rsid w:val="00F65458"/>
    <w:rsid w:val="00F6559F"/>
    <w:rsid w:val="00F6565B"/>
    <w:rsid w:val="00F657EC"/>
    <w:rsid w:val="00F65EE9"/>
    <w:rsid w:val="00F65F46"/>
    <w:rsid w:val="00F664BB"/>
    <w:rsid w:val="00F664FD"/>
    <w:rsid w:val="00F66612"/>
    <w:rsid w:val="00F66769"/>
    <w:rsid w:val="00F6683E"/>
    <w:rsid w:val="00F66B92"/>
    <w:rsid w:val="00F66C29"/>
    <w:rsid w:val="00F66CDD"/>
    <w:rsid w:val="00F67134"/>
    <w:rsid w:val="00F67163"/>
    <w:rsid w:val="00F676F2"/>
    <w:rsid w:val="00F67894"/>
    <w:rsid w:val="00F67B25"/>
    <w:rsid w:val="00F70230"/>
    <w:rsid w:val="00F706B4"/>
    <w:rsid w:val="00F70823"/>
    <w:rsid w:val="00F70B3D"/>
    <w:rsid w:val="00F70F0C"/>
    <w:rsid w:val="00F712FE"/>
    <w:rsid w:val="00F7181D"/>
    <w:rsid w:val="00F71C90"/>
    <w:rsid w:val="00F71D7C"/>
    <w:rsid w:val="00F72298"/>
    <w:rsid w:val="00F7246E"/>
    <w:rsid w:val="00F729FF"/>
    <w:rsid w:val="00F72A38"/>
    <w:rsid w:val="00F72AED"/>
    <w:rsid w:val="00F72EDA"/>
    <w:rsid w:val="00F73405"/>
    <w:rsid w:val="00F73996"/>
    <w:rsid w:val="00F73B80"/>
    <w:rsid w:val="00F73F52"/>
    <w:rsid w:val="00F740D9"/>
    <w:rsid w:val="00F742D5"/>
    <w:rsid w:val="00F7447F"/>
    <w:rsid w:val="00F746E1"/>
    <w:rsid w:val="00F746F5"/>
    <w:rsid w:val="00F7483E"/>
    <w:rsid w:val="00F74CE9"/>
    <w:rsid w:val="00F74FAC"/>
    <w:rsid w:val="00F74FB1"/>
    <w:rsid w:val="00F75045"/>
    <w:rsid w:val="00F757C7"/>
    <w:rsid w:val="00F7609E"/>
    <w:rsid w:val="00F76308"/>
    <w:rsid w:val="00F76C2B"/>
    <w:rsid w:val="00F76D11"/>
    <w:rsid w:val="00F773E8"/>
    <w:rsid w:val="00F77486"/>
    <w:rsid w:val="00F774A1"/>
    <w:rsid w:val="00F774DC"/>
    <w:rsid w:val="00F7777F"/>
    <w:rsid w:val="00F77A76"/>
    <w:rsid w:val="00F77C6A"/>
    <w:rsid w:val="00F77C93"/>
    <w:rsid w:val="00F77F83"/>
    <w:rsid w:val="00F80338"/>
    <w:rsid w:val="00F803C2"/>
    <w:rsid w:val="00F80556"/>
    <w:rsid w:val="00F807D4"/>
    <w:rsid w:val="00F80944"/>
    <w:rsid w:val="00F80974"/>
    <w:rsid w:val="00F80987"/>
    <w:rsid w:val="00F80A35"/>
    <w:rsid w:val="00F80B17"/>
    <w:rsid w:val="00F80F05"/>
    <w:rsid w:val="00F8131F"/>
    <w:rsid w:val="00F81607"/>
    <w:rsid w:val="00F81715"/>
    <w:rsid w:val="00F81CF0"/>
    <w:rsid w:val="00F81D5E"/>
    <w:rsid w:val="00F820E6"/>
    <w:rsid w:val="00F824FA"/>
    <w:rsid w:val="00F8267C"/>
    <w:rsid w:val="00F82946"/>
    <w:rsid w:val="00F82AB6"/>
    <w:rsid w:val="00F82B19"/>
    <w:rsid w:val="00F82B4D"/>
    <w:rsid w:val="00F8300C"/>
    <w:rsid w:val="00F838BA"/>
    <w:rsid w:val="00F83A4F"/>
    <w:rsid w:val="00F83CE9"/>
    <w:rsid w:val="00F84736"/>
    <w:rsid w:val="00F847B0"/>
    <w:rsid w:val="00F849E6"/>
    <w:rsid w:val="00F84AAC"/>
    <w:rsid w:val="00F84B1E"/>
    <w:rsid w:val="00F84B29"/>
    <w:rsid w:val="00F84FA8"/>
    <w:rsid w:val="00F84FF9"/>
    <w:rsid w:val="00F851FF"/>
    <w:rsid w:val="00F86251"/>
    <w:rsid w:val="00F86487"/>
    <w:rsid w:val="00F8683F"/>
    <w:rsid w:val="00F86989"/>
    <w:rsid w:val="00F86A81"/>
    <w:rsid w:val="00F87142"/>
    <w:rsid w:val="00F871C3"/>
    <w:rsid w:val="00F87576"/>
    <w:rsid w:val="00F87ACC"/>
    <w:rsid w:val="00F87B71"/>
    <w:rsid w:val="00F9047C"/>
    <w:rsid w:val="00F90B35"/>
    <w:rsid w:val="00F90FD6"/>
    <w:rsid w:val="00F91400"/>
    <w:rsid w:val="00F91A9B"/>
    <w:rsid w:val="00F91FDF"/>
    <w:rsid w:val="00F920CA"/>
    <w:rsid w:val="00F924F4"/>
    <w:rsid w:val="00F92539"/>
    <w:rsid w:val="00F92747"/>
    <w:rsid w:val="00F92775"/>
    <w:rsid w:val="00F927B3"/>
    <w:rsid w:val="00F930ED"/>
    <w:rsid w:val="00F9319C"/>
    <w:rsid w:val="00F931C1"/>
    <w:rsid w:val="00F93211"/>
    <w:rsid w:val="00F9326E"/>
    <w:rsid w:val="00F93377"/>
    <w:rsid w:val="00F936C7"/>
    <w:rsid w:val="00F9374F"/>
    <w:rsid w:val="00F937D1"/>
    <w:rsid w:val="00F93815"/>
    <w:rsid w:val="00F943BF"/>
    <w:rsid w:val="00F94A89"/>
    <w:rsid w:val="00F94AFE"/>
    <w:rsid w:val="00F951C4"/>
    <w:rsid w:val="00F954A6"/>
    <w:rsid w:val="00F95847"/>
    <w:rsid w:val="00F95BB8"/>
    <w:rsid w:val="00F96163"/>
    <w:rsid w:val="00F968C3"/>
    <w:rsid w:val="00F97273"/>
    <w:rsid w:val="00F972CE"/>
    <w:rsid w:val="00F97397"/>
    <w:rsid w:val="00F97418"/>
    <w:rsid w:val="00F97878"/>
    <w:rsid w:val="00F97EA0"/>
    <w:rsid w:val="00F97F3A"/>
    <w:rsid w:val="00F97F8C"/>
    <w:rsid w:val="00FA07B3"/>
    <w:rsid w:val="00FA1101"/>
    <w:rsid w:val="00FA1114"/>
    <w:rsid w:val="00FA1129"/>
    <w:rsid w:val="00FA1325"/>
    <w:rsid w:val="00FA13AB"/>
    <w:rsid w:val="00FA1938"/>
    <w:rsid w:val="00FA1AC5"/>
    <w:rsid w:val="00FA1C8B"/>
    <w:rsid w:val="00FA1E91"/>
    <w:rsid w:val="00FA20B2"/>
    <w:rsid w:val="00FA2315"/>
    <w:rsid w:val="00FA2622"/>
    <w:rsid w:val="00FA2723"/>
    <w:rsid w:val="00FA29AA"/>
    <w:rsid w:val="00FA2B0E"/>
    <w:rsid w:val="00FA303F"/>
    <w:rsid w:val="00FA306E"/>
    <w:rsid w:val="00FA3A8E"/>
    <w:rsid w:val="00FA3C1E"/>
    <w:rsid w:val="00FA40F9"/>
    <w:rsid w:val="00FA41F3"/>
    <w:rsid w:val="00FA4F20"/>
    <w:rsid w:val="00FA589B"/>
    <w:rsid w:val="00FA5CB5"/>
    <w:rsid w:val="00FA613C"/>
    <w:rsid w:val="00FA67EC"/>
    <w:rsid w:val="00FA71DA"/>
    <w:rsid w:val="00FA744C"/>
    <w:rsid w:val="00FA7EFB"/>
    <w:rsid w:val="00FB0135"/>
    <w:rsid w:val="00FB029D"/>
    <w:rsid w:val="00FB0731"/>
    <w:rsid w:val="00FB0957"/>
    <w:rsid w:val="00FB0B25"/>
    <w:rsid w:val="00FB0E9F"/>
    <w:rsid w:val="00FB1069"/>
    <w:rsid w:val="00FB109C"/>
    <w:rsid w:val="00FB121C"/>
    <w:rsid w:val="00FB1228"/>
    <w:rsid w:val="00FB13BF"/>
    <w:rsid w:val="00FB17AA"/>
    <w:rsid w:val="00FB1D6D"/>
    <w:rsid w:val="00FB2049"/>
    <w:rsid w:val="00FB2307"/>
    <w:rsid w:val="00FB2A15"/>
    <w:rsid w:val="00FB2A84"/>
    <w:rsid w:val="00FB3005"/>
    <w:rsid w:val="00FB3187"/>
    <w:rsid w:val="00FB32AC"/>
    <w:rsid w:val="00FB32E1"/>
    <w:rsid w:val="00FB3B6B"/>
    <w:rsid w:val="00FB3C55"/>
    <w:rsid w:val="00FB4260"/>
    <w:rsid w:val="00FB4286"/>
    <w:rsid w:val="00FB45C2"/>
    <w:rsid w:val="00FB470E"/>
    <w:rsid w:val="00FB4858"/>
    <w:rsid w:val="00FB4CA1"/>
    <w:rsid w:val="00FB4F37"/>
    <w:rsid w:val="00FB5163"/>
    <w:rsid w:val="00FB5366"/>
    <w:rsid w:val="00FB5506"/>
    <w:rsid w:val="00FB5650"/>
    <w:rsid w:val="00FB5659"/>
    <w:rsid w:val="00FB5696"/>
    <w:rsid w:val="00FB574D"/>
    <w:rsid w:val="00FB58FB"/>
    <w:rsid w:val="00FB5A28"/>
    <w:rsid w:val="00FB6116"/>
    <w:rsid w:val="00FB6490"/>
    <w:rsid w:val="00FB67D7"/>
    <w:rsid w:val="00FB6910"/>
    <w:rsid w:val="00FB7256"/>
    <w:rsid w:val="00FB73D1"/>
    <w:rsid w:val="00FB74B6"/>
    <w:rsid w:val="00FB75D6"/>
    <w:rsid w:val="00FB7926"/>
    <w:rsid w:val="00FB7D9D"/>
    <w:rsid w:val="00FC01C2"/>
    <w:rsid w:val="00FC075E"/>
    <w:rsid w:val="00FC096B"/>
    <w:rsid w:val="00FC0E46"/>
    <w:rsid w:val="00FC0FF3"/>
    <w:rsid w:val="00FC13EA"/>
    <w:rsid w:val="00FC160D"/>
    <w:rsid w:val="00FC16D1"/>
    <w:rsid w:val="00FC18E2"/>
    <w:rsid w:val="00FC1BB7"/>
    <w:rsid w:val="00FC1DDB"/>
    <w:rsid w:val="00FC1F6D"/>
    <w:rsid w:val="00FC1FDD"/>
    <w:rsid w:val="00FC223F"/>
    <w:rsid w:val="00FC254C"/>
    <w:rsid w:val="00FC2861"/>
    <w:rsid w:val="00FC2982"/>
    <w:rsid w:val="00FC2AA7"/>
    <w:rsid w:val="00FC2C00"/>
    <w:rsid w:val="00FC2C2A"/>
    <w:rsid w:val="00FC2F3E"/>
    <w:rsid w:val="00FC33E1"/>
    <w:rsid w:val="00FC38F7"/>
    <w:rsid w:val="00FC40D4"/>
    <w:rsid w:val="00FC417E"/>
    <w:rsid w:val="00FC4561"/>
    <w:rsid w:val="00FC469A"/>
    <w:rsid w:val="00FC47FF"/>
    <w:rsid w:val="00FC556A"/>
    <w:rsid w:val="00FC558D"/>
    <w:rsid w:val="00FC55C9"/>
    <w:rsid w:val="00FC5891"/>
    <w:rsid w:val="00FC596A"/>
    <w:rsid w:val="00FC5E54"/>
    <w:rsid w:val="00FC6428"/>
    <w:rsid w:val="00FC6827"/>
    <w:rsid w:val="00FC6E46"/>
    <w:rsid w:val="00FC7177"/>
    <w:rsid w:val="00FC79AD"/>
    <w:rsid w:val="00FD01A8"/>
    <w:rsid w:val="00FD0C25"/>
    <w:rsid w:val="00FD0E40"/>
    <w:rsid w:val="00FD1068"/>
    <w:rsid w:val="00FD1F58"/>
    <w:rsid w:val="00FD24A4"/>
    <w:rsid w:val="00FD27C0"/>
    <w:rsid w:val="00FD2B9D"/>
    <w:rsid w:val="00FD3293"/>
    <w:rsid w:val="00FD37FF"/>
    <w:rsid w:val="00FD3849"/>
    <w:rsid w:val="00FD39C6"/>
    <w:rsid w:val="00FD3A3C"/>
    <w:rsid w:val="00FD3BE6"/>
    <w:rsid w:val="00FD3D5C"/>
    <w:rsid w:val="00FD4706"/>
    <w:rsid w:val="00FD488D"/>
    <w:rsid w:val="00FD4B90"/>
    <w:rsid w:val="00FD4C63"/>
    <w:rsid w:val="00FD4F5D"/>
    <w:rsid w:val="00FD5052"/>
    <w:rsid w:val="00FD50D1"/>
    <w:rsid w:val="00FD5447"/>
    <w:rsid w:val="00FD57F3"/>
    <w:rsid w:val="00FD5AD4"/>
    <w:rsid w:val="00FD5DEE"/>
    <w:rsid w:val="00FD5EE7"/>
    <w:rsid w:val="00FD5F3C"/>
    <w:rsid w:val="00FD5FBC"/>
    <w:rsid w:val="00FD6089"/>
    <w:rsid w:val="00FD63E1"/>
    <w:rsid w:val="00FD65A8"/>
    <w:rsid w:val="00FD67C6"/>
    <w:rsid w:val="00FD6A78"/>
    <w:rsid w:val="00FD6B63"/>
    <w:rsid w:val="00FD75F9"/>
    <w:rsid w:val="00FD7633"/>
    <w:rsid w:val="00FD7779"/>
    <w:rsid w:val="00FD7784"/>
    <w:rsid w:val="00FD7955"/>
    <w:rsid w:val="00FE056D"/>
    <w:rsid w:val="00FE0D1B"/>
    <w:rsid w:val="00FE0D62"/>
    <w:rsid w:val="00FE12AB"/>
    <w:rsid w:val="00FE1514"/>
    <w:rsid w:val="00FE16EE"/>
    <w:rsid w:val="00FE190A"/>
    <w:rsid w:val="00FE1CFA"/>
    <w:rsid w:val="00FE21A7"/>
    <w:rsid w:val="00FE22F3"/>
    <w:rsid w:val="00FE23E2"/>
    <w:rsid w:val="00FE2711"/>
    <w:rsid w:val="00FE2955"/>
    <w:rsid w:val="00FE296A"/>
    <w:rsid w:val="00FE3415"/>
    <w:rsid w:val="00FE34C2"/>
    <w:rsid w:val="00FE3738"/>
    <w:rsid w:val="00FE3762"/>
    <w:rsid w:val="00FE4328"/>
    <w:rsid w:val="00FE4C7D"/>
    <w:rsid w:val="00FE4CAB"/>
    <w:rsid w:val="00FE4DAC"/>
    <w:rsid w:val="00FE50D3"/>
    <w:rsid w:val="00FE61B5"/>
    <w:rsid w:val="00FE621C"/>
    <w:rsid w:val="00FE6768"/>
    <w:rsid w:val="00FE67B0"/>
    <w:rsid w:val="00FE6A09"/>
    <w:rsid w:val="00FE6FB9"/>
    <w:rsid w:val="00FE7A1E"/>
    <w:rsid w:val="00FE7B29"/>
    <w:rsid w:val="00FE7D3A"/>
    <w:rsid w:val="00FE7E2C"/>
    <w:rsid w:val="00FF0538"/>
    <w:rsid w:val="00FF06B7"/>
    <w:rsid w:val="00FF0723"/>
    <w:rsid w:val="00FF0AA4"/>
    <w:rsid w:val="00FF0DBC"/>
    <w:rsid w:val="00FF12C8"/>
    <w:rsid w:val="00FF1532"/>
    <w:rsid w:val="00FF1AC5"/>
    <w:rsid w:val="00FF1B8D"/>
    <w:rsid w:val="00FF210B"/>
    <w:rsid w:val="00FF21EA"/>
    <w:rsid w:val="00FF22CC"/>
    <w:rsid w:val="00FF246E"/>
    <w:rsid w:val="00FF2977"/>
    <w:rsid w:val="00FF33CE"/>
    <w:rsid w:val="00FF3529"/>
    <w:rsid w:val="00FF36C5"/>
    <w:rsid w:val="00FF38AB"/>
    <w:rsid w:val="00FF39E0"/>
    <w:rsid w:val="00FF3F7D"/>
    <w:rsid w:val="00FF403D"/>
    <w:rsid w:val="00FF4043"/>
    <w:rsid w:val="00FF45AD"/>
    <w:rsid w:val="00FF4E28"/>
    <w:rsid w:val="00FF4F4B"/>
    <w:rsid w:val="00FF535E"/>
    <w:rsid w:val="00FF53F9"/>
    <w:rsid w:val="00FF55EC"/>
    <w:rsid w:val="00FF5823"/>
    <w:rsid w:val="00FF64A9"/>
    <w:rsid w:val="00FF6683"/>
    <w:rsid w:val="00FF6847"/>
    <w:rsid w:val="00FF6D2E"/>
    <w:rsid w:val="00FF7243"/>
    <w:rsid w:val="00FF7605"/>
    <w:rsid w:val="00FF7936"/>
    <w:rsid w:val="00FF7942"/>
    <w:rsid w:val="00FF7BE9"/>
    <w:rsid w:val="00FF7F2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0E012A"/>
  <w15:docId w15:val="{064EDEB7-40ED-47EB-A86E-2AB0A83D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C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qFormat="1"/>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D091B"/>
    <w:pPr>
      <w:spacing w:after="200" w:line="276" w:lineRule="auto"/>
    </w:pPr>
    <w:rPr>
      <w:sz w:val="22"/>
    </w:rPr>
  </w:style>
  <w:style w:type="paragraph" w:styleId="1">
    <w:name w:val="heading 1"/>
    <w:basedOn w:val="a1"/>
    <w:next w:val="a1"/>
    <w:link w:val="10"/>
    <w:qFormat/>
    <w:locked/>
    <w:rsid w:val="002D7018"/>
    <w:pPr>
      <w:keepNext/>
      <w:spacing w:before="240" w:after="60"/>
      <w:outlineLvl w:val="0"/>
    </w:pPr>
    <w:rPr>
      <w:rFonts w:ascii="Calibri Light" w:hAnsi="Calibri Light"/>
      <w:b/>
      <w:kern w:val="32"/>
      <w:sz w:val="32"/>
    </w:rPr>
  </w:style>
  <w:style w:type="paragraph" w:styleId="20">
    <w:name w:val="heading 2"/>
    <w:basedOn w:val="a2"/>
    <w:next w:val="a2"/>
    <w:link w:val="21"/>
    <w:qFormat/>
    <w:locked/>
    <w:rsid w:val="00870723"/>
    <w:pPr>
      <w:keepNext/>
      <w:tabs>
        <w:tab w:val="num" w:pos="964"/>
      </w:tabs>
      <w:spacing w:before="260" w:after="130" w:line="320" w:lineRule="exact"/>
      <w:ind w:left="964" w:hanging="964"/>
      <w:outlineLvl w:val="1"/>
    </w:pPr>
    <w:rPr>
      <w:rFonts w:ascii="Times New Roman" w:hAnsi="Times New Roman"/>
      <w:b/>
      <w:sz w:val="22"/>
    </w:rPr>
  </w:style>
  <w:style w:type="paragraph" w:styleId="3">
    <w:name w:val="heading 3"/>
    <w:basedOn w:val="4"/>
    <w:next w:val="a2"/>
    <w:link w:val="30"/>
    <w:qFormat/>
    <w:locked/>
    <w:rsid w:val="00870723"/>
    <w:pPr>
      <w:tabs>
        <w:tab w:val="clear" w:pos="20"/>
        <w:tab w:val="num" w:pos="0"/>
      </w:tabs>
      <w:spacing w:before="260" w:after="130"/>
      <w:jc w:val="both"/>
      <w:outlineLvl w:val="2"/>
    </w:pPr>
    <w:rPr>
      <w:b/>
      <w:i/>
      <w:sz w:val="22"/>
    </w:rPr>
  </w:style>
  <w:style w:type="paragraph" w:styleId="4">
    <w:name w:val="heading 4"/>
    <w:basedOn w:val="5"/>
    <w:next w:val="a2"/>
    <w:link w:val="40"/>
    <w:qFormat/>
    <w:locked/>
    <w:rsid w:val="00870723"/>
    <w:pPr>
      <w:tabs>
        <w:tab w:val="num" w:pos="20"/>
      </w:tabs>
      <w:spacing w:line="280" w:lineRule="exact"/>
      <w:ind w:hanging="964"/>
      <w:outlineLvl w:val="3"/>
    </w:pPr>
    <w:rPr>
      <w:b w:val="0"/>
      <w:sz w:val="24"/>
    </w:rPr>
  </w:style>
  <w:style w:type="paragraph" w:styleId="5">
    <w:name w:val="heading 5"/>
    <w:basedOn w:val="a2"/>
    <w:next w:val="a2"/>
    <w:link w:val="50"/>
    <w:qFormat/>
    <w:locked/>
    <w:rsid w:val="00870723"/>
    <w:pPr>
      <w:keepNext/>
      <w:spacing w:before="400" w:line="260" w:lineRule="exact"/>
      <w:outlineLvl w:val="4"/>
    </w:pPr>
    <w:rPr>
      <w:rFonts w:ascii="Times New Roman" w:hAnsi="Times New Roman"/>
      <w:b/>
      <w:sz w:val="22"/>
    </w:rPr>
  </w:style>
  <w:style w:type="paragraph" w:styleId="6">
    <w:name w:val="heading 6"/>
    <w:basedOn w:val="a1"/>
    <w:next w:val="a1"/>
    <w:link w:val="60"/>
    <w:qFormat/>
    <w:locked/>
    <w:rsid w:val="00870723"/>
    <w:pPr>
      <w:keepNext/>
      <w:numPr>
        <w:ilvl w:val="12"/>
      </w:numPr>
      <w:overflowPunct w:val="0"/>
      <w:autoSpaceDE w:val="0"/>
      <w:autoSpaceDN w:val="0"/>
      <w:adjustRightInd w:val="0"/>
      <w:spacing w:after="0" w:line="240" w:lineRule="auto"/>
      <w:ind w:right="142"/>
      <w:jc w:val="both"/>
      <w:textAlignment w:val="baseline"/>
      <w:outlineLvl w:val="5"/>
    </w:pPr>
    <w:rPr>
      <w:rFonts w:ascii="Times New Roman" w:hAnsi="Times New Roman"/>
      <w:b/>
      <w:i/>
      <w:sz w:val="24"/>
    </w:rPr>
  </w:style>
  <w:style w:type="paragraph" w:styleId="7">
    <w:name w:val="heading 7"/>
    <w:basedOn w:val="a1"/>
    <w:next w:val="a1"/>
    <w:link w:val="70"/>
    <w:qFormat/>
    <w:locked/>
    <w:rsid w:val="00870723"/>
    <w:pPr>
      <w:keepNext/>
      <w:overflowPunct w:val="0"/>
      <w:autoSpaceDE w:val="0"/>
      <w:autoSpaceDN w:val="0"/>
      <w:adjustRightInd w:val="0"/>
      <w:spacing w:after="0" w:line="240" w:lineRule="auto"/>
      <w:ind w:right="142"/>
      <w:jc w:val="both"/>
      <w:textAlignment w:val="baseline"/>
      <w:outlineLvl w:val="6"/>
    </w:pPr>
    <w:rPr>
      <w:rFonts w:ascii="Times New Roman" w:hAnsi="Times New Roman"/>
      <w:b/>
      <w:i/>
      <w:color w:val="000000"/>
      <w:sz w:val="24"/>
    </w:rPr>
  </w:style>
  <w:style w:type="paragraph" w:styleId="8">
    <w:name w:val="heading 8"/>
    <w:basedOn w:val="a1"/>
    <w:next w:val="a1"/>
    <w:link w:val="80"/>
    <w:qFormat/>
    <w:locked/>
    <w:rsid w:val="00870723"/>
    <w:pPr>
      <w:spacing w:before="240" w:after="60" w:line="240" w:lineRule="auto"/>
      <w:jc w:val="both"/>
      <w:outlineLvl w:val="7"/>
    </w:pPr>
    <w:rPr>
      <w:rFonts w:ascii="Arial" w:hAnsi="Arial"/>
      <w:i/>
      <w:sz w:val="20"/>
    </w:rPr>
  </w:style>
  <w:style w:type="paragraph" w:styleId="9">
    <w:name w:val="heading 9"/>
    <w:basedOn w:val="a1"/>
    <w:next w:val="a1"/>
    <w:link w:val="90"/>
    <w:qFormat/>
    <w:locked/>
    <w:rsid w:val="00870723"/>
    <w:pPr>
      <w:spacing w:before="240" w:after="60" w:line="240" w:lineRule="auto"/>
      <w:jc w:val="both"/>
      <w:outlineLvl w:val="8"/>
    </w:pPr>
    <w:rPr>
      <w:rFonts w:ascii="Arial" w:hAnsi="Arial"/>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E9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3D0ECC"/>
    <w:rPr>
      <w:rFonts w:cs="Times New Roman"/>
      <w:color w:val="0000FF"/>
      <w:u w:val="single"/>
    </w:rPr>
  </w:style>
  <w:style w:type="paragraph" w:customStyle="1" w:styleId="MediumGrid1-Accent21">
    <w:name w:val="Medium Grid 1 - Accent 21"/>
    <w:basedOn w:val="a1"/>
    <w:uiPriority w:val="34"/>
    <w:qFormat/>
    <w:rsid w:val="0088717F"/>
    <w:pPr>
      <w:ind w:left="720"/>
      <w:contextualSpacing/>
    </w:pPr>
  </w:style>
  <w:style w:type="paragraph" w:styleId="a8">
    <w:name w:val="header"/>
    <w:aliases w:val="site"/>
    <w:basedOn w:val="a1"/>
    <w:link w:val="a9"/>
    <w:uiPriority w:val="99"/>
    <w:rsid w:val="007A4AC9"/>
    <w:pPr>
      <w:tabs>
        <w:tab w:val="center" w:pos="4513"/>
        <w:tab w:val="right" w:pos="9026"/>
      </w:tabs>
      <w:spacing w:after="0" w:line="240" w:lineRule="auto"/>
    </w:pPr>
    <w:rPr>
      <w:sz w:val="20"/>
    </w:rPr>
  </w:style>
  <w:style w:type="character" w:customStyle="1" w:styleId="a9">
    <w:name w:val="Верхний колонтитул Знак"/>
    <w:aliases w:val="site Знак"/>
    <w:link w:val="a8"/>
    <w:uiPriority w:val="99"/>
    <w:locked/>
    <w:rsid w:val="007A4AC9"/>
    <w:rPr>
      <w:rFonts w:cs="Times New Roman"/>
    </w:rPr>
  </w:style>
  <w:style w:type="paragraph" w:styleId="aa">
    <w:name w:val="footer"/>
    <w:basedOn w:val="a1"/>
    <w:link w:val="ab"/>
    <w:uiPriority w:val="99"/>
    <w:rsid w:val="007A4AC9"/>
    <w:pPr>
      <w:tabs>
        <w:tab w:val="center" w:pos="4513"/>
        <w:tab w:val="right" w:pos="9026"/>
      </w:tabs>
      <w:spacing w:after="0" w:line="240" w:lineRule="auto"/>
    </w:pPr>
    <w:rPr>
      <w:sz w:val="20"/>
    </w:rPr>
  </w:style>
  <w:style w:type="character" w:customStyle="1" w:styleId="ab">
    <w:name w:val="Нижний колонтитул Знак"/>
    <w:link w:val="aa"/>
    <w:uiPriority w:val="99"/>
    <w:locked/>
    <w:rsid w:val="007A4AC9"/>
    <w:rPr>
      <w:rFonts w:cs="Times New Roman"/>
    </w:rPr>
  </w:style>
  <w:style w:type="character" w:styleId="ac">
    <w:name w:val="annotation reference"/>
    <w:uiPriority w:val="99"/>
    <w:semiHidden/>
    <w:rsid w:val="003435ED"/>
    <w:rPr>
      <w:rFonts w:cs="Times New Roman"/>
      <w:sz w:val="16"/>
    </w:rPr>
  </w:style>
  <w:style w:type="paragraph" w:styleId="ad">
    <w:name w:val="annotation text"/>
    <w:basedOn w:val="a1"/>
    <w:link w:val="ae"/>
    <w:uiPriority w:val="99"/>
    <w:semiHidden/>
    <w:rsid w:val="003435ED"/>
    <w:pPr>
      <w:spacing w:line="240" w:lineRule="auto"/>
    </w:pPr>
    <w:rPr>
      <w:sz w:val="20"/>
    </w:rPr>
  </w:style>
  <w:style w:type="character" w:customStyle="1" w:styleId="ae">
    <w:name w:val="Текст примечания Знак"/>
    <w:link w:val="ad"/>
    <w:uiPriority w:val="99"/>
    <w:semiHidden/>
    <w:locked/>
    <w:rsid w:val="003435ED"/>
    <w:rPr>
      <w:rFonts w:cs="Times New Roman"/>
      <w:sz w:val="20"/>
    </w:rPr>
  </w:style>
  <w:style w:type="paragraph" w:styleId="af">
    <w:name w:val="annotation subject"/>
    <w:basedOn w:val="ad"/>
    <w:next w:val="ad"/>
    <w:link w:val="af0"/>
    <w:rsid w:val="003435ED"/>
    <w:rPr>
      <w:b/>
    </w:rPr>
  </w:style>
  <w:style w:type="character" w:customStyle="1" w:styleId="af0">
    <w:name w:val="Тема примечания Знак"/>
    <w:link w:val="af"/>
    <w:locked/>
    <w:rsid w:val="003435ED"/>
    <w:rPr>
      <w:rFonts w:cs="Times New Roman"/>
      <w:b/>
      <w:sz w:val="20"/>
    </w:rPr>
  </w:style>
  <w:style w:type="paragraph" w:styleId="af1">
    <w:name w:val="Balloon Text"/>
    <w:basedOn w:val="a1"/>
    <w:link w:val="af2"/>
    <w:semiHidden/>
    <w:rsid w:val="003435ED"/>
    <w:pPr>
      <w:spacing w:after="0" w:line="240" w:lineRule="auto"/>
    </w:pPr>
    <w:rPr>
      <w:rFonts w:ascii="Tahoma" w:hAnsi="Tahoma"/>
      <w:sz w:val="16"/>
    </w:rPr>
  </w:style>
  <w:style w:type="character" w:customStyle="1" w:styleId="af2">
    <w:name w:val="Текст выноски Знак"/>
    <w:link w:val="af1"/>
    <w:semiHidden/>
    <w:locked/>
    <w:rsid w:val="003435ED"/>
    <w:rPr>
      <w:rFonts w:ascii="Tahoma" w:hAnsi="Tahoma" w:cs="Tahoma"/>
      <w:sz w:val="16"/>
    </w:rPr>
  </w:style>
  <w:style w:type="paragraph" w:customStyle="1" w:styleId="Bullet">
    <w:name w:val="Bullet"/>
    <w:basedOn w:val="a2"/>
    <w:next w:val="a2"/>
    <w:uiPriority w:val="99"/>
    <w:rsid w:val="00023ECF"/>
  </w:style>
  <w:style w:type="paragraph" w:styleId="a2">
    <w:name w:val="Body Text"/>
    <w:basedOn w:val="a1"/>
    <w:link w:val="af3"/>
    <w:qFormat/>
    <w:rsid w:val="00023ECF"/>
    <w:pPr>
      <w:spacing w:after="120"/>
    </w:pPr>
    <w:rPr>
      <w:sz w:val="20"/>
    </w:rPr>
  </w:style>
  <w:style w:type="character" w:customStyle="1" w:styleId="af3">
    <w:name w:val="Основной текст Знак"/>
    <w:link w:val="a2"/>
    <w:locked/>
    <w:rsid w:val="00023ECF"/>
    <w:rPr>
      <w:rFonts w:cs="Times New Roman"/>
    </w:rPr>
  </w:style>
  <w:style w:type="paragraph" w:styleId="af4">
    <w:name w:val="Normal (Web)"/>
    <w:basedOn w:val="a1"/>
    <w:uiPriority w:val="99"/>
    <w:unhideWhenUsed/>
    <w:rsid w:val="00255FE1"/>
    <w:pPr>
      <w:spacing w:before="100" w:beforeAutospacing="1" w:after="100" w:afterAutospacing="1" w:line="240" w:lineRule="auto"/>
    </w:pPr>
    <w:rPr>
      <w:rFonts w:ascii="Times New Roman" w:hAnsi="Times New Roman"/>
      <w:sz w:val="24"/>
    </w:rPr>
  </w:style>
  <w:style w:type="paragraph" w:styleId="af5">
    <w:name w:val="Document Map"/>
    <w:basedOn w:val="a1"/>
    <w:link w:val="af6"/>
    <w:uiPriority w:val="99"/>
    <w:semiHidden/>
    <w:unhideWhenUsed/>
    <w:rsid w:val="00DE055B"/>
    <w:pPr>
      <w:spacing w:after="0" w:line="240" w:lineRule="auto"/>
    </w:pPr>
    <w:rPr>
      <w:rFonts w:ascii="Lucida Grande" w:hAnsi="Lucida Grande"/>
      <w:sz w:val="24"/>
    </w:rPr>
  </w:style>
  <w:style w:type="character" w:customStyle="1" w:styleId="af6">
    <w:name w:val="Схема документа Знак"/>
    <w:link w:val="af5"/>
    <w:uiPriority w:val="99"/>
    <w:semiHidden/>
    <w:rsid w:val="00DE055B"/>
    <w:rPr>
      <w:rFonts w:ascii="Lucida Grande" w:hAnsi="Lucida Grande" w:cs="Lucida Grande"/>
      <w:sz w:val="24"/>
    </w:rPr>
  </w:style>
  <w:style w:type="paragraph" w:customStyle="1" w:styleId="MediumList2-Accent21">
    <w:name w:val="Medium List 2 - Accent 21"/>
    <w:hidden/>
    <w:uiPriority w:val="99"/>
    <w:semiHidden/>
    <w:rsid w:val="005C3F9C"/>
    <w:rPr>
      <w:sz w:val="22"/>
    </w:rPr>
  </w:style>
  <w:style w:type="paragraph" w:styleId="af7">
    <w:name w:val="Block Text"/>
    <w:basedOn w:val="a1"/>
    <w:uiPriority w:val="99"/>
    <w:rsid w:val="00711D63"/>
    <w:pPr>
      <w:spacing w:after="0" w:line="240" w:lineRule="auto"/>
      <w:ind w:left="-426" w:right="-483" w:firstLine="426"/>
      <w:jc w:val="both"/>
    </w:pPr>
    <w:rPr>
      <w:rFonts w:ascii="Times New Roman" w:hAnsi="Times New Roman"/>
      <w:sz w:val="28"/>
    </w:rPr>
  </w:style>
  <w:style w:type="paragraph" w:styleId="af8">
    <w:name w:val="footnote text"/>
    <w:basedOn w:val="a1"/>
    <w:link w:val="af9"/>
    <w:unhideWhenUsed/>
    <w:rsid w:val="00C2054A"/>
    <w:pPr>
      <w:spacing w:after="0" w:line="240" w:lineRule="auto"/>
    </w:pPr>
    <w:rPr>
      <w:sz w:val="20"/>
    </w:rPr>
  </w:style>
  <w:style w:type="character" w:customStyle="1" w:styleId="af9">
    <w:name w:val="Текст сноски Знак"/>
    <w:link w:val="af8"/>
    <w:rsid w:val="00C2054A"/>
    <w:rPr>
      <w:sz w:val="20"/>
    </w:rPr>
  </w:style>
  <w:style w:type="character" w:styleId="afa">
    <w:name w:val="footnote reference"/>
    <w:semiHidden/>
    <w:unhideWhenUsed/>
    <w:rsid w:val="00C2054A"/>
    <w:rPr>
      <w:vertAlign w:val="superscript"/>
    </w:rPr>
  </w:style>
  <w:style w:type="paragraph" w:customStyle="1" w:styleId="MarginNoteRight">
    <w:name w:val="Margin Note Right"/>
    <w:basedOn w:val="a1"/>
    <w:uiPriority w:val="99"/>
    <w:rsid w:val="00CD2D6E"/>
    <w:pPr>
      <w:framePr w:w="1134" w:hSpace="181" w:vSpace="181" w:wrap="around" w:vAnchor="text" w:hAnchor="page" w:xAlign="right" w:y="1"/>
      <w:spacing w:after="80" w:line="240" w:lineRule="auto"/>
      <w:jc w:val="both"/>
    </w:pPr>
    <w:rPr>
      <w:rFonts w:ascii="Times New Roman" w:hAnsi="Times New Roman"/>
      <w:sz w:val="16"/>
    </w:rPr>
  </w:style>
  <w:style w:type="paragraph" w:customStyle="1" w:styleId="Title7">
    <w:name w:val="Title 7"/>
    <w:basedOn w:val="a1"/>
    <w:next w:val="a2"/>
    <w:uiPriority w:val="99"/>
    <w:rsid w:val="00CD2D6E"/>
    <w:pPr>
      <w:keepNext/>
      <w:spacing w:line="240" w:lineRule="auto"/>
      <w:jc w:val="both"/>
    </w:pPr>
    <w:rPr>
      <w:rFonts w:ascii="Times New Roman" w:hAnsi="Times New Roman" w:cs="Times"/>
      <w:i/>
      <w:sz w:val="20"/>
    </w:rPr>
  </w:style>
  <w:style w:type="paragraph" w:customStyle="1" w:styleId="ColorfulList-Accent11">
    <w:name w:val="Colorful List - Accent 11"/>
    <w:basedOn w:val="a1"/>
    <w:uiPriority w:val="34"/>
    <w:qFormat/>
    <w:rsid w:val="00834F64"/>
    <w:pPr>
      <w:ind w:left="720"/>
      <w:contextualSpacing/>
    </w:pPr>
    <w:rPr>
      <w:rFonts w:eastAsia="Calibri"/>
    </w:rPr>
  </w:style>
  <w:style w:type="paragraph" w:customStyle="1" w:styleId="SubtleEmphasis1">
    <w:name w:val="Subtle Emphasis1"/>
    <w:basedOn w:val="a1"/>
    <w:uiPriority w:val="34"/>
    <w:qFormat/>
    <w:rsid w:val="00DA5338"/>
    <w:pPr>
      <w:ind w:left="708"/>
    </w:pPr>
  </w:style>
  <w:style w:type="character" w:styleId="afb">
    <w:name w:val="FollowedHyperlink"/>
    <w:unhideWhenUsed/>
    <w:rsid w:val="00CD091B"/>
    <w:rPr>
      <w:color w:val="800080"/>
      <w:u w:val="single"/>
    </w:rPr>
  </w:style>
  <w:style w:type="paragraph" w:styleId="afc">
    <w:name w:val="Plain Text"/>
    <w:basedOn w:val="a1"/>
    <w:link w:val="afd"/>
    <w:uiPriority w:val="99"/>
    <w:unhideWhenUsed/>
    <w:rsid w:val="00186E4A"/>
    <w:pPr>
      <w:spacing w:after="0" w:line="240" w:lineRule="auto"/>
    </w:pPr>
    <w:rPr>
      <w:rFonts w:eastAsia="Cambria"/>
    </w:rPr>
  </w:style>
  <w:style w:type="character" w:customStyle="1" w:styleId="afd">
    <w:name w:val="Текст Знак"/>
    <w:link w:val="afc"/>
    <w:uiPriority w:val="99"/>
    <w:rsid w:val="00186E4A"/>
    <w:rPr>
      <w:rFonts w:eastAsia="Cambria" w:cs="Times New Roman"/>
      <w:sz w:val="22"/>
    </w:rPr>
  </w:style>
  <w:style w:type="character" w:customStyle="1" w:styleId="apple-converted-space">
    <w:name w:val="apple-converted-space"/>
    <w:basedOn w:val="a3"/>
    <w:rsid w:val="00354E09"/>
  </w:style>
  <w:style w:type="paragraph" w:customStyle="1" w:styleId="Body1">
    <w:name w:val="Body 1"/>
    <w:rsid w:val="00035F87"/>
    <w:pPr>
      <w:spacing w:after="200" w:line="276" w:lineRule="auto"/>
      <w:outlineLvl w:val="0"/>
    </w:pPr>
    <w:rPr>
      <w:rFonts w:ascii="Helvetica" w:eastAsia="Arial Unicode MS" w:hAnsi="Helvetica"/>
      <w:color w:val="000000"/>
      <w:sz w:val="22"/>
      <w:u w:color="000000"/>
    </w:rPr>
  </w:style>
  <w:style w:type="paragraph" w:customStyle="1" w:styleId="PlainTable31">
    <w:name w:val="Plain Table 31"/>
    <w:basedOn w:val="a1"/>
    <w:uiPriority w:val="34"/>
    <w:qFormat/>
    <w:rsid w:val="009C6C99"/>
    <w:pPr>
      <w:ind w:left="708"/>
    </w:pPr>
  </w:style>
  <w:style w:type="paragraph" w:customStyle="1" w:styleId="SubtleEmphasis2">
    <w:name w:val="Subtle Emphasis2"/>
    <w:basedOn w:val="a1"/>
    <w:uiPriority w:val="34"/>
    <w:qFormat/>
    <w:rsid w:val="00A51220"/>
    <w:pPr>
      <w:ind w:left="720"/>
      <w:contextualSpacing/>
    </w:pPr>
    <w:rPr>
      <w:rFonts w:eastAsia="Calibri"/>
    </w:rPr>
  </w:style>
  <w:style w:type="paragraph" w:customStyle="1" w:styleId="PlainTable21">
    <w:name w:val="Plain Table 21"/>
    <w:hidden/>
    <w:uiPriority w:val="99"/>
    <w:rsid w:val="00B579A5"/>
    <w:rPr>
      <w:sz w:val="22"/>
    </w:rPr>
  </w:style>
  <w:style w:type="paragraph" w:styleId="11">
    <w:name w:val="toc 1"/>
    <w:basedOn w:val="a1"/>
    <w:uiPriority w:val="39"/>
    <w:locked/>
    <w:rsid w:val="0092674F"/>
    <w:pPr>
      <w:tabs>
        <w:tab w:val="right" w:pos="8221"/>
      </w:tabs>
      <w:spacing w:before="260" w:after="0" w:line="240" w:lineRule="auto"/>
      <w:ind w:left="851" w:right="567" w:hanging="851"/>
    </w:pPr>
    <w:rPr>
      <w:rFonts w:ascii="Times New Roman" w:hAnsi="Times New Roman"/>
      <w:sz w:val="28"/>
    </w:rPr>
  </w:style>
  <w:style w:type="paragraph" w:customStyle="1" w:styleId="SubtleEmphasis3">
    <w:name w:val="Subtle Emphasis3"/>
    <w:basedOn w:val="a1"/>
    <w:uiPriority w:val="34"/>
    <w:qFormat/>
    <w:rsid w:val="00733DA4"/>
    <w:pPr>
      <w:ind w:left="720"/>
      <w:contextualSpacing/>
    </w:pPr>
    <w:rPr>
      <w:rFonts w:eastAsia="Calibri"/>
    </w:rPr>
  </w:style>
  <w:style w:type="paragraph" w:customStyle="1" w:styleId="ColorfulGrid-Accent61">
    <w:name w:val="Colorful Grid - Accent 61"/>
    <w:hidden/>
    <w:uiPriority w:val="99"/>
    <w:rsid w:val="00DD5320"/>
    <w:rPr>
      <w:sz w:val="22"/>
    </w:rPr>
  </w:style>
  <w:style w:type="paragraph" w:customStyle="1" w:styleId="PlainTable32">
    <w:name w:val="Plain Table 32"/>
    <w:basedOn w:val="a1"/>
    <w:uiPriority w:val="34"/>
    <w:qFormat/>
    <w:rsid w:val="00A04006"/>
    <w:pPr>
      <w:ind w:left="720"/>
      <w:contextualSpacing/>
    </w:pPr>
    <w:rPr>
      <w:rFonts w:eastAsia="Calibri"/>
    </w:rPr>
  </w:style>
  <w:style w:type="paragraph" w:customStyle="1" w:styleId="ListTable1Light-Accent41">
    <w:name w:val="List Table 1 Light - Accent 41"/>
    <w:basedOn w:val="a1"/>
    <w:uiPriority w:val="34"/>
    <w:qFormat/>
    <w:rsid w:val="00E30FC1"/>
    <w:pPr>
      <w:spacing w:after="0" w:line="240" w:lineRule="auto"/>
      <w:ind w:left="720"/>
      <w:contextualSpacing/>
    </w:pPr>
    <w:rPr>
      <w:rFonts w:eastAsia="Calibri"/>
      <w:sz w:val="24"/>
    </w:rPr>
  </w:style>
  <w:style w:type="character" w:customStyle="1" w:styleId="10">
    <w:name w:val="Заголовок 1 Знак"/>
    <w:link w:val="1"/>
    <w:rsid w:val="002D7018"/>
    <w:rPr>
      <w:rFonts w:ascii="Calibri Light" w:eastAsia="Times New Roman" w:hAnsi="Calibri Light" w:cs="Times New Roman"/>
      <w:b/>
      <w:kern w:val="32"/>
      <w:sz w:val="32"/>
    </w:rPr>
  </w:style>
  <w:style w:type="character" w:customStyle="1" w:styleId="shorttext">
    <w:name w:val="short_text"/>
    <w:rsid w:val="000132A9"/>
  </w:style>
  <w:style w:type="character" w:customStyle="1" w:styleId="21">
    <w:name w:val="Заголовок 2 Знак"/>
    <w:link w:val="20"/>
    <w:rsid w:val="00870723"/>
    <w:rPr>
      <w:rFonts w:ascii="Times New Roman" w:hAnsi="Times New Roman"/>
      <w:b/>
      <w:sz w:val="22"/>
    </w:rPr>
  </w:style>
  <w:style w:type="character" w:customStyle="1" w:styleId="30">
    <w:name w:val="Заголовок 3 Знак"/>
    <w:link w:val="3"/>
    <w:rsid w:val="00870723"/>
    <w:rPr>
      <w:rFonts w:ascii="Times New Roman" w:hAnsi="Times New Roman"/>
      <w:b/>
      <w:i/>
      <w:sz w:val="22"/>
    </w:rPr>
  </w:style>
  <w:style w:type="character" w:customStyle="1" w:styleId="40">
    <w:name w:val="Заголовок 4 Знак"/>
    <w:link w:val="4"/>
    <w:rsid w:val="00870723"/>
    <w:rPr>
      <w:rFonts w:ascii="Times New Roman" w:hAnsi="Times New Roman"/>
      <w:sz w:val="24"/>
    </w:rPr>
  </w:style>
  <w:style w:type="character" w:customStyle="1" w:styleId="50">
    <w:name w:val="Заголовок 5 Знак"/>
    <w:link w:val="5"/>
    <w:rsid w:val="00870723"/>
    <w:rPr>
      <w:rFonts w:ascii="Times New Roman" w:hAnsi="Times New Roman"/>
      <w:b/>
      <w:sz w:val="22"/>
    </w:rPr>
  </w:style>
  <w:style w:type="character" w:customStyle="1" w:styleId="60">
    <w:name w:val="Заголовок 6 Знак"/>
    <w:link w:val="6"/>
    <w:rsid w:val="00870723"/>
    <w:rPr>
      <w:rFonts w:ascii="Times New Roman" w:hAnsi="Times New Roman"/>
      <w:b/>
      <w:i/>
      <w:sz w:val="24"/>
    </w:rPr>
  </w:style>
  <w:style w:type="character" w:customStyle="1" w:styleId="70">
    <w:name w:val="Заголовок 7 Знак"/>
    <w:link w:val="7"/>
    <w:rsid w:val="00870723"/>
    <w:rPr>
      <w:rFonts w:ascii="Times New Roman" w:hAnsi="Times New Roman"/>
      <w:b/>
      <w:i/>
      <w:color w:val="000000"/>
      <w:sz w:val="24"/>
    </w:rPr>
  </w:style>
  <w:style w:type="character" w:customStyle="1" w:styleId="80">
    <w:name w:val="Заголовок 8 Знак"/>
    <w:link w:val="8"/>
    <w:rsid w:val="00870723"/>
    <w:rPr>
      <w:rFonts w:ascii="Arial" w:hAnsi="Arial"/>
      <w:i/>
    </w:rPr>
  </w:style>
  <w:style w:type="character" w:customStyle="1" w:styleId="90">
    <w:name w:val="Заголовок 9 Знак"/>
    <w:link w:val="9"/>
    <w:rsid w:val="00870723"/>
    <w:rPr>
      <w:rFonts w:ascii="Arial" w:hAnsi="Arial"/>
      <w:i/>
      <w:sz w:val="18"/>
    </w:rPr>
  </w:style>
  <w:style w:type="paragraph" w:styleId="22">
    <w:name w:val="toc 2"/>
    <w:basedOn w:val="11"/>
    <w:uiPriority w:val="39"/>
    <w:locked/>
    <w:rsid w:val="00870723"/>
    <w:pPr>
      <w:spacing w:before="0"/>
    </w:pPr>
    <w:rPr>
      <w:sz w:val="24"/>
    </w:rPr>
  </w:style>
  <w:style w:type="paragraph" w:styleId="31">
    <w:name w:val="toc 3"/>
    <w:basedOn w:val="22"/>
    <w:uiPriority w:val="39"/>
    <w:locked/>
    <w:rsid w:val="00870723"/>
    <w:pPr>
      <w:tabs>
        <w:tab w:val="left" w:pos="1418"/>
      </w:tabs>
      <w:ind w:left="1418" w:hanging="1418"/>
    </w:pPr>
  </w:style>
  <w:style w:type="paragraph" w:styleId="41">
    <w:name w:val="toc 4"/>
    <w:basedOn w:val="31"/>
    <w:uiPriority w:val="39"/>
    <w:locked/>
    <w:rsid w:val="00870723"/>
  </w:style>
  <w:style w:type="paragraph" w:styleId="51">
    <w:name w:val="toc 5"/>
    <w:basedOn w:val="a1"/>
    <w:next w:val="a1"/>
    <w:autoRedefine/>
    <w:uiPriority w:val="39"/>
    <w:locked/>
    <w:rsid w:val="00870723"/>
    <w:pPr>
      <w:spacing w:after="0" w:line="240" w:lineRule="auto"/>
      <w:ind w:left="960"/>
    </w:pPr>
    <w:rPr>
      <w:rFonts w:ascii="Times New Roman" w:hAnsi="Times New Roman"/>
      <w:sz w:val="24"/>
    </w:rPr>
  </w:style>
  <w:style w:type="paragraph" w:styleId="61">
    <w:name w:val="toc 6"/>
    <w:basedOn w:val="a1"/>
    <w:next w:val="a1"/>
    <w:autoRedefine/>
    <w:uiPriority w:val="39"/>
    <w:locked/>
    <w:rsid w:val="00870723"/>
    <w:pPr>
      <w:spacing w:after="0" w:line="240" w:lineRule="auto"/>
      <w:ind w:left="1200"/>
    </w:pPr>
    <w:rPr>
      <w:rFonts w:ascii="Times New Roman" w:hAnsi="Times New Roman"/>
      <w:sz w:val="24"/>
    </w:rPr>
  </w:style>
  <w:style w:type="paragraph" w:styleId="71">
    <w:name w:val="toc 7"/>
    <w:basedOn w:val="a1"/>
    <w:next w:val="a1"/>
    <w:autoRedefine/>
    <w:uiPriority w:val="39"/>
    <w:locked/>
    <w:rsid w:val="00870723"/>
    <w:pPr>
      <w:spacing w:after="0" w:line="240" w:lineRule="auto"/>
      <w:ind w:left="1440"/>
    </w:pPr>
    <w:rPr>
      <w:rFonts w:ascii="Times New Roman" w:hAnsi="Times New Roman"/>
      <w:sz w:val="24"/>
    </w:rPr>
  </w:style>
  <w:style w:type="paragraph" w:styleId="81">
    <w:name w:val="toc 8"/>
    <w:basedOn w:val="a1"/>
    <w:next w:val="a1"/>
    <w:autoRedefine/>
    <w:uiPriority w:val="39"/>
    <w:locked/>
    <w:rsid w:val="00870723"/>
    <w:pPr>
      <w:spacing w:after="0" w:line="240" w:lineRule="auto"/>
      <w:ind w:left="1680"/>
    </w:pPr>
    <w:rPr>
      <w:rFonts w:ascii="Times New Roman" w:hAnsi="Times New Roman"/>
      <w:sz w:val="24"/>
    </w:rPr>
  </w:style>
  <w:style w:type="paragraph" w:styleId="91">
    <w:name w:val="toc 9"/>
    <w:basedOn w:val="a1"/>
    <w:next w:val="a1"/>
    <w:autoRedefine/>
    <w:uiPriority w:val="39"/>
    <w:locked/>
    <w:rsid w:val="00870723"/>
    <w:pPr>
      <w:spacing w:after="0" w:line="240" w:lineRule="auto"/>
      <w:ind w:left="1920"/>
    </w:pPr>
    <w:rPr>
      <w:rFonts w:ascii="Times New Roman" w:hAnsi="Times New Roman"/>
      <w:sz w:val="24"/>
    </w:rPr>
  </w:style>
  <w:style w:type="paragraph" w:customStyle="1" w:styleId="AppendixHeading">
    <w:name w:val="Appendix Heading"/>
    <w:basedOn w:val="1"/>
    <w:next w:val="a2"/>
    <w:rsid w:val="00870723"/>
    <w:pPr>
      <w:pageBreakBefore/>
      <w:tabs>
        <w:tab w:val="num" w:pos="0"/>
      </w:tabs>
      <w:spacing w:before="400" w:after="130" w:line="360" w:lineRule="atLeast"/>
      <w:ind w:hanging="964"/>
      <w:outlineLvl w:val="9"/>
    </w:pPr>
    <w:rPr>
      <w:rFonts w:ascii="Times New Roman" w:hAnsi="Times New Roman"/>
      <w:kern w:val="0"/>
    </w:rPr>
  </w:style>
  <w:style w:type="paragraph" w:customStyle="1" w:styleId="AppendixHeading2">
    <w:name w:val="Appendix Heading 2"/>
    <w:basedOn w:val="20"/>
    <w:next w:val="a2"/>
    <w:rsid w:val="00870723"/>
    <w:pPr>
      <w:numPr>
        <w:ilvl w:val="1"/>
        <w:numId w:val="2"/>
      </w:numPr>
      <w:spacing w:before="400" w:after="0"/>
      <w:outlineLvl w:val="9"/>
    </w:pPr>
    <w:rPr>
      <w:i/>
    </w:rPr>
  </w:style>
  <w:style w:type="paragraph" w:customStyle="1" w:styleId="AppendixHeading3">
    <w:name w:val="Appendix Heading 3"/>
    <w:basedOn w:val="3"/>
    <w:next w:val="a2"/>
    <w:rsid w:val="00870723"/>
    <w:pPr>
      <w:numPr>
        <w:ilvl w:val="2"/>
        <w:numId w:val="2"/>
      </w:numPr>
      <w:spacing w:before="400" w:after="0"/>
      <w:outlineLvl w:val="9"/>
    </w:pPr>
    <w:rPr>
      <w:sz w:val="24"/>
    </w:rPr>
  </w:style>
  <w:style w:type="paragraph" w:customStyle="1" w:styleId="AppendixHeading4">
    <w:name w:val="Appendix Heading 4"/>
    <w:basedOn w:val="4"/>
    <w:next w:val="a2"/>
    <w:rsid w:val="00870723"/>
    <w:pPr>
      <w:numPr>
        <w:ilvl w:val="3"/>
        <w:numId w:val="2"/>
      </w:numPr>
      <w:spacing w:after="0"/>
      <w:outlineLvl w:val="9"/>
    </w:pPr>
    <w:rPr>
      <w:i/>
    </w:rPr>
  </w:style>
  <w:style w:type="paragraph" w:customStyle="1" w:styleId="AppendixHeading5">
    <w:name w:val="Appendix Heading 5"/>
    <w:basedOn w:val="5"/>
    <w:next w:val="a2"/>
    <w:rsid w:val="00870723"/>
    <w:pPr>
      <w:spacing w:after="0"/>
      <w:outlineLvl w:val="9"/>
    </w:pPr>
    <w:rPr>
      <w:b w:val="0"/>
    </w:rPr>
  </w:style>
  <w:style w:type="paragraph" w:styleId="a">
    <w:name w:val="List Bullet"/>
    <w:basedOn w:val="a2"/>
    <w:uiPriority w:val="13"/>
    <w:qFormat/>
    <w:rsid w:val="00870723"/>
    <w:pPr>
      <w:numPr>
        <w:numId w:val="3"/>
      </w:numPr>
      <w:spacing w:after="130" w:line="260" w:lineRule="atLeast"/>
      <w:jc w:val="both"/>
    </w:pPr>
    <w:rPr>
      <w:rFonts w:ascii="Times New Roman" w:hAnsi="Times New Roman"/>
      <w:sz w:val="22"/>
    </w:rPr>
  </w:style>
  <w:style w:type="paragraph" w:styleId="2">
    <w:name w:val="List Bullet 2"/>
    <w:basedOn w:val="a"/>
    <w:rsid w:val="00870723"/>
    <w:pPr>
      <w:numPr>
        <w:numId w:val="4"/>
      </w:numPr>
    </w:pPr>
  </w:style>
  <w:style w:type="paragraph" w:customStyle="1" w:styleId="PageTitle">
    <w:name w:val="PageTitle"/>
    <w:basedOn w:val="a1"/>
    <w:rsid w:val="00870723"/>
    <w:pPr>
      <w:framePr w:w="5954" w:h="3232" w:hSpace="181" w:wrap="around" w:vAnchor="page" w:hAnchor="page" w:x="2893" w:y="4991"/>
      <w:spacing w:after="0" w:line="240" w:lineRule="auto"/>
      <w:jc w:val="center"/>
    </w:pPr>
    <w:rPr>
      <w:rFonts w:ascii="Times New Roman" w:hAnsi="Times New Roman"/>
      <w:b/>
      <w:sz w:val="32"/>
    </w:rPr>
  </w:style>
  <w:style w:type="paragraph" w:customStyle="1" w:styleId="bullet0">
    <w:name w:val="bullet"/>
    <w:basedOn w:val="a1"/>
    <w:rsid w:val="00870723"/>
    <w:pPr>
      <w:tabs>
        <w:tab w:val="left" w:pos="360"/>
      </w:tabs>
      <w:overflowPunct w:val="0"/>
      <w:autoSpaceDE w:val="0"/>
      <w:autoSpaceDN w:val="0"/>
      <w:adjustRightInd w:val="0"/>
      <w:spacing w:after="0" w:line="260" w:lineRule="atLeast"/>
      <w:ind w:left="357" w:hanging="357"/>
      <w:jc w:val="both"/>
      <w:textAlignment w:val="baseline"/>
    </w:pPr>
    <w:rPr>
      <w:rFonts w:ascii="Times New Roman" w:hAnsi="Times New Roman"/>
      <w:sz w:val="20"/>
    </w:rPr>
  </w:style>
  <w:style w:type="paragraph" w:styleId="afe">
    <w:name w:val="endnote text"/>
    <w:basedOn w:val="a1"/>
    <w:link w:val="aff"/>
    <w:semiHidden/>
    <w:rsid w:val="00870723"/>
    <w:pPr>
      <w:overflowPunct w:val="0"/>
      <w:autoSpaceDE w:val="0"/>
      <w:autoSpaceDN w:val="0"/>
      <w:adjustRightInd w:val="0"/>
      <w:spacing w:after="0" w:line="240" w:lineRule="auto"/>
      <w:textAlignment w:val="baseline"/>
    </w:pPr>
    <w:rPr>
      <w:rFonts w:ascii="Times New Roman" w:hAnsi="Times New Roman"/>
      <w:sz w:val="20"/>
    </w:rPr>
  </w:style>
  <w:style w:type="character" w:customStyle="1" w:styleId="aff">
    <w:name w:val="Текст концевой сноски Знак"/>
    <w:link w:val="afe"/>
    <w:semiHidden/>
    <w:rsid w:val="00870723"/>
    <w:rPr>
      <w:rFonts w:ascii="Times New Roman" w:hAnsi="Times New Roman"/>
    </w:rPr>
  </w:style>
  <w:style w:type="character" w:styleId="aff0">
    <w:name w:val="endnote reference"/>
    <w:semiHidden/>
    <w:rsid w:val="00870723"/>
    <w:rPr>
      <w:rFonts w:ascii="Times New Roman" w:hAnsi="Times New Roman"/>
      <w:b/>
      <w:sz w:val="24"/>
      <w:vertAlign w:val="superscript"/>
    </w:rPr>
  </w:style>
  <w:style w:type="paragraph" w:customStyle="1" w:styleId="alttext">
    <w:name w:val="alt_text"/>
    <w:basedOn w:val="a2"/>
    <w:rsid w:val="00870723"/>
    <w:pPr>
      <w:spacing w:before="130" w:after="130" w:line="260" w:lineRule="atLeast"/>
      <w:jc w:val="both"/>
    </w:pPr>
    <w:rPr>
      <w:rFonts w:ascii="Arial" w:hAnsi="Arial"/>
      <w:i/>
      <w:sz w:val="18"/>
    </w:rPr>
  </w:style>
  <w:style w:type="paragraph" w:customStyle="1" w:styleId="tabletext">
    <w:name w:val="table_text"/>
    <w:basedOn w:val="a1"/>
    <w:rsid w:val="00870723"/>
    <w:pPr>
      <w:numPr>
        <w:ilvl w:val="12"/>
      </w:numPr>
      <w:spacing w:before="65" w:after="65" w:line="240" w:lineRule="auto"/>
    </w:pPr>
    <w:rPr>
      <w:rFonts w:ascii="Times New Roman" w:hAnsi="Times New Roman"/>
      <w:sz w:val="20"/>
    </w:rPr>
  </w:style>
  <w:style w:type="paragraph" w:customStyle="1" w:styleId="LetTLH">
    <w:name w:val="LetTLH"/>
    <w:basedOn w:val="a1"/>
    <w:next w:val="a1"/>
    <w:rsid w:val="00870723"/>
    <w:pPr>
      <w:tabs>
        <w:tab w:val="left" w:pos="1463"/>
        <w:tab w:val="left" w:pos="4445"/>
        <w:tab w:val="left" w:pos="7326"/>
      </w:tabs>
      <w:overflowPunct w:val="0"/>
      <w:autoSpaceDE w:val="0"/>
      <w:autoSpaceDN w:val="0"/>
      <w:adjustRightInd w:val="0"/>
      <w:spacing w:after="260" w:line="240" w:lineRule="exact"/>
      <w:textAlignment w:val="baseline"/>
    </w:pPr>
    <w:rPr>
      <w:rFonts w:ascii="Univers 45 Light" w:hAnsi="Univers 45 Light"/>
      <w:sz w:val="16"/>
    </w:rPr>
  </w:style>
  <w:style w:type="paragraph" w:customStyle="1" w:styleId="Address">
    <w:name w:val="Address"/>
    <w:basedOn w:val="a1"/>
    <w:next w:val="a1"/>
    <w:rsid w:val="00870723"/>
    <w:pPr>
      <w:tabs>
        <w:tab w:val="right" w:pos="6940"/>
        <w:tab w:val="left" w:pos="7394"/>
      </w:tabs>
      <w:overflowPunct w:val="0"/>
      <w:autoSpaceDE w:val="0"/>
      <w:autoSpaceDN w:val="0"/>
      <w:adjustRightInd w:val="0"/>
      <w:spacing w:after="0" w:line="240" w:lineRule="auto"/>
      <w:jc w:val="both"/>
      <w:textAlignment w:val="baseline"/>
    </w:pPr>
    <w:rPr>
      <w:rFonts w:ascii="Times New Roman" w:hAnsi="Times New Roman"/>
    </w:rPr>
  </w:style>
  <w:style w:type="paragraph" w:customStyle="1" w:styleId="tabelLinks">
    <w:name w:val="tabelLinks"/>
    <w:basedOn w:val="IAS"/>
    <w:rsid w:val="00870723"/>
    <w:rPr>
      <w:i w:val="0"/>
      <w:sz w:val="18"/>
    </w:rPr>
  </w:style>
  <w:style w:type="paragraph" w:customStyle="1" w:styleId="IAS">
    <w:name w:val="IAS"/>
    <w:basedOn w:val="a1"/>
    <w:rsid w:val="00870723"/>
    <w:pPr>
      <w:overflowPunct w:val="0"/>
      <w:autoSpaceDE w:val="0"/>
      <w:autoSpaceDN w:val="0"/>
      <w:adjustRightInd w:val="0"/>
      <w:spacing w:after="0" w:line="-260" w:lineRule="auto"/>
      <w:textAlignment w:val="baseline"/>
    </w:pPr>
    <w:rPr>
      <w:rFonts w:ascii="Times" w:hAnsi="Times"/>
      <w:i/>
      <w:sz w:val="20"/>
    </w:rPr>
  </w:style>
  <w:style w:type="paragraph" w:customStyle="1" w:styleId="tab">
    <w:name w:val="tab+"/>
    <w:basedOn w:val="IAS"/>
    <w:rsid w:val="00870723"/>
    <w:pPr>
      <w:ind w:right="91"/>
      <w:jc w:val="right"/>
    </w:pPr>
    <w:rPr>
      <w:rFonts w:ascii="Times New Roman" w:hAnsi="Times New Roman"/>
      <w:i w:val="0"/>
      <w:sz w:val="18"/>
    </w:rPr>
  </w:style>
  <w:style w:type="character" w:customStyle="1" w:styleId="PageNumberpn">
    <w:name w:val="Page Number.pn"/>
    <w:rsid w:val="00870723"/>
  </w:style>
  <w:style w:type="paragraph" w:customStyle="1" w:styleId="tabelheading1">
    <w:name w:val="tabelheading1"/>
    <w:basedOn w:val="tabelLinks"/>
    <w:rsid w:val="00870723"/>
    <w:pPr>
      <w:keepNext/>
    </w:pPr>
    <w:rPr>
      <w:b/>
    </w:rPr>
  </w:style>
  <w:style w:type="paragraph" w:customStyle="1" w:styleId="tabelt">
    <w:name w:val="tabel=.t="/>
    <w:basedOn w:val="a1"/>
    <w:rsid w:val="00870723"/>
    <w:pPr>
      <w:overflowPunct w:val="0"/>
      <w:autoSpaceDE w:val="0"/>
      <w:autoSpaceDN w:val="0"/>
      <w:adjustRightInd w:val="0"/>
      <w:spacing w:after="120" w:line="-60" w:lineRule="auto"/>
      <w:ind w:right="91"/>
      <w:jc w:val="right"/>
      <w:textAlignment w:val="baseline"/>
    </w:pPr>
    <w:rPr>
      <w:rFonts w:ascii="Times New Roman" w:hAnsi="Times New Roman"/>
      <w:u w:val="double"/>
    </w:rPr>
  </w:style>
  <w:style w:type="paragraph" w:customStyle="1" w:styleId="euroheading">
    <w:name w:val="euro heading"/>
    <w:basedOn w:val="a1"/>
    <w:rsid w:val="00870723"/>
    <w:pPr>
      <w:overflowPunct w:val="0"/>
      <w:autoSpaceDE w:val="0"/>
      <w:autoSpaceDN w:val="0"/>
      <w:adjustRightInd w:val="0"/>
      <w:spacing w:after="0" w:line="260" w:lineRule="atLeast"/>
      <w:jc w:val="both"/>
      <w:textAlignment w:val="baseline"/>
    </w:pPr>
    <w:rPr>
      <w:rFonts w:ascii="Times New Roman" w:hAnsi="Times New Roman"/>
      <w:i/>
      <w:sz w:val="20"/>
    </w:rPr>
  </w:style>
  <w:style w:type="paragraph" w:customStyle="1" w:styleId="numbertablehead">
    <w:name w:val="number table head"/>
    <w:basedOn w:val="a1"/>
    <w:rsid w:val="00870723"/>
    <w:pPr>
      <w:overflowPunct w:val="0"/>
      <w:autoSpaceDE w:val="0"/>
      <w:autoSpaceDN w:val="0"/>
      <w:adjustRightInd w:val="0"/>
      <w:spacing w:after="0" w:line="260" w:lineRule="atLeast"/>
      <w:ind w:right="62"/>
      <w:jc w:val="right"/>
      <w:textAlignment w:val="baseline"/>
    </w:pPr>
    <w:rPr>
      <w:rFonts w:ascii="Times New Roman" w:hAnsi="Times New Roman"/>
      <w:b/>
      <w:sz w:val="20"/>
    </w:rPr>
  </w:style>
  <w:style w:type="paragraph" w:customStyle="1" w:styleId="numbernegative">
    <w:name w:val="number negative"/>
    <w:basedOn w:val="a1"/>
    <w:rsid w:val="00870723"/>
    <w:pPr>
      <w:overflowPunct w:val="0"/>
      <w:autoSpaceDE w:val="0"/>
      <w:autoSpaceDN w:val="0"/>
      <w:adjustRightInd w:val="0"/>
      <w:spacing w:after="0" w:line="260" w:lineRule="atLeast"/>
      <w:jc w:val="right"/>
      <w:textAlignment w:val="baseline"/>
    </w:pPr>
    <w:rPr>
      <w:rFonts w:ascii="Times New Roman" w:hAnsi="Times New Roman"/>
      <w:sz w:val="20"/>
    </w:rPr>
  </w:style>
  <w:style w:type="paragraph" w:customStyle="1" w:styleId="numberpositive">
    <w:name w:val="number positive"/>
    <w:basedOn w:val="a1"/>
    <w:rsid w:val="00870723"/>
    <w:pPr>
      <w:overflowPunct w:val="0"/>
      <w:autoSpaceDE w:val="0"/>
      <w:autoSpaceDN w:val="0"/>
      <w:adjustRightInd w:val="0"/>
      <w:spacing w:after="0" w:line="260" w:lineRule="atLeast"/>
      <w:ind w:right="62"/>
      <w:jc w:val="right"/>
      <w:textAlignment w:val="baseline"/>
    </w:pPr>
    <w:rPr>
      <w:rFonts w:ascii="Times New Roman" w:hAnsi="Times New Roman"/>
      <w:sz w:val="20"/>
    </w:rPr>
  </w:style>
  <w:style w:type="paragraph" w:customStyle="1" w:styleId="Text">
    <w:name w:val="Text"/>
    <w:basedOn w:val="a1"/>
    <w:rsid w:val="00870723"/>
    <w:pPr>
      <w:tabs>
        <w:tab w:val="left" w:pos="284"/>
      </w:tabs>
      <w:overflowPunct w:val="0"/>
      <w:autoSpaceDE w:val="0"/>
      <w:autoSpaceDN w:val="0"/>
      <w:adjustRightInd w:val="0"/>
      <w:spacing w:after="260" w:line="240" w:lineRule="auto"/>
      <w:jc w:val="both"/>
      <w:textAlignment w:val="baseline"/>
    </w:pPr>
    <w:rPr>
      <w:rFonts w:ascii="Times New Roman" w:eastAsia="MS Mincho" w:hAnsi="Times New Roman"/>
    </w:rPr>
  </w:style>
  <w:style w:type="paragraph" w:customStyle="1" w:styleId="body">
    <w:name w:val="body"/>
    <w:basedOn w:val="a1"/>
    <w:rsid w:val="00870723"/>
    <w:pPr>
      <w:keepNext/>
      <w:spacing w:before="260" w:after="260" w:line="240" w:lineRule="auto"/>
      <w:jc w:val="both"/>
    </w:pPr>
    <w:rPr>
      <w:rFonts w:ascii="Times New Roman" w:hAnsi="Times New Roman"/>
      <w:b/>
      <w:sz w:val="24"/>
    </w:rPr>
  </w:style>
  <w:style w:type="paragraph" w:customStyle="1" w:styleId="Subhead3CharCharChar">
    <w:name w:val="Subhead 3 Char Char Char"/>
    <w:basedOn w:val="a1"/>
    <w:rsid w:val="00870723"/>
    <w:pPr>
      <w:tabs>
        <w:tab w:val="left" w:pos="1134"/>
        <w:tab w:val="left" w:pos="1531"/>
        <w:tab w:val="left" w:pos="1871"/>
      </w:tabs>
      <w:autoSpaceDE w:val="0"/>
      <w:autoSpaceDN w:val="0"/>
      <w:adjustRightInd w:val="0"/>
      <w:spacing w:after="0" w:line="260" w:lineRule="atLeast"/>
      <w:ind w:left="1531" w:right="935" w:hanging="1531"/>
    </w:pPr>
    <w:rPr>
      <w:rFonts w:ascii="Univers 45 Light" w:hAnsi="Univers 45 Light"/>
      <w:b/>
      <w:color w:val="0C2D83"/>
      <w:sz w:val="20"/>
    </w:rPr>
  </w:style>
  <w:style w:type="paragraph" w:customStyle="1" w:styleId="AccountingPolicy">
    <w:name w:val="Accounting Policy"/>
    <w:basedOn w:val="a1"/>
    <w:rsid w:val="00870723"/>
    <w:pPr>
      <w:tabs>
        <w:tab w:val="left" w:pos="1531"/>
        <w:tab w:val="left" w:pos="1871"/>
      </w:tabs>
      <w:autoSpaceDE w:val="0"/>
      <w:autoSpaceDN w:val="0"/>
      <w:adjustRightInd w:val="0"/>
      <w:spacing w:after="0" w:line="260" w:lineRule="atLeast"/>
      <w:ind w:left="1531" w:hanging="1531"/>
    </w:pPr>
    <w:rPr>
      <w:rFonts w:ascii="Univers 45 Light" w:hAnsi="Univers 45 Light"/>
      <w:color w:val="000000"/>
      <w:sz w:val="20"/>
    </w:rPr>
  </w:style>
  <w:style w:type="paragraph" w:customStyle="1" w:styleId="Subhead4">
    <w:name w:val="Subhead 4"/>
    <w:basedOn w:val="a1"/>
    <w:rsid w:val="00870723"/>
    <w:pPr>
      <w:tabs>
        <w:tab w:val="left" w:pos="1134"/>
        <w:tab w:val="left" w:pos="1531"/>
        <w:tab w:val="left" w:pos="1871"/>
      </w:tabs>
      <w:autoSpaceDE w:val="0"/>
      <w:autoSpaceDN w:val="0"/>
      <w:adjustRightInd w:val="0"/>
      <w:spacing w:after="0" w:line="260" w:lineRule="atLeast"/>
      <w:ind w:left="1531" w:right="935" w:hanging="1531"/>
    </w:pPr>
    <w:rPr>
      <w:rFonts w:ascii="Univers 45 Light" w:hAnsi="Univers 45 Light"/>
      <w:b/>
      <w:color w:val="7B7FB6"/>
      <w:sz w:val="20"/>
    </w:rPr>
  </w:style>
  <w:style w:type="paragraph" w:customStyle="1" w:styleId="Note">
    <w:name w:val="Note"/>
    <w:basedOn w:val="a1"/>
    <w:rsid w:val="00870723"/>
    <w:pPr>
      <w:tabs>
        <w:tab w:val="left" w:pos="1134"/>
        <w:tab w:val="left" w:pos="1531"/>
        <w:tab w:val="left" w:pos="1871"/>
      </w:tabs>
      <w:autoSpaceDE w:val="0"/>
      <w:autoSpaceDN w:val="0"/>
      <w:adjustRightInd w:val="0"/>
      <w:spacing w:after="0" w:line="260" w:lineRule="atLeast"/>
      <w:ind w:left="1531" w:hanging="1531"/>
    </w:pPr>
    <w:rPr>
      <w:rFonts w:ascii="Univers 55" w:hAnsi="Univers 55"/>
      <w:b/>
      <w:color w:val="0C2D83"/>
      <w:sz w:val="20"/>
    </w:rPr>
  </w:style>
  <w:style w:type="paragraph" w:styleId="32">
    <w:name w:val="Body Text 3"/>
    <w:basedOn w:val="a1"/>
    <w:link w:val="33"/>
    <w:rsid w:val="00870723"/>
    <w:pPr>
      <w:spacing w:after="120" w:line="240" w:lineRule="auto"/>
    </w:pPr>
    <w:rPr>
      <w:rFonts w:ascii="Times New Roman" w:hAnsi="Times New Roman"/>
      <w:sz w:val="16"/>
    </w:rPr>
  </w:style>
  <w:style w:type="character" w:customStyle="1" w:styleId="33">
    <w:name w:val="Основной текст 3 Знак"/>
    <w:link w:val="32"/>
    <w:rsid w:val="00870723"/>
    <w:rPr>
      <w:rFonts w:ascii="Times New Roman" w:hAnsi="Times New Roman"/>
      <w:sz w:val="16"/>
    </w:rPr>
  </w:style>
  <w:style w:type="paragraph" w:customStyle="1" w:styleId="Style11ptBoldJustifiedBefore13ptAfter13pt">
    <w:name w:val="Style 11 pt Bold Justified Before:  13 pt After:  13 pt"/>
    <w:basedOn w:val="a1"/>
    <w:autoRedefine/>
    <w:rsid w:val="00870723"/>
    <w:pPr>
      <w:keepNext/>
      <w:spacing w:before="130" w:after="130" w:line="260" w:lineRule="atLeast"/>
      <w:jc w:val="both"/>
    </w:pPr>
    <w:rPr>
      <w:rFonts w:ascii="Times New Roman" w:hAnsi="Times New Roman"/>
    </w:rPr>
  </w:style>
  <w:style w:type="character" w:styleId="aff1">
    <w:name w:val="Emphasis"/>
    <w:qFormat/>
    <w:locked/>
    <w:rsid w:val="00870723"/>
    <w:rPr>
      <w:i/>
    </w:rPr>
  </w:style>
  <w:style w:type="paragraph" w:customStyle="1" w:styleId="Normal9pt">
    <w:name w:val="Normal + 9 pt"/>
    <w:basedOn w:val="a1"/>
    <w:rsid w:val="00870723"/>
    <w:pPr>
      <w:framePr w:hSpace="180" w:wrap="around" w:hAnchor="margin" w:x="-72" w:y="-1078"/>
      <w:spacing w:after="0" w:line="240" w:lineRule="auto"/>
    </w:pPr>
    <w:rPr>
      <w:rFonts w:ascii="Times New Roman" w:hAnsi="Times New Roman"/>
      <w:sz w:val="18"/>
    </w:rPr>
  </w:style>
  <w:style w:type="character" w:customStyle="1" w:styleId="block">
    <w:name w:val="block"/>
    <w:rsid w:val="00870723"/>
  </w:style>
  <w:style w:type="paragraph" w:customStyle="1" w:styleId="TABS">
    <w:name w:val="TABS"/>
    <w:rsid w:val="00870723"/>
    <w:pPr>
      <w:widowControl w:val="0"/>
      <w:tabs>
        <w:tab w:val="left" w:pos="-1440"/>
        <w:tab w:val="left" w:pos="-720"/>
        <w:tab w:val="left" w:pos="720"/>
        <w:tab w:val="left" w:pos="1440"/>
        <w:tab w:val="left" w:pos="2304"/>
      </w:tabs>
      <w:suppressAutoHyphens/>
      <w:autoSpaceDE w:val="0"/>
      <w:autoSpaceDN w:val="0"/>
      <w:adjustRightInd w:val="0"/>
    </w:pPr>
    <w:rPr>
      <w:rFonts w:ascii="Dutch Roman 12pt" w:hAnsi="Dutch Roman 12pt"/>
    </w:rPr>
  </w:style>
  <w:style w:type="paragraph" w:styleId="23">
    <w:name w:val="Body Text 2"/>
    <w:basedOn w:val="a1"/>
    <w:link w:val="24"/>
    <w:rsid w:val="00870723"/>
    <w:pPr>
      <w:spacing w:after="120" w:line="480" w:lineRule="auto"/>
    </w:pPr>
    <w:rPr>
      <w:rFonts w:ascii="Times New Roman" w:hAnsi="Times New Roman"/>
      <w:sz w:val="24"/>
    </w:rPr>
  </w:style>
  <w:style w:type="character" w:customStyle="1" w:styleId="24">
    <w:name w:val="Основной текст 2 Знак"/>
    <w:link w:val="23"/>
    <w:rsid w:val="00870723"/>
    <w:rPr>
      <w:rFonts w:ascii="Times New Roman" w:hAnsi="Times New Roman"/>
      <w:sz w:val="24"/>
    </w:rPr>
  </w:style>
  <w:style w:type="paragraph" w:customStyle="1" w:styleId="ABCFootnote">
    <w:name w:val="ABC Footnote"/>
    <w:basedOn w:val="af8"/>
    <w:rsid w:val="00870723"/>
    <w:rPr>
      <w:rFonts w:ascii="Times New Roman" w:hAnsi="Times New Roman"/>
      <w:sz w:val="18"/>
    </w:rPr>
  </w:style>
  <w:style w:type="paragraph" w:customStyle="1" w:styleId="tblHeaderText">
    <w:name w:val="tbl'HeaderText"/>
    <w:basedOn w:val="a1"/>
    <w:rsid w:val="00870723"/>
    <w:pPr>
      <w:spacing w:after="0" w:line="240" w:lineRule="auto"/>
      <w:ind w:right="57"/>
      <w:jc w:val="right"/>
    </w:pPr>
    <w:rPr>
      <w:rFonts w:ascii="Times New Roman" w:hAnsi="Times New Roman"/>
      <w:b/>
      <w:sz w:val="20"/>
    </w:rPr>
  </w:style>
  <w:style w:type="paragraph" w:customStyle="1" w:styleId="tblNumber01">
    <w:name w:val="tbl'Number_01"/>
    <w:basedOn w:val="a1"/>
    <w:rsid w:val="00870723"/>
    <w:pPr>
      <w:spacing w:after="0" w:line="240" w:lineRule="auto"/>
      <w:ind w:right="57"/>
      <w:jc w:val="right"/>
    </w:pPr>
    <w:rPr>
      <w:rFonts w:ascii="Times New Roman" w:hAnsi="Times New Roman"/>
      <w:sz w:val="20"/>
    </w:rPr>
  </w:style>
  <w:style w:type="paragraph" w:customStyle="1" w:styleId="tblText02">
    <w:name w:val="tbl'Text_02"/>
    <w:basedOn w:val="a1"/>
    <w:rsid w:val="00870723"/>
    <w:pPr>
      <w:spacing w:after="0" w:line="240" w:lineRule="auto"/>
      <w:ind w:left="113" w:hanging="113"/>
    </w:pPr>
    <w:rPr>
      <w:rFonts w:ascii="Times New Roman" w:hAnsi="Times New Roman"/>
      <w:sz w:val="20"/>
    </w:rPr>
  </w:style>
  <w:style w:type="character" w:customStyle="1" w:styleId="-731">
    <w:name w:val="Таблица-сетка 7 цветная — акцент 31"/>
    <w:uiPriority w:val="33"/>
    <w:qFormat/>
    <w:rsid w:val="00870723"/>
    <w:rPr>
      <w:b/>
      <w:smallCaps/>
    </w:rPr>
  </w:style>
  <w:style w:type="paragraph" w:customStyle="1" w:styleId="IndependentAuditorsReport">
    <w:name w:val="Independent Auditor's Report"/>
    <w:basedOn w:val="a2"/>
    <w:rsid w:val="00870723"/>
    <w:pPr>
      <w:spacing w:before="240" w:after="0" w:line="240" w:lineRule="auto"/>
      <w:jc w:val="both"/>
    </w:pPr>
    <w:rPr>
      <w:rFonts w:ascii="Times New Roman" w:hAnsi="Times New Roman"/>
      <w:b/>
      <w:sz w:val="22"/>
    </w:rPr>
  </w:style>
  <w:style w:type="paragraph" w:customStyle="1" w:styleId="zKISOffAddress">
    <w:name w:val="zKISOffAddress"/>
    <w:basedOn w:val="a1"/>
    <w:rsid w:val="00870723"/>
    <w:pPr>
      <w:framePr w:hSpace="215" w:wrap="around" w:vAnchor="page" w:hAnchor="page" w:x="4282" w:y="1294"/>
      <w:spacing w:after="0" w:line="190" w:lineRule="exact"/>
    </w:pPr>
    <w:rPr>
      <w:rFonts w:ascii="Univers 45 Light" w:hAnsi="Univers 45 Light"/>
      <w:sz w:val="15"/>
    </w:rPr>
  </w:style>
  <w:style w:type="paragraph" w:customStyle="1" w:styleId="zKISDescFooter">
    <w:name w:val="zKISDescFooter"/>
    <w:basedOn w:val="a1"/>
    <w:rsid w:val="00870723"/>
    <w:pPr>
      <w:framePr w:hSpace="284" w:wrap="around" w:vAnchor="page" w:hAnchor="page" w:x="4282" w:y="15905"/>
      <w:spacing w:after="0" w:line="130" w:lineRule="exact"/>
    </w:pPr>
    <w:rPr>
      <w:rFonts w:ascii="Univers 45 Light" w:hAnsi="Univers 45 Light"/>
      <w:sz w:val="11"/>
    </w:rPr>
  </w:style>
  <w:style w:type="paragraph" w:customStyle="1" w:styleId="GridTable4-Accent41">
    <w:name w:val="Grid Table 4 - Accent 41"/>
    <w:hidden/>
    <w:uiPriority w:val="99"/>
    <w:semiHidden/>
    <w:rsid w:val="00870723"/>
    <w:rPr>
      <w:rFonts w:ascii="Times New Roman" w:hAnsi="Times New Roman"/>
      <w:sz w:val="24"/>
    </w:rPr>
  </w:style>
  <w:style w:type="paragraph" w:customStyle="1" w:styleId="Default">
    <w:name w:val="Default"/>
    <w:rsid w:val="00870723"/>
    <w:pPr>
      <w:autoSpaceDE w:val="0"/>
      <w:autoSpaceDN w:val="0"/>
      <w:adjustRightInd w:val="0"/>
    </w:pPr>
    <w:rPr>
      <w:rFonts w:ascii="Univers 45 Light" w:hAnsi="Univers 45 Light" w:cs="Univers 45 Light"/>
      <w:color w:val="000000"/>
      <w:sz w:val="24"/>
    </w:rPr>
  </w:style>
  <w:style w:type="paragraph" w:customStyle="1" w:styleId="Pa25">
    <w:name w:val="Pa25"/>
    <w:basedOn w:val="Default"/>
    <w:next w:val="Default"/>
    <w:uiPriority w:val="99"/>
    <w:rsid w:val="00870723"/>
    <w:pPr>
      <w:spacing w:line="191" w:lineRule="atLeast"/>
    </w:pPr>
    <w:rPr>
      <w:rFonts w:cs="Times New Roman"/>
      <w:color w:val="auto"/>
    </w:rPr>
  </w:style>
  <w:style w:type="character" w:customStyle="1" w:styleId="A11">
    <w:name w:val="A11"/>
    <w:uiPriority w:val="99"/>
    <w:rsid w:val="00870723"/>
    <w:rPr>
      <w:rFonts w:cs="Univers 45 Light"/>
      <w:i/>
      <w:color w:val="004690"/>
      <w:sz w:val="15"/>
    </w:rPr>
  </w:style>
  <w:style w:type="paragraph" w:customStyle="1" w:styleId="GridTable5Dark-Accent41">
    <w:name w:val="Grid Table 5 Dark - Accent 41"/>
    <w:basedOn w:val="a1"/>
    <w:uiPriority w:val="34"/>
    <w:qFormat/>
    <w:rsid w:val="00870723"/>
    <w:pPr>
      <w:spacing w:after="0" w:line="240" w:lineRule="auto"/>
      <w:ind w:left="720"/>
      <w:contextualSpacing/>
    </w:pPr>
    <w:rPr>
      <w:rFonts w:ascii="Times New Roman" w:hAnsi="Times New Roman"/>
      <w:sz w:val="24"/>
    </w:rPr>
  </w:style>
  <w:style w:type="paragraph" w:customStyle="1" w:styleId="Report">
    <w:name w:val="Report"/>
    <w:rsid w:val="00870723"/>
    <w:pPr>
      <w:numPr>
        <w:numId w:val="5"/>
      </w:numPr>
      <w:spacing w:after="240"/>
      <w:jc w:val="both"/>
    </w:pPr>
    <w:rPr>
      <w:rFonts w:ascii="Arial" w:hAnsi="Arial"/>
      <w:snapToGrid w:val="0"/>
    </w:rPr>
  </w:style>
  <w:style w:type="paragraph" w:customStyle="1" w:styleId="Z2Opinion">
    <w:name w:val="Z2_Opinion"/>
    <w:basedOn w:val="a1"/>
    <w:next w:val="a2"/>
    <w:rsid w:val="00870723"/>
    <w:pPr>
      <w:spacing w:after="0" w:line="240" w:lineRule="auto"/>
    </w:pPr>
    <w:rPr>
      <w:rFonts w:ascii="Arial" w:eastAsia="Arial Unicode MS" w:hAnsi="Arial" w:cs="Arial"/>
      <w:b/>
      <w:caps/>
      <w:sz w:val="20"/>
    </w:rPr>
  </w:style>
  <w:style w:type="paragraph" w:customStyle="1" w:styleId="GridTable2-Accent31">
    <w:name w:val="Grid Table 2 - Accent 31"/>
    <w:hidden/>
    <w:uiPriority w:val="99"/>
    <w:unhideWhenUsed/>
    <w:rsid w:val="00512CC0"/>
    <w:rPr>
      <w:sz w:val="22"/>
    </w:rPr>
  </w:style>
  <w:style w:type="table" w:customStyle="1" w:styleId="ListTable6Colorful-Accent51">
    <w:name w:val="List Table 6 Colorful - Accent 51"/>
    <w:basedOn w:val="a4"/>
    <w:uiPriority w:val="99"/>
    <w:qFormat/>
    <w:rsid w:val="00131EF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41">
    <w:name w:val="Список-таблица 4 — акцент 41"/>
    <w:basedOn w:val="a4"/>
    <w:uiPriority w:val="99"/>
    <w:qFormat/>
    <w:rsid w:val="00ED4F6D"/>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31">
    <w:name w:val="Темный список - Акцент 31"/>
    <w:hidden/>
    <w:uiPriority w:val="99"/>
    <w:unhideWhenUsed/>
    <w:rsid w:val="005B37E8"/>
    <w:rPr>
      <w:sz w:val="22"/>
    </w:rPr>
  </w:style>
  <w:style w:type="character" w:customStyle="1" w:styleId="UnresolvedMention1">
    <w:name w:val="Unresolved Mention1"/>
    <w:uiPriority w:val="99"/>
    <w:semiHidden/>
    <w:unhideWhenUsed/>
    <w:rsid w:val="00CF22E3"/>
    <w:rPr>
      <w:color w:val="808080"/>
      <w:shd w:val="clear" w:color="auto" w:fill="E6E6E6"/>
    </w:rPr>
  </w:style>
  <w:style w:type="paragraph" w:styleId="aff2">
    <w:name w:val="List Paragraph"/>
    <w:basedOn w:val="a1"/>
    <w:uiPriority w:val="34"/>
    <w:qFormat/>
    <w:rsid w:val="00AD525C"/>
    <w:pPr>
      <w:spacing w:after="160" w:line="259" w:lineRule="auto"/>
      <w:ind w:left="720"/>
      <w:contextualSpacing/>
    </w:pPr>
    <w:rPr>
      <w:rFonts w:eastAsia="Calibri"/>
    </w:rPr>
  </w:style>
  <w:style w:type="paragraph" w:styleId="aff3">
    <w:name w:val="Revision"/>
    <w:hidden/>
    <w:uiPriority w:val="99"/>
    <w:semiHidden/>
    <w:rsid w:val="00C52E4F"/>
    <w:rPr>
      <w:sz w:val="22"/>
    </w:rPr>
  </w:style>
  <w:style w:type="paragraph" w:customStyle="1" w:styleId="o">
    <w:name w:val="o"/>
    <w:basedOn w:val="a1"/>
    <w:uiPriority w:val="99"/>
    <w:rsid w:val="0007666B"/>
    <w:pPr>
      <w:spacing w:before="100" w:beforeAutospacing="1" w:after="100" w:afterAutospacing="1" w:line="240" w:lineRule="auto"/>
    </w:pPr>
    <w:rPr>
      <w:rFonts w:ascii="Times New Roman" w:hAnsi="Times New Roman"/>
      <w:sz w:val="24"/>
    </w:rPr>
  </w:style>
  <w:style w:type="paragraph" w:customStyle="1" w:styleId="12">
    <w:name w:val="Текст1"/>
    <w:rsid w:val="00CD7033"/>
    <w:pPr>
      <w:pBdr>
        <w:top w:val="nil"/>
        <w:left w:val="nil"/>
        <w:bottom w:val="nil"/>
        <w:right w:val="nil"/>
        <w:between w:val="nil"/>
        <w:bar w:val="nil"/>
      </w:pBdr>
      <w:spacing w:after="200" w:line="276" w:lineRule="auto"/>
    </w:pPr>
    <w:rPr>
      <w:rFonts w:eastAsia="Calibri" w:cs="Calibri"/>
      <w:color w:val="000000"/>
      <w:sz w:val="22"/>
      <w:u w:color="000000"/>
      <w:bdr w:val="nil"/>
    </w:rPr>
  </w:style>
  <w:style w:type="paragraph" w:customStyle="1" w:styleId="xmsonormal">
    <w:name w:val="x_msonormal"/>
    <w:basedOn w:val="a1"/>
    <w:uiPriority w:val="99"/>
    <w:rsid w:val="003D6F97"/>
    <w:pPr>
      <w:spacing w:after="0" w:line="240" w:lineRule="auto"/>
    </w:pPr>
    <w:rPr>
      <w:rFonts w:eastAsia="Times New Roman" w:cs="Calibri"/>
      <w:sz w:val="20"/>
    </w:rPr>
  </w:style>
  <w:style w:type="numbering" w:customStyle="1" w:styleId="13">
    <w:name w:val="Нет списка1"/>
    <w:next w:val="a5"/>
    <w:uiPriority w:val="99"/>
    <w:semiHidden/>
    <w:unhideWhenUsed/>
    <w:rsid w:val="004356E2"/>
  </w:style>
  <w:style w:type="character" w:styleId="aff4">
    <w:name w:val="Book Title"/>
    <w:uiPriority w:val="33"/>
    <w:qFormat/>
    <w:rsid w:val="004356E2"/>
    <w:rPr>
      <w:b/>
      <w:smallCaps/>
    </w:rPr>
  </w:style>
  <w:style w:type="character" w:customStyle="1" w:styleId="hps">
    <w:name w:val="hps"/>
    <w:basedOn w:val="a3"/>
    <w:rsid w:val="004356E2"/>
  </w:style>
  <w:style w:type="paragraph" w:customStyle="1" w:styleId="zsubject">
    <w:name w:val="zsubject"/>
    <w:basedOn w:val="IndependentAuditorsReport"/>
    <w:rsid w:val="004356E2"/>
    <w:pPr>
      <w:spacing w:after="120"/>
    </w:pPr>
    <w:rPr>
      <w:rFonts w:ascii="Arial" w:eastAsia="Times New Roman" w:hAnsi="Arial" w:cs="Arial"/>
      <w:sz w:val="24"/>
    </w:rPr>
  </w:style>
  <w:style w:type="paragraph" w:customStyle="1" w:styleId="Example">
    <w:name w:val="Example"/>
    <w:basedOn w:val="a2"/>
    <w:rsid w:val="004356E2"/>
    <w:pPr>
      <w:spacing w:after="260" w:line="240" w:lineRule="auto"/>
      <w:jc w:val="both"/>
    </w:pPr>
    <w:rPr>
      <w:rFonts w:ascii="Arial" w:eastAsia="Times New Roman" w:hAnsi="Arial" w:cs="Arial"/>
      <w:b/>
    </w:rPr>
  </w:style>
  <w:style w:type="paragraph" w:customStyle="1" w:styleId="KAMKNormal">
    <w:name w:val="KAMKNormal"/>
    <w:basedOn w:val="a1"/>
    <w:link w:val="KAMKNormalChar"/>
    <w:rsid w:val="004356E2"/>
    <w:pPr>
      <w:spacing w:before="120" w:after="120" w:line="240" w:lineRule="auto"/>
    </w:pPr>
    <w:rPr>
      <w:rFonts w:ascii="Tahoma" w:eastAsia="Times New Roman" w:hAnsi="Tahoma"/>
      <w:color w:val="000000"/>
    </w:rPr>
  </w:style>
  <w:style w:type="character" w:customStyle="1" w:styleId="KAMKNormalChar">
    <w:name w:val="KAMKNormal Char"/>
    <w:link w:val="KAMKNormal"/>
    <w:rsid w:val="004356E2"/>
    <w:rPr>
      <w:rFonts w:ascii="Tahoma" w:eastAsia="Times New Roman" w:hAnsi="Tahoma"/>
      <w:color w:val="000000"/>
      <w:sz w:val="22"/>
    </w:rPr>
  </w:style>
  <w:style w:type="character" w:customStyle="1" w:styleId="KAMKBold">
    <w:name w:val="KAMKBold"/>
    <w:uiPriority w:val="1"/>
    <w:rsid w:val="004356E2"/>
    <w:rPr>
      <w:rFonts w:ascii="Tahoma" w:hAnsi="Tahoma" w:cs="Times New Roman"/>
      <w:b/>
      <w:sz w:val="22"/>
    </w:rPr>
  </w:style>
  <w:style w:type="character" w:customStyle="1" w:styleId="KAMKItalics">
    <w:name w:val="KAMKItalics"/>
    <w:uiPriority w:val="1"/>
    <w:rsid w:val="004356E2"/>
    <w:rPr>
      <w:rFonts w:ascii="Tahoma" w:hAnsi="Tahoma"/>
      <w:i/>
      <w:sz w:val="22"/>
    </w:rPr>
  </w:style>
  <w:style w:type="paragraph" w:customStyle="1" w:styleId="RNormal">
    <w:name w:val="RNormal"/>
    <w:basedOn w:val="a1"/>
    <w:rsid w:val="004356E2"/>
    <w:pPr>
      <w:spacing w:before="120" w:after="0" w:line="240" w:lineRule="auto"/>
      <w:jc w:val="both"/>
    </w:pPr>
    <w:rPr>
      <w:rFonts w:ascii="Arial" w:eastAsia="Times New Roman" w:hAnsi="Arial" w:cs="Arial"/>
      <w:sz w:val="20"/>
    </w:rPr>
  </w:style>
  <w:style w:type="table" w:customStyle="1" w:styleId="14">
    <w:name w:val="Сетка таблицы1"/>
    <w:basedOn w:val="a4"/>
    <w:next w:val="a6"/>
    <w:rsid w:val="004356E2"/>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95ptSpreads">
    <w:name w:val="Bodycopy 9.5pt (Spreads)"/>
    <w:basedOn w:val="a1"/>
    <w:uiPriority w:val="99"/>
    <w:rsid w:val="004356E2"/>
    <w:pPr>
      <w:autoSpaceDE w:val="0"/>
      <w:autoSpaceDN w:val="0"/>
      <w:spacing w:after="120" w:line="240" w:lineRule="atLeast"/>
    </w:pPr>
    <w:rPr>
      <w:rFonts w:ascii="Univers LT Std 45 Light" w:eastAsia="Calibri" w:hAnsi="Univers LT Std 45 Light"/>
      <w:color w:val="000000"/>
      <w:sz w:val="19"/>
    </w:rPr>
  </w:style>
  <w:style w:type="paragraph" w:customStyle="1" w:styleId="NoParagraphStyle">
    <w:name w:val="[No Paragraph Style]"/>
    <w:rsid w:val="004356E2"/>
    <w:pPr>
      <w:widowControl w:val="0"/>
      <w:autoSpaceDE w:val="0"/>
      <w:autoSpaceDN w:val="0"/>
      <w:adjustRightInd w:val="0"/>
      <w:spacing w:line="288" w:lineRule="auto"/>
      <w:textAlignment w:val="center"/>
    </w:pPr>
    <w:rPr>
      <w:rFonts w:ascii="Helvetica Regular" w:eastAsia="Times New Roman" w:hAnsi="Helvetica Regular" w:cs="Helvetica Regular"/>
      <w:color w:val="000000"/>
      <w:sz w:val="24"/>
    </w:rPr>
  </w:style>
  <w:style w:type="paragraph" w:customStyle="1" w:styleId="Sub-heading12ptSpreads">
    <w:name w:val="Sub-heading 12pt (Spreads)"/>
    <w:basedOn w:val="NoParagraphStyle"/>
    <w:uiPriority w:val="99"/>
    <w:rsid w:val="004356E2"/>
    <w:pPr>
      <w:suppressAutoHyphens/>
      <w:spacing w:before="57" w:after="120" w:line="280" w:lineRule="atLeast"/>
    </w:pPr>
    <w:rPr>
      <w:rFonts w:ascii="Univers LT Std 45 Light" w:hAnsi="Univers LT Std 45 Light" w:cs="Univers LT Std 45 Light"/>
      <w:b/>
      <w:color w:val="004E98"/>
    </w:rPr>
  </w:style>
  <w:style w:type="paragraph" w:customStyle="1" w:styleId="StatementHeadingcontinuedSpreads">
    <w:name w:val="Statement Heading continued (Spreads)"/>
    <w:basedOn w:val="a1"/>
    <w:uiPriority w:val="99"/>
    <w:rsid w:val="004356E2"/>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eastAsia="Times New Roman" w:hAnsi="KPMG Extralight" w:cs="KPMG Extralight"/>
      <w:color w:val="6D2077"/>
      <w:sz w:val="60"/>
    </w:rPr>
  </w:style>
  <w:style w:type="paragraph" w:customStyle="1" w:styleId="TableHeadSpreads">
    <w:name w:val="Table Head (Spreads)"/>
    <w:basedOn w:val="a1"/>
    <w:uiPriority w:val="99"/>
    <w:rsid w:val="004356E2"/>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color w:val="FFFFFF"/>
      <w:sz w:val="19"/>
    </w:rPr>
  </w:style>
  <w:style w:type="character" w:customStyle="1" w:styleId="LightBluebold">
    <w:name w:val="Light Blue bold"/>
    <w:uiPriority w:val="99"/>
    <w:rsid w:val="004356E2"/>
    <w:rPr>
      <w:rFonts w:ascii="Univers LT Std 45 Light" w:hAnsi="Univers LT Std 45 Light" w:cs="Univers LT Std 45 Light"/>
      <w:b/>
      <w:color w:val="0091DA"/>
    </w:rPr>
  </w:style>
  <w:style w:type="character" w:customStyle="1" w:styleId="tlid-translation">
    <w:name w:val="tlid-translation"/>
    <w:basedOn w:val="a3"/>
    <w:rsid w:val="004356E2"/>
  </w:style>
  <w:style w:type="paragraph" w:styleId="a0">
    <w:name w:val="Subtitle"/>
    <w:basedOn w:val="a2"/>
    <w:next w:val="a1"/>
    <w:link w:val="aff5"/>
    <w:locked/>
    <w:rsid w:val="004356E2"/>
    <w:pPr>
      <w:numPr>
        <w:numId w:val="32"/>
      </w:numPr>
      <w:spacing w:before="120" w:line="240" w:lineRule="auto"/>
      <w:jc w:val="both"/>
    </w:pPr>
    <w:rPr>
      <w:rFonts w:ascii="Arial" w:eastAsia="Times New Roman" w:hAnsi="Arial"/>
    </w:rPr>
  </w:style>
  <w:style w:type="character" w:customStyle="1" w:styleId="aff5">
    <w:name w:val="Подзаголовок Знак"/>
    <w:basedOn w:val="a3"/>
    <w:link w:val="a0"/>
    <w:rsid w:val="004356E2"/>
    <w:rPr>
      <w:rFonts w:ascii="Arial" w:eastAsia="Times New Roman" w:hAnsi="Arial"/>
    </w:rPr>
  </w:style>
  <w:style w:type="character" w:customStyle="1" w:styleId="PwCAddressChar">
    <w:name w:val="PwC Address Char"/>
    <w:basedOn w:val="a3"/>
    <w:link w:val="PwCAddress"/>
    <w:locked/>
    <w:rsid w:val="004356E2"/>
    <w:rPr>
      <w:i/>
      <w:sz w:val="18"/>
    </w:rPr>
  </w:style>
  <w:style w:type="paragraph" w:customStyle="1" w:styleId="PwCAddress">
    <w:name w:val="PwC Address"/>
    <w:basedOn w:val="a1"/>
    <w:link w:val="PwCAddressChar"/>
    <w:qFormat/>
    <w:rsid w:val="004356E2"/>
    <w:pPr>
      <w:spacing w:after="0" w:line="200" w:lineRule="atLeast"/>
    </w:pPr>
    <w:rPr>
      <w:i/>
      <w:sz w:val="18"/>
    </w:rPr>
  </w:style>
  <w:style w:type="paragraph" w:customStyle="1" w:styleId="Continued">
    <w:name w:val="Continued"/>
    <w:basedOn w:val="a2"/>
    <w:link w:val="ContinuedChar"/>
    <w:qFormat/>
    <w:rsid w:val="004356E2"/>
    <w:pPr>
      <w:pageBreakBefore/>
      <w:spacing w:after="240" w:line="240" w:lineRule="auto"/>
      <w:ind w:left="567" w:hanging="567"/>
      <w:jc w:val="both"/>
    </w:pPr>
    <w:rPr>
      <w:rFonts w:ascii="Arial Bold" w:eastAsia="Times New Roman" w:hAnsi="Arial Bold"/>
      <w:b/>
      <w:caps/>
      <w:color w:val="00B6DA"/>
    </w:rPr>
  </w:style>
  <w:style w:type="character" w:customStyle="1" w:styleId="ContinuedChar">
    <w:name w:val="Continued Char"/>
    <w:basedOn w:val="af3"/>
    <w:link w:val="Continued"/>
    <w:rsid w:val="004356E2"/>
    <w:rPr>
      <w:rFonts w:ascii="Arial Bold" w:eastAsia="Times New Roman" w:hAnsi="Arial Bold" w:cs="Times New Roman"/>
      <w:b/>
      <w:caps/>
      <w:color w:val="00B6DA"/>
    </w:rPr>
  </w:style>
  <w:style w:type="paragraph" w:customStyle="1" w:styleId="15">
    <w:name w:val="Заголовок оглавления1"/>
    <w:basedOn w:val="1"/>
    <w:next w:val="a1"/>
    <w:uiPriority w:val="39"/>
    <w:unhideWhenUsed/>
    <w:qFormat/>
    <w:rsid w:val="004356E2"/>
    <w:pPr>
      <w:keepLines/>
      <w:widowControl w:val="0"/>
      <w:spacing w:after="0" w:line="259" w:lineRule="auto"/>
      <w:outlineLvl w:val="9"/>
    </w:pPr>
    <w:rPr>
      <w:rFonts w:ascii="Cambria" w:eastAsia="Times New Roman" w:hAnsi="Cambria"/>
      <w:b w:val="0"/>
      <w:color w:val="003E71"/>
      <w:kern w:val="0"/>
    </w:rPr>
  </w:style>
  <w:style w:type="paragraph" w:customStyle="1" w:styleId="Condensed">
    <w:name w:val="Condensed_"/>
    <w:basedOn w:val="a1"/>
    <w:rsid w:val="004356E2"/>
    <w:pPr>
      <w:widowControl w:val="0"/>
      <w:autoSpaceDE w:val="0"/>
      <w:autoSpaceDN w:val="0"/>
      <w:adjustRightInd w:val="0"/>
      <w:spacing w:before="200" w:line="240" w:lineRule="auto"/>
      <w:jc w:val="both"/>
    </w:pPr>
    <w:rPr>
      <w:rFonts w:ascii="Arial" w:eastAsia="Times New Roman" w:hAnsi="Arial" w:cs="Arial"/>
      <w:sz w:val="20"/>
    </w:rPr>
  </w:style>
  <w:style w:type="paragraph" w:customStyle="1" w:styleId="Basic-Text">
    <w:name w:val="Basic-Text"/>
    <w:basedOn w:val="a1"/>
    <w:qFormat/>
    <w:rsid w:val="004356E2"/>
    <w:pPr>
      <w:widowControl w:val="0"/>
      <w:autoSpaceDE w:val="0"/>
      <w:autoSpaceDN w:val="0"/>
      <w:adjustRightInd w:val="0"/>
      <w:spacing w:before="200" w:line="240" w:lineRule="auto"/>
      <w:jc w:val="both"/>
    </w:pPr>
    <w:rPr>
      <w:rFonts w:ascii="Arial" w:eastAsia="Times New Roman" w:hAnsi="Arial" w:cs="Arial"/>
      <w:sz w:val="20"/>
    </w:rPr>
  </w:style>
  <w:style w:type="paragraph" w:customStyle="1" w:styleId="bullets">
    <w:name w:val="bullets"/>
    <w:basedOn w:val="a0"/>
    <w:qFormat/>
    <w:rsid w:val="004356E2"/>
    <w:pPr>
      <w:widowControl w:val="0"/>
      <w:numPr>
        <w:numId w:val="34"/>
      </w:numPr>
      <w:spacing w:before="100" w:after="100"/>
      <w:ind w:left="567" w:hanging="567"/>
    </w:pPr>
    <w:rPr>
      <w:rFonts w:cs="Arial"/>
    </w:rPr>
  </w:style>
  <w:style w:type="paragraph" w:styleId="aff6">
    <w:name w:val="Closing"/>
    <w:basedOn w:val="a1"/>
    <w:link w:val="aff7"/>
    <w:semiHidden/>
    <w:unhideWhenUsed/>
    <w:rsid w:val="004356E2"/>
    <w:pPr>
      <w:spacing w:after="0" w:line="240" w:lineRule="auto"/>
      <w:ind w:left="4252"/>
    </w:pPr>
    <w:rPr>
      <w:rFonts w:ascii="Times New Roman" w:eastAsia="Times New Roman" w:hAnsi="Times New Roman"/>
      <w:sz w:val="24"/>
    </w:rPr>
  </w:style>
  <w:style w:type="character" w:customStyle="1" w:styleId="aff7">
    <w:name w:val="Прощание Знак"/>
    <w:basedOn w:val="a3"/>
    <w:link w:val="aff6"/>
    <w:semiHidden/>
    <w:rsid w:val="004356E2"/>
    <w:rPr>
      <w:rFonts w:ascii="Times New Roman" w:eastAsia="Times New Roman" w:hAnsi="Times New Roman"/>
      <w:sz w:val="24"/>
    </w:rPr>
  </w:style>
  <w:style w:type="numbering" w:customStyle="1" w:styleId="PwCListBullets1">
    <w:name w:val="PwC List Bullets 1"/>
    <w:uiPriority w:val="99"/>
    <w:rsid w:val="004356E2"/>
    <w:pPr>
      <w:numPr>
        <w:numId w:val="35"/>
      </w:numPr>
    </w:pPr>
  </w:style>
  <w:style w:type="paragraph" w:customStyle="1" w:styleId="ListBullet41">
    <w:name w:val="List Bullet 41"/>
    <w:basedOn w:val="a2"/>
    <w:next w:val="42"/>
    <w:uiPriority w:val="13"/>
    <w:unhideWhenUsed/>
    <w:rsid w:val="004356E2"/>
    <w:pPr>
      <w:tabs>
        <w:tab w:val="num" w:pos="20"/>
      </w:tabs>
      <w:spacing w:after="180" w:line="264" w:lineRule="auto"/>
      <w:ind w:hanging="964"/>
      <w:contextualSpacing/>
    </w:pPr>
    <w:rPr>
      <w:rFonts w:ascii="Georgia" w:eastAsia="Arial" w:hAnsi="Georgia" w:cs="Arial"/>
      <w:color w:val="000000"/>
    </w:rPr>
  </w:style>
  <w:style w:type="paragraph" w:styleId="52">
    <w:name w:val="List Bullet 5"/>
    <w:basedOn w:val="a2"/>
    <w:uiPriority w:val="13"/>
    <w:unhideWhenUsed/>
    <w:rsid w:val="004356E2"/>
    <w:pPr>
      <w:tabs>
        <w:tab w:val="num" w:pos="1008"/>
      </w:tabs>
      <w:spacing w:after="240" w:line="240" w:lineRule="atLeast"/>
      <w:ind w:left="1008" w:hanging="1008"/>
      <w:contextualSpacing/>
    </w:pPr>
    <w:rPr>
      <w:rFonts w:ascii="Georgia" w:eastAsia="Arial" w:hAnsi="Georgia" w:cs="Arial"/>
    </w:rPr>
  </w:style>
  <w:style w:type="paragraph" w:customStyle="1" w:styleId="TableBodyRowHeading">
    <w:name w:val="TableBodyRowHeading"/>
    <w:basedOn w:val="a2"/>
    <w:rsid w:val="004356E2"/>
    <w:pPr>
      <w:numPr>
        <w:numId w:val="36"/>
      </w:numPr>
      <w:tabs>
        <w:tab w:val="num" w:pos="6635"/>
      </w:tabs>
      <w:spacing w:after="240" w:line="240" w:lineRule="atLeast"/>
      <w:ind w:left="6635" w:hanging="964"/>
    </w:pPr>
    <w:rPr>
      <w:rFonts w:ascii="Georgia" w:eastAsia="Arial" w:hAnsi="Georgia" w:cs="Arial"/>
      <w:b/>
      <w:sz w:val="17"/>
    </w:rPr>
  </w:style>
  <w:style w:type="table" w:customStyle="1" w:styleId="PwCTableFigures">
    <w:name w:val="PwC Table Figures"/>
    <w:basedOn w:val="a4"/>
    <w:uiPriority w:val="99"/>
    <w:qFormat/>
    <w:rsid w:val="004356E2"/>
    <w:rPr>
      <w:rFonts w:ascii="Arial" w:eastAsia="Arial" w:hAnsi="Arial"/>
    </w:rPr>
    <w:tblPr>
      <w:tblBorders>
        <w:bottom w:val="single" w:sz="4" w:space="0" w:color="7D7D7D"/>
        <w:insideH w:val="dotted" w:sz="4" w:space="0" w:color="7D7D7D"/>
      </w:tblBorders>
      <w:tblCellMar>
        <w:top w:w="57" w:type="dxa"/>
      </w:tblCellMar>
    </w:tblPr>
    <w:tblStylePr w:type="firstRow">
      <w:rPr>
        <w:b/>
      </w:rPr>
      <w:tblPr/>
      <w:tcPr>
        <w:tcBorders>
          <w:top w:val="single" w:sz="6" w:space="0" w:color="7D7D7D"/>
          <w:left w:val="nil"/>
          <w:bottom w:val="single" w:sz="6" w:space="0" w:color="7D7D7D"/>
          <w:right w:val="nil"/>
          <w:insideH w:val="nil"/>
          <w:insideV w:val="nil"/>
          <w:tl2br w:val="nil"/>
          <w:tr2bl w:val="nil"/>
        </w:tcBorders>
      </w:tcPr>
    </w:tblStylePr>
    <w:tblStylePr w:type="lastRow">
      <w:rPr>
        <w:rFonts w:ascii="Arial" w:hAnsi="Arial"/>
        <w:b/>
        <w:i w:val="0"/>
        <w:color w:val="auto"/>
        <w:sz w:val="20"/>
      </w:rPr>
      <w:tblPr/>
      <w:tcPr>
        <w:tcBorders>
          <w:top w:val="single" w:sz="6" w:space="0" w:color="7D7D7D"/>
          <w:left w:val="nil"/>
          <w:bottom w:val="single" w:sz="6" w:space="0" w:color="7D7D7D"/>
          <w:right w:val="nil"/>
          <w:insideH w:val="nil"/>
          <w:insideV w:val="nil"/>
          <w:tl2br w:val="nil"/>
          <w:tr2bl w:val="nil"/>
        </w:tcBorders>
      </w:tcPr>
    </w:tblStylePr>
  </w:style>
  <w:style w:type="paragraph" w:styleId="42">
    <w:name w:val="List Bullet 4"/>
    <w:basedOn w:val="a1"/>
    <w:semiHidden/>
    <w:unhideWhenUsed/>
    <w:rsid w:val="004356E2"/>
    <w:pPr>
      <w:spacing w:after="0" w:line="240" w:lineRule="auto"/>
      <w:contextualSpacing/>
    </w:pPr>
    <w:rPr>
      <w:rFonts w:ascii="Times New Roman" w:eastAsia="Times New Roman" w:hAnsi="Times New Roman"/>
      <w:sz w:val="24"/>
    </w:rPr>
  </w:style>
  <w:style w:type="table" w:customStyle="1" w:styleId="TableGrid2">
    <w:name w:val="Table Grid2"/>
    <w:basedOn w:val="a4"/>
    <w:next w:val="a6"/>
    <w:uiPriority w:val="39"/>
    <w:rsid w:val="004356E2"/>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basedOn w:val="a3"/>
    <w:uiPriority w:val="99"/>
    <w:semiHidden/>
    <w:unhideWhenUsed/>
    <w:rsid w:val="002A6006"/>
    <w:rPr>
      <w:color w:val="605E5C"/>
      <w:shd w:val="clear" w:color="auto" w:fill="E1DFDD"/>
    </w:rPr>
  </w:style>
  <w:style w:type="paragraph" w:customStyle="1" w:styleId="P68B1DB1-Normal1">
    <w:name w:val="P68B1DB1-Normal1"/>
    <w:basedOn w:val="a1"/>
    <w:rPr>
      <w:rFonts w:asciiTheme="minorHAnsi" w:hAnsiTheme="minorHAnsi" w:cstheme="minorHAnsi"/>
      <w:b/>
    </w:rPr>
  </w:style>
  <w:style w:type="paragraph" w:customStyle="1" w:styleId="P68B1DB1-Normal2">
    <w:name w:val="P68B1DB1-Normal2"/>
    <w:basedOn w:val="a1"/>
    <w:rPr>
      <w:rFonts w:asciiTheme="minorHAnsi" w:hAnsiTheme="minorHAnsi" w:cstheme="minorHAnsi"/>
    </w:rPr>
  </w:style>
  <w:style w:type="paragraph" w:customStyle="1" w:styleId="P68B1DB1-13">
    <w:name w:val="P68B1DB1-13"/>
    <w:basedOn w:val="12"/>
    <w:rPr>
      <w:b/>
    </w:rPr>
  </w:style>
  <w:style w:type="paragraph" w:customStyle="1" w:styleId="P68B1DB1-Normal4">
    <w:name w:val="P68B1DB1-Normal4"/>
    <w:basedOn w:val="a1"/>
    <w:rPr>
      <w:rFonts w:ascii="Foco" w:eastAsia="Times New Roman"/>
      <w:b/>
      <w:color w:val="FFFFFF"/>
      <w:sz w:val="24"/>
    </w:rPr>
  </w:style>
  <w:style w:type="paragraph" w:customStyle="1" w:styleId="P68B1DB1-Normal5">
    <w:name w:val="P68B1DB1-Normal5"/>
    <w:basedOn w:val="a1"/>
    <w:rPr>
      <w:rFonts w:eastAsia="Times New Roman" w:cs="Calibri"/>
      <w:b/>
      <w:color w:val="000000"/>
      <w:sz w:val="20"/>
    </w:rPr>
  </w:style>
  <w:style w:type="paragraph" w:customStyle="1" w:styleId="P68B1DB1-Normal6">
    <w:name w:val="P68B1DB1-Normal6"/>
    <w:basedOn w:val="a1"/>
    <w:rPr>
      <w:rFonts w:ascii="Foco" w:eastAsia="Times New Roman" w:hAnsi="Foco" w:cs="Foco"/>
      <w:b/>
      <w:color w:val="000000"/>
      <w:sz w:val="18"/>
    </w:rPr>
  </w:style>
  <w:style w:type="paragraph" w:customStyle="1" w:styleId="P68B1DB1-Normal7">
    <w:name w:val="P68B1DB1-Normal7"/>
    <w:basedOn w:val="a1"/>
    <w:rPr>
      <w:rFonts w:ascii="Foco" w:eastAsia="Times New Roman"/>
      <w:b/>
      <w:color w:val="000000"/>
      <w:sz w:val="18"/>
    </w:rPr>
  </w:style>
  <w:style w:type="paragraph" w:customStyle="1" w:styleId="P68B1DB1-Normal8">
    <w:name w:val="P68B1DB1-Normal8"/>
    <w:basedOn w:val="a1"/>
    <w:rPr>
      <w:rFonts w:eastAsia="Times New Roman" w:cs="Calibri"/>
      <w:color w:val="000000"/>
      <w:sz w:val="20"/>
    </w:rPr>
  </w:style>
  <w:style w:type="paragraph" w:customStyle="1" w:styleId="P68B1DB1-Normal9">
    <w:name w:val="P68B1DB1-Normal9"/>
    <w:basedOn w:val="a1"/>
    <w:rPr>
      <w:rFonts w:ascii="Foco" w:eastAsia="Times New Roman" w:hAnsi="Foco" w:cs="Foco"/>
      <w:color w:val="000000"/>
      <w:sz w:val="18"/>
    </w:rPr>
  </w:style>
  <w:style w:type="paragraph" w:customStyle="1" w:styleId="P68B1DB1-Normal10">
    <w:name w:val="P68B1DB1-Normal10"/>
    <w:basedOn w:val="a1"/>
    <w:rPr>
      <w:rFonts w:ascii="Foco" w:eastAsia="Times New Roman" w:hAnsi="Foco" w:cs="Foco"/>
      <w:i/>
      <w:color w:val="000000"/>
      <w:sz w:val="18"/>
    </w:rPr>
  </w:style>
  <w:style w:type="paragraph" w:customStyle="1" w:styleId="P68B1DB1-Normal11">
    <w:name w:val="P68B1DB1-Normal11"/>
    <w:basedOn w:val="a1"/>
    <w:rPr>
      <w:rFonts w:eastAsia="Times New Roman" w:cs="Calibri"/>
      <w:i/>
      <w:color w:val="000000"/>
      <w:sz w:val="20"/>
    </w:rPr>
  </w:style>
  <w:style w:type="paragraph" w:customStyle="1" w:styleId="P68B1DB1-Normal12">
    <w:name w:val="P68B1DB1-Normal12"/>
    <w:basedOn w:val="a1"/>
    <w:rPr>
      <w:rFonts w:eastAsia="Times New Roman" w:cs="Calibri"/>
      <w:color w:val="000000"/>
      <w:sz w:val="18"/>
    </w:rPr>
  </w:style>
  <w:style w:type="paragraph" w:customStyle="1" w:styleId="P68B1DB1-Normal13">
    <w:name w:val="P68B1DB1-Normal13"/>
    <w:basedOn w:val="a1"/>
    <w:rPr>
      <w:rFonts w:eastAsia="Times New Roman" w:cs="Calibri"/>
      <w:b/>
      <w:color w:val="FFFFFF"/>
      <w:sz w:val="24"/>
    </w:rPr>
  </w:style>
  <w:style w:type="paragraph" w:customStyle="1" w:styleId="P68B1DB1-Normal14">
    <w:name w:val="P68B1DB1-Normal14"/>
    <w:basedOn w:val="a1"/>
    <w:rPr>
      <w:rFonts w:ascii="Foco" w:eastAsia="Times New Roman" w:hAnsi="Foco" w:cs="Foco"/>
      <w:b/>
      <w:color w:val="FFFFFF"/>
      <w:sz w:val="24"/>
    </w:rPr>
  </w:style>
  <w:style w:type="paragraph" w:customStyle="1" w:styleId="P68B1DB1-Normal15">
    <w:name w:val="P68B1DB1-Normal15"/>
    <w:basedOn w:val="a1"/>
    <w:rPr>
      <w:rFonts w:eastAsia="Times New Roman" w:cs="Calibri"/>
      <w:b/>
      <w:color w:val="000000"/>
      <w:sz w:val="18"/>
    </w:rPr>
  </w:style>
  <w:style w:type="paragraph" w:customStyle="1" w:styleId="P68B1DB1-Normal16">
    <w:name w:val="P68B1DB1-Normal16"/>
    <w:basedOn w:val="a1"/>
    <w:rPr>
      <w:rFonts w:ascii="Foco" w:eastAsia="Times New Roman" w:hAnsi="Foco" w:cs="Foco"/>
      <w:b/>
      <w:i/>
      <w:color w:val="000000"/>
      <w:sz w:val="18"/>
    </w:rPr>
  </w:style>
  <w:style w:type="paragraph" w:customStyle="1" w:styleId="P68B1DB1-Footer17">
    <w:name w:val="P68B1DB1-Footer17"/>
    <w:basedOn w:val="aa"/>
    <w:rPr>
      <w:rFonts w:asciiTheme="minorHAnsi" w:hAnsiTheme="minorHAnsi" w:cstheme="minorHAnsi"/>
      <w:i/>
      <w:sz w:val="18"/>
    </w:rPr>
  </w:style>
  <w:style w:type="paragraph" w:customStyle="1" w:styleId="P68B1DB1-Normal18">
    <w:name w:val="P68B1DB1-Normal18"/>
    <w:basedOn w:val="a1"/>
    <w:rPr>
      <w:b/>
    </w:rPr>
  </w:style>
  <w:style w:type="paragraph" w:customStyle="1" w:styleId="P68B1DB1-Normal19">
    <w:name w:val="P68B1DB1-Normal19"/>
    <w:basedOn w:val="a1"/>
    <w:rPr>
      <w:rFonts w:asciiTheme="minorHAnsi" w:hAnsiTheme="minorHAnsi"/>
    </w:rPr>
  </w:style>
  <w:style w:type="paragraph" w:customStyle="1" w:styleId="P68B1DB1-Normal22">
    <w:name w:val="P68B1DB1-Normal22"/>
    <w:basedOn w:val="a1"/>
    <w:rsid w:val="00233F80"/>
    <w:rPr>
      <w:b/>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3421">
      <w:bodyDiv w:val="1"/>
      <w:marLeft w:val="0"/>
      <w:marRight w:val="0"/>
      <w:marTop w:val="0"/>
      <w:marBottom w:val="0"/>
      <w:divBdr>
        <w:top w:val="none" w:sz="0" w:space="0" w:color="auto"/>
        <w:left w:val="none" w:sz="0" w:space="0" w:color="auto"/>
        <w:bottom w:val="none" w:sz="0" w:space="0" w:color="auto"/>
        <w:right w:val="none" w:sz="0" w:space="0" w:color="auto"/>
      </w:divBdr>
    </w:div>
    <w:div w:id="20783356">
      <w:bodyDiv w:val="1"/>
      <w:marLeft w:val="0"/>
      <w:marRight w:val="0"/>
      <w:marTop w:val="0"/>
      <w:marBottom w:val="0"/>
      <w:divBdr>
        <w:top w:val="none" w:sz="0" w:space="0" w:color="auto"/>
        <w:left w:val="none" w:sz="0" w:space="0" w:color="auto"/>
        <w:bottom w:val="none" w:sz="0" w:space="0" w:color="auto"/>
        <w:right w:val="none" w:sz="0" w:space="0" w:color="auto"/>
      </w:divBdr>
    </w:div>
    <w:div w:id="22444302">
      <w:bodyDiv w:val="1"/>
      <w:marLeft w:val="0"/>
      <w:marRight w:val="0"/>
      <w:marTop w:val="0"/>
      <w:marBottom w:val="0"/>
      <w:divBdr>
        <w:top w:val="none" w:sz="0" w:space="0" w:color="auto"/>
        <w:left w:val="none" w:sz="0" w:space="0" w:color="auto"/>
        <w:bottom w:val="none" w:sz="0" w:space="0" w:color="auto"/>
        <w:right w:val="none" w:sz="0" w:space="0" w:color="auto"/>
      </w:divBdr>
    </w:div>
    <w:div w:id="63071155">
      <w:bodyDiv w:val="1"/>
      <w:marLeft w:val="0"/>
      <w:marRight w:val="0"/>
      <w:marTop w:val="0"/>
      <w:marBottom w:val="0"/>
      <w:divBdr>
        <w:top w:val="none" w:sz="0" w:space="0" w:color="auto"/>
        <w:left w:val="none" w:sz="0" w:space="0" w:color="auto"/>
        <w:bottom w:val="none" w:sz="0" w:space="0" w:color="auto"/>
        <w:right w:val="none" w:sz="0" w:space="0" w:color="auto"/>
      </w:divBdr>
    </w:div>
    <w:div w:id="73747213">
      <w:bodyDiv w:val="1"/>
      <w:marLeft w:val="0"/>
      <w:marRight w:val="0"/>
      <w:marTop w:val="0"/>
      <w:marBottom w:val="0"/>
      <w:divBdr>
        <w:top w:val="none" w:sz="0" w:space="0" w:color="auto"/>
        <w:left w:val="none" w:sz="0" w:space="0" w:color="auto"/>
        <w:bottom w:val="none" w:sz="0" w:space="0" w:color="auto"/>
        <w:right w:val="none" w:sz="0" w:space="0" w:color="auto"/>
      </w:divBdr>
    </w:div>
    <w:div w:id="102308743">
      <w:bodyDiv w:val="1"/>
      <w:marLeft w:val="0"/>
      <w:marRight w:val="0"/>
      <w:marTop w:val="0"/>
      <w:marBottom w:val="0"/>
      <w:divBdr>
        <w:top w:val="none" w:sz="0" w:space="0" w:color="auto"/>
        <w:left w:val="none" w:sz="0" w:space="0" w:color="auto"/>
        <w:bottom w:val="none" w:sz="0" w:space="0" w:color="auto"/>
        <w:right w:val="none" w:sz="0" w:space="0" w:color="auto"/>
      </w:divBdr>
    </w:div>
    <w:div w:id="109201559">
      <w:bodyDiv w:val="1"/>
      <w:marLeft w:val="0"/>
      <w:marRight w:val="0"/>
      <w:marTop w:val="0"/>
      <w:marBottom w:val="0"/>
      <w:divBdr>
        <w:top w:val="none" w:sz="0" w:space="0" w:color="auto"/>
        <w:left w:val="none" w:sz="0" w:space="0" w:color="auto"/>
        <w:bottom w:val="none" w:sz="0" w:space="0" w:color="auto"/>
        <w:right w:val="none" w:sz="0" w:space="0" w:color="auto"/>
      </w:divBdr>
    </w:div>
    <w:div w:id="109209022">
      <w:bodyDiv w:val="1"/>
      <w:marLeft w:val="0"/>
      <w:marRight w:val="0"/>
      <w:marTop w:val="0"/>
      <w:marBottom w:val="0"/>
      <w:divBdr>
        <w:top w:val="none" w:sz="0" w:space="0" w:color="auto"/>
        <w:left w:val="none" w:sz="0" w:space="0" w:color="auto"/>
        <w:bottom w:val="none" w:sz="0" w:space="0" w:color="auto"/>
        <w:right w:val="none" w:sz="0" w:space="0" w:color="auto"/>
      </w:divBdr>
    </w:div>
    <w:div w:id="125973695">
      <w:bodyDiv w:val="1"/>
      <w:marLeft w:val="0"/>
      <w:marRight w:val="0"/>
      <w:marTop w:val="0"/>
      <w:marBottom w:val="0"/>
      <w:divBdr>
        <w:top w:val="none" w:sz="0" w:space="0" w:color="auto"/>
        <w:left w:val="none" w:sz="0" w:space="0" w:color="auto"/>
        <w:bottom w:val="none" w:sz="0" w:space="0" w:color="auto"/>
        <w:right w:val="none" w:sz="0" w:space="0" w:color="auto"/>
      </w:divBdr>
    </w:div>
    <w:div w:id="129055798">
      <w:bodyDiv w:val="1"/>
      <w:marLeft w:val="0"/>
      <w:marRight w:val="0"/>
      <w:marTop w:val="0"/>
      <w:marBottom w:val="0"/>
      <w:divBdr>
        <w:top w:val="none" w:sz="0" w:space="0" w:color="auto"/>
        <w:left w:val="none" w:sz="0" w:space="0" w:color="auto"/>
        <w:bottom w:val="none" w:sz="0" w:space="0" w:color="auto"/>
        <w:right w:val="none" w:sz="0" w:space="0" w:color="auto"/>
      </w:divBdr>
    </w:div>
    <w:div w:id="130902426">
      <w:bodyDiv w:val="1"/>
      <w:marLeft w:val="0"/>
      <w:marRight w:val="0"/>
      <w:marTop w:val="0"/>
      <w:marBottom w:val="0"/>
      <w:divBdr>
        <w:top w:val="none" w:sz="0" w:space="0" w:color="auto"/>
        <w:left w:val="none" w:sz="0" w:space="0" w:color="auto"/>
        <w:bottom w:val="none" w:sz="0" w:space="0" w:color="auto"/>
        <w:right w:val="none" w:sz="0" w:space="0" w:color="auto"/>
      </w:divBdr>
    </w:div>
    <w:div w:id="144199095">
      <w:bodyDiv w:val="1"/>
      <w:marLeft w:val="0"/>
      <w:marRight w:val="0"/>
      <w:marTop w:val="0"/>
      <w:marBottom w:val="0"/>
      <w:divBdr>
        <w:top w:val="none" w:sz="0" w:space="0" w:color="auto"/>
        <w:left w:val="none" w:sz="0" w:space="0" w:color="auto"/>
        <w:bottom w:val="none" w:sz="0" w:space="0" w:color="auto"/>
        <w:right w:val="none" w:sz="0" w:space="0" w:color="auto"/>
      </w:divBdr>
    </w:div>
    <w:div w:id="151794279">
      <w:bodyDiv w:val="1"/>
      <w:marLeft w:val="0"/>
      <w:marRight w:val="0"/>
      <w:marTop w:val="0"/>
      <w:marBottom w:val="0"/>
      <w:divBdr>
        <w:top w:val="none" w:sz="0" w:space="0" w:color="auto"/>
        <w:left w:val="none" w:sz="0" w:space="0" w:color="auto"/>
        <w:bottom w:val="none" w:sz="0" w:space="0" w:color="auto"/>
        <w:right w:val="none" w:sz="0" w:space="0" w:color="auto"/>
      </w:divBdr>
    </w:div>
    <w:div w:id="155387140">
      <w:bodyDiv w:val="1"/>
      <w:marLeft w:val="0"/>
      <w:marRight w:val="0"/>
      <w:marTop w:val="0"/>
      <w:marBottom w:val="0"/>
      <w:divBdr>
        <w:top w:val="none" w:sz="0" w:space="0" w:color="auto"/>
        <w:left w:val="none" w:sz="0" w:space="0" w:color="auto"/>
        <w:bottom w:val="none" w:sz="0" w:space="0" w:color="auto"/>
        <w:right w:val="none" w:sz="0" w:space="0" w:color="auto"/>
      </w:divBdr>
    </w:div>
    <w:div w:id="170803981">
      <w:bodyDiv w:val="1"/>
      <w:marLeft w:val="0"/>
      <w:marRight w:val="0"/>
      <w:marTop w:val="0"/>
      <w:marBottom w:val="0"/>
      <w:divBdr>
        <w:top w:val="none" w:sz="0" w:space="0" w:color="auto"/>
        <w:left w:val="none" w:sz="0" w:space="0" w:color="auto"/>
        <w:bottom w:val="none" w:sz="0" w:space="0" w:color="auto"/>
        <w:right w:val="none" w:sz="0" w:space="0" w:color="auto"/>
      </w:divBdr>
    </w:div>
    <w:div w:id="178744171">
      <w:bodyDiv w:val="1"/>
      <w:marLeft w:val="0"/>
      <w:marRight w:val="0"/>
      <w:marTop w:val="0"/>
      <w:marBottom w:val="0"/>
      <w:divBdr>
        <w:top w:val="none" w:sz="0" w:space="0" w:color="auto"/>
        <w:left w:val="none" w:sz="0" w:space="0" w:color="auto"/>
        <w:bottom w:val="none" w:sz="0" w:space="0" w:color="auto"/>
        <w:right w:val="none" w:sz="0" w:space="0" w:color="auto"/>
      </w:divBdr>
    </w:div>
    <w:div w:id="182012268">
      <w:bodyDiv w:val="1"/>
      <w:marLeft w:val="0"/>
      <w:marRight w:val="0"/>
      <w:marTop w:val="0"/>
      <w:marBottom w:val="0"/>
      <w:divBdr>
        <w:top w:val="none" w:sz="0" w:space="0" w:color="auto"/>
        <w:left w:val="none" w:sz="0" w:space="0" w:color="auto"/>
        <w:bottom w:val="none" w:sz="0" w:space="0" w:color="auto"/>
        <w:right w:val="none" w:sz="0" w:space="0" w:color="auto"/>
      </w:divBdr>
    </w:div>
    <w:div w:id="213002990">
      <w:bodyDiv w:val="1"/>
      <w:marLeft w:val="0"/>
      <w:marRight w:val="0"/>
      <w:marTop w:val="0"/>
      <w:marBottom w:val="0"/>
      <w:divBdr>
        <w:top w:val="none" w:sz="0" w:space="0" w:color="auto"/>
        <w:left w:val="none" w:sz="0" w:space="0" w:color="auto"/>
        <w:bottom w:val="none" w:sz="0" w:space="0" w:color="auto"/>
        <w:right w:val="none" w:sz="0" w:space="0" w:color="auto"/>
      </w:divBdr>
    </w:div>
    <w:div w:id="227882677">
      <w:bodyDiv w:val="1"/>
      <w:marLeft w:val="0"/>
      <w:marRight w:val="0"/>
      <w:marTop w:val="0"/>
      <w:marBottom w:val="0"/>
      <w:divBdr>
        <w:top w:val="none" w:sz="0" w:space="0" w:color="auto"/>
        <w:left w:val="none" w:sz="0" w:space="0" w:color="auto"/>
        <w:bottom w:val="none" w:sz="0" w:space="0" w:color="auto"/>
        <w:right w:val="none" w:sz="0" w:space="0" w:color="auto"/>
      </w:divBdr>
    </w:div>
    <w:div w:id="231934415">
      <w:bodyDiv w:val="1"/>
      <w:marLeft w:val="0"/>
      <w:marRight w:val="0"/>
      <w:marTop w:val="0"/>
      <w:marBottom w:val="0"/>
      <w:divBdr>
        <w:top w:val="none" w:sz="0" w:space="0" w:color="auto"/>
        <w:left w:val="none" w:sz="0" w:space="0" w:color="auto"/>
        <w:bottom w:val="none" w:sz="0" w:space="0" w:color="auto"/>
        <w:right w:val="none" w:sz="0" w:space="0" w:color="auto"/>
      </w:divBdr>
    </w:div>
    <w:div w:id="234363206">
      <w:bodyDiv w:val="1"/>
      <w:marLeft w:val="0"/>
      <w:marRight w:val="0"/>
      <w:marTop w:val="0"/>
      <w:marBottom w:val="0"/>
      <w:divBdr>
        <w:top w:val="none" w:sz="0" w:space="0" w:color="auto"/>
        <w:left w:val="none" w:sz="0" w:space="0" w:color="auto"/>
        <w:bottom w:val="none" w:sz="0" w:space="0" w:color="auto"/>
        <w:right w:val="none" w:sz="0" w:space="0" w:color="auto"/>
      </w:divBdr>
    </w:div>
    <w:div w:id="238636789">
      <w:bodyDiv w:val="1"/>
      <w:marLeft w:val="0"/>
      <w:marRight w:val="0"/>
      <w:marTop w:val="0"/>
      <w:marBottom w:val="0"/>
      <w:divBdr>
        <w:top w:val="none" w:sz="0" w:space="0" w:color="auto"/>
        <w:left w:val="none" w:sz="0" w:space="0" w:color="auto"/>
        <w:bottom w:val="none" w:sz="0" w:space="0" w:color="auto"/>
        <w:right w:val="none" w:sz="0" w:space="0" w:color="auto"/>
      </w:divBdr>
      <w:divsChild>
        <w:div w:id="590689">
          <w:marLeft w:val="0"/>
          <w:marRight w:val="0"/>
          <w:marTop w:val="0"/>
          <w:marBottom w:val="0"/>
          <w:divBdr>
            <w:top w:val="none" w:sz="0" w:space="0" w:color="auto"/>
            <w:left w:val="none" w:sz="0" w:space="0" w:color="auto"/>
            <w:bottom w:val="none" w:sz="0" w:space="0" w:color="auto"/>
            <w:right w:val="none" w:sz="0" w:space="0" w:color="auto"/>
          </w:divBdr>
        </w:div>
        <w:div w:id="140197526">
          <w:marLeft w:val="0"/>
          <w:marRight w:val="0"/>
          <w:marTop w:val="0"/>
          <w:marBottom w:val="0"/>
          <w:divBdr>
            <w:top w:val="none" w:sz="0" w:space="0" w:color="auto"/>
            <w:left w:val="none" w:sz="0" w:space="0" w:color="auto"/>
            <w:bottom w:val="none" w:sz="0" w:space="0" w:color="auto"/>
            <w:right w:val="none" w:sz="0" w:space="0" w:color="auto"/>
          </w:divBdr>
        </w:div>
        <w:div w:id="574246290">
          <w:marLeft w:val="0"/>
          <w:marRight w:val="0"/>
          <w:marTop w:val="0"/>
          <w:marBottom w:val="0"/>
          <w:divBdr>
            <w:top w:val="none" w:sz="0" w:space="0" w:color="auto"/>
            <w:left w:val="none" w:sz="0" w:space="0" w:color="auto"/>
            <w:bottom w:val="none" w:sz="0" w:space="0" w:color="auto"/>
            <w:right w:val="none" w:sz="0" w:space="0" w:color="auto"/>
          </w:divBdr>
        </w:div>
      </w:divsChild>
    </w:div>
    <w:div w:id="238906943">
      <w:bodyDiv w:val="1"/>
      <w:marLeft w:val="0"/>
      <w:marRight w:val="0"/>
      <w:marTop w:val="0"/>
      <w:marBottom w:val="0"/>
      <w:divBdr>
        <w:top w:val="none" w:sz="0" w:space="0" w:color="auto"/>
        <w:left w:val="none" w:sz="0" w:space="0" w:color="auto"/>
        <w:bottom w:val="none" w:sz="0" w:space="0" w:color="auto"/>
        <w:right w:val="none" w:sz="0" w:space="0" w:color="auto"/>
      </w:divBdr>
    </w:div>
    <w:div w:id="255671484">
      <w:bodyDiv w:val="1"/>
      <w:marLeft w:val="0"/>
      <w:marRight w:val="0"/>
      <w:marTop w:val="0"/>
      <w:marBottom w:val="0"/>
      <w:divBdr>
        <w:top w:val="none" w:sz="0" w:space="0" w:color="auto"/>
        <w:left w:val="none" w:sz="0" w:space="0" w:color="auto"/>
        <w:bottom w:val="none" w:sz="0" w:space="0" w:color="auto"/>
        <w:right w:val="none" w:sz="0" w:space="0" w:color="auto"/>
      </w:divBdr>
    </w:div>
    <w:div w:id="272786326">
      <w:bodyDiv w:val="1"/>
      <w:marLeft w:val="0"/>
      <w:marRight w:val="0"/>
      <w:marTop w:val="0"/>
      <w:marBottom w:val="0"/>
      <w:divBdr>
        <w:top w:val="none" w:sz="0" w:space="0" w:color="auto"/>
        <w:left w:val="none" w:sz="0" w:space="0" w:color="auto"/>
        <w:bottom w:val="none" w:sz="0" w:space="0" w:color="auto"/>
        <w:right w:val="none" w:sz="0" w:space="0" w:color="auto"/>
      </w:divBdr>
    </w:div>
    <w:div w:id="287051279">
      <w:bodyDiv w:val="1"/>
      <w:marLeft w:val="0"/>
      <w:marRight w:val="0"/>
      <w:marTop w:val="0"/>
      <w:marBottom w:val="0"/>
      <w:divBdr>
        <w:top w:val="none" w:sz="0" w:space="0" w:color="auto"/>
        <w:left w:val="none" w:sz="0" w:space="0" w:color="auto"/>
        <w:bottom w:val="none" w:sz="0" w:space="0" w:color="auto"/>
        <w:right w:val="none" w:sz="0" w:space="0" w:color="auto"/>
      </w:divBdr>
    </w:div>
    <w:div w:id="291181519">
      <w:bodyDiv w:val="1"/>
      <w:marLeft w:val="0"/>
      <w:marRight w:val="0"/>
      <w:marTop w:val="0"/>
      <w:marBottom w:val="0"/>
      <w:divBdr>
        <w:top w:val="none" w:sz="0" w:space="0" w:color="auto"/>
        <w:left w:val="none" w:sz="0" w:space="0" w:color="auto"/>
        <w:bottom w:val="none" w:sz="0" w:space="0" w:color="auto"/>
        <w:right w:val="none" w:sz="0" w:space="0" w:color="auto"/>
      </w:divBdr>
    </w:div>
    <w:div w:id="300498925">
      <w:bodyDiv w:val="1"/>
      <w:marLeft w:val="0"/>
      <w:marRight w:val="0"/>
      <w:marTop w:val="0"/>
      <w:marBottom w:val="0"/>
      <w:divBdr>
        <w:top w:val="none" w:sz="0" w:space="0" w:color="auto"/>
        <w:left w:val="none" w:sz="0" w:space="0" w:color="auto"/>
        <w:bottom w:val="none" w:sz="0" w:space="0" w:color="auto"/>
        <w:right w:val="none" w:sz="0" w:space="0" w:color="auto"/>
      </w:divBdr>
    </w:div>
    <w:div w:id="317030191">
      <w:bodyDiv w:val="1"/>
      <w:marLeft w:val="0"/>
      <w:marRight w:val="0"/>
      <w:marTop w:val="0"/>
      <w:marBottom w:val="0"/>
      <w:divBdr>
        <w:top w:val="none" w:sz="0" w:space="0" w:color="auto"/>
        <w:left w:val="none" w:sz="0" w:space="0" w:color="auto"/>
        <w:bottom w:val="none" w:sz="0" w:space="0" w:color="auto"/>
        <w:right w:val="none" w:sz="0" w:space="0" w:color="auto"/>
      </w:divBdr>
    </w:div>
    <w:div w:id="334846841">
      <w:bodyDiv w:val="1"/>
      <w:marLeft w:val="0"/>
      <w:marRight w:val="0"/>
      <w:marTop w:val="0"/>
      <w:marBottom w:val="0"/>
      <w:divBdr>
        <w:top w:val="none" w:sz="0" w:space="0" w:color="auto"/>
        <w:left w:val="none" w:sz="0" w:space="0" w:color="auto"/>
        <w:bottom w:val="none" w:sz="0" w:space="0" w:color="auto"/>
        <w:right w:val="none" w:sz="0" w:space="0" w:color="auto"/>
      </w:divBdr>
    </w:div>
    <w:div w:id="336345341">
      <w:bodyDiv w:val="1"/>
      <w:marLeft w:val="0"/>
      <w:marRight w:val="0"/>
      <w:marTop w:val="0"/>
      <w:marBottom w:val="0"/>
      <w:divBdr>
        <w:top w:val="none" w:sz="0" w:space="0" w:color="auto"/>
        <w:left w:val="none" w:sz="0" w:space="0" w:color="auto"/>
        <w:bottom w:val="none" w:sz="0" w:space="0" w:color="auto"/>
        <w:right w:val="none" w:sz="0" w:space="0" w:color="auto"/>
      </w:divBdr>
    </w:div>
    <w:div w:id="338314105">
      <w:bodyDiv w:val="1"/>
      <w:marLeft w:val="0"/>
      <w:marRight w:val="0"/>
      <w:marTop w:val="0"/>
      <w:marBottom w:val="0"/>
      <w:divBdr>
        <w:top w:val="none" w:sz="0" w:space="0" w:color="auto"/>
        <w:left w:val="none" w:sz="0" w:space="0" w:color="auto"/>
        <w:bottom w:val="none" w:sz="0" w:space="0" w:color="auto"/>
        <w:right w:val="none" w:sz="0" w:space="0" w:color="auto"/>
      </w:divBdr>
    </w:div>
    <w:div w:id="347292274">
      <w:bodyDiv w:val="1"/>
      <w:marLeft w:val="0"/>
      <w:marRight w:val="0"/>
      <w:marTop w:val="0"/>
      <w:marBottom w:val="0"/>
      <w:divBdr>
        <w:top w:val="none" w:sz="0" w:space="0" w:color="auto"/>
        <w:left w:val="none" w:sz="0" w:space="0" w:color="auto"/>
        <w:bottom w:val="none" w:sz="0" w:space="0" w:color="auto"/>
        <w:right w:val="none" w:sz="0" w:space="0" w:color="auto"/>
      </w:divBdr>
    </w:div>
    <w:div w:id="351538534">
      <w:bodyDiv w:val="1"/>
      <w:marLeft w:val="0"/>
      <w:marRight w:val="0"/>
      <w:marTop w:val="0"/>
      <w:marBottom w:val="0"/>
      <w:divBdr>
        <w:top w:val="none" w:sz="0" w:space="0" w:color="auto"/>
        <w:left w:val="none" w:sz="0" w:space="0" w:color="auto"/>
        <w:bottom w:val="none" w:sz="0" w:space="0" w:color="auto"/>
        <w:right w:val="none" w:sz="0" w:space="0" w:color="auto"/>
      </w:divBdr>
    </w:div>
    <w:div w:id="353072027">
      <w:bodyDiv w:val="1"/>
      <w:marLeft w:val="0"/>
      <w:marRight w:val="0"/>
      <w:marTop w:val="0"/>
      <w:marBottom w:val="0"/>
      <w:divBdr>
        <w:top w:val="none" w:sz="0" w:space="0" w:color="auto"/>
        <w:left w:val="none" w:sz="0" w:space="0" w:color="auto"/>
        <w:bottom w:val="none" w:sz="0" w:space="0" w:color="auto"/>
        <w:right w:val="none" w:sz="0" w:space="0" w:color="auto"/>
      </w:divBdr>
    </w:div>
    <w:div w:id="365910154">
      <w:bodyDiv w:val="1"/>
      <w:marLeft w:val="0"/>
      <w:marRight w:val="0"/>
      <w:marTop w:val="0"/>
      <w:marBottom w:val="0"/>
      <w:divBdr>
        <w:top w:val="none" w:sz="0" w:space="0" w:color="auto"/>
        <w:left w:val="none" w:sz="0" w:space="0" w:color="auto"/>
        <w:bottom w:val="none" w:sz="0" w:space="0" w:color="auto"/>
        <w:right w:val="none" w:sz="0" w:space="0" w:color="auto"/>
      </w:divBdr>
    </w:div>
    <w:div w:id="374744339">
      <w:bodyDiv w:val="1"/>
      <w:marLeft w:val="0"/>
      <w:marRight w:val="0"/>
      <w:marTop w:val="0"/>
      <w:marBottom w:val="0"/>
      <w:divBdr>
        <w:top w:val="none" w:sz="0" w:space="0" w:color="auto"/>
        <w:left w:val="none" w:sz="0" w:space="0" w:color="auto"/>
        <w:bottom w:val="none" w:sz="0" w:space="0" w:color="auto"/>
        <w:right w:val="none" w:sz="0" w:space="0" w:color="auto"/>
      </w:divBdr>
    </w:div>
    <w:div w:id="387606103">
      <w:bodyDiv w:val="1"/>
      <w:marLeft w:val="0"/>
      <w:marRight w:val="0"/>
      <w:marTop w:val="0"/>
      <w:marBottom w:val="0"/>
      <w:divBdr>
        <w:top w:val="none" w:sz="0" w:space="0" w:color="auto"/>
        <w:left w:val="none" w:sz="0" w:space="0" w:color="auto"/>
        <w:bottom w:val="none" w:sz="0" w:space="0" w:color="auto"/>
        <w:right w:val="none" w:sz="0" w:space="0" w:color="auto"/>
      </w:divBdr>
    </w:div>
    <w:div w:id="393088404">
      <w:bodyDiv w:val="1"/>
      <w:marLeft w:val="0"/>
      <w:marRight w:val="0"/>
      <w:marTop w:val="0"/>
      <w:marBottom w:val="0"/>
      <w:divBdr>
        <w:top w:val="none" w:sz="0" w:space="0" w:color="auto"/>
        <w:left w:val="none" w:sz="0" w:space="0" w:color="auto"/>
        <w:bottom w:val="none" w:sz="0" w:space="0" w:color="auto"/>
        <w:right w:val="none" w:sz="0" w:space="0" w:color="auto"/>
      </w:divBdr>
    </w:div>
    <w:div w:id="411976701">
      <w:bodyDiv w:val="1"/>
      <w:marLeft w:val="0"/>
      <w:marRight w:val="0"/>
      <w:marTop w:val="0"/>
      <w:marBottom w:val="0"/>
      <w:divBdr>
        <w:top w:val="none" w:sz="0" w:space="0" w:color="auto"/>
        <w:left w:val="none" w:sz="0" w:space="0" w:color="auto"/>
        <w:bottom w:val="none" w:sz="0" w:space="0" w:color="auto"/>
        <w:right w:val="none" w:sz="0" w:space="0" w:color="auto"/>
      </w:divBdr>
    </w:div>
    <w:div w:id="418672008">
      <w:bodyDiv w:val="1"/>
      <w:marLeft w:val="0"/>
      <w:marRight w:val="0"/>
      <w:marTop w:val="0"/>
      <w:marBottom w:val="0"/>
      <w:divBdr>
        <w:top w:val="none" w:sz="0" w:space="0" w:color="auto"/>
        <w:left w:val="none" w:sz="0" w:space="0" w:color="auto"/>
        <w:bottom w:val="none" w:sz="0" w:space="0" w:color="auto"/>
        <w:right w:val="none" w:sz="0" w:space="0" w:color="auto"/>
      </w:divBdr>
    </w:div>
    <w:div w:id="432017852">
      <w:bodyDiv w:val="1"/>
      <w:marLeft w:val="0"/>
      <w:marRight w:val="0"/>
      <w:marTop w:val="0"/>
      <w:marBottom w:val="0"/>
      <w:divBdr>
        <w:top w:val="none" w:sz="0" w:space="0" w:color="auto"/>
        <w:left w:val="none" w:sz="0" w:space="0" w:color="auto"/>
        <w:bottom w:val="none" w:sz="0" w:space="0" w:color="auto"/>
        <w:right w:val="none" w:sz="0" w:space="0" w:color="auto"/>
      </w:divBdr>
    </w:div>
    <w:div w:id="438180674">
      <w:bodyDiv w:val="1"/>
      <w:marLeft w:val="0"/>
      <w:marRight w:val="0"/>
      <w:marTop w:val="0"/>
      <w:marBottom w:val="0"/>
      <w:divBdr>
        <w:top w:val="none" w:sz="0" w:space="0" w:color="auto"/>
        <w:left w:val="none" w:sz="0" w:space="0" w:color="auto"/>
        <w:bottom w:val="none" w:sz="0" w:space="0" w:color="auto"/>
        <w:right w:val="none" w:sz="0" w:space="0" w:color="auto"/>
      </w:divBdr>
    </w:div>
    <w:div w:id="440034076">
      <w:bodyDiv w:val="1"/>
      <w:marLeft w:val="0"/>
      <w:marRight w:val="0"/>
      <w:marTop w:val="0"/>
      <w:marBottom w:val="0"/>
      <w:divBdr>
        <w:top w:val="none" w:sz="0" w:space="0" w:color="auto"/>
        <w:left w:val="none" w:sz="0" w:space="0" w:color="auto"/>
        <w:bottom w:val="none" w:sz="0" w:space="0" w:color="auto"/>
        <w:right w:val="none" w:sz="0" w:space="0" w:color="auto"/>
      </w:divBdr>
    </w:div>
    <w:div w:id="440952201">
      <w:bodyDiv w:val="1"/>
      <w:marLeft w:val="0"/>
      <w:marRight w:val="0"/>
      <w:marTop w:val="0"/>
      <w:marBottom w:val="0"/>
      <w:divBdr>
        <w:top w:val="none" w:sz="0" w:space="0" w:color="auto"/>
        <w:left w:val="none" w:sz="0" w:space="0" w:color="auto"/>
        <w:bottom w:val="none" w:sz="0" w:space="0" w:color="auto"/>
        <w:right w:val="none" w:sz="0" w:space="0" w:color="auto"/>
      </w:divBdr>
    </w:div>
    <w:div w:id="445275317">
      <w:bodyDiv w:val="1"/>
      <w:marLeft w:val="0"/>
      <w:marRight w:val="0"/>
      <w:marTop w:val="0"/>
      <w:marBottom w:val="0"/>
      <w:divBdr>
        <w:top w:val="none" w:sz="0" w:space="0" w:color="auto"/>
        <w:left w:val="none" w:sz="0" w:space="0" w:color="auto"/>
        <w:bottom w:val="none" w:sz="0" w:space="0" w:color="auto"/>
        <w:right w:val="none" w:sz="0" w:space="0" w:color="auto"/>
      </w:divBdr>
    </w:div>
    <w:div w:id="472798812">
      <w:bodyDiv w:val="1"/>
      <w:marLeft w:val="0"/>
      <w:marRight w:val="0"/>
      <w:marTop w:val="0"/>
      <w:marBottom w:val="0"/>
      <w:divBdr>
        <w:top w:val="none" w:sz="0" w:space="0" w:color="auto"/>
        <w:left w:val="none" w:sz="0" w:space="0" w:color="auto"/>
        <w:bottom w:val="none" w:sz="0" w:space="0" w:color="auto"/>
        <w:right w:val="none" w:sz="0" w:space="0" w:color="auto"/>
      </w:divBdr>
    </w:div>
    <w:div w:id="497890287">
      <w:bodyDiv w:val="1"/>
      <w:marLeft w:val="0"/>
      <w:marRight w:val="0"/>
      <w:marTop w:val="0"/>
      <w:marBottom w:val="0"/>
      <w:divBdr>
        <w:top w:val="none" w:sz="0" w:space="0" w:color="auto"/>
        <w:left w:val="none" w:sz="0" w:space="0" w:color="auto"/>
        <w:bottom w:val="none" w:sz="0" w:space="0" w:color="auto"/>
        <w:right w:val="none" w:sz="0" w:space="0" w:color="auto"/>
      </w:divBdr>
    </w:div>
    <w:div w:id="515316563">
      <w:bodyDiv w:val="1"/>
      <w:marLeft w:val="0"/>
      <w:marRight w:val="0"/>
      <w:marTop w:val="0"/>
      <w:marBottom w:val="0"/>
      <w:divBdr>
        <w:top w:val="none" w:sz="0" w:space="0" w:color="auto"/>
        <w:left w:val="none" w:sz="0" w:space="0" w:color="auto"/>
        <w:bottom w:val="none" w:sz="0" w:space="0" w:color="auto"/>
        <w:right w:val="none" w:sz="0" w:space="0" w:color="auto"/>
      </w:divBdr>
    </w:div>
    <w:div w:id="523249340">
      <w:bodyDiv w:val="1"/>
      <w:marLeft w:val="0"/>
      <w:marRight w:val="0"/>
      <w:marTop w:val="0"/>
      <w:marBottom w:val="0"/>
      <w:divBdr>
        <w:top w:val="none" w:sz="0" w:space="0" w:color="auto"/>
        <w:left w:val="none" w:sz="0" w:space="0" w:color="auto"/>
        <w:bottom w:val="none" w:sz="0" w:space="0" w:color="auto"/>
        <w:right w:val="none" w:sz="0" w:space="0" w:color="auto"/>
      </w:divBdr>
      <w:divsChild>
        <w:div w:id="865406121">
          <w:marLeft w:val="0"/>
          <w:marRight w:val="0"/>
          <w:marTop w:val="0"/>
          <w:marBottom w:val="0"/>
          <w:divBdr>
            <w:top w:val="none" w:sz="0" w:space="0" w:color="auto"/>
            <w:left w:val="none" w:sz="0" w:space="0" w:color="auto"/>
            <w:bottom w:val="none" w:sz="0" w:space="0" w:color="auto"/>
            <w:right w:val="none" w:sz="0" w:space="0" w:color="auto"/>
          </w:divBdr>
          <w:divsChild>
            <w:div w:id="1673607420">
              <w:marLeft w:val="0"/>
              <w:marRight w:val="0"/>
              <w:marTop w:val="0"/>
              <w:marBottom w:val="0"/>
              <w:divBdr>
                <w:top w:val="none" w:sz="0" w:space="0" w:color="auto"/>
                <w:left w:val="none" w:sz="0" w:space="0" w:color="auto"/>
                <w:bottom w:val="none" w:sz="0" w:space="0" w:color="auto"/>
                <w:right w:val="none" w:sz="0" w:space="0" w:color="auto"/>
              </w:divBdr>
              <w:divsChild>
                <w:div w:id="1161508150">
                  <w:marLeft w:val="0"/>
                  <w:marRight w:val="0"/>
                  <w:marTop w:val="0"/>
                  <w:marBottom w:val="0"/>
                  <w:divBdr>
                    <w:top w:val="none" w:sz="0" w:space="0" w:color="auto"/>
                    <w:left w:val="none" w:sz="0" w:space="0" w:color="auto"/>
                    <w:bottom w:val="none" w:sz="0" w:space="0" w:color="auto"/>
                    <w:right w:val="none" w:sz="0" w:space="0" w:color="auto"/>
                  </w:divBdr>
                  <w:divsChild>
                    <w:div w:id="1883177879">
                      <w:marLeft w:val="0"/>
                      <w:marRight w:val="0"/>
                      <w:marTop w:val="0"/>
                      <w:marBottom w:val="0"/>
                      <w:divBdr>
                        <w:top w:val="none" w:sz="0" w:space="0" w:color="auto"/>
                        <w:left w:val="none" w:sz="0" w:space="0" w:color="auto"/>
                        <w:bottom w:val="none" w:sz="0" w:space="0" w:color="auto"/>
                        <w:right w:val="none" w:sz="0" w:space="0" w:color="auto"/>
                      </w:divBdr>
                      <w:divsChild>
                        <w:div w:id="336032415">
                          <w:marLeft w:val="0"/>
                          <w:marRight w:val="0"/>
                          <w:marTop w:val="0"/>
                          <w:marBottom w:val="0"/>
                          <w:divBdr>
                            <w:top w:val="none" w:sz="0" w:space="0" w:color="auto"/>
                            <w:left w:val="none" w:sz="0" w:space="0" w:color="auto"/>
                            <w:bottom w:val="none" w:sz="0" w:space="0" w:color="auto"/>
                            <w:right w:val="none" w:sz="0" w:space="0" w:color="auto"/>
                          </w:divBdr>
                          <w:divsChild>
                            <w:div w:id="1940336617">
                              <w:marLeft w:val="0"/>
                              <w:marRight w:val="0"/>
                              <w:marTop w:val="0"/>
                              <w:marBottom w:val="0"/>
                              <w:divBdr>
                                <w:top w:val="none" w:sz="0" w:space="0" w:color="auto"/>
                                <w:left w:val="none" w:sz="0" w:space="0" w:color="auto"/>
                                <w:bottom w:val="none" w:sz="0" w:space="0" w:color="auto"/>
                                <w:right w:val="none" w:sz="0" w:space="0" w:color="auto"/>
                              </w:divBdr>
                              <w:divsChild>
                                <w:div w:id="2098356767">
                                  <w:marLeft w:val="0"/>
                                  <w:marRight w:val="0"/>
                                  <w:marTop w:val="0"/>
                                  <w:marBottom w:val="0"/>
                                  <w:divBdr>
                                    <w:top w:val="none" w:sz="0" w:space="0" w:color="auto"/>
                                    <w:left w:val="none" w:sz="0" w:space="0" w:color="auto"/>
                                    <w:bottom w:val="none" w:sz="0" w:space="0" w:color="auto"/>
                                    <w:right w:val="none" w:sz="0" w:space="0" w:color="auto"/>
                                  </w:divBdr>
                                  <w:divsChild>
                                    <w:div w:id="2036148981">
                                      <w:marLeft w:val="0"/>
                                      <w:marRight w:val="0"/>
                                      <w:marTop w:val="0"/>
                                      <w:marBottom w:val="0"/>
                                      <w:divBdr>
                                        <w:top w:val="none" w:sz="0" w:space="0" w:color="auto"/>
                                        <w:left w:val="none" w:sz="0" w:space="0" w:color="auto"/>
                                        <w:bottom w:val="none" w:sz="0" w:space="0" w:color="auto"/>
                                        <w:right w:val="none" w:sz="0" w:space="0" w:color="auto"/>
                                      </w:divBdr>
                                      <w:divsChild>
                                        <w:div w:id="1530802636">
                                          <w:marLeft w:val="0"/>
                                          <w:marRight w:val="0"/>
                                          <w:marTop w:val="0"/>
                                          <w:marBottom w:val="0"/>
                                          <w:divBdr>
                                            <w:top w:val="none" w:sz="0" w:space="0" w:color="auto"/>
                                            <w:left w:val="none" w:sz="0" w:space="0" w:color="auto"/>
                                            <w:bottom w:val="none" w:sz="0" w:space="0" w:color="auto"/>
                                            <w:right w:val="none" w:sz="0" w:space="0" w:color="auto"/>
                                          </w:divBdr>
                                          <w:divsChild>
                                            <w:div w:id="147131602">
                                              <w:marLeft w:val="0"/>
                                              <w:marRight w:val="0"/>
                                              <w:marTop w:val="0"/>
                                              <w:marBottom w:val="0"/>
                                              <w:divBdr>
                                                <w:top w:val="none" w:sz="0" w:space="0" w:color="auto"/>
                                                <w:left w:val="none" w:sz="0" w:space="0" w:color="auto"/>
                                                <w:bottom w:val="none" w:sz="0" w:space="0" w:color="auto"/>
                                                <w:right w:val="none" w:sz="0" w:space="0" w:color="auto"/>
                                              </w:divBdr>
                                              <w:divsChild>
                                                <w:div w:id="5424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710569">
      <w:bodyDiv w:val="1"/>
      <w:marLeft w:val="0"/>
      <w:marRight w:val="0"/>
      <w:marTop w:val="0"/>
      <w:marBottom w:val="0"/>
      <w:divBdr>
        <w:top w:val="none" w:sz="0" w:space="0" w:color="auto"/>
        <w:left w:val="none" w:sz="0" w:space="0" w:color="auto"/>
        <w:bottom w:val="none" w:sz="0" w:space="0" w:color="auto"/>
        <w:right w:val="none" w:sz="0" w:space="0" w:color="auto"/>
      </w:divBdr>
    </w:div>
    <w:div w:id="545610068">
      <w:bodyDiv w:val="1"/>
      <w:marLeft w:val="0"/>
      <w:marRight w:val="0"/>
      <w:marTop w:val="0"/>
      <w:marBottom w:val="0"/>
      <w:divBdr>
        <w:top w:val="none" w:sz="0" w:space="0" w:color="auto"/>
        <w:left w:val="none" w:sz="0" w:space="0" w:color="auto"/>
        <w:bottom w:val="none" w:sz="0" w:space="0" w:color="auto"/>
        <w:right w:val="none" w:sz="0" w:space="0" w:color="auto"/>
      </w:divBdr>
    </w:div>
    <w:div w:id="545683906">
      <w:bodyDiv w:val="1"/>
      <w:marLeft w:val="0"/>
      <w:marRight w:val="0"/>
      <w:marTop w:val="0"/>
      <w:marBottom w:val="0"/>
      <w:divBdr>
        <w:top w:val="none" w:sz="0" w:space="0" w:color="auto"/>
        <w:left w:val="none" w:sz="0" w:space="0" w:color="auto"/>
        <w:bottom w:val="none" w:sz="0" w:space="0" w:color="auto"/>
        <w:right w:val="none" w:sz="0" w:space="0" w:color="auto"/>
      </w:divBdr>
    </w:div>
    <w:div w:id="551886160">
      <w:bodyDiv w:val="1"/>
      <w:marLeft w:val="0"/>
      <w:marRight w:val="0"/>
      <w:marTop w:val="0"/>
      <w:marBottom w:val="0"/>
      <w:divBdr>
        <w:top w:val="none" w:sz="0" w:space="0" w:color="auto"/>
        <w:left w:val="none" w:sz="0" w:space="0" w:color="auto"/>
        <w:bottom w:val="none" w:sz="0" w:space="0" w:color="auto"/>
        <w:right w:val="none" w:sz="0" w:space="0" w:color="auto"/>
      </w:divBdr>
    </w:div>
    <w:div w:id="554245777">
      <w:bodyDiv w:val="1"/>
      <w:marLeft w:val="0"/>
      <w:marRight w:val="0"/>
      <w:marTop w:val="0"/>
      <w:marBottom w:val="0"/>
      <w:divBdr>
        <w:top w:val="none" w:sz="0" w:space="0" w:color="auto"/>
        <w:left w:val="none" w:sz="0" w:space="0" w:color="auto"/>
        <w:bottom w:val="none" w:sz="0" w:space="0" w:color="auto"/>
        <w:right w:val="none" w:sz="0" w:space="0" w:color="auto"/>
      </w:divBdr>
    </w:div>
    <w:div w:id="578253357">
      <w:bodyDiv w:val="1"/>
      <w:marLeft w:val="0"/>
      <w:marRight w:val="0"/>
      <w:marTop w:val="0"/>
      <w:marBottom w:val="0"/>
      <w:divBdr>
        <w:top w:val="none" w:sz="0" w:space="0" w:color="auto"/>
        <w:left w:val="none" w:sz="0" w:space="0" w:color="auto"/>
        <w:bottom w:val="none" w:sz="0" w:space="0" w:color="auto"/>
        <w:right w:val="none" w:sz="0" w:space="0" w:color="auto"/>
      </w:divBdr>
    </w:div>
    <w:div w:id="580604385">
      <w:bodyDiv w:val="1"/>
      <w:marLeft w:val="0"/>
      <w:marRight w:val="0"/>
      <w:marTop w:val="0"/>
      <w:marBottom w:val="0"/>
      <w:divBdr>
        <w:top w:val="none" w:sz="0" w:space="0" w:color="auto"/>
        <w:left w:val="none" w:sz="0" w:space="0" w:color="auto"/>
        <w:bottom w:val="none" w:sz="0" w:space="0" w:color="auto"/>
        <w:right w:val="none" w:sz="0" w:space="0" w:color="auto"/>
      </w:divBdr>
    </w:div>
    <w:div w:id="600534059">
      <w:bodyDiv w:val="1"/>
      <w:marLeft w:val="0"/>
      <w:marRight w:val="0"/>
      <w:marTop w:val="0"/>
      <w:marBottom w:val="0"/>
      <w:divBdr>
        <w:top w:val="none" w:sz="0" w:space="0" w:color="auto"/>
        <w:left w:val="none" w:sz="0" w:space="0" w:color="auto"/>
        <w:bottom w:val="none" w:sz="0" w:space="0" w:color="auto"/>
        <w:right w:val="none" w:sz="0" w:space="0" w:color="auto"/>
      </w:divBdr>
    </w:div>
    <w:div w:id="605313680">
      <w:bodyDiv w:val="1"/>
      <w:marLeft w:val="0"/>
      <w:marRight w:val="0"/>
      <w:marTop w:val="0"/>
      <w:marBottom w:val="0"/>
      <w:divBdr>
        <w:top w:val="none" w:sz="0" w:space="0" w:color="auto"/>
        <w:left w:val="none" w:sz="0" w:space="0" w:color="auto"/>
        <w:bottom w:val="none" w:sz="0" w:space="0" w:color="auto"/>
        <w:right w:val="none" w:sz="0" w:space="0" w:color="auto"/>
      </w:divBdr>
    </w:div>
    <w:div w:id="615598511">
      <w:bodyDiv w:val="1"/>
      <w:marLeft w:val="0"/>
      <w:marRight w:val="0"/>
      <w:marTop w:val="0"/>
      <w:marBottom w:val="0"/>
      <w:divBdr>
        <w:top w:val="none" w:sz="0" w:space="0" w:color="auto"/>
        <w:left w:val="none" w:sz="0" w:space="0" w:color="auto"/>
        <w:bottom w:val="none" w:sz="0" w:space="0" w:color="auto"/>
        <w:right w:val="none" w:sz="0" w:space="0" w:color="auto"/>
      </w:divBdr>
      <w:divsChild>
        <w:div w:id="985741372">
          <w:marLeft w:val="0"/>
          <w:marRight w:val="0"/>
          <w:marTop w:val="0"/>
          <w:marBottom w:val="0"/>
          <w:divBdr>
            <w:top w:val="none" w:sz="0" w:space="0" w:color="auto"/>
            <w:left w:val="none" w:sz="0" w:space="0" w:color="auto"/>
            <w:bottom w:val="none" w:sz="0" w:space="0" w:color="auto"/>
            <w:right w:val="none" w:sz="0" w:space="0" w:color="auto"/>
          </w:divBdr>
        </w:div>
        <w:div w:id="1623150583">
          <w:marLeft w:val="0"/>
          <w:marRight w:val="0"/>
          <w:marTop w:val="0"/>
          <w:marBottom w:val="0"/>
          <w:divBdr>
            <w:top w:val="none" w:sz="0" w:space="0" w:color="auto"/>
            <w:left w:val="none" w:sz="0" w:space="0" w:color="auto"/>
            <w:bottom w:val="none" w:sz="0" w:space="0" w:color="auto"/>
            <w:right w:val="none" w:sz="0" w:space="0" w:color="auto"/>
          </w:divBdr>
        </w:div>
        <w:div w:id="1698500313">
          <w:marLeft w:val="0"/>
          <w:marRight w:val="0"/>
          <w:marTop w:val="0"/>
          <w:marBottom w:val="0"/>
          <w:divBdr>
            <w:top w:val="none" w:sz="0" w:space="0" w:color="auto"/>
            <w:left w:val="none" w:sz="0" w:space="0" w:color="auto"/>
            <w:bottom w:val="none" w:sz="0" w:space="0" w:color="auto"/>
            <w:right w:val="none" w:sz="0" w:space="0" w:color="auto"/>
          </w:divBdr>
        </w:div>
      </w:divsChild>
    </w:div>
    <w:div w:id="620963136">
      <w:bodyDiv w:val="1"/>
      <w:marLeft w:val="0"/>
      <w:marRight w:val="0"/>
      <w:marTop w:val="0"/>
      <w:marBottom w:val="0"/>
      <w:divBdr>
        <w:top w:val="none" w:sz="0" w:space="0" w:color="auto"/>
        <w:left w:val="none" w:sz="0" w:space="0" w:color="auto"/>
        <w:bottom w:val="none" w:sz="0" w:space="0" w:color="auto"/>
        <w:right w:val="none" w:sz="0" w:space="0" w:color="auto"/>
      </w:divBdr>
    </w:div>
    <w:div w:id="629172735">
      <w:bodyDiv w:val="1"/>
      <w:marLeft w:val="0"/>
      <w:marRight w:val="0"/>
      <w:marTop w:val="0"/>
      <w:marBottom w:val="0"/>
      <w:divBdr>
        <w:top w:val="none" w:sz="0" w:space="0" w:color="auto"/>
        <w:left w:val="none" w:sz="0" w:space="0" w:color="auto"/>
        <w:bottom w:val="none" w:sz="0" w:space="0" w:color="auto"/>
        <w:right w:val="none" w:sz="0" w:space="0" w:color="auto"/>
      </w:divBdr>
    </w:div>
    <w:div w:id="636421648">
      <w:bodyDiv w:val="1"/>
      <w:marLeft w:val="0"/>
      <w:marRight w:val="0"/>
      <w:marTop w:val="0"/>
      <w:marBottom w:val="0"/>
      <w:divBdr>
        <w:top w:val="none" w:sz="0" w:space="0" w:color="auto"/>
        <w:left w:val="none" w:sz="0" w:space="0" w:color="auto"/>
        <w:bottom w:val="none" w:sz="0" w:space="0" w:color="auto"/>
        <w:right w:val="none" w:sz="0" w:space="0" w:color="auto"/>
      </w:divBdr>
    </w:div>
    <w:div w:id="670254295">
      <w:bodyDiv w:val="1"/>
      <w:marLeft w:val="0"/>
      <w:marRight w:val="0"/>
      <w:marTop w:val="0"/>
      <w:marBottom w:val="0"/>
      <w:divBdr>
        <w:top w:val="none" w:sz="0" w:space="0" w:color="auto"/>
        <w:left w:val="none" w:sz="0" w:space="0" w:color="auto"/>
        <w:bottom w:val="none" w:sz="0" w:space="0" w:color="auto"/>
        <w:right w:val="none" w:sz="0" w:space="0" w:color="auto"/>
      </w:divBdr>
    </w:div>
    <w:div w:id="675108464">
      <w:bodyDiv w:val="1"/>
      <w:marLeft w:val="0"/>
      <w:marRight w:val="0"/>
      <w:marTop w:val="0"/>
      <w:marBottom w:val="0"/>
      <w:divBdr>
        <w:top w:val="none" w:sz="0" w:space="0" w:color="auto"/>
        <w:left w:val="none" w:sz="0" w:space="0" w:color="auto"/>
        <w:bottom w:val="none" w:sz="0" w:space="0" w:color="auto"/>
        <w:right w:val="none" w:sz="0" w:space="0" w:color="auto"/>
      </w:divBdr>
    </w:div>
    <w:div w:id="675116119">
      <w:bodyDiv w:val="1"/>
      <w:marLeft w:val="0"/>
      <w:marRight w:val="0"/>
      <w:marTop w:val="0"/>
      <w:marBottom w:val="0"/>
      <w:divBdr>
        <w:top w:val="none" w:sz="0" w:space="0" w:color="auto"/>
        <w:left w:val="none" w:sz="0" w:space="0" w:color="auto"/>
        <w:bottom w:val="none" w:sz="0" w:space="0" w:color="auto"/>
        <w:right w:val="none" w:sz="0" w:space="0" w:color="auto"/>
      </w:divBdr>
    </w:div>
    <w:div w:id="688527754">
      <w:bodyDiv w:val="1"/>
      <w:marLeft w:val="0"/>
      <w:marRight w:val="0"/>
      <w:marTop w:val="0"/>
      <w:marBottom w:val="0"/>
      <w:divBdr>
        <w:top w:val="none" w:sz="0" w:space="0" w:color="auto"/>
        <w:left w:val="none" w:sz="0" w:space="0" w:color="auto"/>
        <w:bottom w:val="none" w:sz="0" w:space="0" w:color="auto"/>
        <w:right w:val="none" w:sz="0" w:space="0" w:color="auto"/>
      </w:divBdr>
    </w:div>
    <w:div w:id="690684067">
      <w:bodyDiv w:val="1"/>
      <w:marLeft w:val="0"/>
      <w:marRight w:val="0"/>
      <w:marTop w:val="0"/>
      <w:marBottom w:val="0"/>
      <w:divBdr>
        <w:top w:val="none" w:sz="0" w:space="0" w:color="auto"/>
        <w:left w:val="none" w:sz="0" w:space="0" w:color="auto"/>
        <w:bottom w:val="none" w:sz="0" w:space="0" w:color="auto"/>
        <w:right w:val="none" w:sz="0" w:space="0" w:color="auto"/>
      </w:divBdr>
    </w:div>
    <w:div w:id="726731524">
      <w:bodyDiv w:val="1"/>
      <w:marLeft w:val="0"/>
      <w:marRight w:val="0"/>
      <w:marTop w:val="0"/>
      <w:marBottom w:val="0"/>
      <w:divBdr>
        <w:top w:val="none" w:sz="0" w:space="0" w:color="auto"/>
        <w:left w:val="none" w:sz="0" w:space="0" w:color="auto"/>
        <w:bottom w:val="none" w:sz="0" w:space="0" w:color="auto"/>
        <w:right w:val="none" w:sz="0" w:space="0" w:color="auto"/>
      </w:divBdr>
      <w:divsChild>
        <w:div w:id="567763044">
          <w:marLeft w:val="374"/>
          <w:marRight w:val="0"/>
          <w:marTop w:val="0"/>
          <w:marBottom w:val="60"/>
          <w:divBdr>
            <w:top w:val="none" w:sz="0" w:space="0" w:color="auto"/>
            <w:left w:val="none" w:sz="0" w:space="0" w:color="auto"/>
            <w:bottom w:val="none" w:sz="0" w:space="0" w:color="auto"/>
            <w:right w:val="none" w:sz="0" w:space="0" w:color="auto"/>
          </w:divBdr>
        </w:div>
        <w:div w:id="616642621">
          <w:marLeft w:val="374"/>
          <w:marRight w:val="0"/>
          <w:marTop w:val="0"/>
          <w:marBottom w:val="60"/>
          <w:divBdr>
            <w:top w:val="none" w:sz="0" w:space="0" w:color="auto"/>
            <w:left w:val="none" w:sz="0" w:space="0" w:color="auto"/>
            <w:bottom w:val="none" w:sz="0" w:space="0" w:color="auto"/>
            <w:right w:val="none" w:sz="0" w:space="0" w:color="auto"/>
          </w:divBdr>
        </w:div>
        <w:div w:id="1474717089">
          <w:marLeft w:val="374"/>
          <w:marRight w:val="0"/>
          <w:marTop w:val="0"/>
          <w:marBottom w:val="60"/>
          <w:divBdr>
            <w:top w:val="none" w:sz="0" w:space="0" w:color="auto"/>
            <w:left w:val="none" w:sz="0" w:space="0" w:color="auto"/>
            <w:bottom w:val="none" w:sz="0" w:space="0" w:color="auto"/>
            <w:right w:val="none" w:sz="0" w:space="0" w:color="auto"/>
          </w:divBdr>
        </w:div>
        <w:div w:id="1761951055">
          <w:marLeft w:val="374"/>
          <w:marRight w:val="0"/>
          <w:marTop w:val="0"/>
          <w:marBottom w:val="60"/>
          <w:divBdr>
            <w:top w:val="none" w:sz="0" w:space="0" w:color="auto"/>
            <w:left w:val="none" w:sz="0" w:space="0" w:color="auto"/>
            <w:bottom w:val="none" w:sz="0" w:space="0" w:color="auto"/>
            <w:right w:val="none" w:sz="0" w:space="0" w:color="auto"/>
          </w:divBdr>
        </w:div>
        <w:div w:id="2077119918">
          <w:marLeft w:val="374"/>
          <w:marRight w:val="0"/>
          <w:marTop w:val="0"/>
          <w:marBottom w:val="60"/>
          <w:divBdr>
            <w:top w:val="none" w:sz="0" w:space="0" w:color="auto"/>
            <w:left w:val="none" w:sz="0" w:space="0" w:color="auto"/>
            <w:bottom w:val="none" w:sz="0" w:space="0" w:color="auto"/>
            <w:right w:val="none" w:sz="0" w:space="0" w:color="auto"/>
          </w:divBdr>
        </w:div>
      </w:divsChild>
    </w:div>
    <w:div w:id="748578419">
      <w:bodyDiv w:val="1"/>
      <w:marLeft w:val="0"/>
      <w:marRight w:val="0"/>
      <w:marTop w:val="0"/>
      <w:marBottom w:val="0"/>
      <w:divBdr>
        <w:top w:val="none" w:sz="0" w:space="0" w:color="auto"/>
        <w:left w:val="none" w:sz="0" w:space="0" w:color="auto"/>
        <w:bottom w:val="none" w:sz="0" w:space="0" w:color="auto"/>
        <w:right w:val="none" w:sz="0" w:space="0" w:color="auto"/>
      </w:divBdr>
    </w:div>
    <w:div w:id="751127823">
      <w:bodyDiv w:val="1"/>
      <w:marLeft w:val="0"/>
      <w:marRight w:val="0"/>
      <w:marTop w:val="0"/>
      <w:marBottom w:val="0"/>
      <w:divBdr>
        <w:top w:val="none" w:sz="0" w:space="0" w:color="auto"/>
        <w:left w:val="none" w:sz="0" w:space="0" w:color="auto"/>
        <w:bottom w:val="none" w:sz="0" w:space="0" w:color="auto"/>
        <w:right w:val="none" w:sz="0" w:space="0" w:color="auto"/>
      </w:divBdr>
    </w:div>
    <w:div w:id="756291389">
      <w:bodyDiv w:val="1"/>
      <w:marLeft w:val="0"/>
      <w:marRight w:val="0"/>
      <w:marTop w:val="0"/>
      <w:marBottom w:val="0"/>
      <w:divBdr>
        <w:top w:val="none" w:sz="0" w:space="0" w:color="auto"/>
        <w:left w:val="none" w:sz="0" w:space="0" w:color="auto"/>
        <w:bottom w:val="none" w:sz="0" w:space="0" w:color="auto"/>
        <w:right w:val="none" w:sz="0" w:space="0" w:color="auto"/>
      </w:divBdr>
    </w:div>
    <w:div w:id="761608488">
      <w:bodyDiv w:val="1"/>
      <w:marLeft w:val="0"/>
      <w:marRight w:val="0"/>
      <w:marTop w:val="0"/>
      <w:marBottom w:val="0"/>
      <w:divBdr>
        <w:top w:val="none" w:sz="0" w:space="0" w:color="auto"/>
        <w:left w:val="none" w:sz="0" w:space="0" w:color="auto"/>
        <w:bottom w:val="none" w:sz="0" w:space="0" w:color="auto"/>
        <w:right w:val="none" w:sz="0" w:space="0" w:color="auto"/>
      </w:divBdr>
    </w:div>
    <w:div w:id="768043378">
      <w:bodyDiv w:val="1"/>
      <w:marLeft w:val="0"/>
      <w:marRight w:val="0"/>
      <w:marTop w:val="0"/>
      <w:marBottom w:val="0"/>
      <w:divBdr>
        <w:top w:val="none" w:sz="0" w:space="0" w:color="auto"/>
        <w:left w:val="none" w:sz="0" w:space="0" w:color="auto"/>
        <w:bottom w:val="none" w:sz="0" w:space="0" w:color="auto"/>
        <w:right w:val="none" w:sz="0" w:space="0" w:color="auto"/>
      </w:divBdr>
    </w:div>
    <w:div w:id="783960170">
      <w:bodyDiv w:val="1"/>
      <w:marLeft w:val="0"/>
      <w:marRight w:val="0"/>
      <w:marTop w:val="0"/>
      <w:marBottom w:val="0"/>
      <w:divBdr>
        <w:top w:val="none" w:sz="0" w:space="0" w:color="auto"/>
        <w:left w:val="none" w:sz="0" w:space="0" w:color="auto"/>
        <w:bottom w:val="none" w:sz="0" w:space="0" w:color="auto"/>
        <w:right w:val="none" w:sz="0" w:space="0" w:color="auto"/>
      </w:divBdr>
    </w:div>
    <w:div w:id="785585985">
      <w:bodyDiv w:val="1"/>
      <w:marLeft w:val="0"/>
      <w:marRight w:val="0"/>
      <w:marTop w:val="0"/>
      <w:marBottom w:val="0"/>
      <w:divBdr>
        <w:top w:val="none" w:sz="0" w:space="0" w:color="auto"/>
        <w:left w:val="none" w:sz="0" w:space="0" w:color="auto"/>
        <w:bottom w:val="none" w:sz="0" w:space="0" w:color="auto"/>
        <w:right w:val="none" w:sz="0" w:space="0" w:color="auto"/>
      </w:divBdr>
    </w:div>
    <w:div w:id="798497564">
      <w:bodyDiv w:val="1"/>
      <w:marLeft w:val="0"/>
      <w:marRight w:val="0"/>
      <w:marTop w:val="0"/>
      <w:marBottom w:val="0"/>
      <w:divBdr>
        <w:top w:val="none" w:sz="0" w:space="0" w:color="auto"/>
        <w:left w:val="none" w:sz="0" w:space="0" w:color="auto"/>
        <w:bottom w:val="none" w:sz="0" w:space="0" w:color="auto"/>
        <w:right w:val="none" w:sz="0" w:space="0" w:color="auto"/>
      </w:divBdr>
    </w:div>
    <w:div w:id="836270348">
      <w:bodyDiv w:val="1"/>
      <w:marLeft w:val="0"/>
      <w:marRight w:val="0"/>
      <w:marTop w:val="0"/>
      <w:marBottom w:val="0"/>
      <w:divBdr>
        <w:top w:val="none" w:sz="0" w:space="0" w:color="auto"/>
        <w:left w:val="none" w:sz="0" w:space="0" w:color="auto"/>
        <w:bottom w:val="none" w:sz="0" w:space="0" w:color="auto"/>
        <w:right w:val="none" w:sz="0" w:space="0" w:color="auto"/>
      </w:divBdr>
    </w:div>
    <w:div w:id="866867713">
      <w:bodyDiv w:val="1"/>
      <w:marLeft w:val="0"/>
      <w:marRight w:val="0"/>
      <w:marTop w:val="0"/>
      <w:marBottom w:val="0"/>
      <w:divBdr>
        <w:top w:val="none" w:sz="0" w:space="0" w:color="auto"/>
        <w:left w:val="none" w:sz="0" w:space="0" w:color="auto"/>
        <w:bottom w:val="none" w:sz="0" w:space="0" w:color="auto"/>
        <w:right w:val="none" w:sz="0" w:space="0" w:color="auto"/>
      </w:divBdr>
    </w:div>
    <w:div w:id="877427392">
      <w:bodyDiv w:val="1"/>
      <w:marLeft w:val="0"/>
      <w:marRight w:val="0"/>
      <w:marTop w:val="0"/>
      <w:marBottom w:val="0"/>
      <w:divBdr>
        <w:top w:val="none" w:sz="0" w:space="0" w:color="auto"/>
        <w:left w:val="none" w:sz="0" w:space="0" w:color="auto"/>
        <w:bottom w:val="none" w:sz="0" w:space="0" w:color="auto"/>
        <w:right w:val="none" w:sz="0" w:space="0" w:color="auto"/>
      </w:divBdr>
      <w:divsChild>
        <w:div w:id="1006251991">
          <w:marLeft w:val="0"/>
          <w:marRight w:val="0"/>
          <w:marTop w:val="0"/>
          <w:marBottom w:val="0"/>
          <w:divBdr>
            <w:top w:val="none" w:sz="0" w:space="0" w:color="auto"/>
            <w:left w:val="none" w:sz="0" w:space="0" w:color="auto"/>
            <w:bottom w:val="none" w:sz="0" w:space="0" w:color="auto"/>
            <w:right w:val="none" w:sz="0" w:space="0" w:color="auto"/>
          </w:divBdr>
        </w:div>
        <w:div w:id="1037661063">
          <w:marLeft w:val="0"/>
          <w:marRight w:val="0"/>
          <w:marTop w:val="0"/>
          <w:marBottom w:val="0"/>
          <w:divBdr>
            <w:top w:val="none" w:sz="0" w:space="0" w:color="auto"/>
            <w:left w:val="none" w:sz="0" w:space="0" w:color="auto"/>
            <w:bottom w:val="none" w:sz="0" w:space="0" w:color="auto"/>
            <w:right w:val="none" w:sz="0" w:space="0" w:color="auto"/>
          </w:divBdr>
        </w:div>
        <w:div w:id="1535652042">
          <w:marLeft w:val="0"/>
          <w:marRight w:val="0"/>
          <w:marTop w:val="0"/>
          <w:marBottom w:val="0"/>
          <w:divBdr>
            <w:top w:val="none" w:sz="0" w:space="0" w:color="auto"/>
            <w:left w:val="none" w:sz="0" w:space="0" w:color="auto"/>
            <w:bottom w:val="none" w:sz="0" w:space="0" w:color="auto"/>
            <w:right w:val="none" w:sz="0" w:space="0" w:color="auto"/>
          </w:divBdr>
        </w:div>
      </w:divsChild>
    </w:div>
    <w:div w:id="889390071">
      <w:bodyDiv w:val="1"/>
      <w:marLeft w:val="0"/>
      <w:marRight w:val="0"/>
      <w:marTop w:val="0"/>
      <w:marBottom w:val="0"/>
      <w:divBdr>
        <w:top w:val="none" w:sz="0" w:space="0" w:color="auto"/>
        <w:left w:val="none" w:sz="0" w:space="0" w:color="auto"/>
        <w:bottom w:val="none" w:sz="0" w:space="0" w:color="auto"/>
        <w:right w:val="none" w:sz="0" w:space="0" w:color="auto"/>
      </w:divBdr>
    </w:div>
    <w:div w:id="916090918">
      <w:bodyDiv w:val="1"/>
      <w:marLeft w:val="0"/>
      <w:marRight w:val="0"/>
      <w:marTop w:val="0"/>
      <w:marBottom w:val="0"/>
      <w:divBdr>
        <w:top w:val="none" w:sz="0" w:space="0" w:color="auto"/>
        <w:left w:val="none" w:sz="0" w:space="0" w:color="auto"/>
        <w:bottom w:val="none" w:sz="0" w:space="0" w:color="auto"/>
        <w:right w:val="none" w:sz="0" w:space="0" w:color="auto"/>
      </w:divBdr>
    </w:div>
    <w:div w:id="920868956">
      <w:bodyDiv w:val="1"/>
      <w:marLeft w:val="0"/>
      <w:marRight w:val="0"/>
      <w:marTop w:val="0"/>
      <w:marBottom w:val="0"/>
      <w:divBdr>
        <w:top w:val="none" w:sz="0" w:space="0" w:color="auto"/>
        <w:left w:val="none" w:sz="0" w:space="0" w:color="auto"/>
        <w:bottom w:val="none" w:sz="0" w:space="0" w:color="auto"/>
        <w:right w:val="none" w:sz="0" w:space="0" w:color="auto"/>
      </w:divBdr>
    </w:div>
    <w:div w:id="925917704">
      <w:bodyDiv w:val="1"/>
      <w:marLeft w:val="0"/>
      <w:marRight w:val="0"/>
      <w:marTop w:val="0"/>
      <w:marBottom w:val="0"/>
      <w:divBdr>
        <w:top w:val="none" w:sz="0" w:space="0" w:color="auto"/>
        <w:left w:val="none" w:sz="0" w:space="0" w:color="auto"/>
        <w:bottom w:val="none" w:sz="0" w:space="0" w:color="auto"/>
        <w:right w:val="none" w:sz="0" w:space="0" w:color="auto"/>
      </w:divBdr>
    </w:div>
    <w:div w:id="929585103">
      <w:bodyDiv w:val="1"/>
      <w:marLeft w:val="0"/>
      <w:marRight w:val="0"/>
      <w:marTop w:val="0"/>
      <w:marBottom w:val="0"/>
      <w:divBdr>
        <w:top w:val="none" w:sz="0" w:space="0" w:color="auto"/>
        <w:left w:val="none" w:sz="0" w:space="0" w:color="auto"/>
        <w:bottom w:val="none" w:sz="0" w:space="0" w:color="auto"/>
        <w:right w:val="none" w:sz="0" w:space="0" w:color="auto"/>
      </w:divBdr>
    </w:div>
    <w:div w:id="935669053">
      <w:bodyDiv w:val="1"/>
      <w:marLeft w:val="0"/>
      <w:marRight w:val="0"/>
      <w:marTop w:val="0"/>
      <w:marBottom w:val="0"/>
      <w:divBdr>
        <w:top w:val="none" w:sz="0" w:space="0" w:color="auto"/>
        <w:left w:val="none" w:sz="0" w:space="0" w:color="auto"/>
        <w:bottom w:val="none" w:sz="0" w:space="0" w:color="auto"/>
        <w:right w:val="none" w:sz="0" w:space="0" w:color="auto"/>
      </w:divBdr>
    </w:div>
    <w:div w:id="941911592">
      <w:bodyDiv w:val="1"/>
      <w:marLeft w:val="0"/>
      <w:marRight w:val="0"/>
      <w:marTop w:val="0"/>
      <w:marBottom w:val="0"/>
      <w:divBdr>
        <w:top w:val="none" w:sz="0" w:space="0" w:color="auto"/>
        <w:left w:val="none" w:sz="0" w:space="0" w:color="auto"/>
        <w:bottom w:val="none" w:sz="0" w:space="0" w:color="auto"/>
        <w:right w:val="none" w:sz="0" w:space="0" w:color="auto"/>
      </w:divBdr>
    </w:div>
    <w:div w:id="944069752">
      <w:bodyDiv w:val="1"/>
      <w:marLeft w:val="0"/>
      <w:marRight w:val="0"/>
      <w:marTop w:val="0"/>
      <w:marBottom w:val="0"/>
      <w:divBdr>
        <w:top w:val="none" w:sz="0" w:space="0" w:color="auto"/>
        <w:left w:val="none" w:sz="0" w:space="0" w:color="auto"/>
        <w:bottom w:val="none" w:sz="0" w:space="0" w:color="auto"/>
        <w:right w:val="none" w:sz="0" w:space="0" w:color="auto"/>
      </w:divBdr>
    </w:div>
    <w:div w:id="963149769">
      <w:bodyDiv w:val="1"/>
      <w:marLeft w:val="0"/>
      <w:marRight w:val="0"/>
      <w:marTop w:val="0"/>
      <w:marBottom w:val="0"/>
      <w:divBdr>
        <w:top w:val="none" w:sz="0" w:space="0" w:color="auto"/>
        <w:left w:val="none" w:sz="0" w:space="0" w:color="auto"/>
        <w:bottom w:val="none" w:sz="0" w:space="0" w:color="auto"/>
        <w:right w:val="none" w:sz="0" w:space="0" w:color="auto"/>
      </w:divBdr>
    </w:div>
    <w:div w:id="993028343">
      <w:bodyDiv w:val="1"/>
      <w:marLeft w:val="0"/>
      <w:marRight w:val="0"/>
      <w:marTop w:val="0"/>
      <w:marBottom w:val="0"/>
      <w:divBdr>
        <w:top w:val="none" w:sz="0" w:space="0" w:color="auto"/>
        <w:left w:val="none" w:sz="0" w:space="0" w:color="auto"/>
        <w:bottom w:val="none" w:sz="0" w:space="0" w:color="auto"/>
        <w:right w:val="none" w:sz="0" w:space="0" w:color="auto"/>
      </w:divBdr>
    </w:div>
    <w:div w:id="1006638122">
      <w:bodyDiv w:val="1"/>
      <w:marLeft w:val="0"/>
      <w:marRight w:val="0"/>
      <w:marTop w:val="0"/>
      <w:marBottom w:val="0"/>
      <w:divBdr>
        <w:top w:val="none" w:sz="0" w:space="0" w:color="auto"/>
        <w:left w:val="none" w:sz="0" w:space="0" w:color="auto"/>
        <w:bottom w:val="none" w:sz="0" w:space="0" w:color="auto"/>
        <w:right w:val="none" w:sz="0" w:space="0" w:color="auto"/>
      </w:divBdr>
      <w:divsChild>
        <w:div w:id="1265576040">
          <w:marLeft w:val="0"/>
          <w:marRight w:val="0"/>
          <w:marTop w:val="0"/>
          <w:marBottom w:val="0"/>
          <w:divBdr>
            <w:top w:val="none" w:sz="0" w:space="0" w:color="auto"/>
            <w:left w:val="none" w:sz="0" w:space="0" w:color="auto"/>
            <w:bottom w:val="none" w:sz="0" w:space="0" w:color="auto"/>
            <w:right w:val="none" w:sz="0" w:space="0" w:color="auto"/>
          </w:divBdr>
          <w:divsChild>
            <w:div w:id="2111967612">
              <w:marLeft w:val="0"/>
              <w:marRight w:val="0"/>
              <w:marTop w:val="0"/>
              <w:marBottom w:val="0"/>
              <w:divBdr>
                <w:top w:val="none" w:sz="0" w:space="0" w:color="auto"/>
                <w:left w:val="none" w:sz="0" w:space="0" w:color="auto"/>
                <w:bottom w:val="none" w:sz="0" w:space="0" w:color="auto"/>
                <w:right w:val="none" w:sz="0" w:space="0" w:color="auto"/>
              </w:divBdr>
              <w:divsChild>
                <w:div w:id="9802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31235">
      <w:bodyDiv w:val="1"/>
      <w:marLeft w:val="0"/>
      <w:marRight w:val="0"/>
      <w:marTop w:val="0"/>
      <w:marBottom w:val="0"/>
      <w:divBdr>
        <w:top w:val="none" w:sz="0" w:space="0" w:color="auto"/>
        <w:left w:val="none" w:sz="0" w:space="0" w:color="auto"/>
        <w:bottom w:val="none" w:sz="0" w:space="0" w:color="auto"/>
        <w:right w:val="none" w:sz="0" w:space="0" w:color="auto"/>
      </w:divBdr>
    </w:div>
    <w:div w:id="1018119190">
      <w:bodyDiv w:val="1"/>
      <w:marLeft w:val="0"/>
      <w:marRight w:val="0"/>
      <w:marTop w:val="0"/>
      <w:marBottom w:val="0"/>
      <w:divBdr>
        <w:top w:val="none" w:sz="0" w:space="0" w:color="auto"/>
        <w:left w:val="none" w:sz="0" w:space="0" w:color="auto"/>
        <w:bottom w:val="none" w:sz="0" w:space="0" w:color="auto"/>
        <w:right w:val="none" w:sz="0" w:space="0" w:color="auto"/>
      </w:divBdr>
    </w:div>
    <w:div w:id="1020203071">
      <w:bodyDiv w:val="1"/>
      <w:marLeft w:val="0"/>
      <w:marRight w:val="0"/>
      <w:marTop w:val="0"/>
      <w:marBottom w:val="0"/>
      <w:divBdr>
        <w:top w:val="none" w:sz="0" w:space="0" w:color="auto"/>
        <w:left w:val="none" w:sz="0" w:space="0" w:color="auto"/>
        <w:bottom w:val="none" w:sz="0" w:space="0" w:color="auto"/>
        <w:right w:val="none" w:sz="0" w:space="0" w:color="auto"/>
      </w:divBdr>
    </w:div>
    <w:div w:id="1036851150">
      <w:bodyDiv w:val="1"/>
      <w:marLeft w:val="0"/>
      <w:marRight w:val="0"/>
      <w:marTop w:val="0"/>
      <w:marBottom w:val="0"/>
      <w:divBdr>
        <w:top w:val="none" w:sz="0" w:space="0" w:color="auto"/>
        <w:left w:val="none" w:sz="0" w:space="0" w:color="auto"/>
        <w:bottom w:val="none" w:sz="0" w:space="0" w:color="auto"/>
        <w:right w:val="none" w:sz="0" w:space="0" w:color="auto"/>
      </w:divBdr>
    </w:div>
    <w:div w:id="1042947592">
      <w:bodyDiv w:val="1"/>
      <w:marLeft w:val="0"/>
      <w:marRight w:val="0"/>
      <w:marTop w:val="0"/>
      <w:marBottom w:val="0"/>
      <w:divBdr>
        <w:top w:val="none" w:sz="0" w:space="0" w:color="auto"/>
        <w:left w:val="none" w:sz="0" w:space="0" w:color="auto"/>
        <w:bottom w:val="none" w:sz="0" w:space="0" w:color="auto"/>
        <w:right w:val="none" w:sz="0" w:space="0" w:color="auto"/>
      </w:divBdr>
    </w:div>
    <w:div w:id="1054693313">
      <w:bodyDiv w:val="1"/>
      <w:marLeft w:val="0"/>
      <w:marRight w:val="0"/>
      <w:marTop w:val="0"/>
      <w:marBottom w:val="0"/>
      <w:divBdr>
        <w:top w:val="none" w:sz="0" w:space="0" w:color="auto"/>
        <w:left w:val="none" w:sz="0" w:space="0" w:color="auto"/>
        <w:bottom w:val="none" w:sz="0" w:space="0" w:color="auto"/>
        <w:right w:val="none" w:sz="0" w:space="0" w:color="auto"/>
      </w:divBdr>
    </w:div>
    <w:div w:id="1056464411">
      <w:bodyDiv w:val="1"/>
      <w:marLeft w:val="0"/>
      <w:marRight w:val="0"/>
      <w:marTop w:val="0"/>
      <w:marBottom w:val="0"/>
      <w:divBdr>
        <w:top w:val="none" w:sz="0" w:space="0" w:color="auto"/>
        <w:left w:val="none" w:sz="0" w:space="0" w:color="auto"/>
        <w:bottom w:val="none" w:sz="0" w:space="0" w:color="auto"/>
        <w:right w:val="none" w:sz="0" w:space="0" w:color="auto"/>
      </w:divBdr>
    </w:div>
    <w:div w:id="1062173041">
      <w:bodyDiv w:val="1"/>
      <w:marLeft w:val="0"/>
      <w:marRight w:val="0"/>
      <w:marTop w:val="0"/>
      <w:marBottom w:val="0"/>
      <w:divBdr>
        <w:top w:val="none" w:sz="0" w:space="0" w:color="auto"/>
        <w:left w:val="none" w:sz="0" w:space="0" w:color="auto"/>
        <w:bottom w:val="none" w:sz="0" w:space="0" w:color="auto"/>
        <w:right w:val="none" w:sz="0" w:space="0" w:color="auto"/>
      </w:divBdr>
    </w:div>
    <w:div w:id="1102341134">
      <w:bodyDiv w:val="1"/>
      <w:marLeft w:val="0"/>
      <w:marRight w:val="0"/>
      <w:marTop w:val="0"/>
      <w:marBottom w:val="0"/>
      <w:divBdr>
        <w:top w:val="none" w:sz="0" w:space="0" w:color="auto"/>
        <w:left w:val="none" w:sz="0" w:space="0" w:color="auto"/>
        <w:bottom w:val="none" w:sz="0" w:space="0" w:color="auto"/>
        <w:right w:val="none" w:sz="0" w:space="0" w:color="auto"/>
      </w:divBdr>
    </w:div>
    <w:div w:id="1109206017">
      <w:bodyDiv w:val="1"/>
      <w:marLeft w:val="0"/>
      <w:marRight w:val="0"/>
      <w:marTop w:val="0"/>
      <w:marBottom w:val="0"/>
      <w:divBdr>
        <w:top w:val="none" w:sz="0" w:space="0" w:color="auto"/>
        <w:left w:val="none" w:sz="0" w:space="0" w:color="auto"/>
        <w:bottom w:val="none" w:sz="0" w:space="0" w:color="auto"/>
        <w:right w:val="none" w:sz="0" w:space="0" w:color="auto"/>
      </w:divBdr>
    </w:div>
    <w:div w:id="1134255659">
      <w:bodyDiv w:val="1"/>
      <w:marLeft w:val="0"/>
      <w:marRight w:val="0"/>
      <w:marTop w:val="0"/>
      <w:marBottom w:val="0"/>
      <w:divBdr>
        <w:top w:val="none" w:sz="0" w:space="0" w:color="auto"/>
        <w:left w:val="none" w:sz="0" w:space="0" w:color="auto"/>
        <w:bottom w:val="none" w:sz="0" w:space="0" w:color="auto"/>
        <w:right w:val="none" w:sz="0" w:space="0" w:color="auto"/>
      </w:divBdr>
    </w:div>
    <w:div w:id="1146778697">
      <w:bodyDiv w:val="1"/>
      <w:marLeft w:val="0"/>
      <w:marRight w:val="0"/>
      <w:marTop w:val="0"/>
      <w:marBottom w:val="0"/>
      <w:divBdr>
        <w:top w:val="none" w:sz="0" w:space="0" w:color="auto"/>
        <w:left w:val="none" w:sz="0" w:space="0" w:color="auto"/>
        <w:bottom w:val="none" w:sz="0" w:space="0" w:color="auto"/>
        <w:right w:val="none" w:sz="0" w:space="0" w:color="auto"/>
      </w:divBdr>
    </w:div>
    <w:div w:id="1157846767">
      <w:bodyDiv w:val="1"/>
      <w:marLeft w:val="0"/>
      <w:marRight w:val="0"/>
      <w:marTop w:val="0"/>
      <w:marBottom w:val="0"/>
      <w:divBdr>
        <w:top w:val="none" w:sz="0" w:space="0" w:color="auto"/>
        <w:left w:val="none" w:sz="0" w:space="0" w:color="auto"/>
        <w:bottom w:val="none" w:sz="0" w:space="0" w:color="auto"/>
        <w:right w:val="none" w:sz="0" w:space="0" w:color="auto"/>
      </w:divBdr>
    </w:div>
    <w:div w:id="1158496223">
      <w:bodyDiv w:val="1"/>
      <w:marLeft w:val="0"/>
      <w:marRight w:val="0"/>
      <w:marTop w:val="0"/>
      <w:marBottom w:val="0"/>
      <w:divBdr>
        <w:top w:val="none" w:sz="0" w:space="0" w:color="auto"/>
        <w:left w:val="none" w:sz="0" w:space="0" w:color="auto"/>
        <w:bottom w:val="none" w:sz="0" w:space="0" w:color="auto"/>
        <w:right w:val="none" w:sz="0" w:space="0" w:color="auto"/>
      </w:divBdr>
    </w:div>
    <w:div w:id="1176387195">
      <w:bodyDiv w:val="1"/>
      <w:marLeft w:val="0"/>
      <w:marRight w:val="0"/>
      <w:marTop w:val="0"/>
      <w:marBottom w:val="0"/>
      <w:divBdr>
        <w:top w:val="none" w:sz="0" w:space="0" w:color="auto"/>
        <w:left w:val="none" w:sz="0" w:space="0" w:color="auto"/>
        <w:bottom w:val="none" w:sz="0" w:space="0" w:color="auto"/>
        <w:right w:val="none" w:sz="0" w:space="0" w:color="auto"/>
      </w:divBdr>
    </w:div>
    <w:div w:id="1181434667">
      <w:bodyDiv w:val="1"/>
      <w:marLeft w:val="0"/>
      <w:marRight w:val="0"/>
      <w:marTop w:val="0"/>
      <w:marBottom w:val="0"/>
      <w:divBdr>
        <w:top w:val="none" w:sz="0" w:space="0" w:color="auto"/>
        <w:left w:val="none" w:sz="0" w:space="0" w:color="auto"/>
        <w:bottom w:val="none" w:sz="0" w:space="0" w:color="auto"/>
        <w:right w:val="none" w:sz="0" w:space="0" w:color="auto"/>
      </w:divBdr>
    </w:div>
    <w:div w:id="1191459013">
      <w:bodyDiv w:val="1"/>
      <w:marLeft w:val="0"/>
      <w:marRight w:val="0"/>
      <w:marTop w:val="0"/>
      <w:marBottom w:val="0"/>
      <w:divBdr>
        <w:top w:val="none" w:sz="0" w:space="0" w:color="auto"/>
        <w:left w:val="none" w:sz="0" w:space="0" w:color="auto"/>
        <w:bottom w:val="none" w:sz="0" w:space="0" w:color="auto"/>
        <w:right w:val="none" w:sz="0" w:space="0" w:color="auto"/>
      </w:divBdr>
    </w:div>
    <w:div w:id="1194228357">
      <w:bodyDiv w:val="1"/>
      <w:marLeft w:val="0"/>
      <w:marRight w:val="0"/>
      <w:marTop w:val="0"/>
      <w:marBottom w:val="0"/>
      <w:divBdr>
        <w:top w:val="none" w:sz="0" w:space="0" w:color="auto"/>
        <w:left w:val="none" w:sz="0" w:space="0" w:color="auto"/>
        <w:bottom w:val="none" w:sz="0" w:space="0" w:color="auto"/>
        <w:right w:val="none" w:sz="0" w:space="0" w:color="auto"/>
      </w:divBdr>
    </w:div>
    <w:div w:id="1205216433">
      <w:bodyDiv w:val="1"/>
      <w:marLeft w:val="0"/>
      <w:marRight w:val="0"/>
      <w:marTop w:val="0"/>
      <w:marBottom w:val="0"/>
      <w:divBdr>
        <w:top w:val="none" w:sz="0" w:space="0" w:color="auto"/>
        <w:left w:val="none" w:sz="0" w:space="0" w:color="auto"/>
        <w:bottom w:val="none" w:sz="0" w:space="0" w:color="auto"/>
        <w:right w:val="none" w:sz="0" w:space="0" w:color="auto"/>
      </w:divBdr>
    </w:div>
    <w:div w:id="1212307124">
      <w:bodyDiv w:val="1"/>
      <w:marLeft w:val="0"/>
      <w:marRight w:val="0"/>
      <w:marTop w:val="0"/>
      <w:marBottom w:val="0"/>
      <w:divBdr>
        <w:top w:val="none" w:sz="0" w:space="0" w:color="auto"/>
        <w:left w:val="none" w:sz="0" w:space="0" w:color="auto"/>
        <w:bottom w:val="none" w:sz="0" w:space="0" w:color="auto"/>
        <w:right w:val="none" w:sz="0" w:space="0" w:color="auto"/>
      </w:divBdr>
    </w:div>
    <w:div w:id="1214345345">
      <w:bodyDiv w:val="1"/>
      <w:marLeft w:val="0"/>
      <w:marRight w:val="0"/>
      <w:marTop w:val="0"/>
      <w:marBottom w:val="0"/>
      <w:divBdr>
        <w:top w:val="none" w:sz="0" w:space="0" w:color="auto"/>
        <w:left w:val="none" w:sz="0" w:space="0" w:color="auto"/>
        <w:bottom w:val="none" w:sz="0" w:space="0" w:color="auto"/>
        <w:right w:val="none" w:sz="0" w:space="0" w:color="auto"/>
      </w:divBdr>
    </w:div>
    <w:div w:id="1237789540">
      <w:bodyDiv w:val="1"/>
      <w:marLeft w:val="0"/>
      <w:marRight w:val="0"/>
      <w:marTop w:val="0"/>
      <w:marBottom w:val="0"/>
      <w:divBdr>
        <w:top w:val="none" w:sz="0" w:space="0" w:color="auto"/>
        <w:left w:val="none" w:sz="0" w:space="0" w:color="auto"/>
        <w:bottom w:val="none" w:sz="0" w:space="0" w:color="auto"/>
        <w:right w:val="none" w:sz="0" w:space="0" w:color="auto"/>
      </w:divBdr>
    </w:div>
    <w:div w:id="1265649866">
      <w:bodyDiv w:val="1"/>
      <w:marLeft w:val="0"/>
      <w:marRight w:val="0"/>
      <w:marTop w:val="0"/>
      <w:marBottom w:val="0"/>
      <w:divBdr>
        <w:top w:val="none" w:sz="0" w:space="0" w:color="auto"/>
        <w:left w:val="none" w:sz="0" w:space="0" w:color="auto"/>
        <w:bottom w:val="none" w:sz="0" w:space="0" w:color="auto"/>
        <w:right w:val="none" w:sz="0" w:space="0" w:color="auto"/>
      </w:divBdr>
    </w:div>
    <w:div w:id="1267420536">
      <w:bodyDiv w:val="1"/>
      <w:marLeft w:val="0"/>
      <w:marRight w:val="0"/>
      <w:marTop w:val="0"/>
      <w:marBottom w:val="0"/>
      <w:divBdr>
        <w:top w:val="none" w:sz="0" w:space="0" w:color="auto"/>
        <w:left w:val="none" w:sz="0" w:space="0" w:color="auto"/>
        <w:bottom w:val="none" w:sz="0" w:space="0" w:color="auto"/>
        <w:right w:val="none" w:sz="0" w:space="0" w:color="auto"/>
      </w:divBdr>
      <w:divsChild>
        <w:div w:id="311296208">
          <w:marLeft w:val="0"/>
          <w:marRight w:val="0"/>
          <w:marTop w:val="0"/>
          <w:marBottom w:val="0"/>
          <w:divBdr>
            <w:top w:val="none" w:sz="0" w:space="0" w:color="auto"/>
            <w:left w:val="none" w:sz="0" w:space="0" w:color="auto"/>
            <w:bottom w:val="none" w:sz="0" w:space="0" w:color="auto"/>
            <w:right w:val="none" w:sz="0" w:space="0" w:color="auto"/>
          </w:divBdr>
        </w:div>
        <w:div w:id="544875836">
          <w:marLeft w:val="0"/>
          <w:marRight w:val="0"/>
          <w:marTop w:val="0"/>
          <w:marBottom w:val="0"/>
          <w:divBdr>
            <w:top w:val="none" w:sz="0" w:space="0" w:color="auto"/>
            <w:left w:val="none" w:sz="0" w:space="0" w:color="auto"/>
            <w:bottom w:val="none" w:sz="0" w:space="0" w:color="auto"/>
            <w:right w:val="none" w:sz="0" w:space="0" w:color="auto"/>
          </w:divBdr>
        </w:div>
        <w:div w:id="679551287">
          <w:marLeft w:val="0"/>
          <w:marRight w:val="0"/>
          <w:marTop w:val="0"/>
          <w:marBottom w:val="0"/>
          <w:divBdr>
            <w:top w:val="none" w:sz="0" w:space="0" w:color="auto"/>
            <w:left w:val="none" w:sz="0" w:space="0" w:color="auto"/>
            <w:bottom w:val="none" w:sz="0" w:space="0" w:color="auto"/>
            <w:right w:val="none" w:sz="0" w:space="0" w:color="auto"/>
          </w:divBdr>
        </w:div>
        <w:div w:id="1428231712">
          <w:marLeft w:val="0"/>
          <w:marRight w:val="0"/>
          <w:marTop w:val="0"/>
          <w:marBottom w:val="0"/>
          <w:divBdr>
            <w:top w:val="none" w:sz="0" w:space="0" w:color="auto"/>
            <w:left w:val="none" w:sz="0" w:space="0" w:color="auto"/>
            <w:bottom w:val="none" w:sz="0" w:space="0" w:color="auto"/>
            <w:right w:val="none" w:sz="0" w:space="0" w:color="auto"/>
          </w:divBdr>
        </w:div>
        <w:div w:id="1533810974">
          <w:marLeft w:val="0"/>
          <w:marRight w:val="0"/>
          <w:marTop w:val="0"/>
          <w:marBottom w:val="0"/>
          <w:divBdr>
            <w:top w:val="none" w:sz="0" w:space="0" w:color="auto"/>
            <w:left w:val="none" w:sz="0" w:space="0" w:color="auto"/>
            <w:bottom w:val="none" w:sz="0" w:space="0" w:color="auto"/>
            <w:right w:val="none" w:sz="0" w:space="0" w:color="auto"/>
          </w:divBdr>
        </w:div>
        <w:div w:id="1560287870">
          <w:marLeft w:val="0"/>
          <w:marRight w:val="0"/>
          <w:marTop w:val="0"/>
          <w:marBottom w:val="0"/>
          <w:divBdr>
            <w:top w:val="none" w:sz="0" w:space="0" w:color="auto"/>
            <w:left w:val="none" w:sz="0" w:space="0" w:color="auto"/>
            <w:bottom w:val="none" w:sz="0" w:space="0" w:color="auto"/>
            <w:right w:val="none" w:sz="0" w:space="0" w:color="auto"/>
          </w:divBdr>
        </w:div>
        <w:div w:id="1859585176">
          <w:marLeft w:val="0"/>
          <w:marRight w:val="0"/>
          <w:marTop w:val="0"/>
          <w:marBottom w:val="0"/>
          <w:divBdr>
            <w:top w:val="none" w:sz="0" w:space="0" w:color="auto"/>
            <w:left w:val="none" w:sz="0" w:space="0" w:color="auto"/>
            <w:bottom w:val="none" w:sz="0" w:space="0" w:color="auto"/>
            <w:right w:val="none" w:sz="0" w:space="0" w:color="auto"/>
          </w:divBdr>
        </w:div>
      </w:divsChild>
    </w:div>
    <w:div w:id="1272589260">
      <w:bodyDiv w:val="1"/>
      <w:marLeft w:val="0"/>
      <w:marRight w:val="0"/>
      <w:marTop w:val="0"/>
      <w:marBottom w:val="0"/>
      <w:divBdr>
        <w:top w:val="none" w:sz="0" w:space="0" w:color="auto"/>
        <w:left w:val="none" w:sz="0" w:space="0" w:color="auto"/>
        <w:bottom w:val="none" w:sz="0" w:space="0" w:color="auto"/>
        <w:right w:val="none" w:sz="0" w:space="0" w:color="auto"/>
      </w:divBdr>
      <w:divsChild>
        <w:div w:id="435449352">
          <w:marLeft w:val="0"/>
          <w:marRight w:val="0"/>
          <w:marTop w:val="0"/>
          <w:marBottom w:val="0"/>
          <w:divBdr>
            <w:top w:val="none" w:sz="0" w:space="0" w:color="auto"/>
            <w:left w:val="none" w:sz="0" w:space="0" w:color="auto"/>
            <w:bottom w:val="none" w:sz="0" w:space="0" w:color="auto"/>
            <w:right w:val="none" w:sz="0" w:space="0" w:color="auto"/>
          </w:divBdr>
          <w:divsChild>
            <w:div w:id="1452362534">
              <w:marLeft w:val="0"/>
              <w:marRight w:val="0"/>
              <w:marTop w:val="0"/>
              <w:marBottom w:val="0"/>
              <w:divBdr>
                <w:top w:val="none" w:sz="0" w:space="0" w:color="auto"/>
                <w:left w:val="none" w:sz="0" w:space="0" w:color="auto"/>
                <w:bottom w:val="none" w:sz="0" w:space="0" w:color="auto"/>
                <w:right w:val="none" w:sz="0" w:space="0" w:color="auto"/>
              </w:divBdr>
              <w:divsChild>
                <w:div w:id="10571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7514">
      <w:bodyDiv w:val="1"/>
      <w:marLeft w:val="0"/>
      <w:marRight w:val="0"/>
      <w:marTop w:val="0"/>
      <w:marBottom w:val="0"/>
      <w:divBdr>
        <w:top w:val="none" w:sz="0" w:space="0" w:color="auto"/>
        <w:left w:val="none" w:sz="0" w:space="0" w:color="auto"/>
        <w:bottom w:val="none" w:sz="0" w:space="0" w:color="auto"/>
        <w:right w:val="none" w:sz="0" w:space="0" w:color="auto"/>
      </w:divBdr>
    </w:div>
    <w:div w:id="1300452959">
      <w:bodyDiv w:val="1"/>
      <w:marLeft w:val="0"/>
      <w:marRight w:val="0"/>
      <w:marTop w:val="0"/>
      <w:marBottom w:val="0"/>
      <w:divBdr>
        <w:top w:val="none" w:sz="0" w:space="0" w:color="auto"/>
        <w:left w:val="none" w:sz="0" w:space="0" w:color="auto"/>
        <w:bottom w:val="none" w:sz="0" w:space="0" w:color="auto"/>
        <w:right w:val="none" w:sz="0" w:space="0" w:color="auto"/>
      </w:divBdr>
    </w:div>
    <w:div w:id="1313950108">
      <w:bodyDiv w:val="1"/>
      <w:marLeft w:val="0"/>
      <w:marRight w:val="0"/>
      <w:marTop w:val="0"/>
      <w:marBottom w:val="0"/>
      <w:divBdr>
        <w:top w:val="none" w:sz="0" w:space="0" w:color="auto"/>
        <w:left w:val="none" w:sz="0" w:space="0" w:color="auto"/>
        <w:bottom w:val="none" w:sz="0" w:space="0" w:color="auto"/>
        <w:right w:val="none" w:sz="0" w:space="0" w:color="auto"/>
      </w:divBdr>
    </w:div>
    <w:div w:id="1325285138">
      <w:bodyDiv w:val="1"/>
      <w:marLeft w:val="0"/>
      <w:marRight w:val="0"/>
      <w:marTop w:val="0"/>
      <w:marBottom w:val="0"/>
      <w:divBdr>
        <w:top w:val="none" w:sz="0" w:space="0" w:color="auto"/>
        <w:left w:val="none" w:sz="0" w:space="0" w:color="auto"/>
        <w:bottom w:val="none" w:sz="0" w:space="0" w:color="auto"/>
        <w:right w:val="none" w:sz="0" w:space="0" w:color="auto"/>
      </w:divBdr>
    </w:div>
    <w:div w:id="1327977078">
      <w:bodyDiv w:val="1"/>
      <w:marLeft w:val="0"/>
      <w:marRight w:val="0"/>
      <w:marTop w:val="0"/>
      <w:marBottom w:val="0"/>
      <w:divBdr>
        <w:top w:val="none" w:sz="0" w:space="0" w:color="auto"/>
        <w:left w:val="none" w:sz="0" w:space="0" w:color="auto"/>
        <w:bottom w:val="none" w:sz="0" w:space="0" w:color="auto"/>
        <w:right w:val="none" w:sz="0" w:space="0" w:color="auto"/>
      </w:divBdr>
    </w:div>
    <w:div w:id="1329868681">
      <w:bodyDiv w:val="1"/>
      <w:marLeft w:val="0"/>
      <w:marRight w:val="0"/>
      <w:marTop w:val="0"/>
      <w:marBottom w:val="0"/>
      <w:divBdr>
        <w:top w:val="none" w:sz="0" w:space="0" w:color="auto"/>
        <w:left w:val="none" w:sz="0" w:space="0" w:color="auto"/>
        <w:bottom w:val="none" w:sz="0" w:space="0" w:color="auto"/>
        <w:right w:val="none" w:sz="0" w:space="0" w:color="auto"/>
      </w:divBdr>
    </w:div>
    <w:div w:id="1347100123">
      <w:bodyDiv w:val="1"/>
      <w:marLeft w:val="0"/>
      <w:marRight w:val="0"/>
      <w:marTop w:val="0"/>
      <w:marBottom w:val="0"/>
      <w:divBdr>
        <w:top w:val="none" w:sz="0" w:space="0" w:color="auto"/>
        <w:left w:val="none" w:sz="0" w:space="0" w:color="auto"/>
        <w:bottom w:val="none" w:sz="0" w:space="0" w:color="auto"/>
        <w:right w:val="none" w:sz="0" w:space="0" w:color="auto"/>
      </w:divBdr>
    </w:div>
    <w:div w:id="1365640246">
      <w:bodyDiv w:val="1"/>
      <w:marLeft w:val="0"/>
      <w:marRight w:val="0"/>
      <w:marTop w:val="0"/>
      <w:marBottom w:val="0"/>
      <w:divBdr>
        <w:top w:val="none" w:sz="0" w:space="0" w:color="auto"/>
        <w:left w:val="none" w:sz="0" w:space="0" w:color="auto"/>
        <w:bottom w:val="none" w:sz="0" w:space="0" w:color="auto"/>
        <w:right w:val="none" w:sz="0" w:space="0" w:color="auto"/>
      </w:divBdr>
    </w:div>
    <w:div w:id="1376270892">
      <w:bodyDiv w:val="1"/>
      <w:marLeft w:val="0"/>
      <w:marRight w:val="0"/>
      <w:marTop w:val="0"/>
      <w:marBottom w:val="0"/>
      <w:divBdr>
        <w:top w:val="none" w:sz="0" w:space="0" w:color="auto"/>
        <w:left w:val="none" w:sz="0" w:space="0" w:color="auto"/>
        <w:bottom w:val="none" w:sz="0" w:space="0" w:color="auto"/>
        <w:right w:val="none" w:sz="0" w:space="0" w:color="auto"/>
      </w:divBdr>
    </w:div>
    <w:div w:id="1386565468">
      <w:bodyDiv w:val="1"/>
      <w:marLeft w:val="0"/>
      <w:marRight w:val="0"/>
      <w:marTop w:val="0"/>
      <w:marBottom w:val="0"/>
      <w:divBdr>
        <w:top w:val="none" w:sz="0" w:space="0" w:color="auto"/>
        <w:left w:val="none" w:sz="0" w:space="0" w:color="auto"/>
        <w:bottom w:val="none" w:sz="0" w:space="0" w:color="auto"/>
        <w:right w:val="none" w:sz="0" w:space="0" w:color="auto"/>
      </w:divBdr>
      <w:divsChild>
        <w:div w:id="16473737">
          <w:marLeft w:val="374"/>
          <w:marRight w:val="0"/>
          <w:marTop w:val="40"/>
          <w:marBottom w:val="120"/>
          <w:divBdr>
            <w:top w:val="none" w:sz="0" w:space="0" w:color="auto"/>
            <w:left w:val="none" w:sz="0" w:space="0" w:color="auto"/>
            <w:bottom w:val="none" w:sz="0" w:space="0" w:color="auto"/>
            <w:right w:val="none" w:sz="0" w:space="0" w:color="auto"/>
          </w:divBdr>
        </w:div>
        <w:div w:id="875384646">
          <w:marLeft w:val="374"/>
          <w:marRight w:val="0"/>
          <w:marTop w:val="40"/>
          <w:marBottom w:val="120"/>
          <w:divBdr>
            <w:top w:val="none" w:sz="0" w:space="0" w:color="auto"/>
            <w:left w:val="none" w:sz="0" w:space="0" w:color="auto"/>
            <w:bottom w:val="none" w:sz="0" w:space="0" w:color="auto"/>
            <w:right w:val="none" w:sz="0" w:space="0" w:color="auto"/>
          </w:divBdr>
        </w:div>
        <w:div w:id="885947410">
          <w:marLeft w:val="374"/>
          <w:marRight w:val="0"/>
          <w:marTop w:val="40"/>
          <w:marBottom w:val="120"/>
          <w:divBdr>
            <w:top w:val="none" w:sz="0" w:space="0" w:color="auto"/>
            <w:left w:val="none" w:sz="0" w:space="0" w:color="auto"/>
            <w:bottom w:val="none" w:sz="0" w:space="0" w:color="auto"/>
            <w:right w:val="none" w:sz="0" w:space="0" w:color="auto"/>
          </w:divBdr>
        </w:div>
        <w:div w:id="1032223203">
          <w:marLeft w:val="374"/>
          <w:marRight w:val="0"/>
          <w:marTop w:val="40"/>
          <w:marBottom w:val="120"/>
          <w:divBdr>
            <w:top w:val="none" w:sz="0" w:space="0" w:color="auto"/>
            <w:left w:val="none" w:sz="0" w:space="0" w:color="auto"/>
            <w:bottom w:val="none" w:sz="0" w:space="0" w:color="auto"/>
            <w:right w:val="none" w:sz="0" w:space="0" w:color="auto"/>
          </w:divBdr>
        </w:div>
        <w:div w:id="1183737364">
          <w:marLeft w:val="374"/>
          <w:marRight w:val="0"/>
          <w:marTop w:val="40"/>
          <w:marBottom w:val="120"/>
          <w:divBdr>
            <w:top w:val="none" w:sz="0" w:space="0" w:color="auto"/>
            <w:left w:val="none" w:sz="0" w:space="0" w:color="auto"/>
            <w:bottom w:val="none" w:sz="0" w:space="0" w:color="auto"/>
            <w:right w:val="none" w:sz="0" w:space="0" w:color="auto"/>
          </w:divBdr>
        </w:div>
        <w:div w:id="1269195931">
          <w:marLeft w:val="374"/>
          <w:marRight w:val="0"/>
          <w:marTop w:val="40"/>
          <w:marBottom w:val="120"/>
          <w:divBdr>
            <w:top w:val="none" w:sz="0" w:space="0" w:color="auto"/>
            <w:left w:val="none" w:sz="0" w:space="0" w:color="auto"/>
            <w:bottom w:val="none" w:sz="0" w:space="0" w:color="auto"/>
            <w:right w:val="none" w:sz="0" w:space="0" w:color="auto"/>
          </w:divBdr>
        </w:div>
        <w:div w:id="1419905510">
          <w:marLeft w:val="374"/>
          <w:marRight w:val="0"/>
          <w:marTop w:val="40"/>
          <w:marBottom w:val="120"/>
          <w:divBdr>
            <w:top w:val="none" w:sz="0" w:space="0" w:color="auto"/>
            <w:left w:val="none" w:sz="0" w:space="0" w:color="auto"/>
            <w:bottom w:val="none" w:sz="0" w:space="0" w:color="auto"/>
            <w:right w:val="none" w:sz="0" w:space="0" w:color="auto"/>
          </w:divBdr>
        </w:div>
        <w:div w:id="1947813031">
          <w:marLeft w:val="374"/>
          <w:marRight w:val="0"/>
          <w:marTop w:val="40"/>
          <w:marBottom w:val="120"/>
          <w:divBdr>
            <w:top w:val="none" w:sz="0" w:space="0" w:color="auto"/>
            <w:left w:val="none" w:sz="0" w:space="0" w:color="auto"/>
            <w:bottom w:val="none" w:sz="0" w:space="0" w:color="auto"/>
            <w:right w:val="none" w:sz="0" w:space="0" w:color="auto"/>
          </w:divBdr>
        </w:div>
      </w:divsChild>
    </w:div>
    <w:div w:id="1404450522">
      <w:bodyDiv w:val="1"/>
      <w:marLeft w:val="0"/>
      <w:marRight w:val="0"/>
      <w:marTop w:val="0"/>
      <w:marBottom w:val="0"/>
      <w:divBdr>
        <w:top w:val="none" w:sz="0" w:space="0" w:color="auto"/>
        <w:left w:val="none" w:sz="0" w:space="0" w:color="auto"/>
        <w:bottom w:val="none" w:sz="0" w:space="0" w:color="auto"/>
        <w:right w:val="none" w:sz="0" w:space="0" w:color="auto"/>
      </w:divBdr>
    </w:div>
    <w:div w:id="1405689842">
      <w:bodyDiv w:val="1"/>
      <w:marLeft w:val="0"/>
      <w:marRight w:val="0"/>
      <w:marTop w:val="0"/>
      <w:marBottom w:val="0"/>
      <w:divBdr>
        <w:top w:val="none" w:sz="0" w:space="0" w:color="auto"/>
        <w:left w:val="none" w:sz="0" w:space="0" w:color="auto"/>
        <w:bottom w:val="none" w:sz="0" w:space="0" w:color="auto"/>
        <w:right w:val="none" w:sz="0" w:space="0" w:color="auto"/>
      </w:divBdr>
    </w:div>
    <w:div w:id="1406487763">
      <w:bodyDiv w:val="1"/>
      <w:marLeft w:val="0"/>
      <w:marRight w:val="0"/>
      <w:marTop w:val="0"/>
      <w:marBottom w:val="0"/>
      <w:divBdr>
        <w:top w:val="none" w:sz="0" w:space="0" w:color="auto"/>
        <w:left w:val="none" w:sz="0" w:space="0" w:color="auto"/>
        <w:bottom w:val="none" w:sz="0" w:space="0" w:color="auto"/>
        <w:right w:val="none" w:sz="0" w:space="0" w:color="auto"/>
      </w:divBdr>
    </w:div>
    <w:div w:id="1445224767">
      <w:bodyDiv w:val="1"/>
      <w:marLeft w:val="0"/>
      <w:marRight w:val="0"/>
      <w:marTop w:val="0"/>
      <w:marBottom w:val="0"/>
      <w:divBdr>
        <w:top w:val="none" w:sz="0" w:space="0" w:color="auto"/>
        <w:left w:val="none" w:sz="0" w:space="0" w:color="auto"/>
        <w:bottom w:val="none" w:sz="0" w:space="0" w:color="auto"/>
        <w:right w:val="none" w:sz="0" w:space="0" w:color="auto"/>
      </w:divBdr>
    </w:div>
    <w:div w:id="1458379448">
      <w:bodyDiv w:val="1"/>
      <w:marLeft w:val="0"/>
      <w:marRight w:val="0"/>
      <w:marTop w:val="0"/>
      <w:marBottom w:val="0"/>
      <w:divBdr>
        <w:top w:val="none" w:sz="0" w:space="0" w:color="auto"/>
        <w:left w:val="none" w:sz="0" w:space="0" w:color="auto"/>
        <w:bottom w:val="none" w:sz="0" w:space="0" w:color="auto"/>
        <w:right w:val="none" w:sz="0" w:space="0" w:color="auto"/>
      </w:divBdr>
    </w:div>
    <w:div w:id="1458720427">
      <w:bodyDiv w:val="1"/>
      <w:marLeft w:val="0"/>
      <w:marRight w:val="0"/>
      <w:marTop w:val="0"/>
      <w:marBottom w:val="0"/>
      <w:divBdr>
        <w:top w:val="none" w:sz="0" w:space="0" w:color="auto"/>
        <w:left w:val="none" w:sz="0" w:space="0" w:color="auto"/>
        <w:bottom w:val="none" w:sz="0" w:space="0" w:color="auto"/>
        <w:right w:val="none" w:sz="0" w:space="0" w:color="auto"/>
      </w:divBdr>
    </w:div>
    <w:div w:id="1463187796">
      <w:bodyDiv w:val="1"/>
      <w:marLeft w:val="0"/>
      <w:marRight w:val="0"/>
      <w:marTop w:val="0"/>
      <w:marBottom w:val="0"/>
      <w:divBdr>
        <w:top w:val="none" w:sz="0" w:space="0" w:color="auto"/>
        <w:left w:val="none" w:sz="0" w:space="0" w:color="auto"/>
        <w:bottom w:val="none" w:sz="0" w:space="0" w:color="auto"/>
        <w:right w:val="none" w:sz="0" w:space="0" w:color="auto"/>
      </w:divBdr>
    </w:div>
    <w:div w:id="1464040856">
      <w:bodyDiv w:val="1"/>
      <w:marLeft w:val="0"/>
      <w:marRight w:val="0"/>
      <w:marTop w:val="0"/>
      <w:marBottom w:val="0"/>
      <w:divBdr>
        <w:top w:val="none" w:sz="0" w:space="0" w:color="auto"/>
        <w:left w:val="none" w:sz="0" w:space="0" w:color="auto"/>
        <w:bottom w:val="none" w:sz="0" w:space="0" w:color="auto"/>
        <w:right w:val="none" w:sz="0" w:space="0" w:color="auto"/>
      </w:divBdr>
    </w:div>
    <w:div w:id="1473253066">
      <w:bodyDiv w:val="1"/>
      <w:marLeft w:val="0"/>
      <w:marRight w:val="0"/>
      <w:marTop w:val="0"/>
      <w:marBottom w:val="0"/>
      <w:divBdr>
        <w:top w:val="none" w:sz="0" w:space="0" w:color="auto"/>
        <w:left w:val="none" w:sz="0" w:space="0" w:color="auto"/>
        <w:bottom w:val="none" w:sz="0" w:space="0" w:color="auto"/>
        <w:right w:val="none" w:sz="0" w:space="0" w:color="auto"/>
      </w:divBdr>
    </w:div>
    <w:div w:id="1473719603">
      <w:bodyDiv w:val="1"/>
      <w:marLeft w:val="0"/>
      <w:marRight w:val="0"/>
      <w:marTop w:val="0"/>
      <w:marBottom w:val="0"/>
      <w:divBdr>
        <w:top w:val="none" w:sz="0" w:space="0" w:color="auto"/>
        <w:left w:val="none" w:sz="0" w:space="0" w:color="auto"/>
        <w:bottom w:val="none" w:sz="0" w:space="0" w:color="auto"/>
        <w:right w:val="none" w:sz="0" w:space="0" w:color="auto"/>
      </w:divBdr>
      <w:divsChild>
        <w:div w:id="545991882">
          <w:marLeft w:val="0"/>
          <w:marRight w:val="0"/>
          <w:marTop w:val="0"/>
          <w:marBottom w:val="0"/>
          <w:divBdr>
            <w:top w:val="none" w:sz="0" w:space="0" w:color="auto"/>
            <w:left w:val="none" w:sz="0" w:space="0" w:color="auto"/>
            <w:bottom w:val="none" w:sz="0" w:space="0" w:color="auto"/>
            <w:right w:val="none" w:sz="0" w:space="0" w:color="auto"/>
          </w:divBdr>
          <w:divsChild>
            <w:div w:id="288556173">
              <w:marLeft w:val="60"/>
              <w:marRight w:val="0"/>
              <w:marTop w:val="0"/>
              <w:marBottom w:val="0"/>
              <w:divBdr>
                <w:top w:val="none" w:sz="0" w:space="0" w:color="auto"/>
                <w:left w:val="none" w:sz="0" w:space="0" w:color="auto"/>
                <w:bottom w:val="none" w:sz="0" w:space="0" w:color="auto"/>
                <w:right w:val="none" w:sz="0" w:space="0" w:color="auto"/>
              </w:divBdr>
              <w:divsChild>
                <w:div w:id="834803027">
                  <w:marLeft w:val="0"/>
                  <w:marRight w:val="0"/>
                  <w:marTop w:val="0"/>
                  <w:marBottom w:val="0"/>
                  <w:divBdr>
                    <w:top w:val="none" w:sz="0" w:space="0" w:color="auto"/>
                    <w:left w:val="none" w:sz="0" w:space="0" w:color="auto"/>
                    <w:bottom w:val="none" w:sz="0" w:space="0" w:color="auto"/>
                    <w:right w:val="none" w:sz="0" w:space="0" w:color="auto"/>
                  </w:divBdr>
                  <w:divsChild>
                    <w:div w:id="1832063569">
                      <w:marLeft w:val="0"/>
                      <w:marRight w:val="0"/>
                      <w:marTop w:val="0"/>
                      <w:marBottom w:val="120"/>
                      <w:divBdr>
                        <w:top w:val="single" w:sz="6" w:space="0" w:color="F5F5F5"/>
                        <w:left w:val="single" w:sz="6" w:space="0" w:color="F5F5F5"/>
                        <w:bottom w:val="single" w:sz="6" w:space="0" w:color="F5F5F5"/>
                        <w:right w:val="single" w:sz="6" w:space="0" w:color="F5F5F5"/>
                      </w:divBdr>
                      <w:divsChild>
                        <w:div w:id="412119237">
                          <w:marLeft w:val="0"/>
                          <w:marRight w:val="0"/>
                          <w:marTop w:val="0"/>
                          <w:marBottom w:val="0"/>
                          <w:divBdr>
                            <w:top w:val="none" w:sz="0" w:space="0" w:color="auto"/>
                            <w:left w:val="none" w:sz="0" w:space="0" w:color="auto"/>
                            <w:bottom w:val="none" w:sz="0" w:space="0" w:color="auto"/>
                            <w:right w:val="none" w:sz="0" w:space="0" w:color="auto"/>
                          </w:divBdr>
                          <w:divsChild>
                            <w:div w:id="12646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70718">
      <w:bodyDiv w:val="1"/>
      <w:marLeft w:val="0"/>
      <w:marRight w:val="0"/>
      <w:marTop w:val="0"/>
      <w:marBottom w:val="0"/>
      <w:divBdr>
        <w:top w:val="none" w:sz="0" w:space="0" w:color="auto"/>
        <w:left w:val="none" w:sz="0" w:space="0" w:color="auto"/>
        <w:bottom w:val="none" w:sz="0" w:space="0" w:color="auto"/>
        <w:right w:val="none" w:sz="0" w:space="0" w:color="auto"/>
      </w:divBdr>
    </w:div>
    <w:div w:id="1486318134">
      <w:bodyDiv w:val="1"/>
      <w:marLeft w:val="0"/>
      <w:marRight w:val="0"/>
      <w:marTop w:val="0"/>
      <w:marBottom w:val="0"/>
      <w:divBdr>
        <w:top w:val="none" w:sz="0" w:space="0" w:color="auto"/>
        <w:left w:val="none" w:sz="0" w:space="0" w:color="auto"/>
        <w:bottom w:val="none" w:sz="0" w:space="0" w:color="auto"/>
        <w:right w:val="none" w:sz="0" w:space="0" w:color="auto"/>
      </w:divBdr>
    </w:div>
    <w:div w:id="1486625771">
      <w:bodyDiv w:val="1"/>
      <w:marLeft w:val="0"/>
      <w:marRight w:val="0"/>
      <w:marTop w:val="0"/>
      <w:marBottom w:val="0"/>
      <w:divBdr>
        <w:top w:val="none" w:sz="0" w:space="0" w:color="auto"/>
        <w:left w:val="none" w:sz="0" w:space="0" w:color="auto"/>
        <w:bottom w:val="none" w:sz="0" w:space="0" w:color="auto"/>
        <w:right w:val="none" w:sz="0" w:space="0" w:color="auto"/>
      </w:divBdr>
    </w:div>
    <w:div w:id="1496142460">
      <w:bodyDiv w:val="1"/>
      <w:marLeft w:val="0"/>
      <w:marRight w:val="0"/>
      <w:marTop w:val="0"/>
      <w:marBottom w:val="0"/>
      <w:divBdr>
        <w:top w:val="none" w:sz="0" w:space="0" w:color="auto"/>
        <w:left w:val="none" w:sz="0" w:space="0" w:color="auto"/>
        <w:bottom w:val="none" w:sz="0" w:space="0" w:color="auto"/>
        <w:right w:val="none" w:sz="0" w:space="0" w:color="auto"/>
      </w:divBdr>
    </w:div>
    <w:div w:id="1537698351">
      <w:bodyDiv w:val="1"/>
      <w:marLeft w:val="0"/>
      <w:marRight w:val="0"/>
      <w:marTop w:val="0"/>
      <w:marBottom w:val="0"/>
      <w:divBdr>
        <w:top w:val="none" w:sz="0" w:space="0" w:color="auto"/>
        <w:left w:val="none" w:sz="0" w:space="0" w:color="auto"/>
        <w:bottom w:val="none" w:sz="0" w:space="0" w:color="auto"/>
        <w:right w:val="none" w:sz="0" w:space="0" w:color="auto"/>
      </w:divBdr>
    </w:div>
    <w:div w:id="1542786033">
      <w:bodyDiv w:val="1"/>
      <w:marLeft w:val="0"/>
      <w:marRight w:val="0"/>
      <w:marTop w:val="0"/>
      <w:marBottom w:val="0"/>
      <w:divBdr>
        <w:top w:val="none" w:sz="0" w:space="0" w:color="auto"/>
        <w:left w:val="none" w:sz="0" w:space="0" w:color="auto"/>
        <w:bottom w:val="none" w:sz="0" w:space="0" w:color="auto"/>
        <w:right w:val="none" w:sz="0" w:space="0" w:color="auto"/>
      </w:divBdr>
    </w:div>
    <w:div w:id="1549761914">
      <w:bodyDiv w:val="1"/>
      <w:marLeft w:val="0"/>
      <w:marRight w:val="0"/>
      <w:marTop w:val="0"/>
      <w:marBottom w:val="0"/>
      <w:divBdr>
        <w:top w:val="none" w:sz="0" w:space="0" w:color="auto"/>
        <w:left w:val="none" w:sz="0" w:space="0" w:color="auto"/>
        <w:bottom w:val="none" w:sz="0" w:space="0" w:color="auto"/>
        <w:right w:val="none" w:sz="0" w:space="0" w:color="auto"/>
      </w:divBdr>
    </w:div>
    <w:div w:id="1564095476">
      <w:bodyDiv w:val="1"/>
      <w:marLeft w:val="0"/>
      <w:marRight w:val="0"/>
      <w:marTop w:val="0"/>
      <w:marBottom w:val="0"/>
      <w:divBdr>
        <w:top w:val="none" w:sz="0" w:space="0" w:color="auto"/>
        <w:left w:val="none" w:sz="0" w:space="0" w:color="auto"/>
        <w:bottom w:val="none" w:sz="0" w:space="0" w:color="auto"/>
        <w:right w:val="none" w:sz="0" w:space="0" w:color="auto"/>
      </w:divBdr>
    </w:div>
    <w:div w:id="1583103482">
      <w:bodyDiv w:val="1"/>
      <w:marLeft w:val="0"/>
      <w:marRight w:val="0"/>
      <w:marTop w:val="0"/>
      <w:marBottom w:val="0"/>
      <w:divBdr>
        <w:top w:val="none" w:sz="0" w:space="0" w:color="auto"/>
        <w:left w:val="none" w:sz="0" w:space="0" w:color="auto"/>
        <w:bottom w:val="none" w:sz="0" w:space="0" w:color="auto"/>
        <w:right w:val="none" w:sz="0" w:space="0" w:color="auto"/>
      </w:divBdr>
    </w:div>
    <w:div w:id="1583368809">
      <w:bodyDiv w:val="1"/>
      <w:marLeft w:val="0"/>
      <w:marRight w:val="0"/>
      <w:marTop w:val="0"/>
      <w:marBottom w:val="0"/>
      <w:divBdr>
        <w:top w:val="none" w:sz="0" w:space="0" w:color="auto"/>
        <w:left w:val="none" w:sz="0" w:space="0" w:color="auto"/>
        <w:bottom w:val="none" w:sz="0" w:space="0" w:color="auto"/>
        <w:right w:val="none" w:sz="0" w:space="0" w:color="auto"/>
      </w:divBdr>
    </w:div>
    <w:div w:id="1585919738">
      <w:bodyDiv w:val="1"/>
      <w:marLeft w:val="0"/>
      <w:marRight w:val="0"/>
      <w:marTop w:val="0"/>
      <w:marBottom w:val="0"/>
      <w:divBdr>
        <w:top w:val="none" w:sz="0" w:space="0" w:color="auto"/>
        <w:left w:val="none" w:sz="0" w:space="0" w:color="auto"/>
        <w:bottom w:val="none" w:sz="0" w:space="0" w:color="auto"/>
        <w:right w:val="none" w:sz="0" w:space="0" w:color="auto"/>
      </w:divBdr>
    </w:div>
    <w:div w:id="1585993496">
      <w:bodyDiv w:val="1"/>
      <w:marLeft w:val="0"/>
      <w:marRight w:val="0"/>
      <w:marTop w:val="0"/>
      <w:marBottom w:val="0"/>
      <w:divBdr>
        <w:top w:val="none" w:sz="0" w:space="0" w:color="auto"/>
        <w:left w:val="none" w:sz="0" w:space="0" w:color="auto"/>
        <w:bottom w:val="none" w:sz="0" w:space="0" w:color="auto"/>
        <w:right w:val="none" w:sz="0" w:space="0" w:color="auto"/>
      </w:divBdr>
    </w:div>
    <w:div w:id="1605267601">
      <w:bodyDiv w:val="1"/>
      <w:marLeft w:val="0"/>
      <w:marRight w:val="0"/>
      <w:marTop w:val="0"/>
      <w:marBottom w:val="0"/>
      <w:divBdr>
        <w:top w:val="none" w:sz="0" w:space="0" w:color="auto"/>
        <w:left w:val="none" w:sz="0" w:space="0" w:color="auto"/>
        <w:bottom w:val="none" w:sz="0" w:space="0" w:color="auto"/>
        <w:right w:val="none" w:sz="0" w:space="0" w:color="auto"/>
      </w:divBdr>
    </w:div>
    <w:div w:id="1619950019">
      <w:bodyDiv w:val="1"/>
      <w:marLeft w:val="0"/>
      <w:marRight w:val="0"/>
      <w:marTop w:val="0"/>
      <w:marBottom w:val="0"/>
      <w:divBdr>
        <w:top w:val="none" w:sz="0" w:space="0" w:color="auto"/>
        <w:left w:val="none" w:sz="0" w:space="0" w:color="auto"/>
        <w:bottom w:val="none" w:sz="0" w:space="0" w:color="auto"/>
        <w:right w:val="none" w:sz="0" w:space="0" w:color="auto"/>
      </w:divBdr>
    </w:div>
    <w:div w:id="1623027644">
      <w:bodyDiv w:val="1"/>
      <w:marLeft w:val="0"/>
      <w:marRight w:val="0"/>
      <w:marTop w:val="0"/>
      <w:marBottom w:val="0"/>
      <w:divBdr>
        <w:top w:val="none" w:sz="0" w:space="0" w:color="auto"/>
        <w:left w:val="none" w:sz="0" w:space="0" w:color="auto"/>
        <w:bottom w:val="none" w:sz="0" w:space="0" w:color="auto"/>
        <w:right w:val="none" w:sz="0" w:space="0" w:color="auto"/>
      </w:divBdr>
    </w:div>
    <w:div w:id="1628124203">
      <w:bodyDiv w:val="1"/>
      <w:marLeft w:val="0"/>
      <w:marRight w:val="0"/>
      <w:marTop w:val="0"/>
      <w:marBottom w:val="0"/>
      <w:divBdr>
        <w:top w:val="none" w:sz="0" w:space="0" w:color="auto"/>
        <w:left w:val="none" w:sz="0" w:space="0" w:color="auto"/>
        <w:bottom w:val="none" w:sz="0" w:space="0" w:color="auto"/>
        <w:right w:val="none" w:sz="0" w:space="0" w:color="auto"/>
      </w:divBdr>
    </w:div>
    <w:div w:id="1630699033">
      <w:bodyDiv w:val="1"/>
      <w:marLeft w:val="0"/>
      <w:marRight w:val="0"/>
      <w:marTop w:val="0"/>
      <w:marBottom w:val="0"/>
      <w:divBdr>
        <w:top w:val="none" w:sz="0" w:space="0" w:color="auto"/>
        <w:left w:val="none" w:sz="0" w:space="0" w:color="auto"/>
        <w:bottom w:val="none" w:sz="0" w:space="0" w:color="auto"/>
        <w:right w:val="none" w:sz="0" w:space="0" w:color="auto"/>
      </w:divBdr>
    </w:div>
    <w:div w:id="1645425157">
      <w:bodyDiv w:val="1"/>
      <w:marLeft w:val="0"/>
      <w:marRight w:val="0"/>
      <w:marTop w:val="0"/>
      <w:marBottom w:val="0"/>
      <w:divBdr>
        <w:top w:val="none" w:sz="0" w:space="0" w:color="auto"/>
        <w:left w:val="none" w:sz="0" w:space="0" w:color="auto"/>
        <w:bottom w:val="none" w:sz="0" w:space="0" w:color="auto"/>
        <w:right w:val="none" w:sz="0" w:space="0" w:color="auto"/>
      </w:divBdr>
    </w:div>
    <w:div w:id="1661153736">
      <w:bodyDiv w:val="1"/>
      <w:marLeft w:val="0"/>
      <w:marRight w:val="0"/>
      <w:marTop w:val="0"/>
      <w:marBottom w:val="0"/>
      <w:divBdr>
        <w:top w:val="none" w:sz="0" w:space="0" w:color="auto"/>
        <w:left w:val="none" w:sz="0" w:space="0" w:color="auto"/>
        <w:bottom w:val="none" w:sz="0" w:space="0" w:color="auto"/>
        <w:right w:val="none" w:sz="0" w:space="0" w:color="auto"/>
      </w:divBdr>
    </w:div>
    <w:div w:id="1670058875">
      <w:bodyDiv w:val="1"/>
      <w:marLeft w:val="0"/>
      <w:marRight w:val="0"/>
      <w:marTop w:val="0"/>
      <w:marBottom w:val="0"/>
      <w:divBdr>
        <w:top w:val="none" w:sz="0" w:space="0" w:color="auto"/>
        <w:left w:val="none" w:sz="0" w:space="0" w:color="auto"/>
        <w:bottom w:val="none" w:sz="0" w:space="0" w:color="auto"/>
        <w:right w:val="none" w:sz="0" w:space="0" w:color="auto"/>
      </w:divBdr>
    </w:div>
    <w:div w:id="1678313874">
      <w:bodyDiv w:val="1"/>
      <w:marLeft w:val="0"/>
      <w:marRight w:val="0"/>
      <w:marTop w:val="0"/>
      <w:marBottom w:val="0"/>
      <w:divBdr>
        <w:top w:val="none" w:sz="0" w:space="0" w:color="auto"/>
        <w:left w:val="none" w:sz="0" w:space="0" w:color="auto"/>
        <w:bottom w:val="none" w:sz="0" w:space="0" w:color="auto"/>
        <w:right w:val="none" w:sz="0" w:space="0" w:color="auto"/>
      </w:divBdr>
    </w:div>
    <w:div w:id="1685399349">
      <w:bodyDiv w:val="1"/>
      <w:marLeft w:val="0"/>
      <w:marRight w:val="0"/>
      <w:marTop w:val="0"/>
      <w:marBottom w:val="0"/>
      <w:divBdr>
        <w:top w:val="none" w:sz="0" w:space="0" w:color="auto"/>
        <w:left w:val="none" w:sz="0" w:space="0" w:color="auto"/>
        <w:bottom w:val="none" w:sz="0" w:space="0" w:color="auto"/>
        <w:right w:val="none" w:sz="0" w:space="0" w:color="auto"/>
      </w:divBdr>
    </w:div>
    <w:div w:id="1697464232">
      <w:bodyDiv w:val="1"/>
      <w:marLeft w:val="0"/>
      <w:marRight w:val="0"/>
      <w:marTop w:val="0"/>
      <w:marBottom w:val="0"/>
      <w:divBdr>
        <w:top w:val="none" w:sz="0" w:space="0" w:color="auto"/>
        <w:left w:val="none" w:sz="0" w:space="0" w:color="auto"/>
        <w:bottom w:val="none" w:sz="0" w:space="0" w:color="auto"/>
        <w:right w:val="none" w:sz="0" w:space="0" w:color="auto"/>
      </w:divBdr>
    </w:div>
    <w:div w:id="1698507302">
      <w:bodyDiv w:val="1"/>
      <w:marLeft w:val="0"/>
      <w:marRight w:val="0"/>
      <w:marTop w:val="0"/>
      <w:marBottom w:val="0"/>
      <w:divBdr>
        <w:top w:val="none" w:sz="0" w:space="0" w:color="auto"/>
        <w:left w:val="none" w:sz="0" w:space="0" w:color="auto"/>
        <w:bottom w:val="none" w:sz="0" w:space="0" w:color="auto"/>
        <w:right w:val="none" w:sz="0" w:space="0" w:color="auto"/>
      </w:divBdr>
    </w:div>
    <w:div w:id="1705255044">
      <w:bodyDiv w:val="1"/>
      <w:marLeft w:val="0"/>
      <w:marRight w:val="0"/>
      <w:marTop w:val="0"/>
      <w:marBottom w:val="0"/>
      <w:divBdr>
        <w:top w:val="none" w:sz="0" w:space="0" w:color="auto"/>
        <w:left w:val="none" w:sz="0" w:space="0" w:color="auto"/>
        <w:bottom w:val="none" w:sz="0" w:space="0" w:color="auto"/>
        <w:right w:val="none" w:sz="0" w:space="0" w:color="auto"/>
      </w:divBdr>
    </w:div>
    <w:div w:id="1706830295">
      <w:bodyDiv w:val="1"/>
      <w:marLeft w:val="0"/>
      <w:marRight w:val="0"/>
      <w:marTop w:val="0"/>
      <w:marBottom w:val="0"/>
      <w:divBdr>
        <w:top w:val="none" w:sz="0" w:space="0" w:color="auto"/>
        <w:left w:val="none" w:sz="0" w:space="0" w:color="auto"/>
        <w:bottom w:val="none" w:sz="0" w:space="0" w:color="auto"/>
        <w:right w:val="none" w:sz="0" w:space="0" w:color="auto"/>
      </w:divBdr>
    </w:div>
    <w:div w:id="1709258018">
      <w:bodyDiv w:val="1"/>
      <w:marLeft w:val="0"/>
      <w:marRight w:val="0"/>
      <w:marTop w:val="0"/>
      <w:marBottom w:val="0"/>
      <w:divBdr>
        <w:top w:val="none" w:sz="0" w:space="0" w:color="auto"/>
        <w:left w:val="none" w:sz="0" w:space="0" w:color="auto"/>
        <w:bottom w:val="none" w:sz="0" w:space="0" w:color="auto"/>
        <w:right w:val="none" w:sz="0" w:space="0" w:color="auto"/>
      </w:divBdr>
    </w:div>
    <w:div w:id="1713925177">
      <w:bodyDiv w:val="1"/>
      <w:marLeft w:val="0"/>
      <w:marRight w:val="0"/>
      <w:marTop w:val="0"/>
      <w:marBottom w:val="0"/>
      <w:divBdr>
        <w:top w:val="none" w:sz="0" w:space="0" w:color="auto"/>
        <w:left w:val="none" w:sz="0" w:space="0" w:color="auto"/>
        <w:bottom w:val="none" w:sz="0" w:space="0" w:color="auto"/>
        <w:right w:val="none" w:sz="0" w:space="0" w:color="auto"/>
      </w:divBdr>
    </w:div>
    <w:div w:id="1719013675">
      <w:bodyDiv w:val="1"/>
      <w:marLeft w:val="0"/>
      <w:marRight w:val="0"/>
      <w:marTop w:val="0"/>
      <w:marBottom w:val="0"/>
      <w:divBdr>
        <w:top w:val="none" w:sz="0" w:space="0" w:color="auto"/>
        <w:left w:val="none" w:sz="0" w:space="0" w:color="auto"/>
        <w:bottom w:val="none" w:sz="0" w:space="0" w:color="auto"/>
        <w:right w:val="none" w:sz="0" w:space="0" w:color="auto"/>
      </w:divBdr>
    </w:div>
    <w:div w:id="1740320512">
      <w:bodyDiv w:val="1"/>
      <w:marLeft w:val="0"/>
      <w:marRight w:val="0"/>
      <w:marTop w:val="0"/>
      <w:marBottom w:val="0"/>
      <w:divBdr>
        <w:top w:val="none" w:sz="0" w:space="0" w:color="auto"/>
        <w:left w:val="none" w:sz="0" w:space="0" w:color="auto"/>
        <w:bottom w:val="none" w:sz="0" w:space="0" w:color="auto"/>
        <w:right w:val="none" w:sz="0" w:space="0" w:color="auto"/>
      </w:divBdr>
    </w:div>
    <w:div w:id="1743333681">
      <w:bodyDiv w:val="1"/>
      <w:marLeft w:val="0"/>
      <w:marRight w:val="0"/>
      <w:marTop w:val="0"/>
      <w:marBottom w:val="0"/>
      <w:divBdr>
        <w:top w:val="none" w:sz="0" w:space="0" w:color="auto"/>
        <w:left w:val="none" w:sz="0" w:space="0" w:color="auto"/>
        <w:bottom w:val="none" w:sz="0" w:space="0" w:color="auto"/>
        <w:right w:val="none" w:sz="0" w:space="0" w:color="auto"/>
      </w:divBdr>
    </w:div>
    <w:div w:id="1746296400">
      <w:bodyDiv w:val="1"/>
      <w:marLeft w:val="0"/>
      <w:marRight w:val="0"/>
      <w:marTop w:val="0"/>
      <w:marBottom w:val="0"/>
      <w:divBdr>
        <w:top w:val="none" w:sz="0" w:space="0" w:color="auto"/>
        <w:left w:val="none" w:sz="0" w:space="0" w:color="auto"/>
        <w:bottom w:val="none" w:sz="0" w:space="0" w:color="auto"/>
        <w:right w:val="none" w:sz="0" w:space="0" w:color="auto"/>
      </w:divBdr>
    </w:div>
    <w:div w:id="1775321759">
      <w:bodyDiv w:val="1"/>
      <w:marLeft w:val="0"/>
      <w:marRight w:val="0"/>
      <w:marTop w:val="0"/>
      <w:marBottom w:val="0"/>
      <w:divBdr>
        <w:top w:val="none" w:sz="0" w:space="0" w:color="auto"/>
        <w:left w:val="none" w:sz="0" w:space="0" w:color="auto"/>
        <w:bottom w:val="none" w:sz="0" w:space="0" w:color="auto"/>
        <w:right w:val="none" w:sz="0" w:space="0" w:color="auto"/>
      </w:divBdr>
    </w:div>
    <w:div w:id="1782799926">
      <w:bodyDiv w:val="1"/>
      <w:marLeft w:val="0"/>
      <w:marRight w:val="0"/>
      <w:marTop w:val="0"/>
      <w:marBottom w:val="0"/>
      <w:divBdr>
        <w:top w:val="none" w:sz="0" w:space="0" w:color="auto"/>
        <w:left w:val="none" w:sz="0" w:space="0" w:color="auto"/>
        <w:bottom w:val="none" w:sz="0" w:space="0" w:color="auto"/>
        <w:right w:val="none" w:sz="0" w:space="0" w:color="auto"/>
      </w:divBdr>
    </w:div>
    <w:div w:id="1788623597">
      <w:bodyDiv w:val="1"/>
      <w:marLeft w:val="0"/>
      <w:marRight w:val="0"/>
      <w:marTop w:val="0"/>
      <w:marBottom w:val="0"/>
      <w:divBdr>
        <w:top w:val="none" w:sz="0" w:space="0" w:color="auto"/>
        <w:left w:val="none" w:sz="0" w:space="0" w:color="auto"/>
        <w:bottom w:val="none" w:sz="0" w:space="0" w:color="auto"/>
        <w:right w:val="none" w:sz="0" w:space="0" w:color="auto"/>
      </w:divBdr>
    </w:div>
    <w:div w:id="1812206158">
      <w:bodyDiv w:val="1"/>
      <w:marLeft w:val="0"/>
      <w:marRight w:val="0"/>
      <w:marTop w:val="0"/>
      <w:marBottom w:val="0"/>
      <w:divBdr>
        <w:top w:val="none" w:sz="0" w:space="0" w:color="auto"/>
        <w:left w:val="none" w:sz="0" w:space="0" w:color="auto"/>
        <w:bottom w:val="none" w:sz="0" w:space="0" w:color="auto"/>
        <w:right w:val="none" w:sz="0" w:space="0" w:color="auto"/>
      </w:divBdr>
    </w:div>
    <w:div w:id="1833567741">
      <w:bodyDiv w:val="1"/>
      <w:marLeft w:val="0"/>
      <w:marRight w:val="0"/>
      <w:marTop w:val="0"/>
      <w:marBottom w:val="0"/>
      <w:divBdr>
        <w:top w:val="none" w:sz="0" w:space="0" w:color="auto"/>
        <w:left w:val="none" w:sz="0" w:space="0" w:color="auto"/>
        <w:bottom w:val="none" w:sz="0" w:space="0" w:color="auto"/>
        <w:right w:val="none" w:sz="0" w:space="0" w:color="auto"/>
      </w:divBdr>
    </w:div>
    <w:div w:id="1843928711">
      <w:bodyDiv w:val="1"/>
      <w:marLeft w:val="0"/>
      <w:marRight w:val="0"/>
      <w:marTop w:val="0"/>
      <w:marBottom w:val="0"/>
      <w:divBdr>
        <w:top w:val="none" w:sz="0" w:space="0" w:color="auto"/>
        <w:left w:val="none" w:sz="0" w:space="0" w:color="auto"/>
        <w:bottom w:val="none" w:sz="0" w:space="0" w:color="auto"/>
        <w:right w:val="none" w:sz="0" w:space="0" w:color="auto"/>
      </w:divBdr>
    </w:div>
    <w:div w:id="1886520100">
      <w:bodyDiv w:val="1"/>
      <w:marLeft w:val="0"/>
      <w:marRight w:val="0"/>
      <w:marTop w:val="0"/>
      <w:marBottom w:val="0"/>
      <w:divBdr>
        <w:top w:val="none" w:sz="0" w:space="0" w:color="auto"/>
        <w:left w:val="none" w:sz="0" w:space="0" w:color="auto"/>
        <w:bottom w:val="none" w:sz="0" w:space="0" w:color="auto"/>
        <w:right w:val="none" w:sz="0" w:space="0" w:color="auto"/>
      </w:divBdr>
    </w:div>
    <w:div w:id="1890801303">
      <w:bodyDiv w:val="1"/>
      <w:marLeft w:val="0"/>
      <w:marRight w:val="0"/>
      <w:marTop w:val="0"/>
      <w:marBottom w:val="0"/>
      <w:divBdr>
        <w:top w:val="none" w:sz="0" w:space="0" w:color="auto"/>
        <w:left w:val="none" w:sz="0" w:space="0" w:color="auto"/>
        <w:bottom w:val="none" w:sz="0" w:space="0" w:color="auto"/>
        <w:right w:val="none" w:sz="0" w:space="0" w:color="auto"/>
      </w:divBdr>
    </w:div>
    <w:div w:id="1907034814">
      <w:bodyDiv w:val="1"/>
      <w:marLeft w:val="0"/>
      <w:marRight w:val="0"/>
      <w:marTop w:val="0"/>
      <w:marBottom w:val="0"/>
      <w:divBdr>
        <w:top w:val="none" w:sz="0" w:space="0" w:color="auto"/>
        <w:left w:val="none" w:sz="0" w:space="0" w:color="auto"/>
        <w:bottom w:val="none" w:sz="0" w:space="0" w:color="auto"/>
        <w:right w:val="none" w:sz="0" w:space="0" w:color="auto"/>
      </w:divBdr>
      <w:divsChild>
        <w:div w:id="138282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93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876966">
      <w:bodyDiv w:val="1"/>
      <w:marLeft w:val="0"/>
      <w:marRight w:val="0"/>
      <w:marTop w:val="0"/>
      <w:marBottom w:val="0"/>
      <w:divBdr>
        <w:top w:val="none" w:sz="0" w:space="0" w:color="auto"/>
        <w:left w:val="none" w:sz="0" w:space="0" w:color="auto"/>
        <w:bottom w:val="none" w:sz="0" w:space="0" w:color="auto"/>
        <w:right w:val="none" w:sz="0" w:space="0" w:color="auto"/>
      </w:divBdr>
    </w:div>
    <w:div w:id="1911891160">
      <w:bodyDiv w:val="1"/>
      <w:marLeft w:val="0"/>
      <w:marRight w:val="0"/>
      <w:marTop w:val="0"/>
      <w:marBottom w:val="0"/>
      <w:divBdr>
        <w:top w:val="none" w:sz="0" w:space="0" w:color="auto"/>
        <w:left w:val="none" w:sz="0" w:space="0" w:color="auto"/>
        <w:bottom w:val="none" w:sz="0" w:space="0" w:color="auto"/>
        <w:right w:val="none" w:sz="0" w:space="0" w:color="auto"/>
      </w:divBdr>
    </w:div>
    <w:div w:id="1918978671">
      <w:bodyDiv w:val="1"/>
      <w:marLeft w:val="0"/>
      <w:marRight w:val="0"/>
      <w:marTop w:val="0"/>
      <w:marBottom w:val="0"/>
      <w:divBdr>
        <w:top w:val="none" w:sz="0" w:space="0" w:color="auto"/>
        <w:left w:val="none" w:sz="0" w:space="0" w:color="auto"/>
        <w:bottom w:val="none" w:sz="0" w:space="0" w:color="auto"/>
        <w:right w:val="none" w:sz="0" w:space="0" w:color="auto"/>
      </w:divBdr>
    </w:div>
    <w:div w:id="1922256139">
      <w:bodyDiv w:val="1"/>
      <w:marLeft w:val="0"/>
      <w:marRight w:val="0"/>
      <w:marTop w:val="0"/>
      <w:marBottom w:val="0"/>
      <w:divBdr>
        <w:top w:val="none" w:sz="0" w:space="0" w:color="auto"/>
        <w:left w:val="none" w:sz="0" w:space="0" w:color="auto"/>
        <w:bottom w:val="none" w:sz="0" w:space="0" w:color="auto"/>
        <w:right w:val="none" w:sz="0" w:space="0" w:color="auto"/>
      </w:divBdr>
    </w:div>
    <w:div w:id="1928153161">
      <w:bodyDiv w:val="1"/>
      <w:marLeft w:val="0"/>
      <w:marRight w:val="0"/>
      <w:marTop w:val="0"/>
      <w:marBottom w:val="0"/>
      <w:divBdr>
        <w:top w:val="none" w:sz="0" w:space="0" w:color="auto"/>
        <w:left w:val="none" w:sz="0" w:space="0" w:color="auto"/>
        <w:bottom w:val="none" w:sz="0" w:space="0" w:color="auto"/>
        <w:right w:val="none" w:sz="0" w:space="0" w:color="auto"/>
      </w:divBdr>
    </w:div>
    <w:div w:id="1935240433">
      <w:bodyDiv w:val="1"/>
      <w:marLeft w:val="0"/>
      <w:marRight w:val="0"/>
      <w:marTop w:val="0"/>
      <w:marBottom w:val="0"/>
      <w:divBdr>
        <w:top w:val="none" w:sz="0" w:space="0" w:color="auto"/>
        <w:left w:val="none" w:sz="0" w:space="0" w:color="auto"/>
        <w:bottom w:val="none" w:sz="0" w:space="0" w:color="auto"/>
        <w:right w:val="none" w:sz="0" w:space="0" w:color="auto"/>
      </w:divBdr>
    </w:div>
    <w:div w:id="1947107197">
      <w:bodyDiv w:val="1"/>
      <w:marLeft w:val="0"/>
      <w:marRight w:val="0"/>
      <w:marTop w:val="0"/>
      <w:marBottom w:val="0"/>
      <w:divBdr>
        <w:top w:val="none" w:sz="0" w:space="0" w:color="auto"/>
        <w:left w:val="none" w:sz="0" w:space="0" w:color="auto"/>
        <w:bottom w:val="none" w:sz="0" w:space="0" w:color="auto"/>
        <w:right w:val="none" w:sz="0" w:space="0" w:color="auto"/>
      </w:divBdr>
    </w:div>
    <w:div w:id="1955820446">
      <w:bodyDiv w:val="1"/>
      <w:marLeft w:val="0"/>
      <w:marRight w:val="0"/>
      <w:marTop w:val="0"/>
      <w:marBottom w:val="0"/>
      <w:divBdr>
        <w:top w:val="none" w:sz="0" w:space="0" w:color="auto"/>
        <w:left w:val="none" w:sz="0" w:space="0" w:color="auto"/>
        <w:bottom w:val="none" w:sz="0" w:space="0" w:color="auto"/>
        <w:right w:val="none" w:sz="0" w:space="0" w:color="auto"/>
      </w:divBdr>
    </w:div>
    <w:div w:id="1962572692">
      <w:bodyDiv w:val="1"/>
      <w:marLeft w:val="0"/>
      <w:marRight w:val="0"/>
      <w:marTop w:val="0"/>
      <w:marBottom w:val="0"/>
      <w:divBdr>
        <w:top w:val="none" w:sz="0" w:space="0" w:color="auto"/>
        <w:left w:val="none" w:sz="0" w:space="0" w:color="auto"/>
        <w:bottom w:val="none" w:sz="0" w:space="0" w:color="auto"/>
        <w:right w:val="none" w:sz="0" w:space="0" w:color="auto"/>
      </w:divBdr>
    </w:div>
    <w:div w:id="1985503303">
      <w:bodyDiv w:val="1"/>
      <w:marLeft w:val="0"/>
      <w:marRight w:val="0"/>
      <w:marTop w:val="0"/>
      <w:marBottom w:val="0"/>
      <w:divBdr>
        <w:top w:val="none" w:sz="0" w:space="0" w:color="auto"/>
        <w:left w:val="none" w:sz="0" w:space="0" w:color="auto"/>
        <w:bottom w:val="none" w:sz="0" w:space="0" w:color="auto"/>
        <w:right w:val="none" w:sz="0" w:space="0" w:color="auto"/>
      </w:divBdr>
    </w:div>
    <w:div w:id="2000696787">
      <w:bodyDiv w:val="1"/>
      <w:marLeft w:val="0"/>
      <w:marRight w:val="0"/>
      <w:marTop w:val="0"/>
      <w:marBottom w:val="0"/>
      <w:divBdr>
        <w:top w:val="none" w:sz="0" w:space="0" w:color="auto"/>
        <w:left w:val="none" w:sz="0" w:space="0" w:color="auto"/>
        <w:bottom w:val="none" w:sz="0" w:space="0" w:color="auto"/>
        <w:right w:val="none" w:sz="0" w:space="0" w:color="auto"/>
      </w:divBdr>
    </w:div>
    <w:div w:id="2004501075">
      <w:bodyDiv w:val="1"/>
      <w:marLeft w:val="0"/>
      <w:marRight w:val="0"/>
      <w:marTop w:val="0"/>
      <w:marBottom w:val="0"/>
      <w:divBdr>
        <w:top w:val="none" w:sz="0" w:space="0" w:color="auto"/>
        <w:left w:val="none" w:sz="0" w:space="0" w:color="auto"/>
        <w:bottom w:val="none" w:sz="0" w:space="0" w:color="auto"/>
        <w:right w:val="none" w:sz="0" w:space="0" w:color="auto"/>
      </w:divBdr>
    </w:div>
    <w:div w:id="2005816515">
      <w:bodyDiv w:val="1"/>
      <w:marLeft w:val="0"/>
      <w:marRight w:val="0"/>
      <w:marTop w:val="0"/>
      <w:marBottom w:val="0"/>
      <w:divBdr>
        <w:top w:val="none" w:sz="0" w:space="0" w:color="auto"/>
        <w:left w:val="none" w:sz="0" w:space="0" w:color="auto"/>
        <w:bottom w:val="none" w:sz="0" w:space="0" w:color="auto"/>
        <w:right w:val="none" w:sz="0" w:space="0" w:color="auto"/>
      </w:divBdr>
    </w:div>
    <w:div w:id="2012830292">
      <w:bodyDiv w:val="1"/>
      <w:marLeft w:val="0"/>
      <w:marRight w:val="0"/>
      <w:marTop w:val="0"/>
      <w:marBottom w:val="0"/>
      <w:divBdr>
        <w:top w:val="none" w:sz="0" w:space="0" w:color="auto"/>
        <w:left w:val="none" w:sz="0" w:space="0" w:color="auto"/>
        <w:bottom w:val="none" w:sz="0" w:space="0" w:color="auto"/>
        <w:right w:val="none" w:sz="0" w:space="0" w:color="auto"/>
      </w:divBdr>
    </w:div>
    <w:div w:id="2024091188">
      <w:bodyDiv w:val="1"/>
      <w:marLeft w:val="0"/>
      <w:marRight w:val="0"/>
      <w:marTop w:val="0"/>
      <w:marBottom w:val="0"/>
      <w:divBdr>
        <w:top w:val="none" w:sz="0" w:space="0" w:color="auto"/>
        <w:left w:val="none" w:sz="0" w:space="0" w:color="auto"/>
        <w:bottom w:val="none" w:sz="0" w:space="0" w:color="auto"/>
        <w:right w:val="none" w:sz="0" w:space="0" w:color="auto"/>
      </w:divBdr>
    </w:div>
    <w:div w:id="2026243151">
      <w:bodyDiv w:val="1"/>
      <w:marLeft w:val="0"/>
      <w:marRight w:val="0"/>
      <w:marTop w:val="0"/>
      <w:marBottom w:val="0"/>
      <w:divBdr>
        <w:top w:val="none" w:sz="0" w:space="0" w:color="auto"/>
        <w:left w:val="none" w:sz="0" w:space="0" w:color="auto"/>
        <w:bottom w:val="none" w:sz="0" w:space="0" w:color="auto"/>
        <w:right w:val="none" w:sz="0" w:space="0" w:color="auto"/>
      </w:divBdr>
    </w:div>
    <w:div w:id="2028023585">
      <w:bodyDiv w:val="1"/>
      <w:marLeft w:val="0"/>
      <w:marRight w:val="0"/>
      <w:marTop w:val="0"/>
      <w:marBottom w:val="0"/>
      <w:divBdr>
        <w:top w:val="none" w:sz="0" w:space="0" w:color="auto"/>
        <w:left w:val="none" w:sz="0" w:space="0" w:color="auto"/>
        <w:bottom w:val="none" w:sz="0" w:space="0" w:color="auto"/>
        <w:right w:val="none" w:sz="0" w:space="0" w:color="auto"/>
      </w:divBdr>
    </w:div>
    <w:div w:id="2028213932">
      <w:bodyDiv w:val="1"/>
      <w:marLeft w:val="0"/>
      <w:marRight w:val="0"/>
      <w:marTop w:val="0"/>
      <w:marBottom w:val="0"/>
      <w:divBdr>
        <w:top w:val="none" w:sz="0" w:space="0" w:color="auto"/>
        <w:left w:val="none" w:sz="0" w:space="0" w:color="auto"/>
        <w:bottom w:val="none" w:sz="0" w:space="0" w:color="auto"/>
        <w:right w:val="none" w:sz="0" w:space="0" w:color="auto"/>
      </w:divBdr>
    </w:div>
    <w:div w:id="2044742792">
      <w:bodyDiv w:val="1"/>
      <w:marLeft w:val="0"/>
      <w:marRight w:val="0"/>
      <w:marTop w:val="0"/>
      <w:marBottom w:val="0"/>
      <w:divBdr>
        <w:top w:val="none" w:sz="0" w:space="0" w:color="auto"/>
        <w:left w:val="none" w:sz="0" w:space="0" w:color="auto"/>
        <w:bottom w:val="none" w:sz="0" w:space="0" w:color="auto"/>
        <w:right w:val="none" w:sz="0" w:space="0" w:color="auto"/>
      </w:divBdr>
    </w:div>
    <w:div w:id="2047366044">
      <w:bodyDiv w:val="1"/>
      <w:marLeft w:val="0"/>
      <w:marRight w:val="0"/>
      <w:marTop w:val="0"/>
      <w:marBottom w:val="0"/>
      <w:divBdr>
        <w:top w:val="none" w:sz="0" w:space="0" w:color="auto"/>
        <w:left w:val="none" w:sz="0" w:space="0" w:color="auto"/>
        <w:bottom w:val="none" w:sz="0" w:space="0" w:color="auto"/>
        <w:right w:val="none" w:sz="0" w:space="0" w:color="auto"/>
      </w:divBdr>
    </w:div>
    <w:div w:id="2050254975">
      <w:bodyDiv w:val="1"/>
      <w:marLeft w:val="0"/>
      <w:marRight w:val="0"/>
      <w:marTop w:val="0"/>
      <w:marBottom w:val="0"/>
      <w:divBdr>
        <w:top w:val="none" w:sz="0" w:space="0" w:color="auto"/>
        <w:left w:val="none" w:sz="0" w:space="0" w:color="auto"/>
        <w:bottom w:val="none" w:sz="0" w:space="0" w:color="auto"/>
        <w:right w:val="none" w:sz="0" w:space="0" w:color="auto"/>
      </w:divBdr>
    </w:div>
    <w:div w:id="2089378298">
      <w:bodyDiv w:val="1"/>
      <w:marLeft w:val="0"/>
      <w:marRight w:val="0"/>
      <w:marTop w:val="0"/>
      <w:marBottom w:val="0"/>
      <w:divBdr>
        <w:top w:val="none" w:sz="0" w:space="0" w:color="auto"/>
        <w:left w:val="none" w:sz="0" w:space="0" w:color="auto"/>
        <w:bottom w:val="none" w:sz="0" w:space="0" w:color="auto"/>
        <w:right w:val="none" w:sz="0" w:space="0" w:color="auto"/>
      </w:divBdr>
    </w:div>
    <w:div w:id="2094164548">
      <w:bodyDiv w:val="1"/>
      <w:marLeft w:val="0"/>
      <w:marRight w:val="0"/>
      <w:marTop w:val="0"/>
      <w:marBottom w:val="0"/>
      <w:divBdr>
        <w:top w:val="none" w:sz="0" w:space="0" w:color="auto"/>
        <w:left w:val="none" w:sz="0" w:space="0" w:color="auto"/>
        <w:bottom w:val="none" w:sz="0" w:space="0" w:color="auto"/>
        <w:right w:val="none" w:sz="0" w:space="0" w:color="auto"/>
      </w:divBdr>
    </w:div>
    <w:div w:id="2103067677">
      <w:bodyDiv w:val="1"/>
      <w:marLeft w:val="0"/>
      <w:marRight w:val="0"/>
      <w:marTop w:val="0"/>
      <w:marBottom w:val="0"/>
      <w:divBdr>
        <w:top w:val="none" w:sz="0" w:space="0" w:color="auto"/>
        <w:left w:val="none" w:sz="0" w:space="0" w:color="auto"/>
        <w:bottom w:val="none" w:sz="0" w:space="0" w:color="auto"/>
        <w:right w:val="none" w:sz="0" w:space="0" w:color="auto"/>
      </w:divBdr>
    </w:div>
    <w:div w:id="2103182762">
      <w:bodyDiv w:val="1"/>
      <w:marLeft w:val="0"/>
      <w:marRight w:val="0"/>
      <w:marTop w:val="0"/>
      <w:marBottom w:val="0"/>
      <w:divBdr>
        <w:top w:val="none" w:sz="0" w:space="0" w:color="auto"/>
        <w:left w:val="none" w:sz="0" w:space="0" w:color="auto"/>
        <w:bottom w:val="none" w:sz="0" w:space="0" w:color="auto"/>
        <w:right w:val="none" w:sz="0" w:space="0" w:color="auto"/>
      </w:divBdr>
      <w:divsChild>
        <w:div w:id="364865029">
          <w:marLeft w:val="374"/>
          <w:marRight w:val="0"/>
          <w:marTop w:val="0"/>
          <w:marBottom w:val="60"/>
          <w:divBdr>
            <w:top w:val="none" w:sz="0" w:space="0" w:color="auto"/>
            <w:left w:val="none" w:sz="0" w:space="0" w:color="auto"/>
            <w:bottom w:val="none" w:sz="0" w:space="0" w:color="auto"/>
            <w:right w:val="none" w:sz="0" w:space="0" w:color="auto"/>
          </w:divBdr>
        </w:div>
        <w:div w:id="1281112688">
          <w:marLeft w:val="374"/>
          <w:marRight w:val="0"/>
          <w:marTop w:val="0"/>
          <w:marBottom w:val="60"/>
          <w:divBdr>
            <w:top w:val="none" w:sz="0" w:space="0" w:color="auto"/>
            <w:left w:val="none" w:sz="0" w:space="0" w:color="auto"/>
            <w:bottom w:val="none" w:sz="0" w:space="0" w:color="auto"/>
            <w:right w:val="none" w:sz="0" w:space="0" w:color="auto"/>
          </w:divBdr>
        </w:div>
        <w:div w:id="1393962748">
          <w:marLeft w:val="374"/>
          <w:marRight w:val="0"/>
          <w:marTop w:val="0"/>
          <w:marBottom w:val="60"/>
          <w:divBdr>
            <w:top w:val="none" w:sz="0" w:space="0" w:color="auto"/>
            <w:left w:val="none" w:sz="0" w:space="0" w:color="auto"/>
            <w:bottom w:val="none" w:sz="0" w:space="0" w:color="auto"/>
            <w:right w:val="none" w:sz="0" w:space="0" w:color="auto"/>
          </w:divBdr>
        </w:div>
        <w:div w:id="1472868784">
          <w:marLeft w:val="374"/>
          <w:marRight w:val="0"/>
          <w:marTop w:val="0"/>
          <w:marBottom w:val="60"/>
          <w:divBdr>
            <w:top w:val="none" w:sz="0" w:space="0" w:color="auto"/>
            <w:left w:val="none" w:sz="0" w:space="0" w:color="auto"/>
            <w:bottom w:val="none" w:sz="0" w:space="0" w:color="auto"/>
            <w:right w:val="none" w:sz="0" w:space="0" w:color="auto"/>
          </w:divBdr>
        </w:div>
        <w:div w:id="1668165503">
          <w:marLeft w:val="374"/>
          <w:marRight w:val="0"/>
          <w:marTop w:val="0"/>
          <w:marBottom w:val="60"/>
          <w:divBdr>
            <w:top w:val="none" w:sz="0" w:space="0" w:color="auto"/>
            <w:left w:val="none" w:sz="0" w:space="0" w:color="auto"/>
            <w:bottom w:val="none" w:sz="0" w:space="0" w:color="auto"/>
            <w:right w:val="none" w:sz="0" w:space="0" w:color="auto"/>
          </w:divBdr>
        </w:div>
        <w:div w:id="2070152313">
          <w:marLeft w:val="374"/>
          <w:marRight w:val="0"/>
          <w:marTop w:val="0"/>
          <w:marBottom w:val="60"/>
          <w:divBdr>
            <w:top w:val="none" w:sz="0" w:space="0" w:color="auto"/>
            <w:left w:val="none" w:sz="0" w:space="0" w:color="auto"/>
            <w:bottom w:val="none" w:sz="0" w:space="0" w:color="auto"/>
            <w:right w:val="none" w:sz="0" w:space="0" w:color="auto"/>
          </w:divBdr>
        </w:div>
        <w:div w:id="2130313778">
          <w:marLeft w:val="374"/>
          <w:marRight w:val="0"/>
          <w:marTop w:val="0"/>
          <w:marBottom w:val="60"/>
          <w:divBdr>
            <w:top w:val="none" w:sz="0" w:space="0" w:color="auto"/>
            <w:left w:val="none" w:sz="0" w:space="0" w:color="auto"/>
            <w:bottom w:val="none" w:sz="0" w:space="0" w:color="auto"/>
            <w:right w:val="none" w:sz="0" w:space="0" w:color="auto"/>
          </w:divBdr>
        </w:div>
      </w:divsChild>
    </w:div>
    <w:div w:id="2112697498">
      <w:bodyDiv w:val="1"/>
      <w:marLeft w:val="0"/>
      <w:marRight w:val="0"/>
      <w:marTop w:val="0"/>
      <w:marBottom w:val="0"/>
      <w:divBdr>
        <w:top w:val="none" w:sz="0" w:space="0" w:color="auto"/>
        <w:left w:val="none" w:sz="0" w:space="0" w:color="auto"/>
        <w:bottom w:val="none" w:sz="0" w:space="0" w:color="auto"/>
        <w:right w:val="none" w:sz="0" w:space="0" w:color="auto"/>
      </w:divBdr>
    </w:div>
    <w:div w:id="2116827708">
      <w:bodyDiv w:val="1"/>
      <w:marLeft w:val="0"/>
      <w:marRight w:val="0"/>
      <w:marTop w:val="0"/>
      <w:marBottom w:val="0"/>
      <w:divBdr>
        <w:top w:val="none" w:sz="0" w:space="0" w:color="auto"/>
        <w:left w:val="none" w:sz="0" w:space="0" w:color="auto"/>
        <w:bottom w:val="none" w:sz="0" w:space="0" w:color="auto"/>
        <w:right w:val="none" w:sz="0" w:space="0" w:color="auto"/>
      </w:divBdr>
    </w:div>
    <w:div w:id="2117283351">
      <w:bodyDiv w:val="1"/>
      <w:marLeft w:val="0"/>
      <w:marRight w:val="0"/>
      <w:marTop w:val="0"/>
      <w:marBottom w:val="0"/>
      <w:divBdr>
        <w:top w:val="none" w:sz="0" w:space="0" w:color="auto"/>
        <w:left w:val="none" w:sz="0" w:space="0" w:color="auto"/>
        <w:bottom w:val="none" w:sz="0" w:space="0" w:color="auto"/>
        <w:right w:val="none" w:sz="0" w:space="0" w:color="auto"/>
      </w:divBdr>
    </w:div>
    <w:div w:id="2123726067">
      <w:bodyDiv w:val="1"/>
      <w:marLeft w:val="0"/>
      <w:marRight w:val="0"/>
      <w:marTop w:val="0"/>
      <w:marBottom w:val="0"/>
      <w:divBdr>
        <w:top w:val="none" w:sz="0" w:space="0" w:color="auto"/>
        <w:left w:val="none" w:sz="0" w:space="0" w:color="auto"/>
        <w:bottom w:val="none" w:sz="0" w:space="0" w:color="auto"/>
        <w:right w:val="none" w:sz="0" w:space="0" w:color="auto"/>
      </w:divBdr>
    </w:div>
    <w:div w:id="2123836490">
      <w:bodyDiv w:val="1"/>
      <w:marLeft w:val="0"/>
      <w:marRight w:val="0"/>
      <w:marTop w:val="0"/>
      <w:marBottom w:val="0"/>
      <w:divBdr>
        <w:top w:val="none" w:sz="0" w:space="0" w:color="auto"/>
        <w:left w:val="none" w:sz="0" w:space="0" w:color="auto"/>
        <w:bottom w:val="none" w:sz="0" w:space="0" w:color="auto"/>
        <w:right w:val="none" w:sz="0" w:space="0" w:color="auto"/>
      </w:divBdr>
    </w:div>
    <w:div w:id="2126804102">
      <w:bodyDiv w:val="1"/>
      <w:marLeft w:val="0"/>
      <w:marRight w:val="0"/>
      <w:marTop w:val="0"/>
      <w:marBottom w:val="0"/>
      <w:divBdr>
        <w:top w:val="none" w:sz="0" w:space="0" w:color="auto"/>
        <w:left w:val="none" w:sz="0" w:space="0" w:color="auto"/>
        <w:bottom w:val="none" w:sz="0" w:space="0" w:color="auto"/>
        <w:right w:val="none" w:sz="0" w:space="0" w:color="auto"/>
      </w:divBdr>
    </w:div>
    <w:div w:id="2131165645">
      <w:bodyDiv w:val="1"/>
      <w:marLeft w:val="0"/>
      <w:marRight w:val="0"/>
      <w:marTop w:val="0"/>
      <w:marBottom w:val="0"/>
      <w:divBdr>
        <w:top w:val="none" w:sz="0" w:space="0" w:color="auto"/>
        <w:left w:val="none" w:sz="0" w:space="0" w:color="auto"/>
        <w:bottom w:val="none" w:sz="0" w:space="0" w:color="auto"/>
        <w:right w:val="none" w:sz="0" w:space="0" w:color="auto"/>
      </w:divBdr>
      <w:divsChild>
        <w:div w:id="18949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86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2891735">
      <w:bodyDiv w:val="1"/>
      <w:marLeft w:val="0"/>
      <w:marRight w:val="0"/>
      <w:marTop w:val="0"/>
      <w:marBottom w:val="0"/>
      <w:divBdr>
        <w:top w:val="none" w:sz="0" w:space="0" w:color="auto"/>
        <w:left w:val="none" w:sz="0" w:space="0" w:color="auto"/>
        <w:bottom w:val="none" w:sz="0" w:space="0" w:color="auto"/>
        <w:right w:val="none" w:sz="0" w:space="0" w:color="auto"/>
      </w:divBdr>
    </w:div>
    <w:div w:id="2146654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mailto:ir@phosagro.ru" TargetMode="External"/><Relationship Id="rId28" Type="http://schemas.openxmlformats.org/officeDocument/2006/relationships/header" Target="header5.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ct:contentTypeSchema xmlns:ct="http://schemas.microsoft.com/office/2006/metadata/contentType" xmlns:ma="http://schemas.microsoft.com/office/2006/metadata/properties/metaAttributes" ct:_="" ma:_="" ma:contentTypeName="Document" ma:contentTypeID="0x0101009D3D41D6ABD2BF44A8577E7E70977C24" ma:contentTypeVersion="11" ma:contentTypeDescription="Create a new document." ma:contentTypeScope="" ma:versionID="09b4ec854fb18ebb187bcb265fc733bc">
  <xsd:schema xmlns:xsd="http://www.w3.org/2001/XMLSchema" xmlns:xs="http://www.w3.org/2001/XMLSchema" xmlns:p="http://schemas.microsoft.com/office/2006/metadata/properties" xmlns:ns2="52c25619-dce8-4858-8ca8-4517a0de4051" targetNamespace="http://schemas.microsoft.com/office/2006/metadata/properties" ma:root="true" ma:fieldsID="985f489fed21282f91b55fbab3ae18ec" ns2:_="">
    <xsd:import namespace="52c25619-dce8-4858-8ca8-4517a0de40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15.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9F5EC-E790-40D6-8A33-49AE088B7E27}">
  <ds:schemaRefs>
    <ds:schemaRef ds:uri="http://schemas.openxmlformats.org/officeDocument/2006/bibliography"/>
  </ds:schemaRefs>
</ds:datastoreItem>
</file>

<file path=customXml/itemProps10.xml><?xml version="1.0" encoding="utf-8"?>
<ds:datastoreItem xmlns:ds="http://schemas.openxmlformats.org/officeDocument/2006/customXml" ds:itemID="{29077B53-0472-441F-AE4C-A580099F6195}">
  <ds:schemaRefs>
    <ds:schemaRef ds:uri="http://schemas.openxmlformats.org/officeDocument/2006/bibliography"/>
  </ds:schemaRefs>
</ds:datastoreItem>
</file>

<file path=customXml/itemProps11.xml><?xml version="1.0" encoding="utf-8"?>
<ds:datastoreItem xmlns:ds="http://schemas.openxmlformats.org/officeDocument/2006/customXml" ds:itemID="{FAABA02F-3B4F-437F-8C00-02391704A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05998CF0-14B5-4578-97EB-753CEC5B6F19}">
  <ds:schemaRefs>
    <ds:schemaRef ds:uri="http://schemas.microsoft.com/sharepoint/v3/contenttype/forms"/>
  </ds:schemaRefs>
</ds:datastoreItem>
</file>

<file path=customXml/itemProps13.xml><?xml version="1.0" encoding="utf-8"?>
<ds:datastoreItem xmlns:ds="http://schemas.openxmlformats.org/officeDocument/2006/customXml" ds:itemID="{A9A1F412-6FD2-4C5E-9B51-869CD1A6D830}">
  <ds:schemaRefs>
    <ds:schemaRef ds:uri="http://schemas.openxmlformats.org/officeDocument/2006/bibliography"/>
  </ds:schemaRefs>
</ds:datastoreItem>
</file>

<file path=customXml/itemProps14.xml><?xml version="1.0" encoding="utf-8"?>
<ds:datastoreItem xmlns:ds="http://schemas.openxmlformats.org/officeDocument/2006/customXml" ds:itemID="{E9ACD4FA-822E-4E2D-AC19-3E190A7BEF01}">
  <ds:schemaRefs>
    <ds:schemaRef ds:uri="http://schemas.microsoft.com/office/2006/metadata/properties"/>
    <ds:schemaRef ds:uri="http://schemas.microsoft.com/office/infopath/2007/PartnerControls"/>
  </ds:schemaRefs>
</ds:datastoreItem>
</file>

<file path=customXml/itemProps15.xml><?xml version="1.0" encoding="utf-8"?>
<ds:datastoreItem xmlns:ds="http://schemas.openxmlformats.org/officeDocument/2006/customXml" ds:itemID="{92A6F315-0196-40CB-BE52-4A00001CA609}">
  <ds:schemaRefs>
    <ds:schemaRef ds:uri="http://schemas.openxmlformats.org/officeDocument/2006/bibliography"/>
  </ds:schemaRefs>
</ds:datastoreItem>
</file>

<file path=customXml/itemProps2.xml><?xml version="1.0" encoding="utf-8"?>
<ds:datastoreItem xmlns:ds="http://schemas.openxmlformats.org/officeDocument/2006/customXml" ds:itemID="{4A0F7C22-2EC7-44BC-9731-711E33802DA0}">
  <ds:schemaRefs>
    <ds:schemaRef ds:uri="http://schemas.openxmlformats.org/officeDocument/2006/bibliography"/>
  </ds:schemaRefs>
</ds:datastoreItem>
</file>

<file path=customXml/itemProps3.xml><?xml version="1.0" encoding="utf-8"?>
<ds:datastoreItem xmlns:ds="http://schemas.openxmlformats.org/officeDocument/2006/customXml" ds:itemID="{3ACFA562-47F9-411A-83B7-8CECE9CEB62F}">
  <ds:schemaRefs>
    <ds:schemaRef ds:uri="http://schemas.openxmlformats.org/officeDocument/2006/bibliography"/>
  </ds:schemaRefs>
</ds:datastoreItem>
</file>

<file path=customXml/itemProps4.xml><?xml version="1.0" encoding="utf-8"?>
<ds:datastoreItem xmlns:ds="http://schemas.openxmlformats.org/officeDocument/2006/customXml" ds:itemID="{FD76B4ED-ABA2-4589-B6EA-3F3BAC354A0E}">
  <ds:schemaRefs>
    <ds:schemaRef ds:uri="http://schemas.openxmlformats.org/officeDocument/2006/bibliography"/>
  </ds:schemaRefs>
</ds:datastoreItem>
</file>

<file path=customXml/itemProps5.xml><?xml version="1.0" encoding="utf-8"?>
<ds:datastoreItem xmlns:ds="http://schemas.openxmlformats.org/officeDocument/2006/customXml" ds:itemID="{21453AE2-A0BC-45C8-B855-A22C8BA23BFD}">
  <ds:schemaRefs>
    <ds:schemaRef ds:uri="http://schemas.openxmlformats.org/officeDocument/2006/bibliography"/>
  </ds:schemaRefs>
</ds:datastoreItem>
</file>

<file path=customXml/itemProps6.xml><?xml version="1.0" encoding="utf-8"?>
<ds:datastoreItem xmlns:ds="http://schemas.openxmlformats.org/officeDocument/2006/customXml" ds:itemID="{DE222186-6816-43E9-8F66-AB2099A33C61}">
  <ds:schemaRefs>
    <ds:schemaRef ds:uri="http://schemas.openxmlformats.org/officeDocument/2006/bibliography"/>
  </ds:schemaRefs>
</ds:datastoreItem>
</file>

<file path=customXml/itemProps7.xml><?xml version="1.0" encoding="utf-8"?>
<ds:datastoreItem xmlns:ds="http://schemas.openxmlformats.org/officeDocument/2006/customXml" ds:itemID="{10B29B36-6A08-46D1-B51F-18CC682C8D90}">
  <ds:schemaRefs>
    <ds:schemaRef ds:uri="http://schemas.openxmlformats.org/officeDocument/2006/bibliography"/>
  </ds:schemaRefs>
</ds:datastoreItem>
</file>

<file path=customXml/itemProps8.xml><?xml version="1.0" encoding="utf-8"?>
<ds:datastoreItem xmlns:ds="http://schemas.openxmlformats.org/officeDocument/2006/customXml" ds:itemID="{34DEDF00-7D5F-4EE5-905F-C2126AFC1307}">
  <ds:schemaRefs>
    <ds:schemaRef ds:uri="http://schemas.openxmlformats.org/officeDocument/2006/bibliography"/>
  </ds:schemaRefs>
</ds:datastoreItem>
</file>

<file path=customXml/itemProps9.xml><?xml version="1.0" encoding="utf-8"?>
<ds:datastoreItem xmlns:ds="http://schemas.openxmlformats.org/officeDocument/2006/customXml" ds:itemID="{0B27D7F0-C3EE-478D-A219-F8A6B9DC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2370</Words>
  <Characters>13515</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CONFIDENTIAL DRAFT NOT FOR RELEASE</vt:lpstr>
      <vt:lpstr>CONFIDENTIAL DRAFT NOT FOR RELEASE</vt:lpstr>
    </vt:vector>
  </TitlesOfParts>
  <Company>Microsoft</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DRAFT NOT FOR RELEASE</dc:title>
  <dc:subject/>
  <dc:creator>Sam Vanderlip</dc:creator>
  <cp:keywords/>
  <dc:description/>
  <cp:lastModifiedBy>Diana Kuspanova</cp:lastModifiedBy>
  <cp:revision>2</cp:revision>
  <cp:lastPrinted>2024-03-13T08:55:00Z</cp:lastPrinted>
  <dcterms:created xsi:type="dcterms:W3CDTF">2024-04-26T16:24:00Z</dcterms:created>
  <dcterms:modified xsi:type="dcterms:W3CDTF">2024-04-26T16:24:00Z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0x0101009D3D41D6ABD2BF44A8577E7E70977C24</vt:lpwstr>
  </property>
</Properties>
</file>