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ED0A6" w14:textId="55357827" w:rsidR="00291983" w:rsidRPr="007B676D" w:rsidRDefault="004A0329">
      <w:pPr>
        <w:pStyle w:val="P68B1DB1-Normal1"/>
        <w:jc w:val="center"/>
        <w:rPr>
          <w:lang w:val="en-GB"/>
        </w:rPr>
      </w:pPr>
      <w:r w:rsidRPr="00A56CE1">
        <w:rPr>
          <w:noProof/>
          <w:lang w:val="ru-RU"/>
        </w:rPr>
        <w:drawing>
          <wp:inline distT="0" distB="0" distL="0" distR="0" wp14:anchorId="7F4F5159" wp14:editId="20F0B3BA">
            <wp:extent cx="1111250" cy="692150"/>
            <wp:effectExtent l="0" t="0" r="0" b="0"/>
            <wp:docPr id="2" name="Рисунок 2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Logo, company nam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9DDF5" w14:textId="77777777" w:rsidR="00291983" w:rsidRPr="007B676D" w:rsidRDefault="00291983">
      <w:pPr>
        <w:jc w:val="center"/>
        <w:rPr>
          <w:rFonts w:ascii="Times New Roman" w:eastAsia="Times New Roman" w:hAnsi="Times New Roman" w:cs="Times New Roman"/>
          <w:b/>
          <w:lang w:val="en-GB"/>
        </w:rPr>
      </w:pPr>
    </w:p>
    <w:p w14:paraId="195927EB" w14:textId="3200F6C6" w:rsidR="00291983" w:rsidRPr="007B676D" w:rsidRDefault="00000000">
      <w:pPr>
        <w:pStyle w:val="P68B1DB1-Normal2"/>
        <w:spacing w:after="120"/>
        <w:jc w:val="center"/>
        <w:rPr>
          <w:lang w:val="en-GB"/>
        </w:rPr>
      </w:pPr>
      <w:r w:rsidRPr="007B676D">
        <w:rPr>
          <w:lang w:val="en-GB"/>
        </w:rPr>
        <w:t xml:space="preserve">PhosAgro Publishes 2023 Integrated Report </w:t>
      </w:r>
    </w:p>
    <w:p w14:paraId="3E3A661E" w14:textId="1F7737D1" w:rsidR="00291983" w:rsidRPr="004A0329" w:rsidRDefault="00000000" w:rsidP="00020E4C">
      <w:pPr>
        <w:pStyle w:val="P68B1DB1-Normal3"/>
        <w:spacing w:after="120"/>
        <w:jc w:val="both"/>
        <w:rPr>
          <w:rFonts w:cs="Times New Roman"/>
          <w:sz w:val="22"/>
          <w:szCs w:val="22"/>
          <w:bdr w:val="none" w:sz="0" w:space="0" w:color="auto"/>
          <w:lang w:val="en-GB"/>
        </w:rPr>
      </w:pPr>
      <w:r w:rsidRPr="004A0329">
        <w:rPr>
          <w:rFonts w:cs="Times New Roman"/>
          <w:b/>
          <w:sz w:val="22"/>
          <w:szCs w:val="22"/>
          <w:lang w:val="en-GB"/>
        </w:rPr>
        <w:t>Moscow</w:t>
      </w:r>
      <w:r w:rsidR="00020E4C" w:rsidRPr="004A0329">
        <w:rPr>
          <w:rFonts w:cs="Times New Roman"/>
          <w:b/>
          <w:sz w:val="22"/>
          <w:szCs w:val="22"/>
          <w:lang w:val="en-US"/>
        </w:rPr>
        <w:t xml:space="preserve"> – </w:t>
      </w:r>
      <w:r w:rsidRPr="004A0329">
        <w:rPr>
          <w:rFonts w:cs="Times New Roman"/>
          <w:sz w:val="22"/>
          <w:szCs w:val="22"/>
          <w:bdr w:val="none" w:sz="0" w:space="0" w:color="auto"/>
          <w:lang w:val="en-GB"/>
        </w:rPr>
        <w:t>PJSC PhosAgro (MOEX, LSE: PHOR), one of the world’s leading vertically integrated phosphate-based fertilizer producers, announces the publication of its Integrated Report for 2023.</w:t>
      </w:r>
    </w:p>
    <w:p w14:paraId="616C6CE1" w14:textId="206E57F3" w:rsidR="00291983" w:rsidRPr="004A0329" w:rsidRDefault="00F058AD" w:rsidP="00020E4C">
      <w:pPr>
        <w:pStyle w:val="P68B1DB1-Normal3"/>
        <w:spacing w:after="120"/>
        <w:jc w:val="both"/>
        <w:rPr>
          <w:rFonts w:cs="Times New Roman"/>
          <w:sz w:val="22"/>
          <w:szCs w:val="22"/>
          <w:bdr w:val="none" w:sz="0" w:space="0" w:color="auto"/>
          <w:lang w:val="en-GB"/>
        </w:rPr>
      </w:pPr>
      <w:r w:rsidRPr="004A0329">
        <w:rPr>
          <w:rFonts w:cs="Times New Roman"/>
          <w:sz w:val="22"/>
          <w:szCs w:val="22"/>
          <w:bdr w:val="none" w:sz="0" w:space="0" w:color="auto"/>
          <w:lang w:val="en-GB"/>
        </w:rPr>
        <w:t xml:space="preserve">The 2023 Integrated Report was provisionally approved by </w:t>
      </w:r>
      <w:proofErr w:type="spellStart"/>
      <w:r w:rsidRPr="004A0329">
        <w:rPr>
          <w:rFonts w:cs="Times New Roman"/>
          <w:sz w:val="22"/>
          <w:szCs w:val="22"/>
          <w:bdr w:val="none" w:sz="0" w:space="0" w:color="auto"/>
          <w:lang w:val="en-GB"/>
        </w:rPr>
        <w:t>PhosAgro’s</w:t>
      </w:r>
      <w:proofErr w:type="spellEnd"/>
      <w:r w:rsidRPr="004A0329">
        <w:rPr>
          <w:rFonts w:cs="Times New Roman"/>
          <w:sz w:val="22"/>
          <w:szCs w:val="22"/>
          <w:bdr w:val="none" w:sz="0" w:space="0" w:color="auto"/>
          <w:lang w:val="en-GB"/>
        </w:rPr>
        <w:t xml:space="preserve"> Board of Directors at a meeting on 26 April 2024 and submitted for approval by the Annual General Meeting of Shareholders for 2023.</w:t>
      </w:r>
    </w:p>
    <w:p w14:paraId="1799E7BB" w14:textId="360CF601" w:rsidR="00291983" w:rsidRPr="004A0329" w:rsidRDefault="00000000" w:rsidP="00020E4C">
      <w:pPr>
        <w:pStyle w:val="P68B1DB1-Normal4"/>
        <w:spacing w:after="120"/>
        <w:jc w:val="both"/>
        <w:rPr>
          <w:rFonts w:cs="Times New Roman"/>
          <w:color w:val="auto"/>
          <w:sz w:val="22"/>
          <w:szCs w:val="22"/>
          <w:lang w:val="en-GB"/>
        </w:rPr>
      </w:pPr>
      <w:r w:rsidRPr="004A0329">
        <w:rPr>
          <w:rFonts w:cs="Times New Roman"/>
          <w:color w:val="auto"/>
          <w:sz w:val="22"/>
          <w:szCs w:val="22"/>
          <w:bdr w:val="none" w:sz="0" w:space="0" w:color="auto"/>
          <w:lang w:val="en-GB"/>
        </w:rPr>
        <w:t>The 2023 Integrated Report is now available to view or download in PDF format from the Company’s website at</w:t>
      </w:r>
      <w:r w:rsidR="009B00C0" w:rsidRPr="004A0329">
        <w:rPr>
          <w:rFonts w:cs="Times New Roman"/>
          <w:color w:val="auto"/>
          <w:sz w:val="22"/>
          <w:szCs w:val="22"/>
          <w:lang w:val="en-GB"/>
        </w:rPr>
        <w:t xml:space="preserve"> </w:t>
      </w:r>
      <w:hyperlink r:id="rId10" w:history="1">
        <w:r w:rsidRPr="004A0329">
          <w:rPr>
            <w:rFonts w:cs="Times New Roman"/>
            <w:color w:val="00B050"/>
            <w:sz w:val="22"/>
            <w:szCs w:val="22"/>
            <w:lang w:val="en-GB"/>
          </w:rPr>
          <w:t>www.phosagro.ru</w:t>
        </w:r>
      </w:hyperlink>
      <w:r w:rsidRPr="004A0329">
        <w:rPr>
          <w:rFonts w:cs="Times New Roman"/>
          <w:color w:val="auto"/>
          <w:sz w:val="22"/>
          <w:szCs w:val="22"/>
          <w:lang w:val="en-GB"/>
        </w:rPr>
        <w:t>. An English version of the report will soon be available through the National Storage Mechanism:</w:t>
      </w:r>
      <w:r w:rsidR="009B00C0" w:rsidRPr="004A0329">
        <w:rPr>
          <w:rFonts w:cs="Times New Roman"/>
          <w:color w:val="auto"/>
          <w:sz w:val="22"/>
          <w:szCs w:val="22"/>
          <w:lang w:val="en-GB"/>
        </w:rPr>
        <w:t xml:space="preserve"> </w:t>
      </w:r>
      <w:hyperlink r:id="rId11" w:anchor="/nsm/nationalstoragemechanism" w:history="1">
        <w:r w:rsidRPr="004A0329">
          <w:rPr>
            <w:rFonts w:cs="Times New Roman"/>
            <w:color w:val="00B050"/>
            <w:sz w:val="22"/>
            <w:szCs w:val="22"/>
            <w:lang w:val="en-GB"/>
          </w:rPr>
          <w:t>https://data.fca.org.uk/#/nsm/nationalstoragemechanism</w:t>
        </w:r>
      </w:hyperlink>
      <w:r w:rsidRPr="004A0329">
        <w:rPr>
          <w:rFonts w:cs="Times New Roman"/>
          <w:color w:val="auto"/>
          <w:sz w:val="22"/>
          <w:szCs w:val="22"/>
          <w:lang w:val="en-GB"/>
        </w:rPr>
        <w:t>.</w:t>
      </w:r>
    </w:p>
    <w:p w14:paraId="6A96ECEC" w14:textId="77777777" w:rsidR="00291983" w:rsidRPr="004A0329" w:rsidRDefault="00000000" w:rsidP="004A0329">
      <w:pPr>
        <w:pStyle w:val="P68B1DB1-Normal22"/>
        <w:snapToGrid w:val="0"/>
        <w:spacing w:before="240" w:after="0"/>
        <w:rPr>
          <w:rFonts w:asciiTheme="minorHAnsi" w:hAnsiTheme="minorHAnsi" w:cstheme="minorHAnsi"/>
          <w:sz w:val="22"/>
          <w:szCs w:val="22"/>
          <w:lang w:val="en-GB"/>
        </w:rPr>
      </w:pPr>
      <w:r w:rsidRPr="004A0329">
        <w:rPr>
          <w:rFonts w:asciiTheme="minorHAnsi" w:hAnsiTheme="minorHAnsi" w:cstheme="minorHAnsi"/>
          <w:sz w:val="22"/>
          <w:szCs w:val="22"/>
          <w:lang w:val="en-GB"/>
        </w:rPr>
        <w:t>About Us</w:t>
      </w:r>
    </w:p>
    <w:p w14:paraId="7AB36BF9" w14:textId="77777777" w:rsidR="004A0329" w:rsidRPr="004A0329" w:rsidRDefault="004A0329" w:rsidP="00020E4C">
      <w:pPr>
        <w:pStyle w:val="P68B1DB1-Normal5"/>
        <w:snapToGrid w:val="0"/>
        <w:rPr>
          <w:rFonts w:eastAsiaTheme="minorHAnsi"/>
          <w:color w:val="auto"/>
          <w:bdr w:val="none" w:sz="0" w:space="0" w:color="auto"/>
          <w:lang w:val="ru-RU"/>
        </w:rPr>
      </w:pPr>
    </w:p>
    <w:p w14:paraId="0EF0A0B7" w14:textId="77777777" w:rsidR="00426970" w:rsidRPr="004A0329" w:rsidRDefault="00426970" w:rsidP="004A0329">
      <w:pPr>
        <w:pStyle w:val="P68B1DB1-Normal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hAnsiTheme="minorHAnsi" w:cstheme="minorHAnsi"/>
          <w:i/>
          <w:iCs/>
          <w:color w:val="auto"/>
          <w:sz w:val="22"/>
          <w:szCs w:val="22"/>
          <w:bdr w:val="none" w:sz="0" w:space="0" w:color="auto"/>
          <w:lang w:val="en-GB"/>
        </w:rPr>
      </w:pPr>
      <w:r w:rsidRPr="004A0329">
        <w:rPr>
          <w:rFonts w:asciiTheme="minorHAnsi" w:hAnsiTheme="minorHAnsi" w:cstheme="minorHAnsi"/>
          <w:i/>
          <w:iCs/>
          <w:color w:val="auto"/>
          <w:sz w:val="22"/>
          <w:szCs w:val="22"/>
          <w:bdr w:val="none" w:sz="0" w:space="0" w:color="auto"/>
          <w:lang w:val="en-GB"/>
        </w:rPr>
        <w:t xml:space="preserve">PhosAgro (www.phosagro.ru) is a vertically integrated Russian company and one of the world’s leading producers of phosphate-based fertilizers and high-grade phosphate rock with P2O5 content of 39% or higher. </w:t>
      </w:r>
      <w:proofErr w:type="spellStart"/>
      <w:r w:rsidRPr="004A0329">
        <w:rPr>
          <w:rFonts w:asciiTheme="minorHAnsi" w:hAnsiTheme="minorHAnsi" w:cstheme="minorHAnsi"/>
          <w:i/>
          <w:iCs/>
          <w:color w:val="auto"/>
          <w:sz w:val="22"/>
          <w:szCs w:val="22"/>
          <w:bdr w:val="none" w:sz="0" w:space="0" w:color="auto"/>
          <w:lang w:val="en-GB"/>
        </w:rPr>
        <w:t>PhosAgro’s</w:t>
      </w:r>
      <w:proofErr w:type="spellEnd"/>
      <w:r w:rsidRPr="004A0329">
        <w:rPr>
          <w:rFonts w:asciiTheme="minorHAnsi" w:hAnsiTheme="minorHAnsi" w:cstheme="minorHAnsi"/>
          <w:i/>
          <w:iCs/>
          <w:color w:val="auto"/>
          <w:sz w:val="22"/>
          <w:szCs w:val="22"/>
          <w:bdr w:val="none" w:sz="0" w:space="0" w:color="auto"/>
          <w:lang w:val="en-GB"/>
        </w:rPr>
        <w:t xml:space="preserve"> high-performance fertilizers produce crops with advanced features.</w:t>
      </w:r>
    </w:p>
    <w:p w14:paraId="405233AB" w14:textId="565A3431" w:rsidR="00426970" w:rsidRPr="004A0329" w:rsidRDefault="00426970" w:rsidP="004A0329">
      <w:pPr>
        <w:pStyle w:val="P68B1DB1-Normal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hAnsiTheme="minorHAnsi" w:cstheme="minorHAnsi"/>
          <w:i/>
          <w:iCs/>
          <w:color w:val="auto"/>
          <w:sz w:val="22"/>
          <w:szCs w:val="22"/>
          <w:bdr w:val="none" w:sz="0" w:space="0" w:color="auto"/>
          <w:lang w:val="en-GB"/>
        </w:rPr>
      </w:pPr>
      <w:r w:rsidRPr="004A0329">
        <w:rPr>
          <w:rFonts w:asciiTheme="minorHAnsi" w:hAnsiTheme="minorHAnsi" w:cstheme="minorHAnsi"/>
          <w:i/>
          <w:iCs/>
          <w:color w:val="auto"/>
          <w:sz w:val="22"/>
          <w:szCs w:val="22"/>
          <w:bdr w:val="none" w:sz="0" w:space="0" w:color="auto"/>
          <w:lang w:val="en-GB"/>
        </w:rPr>
        <w:t>PhosAgro Group is the largest producer of phosphate-based fertilizers in Europe (by total combined capacity for the production of DAP, MAP, NP, NPK and NPS fertilizers), the largest producer of high-grade phosphate rock with P2O5 content of 39%, one of the leading producers of MAP and DAP fertilizers globally, one of the leading producers of monocalcium feed phosphates (MCP) in Europe – and the only such producer in Russia – and Russia’s only producer of nepheline concentrate.</w:t>
      </w:r>
    </w:p>
    <w:p w14:paraId="2C9500E3" w14:textId="77777777" w:rsidR="00426970" w:rsidRPr="004A0329" w:rsidRDefault="00426970" w:rsidP="004A0329">
      <w:pPr>
        <w:pStyle w:val="P68B1DB1-Normal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hAnsiTheme="minorHAnsi" w:cstheme="minorHAnsi"/>
          <w:i/>
          <w:iCs/>
          <w:color w:val="auto"/>
          <w:sz w:val="22"/>
          <w:szCs w:val="22"/>
          <w:bdr w:val="none" w:sz="0" w:space="0" w:color="auto"/>
          <w:lang w:val="en-GB"/>
        </w:rPr>
      </w:pPr>
      <w:proofErr w:type="spellStart"/>
      <w:r w:rsidRPr="004A0329">
        <w:rPr>
          <w:rFonts w:asciiTheme="minorHAnsi" w:hAnsiTheme="minorHAnsi" w:cstheme="minorHAnsi"/>
          <w:i/>
          <w:iCs/>
          <w:color w:val="auto"/>
          <w:sz w:val="22"/>
          <w:szCs w:val="22"/>
          <w:bdr w:val="none" w:sz="0" w:space="0" w:color="auto"/>
          <w:lang w:val="en-GB"/>
        </w:rPr>
        <w:t>PhosAgro’s</w:t>
      </w:r>
      <w:proofErr w:type="spellEnd"/>
      <w:r w:rsidRPr="004A0329">
        <w:rPr>
          <w:rFonts w:asciiTheme="minorHAnsi" w:hAnsiTheme="minorHAnsi" w:cstheme="minorHAnsi"/>
          <w:i/>
          <w:iCs/>
          <w:color w:val="auto"/>
          <w:sz w:val="22"/>
          <w:szCs w:val="22"/>
          <w:bdr w:val="none" w:sz="0" w:space="0" w:color="auto"/>
          <w:lang w:val="en-GB"/>
        </w:rPr>
        <w:t xml:space="preserve"> main products, including phosphate rock, 58 grades of fertilizers, feed phosphates, </w:t>
      </w:r>
      <w:proofErr w:type="gramStart"/>
      <w:r w:rsidRPr="004A0329">
        <w:rPr>
          <w:rFonts w:asciiTheme="minorHAnsi" w:hAnsiTheme="minorHAnsi" w:cstheme="minorHAnsi"/>
          <w:i/>
          <w:iCs/>
          <w:color w:val="auto"/>
          <w:sz w:val="22"/>
          <w:szCs w:val="22"/>
          <w:bdr w:val="none" w:sz="0" w:space="0" w:color="auto"/>
          <w:lang w:val="en-GB"/>
        </w:rPr>
        <w:t>ammonia</w:t>
      </w:r>
      <w:proofErr w:type="gramEnd"/>
      <w:r w:rsidRPr="004A0329">
        <w:rPr>
          <w:rFonts w:asciiTheme="minorHAnsi" w:hAnsiTheme="minorHAnsi" w:cstheme="minorHAnsi"/>
          <w:i/>
          <w:iCs/>
          <w:color w:val="auto"/>
          <w:sz w:val="22"/>
          <w:szCs w:val="22"/>
          <w:bdr w:val="none" w:sz="0" w:space="0" w:color="auto"/>
          <w:lang w:val="en-GB"/>
        </w:rPr>
        <w:t xml:space="preserve"> and sodium tripolyphosphate, are used by customers in 100 countries spanning all the world’s inhabited continents. The Company’s priority markets beyond Russia and the CIS are Latin America, </w:t>
      </w:r>
      <w:proofErr w:type="gramStart"/>
      <w:r w:rsidRPr="004A0329">
        <w:rPr>
          <w:rFonts w:asciiTheme="minorHAnsi" w:hAnsiTheme="minorHAnsi" w:cstheme="minorHAnsi"/>
          <w:i/>
          <w:iCs/>
          <w:color w:val="auto"/>
          <w:sz w:val="22"/>
          <w:szCs w:val="22"/>
          <w:bdr w:val="none" w:sz="0" w:space="0" w:color="auto"/>
          <w:lang w:val="en-GB"/>
        </w:rPr>
        <w:t>Europe</w:t>
      </w:r>
      <w:proofErr w:type="gramEnd"/>
      <w:r w:rsidRPr="004A0329">
        <w:rPr>
          <w:rFonts w:asciiTheme="minorHAnsi" w:hAnsiTheme="minorHAnsi" w:cstheme="minorHAnsi"/>
          <w:i/>
          <w:iCs/>
          <w:color w:val="auto"/>
          <w:sz w:val="22"/>
          <w:szCs w:val="22"/>
          <w:bdr w:val="none" w:sz="0" w:space="0" w:color="auto"/>
          <w:lang w:val="en-GB"/>
        </w:rPr>
        <w:t xml:space="preserve"> and Asia. </w:t>
      </w:r>
    </w:p>
    <w:p w14:paraId="6B4FCF2B" w14:textId="77777777" w:rsidR="00426970" w:rsidRPr="004A0329" w:rsidRDefault="00426970" w:rsidP="004A0329">
      <w:pPr>
        <w:pStyle w:val="P68B1DB1-Normal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hAnsiTheme="minorHAnsi" w:cstheme="minorHAnsi"/>
          <w:i/>
          <w:iCs/>
          <w:color w:val="auto"/>
          <w:sz w:val="22"/>
          <w:szCs w:val="22"/>
          <w:bdr w:val="none" w:sz="0" w:space="0" w:color="auto"/>
          <w:lang w:val="en-GB"/>
        </w:rPr>
      </w:pPr>
      <w:r w:rsidRPr="004A0329">
        <w:rPr>
          <w:rFonts w:asciiTheme="minorHAnsi" w:hAnsiTheme="minorHAnsi" w:cstheme="minorHAnsi"/>
          <w:i/>
          <w:iCs/>
          <w:color w:val="auto"/>
          <w:sz w:val="22"/>
          <w:szCs w:val="22"/>
          <w:bdr w:val="none" w:sz="0" w:space="0" w:color="auto"/>
          <w:lang w:val="en-GB"/>
        </w:rPr>
        <w:t xml:space="preserve">The Company’s shares are listed on the Moscow Exchange and its global depositary receipts (GDRs) are listed on the London Stock Exchange (MOEX and LSE ticker: PHOR). </w:t>
      </w:r>
    </w:p>
    <w:p w14:paraId="07D7A5B1" w14:textId="18A96017" w:rsidR="00291983" w:rsidRPr="004A0329" w:rsidRDefault="00426970" w:rsidP="004A0329">
      <w:pPr>
        <w:pStyle w:val="P68B1DB1-Normal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20"/>
        <w:jc w:val="both"/>
        <w:rPr>
          <w:rFonts w:asciiTheme="minorHAnsi" w:hAnsiTheme="minorHAnsi" w:cstheme="minorHAnsi"/>
          <w:i/>
          <w:iCs/>
          <w:color w:val="auto"/>
          <w:sz w:val="22"/>
          <w:szCs w:val="22"/>
          <w:bdr w:val="none" w:sz="0" w:space="0" w:color="auto"/>
          <w:lang w:val="en-GB"/>
        </w:rPr>
      </w:pPr>
      <w:r w:rsidRPr="004A0329">
        <w:rPr>
          <w:rFonts w:asciiTheme="minorHAnsi" w:hAnsiTheme="minorHAnsi" w:cstheme="minorHAnsi"/>
          <w:i/>
          <w:iCs/>
          <w:color w:val="auto"/>
          <w:sz w:val="22"/>
          <w:szCs w:val="22"/>
          <w:bdr w:val="none" w:sz="0" w:space="0" w:color="auto"/>
          <w:lang w:val="en-GB"/>
        </w:rPr>
        <w:t xml:space="preserve">More information about PhosAgro can be found on our website: </w:t>
      </w:r>
      <w:hyperlink r:id="rId12" w:history="1">
        <w:r w:rsidRPr="004A0329">
          <w:rPr>
            <w:rFonts w:asciiTheme="minorHAnsi" w:hAnsiTheme="minorHAnsi" w:cstheme="minorHAnsi"/>
            <w:iCs/>
            <w:color w:val="auto"/>
            <w:sz w:val="22"/>
            <w:szCs w:val="22"/>
            <w:bdr w:val="none" w:sz="0" w:space="0" w:color="auto"/>
          </w:rPr>
          <w:t>www.phosagro.ru</w:t>
        </w:r>
      </w:hyperlink>
      <w:r w:rsidRPr="004A0329">
        <w:rPr>
          <w:rFonts w:asciiTheme="minorHAnsi" w:hAnsiTheme="minorHAnsi" w:cstheme="minorHAnsi"/>
          <w:i/>
          <w:iCs/>
          <w:color w:val="auto"/>
          <w:sz w:val="22"/>
          <w:szCs w:val="22"/>
          <w:bdr w:val="none" w:sz="0" w:space="0" w:color="auto"/>
          <w:lang w:val="en-GB"/>
        </w:rPr>
        <w:t xml:space="preserve">.    </w:t>
      </w:r>
    </w:p>
    <w:p w14:paraId="72C1282C" w14:textId="77777777" w:rsidR="00291983" w:rsidRPr="007B676D" w:rsidRDefault="00291983">
      <w:pPr>
        <w:spacing w:before="60" w:after="60"/>
        <w:ind w:firstLine="708"/>
        <w:jc w:val="both"/>
        <w:rPr>
          <w:rFonts w:ascii="Times New Roman" w:hAnsi="Times New Roman" w:cs="Times New Roman"/>
          <w:i/>
          <w:sz w:val="18"/>
          <w:lang w:val="en-GB"/>
        </w:rPr>
      </w:pPr>
    </w:p>
    <w:p w14:paraId="5D3F003A" w14:textId="5702CC30" w:rsidR="00291983" w:rsidRPr="007B676D" w:rsidRDefault="00291983">
      <w:pPr>
        <w:shd w:val="clear" w:color="auto" w:fill="FFFFFF"/>
        <w:jc w:val="both"/>
        <w:rPr>
          <w:lang w:val="en-GB"/>
        </w:rPr>
      </w:pPr>
    </w:p>
    <w:sectPr w:rsidR="00291983" w:rsidRPr="007B676D" w:rsidSect="006625D2">
      <w:pgSz w:w="11906" w:h="16838"/>
      <w:pgMar w:top="1440" w:right="1077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95473"/>
    <w:multiLevelType w:val="hybridMultilevel"/>
    <w:tmpl w:val="0A4C66CA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E27768"/>
    <w:multiLevelType w:val="multilevel"/>
    <w:tmpl w:val="518A98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1430E3"/>
    <w:multiLevelType w:val="multilevel"/>
    <w:tmpl w:val="595CB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FB2287"/>
    <w:multiLevelType w:val="hybridMultilevel"/>
    <w:tmpl w:val="DF9C2428"/>
    <w:lvl w:ilvl="0" w:tplc="303AB096">
      <w:numFmt w:val="bullet"/>
      <w:lvlText w:val=""/>
      <w:lvlJc w:val="left"/>
      <w:pPr>
        <w:ind w:left="927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C4B20D5"/>
    <w:multiLevelType w:val="multilevel"/>
    <w:tmpl w:val="6FB01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8507A2"/>
    <w:multiLevelType w:val="multilevel"/>
    <w:tmpl w:val="034CEC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CE1775"/>
    <w:multiLevelType w:val="multilevel"/>
    <w:tmpl w:val="55DE8C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297249">
    <w:abstractNumId w:val="2"/>
  </w:num>
  <w:num w:numId="2" w16cid:durableId="2139566386">
    <w:abstractNumId w:val="4"/>
  </w:num>
  <w:num w:numId="3" w16cid:durableId="1676110019">
    <w:abstractNumId w:val="5"/>
  </w:num>
  <w:num w:numId="4" w16cid:durableId="1898976431">
    <w:abstractNumId w:val="1"/>
  </w:num>
  <w:num w:numId="5" w16cid:durableId="645815872">
    <w:abstractNumId w:val="6"/>
  </w:num>
  <w:num w:numId="6" w16cid:durableId="568462473">
    <w:abstractNumId w:val="0"/>
  </w:num>
  <w:num w:numId="7" w16cid:durableId="706414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D8F"/>
    <w:rsid w:val="000066CF"/>
    <w:rsid w:val="000107E5"/>
    <w:rsid w:val="00011DC8"/>
    <w:rsid w:val="0001258A"/>
    <w:rsid w:val="00015425"/>
    <w:rsid w:val="00020A38"/>
    <w:rsid w:val="00020E4C"/>
    <w:rsid w:val="00022310"/>
    <w:rsid w:val="00025073"/>
    <w:rsid w:val="000251F4"/>
    <w:rsid w:val="00026CCB"/>
    <w:rsid w:val="0003159A"/>
    <w:rsid w:val="00034398"/>
    <w:rsid w:val="000463F2"/>
    <w:rsid w:val="00047A83"/>
    <w:rsid w:val="000509F6"/>
    <w:rsid w:val="00056C4F"/>
    <w:rsid w:val="00060746"/>
    <w:rsid w:val="00060D2F"/>
    <w:rsid w:val="000638CB"/>
    <w:rsid w:val="000675A4"/>
    <w:rsid w:val="000754F9"/>
    <w:rsid w:val="00083399"/>
    <w:rsid w:val="00087A39"/>
    <w:rsid w:val="00094DBC"/>
    <w:rsid w:val="000A2FB1"/>
    <w:rsid w:val="000A6411"/>
    <w:rsid w:val="000A7089"/>
    <w:rsid w:val="000A77FF"/>
    <w:rsid w:val="000B0664"/>
    <w:rsid w:val="000B32CF"/>
    <w:rsid w:val="000C0396"/>
    <w:rsid w:val="000C0715"/>
    <w:rsid w:val="000C1A57"/>
    <w:rsid w:val="000C28C0"/>
    <w:rsid w:val="000C5951"/>
    <w:rsid w:val="000C7D72"/>
    <w:rsid w:val="000D04BA"/>
    <w:rsid w:val="000D26BF"/>
    <w:rsid w:val="000D338D"/>
    <w:rsid w:val="000D562A"/>
    <w:rsid w:val="000D6D0A"/>
    <w:rsid w:val="000E5509"/>
    <w:rsid w:val="000E748B"/>
    <w:rsid w:val="000E7893"/>
    <w:rsid w:val="000F0689"/>
    <w:rsid w:val="000F4803"/>
    <w:rsid w:val="000F4CE1"/>
    <w:rsid w:val="000F5406"/>
    <w:rsid w:val="000F7C03"/>
    <w:rsid w:val="00101C35"/>
    <w:rsid w:val="00101EA5"/>
    <w:rsid w:val="001022C9"/>
    <w:rsid w:val="001038D9"/>
    <w:rsid w:val="00104362"/>
    <w:rsid w:val="00115D1D"/>
    <w:rsid w:val="0011667A"/>
    <w:rsid w:val="0012522C"/>
    <w:rsid w:val="00125EC2"/>
    <w:rsid w:val="001307F1"/>
    <w:rsid w:val="00130CFC"/>
    <w:rsid w:val="00140A43"/>
    <w:rsid w:val="00140FDE"/>
    <w:rsid w:val="001418F3"/>
    <w:rsid w:val="00141FA5"/>
    <w:rsid w:val="0014403C"/>
    <w:rsid w:val="00144361"/>
    <w:rsid w:val="00145289"/>
    <w:rsid w:val="00153122"/>
    <w:rsid w:val="00154AA4"/>
    <w:rsid w:val="0015683B"/>
    <w:rsid w:val="00162D49"/>
    <w:rsid w:val="0017199B"/>
    <w:rsid w:val="00174039"/>
    <w:rsid w:val="00175B88"/>
    <w:rsid w:val="001826B5"/>
    <w:rsid w:val="001838FD"/>
    <w:rsid w:val="001848F9"/>
    <w:rsid w:val="00193A61"/>
    <w:rsid w:val="00195AE5"/>
    <w:rsid w:val="00195FF4"/>
    <w:rsid w:val="00196B25"/>
    <w:rsid w:val="001A15E2"/>
    <w:rsid w:val="001A2547"/>
    <w:rsid w:val="001A2783"/>
    <w:rsid w:val="001A27F1"/>
    <w:rsid w:val="001B19E1"/>
    <w:rsid w:val="001B3880"/>
    <w:rsid w:val="001B576A"/>
    <w:rsid w:val="001C5C5B"/>
    <w:rsid w:val="001C673A"/>
    <w:rsid w:val="001D6EA9"/>
    <w:rsid w:val="001D7BBD"/>
    <w:rsid w:val="001E03AB"/>
    <w:rsid w:val="001E656D"/>
    <w:rsid w:val="001F144B"/>
    <w:rsid w:val="002019FC"/>
    <w:rsid w:val="00204E32"/>
    <w:rsid w:val="00207052"/>
    <w:rsid w:val="002120BD"/>
    <w:rsid w:val="00220871"/>
    <w:rsid w:val="0022276D"/>
    <w:rsid w:val="00222CFD"/>
    <w:rsid w:val="00225529"/>
    <w:rsid w:val="002302DB"/>
    <w:rsid w:val="00232AB6"/>
    <w:rsid w:val="00243A18"/>
    <w:rsid w:val="00244021"/>
    <w:rsid w:val="0024468F"/>
    <w:rsid w:val="00247BF4"/>
    <w:rsid w:val="0025033A"/>
    <w:rsid w:val="002561DA"/>
    <w:rsid w:val="002564E0"/>
    <w:rsid w:val="00257F5B"/>
    <w:rsid w:val="00263520"/>
    <w:rsid w:val="0026542B"/>
    <w:rsid w:val="00265E37"/>
    <w:rsid w:val="00266DCD"/>
    <w:rsid w:val="00281360"/>
    <w:rsid w:val="002840BC"/>
    <w:rsid w:val="002855F7"/>
    <w:rsid w:val="0029027E"/>
    <w:rsid w:val="00291983"/>
    <w:rsid w:val="00293F28"/>
    <w:rsid w:val="00294118"/>
    <w:rsid w:val="0029679F"/>
    <w:rsid w:val="002A0F5C"/>
    <w:rsid w:val="002A1AE7"/>
    <w:rsid w:val="002A21FD"/>
    <w:rsid w:val="002A2BBA"/>
    <w:rsid w:val="002A2DE6"/>
    <w:rsid w:val="002A7B90"/>
    <w:rsid w:val="002B03FD"/>
    <w:rsid w:val="002B1D12"/>
    <w:rsid w:val="002B3580"/>
    <w:rsid w:val="002B45D2"/>
    <w:rsid w:val="002C0012"/>
    <w:rsid w:val="002C17F3"/>
    <w:rsid w:val="002C2BE2"/>
    <w:rsid w:val="002D1A74"/>
    <w:rsid w:val="002D240A"/>
    <w:rsid w:val="002D2B49"/>
    <w:rsid w:val="002D4CAB"/>
    <w:rsid w:val="002E2965"/>
    <w:rsid w:val="002E2A0C"/>
    <w:rsid w:val="002E3FF3"/>
    <w:rsid w:val="002E401E"/>
    <w:rsid w:val="002E6590"/>
    <w:rsid w:val="002E6BA2"/>
    <w:rsid w:val="002E6E1E"/>
    <w:rsid w:val="002E7537"/>
    <w:rsid w:val="00314393"/>
    <w:rsid w:val="003147F4"/>
    <w:rsid w:val="00314FF7"/>
    <w:rsid w:val="0031609E"/>
    <w:rsid w:val="00316C55"/>
    <w:rsid w:val="00317D4F"/>
    <w:rsid w:val="003209E0"/>
    <w:rsid w:val="00322286"/>
    <w:rsid w:val="0032524C"/>
    <w:rsid w:val="00344F52"/>
    <w:rsid w:val="003453CA"/>
    <w:rsid w:val="0034645D"/>
    <w:rsid w:val="00350F0F"/>
    <w:rsid w:val="00356FFA"/>
    <w:rsid w:val="00357674"/>
    <w:rsid w:val="003579BD"/>
    <w:rsid w:val="00362BF9"/>
    <w:rsid w:val="00373887"/>
    <w:rsid w:val="003744A2"/>
    <w:rsid w:val="0038170A"/>
    <w:rsid w:val="003837D6"/>
    <w:rsid w:val="0039219E"/>
    <w:rsid w:val="003A1263"/>
    <w:rsid w:val="003A1976"/>
    <w:rsid w:val="003A660A"/>
    <w:rsid w:val="003B08C2"/>
    <w:rsid w:val="003B149D"/>
    <w:rsid w:val="003B4F49"/>
    <w:rsid w:val="003C003D"/>
    <w:rsid w:val="003C5C01"/>
    <w:rsid w:val="003C60D7"/>
    <w:rsid w:val="003D0902"/>
    <w:rsid w:val="003D28BF"/>
    <w:rsid w:val="003D3C17"/>
    <w:rsid w:val="003D3D27"/>
    <w:rsid w:val="003E3510"/>
    <w:rsid w:val="003E37F3"/>
    <w:rsid w:val="003E606C"/>
    <w:rsid w:val="003F46CA"/>
    <w:rsid w:val="003F7C1C"/>
    <w:rsid w:val="003F7ED0"/>
    <w:rsid w:val="00402D4D"/>
    <w:rsid w:val="00403464"/>
    <w:rsid w:val="00410DC7"/>
    <w:rsid w:val="004164B8"/>
    <w:rsid w:val="0042214F"/>
    <w:rsid w:val="00424BA5"/>
    <w:rsid w:val="00425423"/>
    <w:rsid w:val="00425E48"/>
    <w:rsid w:val="00426970"/>
    <w:rsid w:val="00433F2A"/>
    <w:rsid w:val="00433FDA"/>
    <w:rsid w:val="004346C7"/>
    <w:rsid w:val="00440CED"/>
    <w:rsid w:val="00440D57"/>
    <w:rsid w:val="00441924"/>
    <w:rsid w:val="00444F46"/>
    <w:rsid w:val="0044687F"/>
    <w:rsid w:val="004627A5"/>
    <w:rsid w:val="00465C33"/>
    <w:rsid w:val="0047176C"/>
    <w:rsid w:val="00474CD7"/>
    <w:rsid w:val="004842F5"/>
    <w:rsid w:val="00485674"/>
    <w:rsid w:val="00490A6F"/>
    <w:rsid w:val="0049263D"/>
    <w:rsid w:val="0049449D"/>
    <w:rsid w:val="004A0329"/>
    <w:rsid w:val="004A0346"/>
    <w:rsid w:val="004A1844"/>
    <w:rsid w:val="004A79D2"/>
    <w:rsid w:val="004B3096"/>
    <w:rsid w:val="004B3E24"/>
    <w:rsid w:val="004B72D8"/>
    <w:rsid w:val="004C1D24"/>
    <w:rsid w:val="004C5D27"/>
    <w:rsid w:val="004C6CF4"/>
    <w:rsid w:val="004D2ED5"/>
    <w:rsid w:val="004D5ED7"/>
    <w:rsid w:val="004E0E8C"/>
    <w:rsid w:val="004E4836"/>
    <w:rsid w:val="00501F69"/>
    <w:rsid w:val="00505749"/>
    <w:rsid w:val="00506BE3"/>
    <w:rsid w:val="0051236D"/>
    <w:rsid w:val="005128DF"/>
    <w:rsid w:val="00521AD6"/>
    <w:rsid w:val="005276E9"/>
    <w:rsid w:val="005330B1"/>
    <w:rsid w:val="00534506"/>
    <w:rsid w:val="00543C26"/>
    <w:rsid w:val="00546C5F"/>
    <w:rsid w:val="00547307"/>
    <w:rsid w:val="005639B2"/>
    <w:rsid w:val="005675F2"/>
    <w:rsid w:val="00573F95"/>
    <w:rsid w:val="005802AA"/>
    <w:rsid w:val="005803EC"/>
    <w:rsid w:val="00582B25"/>
    <w:rsid w:val="00584537"/>
    <w:rsid w:val="005A2BCD"/>
    <w:rsid w:val="005A3E59"/>
    <w:rsid w:val="005A5842"/>
    <w:rsid w:val="005A7963"/>
    <w:rsid w:val="005B42AB"/>
    <w:rsid w:val="005C2604"/>
    <w:rsid w:val="005C6047"/>
    <w:rsid w:val="005C70FC"/>
    <w:rsid w:val="005D4261"/>
    <w:rsid w:val="005D5C58"/>
    <w:rsid w:val="005D687F"/>
    <w:rsid w:val="005E1CB9"/>
    <w:rsid w:val="005E3EF6"/>
    <w:rsid w:val="005E4BCA"/>
    <w:rsid w:val="005F1336"/>
    <w:rsid w:val="005F6591"/>
    <w:rsid w:val="005F7D34"/>
    <w:rsid w:val="0060360B"/>
    <w:rsid w:val="00610FD5"/>
    <w:rsid w:val="006135B3"/>
    <w:rsid w:val="00615536"/>
    <w:rsid w:val="0062405E"/>
    <w:rsid w:val="006350F9"/>
    <w:rsid w:val="00636FCC"/>
    <w:rsid w:val="006405EF"/>
    <w:rsid w:val="00645974"/>
    <w:rsid w:val="00651ED8"/>
    <w:rsid w:val="006625D2"/>
    <w:rsid w:val="0066596A"/>
    <w:rsid w:val="00671497"/>
    <w:rsid w:val="00672507"/>
    <w:rsid w:val="0067289B"/>
    <w:rsid w:val="0068400E"/>
    <w:rsid w:val="00696CA3"/>
    <w:rsid w:val="006A08D1"/>
    <w:rsid w:val="006A5C37"/>
    <w:rsid w:val="006B3273"/>
    <w:rsid w:val="006C013A"/>
    <w:rsid w:val="006C3B36"/>
    <w:rsid w:val="006C4BB1"/>
    <w:rsid w:val="006C7CA1"/>
    <w:rsid w:val="006D28E1"/>
    <w:rsid w:val="006D5B06"/>
    <w:rsid w:val="006E1A9D"/>
    <w:rsid w:val="006E2963"/>
    <w:rsid w:val="006E3E17"/>
    <w:rsid w:val="006E3F05"/>
    <w:rsid w:val="006E411F"/>
    <w:rsid w:val="006F13A9"/>
    <w:rsid w:val="006F154A"/>
    <w:rsid w:val="006F7A03"/>
    <w:rsid w:val="00700AE1"/>
    <w:rsid w:val="007017FF"/>
    <w:rsid w:val="0070590F"/>
    <w:rsid w:val="00707721"/>
    <w:rsid w:val="00720AB0"/>
    <w:rsid w:val="00721EDA"/>
    <w:rsid w:val="00730020"/>
    <w:rsid w:val="00733BFE"/>
    <w:rsid w:val="007423FD"/>
    <w:rsid w:val="00745041"/>
    <w:rsid w:val="00747987"/>
    <w:rsid w:val="00762B8B"/>
    <w:rsid w:val="00764BAD"/>
    <w:rsid w:val="0077065C"/>
    <w:rsid w:val="00771D19"/>
    <w:rsid w:val="00772C9A"/>
    <w:rsid w:val="00775E41"/>
    <w:rsid w:val="0078313A"/>
    <w:rsid w:val="00786654"/>
    <w:rsid w:val="0078714E"/>
    <w:rsid w:val="00797F10"/>
    <w:rsid w:val="007A4877"/>
    <w:rsid w:val="007B294A"/>
    <w:rsid w:val="007B3019"/>
    <w:rsid w:val="007B41B5"/>
    <w:rsid w:val="007B676D"/>
    <w:rsid w:val="007C29EE"/>
    <w:rsid w:val="007C3722"/>
    <w:rsid w:val="007D2984"/>
    <w:rsid w:val="007D2F12"/>
    <w:rsid w:val="007E026B"/>
    <w:rsid w:val="007E130F"/>
    <w:rsid w:val="007E27CB"/>
    <w:rsid w:val="007E42BA"/>
    <w:rsid w:val="007E5915"/>
    <w:rsid w:val="007F24D9"/>
    <w:rsid w:val="007F2F43"/>
    <w:rsid w:val="007F525F"/>
    <w:rsid w:val="0080229B"/>
    <w:rsid w:val="008067DF"/>
    <w:rsid w:val="00807DA3"/>
    <w:rsid w:val="00823CAE"/>
    <w:rsid w:val="008264DF"/>
    <w:rsid w:val="00830954"/>
    <w:rsid w:val="00831404"/>
    <w:rsid w:val="00835AF8"/>
    <w:rsid w:val="00837CB0"/>
    <w:rsid w:val="008424E9"/>
    <w:rsid w:val="00845B94"/>
    <w:rsid w:val="008467A0"/>
    <w:rsid w:val="008474B5"/>
    <w:rsid w:val="00852A5D"/>
    <w:rsid w:val="00853EC1"/>
    <w:rsid w:val="00855804"/>
    <w:rsid w:val="00855A9A"/>
    <w:rsid w:val="00863167"/>
    <w:rsid w:val="0086401D"/>
    <w:rsid w:val="0086544D"/>
    <w:rsid w:val="0087535B"/>
    <w:rsid w:val="00881022"/>
    <w:rsid w:val="00887722"/>
    <w:rsid w:val="00896818"/>
    <w:rsid w:val="008A2B5E"/>
    <w:rsid w:val="008A3207"/>
    <w:rsid w:val="008A4930"/>
    <w:rsid w:val="008A498A"/>
    <w:rsid w:val="008A60AF"/>
    <w:rsid w:val="008C6CE4"/>
    <w:rsid w:val="008D30B2"/>
    <w:rsid w:val="008D62A3"/>
    <w:rsid w:val="008E06A6"/>
    <w:rsid w:val="008E2201"/>
    <w:rsid w:val="008E2AA5"/>
    <w:rsid w:val="008E3BA3"/>
    <w:rsid w:val="008E7C73"/>
    <w:rsid w:val="008F0467"/>
    <w:rsid w:val="008F1E4C"/>
    <w:rsid w:val="00901C78"/>
    <w:rsid w:val="00921147"/>
    <w:rsid w:val="00930BB9"/>
    <w:rsid w:val="009338A6"/>
    <w:rsid w:val="00933B36"/>
    <w:rsid w:val="00940165"/>
    <w:rsid w:val="0094077A"/>
    <w:rsid w:val="00946FC7"/>
    <w:rsid w:val="009477D4"/>
    <w:rsid w:val="009623D5"/>
    <w:rsid w:val="00964998"/>
    <w:rsid w:val="00967295"/>
    <w:rsid w:val="0096760B"/>
    <w:rsid w:val="009729B0"/>
    <w:rsid w:val="00976CDA"/>
    <w:rsid w:val="00976EE0"/>
    <w:rsid w:val="00977771"/>
    <w:rsid w:val="00977D38"/>
    <w:rsid w:val="00986451"/>
    <w:rsid w:val="00995559"/>
    <w:rsid w:val="009A0CD5"/>
    <w:rsid w:val="009A1C03"/>
    <w:rsid w:val="009A68C9"/>
    <w:rsid w:val="009A7597"/>
    <w:rsid w:val="009B00C0"/>
    <w:rsid w:val="009B2B37"/>
    <w:rsid w:val="009B312F"/>
    <w:rsid w:val="009B6FBC"/>
    <w:rsid w:val="009B7803"/>
    <w:rsid w:val="009C3FC0"/>
    <w:rsid w:val="009C7370"/>
    <w:rsid w:val="009D0901"/>
    <w:rsid w:val="009D489A"/>
    <w:rsid w:val="009D5CDB"/>
    <w:rsid w:val="009E1332"/>
    <w:rsid w:val="009E25E2"/>
    <w:rsid w:val="009E3D49"/>
    <w:rsid w:val="009E5912"/>
    <w:rsid w:val="009E7491"/>
    <w:rsid w:val="009E776A"/>
    <w:rsid w:val="009F0550"/>
    <w:rsid w:val="009F451C"/>
    <w:rsid w:val="009F7803"/>
    <w:rsid w:val="009F7D93"/>
    <w:rsid w:val="00A00988"/>
    <w:rsid w:val="00A0245F"/>
    <w:rsid w:val="00A03903"/>
    <w:rsid w:val="00A05454"/>
    <w:rsid w:val="00A072AB"/>
    <w:rsid w:val="00A1759F"/>
    <w:rsid w:val="00A25932"/>
    <w:rsid w:val="00A34513"/>
    <w:rsid w:val="00A34B41"/>
    <w:rsid w:val="00A37AD3"/>
    <w:rsid w:val="00A41B63"/>
    <w:rsid w:val="00A4306E"/>
    <w:rsid w:val="00A43A76"/>
    <w:rsid w:val="00A43D1A"/>
    <w:rsid w:val="00A46904"/>
    <w:rsid w:val="00A50B8F"/>
    <w:rsid w:val="00A525CE"/>
    <w:rsid w:val="00A54F64"/>
    <w:rsid w:val="00A56E77"/>
    <w:rsid w:val="00A62D1E"/>
    <w:rsid w:val="00A64226"/>
    <w:rsid w:val="00A660C9"/>
    <w:rsid w:val="00A66120"/>
    <w:rsid w:val="00A70D94"/>
    <w:rsid w:val="00A72A0E"/>
    <w:rsid w:val="00A75347"/>
    <w:rsid w:val="00A76FC1"/>
    <w:rsid w:val="00A77320"/>
    <w:rsid w:val="00A86F4C"/>
    <w:rsid w:val="00A907E3"/>
    <w:rsid w:val="00A9632E"/>
    <w:rsid w:val="00AA2881"/>
    <w:rsid w:val="00AA5516"/>
    <w:rsid w:val="00AA79FF"/>
    <w:rsid w:val="00AB07AF"/>
    <w:rsid w:val="00AB5EF9"/>
    <w:rsid w:val="00AC6BE7"/>
    <w:rsid w:val="00AC7C2F"/>
    <w:rsid w:val="00AD3902"/>
    <w:rsid w:val="00AD69DC"/>
    <w:rsid w:val="00AF0B65"/>
    <w:rsid w:val="00AF49B4"/>
    <w:rsid w:val="00AF57CB"/>
    <w:rsid w:val="00B070BC"/>
    <w:rsid w:val="00B078DA"/>
    <w:rsid w:val="00B1236A"/>
    <w:rsid w:val="00B13E03"/>
    <w:rsid w:val="00B14B91"/>
    <w:rsid w:val="00B15B0A"/>
    <w:rsid w:val="00B231CC"/>
    <w:rsid w:val="00B243F6"/>
    <w:rsid w:val="00B364B7"/>
    <w:rsid w:val="00B43166"/>
    <w:rsid w:val="00B43C32"/>
    <w:rsid w:val="00B44D24"/>
    <w:rsid w:val="00B50642"/>
    <w:rsid w:val="00B53F4A"/>
    <w:rsid w:val="00B56A24"/>
    <w:rsid w:val="00B656A8"/>
    <w:rsid w:val="00B65D8F"/>
    <w:rsid w:val="00B7203A"/>
    <w:rsid w:val="00B73147"/>
    <w:rsid w:val="00B76CCA"/>
    <w:rsid w:val="00B85620"/>
    <w:rsid w:val="00BA32A1"/>
    <w:rsid w:val="00BB06BA"/>
    <w:rsid w:val="00BB2E78"/>
    <w:rsid w:val="00BB37A4"/>
    <w:rsid w:val="00BB52A2"/>
    <w:rsid w:val="00BC24D4"/>
    <w:rsid w:val="00BC61B1"/>
    <w:rsid w:val="00BC6992"/>
    <w:rsid w:val="00BD04CB"/>
    <w:rsid w:val="00BD0DB7"/>
    <w:rsid w:val="00BD3AFE"/>
    <w:rsid w:val="00BD6977"/>
    <w:rsid w:val="00BD783E"/>
    <w:rsid w:val="00BE4F24"/>
    <w:rsid w:val="00BF0E2B"/>
    <w:rsid w:val="00BF4DF1"/>
    <w:rsid w:val="00BF7861"/>
    <w:rsid w:val="00C04D69"/>
    <w:rsid w:val="00C06CDA"/>
    <w:rsid w:val="00C0785E"/>
    <w:rsid w:val="00C07DA0"/>
    <w:rsid w:val="00C1118B"/>
    <w:rsid w:val="00C15661"/>
    <w:rsid w:val="00C15E0B"/>
    <w:rsid w:val="00C22EE1"/>
    <w:rsid w:val="00C31176"/>
    <w:rsid w:val="00C31EF0"/>
    <w:rsid w:val="00C33164"/>
    <w:rsid w:val="00C34A4B"/>
    <w:rsid w:val="00C40B2F"/>
    <w:rsid w:val="00C40B71"/>
    <w:rsid w:val="00C42BF5"/>
    <w:rsid w:val="00C4693B"/>
    <w:rsid w:val="00C5286B"/>
    <w:rsid w:val="00C53EB3"/>
    <w:rsid w:val="00C573F6"/>
    <w:rsid w:val="00C657A4"/>
    <w:rsid w:val="00C66D2E"/>
    <w:rsid w:val="00C6714D"/>
    <w:rsid w:val="00C937A5"/>
    <w:rsid w:val="00C9735B"/>
    <w:rsid w:val="00C9742F"/>
    <w:rsid w:val="00CA110B"/>
    <w:rsid w:val="00CA115F"/>
    <w:rsid w:val="00CA4D67"/>
    <w:rsid w:val="00CA77B7"/>
    <w:rsid w:val="00CB0762"/>
    <w:rsid w:val="00CB350B"/>
    <w:rsid w:val="00CB51EA"/>
    <w:rsid w:val="00CC7CBE"/>
    <w:rsid w:val="00CD0093"/>
    <w:rsid w:val="00CD0403"/>
    <w:rsid w:val="00CD0759"/>
    <w:rsid w:val="00CD4F7C"/>
    <w:rsid w:val="00CD7D45"/>
    <w:rsid w:val="00CE2B1A"/>
    <w:rsid w:val="00CE7CD1"/>
    <w:rsid w:val="00CE7F41"/>
    <w:rsid w:val="00CF1C8D"/>
    <w:rsid w:val="00CF3BE0"/>
    <w:rsid w:val="00D0212F"/>
    <w:rsid w:val="00D07B00"/>
    <w:rsid w:val="00D16C2A"/>
    <w:rsid w:val="00D21D53"/>
    <w:rsid w:val="00D224A9"/>
    <w:rsid w:val="00D3197D"/>
    <w:rsid w:val="00D36922"/>
    <w:rsid w:val="00D41EB1"/>
    <w:rsid w:val="00D4411C"/>
    <w:rsid w:val="00D456A4"/>
    <w:rsid w:val="00D45CB3"/>
    <w:rsid w:val="00D51B83"/>
    <w:rsid w:val="00D55A35"/>
    <w:rsid w:val="00D575CA"/>
    <w:rsid w:val="00D613E0"/>
    <w:rsid w:val="00D61C0D"/>
    <w:rsid w:val="00D61D3A"/>
    <w:rsid w:val="00D74A83"/>
    <w:rsid w:val="00D75683"/>
    <w:rsid w:val="00D75BC9"/>
    <w:rsid w:val="00D82F00"/>
    <w:rsid w:val="00D91C64"/>
    <w:rsid w:val="00D91C83"/>
    <w:rsid w:val="00D96B32"/>
    <w:rsid w:val="00DA2C25"/>
    <w:rsid w:val="00DA32D7"/>
    <w:rsid w:val="00DA3667"/>
    <w:rsid w:val="00DA3873"/>
    <w:rsid w:val="00DA38D3"/>
    <w:rsid w:val="00DB251E"/>
    <w:rsid w:val="00DB799C"/>
    <w:rsid w:val="00DC3287"/>
    <w:rsid w:val="00DC626B"/>
    <w:rsid w:val="00DD290E"/>
    <w:rsid w:val="00DD4D97"/>
    <w:rsid w:val="00DD6AC5"/>
    <w:rsid w:val="00DD75E0"/>
    <w:rsid w:val="00DD7F28"/>
    <w:rsid w:val="00DE21D2"/>
    <w:rsid w:val="00DE5187"/>
    <w:rsid w:val="00DE5330"/>
    <w:rsid w:val="00DF2A06"/>
    <w:rsid w:val="00DF351C"/>
    <w:rsid w:val="00DF6453"/>
    <w:rsid w:val="00DF6CD1"/>
    <w:rsid w:val="00E00AA3"/>
    <w:rsid w:val="00E02598"/>
    <w:rsid w:val="00E0342B"/>
    <w:rsid w:val="00E109E1"/>
    <w:rsid w:val="00E13E09"/>
    <w:rsid w:val="00E14836"/>
    <w:rsid w:val="00E14C74"/>
    <w:rsid w:val="00E15AAF"/>
    <w:rsid w:val="00E17296"/>
    <w:rsid w:val="00E20189"/>
    <w:rsid w:val="00E20A43"/>
    <w:rsid w:val="00E20AAF"/>
    <w:rsid w:val="00E24024"/>
    <w:rsid w:val="00E24C31"/>
    <w:rsid w:val="00E42B11"/>
    <w:rsid w:val="00E44479"/>
    <w:rsid w:val="00E44693"/>
    <w:rsid w:val="00E52871"/>
    <w:rsid w:val="00E624FD"/>
    <w:rsid w:val="00E63155"/>
    <w:rsid w:val="00E6362E"/>
    <w:rsid w:val="00E639C6"/>
    <w:rsid w:val="00E74445"/>
    <w:rsid w:val="00E81536"/>
    <w:rsid w:val="00E83860"/>
    <w:rsid w:val="00E84B93"/>
    <w:rsid w:val="00E91682"/>
    <w:rsid w:val="00E95D6A"/>
    <w:rsid w:val="00E95F0E"/>
    <w:rsid w:val="00E96E2B"/>
    <w:rsid w:val="00EA3823"/>
    <w:rsid w:val="00EA3E4F"/>
    <w:rsid w:val="00EA6C38"/>
    <w:rsid w:val="00EB3FE5"/>
    <w:rsid w:val="00EB4C20"/>
    <w:rsid w:val="00ED1284"/>
    <w:rsid w:val="00ED4630"/>
    <w:rsid w:val="00ED4B16"/>
    <w:rsid w:val="00ED4F05"/>
    <w:rsid w:val="00EE2148"/>
    <w:rsid w:val="00EE6906"/>
    <w:rsid w:val="00EF081F"/>
    <w:rsid w:val="00EF2713"/>
    <w:rsid w:val="00EF4A86"/>
    <w:rsid w:val="00EF5134"/>
    <w:rsid w:val="00F058AD"/>
    <w:rsid w:val="00F05E5D"/>
    <w:rsid w:val="00F062D8"/>
    <w:rsid w:val="00F108B1"/>
    <w:rsid w:val="00F16E31"/>
    <w:rsid w:val="00F16E54"/>
    <w:rsid w:val="00F22E9B"/>
    <w:rsid w:val="00F237AC"/>
    <w:rsid w:val="00F27CC3"/>
    <w:rsid w:val="00F35995"/>
    <w:rsid w:val="00F37860"/>
    <w:rsid w:val="00F3795A"/>
    <w:rsid w:val="00F43345"/>
    <w:rsid w:val="00F43810"/>
    <w:rsid w:val="00F44D39"/>
    <w:rsid w:val="00F461FF"/>
    <w:rsid w:val="00F54DC3"/>
    <w:rsid w:val="00F57A55"/>
    <w:rsid w:val="00F6146D"/>
    <w:rsid w:val="00F74550"/>
    <w:rsid w:val="00F745D9"/>
    <w:rsid w:val="00F75C6F"/>
    <w:rsid w:val="00F76D8C"/>
    <w:rsid w:val="00F776CA"/>
    <w:rsid w:val="00F84A3B"/>
    <w:rsid w:val="00F866B8"/>
    <w:rsid w:val="00F8773B"/>
    <w:rsid w:val="00F93419"/>
    <w:rsid w:val="00F948EE"/>
    <w:rsid w:val="00F957F8"/>
    <w:rsid w:val="00FA49BE"/>
    <w:rsid w:val="00FA51CE"/>
    <w:rsid w:val="00FB3148"/>
    <w:rsid w:val="00FB404A"/>
    <w:rsid w:val="00FB44C4"/>
    <w:rsid w:val="00FB4780"/>
    <w:rsid w:val="00FB5531"/>
    <w:rsid w:val="00FB6183"/>
    <w:rsid w:val="00FC0D82"/>
    <w:rsid w:val="00FC2179"/>
    <w:rsid w:val="00FC4F63"/>
    <w:rsid w:val="00FC5EE6"/>
    <w:rsid w:val="00FC6E2F"/>
    <w:rsid w:val="00FD3A70"/>
    <w:rsid w:val="00FD3CA8"/>
    <w:rsid w:val="00FE6AF5"/>
    <w:rsid w:val="00FF6822"/>
    <w:rsid w:val="00FF6EEC"/>
    <w:rsid w:val="00FF76B4"/>
    <w:rsid w:val="132D63C0"/>
    <w:rsid w:val="1C1AA81A"/>
    <w:rsid w:val="27632D5D"/>
    <w:rsid w:val="299E1E16"/>
    <w:rsid w:val="2DD61747"/>
    <w:rsid w:val="2FEB54DB"/>
    <w:rsid w:val="420A60F4"/>
    <w:rsid w:val="47AC523D"/>
    <w:rsid w:val="48B7A022"/>
    <w:rsid w:val="4ACFDD9F"/>
    <w:rsid w:val="506FE5A6"/>
    <w:rsid w:val="61948F8C"/>
    <w:rsid w:val="6DCA9625"/>
    <w:rsid w:val="701DC0C2"/>
    <w:rsid w:val="7207360D"/>
    <w:rsid w:val="7CE3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61759"/>
  <w15:chartTrackingRefBased/>
  <w15:docId w15:val="{D71462BA-E34F-45BF-9B3F-B23FD37C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65D8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u w:color="000000"/>
      <w:bdr w:val="nil"/>
    </w:rPr>
  </w:style>
  <w:style w:type="paragraph" w:styleId="2">
    <w:name w:val="heading 2"/>
    <w:basedOn w:val="a"/>
    <w:link w:val="20"/>
    <w:uiPriority w:val="9"/>
    <w:qFormat/>
    <w:rsid w:val="004B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color w:val="auto"/>
      <w:sz w:val="36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yperlink0">
    <w:name w:val="Hyperlink.0"/>
    <w:basedOn w:val="a0"/>
    <w:rsid w:val="00B65D8F"/>
    <w:rPr>
      <w:rFonts w:ascii="Times New Roman" w:eastAsia="Times New Roman" w:hAnsi="Times New Roman" w:cs="Times New Roman"/>
      <w:i/>
      <w:color w:val="0563C1"/>
      <w:sz w:val="18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paragraph" w:styleId="a3">
    <w:name w:val="Normal (Web)"/>
    <w:basedOn w:val="a"/>
    <w:uiPriority w:val="99"/>
    <w:semiHidden/>
    <w:unhideWhenUsed/>
    <w:rsid w:val="00A70D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paragraph" w:styleId="a4">
    <w:name w:val="Balloon Text"/>
    <w:basedOn w:val="a"/>
    <w:link w:val="a5"/>
    <w:uiPriority w:val="99"/>
    <w:semiHidden/>
    <w:unhideWhenUsed/>
    <w:rsid w:val="000C5951"/>
    <w:rPr>
      <w:rFonts w:ascii="Segoe UI" w:hAnsi="Segoe UI" w:cs="Segoe UI"/>
      <w:sz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5951"/>
    <w:rPr>
      <w:rFonts w:ascii="Segoe UI" w:eastAsia="Calibri" w:hAnsi="Segoe UI" w:cs="Segoe UI"/>
      <w:color w:val="000000"/>
      <w:sz w:val="18"/>
      <w:u w:color="000000"/>
      <w:bdr w:val="nil"/>
    </w:rPr>
  </w:style>
  <w:style w:type="character" w:styleId="a6">
    <w:name w:val="Subtle Reference"/>
    <w:basedOn w:val="a0"/>
    <w:uiPriority w:val="31"/>
    <w:qFormat/>
    <w:rsid w:val="008474B5"/>
    <w:rPr>
      <w:smallCaps/>
      <w:color w:val="5A5A5A" w:themeColor="text1" w:themeTint="A5"/>
    </w:rPr>
  </w:style>
  <w:style w:type="paragraph" w:styleId="a7">
    <w:name w:val="List Paragraph"/>
    <w:aliases w:val="ПАРАГРАФ,List Paragraph à moi,Абзац списка для документа,List Paragraph1,Proposal Bullet List,TOC style,Table,Содержание. 2 уровень,Список нумерованный цифры,Варианты ответов,UL,Абзац маркированнный,Список_Ав,Список с булитами,LSTBUL,lp1"/>
    <w:basedOn w:val="a"/>
    <w:link w:val="a8"/>
    <w:qFormat/>
    <w:rsid w:val="00D91C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Times New Roman" w:eastAsiaTheme="minorHAnsi" w:hAnsi="Times New Roman" w:cs="Times New Roman"/>
      <w:color w:val="auto"/>
      <w:bdr w:val="none" w:sz="0" w:space="0" w:color="auto"/>
    </w:rPr>
  </w:style>
  <w:style w:type="character" w:customStyle="1" w:styleId="a8">
    <w:name w:val="Абзац списка Знак"/>
    <w:aliases w:val="ПАРАГРАФ Знак,List Paragraph à moi Знак,Абзац списка для документа Знак,List Paragraph1 Знак,Proposal Bullet List Знак,TOC style Знак,Table Знак,Содержание. 2 уровень Знак,Список нумерованный цифры Знак,Варианты ответов Знак,UL Знак"/>
    <w:basedOn w:val="a0"/>
    <w:link w:val="a7"/>
    <w:qFormat/>
    <w:locked/>
    <w:rsid w:val="00D91C64"/>
    <w:rPr>
      <w:rFonts w:ascii="Times New Roman" w:hAnsi="Times New Roman" w:cs="Times New Roman"/>
      <w:sz w:val="24"/>
    </w:rPr>
  </w:style>
  <w:style w:type="character" w:styleId="a9">
    <w:name w:val="annotation reference"/>
    <w:basedOn w:val="a0"/>
    <w:uiPriority w:val="99"/>
    <w:semiHidden/>
    <w:unhideWhenUsed/>
    <w:rsid w:val="006B3273"/>
    <w:rPr>
      <w:sz w:val="16"/>
    </w:rPr>
  </w:style>
  <w:style w:type="paragraph" w:styleId="aa">
    <w:name w:val="annotation text"/>
    <w:basedOn w:val="a"/>
    <w:link w:val="ab"/>
    <w:uiPriority w:val="99"/>
    <w:semiHidden/>
    <w:unhideWhenUsed/>
    <w:rsid w:val="006B3273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B3273"/>
    <w:rPr>
      <w:rFonts w:ascii="Calibri" w:eastAsia="Calibri" w:hAnsi="Calibri" w:cs="Calibri"/>
      <w:color w:val="000000"/>
      <w:sz w:val="20"/>
      <w:u w:color="000000"/>
      <w:bdr w:val="nil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B3273"/>
    <w:rPr>
      <w:b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B3273"/>
    <w:rPr>
      <w:rFonts w:ascii="Calibri" w:eastAsia="Calibri" w:hAnsi="Calibri" w:cs="Calibri"/>
      <w:b/>
      <w:color w:val="000000"/>
      <w:sz w:val="20"/>
      <w:u w:color="000000"/>
      <w:bdr w:val="nil"/>
    </w:rPr>
  </w:style>
  <w:style w:type="character" w:customStyle="1" w:styleId="20">
    <w:name w:val="Заголовок 2 Знак"/>
    <w:basedOn w:val="a0"/>
    <w:link w:val="2"/>
    <w:uiPriority w:val="9"/>
    <w:rsid w:val="004B3096"/>
    <w:rPr>
      <w:rFonts w:ascii="Times New Roman" w:eastAsia="Times New Roman" w:hAnsi="Times New Roman" w:cs="Times New Roman"/>
      <w:b/>
      <w:sz w:val="36"/>
    </w:rPr>
  </w:style>
  <w:style w:type="paragraph" w:customStyle="1" w:styleId="ywx5e">
    <w:name w:val="ywx5e"/>
    <w:basedOn w:val="a"/>
    <w:rsid w:val="004B30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character" w:styleId="ae">
    <w:name w:val="Strong"/>
    <w:basedOn w:val="a0"/>
    <w:uiPriority w:val="22"/>
    <w:qFormat/>
    <w:rsid w:val="004B3096"/>
    <w:rPr>
      <w:b/>
    </w:rPr>
  </w:style>
  <w:style w:type="character" w:styleId="af">
    <w:name w:val="Hyperlink"/>
    <w:basedOn w:val="a0"/>
    <w:uiPriority w:val="99"/>
    <w:unhideWhenUsed/>
    <w:rsid w:val="00FB44C4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FB44C4"/>
    <w:rPr>
      <w:color w:val="605E5C"/>
      <w:shd w:val="clear" w:color="auto" w:fill="E1DFDD"/>
    </w:rPr>
  </w:style>
  <w:style w:type="paragraph" w:customStyle="1" w:styleId="1">
    <w:name w:val="Текст1"/>
    <w:basedOn w:val="a"/>
    <w:rsid w:val="001C67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eastAsiaTheme="minorHAnsi"/>
      <w:sz w:val="22"/>
      <w:bdr w:val="none" w:sz="0" w:space="0" w:color="auto"/>
    </w:rPr>
  </w:style>
  <w:style w:type="character" w:customStyle="1" w:styleId="af1">
    <w:name w:val="a"/>
    <w:basedOn w:val="a0"/>
    <w:rsid w:val="001C673A"/>
  </w:style>
  <w:style w:type="paragraph" w:customStyle="1" w:styleId="P68B1DB1-Normal1">
    <w:name w:val="P68B1DB1-Normal1"/>
    <w:basedOn w:val="a"/>
    <w:rPr>
      <w:rFonts w:ascii="Times New Roman" w:eastAsia="Times New Roman" w:hAnsi="Times New Roman" w:cs="Times New Roman"/>
      <w:b/>
    </w:rPr>
  </w:style>
  <w:style w:type="paragraph" w:customStyle="1" w:styleId="P68B1DB1-Normal2">
    <w:name w:val="P68B1DB1-Normal2"/>
    <w:basedOn w:val="a"/>
    <w:rPr>
      <w:rFonts w:ascii="Times New Roman" w:hAnsi="Times New Roman" w:cs="Times New Roman"/>
      <w:b/>
    </w:rPr>
  </w:style>
  <w:style w:type="paragraph" w:customStyle="1" w:styleId="P68B1DB1-Normal3">
    <w:name w:val="P68B1DB1-Normal3"/>
    <w:basedOn w:val="a"/>
    <w:rPr>
      <w:rFonts w:ascii="Times New Roman" w:hAnsi="Times New Roman"/>
      <w:color w:val="auto"/>
    </w:rPr>
  </w:style>
  <w:style w:type="paragraph" w:customStyle="1" w:styleId="P68B1DB1-Normal4">
    <w:name w:val="P68B1DB1-Normal4"/>
    <w:basedOn w:val="a"/>
    <w:rPr>
      <w:rFonts w:ascii="Times New Roman" w:hAnsi="Times New Roman"/>
    </w:rPr>
  </w:style>
  <w:style w:type="paragraph" w:customStyle="1" w:styleId="P68B1DB1-Normal5">
    <w:name w:val="P68B1DB1-Normal5"/>
    <w:basedOn w:val="a"/>
    <w:rPr>
      <w:rFonts w:ascii="Times New Roman" w:hAnsi="Times New Roman" w:cs="Times New Roman"/>
      <w:b/>
      <w:sz w:val="18"/>
    </w:rPr>
  </w:style>
  <w:style w:type="paragraph" w:customStyle="1" w:styleId="P68B1DB1-Normal6">
    <w:name w:val="P68B1DB1-Normal6"/>
    <w:basedOn w:val="a"/>
    <w:rPr>
      <w:rFonts w:ascii="Times New Roman" w:hAnsi="Times New Roman" w:cs="Times New Roman"/>
      <w:sz w:val="18"/>
    </w:rPr>
  </w:style>
  <w:style w:type="paragraph" w:customStyle="1" w:styleId="P68B1DB1-Normal7">
    <w:name w:val="P68B1DB1-Normal7"/>
    <w:basedOn w:val="a"/>
    <w:rPr>
      <w:rFonts w:ascii="Times New Roman" w:hAnsi="Times New Roman" w:cs="Times New Roman"/>
      <w:i/>
      <w:sz w:val="18"/>
    </w:rPr>
  </w:style>
  <w:style w:type="paragraph" w:styleId="af2">
    <w:name w:val="Revision"/>
    <w:hidden/>
    <w:uiPriority w:val="99"/>
    <w:semiHidden/>
    <w:rsid w:val="00F058AD"/>
    <w:pPr>
      <w:spacing w:after="0" w:line="240" w:lineRule="auto"/>
    </w:pPr>
    <w:rPr>
      <w:rFonts w:ascii="Calibri" w:eastAsia="Calibri" w:hAnsi="Calibri" w:cs="Calibri"/>
      <w:color w:val="000000"/>
      <w:sz w:val="24"/>
      <w:u w:color="000000"/>
      <w:bdr w:val="nil"/>
    </w:rPr>
  </w:style>
  <w:style w:type="paragraph" w:customStyle="1" w:styleId="P68B1DB1-Normal22">
    <w:name w:val="P68B1DB1-Normal22"/>
    <w:basedOn w:val="a"/>
    <w:rsid w:val="004A03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eastAsia="SimSun" w:cs="Times New Roman"/>
      <w:b/>
      <w:color w:val="auto"/>
      <w:sz w:val="2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29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hosagro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ata.fca.org.uk/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phosagro.ru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3D41D6ABD2BF44A8577E7E70977C24" ma:contentTypeVersion="18" ma:contentTypeDescription="Create a new document." ma:contentTypeScope="" ma:versionID="2132d3ea2843bff4c187d67eb8e0e58d">
  <xsd:schema xmlns:xsd="http://www.w3.org/2001/XMLSchema" xmlns:xs="http://www.w3.org/2001/XMLSchema" xmlns:p="http://schemas.microsoft.com/office/2006/metadata/properties" xmlns:ns2="52c25619-dce8-4858-8ca8-4517a0de4051" xmlns:ns3="3c833385-f152-468b-bcbb-e7a43554f696" targetNamespace="http://schemas.microsoft.com/office/2006/metadata/properties" ma:root="true" ma:fieldsID="5224fb03b3baca284f37ed91f55a77f8" ns2:_="" ns3:_="">
    <xsd:import namespace="52c25619-dce8-4858-8ca8-4517a0de4051"/>
    <xsd:import namespace="3c833385-f152-468b-bcbb-e7a43554f6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25619-dce8-4858-8ca8-4517a0de4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547f57f-e31b-48b1-bb8a-62d5314f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33385-f152-468b-bcbb-e7a43554f69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e081875-5dc9-4de1-b2e1-037f01d2ca35}" ma:internalName="TaxCatchAll" ma:showField="CatchAllData" ma:web="3c833385-f152-468b-bcbb-e7a43554f6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833385-f152-468b-bcbb-e7a43554f696" xsi:nil="true"/>
    <lcf76f155ced4ddcb4097134ff3c332f xmlns="52c25619-dce8-4858-8ca8-4517a0de40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B16068-2715-4A0B-BAAC-BF31C42B6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25619-dce8-4858-8ca8-4517a0de4051"/>
    <ds:schemaRef ds:uri="3c833385-f152-468b-bcbb-e7a43554f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AF57DE-3FAA-4D10-80EB-6D73EA2ABF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4EEEBC-26C0-4B9F-87FB-D0347F3D48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5E0034-8933-45FA-9963-C730C4583D32}">
  <ds:schemaRefs>
    <ds:schemaRef ds:uri="http://schemas.microsoft.com/office/2006/metadata/properties"/>
    <ds:schemaRef ds:uri="http://schemas.microsoft.com/office/infopath/2007/PartnerControls"/>
    <ds:schemaRef ds:uri="3c833385-f152-468b-bcbb-e7a43554f696"/>
    <ds:schemaRef ds:uri="52c25619-dce8-4858-8ca8-4517a0de40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Links>
    <vt:vector size="24" baseType="variant">
      <vt:variant>
        <vt:i4>8126513</vt:i4>
      </vt:variant>
      <vt:variant>
        <vt:i4>9</vt:i4>
      </vt:variant>
      <vt:variant>
        <vt:i4>0</vt:i4>
      </vt:variant>
      <vt:variant>
        <vt:i4>5</vt:i4>
      </vt:variant>
      <vt:variant>
        <vt:lpwstr>http://www.phosagro.ru/</vt:lpwstr>
      </vt:variant>
      <vt:variant>
        <vt:lpwstr/>
      </vt:variant>
      <vt:variant>
        <vt:i4>8126513</vt:i4>
      </vt:variant>
      <vt:variant>
        <vt:i4>6</vt:i4>
      </vt:variant>
      <vt:variant>
        <vt:i4>0</vt:i4>
      </vt:variant>
      <vt:variant>
        <vt:i4>5</vt:i4>
      </vt:variant>
      <vt:variant>
        <vt:lpwstr>http://www.phosagro.ru/</vt:lpwstr>
      </vt:variant>
      <vt:variant>
        <vt:lpwstr/>
      </vt:variant>
      <vt:variant>
        <vt:i4>5963802</vt:i4>
      </vt:variant>
      <vt:variant>
        <vt:i4>3</vt:i4>
      </vt:variant>
      <vt:variant>
        <vt:i4>0</vt:i4>
      </vt:variant>
      <vt:variant>
        <vt:i4>5</vt:i4>
      </vt:variant>
      <vt:variant>
        <vt:lpwstr>https://data.fca.org.uk/</vt:lpwstr>
      </vt:variant>
      <vt:variant>
        <vt:lpwstr>/nsm/nationalstoragemechanism</vt:lpwstr>
      </vt:variant>
      <vt:variant>
        <vt:i4>393239</vt:i4>
      </vt:variant>
      <vt:variant>
        <vt:i4>0</vt:i4>
      </vt:variant>
      <vt:variant>
        <vt:i4>0</vt:i4>
      </vt:variant>
      <vt:variant>
        <vt:i4>5</vt:i4>
      </vt:variant>
      <vt:variant>
        <vt:lpwstr>https://www.phosagro.ru/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Кузеванов Иван Сергеевич</dc:creator>
  <cp:keywords/>
  <dc:description/>
  <cp:lastModifiedBy>Maria Zhmurko</cp:lastModifiedBy>
  <cp:revision>5</cp:revision>
  <cp:lastPrinted>2023-02-07T17:07:00Z</cp:lastPrinted>
  <dcterms:created xsi:type="dcterms:W3CDTF">2024-04-24T13:29:00Z</dcterms:created>
  <dcterms:modified xsi:type="dcterms:W3CDTF">2024-04-24T13:51:00Z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0x0101009D3D41D6ABD2BF44A8577E7E70977C24</vt:lpwstr>
  </property>
  <property fmtid="{D5CDD505-2E9C-101B-9397-08002B2CF9AE}" pid="3" name="MediaServiceImageTags">
    <vt:lpwstr/>
  </property>
</Properties>
</file>