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DE1F9" w14:textId="18AE992C" w:rsidR="00572120" w:rsidRPr="00343233" w:rsidRDefault="00343233">
      <w:pPr>
        <w:pStyle w:val="P68B1DB1-o1"/>
        <w:spacing w:before="0" w:after="0"/>
        <w:jc w:val="center"/>
        <w:rPr>
          <w:rFonts w:ascii="Calibri" w:eastAsia="Calibri" w:hAnsi="Calibri" w:cs="Calibri"/>
          <w:sz w:val="22"/>
          <w:szCs w:val="22"/>
          <w:highlight w:val="yellow"/>
          <w:lang w:val="en-GB"/>
        </w:rPr>
      </w:pPr>
      <w:bookmarkStart w:id="0" w:name="_GoBack"/>
      <w:bookmarkEnd w:id="0"/>
      <w:r w:rsidRPr="00343233">
        <w:rPr>
          <w:rFonts w:ascii="Calibri" w:hAnsi="Calibri" w:cs="Calibri"/>
          <w:noProof/>
          <w:sz w:val="22"/>
          <w:szCs w:val="22"/>
          <w:lang w:val="ru-RU" w:eastAsia="ru-RU"/>
        </w:rPr>
        <w:drawing>
          <wp:inline distT="0" distB="0" distL="0" distR="0" wp14:anchorId="7D36DA63" wp14:editId="3C650B04">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9B2FEC0" w14:textId="77777777" w:rsidR="00572120" w:rsidRPr="00343233" w:rsidRDefault="00572120">
      <w:pPr>
        <w:pStyle w:val="o"/>
        <w:spacing w:before="0" w:after="0"/>
        <w:jc w:val="center"/>
        <w:rPr>
          <w:rFonts w:ascii="Calibri" w:eastAsia="Calibri" w:hAnsi="Calibri" w:cs="Calibri"/>
          <w:b/>
          <w:sz w:val="22"/>
          <w:szCs w:val="22"/>
          <w:lang w:val="en-GB"/>
        </w:rPr>
      </w:pPr>
    </w:p>
    <w:p w14:paraId="22E3D7CE" w14:textId="23BB8DD8" w:rsidR="00572120" w:rsidRPr="00343233" w:rsidRDefault="0082774A">
      <w:pPr>
        <w:pStyle w:val="P68B1DB1-o2"/>
        <w:spacing w:before="0" w:after="0"/>
        <w:ind w:left="-426"/>
        <w:jc w:val="center"/>
        <w:rPr>
          <w:rFonts w:ascii="Calibri" w:hAnsi="Calibri" w:cs="Calibri"/>
          <w:sz w:val="22"/>
          <w:szCs w:val="22"/>
          <w:lang w:val="en-GB"/>
        </w:rPr>
      </w:pPr>
      <w:bookmarkStart w:id="1" w:name="_Hlk158034060"/>
      <w:r w:rsidRPr="00343233">
        <w:rPr>
          <w:rFonts w:ascii="Calibri" w:hAnsi="Calibri" w:cs="Calibri"/>
          <w:sz w:val="22"/>
          <w:szCs w:val="22"/>
          <w:lang w:val="en-GB"/>
        </w:rPr>
        <w:t>PhosAgro Increases Agrochemical Production by Nearly 7% in 1Q to Record 3 Million Tonnes</w:t>
      </w:r>
    </w:p>
    <w:p w14:paraId="19DABB53" w14:textId="77777777" w:rsidR="00572120" w:rsidRPr="00343233" w:rsidRDefault="00572120">
      <w:pPr>
        <w:pStyle w:val="o"/>
        <w:spacing w:before="0" w:after="0"/>
        <w:ind w:left="-426"/>
        <w:jc w:val="center"/>
        <w:rPr>
          <w:rFonts w:ascii="Calibri" w:hAnsi="Calibri" w:cs="Calibri"/>
          <w:b/>
          <w:sz w:val="22"/>
          <w:szCs w:val="22"/>
          <w:highlight w:val="yellow"/>
          <w:shd w:val="clear" w:color="auto" w:fill="FFFF00"/>
          <w:lang w:val="en-GB"/>
        </w:rPr>
      </w:pPr>
    </w:p>
    <w:p w14:paraId="009A0A3F" w14:textId="5E88A231" w:rsidR="00572120" w:rsidRPr="00343233" w:rsidRDefault="0082774A" w:rsidP="00343233">
      <w:pPr>
        <w:pStyle w:val="P68B1DB1-13"/>
        <w:spacing w:after="0" w:line="240" w:lineRule="auto"/>
        <w:ind w:left="-426"/>
        <w:jc w:val="both"/>
        <w:rPr>
          <w:rFonts w:ascii="Calibri" w:hAnsi="Calibri" w:cs="Calibri"/>
          <w:b/>
          <w:sz w:val="22"/>
          <w:szCs w:val="22"/>
          <w:lang w:val="en-US"/>
        </w:rPr>
      </w:pPr>
      <w:r w:rsidRPr="00343233">
        <w:rPr>
          <w:rFonts w:ascii="Calibri" w:hAnsi="Calibri" w:cs="Calibri"/>
          <w:b/>
          <w:sz w:val="22"/>
          <w:szCs w:val="22"/>
          <w:lang w:val="en-GB"/>
        </w:rPr>
        <w:t>Moscow</w:t>
      </w:r>
      <w:r w:rsidR="00343233" w:rsidRPr="00343233">
        <w:rPr>
          <w:rFonts w:ascii="Calibri" w:hAnsi="Calibri" w:cs="Calibri"/>
          <w:b/>
          <w:sz w:val="22"/>
          <w:szCs w:val="22"/>
          <w:lang w:val="en-US"/>
        </w:rPr>
        <w:t xml:space="preserve"> – </w:t>
      </w:r>
      <w:r w:rsidR="003D40F1" w:rsidRPr="00343233">
        <w:rPr>
          <w:rFonts w:ascii="Calibri" w:hAnsi="Calibri" w:cs="Calibri"/>
          <w:sz w:val="22"/>
          <w:szCs w:val="22"/>
          <w:lang w:val="en-GB"/>
        </w:rPr>
        <w:t xml:space="preserve">PhosAgro CEO Mikhail Rybnikov announced at a Management Board meeting that the Group </w:t>
      </w:r>
      <w:r w:rsidR="00941935" w:rsidRPr="00343233">
        <w:rPr>
          <w:rFonts w:ascii="Calibri" w:hAnsi="Calibri" w:cs="Calibri"/>
          <w:sz w:val="22"/>
          <w:szCs w:val="22"/>
          <w:lang w:val="en-GB"/>
        </w:rPr>
        <w:t xml:space="preserve">had </w:t>
      </w:r>
      <w:r w:rsidRPr="00343233">
        <w:rPr>
          <w:rFonts w:ascii="Calibri" w:hAnsi="Calibri" w:cs="Calibri"/>
          <w:sz w:val="22"/>
          <w:szCs w:val="22"/>
          <w:lang w:val="en-GB"/>
        </w:rPr>
        <w:t xml:space="preserve">increased its production of agrochemicals by almost 7% to a record 3 million tonnes in 1Q 2024. </w:t>
      </w:r>
    </w:p>
    <w:p w14:paraId="3087B415" w14:textId="77777777" w:rsidR="00572120" w:rsidRPr="00343233" w:rsidRDefault="00572120">
      <w:pPr>
        <w:pStyle w:val="1"/>
        <w:spacing w:after="0" w:line="240" w:lineRule="auto"/>
        <w:ind w:left="-426" w:firstLine="567"/>
        <w:jc w:val="both"/>
        <w:rPr>
          <w:szCs w:val="22"/>
          <w:lang w:val="en-GB"/>
        </w:rPr>
      </w:pPr>
    </w:p>
    <w:p w14:paraId="61144F03" w14:textId="77777777" w:rsidR="00572120" w:rsidRPr="00343233" w:rsidRDefault="0082774A">
      <w:pPr>
        <w:pStyle w:val="P68B1DB1-14"/>
        <w:spacing w:after="120" w:line="240" w:lineRule="auto"/>
        <w:ind w:left="-426"/>
        <w:jc w:val="both"/>
        <w:rPr>
          <w:rFonts w:ascii="Calibri" w:hAnsi="Calibri" w:cs="Calibri"/>
          <w:sz w:val="22"/>
          <w:szCs w:val="22"/>
          <w:lang w:val="en-GB"/>
        </w:rPr>
      </w:pPr>
      <w:r w:rsidRPr="00343233">
        <w:rPr>
          <w:rFonts w:ascii="Calibri" w:hAnsi="Calibri" w:cs="Calibri"/>
          <w:sz w:val="22"/>
          <w:szCs w:val="22"/>
          <w:lang w:val="en-GB"/>
        </w:rPr>
        <w:t>1Q 2024 highlights:</w:t>
      </w:r>
    </w:p>
    <w:p w14:paraId="13708E21" w14:textId="53D7436E" w:rsidR="00572120" w:rsidRPr="00343233" w:rsidRDefault="0082774A" w:rsidP="00343233">
      <w:pPr>
        <w:pStyle w:val="P68B1DB1-13"/>
        <w:spacing w:line="240" w:lineRule="auto"/>
        <w:ind w:left="-426"/>
        <w:jc w:val="both"/>
        <w:rPr>
          <w:rFonts w:ascii="Calibri" w:hAnsi="Calibri" w:cs="Calibri"/>
          <w:sz w:val="22"/>
          <w:szCs w:val="22"/>
          <w:lang w:val="en-GB"/>
        </w:rPr>
      </w:pPr>
      <w:r w:rsidRPr="00343233">
        <w:rPr>
          <w:rFonts w:ascii="Calibri" w:hAnsi="Calibri" w:cs="Calibri"/>
          <w:sz w:val="22"/>
          <w:szCs w:val="22"/>
          <w:lang w:val="en-GB"/>
        </w:rPr>
        <w:t xml:space="preserve">Production of agrochemicals during the quarter increased by 6.9% year-on-year to 3.005 million tonnes. This growth was driven mainly by a 9.2% increase in the production of phosphate-based fertilizers and feed phosphates, to 2.260 million tonnes. </w:t>
      </w:r>
    </w:p>
    <w:p w14:paraId="600953BD" w14:textId="2278D8F8" w:rsidR="00572120" w:rsidRPr="00343233" w:rsidRDefault="0082774A" w:rsidP="00343233">
      <w:pPr>
        <w:pStyle w:val="P68B1DB1-13"/>
        <w:spacing w:line="240" w:lineRule="auto"/>
        <w:ind w:left="-426"/>
        <w:jc w:val="both"/>
        <w:rPr>
          <w:rFonts w:ascii="Calibri" w:hAnsi="Calibri" w:cs="Calibri"/>
          <w:sz w:val="22"/>
          <w:szCs w:val="22"/>
          <w:lang w:val="en-GB"/>
        </w:rPr>
      </w:pPr>
      <w:r w:rsidRPr="00343233">
        <w:rPr>
          <w:rFonts w:ascii="Calibri" w:hAnsi="Calibri" w:cs="Calibri"/>
          <w:sz w:val="22"/>
          <w:szCs w:val="22"/>
          <w:lang w:val="en-GB"/>
        </w:rPr>
        <w:t>The production of key feedstocks in 1Q 2024 rose 3.6% year-on-year, mainly due to a 5.4% increase in the production of phosphoric acid and a 4.7% increase in the production of sulphuric acid.</w:t>
      </w:r>
    </w:p>
    <w:p w14:paraId="11285619" w14:textId="021FC8E7" w:rsidR="00572120" w:rsidRPr="00343233" w:rsidRDefault="0082774A" w:rsidP="00343233">
      <w:pPr>
        <w:pStyle w:val="P68B1DB1-13"/>
        <w:spacing w:line="240" w:lineRule="auto"/>
        <w:ind w:left="-426"/>
        <w:jc w:val="both"/>
        <w:rPr>
          <w:rFonts w:ascii="Calibri" w:hAnsi="Calibri" w:cs="Calibri"/>
          <w:sz w:val="22"/>
          <w:szCs w:val="22"/>
          <w:lang w:val="en-GB"/>
        </w:rPr>
      </w:pPr>
      <w:r w:rsidRPr="00343233">
        <w:rPr>
          <w:rFonts w:ascii="Calibri" w:hAnsi="Calibri" w:cs="Calibri"/>
          <w:sz w:val="22"/>
          <w:szCs w:val="22"/>
          <w:lang w:val="en-GB"/>
        </w:rPr>
        <w:t>Total fertilizer sales in 1Q 2024 increased by 11.5% year-on-year to over 3 million tonnes. At the same time, sales of phosphate-based fertilizers and feed phosphates rose 16%.</w:t>
      </w:r>
    </w:p>
    <w:tbl>
      <w:tblPr>
        <w:tblW w:w="9782" w:type="dxa"/>
        <w:tblInd w:w="-426" w:type="dxa"/>
        <w:tblLook w:val="04A0" w:firstRow="1" w:lastRow="0" w:firstColumn="1" w:lastColumn="0" w:noHBand="0" w:noVBand="1"/>
      </w:tblPr>
      <w:tblGrid>
        <w:gridCol w:w="4678"/>
        <w:gridCol w:w="1985"/>
        <w:gridCol w:w="1560"/>
        <w:gridCol w:w="1559"/>
      </w:tblGrid>
      <w:tr w:rsidR="00572120" w:rsidRPr="00343233" w14:paraId="307ADE9F" w14:textId="77777777" w:rsidTr="001C63DD">
        <w:trPr>
          <w:trHeight w:val="312"/>
        </w:trPr>
        <w:tc>
          <w:tcPr>
            <w:tcW w:w="9782" w:type="dxa"/>
            <w:gridSpan w:val="4"/>
            <w:tcBorders>
              <w:top w:val="nil"/>
              <w:left w:val="nil"/>
              <w:right w:val="nil"/>
            </w:tcBorders>
            <w:shd w:val="clear" w:color="000000" w:fill="2B87A2"/>
            <w:vAlign w:val="center"/>
            <w:hideMark/>
          </w:tcPr>
          <w:p w14:paraId="4FE21CE2" w14:textId="77777777" w:rsidR="00572120" w:rsidRPr="00343233" w:rsidRDefault="0082774A" w:rsidP="00343233">
            <w:pPr>
              <w:pStyle w:val="P68B1DB1-Normal5"/>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2"/>
                <w:szCs w:val="22"/>
                <w:lang w:val="en-GB"/>
              </w:rPr>
            </w:pPr>
            <w:r w:rsidRPr="00343233">
              <w:rPr>
                <w:rFonts w:ascii="Calibri" w:hAnsi="Calibri" w:cs="Calibri"/>
                <w:sz w:val="22"/>
                <w:szCs w:val="22"/>
                <w:lang w:val="en-GB"/>
              </w:rPr>
              <w:t>Production volumes by category</w:t>
            </w:r>
          </w:p>
        </w:tc>
      </w:tr>
      <w:tr w:rsidR="00572120" w:rsidRPr="00343233" w14:paraId="65843C8A" w14:textId="77777777" w:rsidTr="001C63DD">
        <w:trPr>
          <w:trHeight w:val="240"/>
        </w:trPr>
        <w:tc>
          <w:tcPr>
            <w:tcW w:w="4678" w:type="dxa"/>
            <w:tcBorders>
              <w:top w:val="nil"/>
              <w:left w:val="nil"/>
              <w:bottom w:val="nil"/>
              <w:right w:val="nil"/>
            </w:tcBorders>
            <w:shd w:val="clear" w:color="000000" w:fill="FFFFFF"/>
            <w:vAlign w:val="center"/>
            <w:hideMark/>
          </w:tcPr>
          <w:p w14:paraId="74BB4F67" w14:textId="77777777" w:rsidR="00572120" w:rsidRPr="00343233" w:rsidRDefault="0082774A" w:rsidP="00343233">
            <w:pPr>
              <w:pStyle w:val="P68B1DB1-Normal6"/>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w:t>
            </w:r>
            <w:proofErr w:type="spellStart"/>
            <w:r w:rsidRPr="00343233">
              <w:rPr>
                <w:rFonts w:ascii="Calibri" w:hAnsi="Calibri" w:cs="Calibri"/>
                <w:sz w:val="22"/>
                <w:szCs w:val="22"/>
                <w:lang w:val="en-GB"/>
              </w:rPr>
              <w:t>kt</w:t>
            </w:r>
            <w:proofErr w:type="spellEnd"/>
            <w:r w:rsidRPr="00343233">
              <w:rPr>
                <w:rFonts w:ascii="Calibri" w:hAnsi="Calibri" w:cs="Calibri"/>
                <w:sz w:val="22"/>
                <w:szCs w:val="22"/>
                <w:lang w:val="en-GB"/>
              </w:rPr>
              <w:t>)</w:t>
            </w:r>
          </w:p>
        </w:tc>
        <w:tc>
          <w:tcPr>
            <w:tcW w:w="1985" w:type="dxa"/>
            <w:tcBorders>
              <w:top w:val="nil"/>
              <w:left w:val="nil"/>
              <w:bottom w:val="nil"/>
              <w:right w:val="nil"/>
            </w:tcBorders>
            <w:shd w:val="clear" w:color="auto" w:fill="auto"/>
            <w:vAlign w:val="center"/>
            <w:hideMark/>
          </w:tcPr>
          <w:p w14:paraId="50E213DC" w14:textId="77777777"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1Q 2024</w:t>
            </w:r>
          </w:p>
        </w:tc>
        <w:tc>
          <w:tcPr>
            <w:tcW w:w="1560" w:type="dxa"/>
            <w:tcBorders>
              <w:top w:val="nil"/>
              <w:left w:val="nil"/>
              <w:bottom w:val="nil"/>
              <w:right w:val="nil"/>
            </w:tcBorders>
            <w:shd w:val="clear" w:color="auto" w:fill="auto"/>
            <w:vAlign w:val="center"/>
            <w:hideMark/>
          </w:tcPr>
          <w:p w14:paraId="0C20B910" w14:textId="77777777"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1Q 2023</w:t>
            </w:r>
          </w:p>
        </w:tc>
        <w:tc>
          <w:tcPr>
            <w:tcW w:w="1559" w:type="dxa"/>
            <w:tcBorders>
              <w:top w:val="nil"/>
              <w:left w:val="nil"/>
              <w:bottom w:val="nil"/>
              <w:right w:val="nil"/>
            </w:tcBorders>
            <w:shd w:val="clear" w:color="000000" w:fill="E3F1F7"/>
            <w:vAlign w:val="center"/>
            <w:hideMark/>
          </w:tcPr>
          <w:p w14:paraId="5E6861FE" w14:textId="77777777"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Change, %</w:t>
            </w:r>
          </w:p>
        </w:tc>
      </w:tr>
      <w:tr w:rsidR="00572120" w:rsidRPr="00343233" w14:paraId="0DC4F860" w14:textId="77777777" w:rsidTr="001C63DD">
        <w:trPr>
          <w:trHeight w:val="300"/>
        </w:trPr>
        <w:tc>
          <w:tcPr>
            <w:tcW w:w="9782" w:type="dxa"/>
            <w:gridSpan w:val="4"/>
            <w:tcBorders>
              <w:top w:val="single" w:sz="4" w:space="0" w:color="auto"/>
              <w:left w:val="nil"/>
              <w:bottom w:val="nil"/>
              <w:right w:val="nil"/>
            </w:tcBorders>
            <w:shd w:val="clear" w:color="000000" w:fill="FFFFFF"/>
            <w:vAlign w:val="center"/>
            <w:hideMark/>
          </w:tcPr>
          <w:p w14:paraId="1D137039" w14:textId="50A1564B"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2"/>
                <w:szCs w:val="22"/>
                <w:lang w:val="en-GB"/>
              </w:rPr>
            </w:pPr>
            <w:r w:rsidRPr="00343233">
              <w:rPr>
                <w:rFonts w:ascii="Calibri" w:hAnsi="Calibri" w:cs="Calibri"/>
                <w:sz w:val="22"/>
                <w:szCs w:val="22"/>
                <w:lang w:val="en-GB"/>
              </w:rPr>
              <w:t>Mineral fertilizers and feed phosphates</w:t>
            </w:r>
          </w:p>
        </w:tc>
      </w:tr>
      <w:tr w:rsidR="00572120" w:rsidRPr="00343233" w14:paraId="04DC85CC" w14:textId="77777777" w:rsidTr="001C63DD">
        <w:trPr>
          <w:trHeight w:val="255"/>
        </w:trPr>
        <w:tc>
          <w:tcPr>
            <w:tcW w:w="4678" w:type="dxa"/>
            <w:tcBorders>
              <w:left w:val="nil"/>
              <w:right w:val="nil"/>
            </w:tcBorders>
            <w:shd w:val="clear" w:color="000000" w:fill="FFFFFF"/>
            <w:vAlign w:val="center"/>
            <w:hideMark/>
          </w:tcPr>
          <w:p w14:paraId="58794128" w14:textId="6B671608"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Phosphate-based fertilizers and feed phosphates</w:t>
            </w:r>
          </w:p>
        </w:tc>
        <w:tc>
          <w:tcPr>
            <w:tcW w:w="1985" w:type="dxa"/>
            <w:tcBorders>
              <w:left w:val="nil"/>
              <w:right w:val="nil"/>
            </w:tcBorders>
            <w:shd w:val="clear" w:color="auto" w:fill="auto"/>
            <w:vAlign w:val="center"/>
          </w:tcPr>
          <w:p w14:paraId="3EC583E8"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2,260.3</w:t>
            </w:r>
          </w:p>
        </w:tc>
        <w:tc>
          <w:tcPr>
            <w:tcW w:w="1560" w:type="dxa"/>
            <w:tcBorders>
              <w:left w:val="nil"/>
              <w:right w:val="nil"/>
            </w:tcBorders>
            <w:shd w:val="clear" w:color="auto" w:fill="auto"/>
            <w:vAlign w:val="center"/>
          </w:tcPr>
          <w:p w14:paraId="3A623618" w14:textId="6BB7C53D"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2,070.</w:t>
            </w:r>
            <w:r w:rsidR="00A6745F">
              <w:rPr>
                <w:rFonts w:ascii="Calibri" w:hAnsi="Calibri" w:cs="Calibri"/>
                <w:sz w:val="22"/>
                <w:szCs w:val="22"/>
                <w:lang w:val="en-GB"/>
              </w:rPr>
              <w:t>3</w:t>
            </w:r>
          </w:p>
        </w:tc>
        <w:tc>
          <w:tcPr>
            <w:tcW w:w="1559" w:type="dxa"/>
            <w:tcBorders>
              <w:left w:val="nil"/>
              <w:right w:val="nil"/>
            </w:tcBorders>
            <w:shd w:val="clear" w:color="000000" w:fill="E3F1F7"/>
            <w:noWrap/>
            <w:vAlign w:val="center"/>
          </w:tcPr>
          <w:p w14:paraId="64C21640" w14:textId="77777777" w:rsidR="00572120" w:rsidRPr="00343233" w:rsidRDefault="0082774A" w:rsidP="00343233">
            <w:pPr>
              <w:pStyle w:val="P68B1DB1-Normal9"/>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9.2%</w:t>
            </w:r>
          </w:p>
        </w:tc>
      </w:tr>
      <w:tr w:rsidR="00572120" w:rsidRPr="00343233" w14:paraId="48AEE1F3" w14:textId="77777777" w:rsidTr="001C63DD">
        <w:trPr>
          <w:trHeight w:val="255"/>
        </w:trPr>
        <w:tc>
          <w:tcPr>
            <w:tcW w:w="4678" w:type="dxa"/>
            <w:tcBorders>
              <w:left w:val="nil"/>
              <w:bottom w:val="single" w:sz="4" w:space="0" w:color="auto"/>
              <w:right w:val="nil"/>
            </w:tcBorders>
            <w:shd w:val="clear" w:color="000000" w:fill="FFFFFF"/>
            <w:vAlign w:val="center"/>
            <w:hideMark/>
          </w:tcPr>
          <w:p w14:paraId="1B058FD8"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Nitrogen-based fertilizers</w:t>
            </w:r>
          </w:p>
        </w:tc>
        <w:tc>
          <w:tcPr>
            <w:tcW w:w="1985" w:type="dxa"/>
            <w:tcBorders>
              <w:left w:val="nil"/>
              <w:bottom w:val="single" w:sz="4" w:space="0" w:color="auto"/>
              <w:right w:val="nil"/>
            </w:tcBorders>
            <w:shd w:val="clear" w:color="auto" w:fill="auto"/>
            <w:vAlign w:val="center"/>
          </w:tcPr>
          <w:p w14:paraId="3F6C15CE"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672.7</w:t>
            </w:r>
          </w:p>
        </w:tc>
        <w:tc>
          <w:tcPr>
            <w:tcW w:w="1560" w:type="dxa"/>
            <w:tcBorders>
              <w:left w:val="nil"/>
              <w:bottom w:val="single" w:sz="4" w:space="0" w:color="auto"/>
              <w:right w:val="nil"/>
            </w:tcBorders>
            <w:shd w:val="clear" w:color="auto" w:fill="auto"/>
            <w:vAlign w:val="center"/>
          </w:tcPr>
          <w:p w14:paraId="308D4C7D" w14:textId="04169D8A"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675.</w:t>
            </w:r>
            <w:r w:rsidR="00A6745F">
              <w:rPr>
                <w:rFonts w:ascii="Calibri" w:hAnsi="Calibri" w:cs="Calibri"/>
                <w:sz w:val="22"/>
                <w:szCs w:val="22"/>
                <w:lang w:val="en-GB"/>
              </w:rPr>
              <w:t>6</w:t>
            </w:r>
          </w:p>
        </w:tc>
        <w:tc>
          <w:tcPr>
            <w:tcW w:w="1559" w:type="dxa"/>
            <w:tcBorders>
              <w:left w:val="nil"/>
              <w:bottom w:val="single" w:sz="4" w:space="0" w:color="auto"/>
              <w:right w:val="nil"/>
            </w:tcBorders>
            <w:shd w:val="clear" w:color="000000" w:fill="E3F1F7"/>
            <w:noWrap/>
            <w:vAlign w:val="center"/>
          </w:tcPr>
          <w:p w14:paraId="37BC2A48" w14:textId="77777777" w:rsidR="00572120" w:rsidRPr="00343233" w:rsidRDefault="0082774A" w:rsidP="00343233">
            <w:pPr>
              <w:pStyle w:val="P68B1DB1-Normal9"/>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-0.4%</w:t>
            </w:r>
          </w:p>
        </w:tc>
      </w:tr>
      <w:tr w:rsidR="00572120" w:rsidRPr="00343233" w14:paraId="53347305" w14:textId="77777777" w:rsidTr="001C63DD">
        <w:trPr>
          <w:trHeight w:val="270"/>
        </w:trPr>
        <w:tc>
          <w:tcPr>
            <w:tcW w:w="4678" w:type="dxa"/>
            <w:tcBorders>
              <w:top w:val="single" w:sz="4" w:space="0" w:color="auto"/>
              <w:left w:val="nil"/>
              <w:bottom w:val="double" w:sz="6" w:space="0" w:color="auto"/>
              <w:right w:val="nil"/>
            </w:tcBorders>
            <w:shd w:val="clear" w:color="auto" w:fill="auto"/>
            <w:vAlign w:val="center"/>
            <w:hideMark/>
          </w:tcPr>
          <w:p w14:paraId="781F004A" w14:textId="77777777"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TOTAL fertilizers</w:t>
            </w:r>
          </w:p>
        </w:tc>
        <w:tc>
          <w:tcPr>
            <w:tcW w:w="1985" w:type="dxa"/>
            <w:tcBorders>
              <w:top w:val="single" w:sz="4" w:space="0" w:color="auto"/>
              <w:left w:val="nil"/>
              <w:bottom w:val="double" w:sz="6" w:space="0" w:color="auto"/>
              <w:right w:val="nil"/>
            </w:tcBorders>
            <w:shd w:val="clear" w:color="auto" w:fill="auto"/>
            <w:vAlign w:val="center"/>
          </w:tcPr>
          <w:p w14:paraId="585B0EFE" w14:textId="77777777"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2,933.0</w:t>
            </w:r>
          </w:p>
        </w:tc>
        <w:tc>
          <w:tcPr>
            <w:tcW w:w="1560" w:type="dxa"/>
            <w:tcBorders>
              <w:top w:val="single" w:sz="4" w:space="0" w:color="auto"/>
              <w:left w:val="nil"/>
              <w:bottom w:val="double" w:sz="6" w:space="0" w:color="auto"/>
              <w:right w:val="nil"/>
            </w:tcBorders>
            <w:shd w:val="clear" w:color="auto" w:fill="auto"/>
            <w:vAlign w:val="center"/>
          </w:tcPr>
          <w:p w14:paraId="385B06B5" w14:textId="558C418B" w:rsidR="00572120" w:rsidRPr="00343233" w:rsidRDefault="0082774A" w:rsidP="00676030">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2,74</w:t>
            </w:r>
            <w:r w:rsidR="00676030">
              <w:rPr>
                <w:rFonts w:ascii="Calibri" w:hAnsi="Calibri" w:cs="Calibri"/>
                <w:sz w:val="22"/>
                <w:szCs w:val="22"/>
                <w:lang w:val="en-GB"/>
              </w:rPr>
              <w:t>5</w:t>
            </w:r>
            <w:r w:rsidRPr="00343233">
              <w:rPr>
                <w:rFonts w:ascii="Calibri" w:hAnsi="Calibri" w:cs="Calibri"/>
                <w:sz w:val="22"/>
                <w:szCs w:val="22"/>
                <w:lang w:val="en-GB"/>
              </w:rPr>
              <w:t>.</w:t>
            </w:r>
            <w:r w:rsidR="00A6745F">
              <w:rPr>
                <w:rFonts w:ascii="Calibri" w:hAnsi="Calibri" w:cs="Calibri"/>
                <w:sz w:val="22"/>
                <w:szCs w:val="22"/>
                <w:lang w:val="en-GB"/>
              </w:rPr>
              <w:t>9</w:t>
            </w:r>
          </w:p>
        </w:tc>
        <w:tc>
          <w:tcPr>
            <w:tcW w:w="1559" w:type="dxa"/>
            <w:tcBorders>
              <w:top w:val="single" w:sz="4" w:space="0" w:color="auto"/>
              <w:left w:val="nil"/>
              <w:bottom w:val="double" w:sz="6" w:space="0" w:color="auto"/>
              <w:right w:val="nil"/>
            </w:tcBorders>
            <w:shd w:val="clear" w:color="000000" w:fill="E3F1F7"/>
            <w:noWrap/>
            <w:vAlign w:val="center"/>
          </w:tcPr>
          <w:p w14:paraId="171D1ED4" w14:textId="77777777" w:rsidR="00572120" w:rsidRPr="00343233" w:rsidRDefault="0082774A" w:rsidP="00343233">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6.8%</w:t>
            </w:r>
          </w:p>
        </w:tc>
      </w:tr>
      <w:tr w:rsidR="00572120" w:rsidRPr="00343233" w14:paraId="511519D8" w14:textId="77777777" w:rsidTr="001C63DD">
        <w:trPr>
          <w:trHeight w:val="300"/>
        </w:trPr>
        <w:tc>
          <w:tcPr>
            <w:tcW w:w="9782" w:type="dxa"/>
            <w:gridSpan w:val="4"/>
            <w:tcBorders>
              <w:top w:val="double" w:sz="6" w:space="0" w:color="auto"/>
              <w:left w:val="nil"/>
              <w:bottom w:val="nil"/>
              <w:right w:val="nil"/>
            </w:tcBorders>
            <w:shd w:val="clear" w:color="000000" w:fill="FFFFFF"/>
            <w:vAlign w:val="center"/>
            <w:hideMark/>
          </w:tcPr>
          <w:p w14:paraId="1E2D7603" w14:textId="77777777"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2"/>
                <w:szCs w:val="22"/>
                <w:lang w:val="en-GB"/>
              </w:rPr>
            </w:pPr>
            <w:r w:rsidRPr="00343233">
              <w:rPr>
                <w:rFonts w:ascii="Calibri" w:hAnsi="Calibri" w:cs="Calibri"/>
                <w:sz w:val="22"/>
                <w:szCs w:val="22"/>
                <w:lang w:val="en-GB"/>
              </w:rPr>
              <w:t>Other products</w:t>
            </w:r>
          </w:p>
        </w:tc>
      </w:tr>
      <w:tr w:rsidR="00572120" w:rsidRPr="00343233" w14:paraId="1A2BE4AD" w14:textId="77777777" w:rsidTr="001C63DD">
        <w:trPr>
          <w:trHeight w:val="240"/>
        </w:trPr>
        <w:tc>
          <w:tcPr>
            <w:tcW w:w="4678" w:type="dxa"/>
            <w:tcBorders>
              <w:top w:val="nil"/>
              <w:left w:val="nil"/>
              <w:bottom w:val="nil"/>
              <w:right w:val="nil"/>
            </w:tcBorders>
            <w:shd w:val="clear" w:color="auto" w:fill="auto"/>
            <w:vAlign w:val="center"/>
            <w:hideMark/>
          </w:tcPr>
          <w:p w14:paraId="318D5B9F"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STPP</w:t>
            </w:r>
          </w:p>
        </w:tc>
        <w:tc>
          <w:tcPr>
            <w:tcW w:w="1985" w:type="dxa"/>
            <w:tcBorders>
              <w:top w:val="nil"/>
              <w:left w:val="nil"/>
              <w:bottom w:val="nil"/>
              <w:right w:val="nil"/>
            </w:tcBorders>
            <w:shd w:val="clear" w:color="auto" w:fill="auto"/>
            <w:vAlign w:val="center"/>
          </w:tcPr>
          <w:p w14:paraId="1700A8AC"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13.0</w:t>
            </w:r>
          </w:p>
        </w:tc>
        <w:tc>
          <w:tcPr>
            <w:tcW w:w="1560" w:type="dxa"/>
            <w:tcBorders>
              <w:top w:val="nil"/>
              <w:left w:val="nil"/>
              <w:bottom w:val="nil"/>
              <w:right w:val="nil"/>
            </w:tcBorders>
            <w:shd w:val="clear" w:color="auto" w:fill="auto"/>
            <w:vAlign w:val="center"/>
          </w:tcPr>
          <w:p w14:paraId="0F539405"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9.1</w:t>
            </w:r>
          </w:p>
        </w:tc>
        <w:tc>
          <w:tcPr>
            <w:tcW w:w="1559" w:type="dxa"/>
            <w:tcBorders>
              <w:top w:val="nil"/>
              <w:left w:val="nil"/>
              <w:bottom w:val="nil"/>
              <w:right w:val="nil"/>
            </w:tcBorders>
            <w:shd w:val="clear" w:color="000000" w:fill="E3F1F7"/>
            <w:noWrap/>
            <w:vAlign w:val="center"/>
          </w:tcPr>
          <w:p w14:paraId="14624CE0" w14:textId="412F3EA0" w:rsidR="00572120" w:rsidRPr="00343233" w:rsidRDefault="0082774A" w:rsidP="00676030">
            <w:pPr>
              <w:pStyle w:val="P68B1DB1-Normal9"/>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42.</w:t>
            </w:r>
            <w:r w:rsidR="00676030">
              <w:rPr>
                <w:rFonts w:ascii="Calibri" w:hAnsi="Calibri" w:cs="Calibri"/>
                <w:sz w:val="22"/>
                <w:szCs w:val="22"/>
                <w:lang w:val="en-GB"/>
              </w:rPr>
              <w:t>9</w:t>
            </w:r>
            <w:r w:rsidRPr="00343233">
              <w:rPr>
                <w:rFonts w:ascii="Calibri" w:hAnsi="Calibri" w:cs="Calibri"/>
                <w:sz w:val="22"/>
                <w:szCs w:val="22"/>
                <w:lang w:val="en-GB"/>
              </w:rPr>
              <w:t>%</w:t>
            </w:r>
          </w:p>
        </w:tc>
      </w:tr>
      <w:tr w:rsidR="00572120" w:rsidRPr="00343233" w14:paraId="6BA68B0D" w14:textId="77777777" w:rsidTr="001C63DD">
        <w:trPr>
          <w:trHeight w:val="240"/>
        </w:trPr>
        <w:tc>
          <w:tcPr>
            <w:tcW w:w="4678" w:type="dxa"/>
            <w:tcBorders>
              <w:top w:val="nil"/>
              <w:left w:val="nil"/>
              <w:bottom w:val="nil"/>
              <w:right w:val="nil"/>
            </w:tcBorders>
            <w:shd w:val="clear" w:color="auto" w:fill="auto"/>
            <w:vAlign w:val="center"/>
            <w:hideMark/>
          </w:tcPr>
          <w:p w14:paraId="20F07646"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Other</w:t>
            </w:r>
          </w:p>
        </w:tc>
        <w:tc>
          <w:tcPr>
            <w:tcW w:w="1985" w:type="dxa"/>
            <w:tcBorders>
              <w:top w:val="nil"/>
              <w:left w:val="nil"/>
              <w:bottom w:val="nil"/>
              <w:right w:val="nil"/>
            </w:tcBorders>
            <w:shd w:val="clear" w:color="auto" w:fill="auto"/>
            <w:vAlign w:val="center"/>
          </w:tcPr>
          <w:p w14:paraId="43F62276" w14:textId="757CF288"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58.</w:t>
            </w:r>
            <w:r w:rsidR="00A6745F">
              <w:rPr>
                <w:rFonts w:ascii="Calibri" w:hAnsi="Calibri" w:cs="Calibri"/>
                <w:sz w:val="22"/>
                <w:szCs w:val="22"/>
                <w:lang w:val="en-GB"/>
              </w:rPr>
              <w:t>5</w:t>
            </w:r>
          </w:p>
        </w:tc>
        <w:tc>
          <w:tcPr>
            <w:tcW w:w="1560" w:type="dxa"/>
            <w:tcBorders>
              <w:top w:val="nil"/>
              <w:left w:val="nil"/>
              <w:bottom w:val="nil"/>
              <w:right w:val="nil"/>
            </w:tcBorders>
            <w:shd w:val="clear" w:color="auto" w:fill="auto"/>
            <w:vAlign w:val="center"/>
          </w:tcPr>
          <w:p w14:paraId="5494EA33" w14:textId="557137D4"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56.</w:t>
            </w:r>
            <w:r w:rsidR="00A6745F">
              <w:rPr>
                <w:rFonts w:ascii="Calibri" w:hAnsi="Calibri" w:cs="Calibri"/>
                <w:sz w:val="22"/>
                <w:szCs w:val="22"/>
                <w:lang w:val="en-GB"/>
              </w:rPr>
              <w:t>7</w:t>
            </w:r>
          </w:p>
        </w:tc>
        <w:tc>
          <w:tcPr>
            <w:tcW w:w="1559" w:type="dxa"/>
            <w:tcBorders>
              <w:top w:val="nil"/>
              <w:left w:val="nil"/>
              <w:bottom w:val="nil"/>
              <w:right w:val="nil"/>
            </w:tcBorders>
            <w:shd w:val="clear" w:color="000000" w:fill="E3F1F7"/>
            <w:noWrap/>
            <w:vAlign w:val="center"/>
          </w:tcPr>
          <w:p w14:paraId="6FE97E7E" w14:textId="55C83DBE" w:rsidR="00572120" w:rsidRPr="00343233" w:rsidRDefault="0082774A" w:rsidP="00676030">
            <w:pPr>
              <w:pStyle w:val="P68B1DB1-Normal9"/>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3.</w:t>
            </w:r>
            <w:r w:rsidR="00676030">
              <w:rPr>
                <w:rFonts w:ascii="Calibri" w:hAnsi="Calibri" w:cs="Calibri"/>
                <w:sz w:val="22"/>
                <w:szCs w:val="22"/>
                <w:lang w:val="en-GB"/>
              </w:rPr>
              <w:t>0</w:t>
            </w:r>
            <w:r w:rsidRPr="00343233">
              <w:rPr>
                <w:rFonts w:ascii="Calibri" w:hAnsi="Calibri" w:cs="Calibri"/>
                <w:sz w:val="22"/>
                <w:szCs w:val="22"/>
                <w:lang w:val="en-GB"/>
              </w:rPr>
              <w:t>%</w:t>
            </w:r>
          </w:p>
        </w:tc>
      </w:tr>
      <w:tr w:rsidR="00572120" w:rsidRPr="00343233" w14:paraId="5DEFBF06" w14:textId="77777777" w:rsidTr="001C63DD">
        <w:trPr>
          <w:trHeight w:val="255"/>
        </w:trPr>
        <w:tc>
          <w:tcPr>
            <w:tcW w:w="4678" w:type="dxa"/>
            <w:tcBorders>
              <w:top w:val="single" w:sz="4" w:space="0" w:color="auto"/>
              <w:left w:val="nil"/>
              <w:bottom w:val="double" w:sz="6" w:space="0" w:color="auto"/>
              <w:right w:val="nil"/>
            </w:tcBorders>
            <w:shd w:val="clear" w:color="auto" w:fill="auto"/>
            <w:vAlign w:val="center"/>
            <w:hideMark/>
          </w:tcPr>
          <w:p w14:paraId="6F31657C" w14:textId="77777777"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TOTAL other products</w:t>
            </w:r>
          </w:p>
        </w:tc>
        <w:tc>
          <w:tcPr>
            <w:tcW w:w="1985" w:type="dxa"/>
            <w:tcBorders>
              <w:top w:val="single" w:sz="4" w:space="0" w:color="auto"/>
              <w:left w:val="nil"/>
              <w:bottom w:val="double" w:sz="6" w:space="0" w:color="auto"/>
              <w:right w:val="nil"/>
            </w:tcBorders>
            <w:shd w:val="clear" w:color="auto" w:fill="auto"/>
            <w:vAlign w:val="center"/>
          </w:tcPr>
          <w:p w14:paraId="550F3850" w14:textId="7377938F"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71.</w:t>
            </w:r>
            <w:r w:rsidR="00A6745F">
              <w:rPr>
                <w:rFonts w:ascii="Calibri" w:hAnsi="Calibri" w:cs="Calibri"/>
                <w:sz w:val="22"/>
                <w:szCs w:val="22"/>
                <w:lang w:val="en-GB"/>
              </w:rPr>
              <w:t>5</w:t>
            </w:r>
          </w:p>
        </w:tc>
        <w:tc>
          <w:tcPr>
            <w:tcW w:w="1560" w:type="dxa"/>
            <w:tcBorders>
              <w:top w:val="single" w:sz="4" w:space="0" w:color="auto"/>
              <w:left w:val="nil"/>
              <w:bottom w:val="double" w:sz="6" w:space="0" w:color="auto"/>
              <w:right w:val="nil"/>
            </w:tcBorders>
            <w:shd w:val="clear" w:color="auto" w:fill="auto"/>
            <w:vAlign w:val="center"/>
          </w:tcPr>
          <w:p w14:paraId="43F02F0D" w14:textId="4D64C318"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65.</w:t>
            </w:r>
            <w:r w:rsidR="00A6745F">
              <w:rPr>
                <w:rFonts w:ascii="Calibri" w:hAnsi="Calibri" w:cs="Calibri"/>
                <w:sz w:val="22"/>
                <w:szCs w:val="22"/>
                <w:lang w:val="en-GB"/>
              </w:rPr>
              <w:t>8</w:t>
            </w:r>
          </w:p>
        </w:tc>
        <w:tc>
          <w:tcPr>
            <w:tcW w:w="1559" w:type="dxa"/>
            <w:tcBorders>
              <w:top w:val="single" w:sz="4" w:space="0" w:color="auto"/>
              <w:left w:val="nil"/>
              <w:bottom w:val="double" w:sz="6" w:space="0" w:color="auto"/>
              <w:right w:val="nil"/>
            </w:tcBorders>
            <w:shd w:val="clear" w:color="000000" w:fill="E3F1F7"/>
            <w:noWrap/>
            <w:vAlign w:val="center"/>
          </w:tcPr>
          <w:p w14:paraId="7049E554" w14:textId="5D031B20" w:rsidR="00572120" w:rsidRPr="00343233" w:rsidRDefault="0082774A" w:rsidP="00676030">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8.</w:t>
            </w:r>
            <w:r w:rsidR="00676030">
              <w:rPr>
                <w:rFonts w:ascii="Calibri" w:hAnsi="Calibri" w:cs="Calibri"/>
                <w:sz w:val="22"/>
                <w:szCs w:val="22"/>
                <w:lang w:val="en-GB"/>
              </w:rPr>
              <w:t>5</w:t>
            </w:r>
            <w:r w:rsidRPr="00343233">
              <w:rPr>
                <w:rFonts w:ascii="Calibri" w:hAnsi="Calibri" w:cs="Calibri"/>
                <w:sz w:val="22"/>
                <w:szCs w:val="22"/>
                <w:lang w:val="en-GB"/>
              </w:rPr>
              <w:t>%</w:t>
            </w:r>
          </w:p>
        </w:tc>
      </w:tr>
      <w:tr w:rsidR="00572120" w:rsidRPr="00343233" w14:paraId="1A5D8093" w14:textId="77777777" w:rsidTr="001C63DD">
        <w:trPr>
          <w:trHeight w:val="255"/>
        </w:trPr>
        <w:tc>
          <w:tcPr>
            <w:tcW w:w="4678" w:type="dxa"/>
            <w:tcBorders>
              <w:top w:val="single" w:sz="4" w:space="0" w:color="auto"/>
              <w:left w:val="nil"/>
              <w:bottom w:val="double" w:sz="6" w:space="0" w:color="auto"/>
              <w:right w:val="nil"/>
            </w:tcBorders>
            <w:shd w:val="clear" w:color="auto" w:fill="auto"/>
            <w:vAlign w:val="center"/>
          </w:tcPr>
          <w:p w14:paraId="51803E97" w14:textId="77777777" w:rsidR="00572120" w:rsidRPr="00343233" w:rsidRDefault="0082774A" w:rsidP="00343233">
            <w:pPr>
              <w:pStyle w:val="P68B1DB1-Normal1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Cs w:val="22"/>
                <w:lang w:val="en-GB"/>
              </w:rPr>
            </w:pPr>
            <w:r w:rsidRPr="00343233">
              <w:rPr>
                <w:rFonts w:ascii="Calibri" w:hAnsi="Calibri" w:cs="Calibri"/>
                <w:szCs w:val="22"/>
                <w:lang w:val="en-GB"/>
              </w:rPr>
              <w:t>TOTAL agrochemical products</w:t>
            </w:r>
          </w:p>
        </w:tc>
        <w:tc>
          <w:tcPr>
            <w:tcW w:w="1985" w:type="dxa"/>
            <w:tcBorders>
              <w:top w:val="single" w:sz="4" w:space="0" w:color="auto"/>
              <w:left w:val="nil"/>
              <w:bottom w:val="double" w:sz="6" w:space="0" w:color="auto"/>
              <w:right w:val="nil"/>
            </w:tcBorders>
            <w:shd w:val="clear" w:color="auto" w:fill="auto"/>
            <w:vAlign w:val="center"/>
          </w:tcPr>
          <w:p w14:paraId="3FEE18E6" w14:textId="058486DB" w:rsidR="00572120" w:rsidRPr="00343233" w:rsidRDefault="0082774A" w:rsidP="00343233">
            <w:pPr>
              <w:pStyle w:val="P68B1DB1-Normal10"/>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Cs w:val="22"/>
                <w:lang w:val="en-GB"/>
              </w:rPr>
            </w:pPr>
            <w:r w:rsidRPr="00343233">
              <w:rPr>
                <w:rFonts w:ascii="Calibri" w:hAnsi="Calibri" w:cs="Calibri"/>
                <w:szCs w:val="22"/>
                <w:lang w:val="en-GB"/>
              </w:rPr>
              <w:t>3,004.6</w:t>
            </w:r>
          </w:p>
        </w:tc>
        <w:tc>
          <w:tcPr>
            <w:tcW w:w="1560" w:type="dxa"/>
            <w:tcBorders>
              <w:top w:val="single" w:sz="4" w:space="0" w:color="auto"/>
              <w:left w:val="nil"/>
              <w:bottom w:val="double" w:sz="6" w:space="0" w:color="auto"/>
              <w:right w:val="nil"/>
            </w:tcBorders>
            <w:shd w:val="clear" w:color="auto" w:fill="auto"/>
            <w:vAlign w:val="center"/>
          </w:tcPr>
          <w:p w14:paraId="2C3DF491" w14:textId="2D9D4A29" w:rsidR="00572120" w:rsidRPr="00343233" w:rsidRDefault="0082774A" w:rsidP="00343233">
            <w:pPr>
              <w:pStyle w:val="P68B1DB1-Normal10"/>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Cs w:val="22"/>
                <w:lang w:val="en-GB"/>
              </w:rPr>
            </w:pPr>
            <w:r w:rsidRPr="00343233">
              <w:rPr>
                <w:rFonts w:ascii="Calibri" w:hAnsi="Calibri" w:cs="Calibri"/>
                <w:szCs w:val="22"/>
                <w:lang w:val="en-GB"/>
              </w:rPr>
              <w:t>2,811.</w:t>
            </w:r>
            <w:r w:rsidR="00A6745F">
              <w:rPr>
                <w:rFonts w:ascii="Calibri" w:hAnsi="Calibri" w:cs="Calibri"/>
                <w:szCs w:val="22"/>
                <w:lang w:val="en-GB"/>
              </w:rPr>
              <w:t>8</w:t>
            </w:r>
          </w:p>
        </w:tc>
        <w:tc>
          <w:tcPr>
            <w:tcW w:w="1559" w:type="dxa"/>
            <w:tcBorders>
              <w:top w:val="single" w:sz="4" w:space="0" w:color="auto"/>
              <w:left w:val="nil"/>
              <w:bottom w:val="double" w:sz="6" w:space="0" w:color="auto"/>
              <w:right w:val="nil"/>
            </w:tcBorders>
            <w:shd w:val="clear" w:color="000000" w:fill="E3F1F7"/>
            <w:noWrap/>
            <w:vAlign w:val="center"/>
          </w:tcPr>
          <w:p w14:paraId="5FDC1D50" w14:textId="77777777" w:rsidR="00572120" w:rsidRPr="00343233" w:rsidRDefault="0082774A" w:rsidP="00343233">
            <w:pPr>
              <w:pStyle w:val="P68B1DB1-Normal11"/>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Cs w:val="22"/>
                <w:lang w:val="en-GB"/>
              </w:rPr>
            </w:pPr>
            <w:r w:rsidRPr="00343233">
              <w:rPr>
                <w:rFonts w:ascii="Calibri" w:hAnsi="Calibri" w:cs="Calibri"/>
                <w:szCs w:val="22"/>
                <w:lang w:val="en-GB"/>
              </w:rPr>
              <w:t>6.9%</w:t>
            </w:r>
          </w:p>
        </w:tc>
      </w:tr>
      <w:tr w:rsidR="00572120" w:rsidRPr="00343233" w14:paraId="5937BC93" w14:textId="77777777" w:rsidTr="001C63DD">
        <w:trPr>
          <w:trHeight w:val="300"/>
        </w:trPr>
        <w:tc>
          <w:tcPr>
            <w:tcW w:w="9782" w:type="dxa"/>
            <w:gridSpan w:val="4"/>
            <w:tcBorders>
              <w:top w:val="double" w:sz="6" w:space="0" w:color="auto"/>
              <w:left w:val="nil"/>
              <w:bottom w:val="nil"/>
              <w:right w:val="nil"/>
            </w:tcBorders>
            <w:shd w:val="clear" w:color="000000" w:fill="FFFFFF"/>
            <w:vAlign w:val="center"/>
            <w:hideMark/>
          </w:tcPr>
          <w:p w14:paraId="101A3A35" w14:textId="77777777" w:rsidR="00572120" w:rsidRPr="00343233" w:rsidRDefault="0082774A" w:rsidP="00343233">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2"/>
                <w:szCs w:val="22"/>
                <w:lang w:val="en-GB"/>
              </w:rPr>
            </w:pPr>
            <w:r w:rsidRPr="00343233">
              <w:rPr>
                <w:rFonts w:ascii="Calibri" w:hAnsi="Calibri" w:cs="Calibri"/>
                <w:sz w:val="22"/>
                <w:szCs w:val="22"/>
                <w:lang w:val="en-GB"/>
              </w:rPr>
              <w:t>Feedstocks</w:t>
            </w:r>
          </w:p>
        </w:tc>
      </w:tr>
      <w:tr w:rsidR="00572120" w:rsidRPr="00343233" w14:paraId="1D63D6E8" w14:textId="77777777" w:rsidTr="001C63DD">
        <w:trPr>
          <w:trHeight w:val="240"/>
        </w:trPr>
        <w:tc>
          <w:tcPr>
            <w:tcW w:w="4678" w:type="dxa"/>
            <w:tcBorders>
              <w:top w:val="nil"/>
              <w:left w:val="nil"/>
              <w:bottom w:val="nil"/>
              <w:right w:val="nil"/>
            </w:tcBorders>
            <w:shd w:val="clear" w:color="000000" w:fill="FFFFFF"/>
            <w:vAlign w:val="center"/>
            <w:hideMark/>
          </w:tcPr>
          <w:p w14:paraId="4A4A2B85"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Ammonia</w:t>
            </w:r>
          </w:p>
        </w:tc>
        <w:tc>
          <w:tcPr>
            <w:tcW w:w="1985" w:type="dxa"/>
            <w:tcBorders>
              <w:top w:val="nil"/>
              <w:left w:val="nil"/>
              <w:bottom w:val="nil"/>
              <w:right w:val="nil"/>
            </w:tcBorders>
            <w:shd w:val="clear" w:color="auto" w:fill="auto"/>
            <w:vAlign w:val="center"/>
          </w:tcPr>
          <w:p w14:paraId="1A74582C"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511.3</w:t>
            </w:r>
          </w:p>
        </w:tc>
        <w:tc>
          <w:tcPr>
            <w:tcW w:w="1560" w:type="dxa"/>
            <w:tcBorders>
              <w:top w:val="nil"/>
              <w:left w:val="nil"/>
              <w:bottom w:val="nil"/>
              <w:right w:val="nil"/>
            </w:tcBorders>
            <w:shd w:val="clear" w:color="auto" w:fill="auto"/>
            <w:vAlign w:val="center"/>
          </w:tcPr>
          <w:p w14:paraId="7C675511"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500.5</w:t>
            </w:r>
          </w:p>
        </w:tc>
        <w:tc>
          <w:tcPr>
            <w:tcW w:w="1559" w:type="dxa"/>
            <w:tcBorders>
              <w:top w:val="nil"/>
              <w:left w:val="nil"/>
              <w:bottom w:val="nil"/>
              <w:right w:val="nil"/>
            </w:tcBorders>
            <w:shd w:val="clear" w:color="000000" w:fill="E3F1F7"/>
            <w:noWrap/>
            <w:vAlign w:val="center"/>
          </w:tcPr>
          <w:p w14:paraId="23375926" w14:textId="77777777" w:rsidR="00572120" w:rsidRPr="00343233" w:rsidRDefault="0082774A" w:rsidP="00343233">
            <w:pPr>
              <w:pStyle w:val="P68B1DB1-Normal9"/>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2.2%</w:t>
            </w:r>
          </w:p>
        </w:tc>
      </w:tr>
      <w:tr w:rsidR="00572120" w:rsidRPr="00343233" w14:paraId="3D09DFAA" w14:textId="77777777" w:rsidTr="001C63DD">
        <w:trPr>
          <w:trHeight w:val="240"/>
        </w:trPr>
        <w:tc>
          <w:tcPr>
            <w:tcW w:w="4678" w:type="dxa"/>
            <w:tcBorders>
              <w:top w:val="nil"/>
              <w:left w:val="nil"/>
              <w:bottom w:val="nil"/>
              <w:right w:val="nil"/>
            </w:tcBorders>
            <w:shd w:val="clear" w:color="000000" w:fill="FFFFFF"/>
            <w:vAlign w:val="center"/>
            <w:hideMark/>
          </w:tcPr>
          <w:p w14:paraId="1A383C6E"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Phosphoric acid</w:t>
            </w:r>
          </w:p>
        </w:tc>
        <w:tc>
          <w:tcPr>
            <w:tcW w:w="1985" w:type="dxa"/>
            <w:tcBorders>
              <w:top w:val="nil"/>
              <w:left w:val="nil"/>
              <w:bottom w:val="nil"/>
              <w:right w:val="nil"/>
            </w:tcBorders>
            <w:shd w:val="clear" w:color="auto" w:fill="auto"/>
            <w:vAlign w:val="center"/>
          </w:tcPr>
          <w:p w14:paraId="7A72F9A3" w14:textId="0632C39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894.</w:t>
            </w:r>
            <w:r w:rsidR="00A6745F">
              <w:rPr>
                <w:rFonts w:ascii="Calibri" w:hAnsi="Calibri" w:cs="Calibri"/>
                <w:sz w:val="22"/>
                <w:szCs w:val="22"/>
                <w:lang w:val="en-GB"/>
              </w:rPr>
              <w:t>7</w:t>
            </w:r>
          </w:p>
        </w:tc>
        <w:tc>
          <w:tcPr>
            <w:tcW w:w="1560" w:type="dxa"/>
            <w:tcBorders>
              <w:top w:val="nil"/>
              <w:left w:val="nil"/>
              <w:bottom w:val="nil"/>
              <w:right w:val="nil"/>
            </w:tcBorders>
            <w:shd w:val="clear" w:color="auto" w:fill="auto"/>
            <w:vAlign w:val="center"/>
          </w:tcPr>
          <w:p w14:paraId="27DFCC77"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849.0</w:t>
            </w:r>
          </w:p>
        </w:tc>
        <w:tc>
          <w:tcPr>
            <w:tcW w:w="1559" w:type="dxa"/>
            <w:tcBorders>
              <w:top w:val="nil"/>
              <w:left w:val="nil"/>
              <w:bottom w:val="nil"/>
              <w:right w:val="nil"/>
            </w:tcBorders>
            <w:shd w:val="clear" w:color="000000" w:fill="E3F1F7"/>
            <w:noWrap/>
            <w:vAlign w:val="center"/>
          </w:tcPr>
          <w:p w14:paraId="4FB3BA96" w14:textId="77777777" w:rsidR="00572120" w:rsidRPr="00343233" w:rsidRDefault="0082774A" w:rsidP="00343233">
            <w:pPr>
              <w:pStyle w:val="P68B1DB1-Normal9"/>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5.4%</w:t>
            </w:r>
          </w:p>
        </w:tc>
      </w:tr>
      <w:tr w:rsidR="00572120" w:rsidRPr="00343233" w14:paraId="1BE55B2D" w14:textId="77777777" w:rsidTr="001C63DD">
        <w:trPr>
          <w:trHeight w:val="240"/>
        </w:trPr>
        <w:tc>
          <w:tcPr>
            <w:tcW w:w="4678" w:type="dxa"/>
            <w:tcBorders>
              <w:top w:val="nil"/>
              <w:left w:val="nil"/>
              <w:bottom w:val="nil"/>
              <w:right w:val="nil"/>
            </w:tcBorders>
            <w:shd w:val="clear" w:color="000000" w:fill="FFFFFF"/>
            <w:vAlign w:val="center"/>
            <w:hideMark/>
          </w:tcPr>
          <w:p w14:paraId="3ED64810"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Sulphuric acid</w:t>
            </w:r>
          </w:p>
        </w:tc>
        <w:tc>
          <w:tcPr>
            <w:tcW w:w="1985" w:type="dxa"/>
            <w:tcBorders>
              <w:top w:val="nil"/>
              <w:left w:val="nil"/>
              <w:bottom w:val="nil"/>
              <w:right w:val="nil"/>
            </w:tcBorders>
            <w:shd w:val="clear" w:color="auto" w:fill="auto"/>
            <w:vAlign w:val="center"/>
          </w:tcPr>
          <w:p w14:paraId="3D975658"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2,175.8</w:t>
            </w:r>
          </w:p>
        </w:tc>
        <w:tc>
          <w:tcPr>
            <w:tcW w:w="1560" w:type="dxa"/>
            <w:tcBorders>
              <w:top w:val="nil"/>
              <w:left w:val="nil"/>
              <w:bottom w:val="nil"/>
              <w:right w:val="nil"/>
            </w:tcBorders>
            <w:shd w:val="clear" w:color="auto" w:fill="auto"/>
            <w:vAlign w:val="center"/>
          </w:tcPr>
          <w:p w14:paraId="71D84136"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2,078.6</w:t>
            </w:r>
          </w:p>
        </w:tc>
        <w:tc>
          <w:tcPr>
            <w:tcW w:w="1559" w:type="dxa"/>
            <w:tcBorders>
              <w:top w:val="nil"/>
              <w:left w:val="nil"/>
              <w:bottom w:val="nil"/>
              <w:right w:val="nil"/>
            </w:tcBorders>
            <w:shd w:val="clear" w:color="000000" w:fill="E3F1F7"/>
            <w:noWrap/>
            <w:vAlign w:val="center"/>
          </w:tcPr>
          <w:p w14:paraId="104AAD41" w14:textId="77777777" w:rsidR="00572120" w:rsidRPr="00343233" w:rsidRDefault="0082774A" w:rsidP="00343233">
            <w:pPr>
              <w:pStyle w:val="P68B1DB1-Normal9"/>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4.7%</w:t>
            </w:r>
          </w:p>
        </w:tc>
      </w:tr>
      <w:tr w:rsidR="00572120" w:rsidRPr="00343233" w14:paraId="40C006F7" w14:textId="77777777" w:rsidTr="001C63DD">
        <w:trPr>
          <w:trHeight w:val="240"/>
        </w:trPr>
        <w:tc>
          <w:tcPr>
            <w:tcW w:w="4678" w:type="dxa"/>
            <w:tcBorders>
              <w:top w:val="nil"/>
              <w:left w:val="nil"/>
              <w:bottom w:val="nil"/>
              <w:right w:val="nil"/>
            </w:tcBorders>
            <w:shd w:val="clear" w:color="auto" w:fill="auto"/>
            <w:vAlign w:val="center"/>
            <w:hideMark/>
          </w:tcPr>
          <w:p w14:paraId="48E7888A"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GB"/>
              </w:rPr>
            </w:pPr>
            <w:r w:rsidRPr="00343233">
              <w:rPr>
                <w:rFonts w:ascii="Calibri" w:hAnsi="Calibri" w:cs="Calibri"/>
                <w:sz w:val="22"/>
                <w:szCs w:val="22"/>
                <w:lang w:val="en-GB"/>
              </w:rPr>
              <w:t>Ammonium sulphate</w:t>
            </w:r>
          </w:p>
        </w:tc>
        <w:tc>
          <w:tcPr>
            <w:tcW w:w="1985" w:type="dxa"/>
            <w:tcBorders>
              <w:top w:val="nil"/>
              <w:left w:val="nil"/>
              <w:bottom w:val="nil"/>
              <w:right w:val="nil"/>
            </w:tcBorders>
            <w:shd w:val="clear" w:color="auto" w:fill="auto"/>
            <w:vAlign w:val="center"/>
          </w:tcPr>
          <w:p w14:paraId="756E0300"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40.8</w:t>
            </w:r>
          </w:p>
        </w:tc>
        <w:tc>
          <w:tcPr>
            <w:tcW w:w="1560" w:type="dxa"/>
            <w:tcBorders>
              <w:top w:val="nil"/>
              <w:left w:val="nil"/>
              <w:bottom w:val="nil"/>
              <w:right w:val="nil"/>
            </w:tcBorders>
            <w:shd w:val="clear" w:color="auto" w:fill="auto"/>
            <w:vAlign w:val="center"/>
          </w:tcPr>
          <w:p w14:paraId="18761448" w14:textId="77777777" w:rsidR="00572120" w:rsidRPr="00343233" w:rsidRDefault="0082774A" w:rsidP="00343233">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68.9</w:t>
            </w:r>
          </w:p>
        </w:tc>
        <w:tc>
          <w:tcPr>
            <w:tcW w:w="1559" w:type="dxa"/>
            <w:tcBorders>
              <w:top w:val="nil"/>
              <w:left w:val="nil"/>
              <w:bottom w:val="nil"/>
              <w:right w:val="nil"/>
            </w:tcBorders>
            <w:shd w:val="clear" w:color="000000" w:fill="E3F1F7"/>
            <w:noWrap/>
            <w:vAlign w:val="center"/>
          </w:tcPr>
          <w:p w14:paraId="04F4DC9C" w14:textId="77777777" w:rsidR="00572120" w:rsidRPr="00343233" w:rsidRDefault="0082774A" w:rsidP="00343233">
            <w:pPr>
              <w:pStyle w:val="P68B1DB1-Normal9"/>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 w:val="22"/>
                <w:szCs w:val="22"/>
                <w:lang w:val="en-GB"/>
              </w:rPr>
            </w:pPr>
            <w:r w:rsidRPr="00343233">
              <w:rPr>
                <w:rFonts w:ascii="Calibri" w:hAnsi="Calibri" w:cs="Calibri"/>
                <w:sz w:val="22"/>
                <w:szCs w:val="22"/>
                <w:lang w:val="en-GB"/>
              </w:rPr>
              <w:t>-40.7%</w:t>
            </w:r>
          </w:p>
        </w:tc>
      </w:tr>
      <w:tr w:rsidR="00572120" w:rsidRPr="00343233" w14:paraId="5EFC8CED" w14:textId="77777777" w:rsidTr="001C63DD">
        <w:trPr>
          <w:trHeight w:val="255"/>
        </w:trPr>
        <w:tc>
          <w:tcPr>
            <w:tcW w:w="4678" w:type="dxa"/>
            <w:tcBorders>
              <w:top w:val="single" w:sz="4" w:space="0" w:color="auto"/>
              <w:left w:val="nil"/>
              <w:bottom w:val="double" w:sz="6" w:space="0" w:color="auto"/>
              <w:right w:val="nil"/>
            </w:tcBorders>
            <w:shd w:val="clear" w:color="000000" w:fill="FFFFFF"/>
            <w:vAlign w:val="center"/>
          </w:tcPr>
          <w:p w14:paraId="4D2F68E1" w14:textId="6E492763" w:rsidR="00572120" w:rsidRPr="00343233" w:rsidRDefault="0082774A" w:rsidP="00343233">
            <w:pPr>
              <w:pStyle w:val="P68B1DB1-Normal1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Cs w:val="22"/>
                <w:lang w:val="en-GB"/>
              </w:rPr>
            </w:pPr>
            <w:r w:rsidRPr="00343233">
              <w:rPr>
                <w:rFonts w:ascii="Calibri" w:hAnsi="Calibri" w:cs="Calibri"/>
                <w:szCs w:val="22"/>
                <w:lang w:val="en-GB"/>
              </w:rPr>
              <w:t>TOTAL feedstocks</w:t>
            </w:r>
          </w:p>
        </w:tc>
        <w:tc>
          <w:tcPr>
            <w:tcW w:w="1985" w:type="dxa"/>
            <w:tcBorders>
              <w:top w:val="single" w:sz="4" w:space="0" w:color="auto"/>
              <w:left w:val="nil"/>
              <w:bottom w:val="double" w:sz="6" w:space="0" w:color="auto"/>
              <w:right w:val="nil"/>
            </w:tcBorders>
            <w:shd w:val="clear" w:color="auto" w:fill="auto"/>
            <w:vAlign w:val="center"/>
          </w:tcPr>
          <w:p w14:paraId="2ED76006" w14:textId="64863046" w:rsidR="00572120" w:rsidRPr="00343233" w:rsidRDefault="0082774A" w:rsidP="00343233">
            <w:pPr>
              <w:pStyle w:val="P68B1DB1-Normal10"/>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Cs w:val="22"/>
                <w:lang w:val="en-GB"/>
              </w:rPr>
            </w:pPr>
            <w:r w:rsidRPr="00343233">
              <w:rPr>
                <w:rFonts w:ascii="Calibri" w:hAnsi="Calibri" w:cs="Calibri"/>
                <w:szCs w:val="22"/>
                <w:lang w:val="en-GB"/>
              </w:rPr>
              <w:t>3,622.</w:t>
            </w:r>
            <w:r w:rsidR="00A6745F">
              <w:rPr>
                <w:rFonts w:ascii="Calibri" w:hAnsi="Calibri" w:cs="Calibri"/>
                <w:szCs w:val="22"/>
                <w:lang w:val="en-GB"/>
              </w:rPr>
              <w:t>6</w:t>
            </w:r>
          </w:p>
        </w:tc>
        <w:tc>
          <w:tcPr>
            <w:tcW w:w="1560" w:type="dxa"/>
            <w:tcBorders>
              <w:top w:val="single" w:sz="4" w:space="0" w:color="auto"/>
              <w:left w:val="nil"/>
              <w:bottom w:val="double" w:sz="6" w:space="0" w:color="auto"/>
              <w:right w:val="nil"/>
            </w:tcBorders>
            <w:shd w:val="clear" w:color="auto" w:fill="auto"/>
            <w:vAlign w:val="center"/>
          </w:tcPr>
          <w:p w14:paraId="178B8951" w14:textId="46A1F237" w:rsidR="00572120" w:rsidRPr="00343233" w:rsidRDefault="0082774A" w:rsidP="00343233">
            <w:pPr>
              <w:pStyle w:val="P68B1DB1-Normal10"/>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Cs w:val="22"/>
                <w:lang w:val="en-GB"/>
              </w:rPr>
            </w:pPr>
            <w:r w:rsidRPr="00343233">
              <w:rPr>
                <w:rFonts w:ascii="Calibri" w:hAnsi="Calibri" w:cs="Calibri"/>
                <w:szCs w:val="22"/>
                <w:lang w:val="en-GB"/>
              </w:rPr>
              <w:t>3,497.0</w:t>
            </w:r>
          </w:p>
        </w:tc>
        <w:tc>
          <w:tcPr>
            <w:tcW w:w="1559" w:type="dxa"/>
            <w:tcBorders>
              <w:top w:val="single" w:sz="4" w:space="0" w:color="auto"/>
              <w:left w:val="nil"/>
              <w:bottom w:val="double" w:sz="6" w:space="0" w:color="auto"/>
              <w:right w:val="nil"/>
            </w:tcBorders>
            <w:shd w:val="clear" w:color="000000" w:fill="E3F1F7"/>
            <w:noWrap/>
            <w:vAlign w:val="center"/>
          </w:tcPr>
          <w:p w14:paraId="5F1FB8AC" w14:textId="4DD60198" w:rsidR="00572120" w:rsidRPr="00343233" w:rsidRDefault="0082774A" w:rsidP="00343233">
            <w:pPr>
              <w:pStyle w:val="P68B1DB1-Normal11"/>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cs="Calibri"/>
                <w:szCs w:val="22"/>
                <w:lang w:val="en-GB"/>
              </w:rPr>
            </w:pPr>
            <w:r w:rsidRPr="00343233">
              <w:rPr>
                <w:rFonts w:ascii="Calibri" w:hAnsi="Calibri" w:cs="Calibri"/>
                <w:szCs w:val="22"/>
                <w:lang w:val="en-GB"/>
              </w:rPr>
              <w:t>3.6%</w:t>
            </w:r>
          </w:p>
        </w:tc>
      </w:tr>
    </w:tbl>
    <w:p w14:paraId="46AD1D3B" w14:textId="77777777" w:rsidR="00572120" w:rsidRPr="00343233" w:rsidRDefault="00572120" w:rsidP="00941935">
      <w:pPr>
        <w:pStyle w:val="1"/>
        <w:spacing w:after="120" w:line="240" w:lineRule="auto"/>
        <w:jc w:val="both"/>
        <w:rPr>
          <w:b/>
          <w:szCs w:val="22"/>
          <w:lang w:val="en-GB"/>
        </w:rPr>
      </w:pPr>
    </w:p>
    <w:tbl>
      <w:tblPr>
        <w:tblW w:w="9782" w:type="dxa"/>
        <w:tblInd w:w="-426" w:type="dxa"/>
        <w:tblLook w:val="04A0" w:firstRow="1" w:lastRow="0" w:firstColumn="1" w:lastColumn="0" w:noHBand="0" w:noVBand="1"/>
      </w:tblPr>
      <w:tblGrid>
        <w:gridCol w:w="5246"/>
        <w:gridCol w:w="1417"/>
        <w:gridCol w:w="1560"/>
        <w:gridCol w:w="1559"/>
      </w:tblGrid>
      <w:tr w:rsidR="00572120" w:rsidRPr="00343233" w14:paraId="1B284D03" w14:textId="77777777" w:rsidTr="00AB3C1F">
        <w:trPr>
          <w:trHeight w:val="465"/>
        </w:trPr>
        <w:tc>
          <w:tcPr>
            <w:tcW w:w="9782" w:type="dxa"/>
            <w:gridSpan w:val="4"/>
            <w:tcBorders>
              <w:top w:val="nil"/>
              <w:left w:val="nil"/>
              <w:bottom w:val="nil"/>
              <w:right w:val="nil"/>
            </w:tcBorders>
            <w:shd w:val="clear" w:color="000000" w:fill="2B87A2"/>
            <w:vAlign w:val="center"/>
            <w:hideMark/>
          </w:tcPr>
          <w:p w14:paraId="32AFBE67" w14:textId="77777777" w:rsidR="00572120" w:rsidRPr="00343233" w:rsidRDefault="0082774A">
            <w:pPr>
              <w:pStyle w:val="P68B1DB1-Normal5"/>
              <w:pBdr>
                <w:top w:val="none" w:sz="0" w:space="0" w:color="auto"/>
                <w:left w:val="none" w:sz="0" w:space="0" w:color="auto"/>
                <w:bottom w:val="none" w:sz="0" w:space="0" w:color="auto"/>
                <w:right w:val="none" w:sz="0" w:space="0" w:color="auto"/>
                <w:between w:val="none" w:sz="0" w:space="0" w:color="auto"/>
                <w:bar w:val="none" w:sz="0" w:color="auto"/>
              </w:pBdr>
              <w:ind w:left="30"/>
              <w:jc w:val="center"/>
              <w:rPr>
                <w:rFonts w:ascii="Calibri" w:hAnsi="Calibri" w:cs="Calibri"/>
                <w:sz w:val="22"/>
                <w:szCs w:val="22"/>
                <w:lang w:val="en-GB"/>
              </w:rPr>
            </w:pPr>
            <w:r w:rsidRPr="00343233">
              <w:rPr>
                <w:rFonts w:ascii="Calibri" w:hAnsi="Calibri" w:cs="Calibri"/>
                <w:sz w:val="22"/>
                <w:szCs w:val="22"/>
                <w:lang w:val="en-GB"/>
              </w:rPr>
              <w:t>Sales volumes by category</w:t>
            </w:r>
          </w:p>
        </w:tc>
      </w:tr>
      <w:tr w:rsidR="00572120" w:rsidRPr="00343233" w14:paraId="75D0AF70" w14:textId="77777777" w:rsidTr="00AB3C1F">
        <w:trPr>
          <w:trHeight w:val="271"/>
        </w:trPr>
        <w:tc>
          <w:tcPr>
            <w:tcW w:w="5246" w:type="dxa"/>
            <w:tcBorders>
              <w:top w:val="nil"/>
              <w:left w:val="nil"/>
              <w:bottom w:val="nil"/>
              <w:right w:val="nil"/>
            </w:tcBorders>
            <w:shd w:val="clear" w:color="auto" w:fill="auto"/>
            <w:vAlign w:val="center"/>
            <w:hideMark/>
          </w:tcPr>
          <w:p w14:paraId="741F2C86" w14:textId="77777777" w:rsidR="00572120" w:rsidRPr="00343233" w:rsidRDefault="0082774A">
            <w:pPr>
              <w:pStyle w:val="P68B1DB1-Normal6"/>
              <w:pBdr>
                <w:top w:val="none" w:sz="0" w:space="0" w:color="auto"/>
                <w:left w:val="none" w:sz="0" w:space="0" w:color="auto"/>
                <w:bottom w:val="none" w:sz="0" w:space="0" w:color="auto"/>
                <w:right w:val="none" w:sz="0" w:space="0" w:color="auto"/>
                <w:between w:val="none" w:sz="0" w:space="0" w:color="auto"/>
                <w:bar w:val="none" w:sz="0" w:color="auto"/>
              </w:pBdr>
              <w:ind w:left="30"/>
              <w:rPr>
                <w:rFonts w:ascii="Calibri" w:hAnsi="Calibri" w:cs="Calibri"/>
                <w:sz w:val="22"/>
                <w:szCs w:val="22"/>
                <w:lang w:val="en-GB"/>
              </w:rPr>
            </w:pPr>
            <w:r w:rsidRPr="00343233">
              <w:rPr>
                <w:rFonts w:ascii="Calibri" w:hAnsi="Calibri" w:cs="Calibri"/>
                <w:sz w:val="22"/>
                <w:szCs w:val="22"/>
                <w:lang w:val="en-GB"/>
              </w:rPr>
              <w:t>(kt)</w:t>
            </w:r>
          </w:p>
        </w:tc>
        <w:tc>
          <w:tcPr>
            <w:tcW w:w="1417" w:type="dxa"/>
            <w:tcBorders>
              <w:top w:val="nil"/>
              <w:left w:val="nil"/>
              <w:bottom w:val="nil"/>
              <w:right w:val="nil"/>
            </w:tcBorders>
            <w:shd w:val="clear" w:color="auto" w:fill="auto"/>
            <w:vAlign w:val="center"/>
            <w:hideMark/>
          </w:tcPr>
          <w:p w14:paraId="6AFC18F9" w14:textId="77777777" w:rsidR="00572120" w:rsidRPr="00343233" w:rsidRDefault="0082774A">
            <w:pPr>
              <w:pStyle w:val="P68B1DB1-Normal7"/>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1Q 2024</w:t>
            </w:r>
          </w:p>
        </w:tc>
        <w:tc>
          <w:tcPr>
            <w:tcW w:w="1560" w:type="dxa"/>
            <w:tcBorders>
              <w:top w:val="nil"/>
              <w:left w:val="nil"/>
              <w:bottom w:val="nil"/>
              <w:right w:val="nil"/>
            </w:tcBorders>
            <w:shd w:val="clear" w:color="auto" w:fill="auto"/>
            <w:vAlign w:val="center"/>
            <w:hideMark/>
          </w:tcPr>
          <w:p w14:paraId="6456F1E1" w14:textId="77777777" w:rsidR="00572120" w:rsidRPr="00343233" w:rsidRDefault="0082774A">
            <w:pPr>
              <w:pStyle w:val="P68B1DB1-Normal7"/>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1Q 2023</w:t>
            </w:r>
          </w:p>
        </w:tc>
        <w:tc>
          <w:tcPr>
            <w:tcW w:w="1559" w:type="dxa"/>
            <w:tcBorders>
              <w:top w:val="nil"/>
              <w:left w:val="nil"/>
              <w:bottom w:val="nil"/>
              <w:right w:val="nil"/>
            </w:tcBorders>
            <w:shd w:val="clear" w:color="000000" w:fill="E3F1F7"/>
            <w:vAlign w:val="center"/>
            <w:hideMark/>
          </w:tcPr>
          <w:p w14:paraId="768A3474" w14:textId="77777777" w:rsidR="00572120" w:rsidRPr="00343233" w:rsidRDefault="0082774A">
            <w:pPr>
              <w:pStyle w:val="P68B1DB1-Normal7"/>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Change, %</w:t>
            </w:r>
          </w:p>
        </w:tc>
      </w:tr>
      <w:tr w:rsidR="00572120" w:rsidRPr="00343233" w14:paraId="21F72F1C" w14:textId="77777777" w:rsidTr="00AB3C1F">
        <w:trPr>
          <w:trHeight w:val="383"/>
        </w:trPr>
        <w:tc>
          <w:tcPr>
            <w:tcW w:w="5246" w:type="dxa"/>
            <w:tcBorders>
              <w:top w:val="nil"/>
              <w:left w:val="nil"/>
              <w:bottom w:val="nil"/>
              <w:right w:val="nil"/>
            </w:tcBorders>
            <w:shd w:val="clear" w:color="auto" w:fill="auto"/>
            <w:vAlign w:val="center"/>
            <w:hideMark/>
          </w:tcPr>
          <w:p w14:paraId="61E74D0D"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rPr>
                <w:rFonts w:ascii="Calibri" w:hAnsi="Calibri" w:cs="Calibri"/>
                <w:sz w:val="22"/>
                <w:szCs w:val="22"/>
                <w:lang w:val="en-GB"/>
              </w:rPr>
            </w:pPr>
            <w:r w:rsidRPr="00343233">
              <w:rPr>
                <w:rFonts w:ascii="Calibri" w:hAnsi="Calibri" w:cs="Calibri"/>
                <w:sz w:val="22"/>
                <w:szCs w:val="22"/>
                <w:lang w:val="en-GB"/>
              </w:rPr>
              <w:t>Phosphate-based fertilizers and feed phosphates</w:t>
            </w:r>
          </w:p>
        </w:tc>
        <w:tc>
          <w:tcPr>
            <w:tcW w:w="1417" w:type="dxa"/>
            <w:tcBorders>
              <w:top w:val="nil"/>
              <w:left w:val="nil"/>
              <w:bottom w:val="nil"/>
              <w:right w:val="nil"/>
            </w:tcBorders>
            <w:shd w:val="clear" w:color="auto" w:fill="auto"/>
            <w:noWrap/>
            <w:vAlign w:val="center"/>
            <w:hideMark/>
          </w:tcPr>
          <w:p w14:paraId="0183E530"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2,338.5</w:t>
            </w:r>
          </w:p>
        </w:tc>
        <w:tc>
          <w:tcPr>
            <w:tcW w:w="1560" w:type="dxa"/>
            <w:tcBorders>
              <w:top w:val="nil"/>
              <w:left w:val="nil"/>
              <w:bottom w:val="nil"/>
              <w:right w:val="nil"/>
            </w:tcBorders>
            <w:shd w:val="clear" w:color="auto" w:fill="auto"/>
            <w:noWrap/>
            <w:vAlign w:val="center"/>
            <w:hideMark/>
          </w:tcPr>
          <w:p w14:paraId="3BFC0069"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2,016.7</w:t>
            </w:r>
          </w:p>
        </w:tc>
        <w:tc>
          <w:tcPr>
            <w:tcW w:w="1559" w:type="dxa"/>
            <w:tcBorders>
              <w:top w:val="nil"/>
              <w:left w:val="nil"/>
              <w:bottom w:val="nil"/>
              <w:right w:val="nil"/>
            </w:tcBorders>
            <w:shd w:val="clear" w:color="000000" w:fill="E3F1F7"/>
            <w:noWrap/>
            <w:vAlign w:val="center"/>
            <w:hideMark/>
          </w:tcPr>
          <w:p w14:paraId="4DA888CC"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16.0%</w:t>
            </w:r>
          </w:p>
        </w:tc>
      </w:tr>
      <w:tr w:rsidR="00572120" w:rsidRPr="00343233" w14:paraId="69D706DA" w14:textId="77777777" w:rsidTr="00AB3C1F">
        <w:trPr>
          <w:trHeight w:val="303"/>
        </w:trPr>
        <w:tc>
          <w:tcPr>
            <w:tcW w:w="5246" w:type="dxa"/>
            <w:tcBorders>
              <w:top w:val="nil"/>
              <w:left w:val="nil"/>
              <w:bottom w:val="nil"/>
              <w:right w:val="nil"/>
            </w:tcBorders>
            <w:shd w:val="clear" w:color="auto" w:fill="auto"/>
            <w:vAlign w:val="center"/>
            <w:hideMark/>
          </w:tcPr>
          <w:p w14:paraId="22D70384"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rPr>
                <w:rFonts w:ascii="Calibri" w:hAnsi="Calibri" w:cs="Calibri"/>
                <w:sz w:val="22"/>
                <w:szCs w:val="22"/>
                <w:lang w:val="en-GB"/>
              </w:rPr>
            </w:pPr>
            <w:r w:rsidRPr="00343233">
              <w:rPr>
                <w:rFonts w:ascii="Calibri" w:hAnsi="Calibri" w:cs="Calibri"/>
                <w:sz w:val="22"/>
                <w:szCs w:val="22"/>
                <w:lang w:val="en-GB"/>
              </w:rPr>
              <w:t>Nitrogen-based fertilizers</w:t>
            </w:r>
          </w:p>
        </w:tc>
        <w:tc>
          <w:tcPr>
            <w:tcW w:w="1417" w:type="dxa"/>
            <w:tcBorders>
              <w:top w:val="nil"/>
              <w:left w:val="nil"/>
              <w:bottom w:val="nil"/>
              <w:right w:val="nil"/>
            </w:tcBorders>
            <w:shd w:val="clear" w:color="auto" w:fill="auto"/>
            <w:noWrap/>
            <w:vAlign w:val="center"/>
            <w:hideMark/>
          </w:tcPr>
          <w:p w14:paraId="2DAE973A"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676.8</w:t>
            </w:r>
          </w:p>
        </w:tc>
        <w:tc>
          <w:tcPr>
            <w:tcW w:w="1560" w:type="dxa"/>
            <w:tcBorders>
              <w:top w:val="nil"/>
              <w:left w:val="nil"/>
              <w:bottom w:val="nil"/>
              <w:right w:val="nil"/>
            </w:tcBorders>
            <w:shd w:val="clear" w:color="auto" w:fill="auto"/>
            <w:noWrap/>
            <w:vAlign w:val="center"/>
            <w:hideMark/>
          </w:tcPr>
          <w:p w14:paraId="1DEC4F5C"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686.6</w:t>
            </w:r>
          </w:p>
        </w:tc>
        <w:tc>
          <w:tcPr>
            <w:tcW w:w="1559" w:type="dxa"/>
            <w:tcBorders>
              <w:top w:val="nil"/>
              <w:left w:val="nil"/>
              <w:bottom w:val="nil"/>
              <w:right w:val="nil"/>
            </w:tcBorders>
            <w:shd w:val="clear" w:color="000000" w:fill="E3F1F7"/>
            <w:noWrap/>
            <w:vAlign w:val="center"/>
            <w:hideMark/>
          </w:tcPr>
          <w:p w14:paraId="0DAD343F"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-1.4%</w:t>
            </w:r>
          </w:p>
        </w:tc>
      </w:tr>
      <w:tr w:rsidR="00572120" w:rsidRPr="00343233" w14:paraId="19556C88" w14:textId="77777777" w:rsidTr="00AB3C1F">
        <w:trPr>
          <w:trHeight w:val="189"/>
        </w:trPr>
        <w:tc>
          <w:tcPr>
            <w:tcW w:w="5246" w:type="dxa"/>
            <w:tcBorders>
              <w:top w:val="single" w:sz="4" w:space="0" w:color="auto"/>
              <w:left w:val="nil"/>
              <w:bottom w:val="double" w:sz="6" w:space="0" w:color="auto"/>
              <w:right w:val="nil"/>
            </w:tcBorders>
            <w:shd w:val="clear" w:color="auto" w:fill="auto"/>
            <w:vAlign w:val="center"/>
            <w:hideMark/>
          </w:tcPr>
          <w:p w14:paraId="792EBEDF" w14:textId="77777777" w:rsidR="00572120" w:rsidRPr="00343233" w:rsidRDefault="0082774A">
            <w:pPr>
              <w:pStyle w:val="P68B1DB1-Normal10"/>
              <w:pBdr>
                <w:top w:val="none" w:sz="0" w:space="0" w:color="auto"/>
                <w:left w:val="none" w:sz="0" w:space="0" w:color="auto"/>
                <w:bottom w:val="none" w:sz="0" w:space="0" w:color="auto"/>
                <w:right w:val="none" w:sz="0" w:space="0" w:color="auto"/>
                <w:between w:val="none" w:sz="0" w:space="0" w:color="auto"/>
                <w:bar w:val="none" w:sz="0" w:color="auto"/>
              </w:pBdr>
              <w:ind w:left="30"/>
              <w:rPr>
                <w:rFonts w:ascii="Calibri" w:hAnsi="Calibri" w:cs="Calibri"/>
                <w:szCs w:val="22"/>
                <w:lang w:val="en-GB"/>
              </w:rPr>
            </w:pPr>
            <w:r w:rsidRPr="00343233">
              <w:rPr>
                <w:rFonts w:ascii="Calibri" w:hAnsi="Calibri" w:cs="Calibri"/>
                <w:szCs w:val="22"/>
                <w:lang w:val="en-GB"/>
              </w:rPr>
              <w:t>TOTAL fertilizers</w:t>
            </w:r>
          </w:p>
        </w:tc>
        <w:tc>
          <w:tcPr>
            <w:tcW w:w="1417" w:type="dxa"/>
            <w:tcBorders>
              <w:top w:val="single" w:sz="4" w:space="0" w:color="auto"/>
              <w:left w:val="nil"/>
              <w:bottom w:val="double" w:sz="6" w:space="0" w:color="auto"/>
              <w:right w:val="nil"/>
            </w:tcBorders>
            <w:shd w:val="clear" w:color="auto" w:fill="auto"/>
            <w:noWrap/>
            <w:vAlign w:val="center"/>
            <w:hideMark/>
          </w:tcPr>
          <w:p w14:paraId="115D5D83" w14:textId="77777777" w:rsidR="00572120" w:rsidRPr="00343233" w:rsidRDefault="0082774A">
            <w:pPr>
              <w:pStyle w:val="P68B1DB1-Normal10"/>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Cs w:val="22"/>
                <w:lang w:val="en-GB"/>
              </w:rPr>
            </w:pPr>
            <w:r w:rsidRPr="00343233">
              <w:rPr>
                <w:rFonts w:ascii="Calibri" w:hAnsi="Calibri" w:cs="Calibri"/>
                <w:szCs w:val="22"/>
                <w:lang w:val="en-GB"/>
              </w:rPr>
              <w:t>3,015.3</w:t>
            </w:r>
          </w:p>
        </w:tc>
        <w:tc>
          <w:tcPr>
            <w:tcW w:w="1560" w:type="dxa"/>
            <w:tcBorders>
              <w:top w:val="single" w:sz="4" w:space="0" w:color="auto"/>
              <w:left w:val="nil"/>
              <w:bottom w:val="double" w:sz="6" w:space="0" w:color="auto"/>
              <w:right w:val="nil"/>
            </w:tcBorders>
            <w:shd w:val="clear" w:color="auto" w:fill="auto"/>
            <w:noWrap/>
            <w:vAlign w:val="center"/>
            <w:hideMark/>
          </w:tcPr>
          <w:p w14:paraId="45D91EAA" w14:textId="77777777" w:rsidR="00572120" w:rsidRPr="00343233" w:rsidRDefault="0082774A">
            <w:pPr>
              <w:pStyle w:val="P68B1DB1-Normal10"/>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Cs w:val="22"/>
                <w:lang w:val="en-GB"/>
              </w:rPr>
            </w:pPr>
            <w:r w:rsidRPr="00343233">
              <w:rPr>
                <w:rFonts w:ascii="Calibri" w:hAnsi="Calibri" w:cs="Calibri"/>
                <w:szCs w:val="22"/>
                <w:lang w:val="en-GB"/>
              </w:rPr>
              <w:t>2,703.3</w:t>
            </w:r>
          </w:p>
        </w:tc>
        <w:tc>
          <w:tcPr>
            <w:tcW w:w="1559" w:type="dxa"/>
            <w:tcBorders>
              <w:top w:val="single" w:sz="4" w:space="0" w:color="auto"/>
              <w:left w:val="nil"/>
              <w:bottom w:val="double" w:sz="6" w:space="0" w:color="auto"/>
              <w:right w:val="nil"/>
            </w:tcBorders>
            <w:shd w:val="clear" w:color="000000" w:fill="E3F1F7"/>
            <w:noWrap/>
            <w:vAlign w:val="center"/>
            <w:hideMark/>
          </w:tcPr>
          <w:p w14:paraId="357A42D0" w14:textId="77777777" w:rsidR="00572120" w:rsidRPr="00343233" w:rsidRDefault="0082774A">
            <w:pPr>
              <w:pStyle w:val="P68B1DB1-Normal10"/>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Cs w:val="22"/>
                <w:lang w:val="en-GB"/>
              </w:rPr>
            </w:pPr>
            <w:r w:rsidRPr="00343233">
              <w:rPr>
                <w:rFonts w:ascii="Calibri" w:hAnsi="Calibri" w:cs="Calibri"/>
                <w:szCs w:val="22"/>
                <w:lang w:val="en-GB"/>
              </w:rPr>
              <w:t>11.5%</w:t>
            </w:r>
          </w:p>
        </w:tc>
      </w:tr>
      <w:tr w:rsidR="00572120" w:rsidRPr="00343233" w14:paraId="2B3A2A69" w14:textId="77777777" w:rsidTr="00AB3C1F">
        <w:trPr>
          <w:trHeight w:val="378"/>
        </w:trPr>
        <w:tc>
          <w:tcPr>
            <w:tcW w:w="5246" w:type="dxa"/>
            <w:tcBorders>
              <w:top w:val="nil"/>
              <w:left w:val="nil"/>
              <w:bottom w:val="single" w:sz="4" w:space="0" w:color="auto"/>
              <w:right w:val="nil"/>
            </w:tcBorders>
            <w:shd w:val="clear" w:color="auto" w:fill="auto"/>
            <w:vAlign w:val="center"/>
            <w:hideMark/>
          </w:tcPr>
          <w:p w14:paraId="7D315DFE"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rPr>
                <w:rFonts w:ascii="Calibri" w:hAnsi="Calibri" w:cs="Calibri"/>
                <w:sz w:val="22"/>
                <w:szCs w:val="22"/>
                <w:lang w:val="en-GB"/>
              </w:rPr>
            </w:pPr>
            <w:r w:rsidRPr="00343233">
              <w:rPr>
                <w:rFonts w:ascii="Calibri" w:hAnsi="Calibri" w:cs="Calibri"/>
                <w:sz w:val="22"/>
                <w:szCs w:val="22"/>
                <w:lang w:val="en-GB"/>
              </w:rPr>
              <w:t>Other products</w:t>
            </w:r>
          </w:p>
        </w:tc>
        <w:tc>
          <w:tcPr>
            <w:tcW w:w="1417" w:type="dxa"/>
            <w:tcBorders>
              <w:top w:val="nil"/>
              <w:left w:val="nil"/>
              <w:bottom w:val="single" w:sz="4" w:space="0" w:color="auto"/>
              <w:right w:val="nil"/>
            </w:tcBorders>
            <w:shd w:val="clear" w:color="auto" w:fill="auto"/>
            <w:noWrap/>
            <w:vAlign w:val="center"/>
            <w:hideMark/>
          </w:tcPr>
          <w:p w14:paraId="69EFD4A4" w14:textId="3CBCA065" w:rsidR="00572120" w:rsidRPr="00343233" w:rsidRDefault="00A6745F">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Pr>
                <w:rFonts w:ascii="Calibri" w:hAnsi="Calibri" w:cs="Calibri"/>
                <w:sz w:val="22"/>
                <w:szCs w:val="22"/>
                <w:lang w:val="en-GB"/>
              </w:rPr>
              <w:t>72</w:t>
            </w:r>
            <w:r w:rsidR="0082774A" w:rsidRPr="00343233">
              <w:rPr>
                <w:rFonts w:ascii="Calibri" w:hAnsi="Calibri" w:cs="Calibri"/>
                <w:sz w:val="22"/>
                <w:szCs w:val="22"/>
                <w:lang w:val="en-GB"/>
              </w:rPr>
              <w:t>.</w:t>
            </w:r>
            <w:r>
              <w:rPr>
                <w:rFonts w:ascii="Calibri" w:hAnsi="Calibri" w:cs="Calibri"/>
                <w:sz w:val="22"/>
                <w:szCs w:val="22"/>
                <w:lang w:val="en-GB"/>
              </w:rPr>
              <w:t>5</w:t>
            </w:r>
          </w:p>
        </w:tc>
        <w:tc>
          <w:tcPr>
            <w:tcW w:w="1560" w:type="dxa"/>
            <w:tcBorders>
              <w:top w:val="nil"/>
              <w:left w:val="nil"/>
              <w:bottom w:val="single" w:sz="4" w:space="0" w:color="auto"/>
              <w:right w:val="nil"/>
            </w:tcBorders>
            <w:shd w:val="clear" w:color="auto" w:fill="auto"/>
            <w:noWrap/>
            <w:vAlign w:val="center"/>
            <w:hideMark/>
          </w:tcPr>
          <w:p w14:paraId="30BD8773" w14:textId="6FE46872" w:rsidR="00572120" w:rsidRPr="00343233" w:rsidRDefault="00A6745F">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Pr>
                <w:rFonts w:ascii="Calibri" w:hAnsi="Calibri" w:cs="Calibri"/>
                <w:sz w:val="22"/>
                <w:szCs w:val="22"/>
                <w:lang w:val="en-GB"/>
              </w:rPr>
              <w:t>69</w:t>
            </w:r>
            <w:r w:rsidR="0082774A" w:rsidRPr="00343233">
              <w:rPr>
                <w:rFonts w:ascii="Calibri" w:hAnsi="Calibri" w:cs="Calibri"/>
                <w:sz w:val="22"/>
                <w:szCs w:val="22"/>
                <w:lang w:val="en-GB"/>
              </w:rPr>
              <w:t>.</w:t>
            </w:r>
            <w:r>
              <w:rPr>
                <w:rFonts w:ascii="Calibri" w:hAnsi="Calibri" w:cs="Calibri"/>
                <w:sz w:val="22"/>
                <w:szCs w:val="22"/>
                <w:lang w:val="en-GB"/>
              </w:rPr>
              <w:t>2</w:t>
            </w:r>
          </w:p>
        </w:tc>
        <w:tc>
          <w:tcPr>
            <w:tcW w:w="1559" w:type="dxa"/>
            <w:tcBorders>
              <w:top w:val="nil"/>
              <w:left w:val="nil"/>
              <w:bottom w:val="single" w:sz="4" w:space="0" w:color="auto"/>
              <w:right w:val="nil"/>
            </w:tcBorders>
            <w:shd w:val="clear" w:color="000000" w:fill="E3F1F7"/>
            <w:noWrap/>
            <w:vAlign w:val="center"/>
            <w:hideMark/>
          </w:tcPr>
          <w:p w14:paraId="72020185" w14:textId="77777777" w:rsidR="00572120" w:rsidRPr="00343233" w:rsidRDefault="0082774A">
            <w:pPr>
              <w:pStyle w:val="P68B1DB1-Normal8"/>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-4.7%</w:t>
            </w:r>
          </w:p>
        </w:tc>
      </w:tr>
      <w:tr w:rsidR="00572120" w:rsidRPr="00343233" w14:paraId="006841E5" w14:textId="77777777" w:rsidTr="00AB3C1F">
        <w:trPr>
          <w:trHeight w:val="228"/>
        </w:trPr>
        <w:tc>
          <w:tcPr>
            <w:tcW w:w="5246" w:type="dxa"/>
            <w:tcBorders>
              <w:top w:val="nil"/>
              <w:left w:val="nil"/>
              <w:bottom w:val="double" w:sz="6" w:space="0" w:color="auto"/>
              <w:right w:val="nil"/>
            </w:tcBorders>
            <w:shd w:val="clear" w:color="000000" w:fill="FFFFFF"/>
            <w:vAlign w:val="center"/>
            <w:hideMark/>
          </w:tcPr>
          <w:p w14:paraId="7179C972" w14:textId="77777777" w:rsidR="00572120" w:rsidRPr="00343233" w:rsidRDefault="0082774A">
            <w:pPr>
              <w:pStyle w:val="P68B1DB1-Normal12"/>
              <w:pBdr>
                <w:top w:val="none" w:sz="0" w:space="0" w:color="auto"/>
                <w:left w:val="none" w:sz="0" w:space="0" w:color="auto"/>
                <w:bottom w:val="none" w:sz="0" w:space="0" w:color="auto"/>
                <w:right w:val="none" w:sz="0" w:space="0" w:color="auto"/>
                <w:between w:val="none" w:sz="0" w:space="0" w:color="auto"/>
                <w:bar w:val="none" w:sz="0" w:color="auto"/>
              </w:pBdr>
              <w:ind w:left="30"/>
              <w:rPr>
                <w:rFonts w:ascii="Calibri" w:hAnsi="Calibri" w:cs="Calibri"/>
                <w:sz w:val="22"/>
                <w:szCs w:val="22"/>
                <w:lang w:val="en-GB"/>
              </w:rPr>
            </w:pPr>
            <w:r w:rsidRPr="00343233">
              <w:rPr>
                <w:rFonts w:ascii="Calibri" w:hAnsi="Calibri" w:cs="Calibri"/>
                <w:sz w:val="22"/>
                <w:szCs w:val="22"/>
                <w:lang w:val="en-GB"/>
              </w:rPr>
              <w:t>TOTAL fertilizers and other products</w:t>
            </w:r>
          </w:p>
        </w:tc>
        <w:tc>
          <w:tcPr>
            <w:tcW w:w="1417" w:type="dxa"/>
            <w:tcBorders>
              <w:top w:val="nil"/>
              <w:left w:val="nil"/>
              <w:bottom w:val="double" w:sz="6" w:space="0" w:color="auto"/>
              <w:right w:val="nil"/>
            </w:tcBorders>
            <w:shd w:val="clear" w:color="auto" w:fill="auto"/>
            <w:vAlign w:val="center"/>
            <w:hideMark/>
          </w:tcPr>
          <w:p w14:paraId="6832094E" w14:textId="7AA4DDBD" w:rsidR="00572120" w:rsidRPr="00343233" w:rsidRDefault="0082774A">
            <w:pPr>
              <w:pStyle w:val="P68B1DB1-Normal12"/>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3,0</w:t>
            </w:r>
            <w:r w:rsidR="00A6745F">
              <w:rPr>
                <w:rFonts w:ascii="Calibri" w:hAnsi="Calibri" w:cs="Calibri"/>
                <w:sz w:val="22"/>
                <w:szCs w:val="22"/>
                <w:lang w:val="en-GB"/>
              </w:rPr>
              <w:t>87</w:t>
            </w:r>
            <w:r w:rsidRPr="00343233">
              <w:rPr>
                <w:rFonts w:ascii="Calibri" w:hAnsi="Calibri" w:cs="Calibri"/>
                <w:sz w:val="22"/>
                <w:szCs w:val="22"/>
                <w:lang w:val="en-GB"/>
              </w:rPr>
              <w:t>.</w:t>
            </w:r>
            <w:r w:rsidR="00A6745F">
              <w:rPr>
                <w:rFonts w:ascii="Calibri" w:hAnsi="Calibri" w:cs="Calibri"/>
                <w:sz w:val="22"/>
                <w:szCs w:val="22"/>
                <w:lang w:val="en-GB"/>
              </w:rPr>
              <w:t>8</w:t>
            </w:r>
          </w:p>
        </w:tc>
        <w:tc>
          <w:tcPr>
            <w:tcW w:w="1560" w:type="dxa"/>
            <w:tcBorders>
              <w:top w:val="nil"/>
              <w:left w:val="nil"/>
              <w:bottom w:val="double" w:sz="6" w:space="0" w:color="auto"/>
              <w:right w:val="nil"/>
            </w:tcBorders>
            <w:shd w:val="clear" w:color="auto" w:fill="auto"/>
            <w:vAlign w:val="center"/>
            <w:hideMark/>
          </w:tcPr>
          <w:p w14:paraId="629BEEF1" w14:textId="742A4122" w:rsidR="00572120" w:rsidRPr="00343233" w:rsidRDefault="001C63DD" w:rsidP="001C63DD">
            <w:pPr>
              <w:pStyle w:val="P68B1DB1-Normal12"/>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Pr>
                <w:rFonts w:ascii="Calibri" w:hAnsi="Calibri" w:cs="Calibri"/>
                <w:sz w:val="22"/>
                <w:szCs w:val="22"/>
                <w:lang w:val="en-GB"/>
              </w:rPr>
              <w:t>2</w:t>
            </w:r>
            <w:r w:rsidR="00676030">
              <w:rPr>
                <w:rFonts w:ascii="Calibri" w:hAnsi="Calibri" w:cs="Calibri"/>
                <w:sz w:val="22"/>
                <w:szCs w:val="22"/>
                <w:lang w:val="en-GB"/>
              </w:rPr>
              <w:t>,</w:t>
            </w:r>
            <w:r w:rsidR="00A6745F">
              <w:rPr>
                <w:rFonts w:ascii="Calibri" w:hAnsi="Calibri" w:cs="Calibri"/>
                <w:sz w:val="22"/>
                <w:szCs w:val="22"/>
                <w:lang w:val="en-GB"/>
              </w:rPr>
              <w:t>7</w:t>
            </w:r>
            <w:r>
              <w:rPr>
                <w:rFonts w:ascii="Calibri" w:hAnsi="Calibri" w:cs="Calibri"/>
                <w:sz w:val="22"/>
                <w:szCs w:val="22"/>
                <w:lang w:val="en-GB"/>
              </w:rPr>
              <w:t>72</w:t>
            </w:r>
            <w:r w:rsidR="0082774A" w:rsidRPr="00343233">
              <w:rPr>
                <w:rFonts w:ascii="Calibri" w:hAnsi="Calibri" w:cs="Calibri"/>
                <w:sz w:val="22"/>
                <w:szCs w:val="22"/>
                <w:lang w:val="en-GB"/>
              </w:rPr>
              <w:t>.</w:t>
            </w:r>
            <w:r w:rsidR="00A6745F">
              <w:rPr>
                <w:rFonts w:ascii="Calibri" w:hAnsi="Calibri" w:cs="Calibri"/>
                <w:sz w:val="22"/>
                <w:szCs w:val="22"/>
                <w:lang w:val="en-GB"/>
              </w:rPr>
              <w:t>5</w:t>
            </w:r>
          </w:p>
        </w:tc>
        <w:tc>
          <w:tcPr>
            <w:tcW w:w="1559" w:type="dxa"/>
            <w:tcBorders>
              <w:top w:val="nil"/>
              <w:left w:val="nil"/>
              <w:bottom w:val="double" w:sz="6" w:space="0" w:color="auto"/>
              <w:right w:val="nil"/>
            </w:tcBorders>
            <w:shd w:val="clear" w:color="000000" w:fill="E3F1F7"/>
            <w:noWrap/>
            <w:vAlign w:val="center"/>
            <w:hideMark/>
          </w:tcPr>
          <w:p w14:paraId="132A8C30" w14:textId="0F1CFF4F" w:rsidR="00572120" w:rsidRPr="00343233" w:rsidRDefault="0082774A" w:rsidP="00676030">
            <w:pPr>
              <w:pStyle w:val="P68B1DB1-Normal12"/>
              <w:pBdr>
                <w:top w:val="none" w:sz="0" w:space="0" w:color="auto"/>
                <w:left w:val="none" w:sz="0" w:space="0" w:color="auto"/>
                <w:bottom w:val="none" w:sz="0" w:space="0" w:color="auto"/>
                <w:right w:val="none" w:sz="0" w:space="0" w:color="auto"/>
                <w:between w:val="none" w:sz="0" w:space="0" w:color="auto"/>
                <w:bar w:val="none" w:sz="0" w:color="auto"/>
              </w:pBdr>
              <w:ind w:left="30"/>
              <w:jc w:val="right"/>
              <w:rPr>
                <w:rFonts w:ascii="Calibri" w:hAnsi="Calibri" w:cs="Calibri"/>
                <w:sz w:val="22"/>
                <w:szCs w:val="22"/>
                <w:lang w:val="en-GB"/>
              </w:rPr>
            </w:pPr>
            <w:r w:rsidRPr="00343233">
              <w:rPr>
                <w:rFonts w:ascii="Calibri" w:hAnsi="Calibri" w:cs="Calibri"/>
                <w:sz w:val="22"/>
                <w:szCs w:val="22"/>
                <w:lang w:val="en-GB"/>
              </w:rPr>
              <w:t>11.</w:t>
            </w:r>
            <w:r w:rsidR="00676030">
              <w:rPr>
                <w:rFonts w:ascii="Calibri" w:hAnsi="Calibri" w:cs="Calibri"/>
                <w:sz w:val="22"/>
                <w:szCs w:val="22"/>
                <w:lang w:val="en-GB"/>
              </w:rPr>
              <w:t>4</w:t>
            </w:r>
            <w:r w:rsidRPr="00343233">
              <w:rPr>
                <w:rFonts w:ascii="Calibri" w:hAnsi="Calibri" w:cs="Calibri"/>
                <w:sz w:val="22"/>
                <w:szCs w:val="22"/>
                <w:lang w:val="en-GB"/>
              </w:rPr>
              <w:t>%</w:t>
            </w:r>
          </w:p>
        </w:tc>
      </w:tr>
    </w:tbl>
    <w:p w14:paraId="0FC49A84" w14:textId="77777777" w:rsidR="00572120" w:rsidRPr="00343233" w:rsidRDefault="00572120">
      <w:pPr>
        <w:pStyle w:val="1"/>
        <w:spacing w:after="120" w:line="240" w:lineRule="auto"/>
        <w:ind w:left="-426"/>
        <w:jc w:val="both"/>
        <w:rPr>
          <w:b/>
          <w:szCs w:val="22"/>
          <w:lang w:val="en-GB"/>
        </w:rPr>
      </w:pPr>
    </w:p>
    <w:p w14:paraId="753A636D" w14:textId="77777777" w:rsidR="001C63DD" w:rsidRDefault="001C63DD">
      <w:pPr>
        <w:pStyle w:val="P68B1DB1-14"/>
        <w:spacing w:after="120" w:line="240" w:lineRule="auto"/>
        <w:ind w:left="-426"/>
        <w:jc w:val="both"/>
        <w:rPr>
          <w:rFonts w:ascii="Calibri" w:hAnsi="Calibri" w:cs="Calibri"/>
          <w:sz w:val="22"/>
          <w:szCs w:val="22"/>
          <w:lang w:val="en-GB"/>
        </w:rPr>
      </w:pPr>
    </w:p>
    <w:p w14:paraId="449AB2BA" w14:textId="39EDDCBF" w:rsidR="00572120" w:rsidRPr="00343233" w:rsidRDefault="0082774A">
      <w:pPr>
        <w:pStyle w:val="P68B1DB1-14"/>
        <w:spacing w:after="120" w:line="240" w:lineRule="auto"/>
        <w:ind w:left="-426"/>
        <w:jc w:val="both"/>
        <w:rPr>
          <w:rFonts w:ascii="Calibri" w:hAnsi="Calibri" w:cs="Calibri"/>
          <w:sz w:val="22"/>
          <w:szCs w:val="22"/>
          <w:lang w:val="en-GB"/>
        </w:rPr>
      </w:pPr>
      <w:r w:rsidRPr="00343233">
        <w:rPr>
          <w:rFonts w:ascii="Calibri" w:hAnsi="Calibri" w:cs="Calibri"/>
          <w:sz w:val="22"/>
          <w:szCs w:val="22"/>
          <w:lang w:val="en-GB"/>
        </w:rPr>
        <w:lastRenderedPageBreak/>
        <w:t xml:space="preserve">PhosAgro CEO Mikhail </w:t>
      </w:r>
      <w:proofErr w:type="spellStart"/>
      <w:r w:rsidRPr="00343233">
        <w:rPr>
          <w:rFonts w:ascii="Calibri" w:hAnsi="Calibri" w:cs="Calibri"/>
          <w:sz w:val="22"/>
          <w:szCs w:val="22"/>
          <w:lang w:val="en-GB"/>
        </w:rPr>
        <w:t>Rybnikov</w:t>
      </w:r>
      <w:proofErr w:type="spellEnd"/>
      <w:r w:rsidRPr="00343233">
        <w:rPr>
          <w:rFonts w:ascii="Calibri" w:hAnsi="Calibri" w:cs="Calibri"/>
          <w:sz w:val="22"/>
          <w:szCs w:val="22"/>
          <w:lang w:val="en-GB"/>
        </w:rPr>
        <w:t xml:space="preserve"> said:</w:t>
      </w:r>
    </w:p>
    <w:p w14:paraId="7DC7734A" w14:textId="41225C96"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“Concerning our performance in the previous quarter, I would like to note that our quarterly agrochemical production exceeded 3 million tonnes for the first time in the Company’s history.</w:t>
      </w:r>
    </w:p>
    <w:p w14:paraId="679EE966" w14:textId="437B7ECD"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 xml:space="preserve">“This result was attributable mainly to the fact that our Volkhov production complex reached its design capacity. In the first three months of 2024, our production of phosphate-based fertilizers and feed phosphates increased by 9.2% year-on-year to 2.26 million tonnes. </w:t>
      </w:r>
    </w:p>
    <w:p w14:paraId="5FECBACE" w14:textId="677E4266" w:rsidR="00572120" w:rsidRPr="00343233" w:rsidRDefault="008E7E5C" w:rsidP="00343233">
      <w:pPr>
        <w:spacing w:after="120"/>
        <w:ind w:left="-426"/>
        <w:jc w:val="both"/>
        <w:rPr>
          <w:rFonts w:ascii="Calibri" w:eastAsia="Calibri" w:hAnsi="Calibri" w:cs="Calibri"/>
          <w:sz w:val="22"/>
          <w:szCs w:val="22"/>
          <w:u w:color="000000"/>
          <w:lang w:val="en-GB"/>
        </w:rPr>
      </w:pPr>
      <w:r w:rsidRPr="00343233">
        <w:rPr>
          <w:rFonts w:ascii="Calibri" w:eastAsia="Calibri" w:hAnsi="Calibri" w:cs="Calibri"/>
          <w:sz w:val="22"/>
          <w:szCs w:val="22"/>
          <w:u w:color="000000"/>
          <w:lang w:val="en-GB"/>
        </w:rPr>
        <w:t xml:space="preserve">“The increased output of phosphate-based fertilizers was driven by a rise in the production of phosphoric and sulphuric acids, as well as ammonia. </w:t>
      </w:r>
    </w:p>
    <w:p w14:paraId="277F5F61" w14:textId="71C639AA"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 xml:space="preserve">“Production of phosphoric acid, the main feedstock for making phosphate-based fertilizers, rose 5.4% year-on-year in 1Q 2024 to nearly 900 thousand tonnes. This increase was </w:t>
      </w:r>
      <w:r w:rsidR="00A6745F">
        <w:rPr>
          <w:rFonts w:ascii="Calibri" w:hAnsi="Calibri" w:cs="Calibri"/>
          <w:sz w:val="22"/>
          <w:szCs w:val="22"/>
          <w:lang w:val="en-GB"/>
        </w:rPr>
        <w:t>due to</w:t>
      </w:r>
      <w:r w:rsidRPr="00343233">
        <w:rPr>
          <w:rFonts w:ascii="Calibri" w:hAnsi="Calibri" w:cs="Calibri"/>
          <w:sz w:val="22"/>
          <w:szCs w:val="22"/>
          <w:lang w:val="en-GB"/>
        </w:rPr>
        <w:t xml:space="preserve"> earlier upgrades to production units and more efficient equipment utilisation. </w:t>
      </w:r>
    </w:p>
    <w:p w14:paraId="267D5A34" w14:textId="5C9F1D33"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“Sulphuric acid production rose 4.7% in 1Q 2024 to 2.175 million tonnes. This increase was due to the improved operating efficiency of the sulphuric acid production unit in Cherepovets and the commissioning of a new sulphuric acid production facility in Balakovo in late 2023.</w:t>
      </w:r>
    </w:p>
    <w:p w14:paraId="33AEE865" w14:textId="359A8573"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 xml:space="preserve">“Sales rose over 11% in 1Q 2024, driven by improved production performance, including after the units at our Volkhov site reached their design capacity. </w:t>
      </w:r>
    </w:p>
    <w:p w14:paraId="6A015BC4" w14:textId="17D549A3"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“Phosphate-based fertilizers – complex grades in particular – were mainly responsible for the sales increase. Flexible production lines enabled us to switch production to the grades of NPK/NPS fertilizers that were in demand in the market during the period and to offer customers eco-friendly fertilizers with the right nutrient content.</w:t>
      </w:r>
    </w:p>
    <w:p w14:paraId="3FCDE2F0" w14:textId="237138A4"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 xml:space="preserve">“We continue to implement our long-term development strategy, which is aimed at constantly expanding and modernising our production facilities. This year, we plan to invest a record RUB 73 billion, which is 14% more than the previous year. </w:t>
      </w:r>
      <w:r w:rsidR="00A418D2">
        <w:rPr>
          <w:rFonts w:ascii="Calibri" w:hAnsi="Calibri" w:cs="Calibri"/>
          <w:sz w:val="22"/>
          <w:szCs w:val="22"/>
          <w:lang w:val="en-GB"/>
        </w:rPr>
        <w:t>For example,</w:t>
      </w:r>
      <w:r w:rsidRPr="00343233">
        <w:rPr>
          <w:rFonts w:ascii="Calibri" w:hAnsi="Calibri" w:cs="Calibri"/>
          <w:sz w:val="22"/>
          <w:szCs w:val="22"/>
          <w:lang w:val="en-GB"/>
        </w:rPr>
        <w:t xml:space="preserve"> </w:t>
      </w:r>
      <w:r w:rsidR="00A418D2">
        <w:rPr>
          <w:rFonts w:ascii="Calibri" w:hAnsi="Calibri" w:cs="Calibri"/>
          <w:sz w:val="22"/>
          <w:szCs w:val="22"/>
          <w:lang w:val="en-GB"/>
        </w:rPr>
        <w:t xml:space="preserve">last year </w:t>
      </w:r>
      <w:r w:rsidRPr="00343233">
        <w:rPr>
          <w:rFonts w:ascii="Calibri" w:hAnsi="Calibri" w:cs="Calibri"/>
          <w:sz w:val="22"/>
          <w:szCs w:val="22"/>
          <w:lang w:val="en-GB"/>
        </w:rPr>
        <w:t>we revised and expanded</w:t>
      </w:r>
      <w:bookmarkStart w:id="2" w:name="_Hlk154138081"/>
      <w:r w:rsidRPr="00343233">
        <w:rPr>
          <w:rFonts w:ascii="Calibri" w:hAnsi="Calibri" w:cs="Calibri"/>
          <w:sz w:val="22"/>
          <w:szCs w:val="22"/>
          <w:lang w:val="en-GB"/>
        </w:rPr>
        <w:t xml:space="preserve"> our investment project for the long-term development of our production facilities in </w:t>
      </w:r>
      <w:proofErr w:type="spellStart"/>
      <w:r w:rsidRPr="00343233">
        <w:rPr>
          <w:rFonts w:ascii="Calibri" w:hAnsi="Calibri" w:cs="Calibri"/>
          <w:sz w:val="22"/>
          <w:szCs w:val="22"/>
          <w:lang w:val="en-GB"/>
        </w:rPr>
        <w:t>Balakovo</w:t>
      </w:r>
      <w:proofErr w:type="spellEnd"/>
      <w:r w:rsidRPr="00343233">
        <w:rPr>
          <w:rFonts w:ascii="Calibri" w:hAnsi="Calibri" w:cs="Calibri"/>
          <w:sz w:val="22"/>
          <w:szCs w:val="22"/>
          <w:lang w:val="en-GB"/>
        </w:rPr>
        <w:t xml:space="preserve">, increasing total financing from RUB 15.6 billion to RUB 27 billion. </w:t>
      </w:r>
      <w:r w:rsidR="00A418D2">
        <w:rPr>
          <w:rFonts w:ascii="Calibri" w:hAnsi="Calibri" w:cs="Calibri"/>
          <w:sz w:val="22"/>
          <w:szCs w:val="22"/>
          <w:lang w:val="en-GB"/>
        </w:rPr>
        <w:t>Following the successful completion of the first two stages of that project, the third stage</w:t>
      </w:r>
      <w:r w:rsidR="00A418D2" w:rsidRPr="00343233">
        <w:rPr>
          <w:rFonts w:ascii="Calibri" w:hAnsi="Calibri" w:cs="Calibri"/>
          <w:sz w:val="22"/>
          <w:szCs w:val="22"/>
          <w:lang w:val="en-GB"/>
        </w:rPr>
        <w:t xml:space="preserve"> is in </w:t>
      </w:r>
      <w:r w:rsidR="00A418D2">
        <w:rPr>
          <w:rFonts w:ascii="Calibri" w:hAnsi="Calibri" w:cs="Calibri"/>
          <w:sz w:val="22"/>
          <w:szCs w:val="22"/>
          <w:lang w:val="en-GB"/>
        </w:rPr>
        <w:t xml:space="preserve">now </w:t>
      </w:r>
      <w:r w:rsidR="00A418D2" w:rsidRPr="00343233">
        <w:rPr>
          <w:rFonts w:ascii="Calibri" w:hAnsi="Calibri" w:cs="Calibri"/>
          <w:sz w:val="22"/>
          <w:szCs w:val="22"/>
          <w:lang w:val="en-GB"/>
        </w:rPr>
        <w:t xml:space="preserve">progress with the establishment of a flexible arrangement for the production of MAP, DAP, NPS and NPK fertilizers and an increase in gross production volumes. </w:t>
      </w:r>
      <w:r w:rsidR="00A418D2">
        <w:rPr>
          <w:rFonts w:ascii="Calibri" w:hAnsi="Calibri" w:cs="Calibri"/>
          <w:sz w:val="22"/>
          <w:szCs w:val="22"/>
          <w:lang w:val="en-GB"/>
        </w:rPr>
        <w:t>Once the third stage is completed</w:t>
      </w:r>
      <w:r w:rsidRPr="00343233">
        <w:rPr>
          <w:rFonts w:ascii="Calibri" w:hAnsi="Calibri" w:cs="Calibri"/>
          <w:sz w:val="22"/>
          <w:szCs w:val="22"/>
          <w:lang w:val="en-GB"/>
        </w:rPr>
        <w:t xml:space="preserve">, the total output </w:t>
      </w:r>
      <w:r w:rsidR="006722DC" w:rsidRPr="00343233">
        <w:rPr>
          <w:rFonts w:ascii="Calibri" w:hAnsi="Calibri" w:cs="Calibri"/>
          <w:sz w:val="22"/>
          <w:szCs w:val="22"/>
          <w:lang w:val="en-GB"/>
        </w:rPr>
        <w:t>of</w:t>
      </w:r>
      <w:r w:rsidRPr="00343233">
        <w:rPr>
          <w:rFonts w:ascii="Calibri" w:hAnsi="Calibri" w:cs="Calibri"/>
          <w:sz w:val="22"/>
          <w:szCs w:val="22"/>
          <w:lang w:val="en-GB"/>
        </w:rPr>
        <w:t xml:space="preserve"> </w:t>
      </w:r>
      <w:r w:rsidR="006722DC" w:rsidRPr="00343233">
        <w:rPr>
          <w:rFonts w:ascii="Calibri" w:hAnsi="Calibri" w:cs="Calibri"/>
          <w:sz w:val="22"/>
          <w:szCs w:val="22"/>
          <w:lang w:val="en-GB"/>
        </w:rPr>
        <w:t>the</w:t>
      </w:r>
      <w:r w:rsidRPr="00343233">
        <w:rPr>
          <w:rFonts w:ascii="Calibri" w:hAnsi="Calibri" w:cs="Calibri"/>
          <w:sz w:val="22"/>
          <w:szCs w:val="22"/>
          <w:lang w:val="en-GB"/>
        </w:rPr>
        <w:t xml:space="preserve"> Balakovo complex could increase by 28%, depending on the product range. </w:t>
      </w:r>
      <w:bookmarkEnd w:id="2"/>
      <w:r w:rsidR="00A418D2" w:rsidRPr="00343233">
        <w:rPr>
          <w:rFonts w:ascii="Calibri" w:hAnsi="Calibri" w:cs="Calibri"/>
          <w:sz w:val="22"/>
          <w:szCs w:val="22"/>
          <w:lang w:val="en-GB"/>
        </w:rPr>
        <w:t>By 2026, we plan to build capacities at our Balakovo facility that can produce nearly 1 million tonnes of complex NPK fertilizers and over 0.5 million tonnes of DAP fertilizers.</w:t>
      </w:r>
      <w:r w:rsidR="00A418D2">
        <w:rPr>
          <w:rFonts w:ascii="Calibri" w:hAnsi="Calibri" w:cs="Calibri"/>
          <w:sz w:val="22"/>
          <w:szCs w:val="22"/>
          <w:lang w:val="en-GB"/>
        </w:rPr>
        <w:t xml:space="preserve"> </w:t>
      </w:r>
      <w:r w:rsidRPr="00343233">
        <w:rPr>
          <w:rFonts w:ascii="Calibri" w:hAnsi="Calibri" w:cs="Calibri"/>
          <w:sz w:val="22"/>
          <w:szCs w:val="22"/>
          <w:lang w:val="en-GB"/>
        </w:rPr>
        <w:t xml:space="preserve">In 2024, we plan to complete the implementation of projects in Cherepovets and Volkhov to increase the processing of phosphate rock by a total of nearly 400 thousand tonnes. </w:t>
      </w:r>
    </w:p>
    <w:p w14:paraId="30788B98" w14:textId="61ADB230"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“In late March, operations began at the +10 m mining level at Apatit’s Kirovsky mine. The project to develop the new underground level got under way at the mine in 2015. It was necessary in order to replace the output of other mining levels being decommissioned at a time when the life of the mine had been extended and, as a result, the Company had to increase the production of apatite-nepheline ore.</w:t>
      </w:r>
    </w:p>
    <w:p w14:paraId="00A3EE39" w14:textId="4E54D399"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 xml:space="preserve">“More than RUB 36 billion has been invested in the project, which will bring the total amount of apatite-nepheline ore reserves to be mined to around 300 million tonnes. </w:t>
      </w:r>
      <w:r w:rsidR="00A6745F">
        <w:rPr>
          <w:rFonts w:ascii="Calibri" w:hAnsi="Calibri" w:cs="Calibri"/>
          <w:sz w:val="22"/>
          <w:szCs w:val="22"/>
          <w:lang w:val="en-GB"/>
        </w:rPr>
        <w:t>T</w:t>
      </w:r>
      <w:r w:rsidRPr="00343233">
        <w:rPr>
          <w:rFonts w:ascii="Calibri" w:hAnsi="Calibri" w:cs="Calibri"/>
          <w:sz w:val="22"/>
          <w:szCs w:val="22"/>
          <w:lang w:val="en-GB"/>
        </w:rPr>
        <w:t>he new level will help increase the amount of ore mined at the Kirovsky mine to 25 million tonnes by 2025. The level</w:t>
      </w:r>
      <w:r w:rsidR="00165570" w:rsidRPr="00343233">
        <w:rPr>
          <w:rFonts w:ascii="Calibri" w:hAnsi="Calibri" w:cs="Calibri"/>
          <w:sz w:val="22"/>
          <w:szCs w:val="22"/>
          <w:lang w:val="en-GB"/>
        </w:rPr>
        <w:t>’</w:t>
      </w:r>
      <w:r w:rsidRPr="00343233">
        <w:rPr>
          <w:rFonts w:ascii="Calibri" w:hAnsi="Calibri" w:cs="Calibri"/>
          <w:sz w:val="22"/>
          <w:szCs w:val="22"/>
          <w:lang w:val="en-GB"/>
        </w:rPr>
        <w:t>s capacity is expected to reach 9.4 million tonnes per year by 2028. When its design capacity is reached, the +10 m level will account for 36% of the ore mined at the Kirovsky mine.</w:t>
      </w:r>
    </w:p>
    <w:p w14:paraId="2BF6BA41" w14:textId="7B19B1CC" w:rsidR="00572120" w:rsidRPr="00343233"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 xml:space="preserve">“We have also already started the construction of a new mine for the development of the Rasvumchorr Plateau </w:t>
      </w:r>
      <w:r w:rsidR="00B72A31" w:rsidRPr="00343233">
        <w:rPr>
          <w:rFonts w:ascii="Calibri" w:hAnsi="Calibri" w:cs="Calibri"/>
          <w:sz w:val="22"/>
          <w:szCs w:val="22"/>
          <w:lang w:val="en-GB"/>
        </w:rPr>
        <w:t>deposit</w:t>
      </w:r>
      <w:r w:rsidRPr="00343233">
        <w:rPr>
          <w:rFonts w:ascii="Calibri" w:hAnsi="Calibri" w:cs="Calibri"/>
          <w:sz w:val="22"/>
          <w:szCs w:val="22"/>
          <w:lang w:val="en-GB"/>
        </w:rPr>
        <w:t xml:space="preserve">. A total of about RUB 38 billion will be invested in the construction of two start-up facilities. Late this year, we plan to start underground mining in the Gakman section of the Kirovsky mine’s Yukspor deposit. </w:t>
      </w:r>
    </w:p>
    <w:p w14:paraId="12B7E145" w14:textId="28E35FE3" w:rsidR="00572120" w:rsidRDefault="008E7E5C" w:rsidP="00343233">
      <w:pPr>
        <w:pStyle w:val="P68B1DB1-Normal13"/>
        <w:spacing w:after="120"/>
        <w:ind w:left="-426"/>
        <w:jc w:val="both"/>
        <w:rPr>
          <w:rFonts w:ascii="Calibri" w:hAnsi="Calibri" w:cs="Calibri"/>
          <w:sz w:val="22"/>
          <w:szCs w:val="22"/>
          <w:lang w:val="en-GB"/>
        </w:rPr>
      </w:pPr>
      <w:r w:rsidRPr="00343233">
        <w:rPr>
          <w:rFonts w:ascii="Calibri" w:hAnsi="Calibri" w:cs="Calibri"/>
          <w:sz w:val="22"/>
          <w:szCs w:val="22"/>
          <w:lang w:val="en-GB"/>
        </w:rPr>
        <w:t xml:space="preserve">“It is important to note that, while implementing large-scale investment programmes, we </w:t>
      </w:r>
      <w:r w:rsidR="000B2A39">
        <w:rPr>
          <w:rFonts w:ascii="Calibri" w:hAnsi="Calibri" w:cs="Calibri"/>
          <w:sz w:val="22"/>
          <w:szCs w:val="22"/>
          <w:lang w:val="en-GB"/>
        </w:rPr>
        <w:t>have also been increasing our social</w:t>
      </w:r>
      <w:r w:rsidR="00F664CF">
        <w:rPr>
          <w:rFonts w:ascii="Calibri" w:hAnsi="Calibri" w:cs="Calibri"/>
          <w:sz w:val="22"/>
          <w:szCs w:val="22"/>
          <w:lang w:val="en-GB"/>
        </w:rPr>
        <w:t xml:space="preserve"> and charitable</w:t>
      </w:r>
      <w:r w:rsidR="000B2A39">
        <w:rPr>
          <w:rFonts w:ascii="Calibri" w:hAnsi="Calibri" w:cs="Calibri"/>
          <w:sz w:val="22"/>
          <w:szCs w:val="22"/>
          <w:lang w:val="en-GB"/>
        </w:rPr>
        <w:t xml:space="preserve"> investments</w:t>
      </w:r>
      <w:r w:rsidRPr="00343233">
        <w:rPr>
          <w:rFonts w:ascii="Calibri" w:hAnsi="Calibri" w:cs="Calibri"/>
          <w:sz w:val="22"/>
          <w:szCs w:val="22"/>
          <w:lang w:val="en-GB"/>
        </w:rPr>
        <w:t xml:space="preserve">. </w:t>
      </w:r>
      <w:r w:rsidR="00165570" w:rsidRPr="00343233">
        <w:rPr>
          <w:rFonts w:ascii="Calibri" w:hAnsi="Calibri" w:cs="Calibri"/>
          <w:sz w:val="22"/>
          <w:szCs w:val="22"/>
          <w:lang w:val="en-GB"/>
        </w:rPr>
        <w:t xml:space="preserve">For example, </w:t>
      </w:r>
      <w:r w:rsidRPr="00343233">
        <w:rPr>
          <w:rFonts w:ascii="Calibri" w:hAnsi="Calibri" w:cs="Calibri"/>
          <w:sz w:val="22"/>
          <w:szCs w:val="22"/>
          <w:lang w:val="en-GB"/>
        </w:rPr>
        <w:t>our support for social and charitable projects</w:t>
      </w:r>
      <w:r w:rsidR="000B2A39">
        <w:rPr>
          <w:rFonts w:ascii="Calibri" w:hAnsi="Calibri" w:cs="Calibri"/>
          <w:sz w:val="22"/>
          <w:szCs w:val="22"/>
          <w:lang w:val="en-GB"/>
        </w:rPr>
        <w:t xml:space="preserve"> increased</w:t>
      </w:r>
      <w:r w:rsidRPr="00343233">
        <w:rPr>
          <w:rFonts w:ascii="Calibri" w:hAnsi="Calibri" w:cs="Calibri"/>
          <w:sz w:val="22"/>
          <w:szCs w:val="22"/>
          <w:lang w:val="en-GB"/>
        </w:rPr>
        <w:t xml:space="preserve"> sevenfold over the past 10 years, exceeding RUB 25 billion in 2022–2023. </w:t>
      </w:r>
      <w:r w:rsidR="000B2A39">
        <w:rPr>
          <w:rFonts w:ascii="Calibri" w:hAnsi="Calibri" w:cs="Calibri"/>
          <w:sz w:val="22"/>
          <w:szCs w:val="22"/>
          <w:lang w:val="en-GB"/>
        </w:rPr>
        <w:t>T</w:t>
      </w:r>
      <w:r w:rsidR="000B2A39" w:rsidRPr="00343233">
        <w:rPr>
          <w:rFonts w:ascii="Calibri" w:hAnsi="Calibri" w:cs="Calibri"/>
          <w:sz w:val="22"/>
          <w:szCs w:val="22"/>
          <w:lang w:val="en-GB"/>
        </w:rPr>
        <w:t xml:space="preserve">he average wages of our </w:t>
      </w:r>
      <w:r w:rsidR="000B2A39" w:rsidRPr="00343233">
        <w:rPr>
          <w:rFonts w:ascii="Calibri" w:hAnsi="Calibri" w:cs="Calibri"/>
          <w:sz w:val="22"/>
          <w:szCs w:val="22"/>
          <w:lang w:val="en-GB"/>
        </w:rPr>
        <w:lastRenderedPageBreak/>
        <w:t xml:space="preserve">employees increased by 60% between 2021 and 2023, and they were indexed by another 15% in February 2024. </w:t>
      </w:r>
      <w:r w:rsidRPr="00343233">
        <w:rPr>
          <w:rFonts w:ascii="Calibri" w:hAnsi="Calibri" w:cs="Calibri"/>
          <w:sz w:val="22"/>
          <w:szCs w:val="22"/>
          <w:lang w:val="en-GB"/>
        </w:rPr>
        <w:t>We will continue to adhere to the principles of responsible business conduct, which has been the key to our long-term success and to our contribution to the stability and prosperity of the regions where we operate.”</w:t>
      </w:r>
      <w:bookmarkEnd w:id="1"/>
    </w:p>
    <w:p w14:paraId="37434801" w14:textId="77777777" w:rsidR="007848AB" w:rsidRDefault="007848AB" w:rsidP="007848AB">
      <w:pPr>
        <w:pStyle w:val="P68B1DB1-Normal1"/>
        <w:spacing w:after="120"/>
        <w:ind w:left="-426"/>
        <w:jc w:val="both"/>
        <w:rPr>
          <w:rFonts w:eastAsia="Times New Roman" w:cs="Times New Roman"/>
          <w:lang w:val="en-GB"/>
        </w:rPr>
      </w:pPr>
      <w:r>
        <w:rPr>
          <w:lang w:val="en-GB"/>
        </w:rPr>
        <w:t>About the Company</w:t>
      </w:r>
    </w:p>
    <w:p w14:paraId="2B2E250F" w14:textId="77AFBB7D" w:rsidR="007848AB" w:rsidRDefault="007848AB" w:rsidP="007848AB">
      <w:pPr>
        <w:pStyle w:val="P68B1DB1-Normal2"/>
        <w:spacing w:before="60" w:after="60"/>
        <w:ind w:left="-426"/>
        <w:jc w:val="both"/>
        <w:rPr>
          <w:lang w:val="en-GB"/>
        </w:rPr>
      </w:pPr>
      <w:r>
        <w:rPr>
          <w:lang w:val="en-GB"/>
        </w:rPr>
        <w:t>PhosAgro (</w:t>
      </w:r>
      <w:r w:rsidR="00284A34" w:rsidRPr="007848AB">
        <w:rPr>
          <w:lang w:val="en-GB"/>
        </w:rPr>
        <w:t>www.phosagro.com</w:t>
      </w:r>
      <w:r>
        <w:rPr>
          <w:lang w:val="en-GB"/>
        </w:rPr>
        <w:t>) is a vertically integrated Russian company and one of the world’s leading producers of phosphate-based fertilizers and high-grade phosphate rock with P</w:t>
      </w:r>
      <w:r>
        <w:rPr>
          <w:vertAlign w:val="subscript"/>
          <w:lang w:val="en-GB"/>
        </w:rPr>
        <w:t>2</w:t>
      </w:r>
      <w:r>
        <w:rPr>
          <w:lang w:val="en-GB"/>
        </w:rPr>
        <w:t>O</w:t>
      </w:r>
      <w:r>
        <w:rPr>
          <w:vertAlign w:val="subscript"/>
          <w:lang w:val="en-GB"/>
        </w:rPr>
        <w:t>5</w:t>
      </w:r>
      <w:r>
        <w:rPr>
          <w:lang w:val="en-GB"/>
        </w:rPr>
        <w:t xml:space="preserve"> content of 39% or higher. PhosAgro’s high-performance fertilizers produce crops with advanced features.</w:t>
      </w:r>
    </w:p>
    <w:p w14:paraId="245069FF" w14:textId="77777777" w:rsidR="007848AB" w:rsidRDefault="007848AB" w:rsidP="007848AB">
      <w:pPr>
        <w:pStyle w:val="P68B1DB1-Normal2"/>
        <w:spacing w:before="60" w:after="60"/>
        <w:ind w:left="-426"/>
        <w:jc w:val="both"/>
        <w:rPr>
          <w:lang w:val="en-GB"/>
        </w:rPr>
      </w:pPr>
      <w:r>
        <w:rPr>
          <w:lang w:val="en-GB"/>
        </w:rPr>
        <w:t>PhosAgro Group is the largest producer of phosphate-based fertilizers in Europe (by total combined capacity for the production of DAP, MAP, NP, NPK and NPS fertilizers), the largest producer of high-grade phosphate rock with P</w:t>
      </w:r>
      <w:r>
        <w:rPr>
          <w:vertAlign w:val="subscript"/>
          <w:lang w:val="en-GB"/>
        </w:rPr>
        <w:t>2</w:t>
      </w:r>
      <w:r>
        <w:rPr>
          <w:lang w:val="en-GB"/>
        </w:rPr>
        <w:t>O</w:t>
      </w:r>
      <w:r>
        <w:rPr>
          <w:vertAlign w:val="subscript"/>
          <w:lang w:val="en-GB"/>
        </w:rPr>
        <w:t xml:space="preserve">5 </w:t>
      </w:r>
      <w:r>
        <w:rPr>
          <w:lang w:val="en-GB"/>
        </w:rPr>
        <w:t>content of 39%, one of the leading producers of MAP and DAP fertilizers globally, one of the leading producers of monocalcium feed phosphates (MCP) in Europe – and the only such producer in Russia – and Russia’s only producer of nepheline concentrate.</w:t>
      </w:r>
    </w:p>
    <w:p w14:paraId="3BFF224B" w14:textId="77777777" w:rsidR="007848AB" w:rsidRDefault="007848AB" w:rsidP="007848AB">
      <w:pPr>
        <w:pStyle w:val="P68B1DB1-Normal2"/>
        <w:spacing w:before="60" w:after="60"/>
        <w:ind w:left="-426"/>
        <w:jc w:val="both"/>
        <w:rPr>
          <w:lang w:val="en-GB"/>
        </w:rPr>
      </w:pPr>
      <w:r>
        <w:rPr>
          <w:lang w:val="en-GB"/>
        </w:rPr>
        <w:t xml:space="preserve">PhosAgro’s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45D37C19" w14:textId="77777777" w:rsidR="007848AB" w:rsidRDefault="007848AB" w:rsidP="007848AB">
      <w:pPr>
        <w:pStyle w:val="P68B1DB1-Normal2"/>
        <w:spacing w:before="60" w:after="60"/>
        <w:ind w:left="-426"/>
        <w:jc w:val="both"/>
        <w:rPr>
          <w:lang w:val="en-GB"/>
        </w:rPr>
      </w:pPr>
      <w:r>
        <w:rPr>
          <w:lang w:val="en-GB"/>
        </w:rPr>
        <w:t xml:space="preserve">The Company’s shares are listed on the Moscow Exchange and its global depositary receipts (GDRs) are listed on the London Stock Exchange (MOEX and LSE ticker: PHOR). </w:t>
      </w:r>
    </w:p>
    <w:p w14:paraId="5D4CB7A7" w14:textId="6095AE25" w:rsidR="007848AB" w:rsidRDefault="007848AB" w:rsidP="007848AB">
      <w:pPr>
        <w:spacing w:before="60" w:after="60"/>
        <w:ind w:left="-426"/>
        <w:jc w:val="both"/>
        <w:rPr>
          <w:i/>
          <w:sz w:val="18"/>
          <w:lang w:val="en-GB"/>
        </w:rPr>
      </w:pPr>
      <w:r>
        <w:rPr>
          <w:i/>
          <w:sz w:val="18"/>
          <w:lang w:val="en-GB"/>
        </w:rPr>
        <w:t xml:space="preserve">More information about PhosAgro can be found on our website: </w:t>
      </w:r>
      <w:r w:rsidRPr="007848AB">
        <w:rPr>
          <w:i/>
          <w:sz w:val="18"/>
          <w:lang w:val="en-GB"/>
        </w:rPr>
        <w:t>https://www.phosagro.com</w:t>
      </w:r>
      <w:r>
        <w:rPr>
          <w:i/>
          <w:sz w:val="18"/>
          <w:lang w:val="en-GB"/>
        </w:rPr>
        <w:t xml:space="preserve"> </w:t>
      </w:r>
    </w:p>
    <w:p w14:paraId="13BB35C1" w14:textId="77777777" w:rsidR="007848AB" w:rsidRPr="007848AB" w:rsidRDefault="007848AB" w:rsidP="00343233">
      <w:pPr>
        <w:pStyle w:val="P68B1DB1-Normal13"/>
        <w:spacing w:after="120"/>
        <w:ind w:left="-426"/>
        <w:jc w:val="both"/>
        <w:rPr>
          <w:rFonts w:ascii="Calibri" w:hAnsi="Calibri" w:cs="Calibri"/>
          <w:sz w:val="22"/>
          <w:szCs w:val="22"/>
          <w:lang w:val="en-GB"/>
        </w:rPr>
      </w:pPr>
    </w:p>
    <w:sectPr w:rsidR="007848AB" w:rsidRPr="007848AB" w:rsidSect="00A907D3">
      <w:footerReference w:type="default" r:id="rId9"/>
      <w:pgSz w:w="11900" w:h="16840"/>
      <w:pgMar w:top="1440" w:right="1077" w:bottom="1077" w:left="1440" w:header="578"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69F1B" w14:textId="77777777" w:rsidR="00267F13" w:rsidRDefault="00267F13">
      <w:r>
        <w:separator/>
      </w:r>
    </w:p>
  </w:endnote>
  <w:endnote w:type="continuationSeparator" w:id="0">
    <w:p w14:paraId="0FCDCB87" w14:textId="77777777" w:rsidR="00267F13" w:rsidRDefault="0026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914005"/>
      <w:docPartObj>
        <w:docPartGallery w:val="Page Numbers (Bottom of Page)"/>
        <w:docPartUnique/>
      </w:docPartObj>
    </w:sdtPr>
    <w:sdtEndPr/>
    <w:sdtContent>
      <w:p w14:paraId="735824CC" w14:textId="44F5661C" w:rsidR="00572120" w:rsidRDefault="0082774A">
        <w:pPr>
          <w:pStyle w:val="P68B1DB1-Footer16"/>
          <w:jc w:val="right"/>
        </w:pPr>
        <w:r>
          <w:fldChar w:fldCharType="begin"/>
        </w:r>
        <w:r>
          <w:instrText>PAGE   \* MERGEFORMAT</w:instrText>
        </w:r>
        <w:r>
          <w:fldChar w:fldCharType="separate"/>
        </w:r>
        <w:r w:rsidR="00AB3C1F">
          <w:rPr>
            <w:noProof/>
          </w:rPr>
          <w:t>3</w:t>
        </w:r>
        <w:r>
          <w:fldChar w:fldCharType="end"/>
        </w:r>
      </w:p>
    </w:sdtContent>
  </w:sdt>
  <w:p w14:paraId="17889E5F" w14:textId="77777777" w:rsidR="00572120" w:rsidRDefault="0057212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B4CC" w14:textId="77777777" w:rsidR="00267F13" w:rsidRDefault="00267F13">
      <w:r>
        <w:separator/>
      </w:r>
    </w:p>
  </w:footnote>
  <w:footnote w:type="continuationSeparator" w:id="0">
    <w:p w14:paraId="77BBF188" w14:textId="77777777" w:rsidR="00267F13" w:rsidRDefault="00267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470B"/>
    <w:multiLevelType w:val="hybridMultilevel"/>
    <w:tmpl w:val="467EDA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270B9B"/>
    <w:multiLevelType w:val="hybridMultilevel"/>
    <w:tmpl w:val="D5B07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B75699"/>
    <w:multiLevelType w:val="hybridMultilevel"/>
    <w:tmpl w:val="D4A69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0" w:nlCheck="1" w:checkStyle="0"/>
  <w:activeWritingStyle w:appName="MSWord" w:lang="en-CA" w:vendorID="64" w:dllVersion="0" w:nlCheck="1" w:checkStyle="0"/>
  <w:activeWritingStyle w:appName="MSWord" w:lang="en-GB" w:vendorID="64" w:dllVersion="0"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2D"/>
    <w:rsid w:val="00002D68"/>
    <w:rsid w:val="000170A2"/>
    <w:rsid w:val="0002484B"/>
    <w:rsid w:val="00034288"/>
    <w:rsid w:val="00036C2D"/>
    <w:rsid w:val="00042099"/>
    <w:rsid w:val="000423E8"/>
    <w:rsid w:val="00044825"/>
    <w:rsid w:val="000455DF"/>
    <w:rsid w:val="00046748"/>
    <w:rsid w:val="000610E6"/>
    <w:rsid w:val="000614AB"/>
    <w:rsid w:val="00064253"/>
    <w:rsid w:val="00066C5F"/>
    <w:rsid w:val="000724C9"/>
    <w:rsid w:val="000725A6"/>
    <w:rsid w:val="00073B4A"/>
    <w:rsid w:val="00073BBA"/>
    <w:rsid w:val="00075312"/>
    <w:rsid w:val="00076D51"/>
    <w:rsid w:val="00081245"/>
    <w:rsid w:val="000831B2"/>
    <w:rsid w:val="0008688F"/>
    <w:rsid w:val="000879D8"/>
    <w:rsid w:val="00093A2F"/>
    <w:rsid w:val="000A0480"/>
    <w:rsid w:val="000A27AF"/>
    <w:rsid w:val="000A287E"/>
    <w:rsid w:val="000A5FCE"/>
    <w:rsid w:val="000A6E9A"/>
    <w:rsid w:val="000A7565"/>
    <w:rsid w:val="000A7804"/>
    <w:rsid w:val="000B19DC"/>
    <w:rsid w:val="000B2A39"/>
    <w:rsid w:val="000B4B1B"/>
    <w:rsid w:val="000B50BA"/>
    <w:rsid w:val="000B5742"/>
    <w:rsid w:val="000B5C42"/>
    <w:rsid w:val="000B6272"/>
    <w:rsid w:val="000B69E4"/>
    <w:rsid w:val="000C543F"/>
    <w:rsid w:val="000D195C"/>
    <w:rsid w:val="000D2789"/>
    <w:rsid w:val="000D55A5"/>
    <w:rsid w:val="000D56E2"/>
    <w:rsid w:val="000D5A52"/>
    <w:rsid w:val="000D5EE6"/>
    <w:rsid w:val="000D72CE"/>
    <w:rsid w:val="000E2EB5"/>
    <w:rsid w:val="000E583D"/>
    <w:rsid w:val="000F31A1"/>
    <w:rsid w:val="000F3588"/>
    <w:rsid w:val="000F413E"/>
    <w:rsid w:val="000F441A"/>
    <w:rsid w:val="000F6403"/>
    <w:rsid w:val="000F73DD"/>
    <w:rsid w:val="00110E9B"/>
    <w:rsid w:val="0011213B"/>
    <w:rsid w:val="0011417E"/>
    <w:rsid w:val="001163E3"/>
    <w:rsid w:val="00122D01"/>
    <w:rsid w:val="001302BB"/>
    <w:rsid w:val="0013101A"/>
    <w:rsid w:val="00131613"/>
    <w:rsid w:val="00135173"/>
    <w:rsid w:val="00135E4C"/>
    <w:rsid w:val="00144BFE"/>
    <w:rsid w:val="00155ADB"/>
    <w:rsid w:val="00157FF2"/>
    <w:rsid w:val="001635F0"/>
    <w:rsid w:val="00165570"/>
    <w:rsid w:val="00170FE3"/>
    <w:rsid w:val="001715BC"/>
    <w:rsid w:val="00173D2C"/>
    <w:rsid w:val="0017469B"/>
    <w:rsid w:val="00175009"/>
    <w:rsid w:val="00176CF6"/>
    <w:rsid w:val="001808B3"/>
    <w:rsid w:val="00181605"/>
    <w:rsid w:val="00181E60"/>
    <w:rsid w:val="001861F2"/>
    <w:rsid w:val="00187149"/>
    <w:rsid w:val="0019090C"/>
    <w:rsid w:val="001940B9"/>
    <w:rsid w:val="00195EC8"/>
    <w:rsid w:val="00197AA8"/>
    <w:rsid w:val="001A0B72"/>
    <w:rsid w:val="001A1D0A"/>
    <w:rsid w:val="001A37CA"/>
    <w:rsid w:val="001A631B"/>
    <w:rsid w:val="001B2B7E"/>
    <w:rsid w:val="001B3B0B"/>
    <w:rsid w:val="001B4298"/>
    <w:rsid w:val="001B655D"/>
    <w:rsid w:val="001C3D52"/>
    <w:rsid w:val="001C4F97"/>
    <w:rsid w:val="001C63DD"/>
    <w:rsid w:val="001D49C4"/>
    <w:rsid w:val="001E044E"/>
    <w:rsid w:val="001E553A"/>
    <w:rsid w:val="001E5969"/>
    <w:rsid w:val="001E5A14"/>
    <w:rsid w:val="001E5F6E"/>
    <w:rsid w:val="001F5D7D"/>
    <w:rsid w:val="001F6517"/>
    <w:rsid w:val="001F7AFD"/>
    <w:rsid w:val="00202452"/>
    <w:rsid w:val="002065A1"/>
    <w:rsid w:val="00207313"/>
    <w:rsid w:val="0021585E"/>
    <w:rsid w:val="00215EDC"/>
    <w:rsid w:val="00216220"/>
    <w:rsid w:val="00216448"/>
    <w:rsid w:val="00222173"/>
    <w:rsid w:val="00222642"/>
    <w:rsid w:val="00227038"/>
    <w:rsid w:val="002321CC"/>
    <w:rsid w:val="00232A04"/>
    <w:rsid w:val="00232BC5"/>
    <w:rsid w:val="002423BC"/>
    <w:rsid w:val="00250F32"/>
    <w:rsid w:val="00252D37"/>
    <w:rsid w:val="002555BC"/>
    <w:rsid w:val="0025572A"/>
    <w:rsid w:val="00263095"/>
    <w:rsid w:val="00266C04"/>
    <w:rsid w:val="00267F13"/>
    <w:rsid w:val="00270395"/>
    <w:rsid w:val="002727D6"/>
    <w:rsid w:val="00272802"/>
    <w:rsid w:val="00274165"/>
    <w:rsid w:val="00275B13"/>
    <w:rsid w:val="00276B68"/>
    <w:rsid w:val="002802CD"/>
    <w:rsid w:val="00281ADF"/>
    <w:rsid w:val="00281EF7"/>
    <w:rsid w:val="00283577"/>
    <w:rsid w:val="00284A34"/>
    <w:rsid w:val="00291AF5"/>
    <w:rsid w:val="00292EAB"/>
    <w:rsid w:val="002932FF"/>
    <w:rsid w:val="00295BCE"/>
    <w:rsid w:val="002B1F56"/>
    <w:rsid w:val="002B27F4"/>
    <w:rsid w:val="002B288B"/>
    <w:rsid w:val="002B2A8E"/>
    <w:rsid w:val="002B2F72"/>
    <w:rsid w:val="002B33F5"/>
    <w:rsid w:val="002B7B9F"/>
    <w:rsid w:val="002C29F1"/>
    <w:rsid w:val="002C4CC5"/>
    <w:rsid w:val="002D0774"/>
    <w:rsid w:val="002D0C6C"/>
    <w:rsid w:val="002D0EB6"/>
    <w:rsid w:val="002D19BF"/>
    <w:rsid w:val="002D3B06"/>
    <w:rsid w:val="002D4277"/>
    <w:rsid w:val="002D4465"/>
    <w:rsid w:val="002E09B3"/>
    <w:rsid w:val="002E1B9D"/>
    <w:rsid w:val="002E5304"/>
    <w:rsid w:val="002E643B"/>
    <w:rsid w:val="002F06FB"/>
    <w:rsid w:val="002F0858"/>
    <w:rsid w:val="0030176E"/>
    <w:rsid w:val="00301A89"/>
    <w:rsid w:val="00304629"/>
    <w:rsid w:val="00310252"/>
    <w:rsid w:val="003120A9"/>
    <w:rsid w:val="00312447"/>
    <w:rsid w:val="00312E41"/>
    <w:rsid w:val="003217AD"/>
    <w:rsid w:val="00323BD4"/>
    <w:rsid w:val="00324378"/>
    <w:rsid w:val="003253F3"/>
    <w:rsid w:val="00325B40"/>
    <w:rsid w:val="00327059"/>
    <w:rsid w:val="0032730B"/>
    <w:rsid w:val="003274DB"/>
    <w:rsid w:val="00332FEB"/>
    <w:rsid w:val="00337C48"/>
    <w:rsid w:val="00343233"/>
    <w:rsid w:val="00346B4F"/>
    <w:rsid w:val="003511BA"/>
    <w:rsid w:val="00352E81"/>
    <w:rsid w:val="003548EA"/>
    <w:rsid w:val="00361DD5"/>
    <w:rsid w:val="003624B9"/>
    <w:rsid w:val="003679FA"/>
    <w:rsid w:val="00371B50"/>
    <w:rsid w:val="003723B6"/>
    <w:rsid w:val="0037257D"/>
    <w:rsid w:val="00373E7E"/>
    <w:rsid w:val="003764B5"/>
    <w:rsid w:val="00383163"/>
    <w:rsid w:val="00384402"/>
    <w:rsid w:val="00384C49"/>
    <w:rsid w:val="00385409"/>
    <w:rsid w:val="003854A2"/>
    <w:rsid w:val="003934A7"/>
    <w:rsid w:val="00395812"/>
    <w:rsid w:val="003A0C6A"/>
    <w:rsid w:val="003A135B"/>
    <w:rsid w:val="003A613F"/>
    <w:rsid w:val="003B151E"/>
    <w:rsid w:val="003B167B"/>
    <w:rsid w:val="003B37D9"/>
    <w:rsid w:val="003B56C7"/>
    <w:rsid w:val="003C40C7"/>
    <w:rsid w:val="003C4167"/>
    <w:rsid w:val="003C5CAF"/>
    <w:rsid w:val="003C62D4"/>
    <w:rsid w:val="003D0DA4"/>
    <w:rsid w:val="003D0DEE"/>
    <w:rsid w:val="003D35E3"/>
    <w:rsid w:val="003D40F1"/>
    <w:rsid w:val="003D564A"/>
    <w:rsid w:val="003D5C41"/>
    <w:rsid w:val="003D6AF9"/>
    <w:rsid w:val="003D7BA0"/>
    <w:rsid w:val="003E10DA"/>
    <w:rsid w:val="003E5628"/>
    <w:rsid w:val="003E622F"/>
    <w:rsid w:val="003F1C08"/>
    <w:rsid w:val="003F4A39"/>
    <w:rsid w:val="0040025F"/>
    <w:rsid w:val="00403026"/>
    <w:rsid w:val="0040327C"/>
    <w:rsid w:val="00403A14"/>
    <w:rsid w:val="0041048D"/>
    <w:rsid w:val="00410814"/>
    <w:rsid w:val="0041164F"/>
    <w:rsid w:val="004136E8"/>
    <w:rsid w:val="004139DD"/>
    <w:rsid w:val="004212F3"/>
    <w:rsid w:val="00422558"/>
    <w:rsid w:val="004252B2"/>
    <w:rsid w:val="00427AD7"/>
    <w:rsid w:val="00427F55"/>
    <w:rsid w:val="00431507"/>
    <w:rsid w:val="00436C0B"/>
    <w:rsid w:val="0044058C"/>
    <w:rsid w:val="004557EC"/>
    <w:rsid w:val="00457678"/>
    <w:rsid w:val="00465921"/>
    <w:rsid w:val="00466447"/>
    <w:rsid w:val="00466B82"/>
    <w:rsid w:val="004675AC"/>
    <w:rsid w:val="00470802"/>
    <w:rsid w:val="00470E48"/>
    <w:rsid w:val="00472734"/>
    <w:rsid w:val="00473265"/>
    <w:rsid w:val="00475E9A"/>
    <w:rsid w:val="00477042"/>
    <w:rsid w:val="0048229D"/>
    <w:rsid w:val="004827C1"/>
    <w:rsid w:val="0048634A"/>
    <w:rsid w:val="004918EA"/>
    <w:rsid w:val="0049291F"/>
    <w:rsid w:val="004A0CC1"/>
    <w:rsid w:val="004A1064"/>
    <w:rsid w:val="004A2372"/>
    <w:rsid w:val="004A3726"/>
    <w:rsid w:val="004A7033"/>
    <w:rsid w:val="004B1045"/>
    <w:rsid w:val="004B3D9C"/>
    <w:rsid w:val="004B6D20"/>
    <w:rsid w:val="004C0FAB"/>
    <w:rsid w:val="004C14F9"/>
    <w:rsid w:val="004C1E8C"/>
    <w:rsid w:val="004C3058"/>
    <w:rsid w:val="004C30AC"/>
    <w:rsid w:val="004D29A1"/>
    <w:rsid w:val="004D37CC"/>
    <w:rsid w:val="004D4DA2"/>
    <w:rsid w:val="004E1247"/>
    <w:rsid w:val="004E5A47"/>
    <w:rsid w:val="004E5FC8"/>
    <w:rsid w:val="004E6106"/>
    <w:rsid w:val="004E6180"/>
    <w:rsid w:val="004F21C3"/>
    <w:rsid w:val="004F5002"/>
    <w:rsid w:val="004F6723"/>
    <w:rsid w:val="004F74C1"/>
    <w:rsid w:val="004F7DB2"/>
    <w:rsid w:val="005025B3"/>
    <w:rsid w:val="00511C74"/>
    <w:rsid w:val="00513207"/>
    <w:rsid w:val="005152C1"/>
    <w:rsid w:val="00521FDD"/>
    <w:rsid w:val="0052219A"/>
    <w:rsid w:val="005256A6"/>
    <w:rsid w:val="00533DCF"/>
    <w:rsid w:val="00537CB5"/>
    <w:rsid w:val="00543BEB"/>
    <w:rsid w:val="0054401B"/>
    <w:rsid w:val="0054631D"/>
    <w:rsid w:val="005463CD"/>
    <w:rsid w:val="00552769"/>
    <w:rsid w:val="00555714"/>
    <w:rsid w:val="005559F3"/>
    <w:rsid w:val="00560600"/>
    <w:rsid w:val="0056132B"/>
    <w:rsid w:val="005654DD"/>
    <w:rsid w:val="005656FC"/>
    <w:rsid w:val="00565DC9"/>
    <w:rsid w:val="00567AEF"/>
    <w:rsid w:val="00567FD4"/>
    <w:rsid w:val="005705E3"/>
    <w:rsid w:val="00572120"/>
    <w:rsid w:val="0057216E"/>
    <w:rsid w:val="0057406D"/>
    <w:rsid w:val="0057446F"/>
    <w:rsid w:val="00575B73"/>
    <w:rsid w:val="00577CC7"/>
    <w:rsid w:val="005814E7"/>
    <w:rsid w:val="005824EE"/>
    <w:rsid w:val="00583FE1"/>
    <w:rsid w:val="00584CC2"/>
    <w:rsid w:val="00586817"/>
    <w:rsid w:val="0059648F"/>
    <w:rsid w:val="005A0CD7"/>
    <w:rsid w:val="005A3BC3"/>
    <w:rsid w:val="005A437B"/>
    <w:rsid w:val="005A46BC"/>
    <w:rsid w:val="005A599C"/>
    <w:rsid w:val="005A6991"/>
    <w:rsid w:val="005B1BA1"/>
    <w:rsid w:val="005B276A"/>
    <w:rsid w:val="005B2A72"/>
    <w:rsid w:val="005C18D9"/>
    <w:rsid w:val="005C36EB"/>
    <w:rsid w:val="005C3F6D"/>
    <w:rsid w:val="005C571E"/>
    <w:rsid w:val="005C5AB7"/>
    <w:rsid w:val="005C5B28"/>
    <w:rsid w:val="005C6CFD"/>
    <w:rsid w:val="005C7770"/>
    <w:rsid w:val="005D7DD4"/>
    <w:rsid w:val="005E02B8"/>
    <w:rsid w:val="005E0673"/>
    <w:rsid w:val="005E3FFA"/>
    <w:rsid w:val="005F0A60"/>
    <w:rsid w:val="005F2246"/>
    <w:rsid w:val="005F2DC1"/>
    <w:rsid w:val="005F4A38"/>
    <w:rsid w:val="005F655E"/>
    <w:rsid w:val="0060112D"/>
    <w:rsid w:val="00604054"/>
    <w:rsid w:val="00604A62"/>
    <w:rsid w:val="00606462"/>
    <w:rsid w:val="006076B7"/>
    <w:rsid w:val="0061646D"/>
    <w:rsid w:val="00617126"/>
    <w:rsid w:val="00626160"/>
    <w:rsid w:val="006263FE"/>
    <w:rsid w:val="00631FD4"/>
    <w:rsid w:val="00634232"/>
    <w:rsid w:val="00634BB9"/>
    <w:rsid w:val="006360B1"/>
    <w:rsid w:val="006367E1"/>
    <w:rsid w:val="00640357"/>
    <w:rsid w:val="006404A6"/>
    <w:rsid w:val="006411BC"/>
    <w:rsid w:val="00641850"/>
    <w:rsid w:val="00644E1F"/>
    <w:rsid w:val="00646777"/>
    <w:rsid w:val="00647937"/>
    <w:rsid w:val="00651B1E"/>
    <w:rsid w:val="006652AF"/>
    <w:rsid w:val="00666724"/>
    <w:rsid w:val="00670BF3"/>
    <w:rsid w:val="006722DC"/>
    <w:rsid w:val="00675CF8"/>
    <w:rsid w:val="00676030"/>
    <w:rsid w:val="0068513F"/>
    <w:rsid w:val="0068561A"/>
    <w:rsid w:val="00690492"/>
    <w:rsid w:val="00694DCD"/>
    <w:rsid w:val="00697A66"/>
    <w:rsid w:val="006A5D3B"/>
    <w:rsid w:val="006A65F9"/>
    <w:rsid w:val="006A6775"/>
    <w:rsid w:val="006B2DD1"/>
    <w:rsid w:val="006B3BA8"/>
    <w:rsid w:val="006B4269"/>
    <w:rsid w:val="006B532C"/>
    <w:rsid w:val="006C097A"/>
    <w:rsid w:val="006D0051"/>
    <w:rsid w:val="006E2F28"/>
    <w:rsid w:val="006E65A8"/>
    <w:rsid w:val="006F043A"/>
    <w:rsid w:val="006F2B0B"/>
    <w:rsid w:val="006F528D"/>
    <w:rsid w:val="006F6211"/>
    <w:rsid w:val="0070422F"/>
    <w:rsid w:val="007049E7"/>
    <w:rsid w:val="00706C62"/>
    <w:rsid w:val="00717266"/>
    <w:rsid w:val="00722EA6"/>
    <w:rsid w:val="00724239"/>
    <w:rsid w:val="0072594A"/>
    <w:rsid w:val="00733060"/>
    <w:rsid w:val="00734D8D"/>
    <w:rsid w:val="00736BD1"/>
    <w:rsid w:val="00742E2C"/>
    <w:rsid w:val="00744530"/>
    <w:rsid w:val="007464C6"/>
    <w:rsid w:val="00752B36"/>
    <w:rsid w:val="00756E7D"/>
    <w:rsid w:val="007716CA"/>
    <w:rsid w:val="00775580"/>
    <w:rsid w:val="0077558C"/>
    <w:rsid w:val="007834D0"/>
    <w:rsid w:val="007848AB"/>
    <w:rsid w:val="00792CBE"/>
    <w:rsid w:val="007979BB"/>
    <w:rsid w:val="007A08D6"/>
    <w:rsid w:val="007A1709"/>
    <w:rsid w:val="007A3682"/>
    <w:rsid w:val="007A394E"/>
    <w:rsid w:val="007A4CA5"/>
    <w:rsid w:val="007A73D9"/>
    <w:rsid w:val="007B039C"/>
    <w:rsid w:val="007C29AF"/>
    <w:rsid w:val="007C395B"/>
    <w:rsid w:val="007C4715"/>
    <w:rsid w:val="007D120F"/>
    <w:rsid w:val="007D43AE"/>
    <w:rsid w:val="007D5044"/>
    <w:rsid w:val="007E274D"/>
    <w:rsid w:val="007E36B6"/>
    <w:rsid w:val="007E5832"/>
    <w:rsid w:val="007E5B57"/>
    <w:rsid w:val="007E5E12"/>
    <w:rsid w:val="007E687C"/>
    <w:rsid w:val="007F4AF2"/>
    <w:rsid w:val="007F7F9E"/>
    <w:rsid w:val="00800907"/>
    <w:rsid w:val="0080269C"/>
    <w:rsid w:val="00803078"/>
    <w:rsid w:val="0080380B"/>
    <w:rsid w:val="00805848"/>
    <w:rsid w:val="0080663F"/>
    <w:rsid w:val="00807DB9"/>
    <w:rsid w:val="00813759"/>
    <w:rsid w:val="00813EDA"/>
    <w:rsid w:val="00814662"/>
    <w:rsid w:val="008173DB"/>
    <w:rsid w:val="008178BF"/>
    <w:rsid w:val="00820C17"/>
    <w:rsid w:val="00827433"/>
    <w:rsid w:val="0082774A"/>
    <w:rsid w:val="00832337"/>
    <w:rsid w:val="00840113"/>
    <w:rsid w:val="00840825"/>
    <w:rsid w:val="008409D9"/>
    <w:rsid w:val="00840E0E"/>
    <w:rsid w:val="00841CE4"/>
    <w:rsid w:val="00842A1B"/>
    <w:rsid w:val="00845920"/>
    <w:rsid w:val="0085302A"/>
    <w:rsid w:val="00854A55"/>
    <w:rsid w:val="00856064"/>
    <w:rsid w:val="008576F1"/>
    <w:rsid w:val="00857DE2"/>
    <w:rsid w:val="00861087"/>
    <w:rsid w:val="008629A7"/>
    <w:rsid w:val="00865385"/>
    <w:rsid w:val="00866FD6"/>
    <w:rsid w:val="008769E0"/>
    <w:rsid w:val="00877636"/>
    <w:rsid w:val="00881C24"/>
    <w:rsid w:val="00884B8A"/>
    <w:rsid w:val="00890626"/>
    <w:rsid w:val="00890CE9"/>
    <w:rsid w:val="00896DF7"/>
    <w:rsid w:val="008A1A07"/>
    <w:rsid w:val="008A3296"/>
    <w:rsid w:val="008A5144"/>
    <w:rsid w:val="008B008C"/>
    <w:rsid w:val="008B0C17"/>
    <w:rsid w:val="008B1A23"/>
    <w:rsid w:val="008B5FD3"/>
    <w:rsid w:val="008C0544"/>
    <w:rsid w:val="008C3207"/>
    <w:rsid w:val="008C595C"/>
    <w:rsid w:val="008C72DA"/>
    <w:rsid w:val="008D10F1"/>
    <w:rsid w:val="008D3AF9"/>
    <w:rsid w:val="008D6AA1"/>
    <w:rsid w:val="008E272D"/>
    <w:rsid w:val="008E2C32"/>
    <w:rsid w:val="008E3179"/>
    <w:rsid w:val="008E6BD6"/>
    <w:rsid w:val="008E6CF3"/>
    <w:rsid w:val="008E7E5C"/>
    <w:rsid w:val="008F323F"/>
    <w:rsid w:val="008F562E"/>
    <w:rsid w:val="008F5927"/>
    <w:rsid w:val="008F5D05"/>
    <w:rsid w:val="008F6470"/>
    <w:rsid w:val="008F6E4D"/>
    <w:rsid w:val="00900479"/>
    <w:rsid w:val="009023B9"/>
    <w:rsid w:val="00902F71"/>
    <w:rsid w:val="00903484"/>
    <w:rsid w:val="009041E7"/>
    <w:rsid w:val="0091188F"/>
    <w:rsid w:val="00912327"/>
    <w:rsid w:val="009216CB"/>
    <w:rsid w:val="009245C7"/>
    <w:rsid w:val="00926575"/>
    <w:rsid w:val="0093133E"/>
    <w:rsid w:val="009322C7"/>
    <w:rsid w:val="00932857"/>
    <w:rsid w:val="009332E9"/>
    <w:rsid w:val="00941935"/>
    <w:rsid w:val="00941C1E"/>
    <w:rsid w:val="00943884"/>
    <w:rsid w:val="00946E62"/>
    <w:rsid w:val="00947BDB"/>
    <w:rsid w:val="0095068D"/>
    <w:rsid w:val="0095142C"/>
    <w:rsid w:val="0095381F"/>
    <w:rsid w:val="009547EC"/>
    <w:rsid w:val="00954A44"/>
    <w:rsid w:val="00954BA0"/>
    <w:rsid w:val="00955C47"/>
    <w:rsid w:val="0096677C"/>
    <w:rsid w:val="00972A06"/>
    <w:rsid w:val="00973471"/>
    <w:rsid w:val="00981B6D"/>
    <w:rsid w:val="00982A6E"/>
    <w:rsid w:val="00990A09"/>
    <w:rsid w:val="00993FDA"/>
    <w:rsid w:val="009969ED"/>
    <w:rsid w:val="0099720F"/>
    <w:rsid w:val="009A2140"/>
    <w:rsid w:val="009A4244"/>
    <w:rsid w:val="009A53F4"/>
    <w:rsid w:val="009A722D"/>
    <w:rsid w:val="009B1E90"/>
    <w:rsid w:val="009B2088"/>
    <w:rsid w:val="009B36B9"/>
    <w:rsid w:val="009B4DA2"/>
    <w:rsid w:val="009B6BA4"/>
    <w:rsid w:val="009C09FA"/>
    <w:rsid w:val="009C2A39"/>
    <w:rsid w:val="009C47E3"/>
    <w:rsid w:val="009D3996"/>
    <w:rsid w:val="009D5AB0"/>
    <w:rsid w:val="009E1FE4"/>
    <w:rsid w:val="009F614F"/>
    <w:rsid w:val="009F64C1"/>
    <w:rsid w:val="009F6C8B"/>
    <w:rsid w:val="00A03D7E"/>
    <w:rsid w:val="00A053EF"/>
    <w:rsid w:val="00A0558D"/>
    <w:rsid w:val="00A05795"/>
    <w:rsid w:val="00A06D01"/>
    <w:rsid w:val="00A075C9"/>
    <w:rsid w:val="00A10259"/>
    <w:rsid w:val="00A158F3"/>
    <w:rsid w:val="00A17692"/>
    <w:rsid w:val="00A212D7"/>
    <w:rsid w:val="00A244A1"/>
    <w:rsid w:val="00A26B5F"/>
    <w:rsid w:val="00A330E1"/>
    <w:rsid w:val="00A418D2"/>
    <w:rsid w:val="00A42955"/>
    <w:rsid w:val="00A42F8D"/>
    <w:rsid w:val="00A53A40"/>
    <w:rsid w:val="00A55143"/>
    <w:rsid w:val="00A55A5E"/>
    <w:rsid w:val="00A577FE"/>
    <w:rsid w:val="00A60E5B"/>
    <w:rsid w:val="00A616FA"/>
    <w:rsid w:val="00A619C6"/>
    <w:rsid w:val="00A632A0"/>
    <w:rsid w:val="00A637ED"/>
    <w:rsid w:val="00A6745F"/>
    <w:rsid w:val="00A802F4"/>
    <w:rsid w:val="00A8045F"/>
    <w:rsid w:val="00A8296E"/>
    <w:rsid w:val="00A85CB8"/>
    <w:rsid w:val="00A907D3"/>
    <w:rsid w:val="00A959B2"/>
    <w:rsid w:val="00AA01AE"/>
    <w:rsid w:val="00AA35E1"/>
    <w:rsid w:val="00AB0C4B"/>
    <w:rsid w:val="00AB3C1F"/>
    <w:rsid w:val="00AB4761"/>
    <w:rsid w:val="00AB6303"/>
    <w:rsid w:val="00AC14B2"/>
    <w:rsid w:val="00AC6C1A"/>
    <w:rsid w:val="00AC6D20"/>
    <w:rsid w:val="00AC7D39"/>
    <w:rsid w:val="00AC7E28"/>
    <w:rsid w:val="00AD038D"/>
    <w:rsid w:val="00AD2998"/>
    <w:rsid w:val="00AD2DEC"/>
    <w:rsid w:val="00AD46FB"/>
    <w:rsid w:val="00AE1DAF"/>
    <w:rsid w:val="00AE45A9"/>
    <w:rsid w:val="00AF3561"/>
    <w:rsid w:val="00AF3C95"/>
    <w:rsid w:val="00AF63B0"/>
    <w:rsid w:val="00B014B8"/>
    <w:rsid w:val="00B04AA4"/>
    <w:rsid w:val="00B05035"/>
    <w:rsid w:val="00B100D5"/>
    <w:rsid w:val="00B118B5"/>
    <w:rsid w:val="00B1242C"/>
    <w:rsid w:val="00B12705"/>
    <w:rsid w:val="00B14033"/>
    <w:rsid w:val="00B14534"/>
    <w:rsid w:val="00B20D84"/>
    <w:rsid w:val="00B20F01"/>
    <w:rsid w:val="00B2344A"/>
    <w:rsid w:val="00B323B7"/>
    <w:rsid w:val="00B32EE2"/>
    <w:rsid w:val="00B35785"/>
    <w:rsid w:val="00B36098"/>
    <w:rsid w:val="00B4160F"/>
    <w:rsid w:val="00B431D5"/>
    <w:rsid w:val="00B44F15"/>
    <w:rsid w:val="00B54C54"/>
    <w:rsid w:val="00B560AB"/>
    <w:rsid w:val="00B56BB7"/>
    <w:rsid w:val="00B57FE1"/>
    <w:rsid w:val="00B61135"/>
    <w:rsid w:val="00B61407"/>
    <w:rsid w:val="00B6434D"/>
    <w:rsid w:val="00B72A31"/>
    <w:rsid w:val="00B74845"/>
    <w:rsid w:val="00B7679B"/>
    <w:rsid w:val="00B83B4C"/>
    <w:rsid w:val="00B843F1"/>
    <w:rsid w:val="00B87CD2"/>
    <w:rsid w:val="00B90C09"/>
    <w:rsid w:val="00B93981"/>
    <w:rsid w:val="00B9650C"/>
    <w:rsid w:val="00BA1EDA"/>
    <w:rsid w:val="00BA1F6B"/>
    <w:rsid w:val="00BA3790"/>
    <w:rsid w:val="00BA4420"/>
    <w:rsid w:val="00BA701B"/>
    <w:rsid w:val="00BA7D07"/>
    <w:rsid w:val="00BB0865"/>
    <w:rsid w:val="00BB341F"/>
    <w:rsid w:val="00BB5F78"/>
    <w:rsid w:val="00BB6F9C"/>
    <w:rsid w:val="00BC588B"/>
    <w:rsid w:val="00BD03A0"/>
    <w:rsid w:val="00BE454F"/>
    <w:rsid w:val="00BE4757"/>
    <w:rsid w:val="00BF419A"/>
    <w:rsid w:val="00C02ED1"/>
    <w:rsid w:val="00C0542F"/>
    <w:rsid w:val="00C0604E"/>
    <w:rsid w:val="00C12074"/>
    <w:rsid w:val="00C122F3"/>
    <w:rsid w:val="00C1402D"/>
    <w:rsid w:val="00C14B4B"/>
    <w:rsid w:val="00C25069"/>
    <w:rsid w:val="00C25CAF"/>
    <w:rsid w:val="00C30E75"/>
    <w:rsid w:val="00C32666"/>
    <w:rsid w:val="00C330D3"/>
    <w:rsid w:val="00C3615E"/>
    <w:rsid w:val="00C3699A"/>
    <w:rsid w:val="00C36C14"/>
    <w:rsid w:val="00C4518B"/>
    <w:rsid w:val="00C45244"/>
    <w:rsid w:val="00C517A2"/>
    <w:rsid w:val="00C53C01"/>
    <w:rsid w:val="00C57729"/>
    <w:rsid w:val="00C6086C"/>
    <w:rsid w:val="00C6469F"/>
    <w:rsid w:val="00C65846"/>
    <w:rsid w:val="00C67E2B"/>
    <w:rsid w:val="00C72BDD"/>
    <w:rsid w:val="00C74D54"/>
    <w:rsid w:val="00C82368"/>
    <w:rsid w:val="00C86871"/>
    <w:rsid w:val="00C87FE7"/>
    <w:rsid w:val="00C902D2"/>
    <w:rsid w:val="00C9476C"/>
    <w:rsid w:val="00C95006"/>
    <w:rsid w:val="00C96FC1"/>
    <w:rsid w:val="00CA05F0"/>
    <w:rsid w:val="00CA5028"/>
    <w:rsid w:val="00CA6B25"/>
    <w:rsid w:val="00CA6C48"/>
    <w:rsid w:val="00CB1296"/>
    <w:rsid w:val="00CB129D"/>
    <w:rsid w:val="00CB5A37"/>
    <w:rsid w:val="00CC04DC"/>
    <w:rsid w:val="00CC0B1D"/>
    <w:rsid w:val="00CC0E4E"/>
    <w:rsid w:val="00CC6D21"/>
    <w:rsid w:val="00CD2D4F"/>
    <w:rsid w:val="00CD5FBA"/>
    <w:rsid w:val="00CE16E8"/>
    <w:rsid w:val="00CE385A"/>
    <w:rsid w:val="00CE7819"/>
    <w:rsid w:val="00CF1B0A"/>
    <w:rsid w:val="00CF1F1C"/>
    <w:rsid w:val="00CF2005"/>
    <w:rsid w:val="00CF4445"/>
    <w:rsid w:val="00CF710A"/>
    <w:rsid w:val="00CF79CF"/>
    <w:rsid w:val="00D01535"/>
    <w:rsid w:val="00D01B15"/>
    <w:rsid w:val="00D02436"/>
    <w:rsid w:val="00D02829"/>
    <w:rsid w:val="00D0388F"/>
    <w:rsid w:val="00D04A33"/>
    <w:rsid w:val="00D101A8"/>
    <w:rsid w:val="00D15550"/>
    <w:rsid w:val="00D200BE"/>
    <w:rsid w:val="00D207EA"/>
    <w:rsid w:val="00D23DB4"/>
    <w:rsid w:val="00D24FFF"/>
    <w:rsid w:val="00D2683F"/>
    <w:rsid w:val="00D3484B"/>
    <w:rsid w:val="00D34B1E"/>
    <w:rsid w:val="00D36B97"/>
    <w:rsid w:val="00D37B5A"/>
    <w:rsid w:val="00D42169"/>
    <w:rsid w:val="00D4515B"/>
    <w:rsid w:val="00D45959"/>
    <w:rsid w:val="00D4677F"/>
    <w:rsid w:val="00D500A8"/>
    <w:rsid w:val="00D615A9"/>
    <w:rsid w:val="00D6341D"/>
    <w:rsid w:val="00D63A34"/>
    <w:rsid w:val="00D64B09"/>
    <w:rsid w:val="00D65A62"/>
    <w:rsid w:val="00D6718C"/>
    <w:rsid w:val="00D71FCA"/>
    <w:rsid w:val="00D728E2"/>
    <w:rsid w:val="00D745D7"/>
    <w:rsid w:val="00D80757"/>
    <w:rsid w:val="00D82390"/>
    <w:rsid w:val="00D85354"/>
    <w:rsid w:val="00D91E52"/>
    <w:rsid w:val="00D92F06"/>
    <w:rsid w:val="00D957B6"/>
    <w:rsid w:val="00D96AB7"/>
    <w:rsid w:val="00D970DD"/>
    <w:rsid w:val="00DA0CEC"/>
    <w:rsid w:val="00DA3599"/>
    <w:rsid w:val="00DA463D"/>
    <w:rsid w:val="00DA6094"/>
    <w:rsid w:val="00DA6582"/>
    <w:rsid w:val="00DB05E9"/>
    <w:rsid w:val="00DC2D6B"/>
    <w:rsid w:val="00DC465A"/>
    <w:rsid w:val="00DD29C3"/>
    <w:rsid w:val="00DD437B"/>
    <w:rsid w:val="00DD6130"/>
    <w:rsid w:val="00DD793D"/>
    <w:rsid w:val="00DD7A2B"/>
    <w:rsid w:val="00DE3667"/>
    <w:rsid w:val="00DE54A4"/>
    <w:rsid w:val="00DE5912"/>
    <w:rsid w:val="00DF0316"/>
    <w:rsid w:val="00DF42C6"/>
    <w:rsid w:val="00E008AA"/>
    <w:rsid w:val="00E02EF8"/>
    <w:rsid w:val="00E068DD"/>
    <w:rsid w:val="00E10812"/>
    <w:rsid w:val="00E12072"/>
    <w:rsid w:val="00E12C7E"/>
    <w:rsid w:val="00E14AD8"/>
    <w:rsid w:val="00E15286"/>
    <w:rsid w:val="00E1571F"/>
    <w:rsid w:val="00E259AB"/>
    <w:rsid w:val="00E32784"/>
    <w:rsid w:val="00E450E9"/>
    <w:rsid w:val="00E60ECB"/>
    <w:rsid w:val="00E615C6"/>
    <w:rsid w:val="00E62A3F"/>
    <w:rsid w:val="00E62C38"/>
    <w:rsid w:val="00E64C47"/>
    <w:rsid w:val="00E65B07"/>
    <w:rsid w:val="00E67420"/>
    <w:rsid w:val="00E67E6B"/>
    <w:rsid w:val="00E70671"/>
    <w:rsid w:val="00E7222E"/>
    <w:rsid w:val="00E74EA0"/>
    <w:rsid w:val="00E77539"/>
    <w:rsid w:val="00E77BF6"/>
    <w:rsid w:val="00E8574C"/>
    <w:rsid w:val="00E86EDD"/>
    <w:rsid w:val="00E871F6"/>
    <w:rsid w:val="00E8762B"/>
    <w:rsid w:val="00E87D27"/>
    <w:rsid w:val="00E91F7F"/>
    <w:rsid w:val="00E92BD5"/>
    <w:rsid w:val="00E93C93"/>
    <w:rsid w:val="00E94403"/>
    <w:rsid w:val="00E947D1"/>
    <w:rsid w:val="00E953C1"/>
    <w:rsid w:val="00E959AA"/>
    <w:rsid w:val="00E97621"/>
    <w:rsid w:val="00E976CA"/>
    <w:rsid w:val="00EA04E4"/>
    <w:rsid w:val="00EA0E55"/>
    <w:rsid w:val="00EA36E6"/>
    <w:rsid w:val="00EA3980"/>
    <w:rsid w:val="00EA3F63"/>
    <w:rsid w:val="00EB17EA"/>
    <w:rsid w:val="00EC0155"/>
    <w:rsid w:val="00EC0539"/>
    <w:rsid w:val="00EC2BFD"/>
    <w:rsid w:val="00ED1DD0"/>
    <w:rsid w:val="00EE6D7A"/>
    <w:rsid w:val="00EF1282"/>
    <w:rsid w:val="00EF1A7A"/>
    <w:rsid w:val="00EF2457"/>
    <w:rsid w:val="00EF422F"/>
    <w:rsid w:val="00EF5A62"/>
    <w:rsid w:val="00EF660C"/>
    <w:rsid w:val="00F11B4C"/>
    <w:rsid w:val="00F12793"/>
    <w:rsid w:val="00F128C9"/>
    <w:rsid w:val="00F148F4"/>
    <w:rsid w:val="00F20C8A"/>
    <w:rsid w:val="00F235CA"/>
    <w:rsid w:val="00F23C87"/>
    <w:rsid w:val="00F23CDC"/>
    <w:rsid w:val="00F26EF4"/>
    <w:rsid w:val="00F27CD1"/>
    <w:rsid w:val="00F334D5"/>
    <w:rsid w:val="00F34607"/>
    <w:rsid w:val="00F35C26"/>
    <w:rsid w:val="00F4117C"/>
    <w:rsid w:val="00F42287"/>
    <w:rsid w:val="00F42BEC"/>
    <w:rsid w:val="00F44189"/>
    <w:rsid w:val="00F452FA"/>
    <w:rsid w:val="00F46B9E"/>
    <w:rsid w:val="00F473D8"/>
    <w:rsid w:val="00F5070B"/>
    <w:rsid w:val="00F53C49"/>
    <w:rsid w:val="00F5722B"/>
    <w:rsid w:val="00F664CF"/>
    <w:rsid w:val="00F72D65"/>
    <w:rsid w:val="00F757DE"/>
    <w:rsid w:val="00F75EE2"/>
    <w:rsid w:val="00F761FA"/>
    <w:rsid w:val="00F80594"/>
    <w:rsid w:val="00F80820"/>
    <w:rsid w:val="00F86578"/>
    <w:rsid w:val="00F94F1F"/>
    <w:rsid w:val="00FA203B"/>
    <w:rsid w:val="00FA45EF"/>
    <w:rsid w:val="00FB25AD"/>
    <w:rsid w:val="00FB4C81"/>
    <w:rsid w:val="00FB5B14"/>
    <w:rsid w:val="00FB5CA5"/>
    <w:rsid w:val="00FB7490"/>
    <w:rsid w:val="00FB7F64"/>
    <w:rsid w:val="00FC0D2D"/>
    <w:rsid w:val="00FC1DE0"/>
    <w:rsid w:val="00FC5132"/>
    <w:rsid w:val="00FC5FB1"/>
    <w:rsid w:val="00FD0EE5"/>
    <w:rsid w:val="00FD12DF"/>
    <w:rsid w:val="00FD185E"/>
    <w:rsid w:val="00FD2372"/>
    <w:rsid w:val="00FD4AC4"/>
    <w:rsid w:val="00FD7CEC"/>
    <w:rsid w:val="00FE311D"/>
    <w:rsid w:val="00FE499D"/>
    <w:rsid w:val="00FE60F6"/>
    <w:rsid w:val="00FE74EA"/>
    <w:rsid w:val="00FF15DC"/>
    <w:rsid w:val="00FF2EFD"/>
    <w:rsid w:val="00FF49F9"/>
    <w:rsid w:val="00FF5489"/>
    <w:rsid w:val="00FF67DB"/>
    <w:rsid w:val="00FF7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691A"/>
  <w15:docId w15:val="{12DEA259-FA3C-4839-9428-1C9A3ECD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a4">
    <w:name w:val="Верхн./нижн. кол."/>
    <w:pPr>
      <w:tabs>
        <w:tab w:val="right" w:pos="9020"/>
      </w:tabs>
    </w:pPr>
    <w:rPr>
      <w:rFonts w:ascii="Helvetica Neue" w:hAnsi="Helvetica Neue" w:cs="Arial Unicode MS"/>
      <w:color w:val="000000"/>
      <w:sz w:val="24"/>
    </w:rPr>
  </w:style>
  <w:style w:type="paragraph" w:customStyle="1" w:styleId="1">
    <w:name w:val="Текст1"/>
    <w:pPr>
      <w:spacing w:after="200" w:line="276" w:lineRule="auto"/>
    </w:pPr>
    <w:rPr>
      <w:rFonts w:ascii="Calibri" w:eastAsia="Calibri" w:hAnsi="Calibri" w:cs="Calibri"/>
      <w:color w:val="000000"/>
      <w:sz w:val="22"/>
      <w:u w:color="000000"/>
    </w:rPr>
  </w:style>
  <w:style w:type="paragraph" w:customStyle="1" w:styleId="o">
    <w:name w:val="o"/>
    <w:pPr>
      <w:spacing w:before="100" w:after="100"/>
    </w:pPr>
    <w:rPr>
      <w:rFonts w:cs="Arial Unicode MS"/>
      <w:color w:val="000000"/>
      <w:sz w:val="24"/>
      <w:u w:color="000000"/>
    </w:rPr>
  </w:style>
  <w:style w:type="character" w:customStyle="1" w:styleId="a5">
    <w:name w:val="Ссылка"/>
    <w:rPr>
      <w:color w:val="0000FF"/>
      <w:u w:val="single" w:color="0000FF"/>
    </w:rPr>
  </w:style>
  <w:style w:type="character" w:customStyle="1" w:styleId="Hyperlink0">
    <w:name w:val="Hyperlink.0"/>
    <w:basedOn w:val="a5"/>
    <w:rPr>
      <w:color w:val="0000FF"/>
      <w:u w:val="single" w:color="0000FF"/>
    </w:rPr>
  </w:style>
  <w:style w:type="character" w:customStyle="1" w:styleId="Hyperlink1">
    <w:name w:val="Hyperlink.1"/>
    <w:basedOn w:val="a5"/>
    <w:rPr>
      <w:rFonts w:ascii="Calibri" w:eastAsia="Calibri" w:hAnsi="Calibri" w:cs="Calibri"/>
      <w:i/>
      <w:color w:val="0000FF"/>
      <w:sz w:val="18"/>
      <w:u w:val="single" w:color="0000FF"/>
    </w:rPr>
  </w:style>
  <w:style w:type="paragraph" w:styleId="a6">
    <w:name w:val="Balloon Text"/>
    <w:basedOn w:val="a"/>
    <w:link w:val="a7"/>
    <w:uiPriority w:val="99"/>
    <w:semiHidden/>
    <w:unhideWhenUsed/>
    <w:rsid w:val="004E1247"/>
    <w:rPr>
      <w:sz w:val="18"/>
    </w:rPr>
  </w:style>
  <w:style w:type="character" w:customStyle="1" w:styleId="a7">
    <w:name w:val="Текст выноски Знак"/>
    <w:basedOn w:val="a0"/>
    <w:link w:val="a6"/>
    <w:uiPriority w:val="99"/>
    <w:semiHidden/>
    <w:rsid w:val="004E1247"/>
    <w:rPr>
      <w:sz w:val="18"/>
    </w:rPr>
  </w:style>
  <w:style w:type="paragraph" w:styleId="a8">
    <w:name w:val="Revision"/>
    <w:hidden/>
    <w:uiPriority w:val="99"/>
    <w:semiHidden/>
    <w:rsid w:val="00383163"/>
    <w:pPr>
      <w:pBdr>
        <w:top w:val="none" w:sz="0" w:space="0" w:color="auto"/>
        <w:left w:val="none" w:sz="0" w:space="0" w:color="auto"/>
        <w:bottom w:val="none" w:sz="0" w:space="0" w:color="auto"/>
        <w:right w:val="none" w:sz="0" w:space="0" w:color="auto"/>
        <w:between w:val="none" w:sz="0" w:space="0" w:color="auto"/>
        <w:bar w:val="none" w:sz="0" w:color="auto"/>
      </w:pBdr>
    </w:pPr>
    <w:rPr>
      <w:sz w:val="24"/>
    </w:rPr>
  </w:style>
  <w:style w:type="character" w:styleId="a9">
    <w:name w:val="annotation reference"/>
    <w:basedOn w:val="a0"/>
    <w:uiPriority w:val="99"/>
    <w:semiHidden/>
    <w:unhideWhenUsed/>
    <w:rsid w:val="0008688F"/>
    <w:rPr>
      <w:sz w:val="16"/>
    </w:rPr>
  </w:style>
  <w:style w:type="paragraph" w:styleId="aa">
    <w:name w:val="annotation text"/>
    <w:basedOn w:val="a"/>
    <w:link w:val="ab"/>
    <w:uiPriority w:val="99"/>
    <w:semiHidden/>
    <w:unhideWhenUsed/>
    <w:rsid w:val="0008688F"/>
    <w:rPr>
      <w:sz w:val="20"/>
    </w:rPr>
  </w:style>
  <w:style w:type="character" w:customStyle="1" w:styleId="ab">
    <w:name w:val="Текст примечания Знак"/>
    <w:basedOn w:val="a0"/>
    <w:link w:val="aa"/>
    <w:uiPriority w:val="99"/>
    <w:semiHidden/>
    <w:rsid w:val="0008688F"/>
  </w:style>
  <w:style w:type="paragraph" w:styleId="ac">
    <w:name w:val="annotation subject"/>
    <w:basedOn w:val="aa"/>
    <w:next w:val="aa"/>
    <w:link w:val="ad"/>
    <w:uiPriority w:val="99"/>
    <w:semiHidden/>
    <w:unhideWhenUsed/>
    <w:rsid w:val="0008688F"/>
    <w:rPr>
      <w:b/>
    </w:rPr>
  </w:style>
  <w:style w:type="character" w:customStyle="1" w:styleId="ad">
    <w:name w:val="Тема примечания Знак"/>
    <w:basedOn w:val="ab"/>
    <w:link w:val="ac"/>
    <w:uiPriority w:val="99"/>
    <w:semiHidden/>
    <w:rsid w:val="0008688F"/>
    <w:rPr>
      <w:b/>
    </w:rPr>
  </w:style>
  <w:style w:type="paragraph" w:customStyle="1" w:styleId="Default">
    <w:name w:val="Default"/>
    <w:rsid w:val="00A330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rPr>
  </w:style>
  <w:style w:type="paragraph" w:styleId="ae">
    <w:name w:val="header"/>
    <w:basedOn w:val="a"/>
    <w:link w:val="af"/>
    <w:uiPriority w:val="99"/>
    <w:unhideWhenUsed/>
    <w:rsid w:val="007E36B6"/>
    <w:pPr>
      <w:tabs>
        <w:tab w:val="center" w:pos="4677"/>
        <w:tab w:val="right" w:pos="9355"/>
      </w:tabs>
    </w:pPr>
  </w:style>
  <w:style w:type="character" w:customStyle="1" w:styleId="af">
    <w:name w:val="Верхний колонтитул Знак"/>
    <w:basedOn w:val="a0"/>
    <w:link w:val="ae"/>
    <w:uiPriority w:val="99"/>
    <w:rsid w:val="007E36B6"/>
    <w:rPr>
      <w:sz w:val="24"/>
    </w:rPr>
  </w:style>
  <w:style w:type="paragraph" w:styleId="af0">
    <w:name w:val="footer"/>
    <w:basedOn w:val="a"/>
    <w:link w:val="af1"/>
    <w:uiPriority w:val="99"/>
    <w:unhideWhenUsed/>
    <w:rsid w:val="007E36B6"/>
    <w:pPr>
      <w:tabs>
        <w:tab w:val="center" w:pos="4677"/>
        <w:tab w:val="right" w:pos="9355"/>
      </w:tabs>
    </w:pPr>
  </w:style>
  <w:style w:type="character" w:customStyle="1" w:styleId="af1">
    <w:name w:val="Нижний колонтитул Знак"/>
    <w:basedOn w:val="a0"/>
    <w:link w:val="af0"/>
    <w:uiPriority w:val="99"/>
    <w:rsid w:val="007E36B6"/>
    <w:rPr>
      <w:sz w:val="24"/>
    </w:rPr>
  </w:style>
  <w:style w:type="paragraph" w:customStyle="1" w:styleId="s8">
    <w:name w:val="s8"/>
    <w:basedOn w:val="a"/>
    <w:rsid w:val="001871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709"/>
      <w:jc w:val="both"/>
    </w:pPr>
    <w:rPr>
      <w:rFonts w:eastAsiaTheme="minorHAnsi"/>
      <w:bdr w:val="none" w:sz="0" w:space="0" w:color="auto"/>
    </w:rPr>
  </w:style>
  <w:style w:type="character" w:customStyle="1" w:styleId="af2">
    <w:name w:val="a"/>
    <w:basedOn w:val="a0"/>
    <w:rsid w:val="009C2A39"/>
  </w:style>
  <w:style w:type="paragraph" w:customStyle="1" w:styleId="P68B1DB1-o1">
    <w:name w:val="P68B1DB1-o1"/>
    <w:basedOn w:val="o"/>
    <w:rPr>
      <w:rFonts w:cs="Times New Roman"/>
      <w:b/>
    </w:rPr>
  </w:style>
  <w:style w:type="paragraph" w:customStyle="1" w:styleId="P68B1DB1-o2">
    <w:name w:val="P68B1DB1-o2"/>
    <w:basedOn w:val="o"/>
    <w:rPr>
      <w:rFonts w:eastAsia="Calibri" w:cs="Times New Roman"/>
      <w:b/>
      <w:sz w:val="26"/>
    </w:rPr>
  </w:style>
  <w:style w:type="paragraph" w:customStyle="1" w:styleId="P68B1DB1-13">
    <w:name w:val="P68B1DB1-13"/>
    <w:basedOn w:val="1"/>
    <w:rPr>
      <w:rFonts w:ascii="Times New Roman" w:hAnsi="Times New Roman" w:cs="Times New Roman"/>
      <w:sz w:val="24"/>
    </w:rPr>
  </w:style>
  <w:style w:type="paragraph" w:customStyle="1" w:styleId="P68B1DB1-14">
    <w:name w:val="P68B1DB1-14"/>
    <w:basedOn w:val="1"/>
    <w:rPr>
      <w:rFonts w:ascii="Times New Roman" w:hAnsi="Times New Roman" w:cs="Times New Roman"/>
      <w:b/>
      <w:sz w:val="24"/>
    </w:rPr>
  </w:style>
  <w:style w:type="paragraph" w:customStyle="1" w:styleId="P68B1DB1-Normal5">
    <w:name w:val="P68B1DB1-Normal5"/>
    <w:basedOn w:val="a"/>
    <w:rPr>
      <w:rFonts w:eastAsia="Times New Roman"/>
      <w:b/>
      <w:color w:val="FFFFFF"/>
      <w:sz w:val="20"/>
      <w:bdr w:val="none" w:sz="0" w:space="0" w:color="auto"/>
    </w:rPr>
  </w:style>
  <w:style w:type="paragraph" w:customStyle="1" w:styleId="P68B1DB1-Normal6">
    <w:name w:val="P68B1DB1-Normal6"/>
    <w:basedOn w:val="a"/>
    <w:rPr>
      <w:rFonts w:eastAsia="Times New Roman"/>
      <w:b/>
      <w:i/>
      <w:color w:val="000000"/>
      <w:sz w:val="20"/>
      <w:bdr w:val="none" w:sz="0" w:space="0" w:color="auto"/>
    </w:rPr>
  </w:style>
  <w:style w:type="paragraph" w:customStyle="1" w:styleId="P68B1DB1-Normal7">
    <w:name w:val="P68B1DB1-Normal7"/>
    <w:basedOn w:val="a"/>
    <w:rPr>
      <w:rFonts w:eastAsia="Times New Roman"/>
      <w:b/>
      <w:color w:val="000000"/>
      <w:sz w:val="20"/>
      <w:bdr w:val="none" w:sz="0" w:space="0" w:color="auto"/>
    </w:rPr>
  </w:style>
  <w:style w:type="paragraph" w:customStyle="1" w:styleId="P68B1DB1-Normal8">
    <w:name w:val="P68B1DB1-Normal8"/>
    <w:basedOn w:val="a"/>
    <w:rPr>
      <w:rFonts w:eastAsia="Times New Roman"/>
      <w:color w:val="000000"/>
      <w:sz w:val="20"/>
      <w:bdr w:val="none" w:sz="0" w:space="0" w:color="auto"/>
    </w:rPr>
  </w:style>
  <w:style w:type="paragraph" w:customStyle="1" w:styleId="P68B1DB1-Normal9">
    <w:name w:val="P68B1DB1-Normal9"/>
    <w:basedOn w:val="a"/>
    <w:rPr>
      <w:rFonts w:eastAsia="Times New Roman"/>
      <w:i/>
      <w:color w:val="000000"/>
      <w:sz w:val="20"/>
      <w:bdr w:val="none" w:sz="0" w:space="0" w:color="auto"/>
    </w:rPr>
  </w:style>
  <w:style w:type="paragraph" w:customStyle="1" w:styleId="P68B1DB1-Normal10">
    <w:name w:val="P68B1DB1-Normal10"/>
    <w:basedOn w:val="a"/>
    <w:rPr>
      <w:rFonts w:eastAsia="Times New Roman"/>
      <w:b/>
      <w:color w:val="000000"/>
      <w:sz w:val="22"/>
      <w:bdr w:val="none" w:sz="0" w:space="0" w:color="auto"/>
    </w:rPr>
  </w:style>
  <w:style w:type="paragraph" w:customStyle="1" w:styleId="P68B1DB1-Normal11">
    <w:name w:val="P68B1DB1-Normal11"/>
    <w:basedOn w:val="a"/>
    <w:rPr>
      <w:rFonts w:eastAsia="Times New Roman"/>
      <w:b/>
      <w:i/>
      <w:color w:val="000000"/>
      <w:sz w:val="22"/>
      <w:bdr w:val="none" w:sz="0" w:space="0" w:color="auto"/>
    </w:rPr>
  </w:style>
  <w:style w:type="paragraph" w:customStyle="1" w:styleId="P68B1DB1-Normal12">
    <w:name w:val="P68B1DB1-Normal12"/>
    <w:basedOn w:val="a"/>
    <w:rPr>
      <w:rFonts w:eastAsia="Times New Roman"/>
      <w:b/>
      <w:color w:val="000000"/>
      <w:bdr w:val="none" w:sz="0" w:space="0" w:color="auto"/>
    </w:rPr>
  </w:style>
  <w:style w:type="paragraph" w:customStyle="1" w:styleId="P68B1DB1-Normal13">
    <w:name w:val="P68B1DB1-Normal13"/>
    <w:basedOn w:val="a"/>
    <w:rPr>
      <w:rFonts w:eastAsia="Calibri"/>
      <w:u w:color="000000"/>
    </w:rPr>
  </w:style>
  <w:style w:type="paragraph" w:customStyle="1" w:styleId="P68B1DB1-Normal14">
    <w:name w:val="P68B1DB1-Normal14"/>
    <w:basedOn w:val="a"/>
    <w:rPr>
      <w:b/>
      <w:sz w:val="20"/>
    </w:rPr>
  </w:style>
  <w:style w:type="paragraph" w:customStyle="1" w:styleId="P68B1DB1-Normal15">
    <w:name w:val="P68B1DB1-Normal15"/>
    <w:basedOn w:val="a"/>
    <w:rPr>
      <w:i/>
      <w:color w:val="000000"/>
      <w:sz w:val="18"/>
    </w:rPr>
  </w:style>
  <w:style w:type="paragraph" w:customStyle="1" w:styleId="P68B1DB1-Footer16">
    <w:name w:val="P68B1DB1-Footer16"/>
    <w:basedOn w:val="af0"/>
    <w:rPr>
      <w:rFonts w:ascii="Calibri" w:hAnsi="Calibri" w:cs="Calibri"/>
      <w:sz w:val="22"/>
    </w:rPr>
  </w:style>
  <w:style w:type="paragraph" w:customStyle="1" w:styleId="P68B1DB1-Normal1">
    <w:name w:val="P68B1DB1-Normal1"/>
    <w:basedOn w:val="a"/>
    <w:rsid w:val="007848AB"/>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cs="Calibri"/>
      <w:b/>
      <w:color w:val="000000"/>
      <w:sz w:val="18"/>
      <w:u w:color="000000"/>
      <w:bdr w:val="none" w:sz="0" w:space="0" w:color="auto"/>
    </w:rPr>
  </w:style>
  <w:style w:type="paragraph" w:customStyle="1" w:styleId="P68B1DB1-Normal2">
    <w:name w:val="P68B1DB1-Normal2"/>
    <w:basedOn w:val="a"/>
    <w:rsid w:val="007848AB"/>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cs="Calibri"/>
      <w:i/>
      <w:color w:val="000000"/>
      <w:sz w:val="18"/>
      <w:u w:color="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458">
      <w:bodyDiv w:val="1"/>
      <w:marLeft w:val="0"/>
      <w:marRight w:val="0"/>
      <w:marTop w:val="0"/>
      <w:marBottom w:val="0"/>
      <w:divBdr>
        <w:top w:val="none" w:sz="0" w:space="0" w:color="auto"/>
        <w:left w:val="none" w:sz="0" w:space="0" w:color="auto"/>
        <w:bottom w:val="none" w:sz="0" w:space="0" w:color="auto"/>
        <w:right w:val="none" w:sz="0" w:space="0" w:color="auto"/>
      </w:divBdr>
    </w:div>
    <w:div w:id="37514659">
      <w:bodyDiv w:val="1"/>
      <w:marLeft w:val="0"/>
      <w:marRight w:val="0"/>
      <w:marTop w:val="0"/>
      <w:marBottom w:val="0"/>
      <w:divBdr>
        <w:top w:val="none" w:sz="0" w:space="0" w:color="auto"/>
        <w:left w:val="none" w:sz="0" w:space="0" w:color="auto"/>
        <w:bottom w:val="none" w:sz="0" w:space="0" w:color="auto"/>
        <w:right w:val="none" w:sz="0" w:space="0" w:color="auto"/>
      </w:divBdr>
    </w:div>
    <w:div w:id="50153799">
      <w:bodyDiv w:val="1"/>
      <w:marLeft w:val="0"/>
      <w:marRight w:val="0"/>
      <w:marTop w:val="0"/>
      <w:marBottom w:val="0"/>
      <w:divBdr>
        <w:top w:val="none" w:sz="0" w:space="0" w:color="auto"/>
        <w:left w:val="none" w:sz="0" w:space="0" w:color="auto"/>
        <w:bottom w:val="none" w:sz="0" w:space="0" w:color="auto"/>
        <w:right w:val="none" w:sz="0" w:space="0" w:color="auto"/>
      </w:divBdr>
    </w:div>
    <w:div w:id="75518011">
      <w:bodyDiv w:val="1"/>
      <w:marLeft w:val="0"/>
      <w:marRight w:val="0"/>
      <w:marTop w:val="0"/>
      <w:marBottom w:val="0"/>
      <w:divBdr>
        <w:top w:val="none" w:sz="0" w:space="0" w:color="auto"/>
        <w:left w:val="none" w:sz="0" w:space="0" w:color="auto"/>
        <w:bottom w:val="none" w:sz="0" w:space="0" w:color="auto"/>
        <w:right w:val="none" w:sz="0" w:space="0" w:color="auto"/>
      </w:divBdr>
    </w:div>
    <w:div w:id="76220910">
      <w:bodyDiv w:val="1"/>
      <w:marLeft w:val="0"/>
      <w:marRight w:val="0"/>
      <w:marTop w:val="0"/>
      <w:marBottom w:val="0"/>
      <w:divBdr>
        <w:top w:val="none" w:sz="0" w:space="0" w:color="auto"/>
        <w:left w:val="none" w:sz="0" w:space="0" w:color="auto"/>
        <w:bottom w:val="none" w:sz="0" w:space="0" w:color="auto"/>
        <w:right w:val="none" w:sz="0" w:space="0" w:color="auto"/>
      </w:divBdr>
    </w:div>
    <w:div w:id="78214635">
      <w:bodyDiv w:val="1"/>
      <w:marLeft w:val="0"/>
      <w:marRight w:val="0"/>
      <w:marTop w:val="0"/>
      <w:marBottom w:val="0"/>
      <w:divBdr>
        <w:top w:val="none" w:sz="0" w:space="0" w:color="auto"/>
        <w:left w:val="none" w:sz="0" w:space="0" w:color="auto"/>
        <w:bottom w:val="none" w:sz="0" w:space="0" w:color="auto"/>
        <w:right w:val="none" w:sz="0" w:space="0" w:color="auto"/>
      </w:divBdr>
    </w:div>
    <w:div w:id="94256025">
      <w:bodyDiv w:val="1"/>
      <w:marLeft w:val="0"/>
      <w:marRight w:val="0"/>
      <w:marTop w:val="0"/>
      <w:marBottom w:val="0"/>
      <w:divBdr>
        <w:top w:val="none" w:sz="0" w:space="0" w:color="auto"/>
        <w:left w:val="none" w:sz="0" w:space="0" w:color="auto"/>
        <w:bottom w:val="none" w:sz="0" w:space="0" w:color="auto"/>
        <w:right w:val="none" w:sz="0" w:space="0" w:color="auto"/>
      </w:divBdr>
    </w:div>
    <w:div w:id="102698126">
      <w:bodyDiv w:val="1"/>
      <w:marLeft w:val="0"/>
      <w:marRight w:val="0"/>
      <w:marTop w:val="0"/>
      <w:marBottom w:val="0"/>
      <w:divBdr>
        <w:top w:val="none" w:sz="0" w:space="0" w:color="auto"/>
        <w:left w:val="none" w:sz="0" w:space="0" w:color="auto"/>
        <w:bottom w:val="none" w:sz="0" w:space="0" w:color="auto"/>
        <w:right w:val="none" w:sz="0" w:space="0" w:color="auto"/>
      </w:divBdr>
    </w:div>
    <w:div w:id="104007776">
      <w:bodyDiv w:val="1"/>
      <w:marLeft w:val="0"/>
      <w:marRight w:val="0"/>
      <w:marTop w:val="0"/>
      <w:marBottom w:val="0"/>
      <w:divBdr>
        <w:top w:val="none" w:sz="0" w:space="0" w:color="auto"/>
        <w:left w:val="none" w:sz="0" w:space="0" w:color="auto"/>
        <w:bottom w:val="none" w:sz="0" w:space="0" w:color="auto"/>
        <w:right w:val="none" w:sz="0" w:space="0" w:color="auto"/>
      </w:divBdr>
    </w:div>
    <w:div w:id="105539898">
      <w:bodyDiv w:val="1"/>
      <w:marLeft w:val="0"/>
      <w:marRight w:val="0"/>
      <w:marTop w:val="0"/>
      <w:marBottom w:val="0"/>
      <w:divBdr>
        <w:top w:val="none" w:sz="0" w:space="0" w:color="auto"/>
        <w:left w:val="none" w:sz="0" w:space="0" w:color="auto"/>
        <w:bottom w:val="none" w:sz="0" w:space="0" w:color="auto"/>
        <w:right w:val="none" w:sz="0" w:space="0" w:color="auto"/>
      </w:divBdr>
    </w:div>
    <w:div w:id="109977514">
      <w:bodyDiv w:val="1"/>
      <w:marLeft w:val="0"/>
      <w:marRight w:val="0"/>
      <w:marTop w:val="0"/>
      <w:marBottom w:val="0"/>
      <w:divBdr>
        <w:top w:val="none" w:sz="0" w:space="0" w:color="auto"/>
        <w:left w:val="none" w:sz="0" w:space="0" w:color="auto"/>
        <w:bottom w:val="none" w:sz="0" w:space="0" w:color="auto"/>
        <w:right w:val="none" w:sz="0" w:space="0" w:color="auto"/>
      </w:divBdr>
    </w:div>
    <w:div w:id="116994234">
      <w:bodyDiv w:val="1"/>
      <w:marLeft w:val="0"/>
      <w:marRight w:val="0"/>
      <w:marTop w:val="0"/>
      <w:marBottom w:val="0"/>
      <w:divBdr>
        <w:top w:val="none" w:sz="0" w:space="0" w:color="auto"/>
        <w:left w:val="none" w:sz="0" w:space="0" w:color="auto"/>
        <w:bottom w:val="none" w:sz="0" w:space="0" w:color="auto"/>
        <w:right w:val="none" w:sz="0" w:space="0" w:color="auto"/>
      </w:divBdr>
    </w:div>
    <w:div w:id="122236563">
      <w:bodyDiv w:val="1"/>
      <w:marLeft w:val="0"/>
      <w:marRight w:val="0"/>
      <w:marTop w:val="0"/>
      <w:marBottom w:val="0"/>
      <w:divBdr>
        <w:top w:val="none" w:sz="0" w:space="0" w:color="auto"/>
        <w:left w:val="none" w:sz="0" w:space="0" w:color="auto"/>
        <w:bottom w:val="none" w:sz="0" w:space="0" w:color="auto"/>
        <w:right w:val="none" w:sz="0" w:space="0" w:color="auto"/>
      </w:divBdr>
    </w:div>
    <w:div w:id="128019852">
      <w:bodyDiv w:val="1"/>
      <w:marLeft w:val="0"/>
      <w:marRight w:val="0"/>
      <w:marTop w:val="0"/>
      <w:marBottom w:val="0"/>
      <w:divBdr>
        <w:top w:val="none" w:sz="0" w:space="0" w:color="auto"/>
        <w:left w:val="none" w:sz="0" w:space="0" w:color="auto"/>
        <w:bottom w:val="none" w:sz="0" w:space="0" w:color="auto"/>
        <w:right w:val="none" w:sz="0" w:space="0" w:color="auto"/>
      </w:divBdr>
    </w:div>
    <w:div w:id="133332671">
      <w:bodyDiv w:val="1"/>
      <w:marLeft w:val="0"/>
      <w:marRight w:val="0"/>
      <w:marTop w:val="0"/>
      <w:marBottom w:val="0"/>
      <w:divBdr>
        <w:top w:val="none" w:sz="0" w:space="0" w:color="auto"/>
        <w:left w:val="none" w:sz="0" w:space="0" w:color="auto"/>
        <w:bottom w:val="none" w:sz="0" w:space="0" w:color="auto"/>
        <w:right w:val="none" w:sz="0" w:space="0" w:color="auto"/>
      </w:divBdr>
    </w:div>
    <w:div w:id="139155475">
      <w:bodyDiv w:val="1"/>
      <w:marLeft w:val="0"/>
      <w:marRight w:val="0"/>
      <w:marTop w:val="0"/>
      <w:marBottom w:val="0"/>
      <w:divBdr>
        <w:top w:val="none" w:sz="0" w:space="0" w:color="auto"/>
        <w:left w:val="none" w:sz="0" w:space="0" w:color="auto"/>
        <w:bottom w:val="none" w:sz="0" w:space="0" w:color="auto"/>
        <w:right w:val="none" w:sz="0" w:space="0" w:color="auto"/>
      </w:divBdr>
    </w:div>
    <w:div w:id="141896239">
      <w:bodyDiv w:val="1"/>
      <w:marLeft w:val="0"/>
      <w:marRight w:val="0"/>
      <w:marTop w:val="0"/>
      <w:marBottom w:val="0"/>
      <w:divBdr>
        <w:top w:val="none" w:sz="0" w:space="0" w:color="auto"/>
        <w:left w:val="none" w:sz="0" w:space="0" w:color="auto"/>
        <w:bottom w:val="none" w:sz="0" w:space="0" w:color="auto"/>
        <w:right w:val="none" w:sz="0" w:space="0" w:color="auto"/>
      </w:divBdr>
    </w:div>
    <w:div w:id="144979238">
      <w:bodyDiv w:val="1"/>
      <w:marLeft w:val="0"/>
      <w:marRight w:val="0"/>
      <w:marTop w:val="0"/>
      <w:marBottom w:val="0"/>
      <w:divBdr>
        <w:top w:val="none" w:sz="0" w:space="0" w:color="auto"/>
        <w:left w:val="none" w:sz="0" w:space="0" w:color="auto"/>
        <w:bottom w:val="none" w:sz="0" w:space="0" w:color="auto"/>
        <w:right w:val="none" w:sz="0" w:space="0" w:color="auto"/>
      </w:divBdr>
    </w:div>
    <w:div w:id="148442371">
      <w:bodyDiv w:val="1"/>
      <w:marLeft w:val="0"/>
      <w:marRight w:val="0"/>
      <w:marTop w:val="0"/>
      <w:marBottom w:val="0"/>
      <w:divBdr>
        <w:top w:val="none" w:sz="0" w:space="0" w:color="auto"/>
        <w:left w:val="none" w:sz="0" w:space="0" w:color="auto"/>
        <w:bottom w:val="none" w:sz="0" w:space="0" w:color="auto"/>
        <w:right w:val="none" w:sz="0" w:space="0" w:color="auto"/>
      </w:divBdr>
    </w:div>
    <w:div w:id="148636722">
      <w:bodyDiv w:val="1"/>
      <w:marLeft w:val="0"/>
      <w:marRight w:val="0"/>
      <w:marTop w:val="0"/>
      <w:marBottom w:val="0"/>
      <w:divBdr>
        <w:top w:val="none" w:sz="0" w:space="0" w:color="auto"/>
        <w:left w:val="none" w:sz="0" w:space="0" w:color="auto"/>
        <w:bottom w:val="none" w:sz="0" w:space="0" w:color="auto"/>
        <w:right w:val="none" w:sz="0" w:space="0" w:color="auto"/>
      </w:divBdr>
    </w:div>
    <w:div w:id="153692394">
      <w:bodyDiv w:val="1"/>
      <w:marLeft w:val="0"/>
      <w:marRight w:val="0"/>
      <w:marTop w:val="0"/>
      <w:marBottom w:val="0"/>
      <w:divBdr>
        <w:top w:val="none" w:sz="0" w:space="0" w:color="auto"/>
        <w:left w:val="none" w:sz="0" w:space="0" w:color="auto"/>
        <w:bottom w:val="none" w:sz="0" w:space="0" w:color="auto"/>
        <w:right w:val="none" w:sz="0" w:space="0" w:color="auto"/>
      </w:divBdr>
    </w:div>
    <w:div w:id="174731821">
      <w:bodyDiv w:val="1"/>
      <w:marLeft w:val="0"/>
      <w:marRight w:val="0"/>
      <w:marTop w:val="0"/>
      <w:marBottom w:val="0"/>
      <w:divBdr>
        <w:top w:val="none" w:sz="0" w:space="0" w:color="auto"/>
        <w:left w:val="none" w:sz="0" w:space="0" w:color="auto"/>
        <w:bottom w:val="none" w:sz="0" w:space="0" w:color="auto"/>
        <w:right w:val="none" w:sz="0" w:space="0" w:color="auto"/>
      </w:divBdr>
    </w:div>
    <w:div w:id="179318114">
      <w:bodyDiv w:val="1"/>
      <w:marLeft w:val="0"/>
      <w:marRight w:val="0"/>
      <w:marTop w:val="0"/>
      <w:marBottom w:val="0"/>
      <w:divBdr>
        <w:top w:val="none" w:sz="0" w:space="0" w:color="auto"/>
        <w:left w:val="none" w:sz="0" w:space="0" w:color="auto"/>
        <w:bottom w:val="none" w:sz="0" w:space="0" w:color="auto"/>
        <w:right w:val="none" w:sz="0" w:space="0" w:color="auto"/>
      </w:divBdr>
    </w:div>
    <w:div w:id="185757409">
      <w:bodyDiv w:val="1"/>
      <w:marLeft w:val="0"/>
      <w:marRight w:val="0"/>
      <w:marTop w:val="0"/>
      <w:marBottom w:val="0"/>
      <w:divBdr>
        <w:top w:val="none" w:sz="0" w:space="0" w:color="auto"/>
        <w:left w:val="none" w:sz="0" w:space="0" w:color="auto"/>
        <w:bottom w:val="none" w:sz="0" w:space="0" w:color="auto"/>
        <w:right w:val="none" w:sz="0" w:space="0" w:color="auto"/>
      </w:divBdr>
    </w:div>
    <w:div w:id="196237921">
      <w:bodyDiv w:val="1"/>
      <w:marLeft w:val="0"/>
      <w:marRight w:val="0"/>
      <w:marTop w:val="0"/>
      <w:marBottom w:val="0"/>
      <w:divBdr>
        <w:top w:val="none" w:sz="0" w:space="0" w:color="auto"/>
        <w:left w:val="none" w:sz="0" w:space="0" w:color="auto"/>
        <w:bottom w:val="none" w:sz="0" w:space="0" w:color="auto"/>
        <w:right w:val="none" w:sz="0" w:space="0" w:color="auto"/>
      </w:divBdr>
    </w:div>
    <w:div w:id="197089911">
      <w:bodyDiv w:val="1"/>
      <w:marLeft w:val="0"/>
      <w:marRight w:val="0"/>
      <w:marTop w:val="0"/>
      <w:marBottom w:val="0"/>
      <w:divBdr>
        <w:top w:val="none" w:sz="0" w:space="0" w:color="auto"/>
        <w:left w:val="none" w:sz="0" w:space="0" w:color="auto"/>
        <w:bottom w:val="none" w:sz="0" w:space="0" w:color="auto"/>
        <w:right w:val="none" w:sz="0" w:space="0" w:color="auto"/>
      </w:divBdr>
    </w:div>
    <w:div w:id="204222091">
      <w:bodyDiv w:val="1"/>
      <w:marLeft w:val="0"/>
      <w:marRight w:val="0"/>
      <w:marTop w:val="0"/>
      <w:marBottom w:val="0"/>
      <w:divBdr>
        <w:top w:val="none" w:sz="0" w:space="0" w:color="auto"/>
        <w:left w:val="none" w:sz="0" w:space="0" w:color="auto"/>
        <w:bottom w:val="none" w:sz="0" w:space="0" w:color="auto"/>
        <w:right w:val="none" w:sz="0" w:space="0" w:color="auto"/>
      </w:divBdr>
    </w:div>
    <w:div w:id="205025480">
      <w:bodyDiv w:val="1"/>
      <w:marLeft w:val="0"/>
      <w:marRight w:val="0"/>
      <w:marTop w:val="0"/>
      <w:marBottom w:val="0"/>
      <w:divBdr>
        <w:top w:val="none" w:sz="0" w:space="0" w:color="auto"/>
        <w:left w:val="none" w:sz="0" w:space="0" w:color="auto"/>
        <w:bottom w:val="none" w:sz="0" w:space="0" w:color="auto"/>
        <w:right w:val="none" w:sz="0" w:space="0" w:color="auto"/>
      </w:divBdr>
    </w:div>
    <w:div w:id="207377961">
      <w:bodyDiv w:val="1"/>
      <w:marLeft w:val="0"/>
      <w:marRight w:val="0"/>
      <w:marTop w:val="0"/>
      <w:marBottom w:val="0"/>
      <w:divBdr>
        <w:top w:val="none" w:sz="0" w:space="0" w:color="auto"/>
        <w:left w:val="none" w:sz="0" w:space="0" w:color="auto"/>
        <w:bottom w:val="none" w:sz="0" w:space="0" w:color="auto"/>
        <w:right w:val="none" w:sz="0" w:space="0" w:color="auto"/>
      </w:divBdr>
    </w:div>
    <w:div w:id="220751664">
      <w:bodyDiv w:val="1"/>
      <w:marLeft w:val="0"/>
      <w:marRight w:val="0"/>
      <w:marTop w:val="0"/>
      <w:marBottom w:val="0"/>
      <w:divBdr>
        <w:top w:val="none" w:sz="0" w:space="0" w:color="auto"/>
        <w:left w:val="none" w:sz="0" w:space="0" w:color="auto"/>
        <w:bottom w:val="none" w:sz="0" w:space="0" w:color="auto"/>
        <w:right w:val="none" w:sz="0" w:space="0" w:color="auto"/>
      </w:divBdr>
    </w:div>
    <w:div w:id="227808382">
      <w:bodyDiv w:val="1"/>
      <w:marLeft w:val="0"/>
      <w:marRight w:val="0"/>
      <w:marTop w:val="0"/>
      <w:marBottom w:val="0"/>
      <w:divBdr>
        <w:top w:val="none" w:sz="0" w:space="0" w:color="auto"/>
        <w:left w:val="none" w:sz="0" w:space="0" w:color="auto"/>
        <w:bottom w:val="none" w:sz="0" w:space="0" w:color="auto"/>
        <w:right w:val="none" w:sz="0" w:space="0" w:color="auto"/>
      </w:divBdr>
    </w:div>
    <w:div w:id="235939666">
      <w:bodyDiv w:val="1"/>
      <w:marLeft w:val="0"/>
      <w:marRight w:val="0"/>
      <w:marTop w:val="0"/>
      <w:marBottom w:val="0"/>
      <w:divBdr>
        <w:top w:val="none" w:sz="0" w:space="0" w:color="auto"/>
        <w:left w:val="none" w:sz="0" w:space="0" w:color="auto"/>
        <w:bottom w:val="none" w:sz="0" w:space="0" w:color="auto"/>
        <w:right w:val="none" w:sz="0" w:space="0" w:color="auto"/>
      </w:divBdr>
    </w:div>
    <w:div w:id="244800892">
      <w:bodyDiv w:val="1"/>
      <w:marLeft w:val="0"/>
      <w:marRight w:val="0"/>
      <w:marTop w:val="0"/>
      <w:marBottom w:val="0"/>
      <w:divBdr>
        <w:top w:val="none" w:sz="0" w:space="0" w:color="auto"/>
        <w:left w:val="none" w:sz="0" w:space="0" w:color="auto"/>
        <w:bottom w:val="none" w:sz="0" w:space="0" w:color="auto"/>
        <w:right w:val="none" w:sz="0" w:space="0" w:color="auto"/>
      </w:divBdr>
    </w:div>
    <w:div w:id="250938838">
      <w:bodyDiv w:val="1"/>
      <w:marLeft w:val="0"/>
      <w:marRight w:val="0"/>
      <w:marTop w:val="0"/>
      <w:marBottom w:val="0"/>
      <w:divBdr>
        <w:top w:val="none" w:sz="0" w:space="0" w:color="auto"/>
        <w:left w:val="none" w:sz="0" w:space="0" w:color="auto"/>
        <w:bottom w:val="none" w:sz="0" w:space="0" w:color="auto"/>
        <w:right w:val="none" w:sz="0" w:space="0" w:color="auto"/>
      </w:divBdr>
    </w:div>
    <w:div w:id="260725688">
      <w:bodyDiv w:val="1"/>
      <w:marLeft w:val="0"/>
      <w:marRight w:val="0"/>
      <w:marTop w:val="0"/>
      <w:marBottom w:val="0"/>
      <w:divBdr>
        <w:top w:val="none" w:sz="0" w:space="0" w:color="auto"/>
        <w:left w:val="none" w:sz="0" w:space="0" w:color="auto"/>
        <w:bottom w:val="none" w:sz="0" w:space="0" w:color="auto"/>
        <w:right w:val="none" w:sz="0" w:space="0" w:color="auto"/>
      </w:divBdr>
    </w:div>
    <w:div w:id="297031055">
      <w:bodyDiv w:val="1"/>
      <w:marLeft w:val="0"/>
      <w:marRight w:val="0"/>
      <w:marTop w:val="0"/>
      <w:marBottom w:val="0"/>
      <w:divBdr>
        <w:top w:val="none" w:sz="0" w:space="0" w:color="auto"/>
        <w:left w:val="none" w:sz="0" w:space="0" w:color="auto"/>
        <w:bottom w:val="none" w:sz="0" w:space="0" w:color="auto"/>
        <w:right w:val="none" w:sz="0" w:space="0" w:color="auto"/>
      </w:divBdr>
    </w:div>
    <w:div w:id="304747250">
      <w:bodyDiv w:val="1"/>
      <w:marLeft w:val="0"/>
      <w:marRight w:val="0"/>
      <w:marTop w:val="0"/>
      <w:marBottom w:val="0"/>
      <w:divBdr>
        <w:top w:val="none" w:sz="0" w:space="0" w:color="auto"/>
        <w:left w:val="none" w:sz="0" w:space="0" w:color="auto"/>
        <w:bottom w:val="none" w:sz="0" w:space="0" w:color="auto"/>
        <w:right w:val="none" w:sz="0" w:space="0" w:color="auto"/>
      </w:divBdr>
    </w:div>
    <w:div w:id="315695480">
      <w:bodyDiv w:val="1"/>
      <w:marLeft w:val="0"/>
      <w:marRight w:val="0"/>
      <w:marTop w:val="0"/>
      <w:marBottom w:val="0"/>
      <w:divBdr>
        <w:top w:val="none" w:sz="0" w:space="0" w:color="auto"/>
        <w:left w:val="none" w:sz="0" w:space="0" w:color="auto"/>
        <w:bottom w:val="none" w:sz="0" w:space="0" w:color="auto"/>
        <w:right w:val="none" w:sz="0" w:space="0" w:color="auto"/>
      </w:divBdr>
    </w:div>
    <w:div w:id="324285333">
      <w:bodyDiv w:val="1"/>
      <w:marLeft w:val="0"/>
      <w:marRight w:val="0"/>
      <w:marTop w:val="0"/>
      <w:marBottom w:val="0"/>
      <w:divBdr>
        <w:top w:val="none" w:sz="0" w:space="0" w:color="auto"/>
        <w:left w:val="none" w:sz="0" w:space="0" w:color="auto"/>
        <w:bottom w:val="none" w:sz="0" w:space="0" w:color="auto"/>
        <w:right w:val="none" w:sz="0" w:space="0" w:color="auto"/>
      </w:divBdr>
    </w:div>
    <w:div w:id="343017778">
      <w:bodyDiv w:val="1"/>
      <w:marLeft w:val="0"/>
      <w:marRight w:val="0"/>
      <w:marTop w:val="0"/>
      <w:marBottom w:val="0"/>
      <w:divBdr>
        <w:top w:val="none" w:sz="0" w:space="0" w:color="auto"/>
        <w:left w:val="none" w:sz="0" w:space="0" w:color="auto"/>
        <w:bottom w:val="none" w:sz="0" w:space="0" w:color="auto"/>
        <w:right w:val="none" w:sz="0" w:space="0" w:color="auto"/>
      </w:divBdr>
    </w:div>
    <w:div w:id="345907695">
      <w:bodyDiv w:val="1"/>
      <w:marLeft w:val="0"/>
      <w:marRight w:val="0"/>
      <w:marTop w:val="0"/>
      <w:marBottom w:val="0"/>
      <w:divBdr>
        <w:top w:val="none" w:sz="0" w:space="0" w:color="auto"/>
        <w:left w:val="none" w:sz="0" w:space="0" w:color="auto"/>
        <w:bottom w:val="none" w:sz="0" w:space="0" w:color="auto"/>
        <w:right w:val="none" w:sz="0" w:space="0" w:color="auto"/>
      </w:divBdr>
    </w:div>
    <w:div w:id="349528657">
      <w:bodyDiv w:val="1"/>
      <w:marLeft w:val="0"/>
      <w:marRight w:val="0"/>
      <w:marTop w:val="0"/>
      <w:marBottom w:val="0"/>
      <w:divBdr>
        <w:top w:val="none" w:sz="0" w:space="0" w:color="auto"/>
        <w:left w:val="none" w:sz="0" w:space="0" w:color="auto"/>
        <w:bottom w:val="none" w:sz="0" w:space="0" w:color="auto"/>
        <w:right w:val="none" w:sz="0" w:space="0" w:color="auto"/>
      </w:divBdr>
    </w:div>
    <w:div w:id="372072170">
      <w:bodyDiv w:val="1"/>
      <w:marLeft w:val="0"/>
      <w:marRight w:val="0"/>
      <w:marTop w:val="0"/>
      <w:marBottom w:val="0"/>
      <w:divBdr>
        <w:top w:val="none" w:sz="0" w:space="0" w:color="auto"/>
        <w:left w:val="none" w:sz="0" w:space="0" w:color="auto"/>
        <w:bottom w:val="none" w:sz="0" w:space="0" w:color="auto"/>
        <w:right w:val="none" w:sz="0" w:space="0" w:color="auto"/>
      </w:divBdr>
    </w:div>
    <w:div w:id="392044306">
      <w:bodyDiv w:val="1"/>
      <w:marLeft w:val="0"/>
      <w:marRight w:val="0"/>
      <w:marTop w:val="0"/>
      <w:marBottom w:val="0"/>
      <w:divBdr>
        <w:top w:val="none" w:sz="0" w:space="0" w:color="auto"/>
        <w:left w:val="none" w:sz="0" w:space="0" w:color="auto"/>
        <w:bottom w:val="none" w:sz="0" w:space="0" w:color="auto"/>
        <w:right w:val="none" w:sz="0" w:space="0" w:color="auto"/>
      </w:divBdr>
    </w:div>
    <w:div w:id="399256513">
      <w:bodyDiv w:val="1"/>
      <w:marLeft w:val="0"/>
      <w:marRight w:val="0"/>
      <w:marTop w:val="0"/>
      <w:marBottom w:val="0"/>
      <w:divBdr>
        <w:top w:val="none" w:sz="0" w:space="0" w:color="auto"/>
        <w:left w:val="none" w:sz="0" w:space="0" w:color="auto"/>
        <w:bottom w:val="none" w:sz="0" w:space="0" w:color="auto"/>
        <w:right w:val="none" w:sz="0" w:space="0" w:color="auto"/>
      </w:divBdr>
    </w:div>
    <w:div w:id="442307241">
      <w:bodyDiv w:val="1"/>
      <w:marLeft w:val="0"/>
      <w:marRight w:val="0"/>
      <w:marTop w:val="0"/>
      <w:marBottom w:val="0"/>
      <w:divBdr>
        <w:top w:val="none" w:sz="0" w:space="0" w:color="auto"/>
        <w:left w:val="none" w:sz="0" w:space="0" w:color="auto"/>
        <w:bottom w:val="none" w:sz="0" w:space="0" w:color="auto"/>
        <w:right w:val="none" w:sz="0" w:space="0" w:color="auto"/>
      </w:divBdr>
    </w:div>
    <w:div w:id="442500293">
      <w:bodyDiv w:val="1"/>
      <w:marLeft w:val="0"/>
      <w:marRight w:val="0"/>
      <w:marTop w:val="0"/>
      <w:marBottom w:val="0"/>
      <w:divBdr>
        <w:top w:val="none" w:sz="0" w:space="0" w:color="auto"/>
        <w:left w:val="none" w:sz="0" w:space="0" w:color="auto"/>
        <w:bottom w:val="none" w:sz="0" w:space="0" w:color="auto"/>
        <w:right w:val="none" w:sz="0" w:space="0" w:color="auto"/>
      </w:divBdr>
    </w:div>
    <w:div w:id="450637494">
      <w:bodyDiv w:val="1"/>
      <w:marLeft w:val="0"/>
      <w:marRight w:val="0"/>
      <w:marTop w:val="0"/>
      <w:marBottom w:val="0"/>
      <w:divBdr>
        <w:top w:val="none" w:sz="0" w:space="0" w:color="auto"/>
        <w:left w:val="none" w:sz="0" w:space="0" w:color="auto"/>
        <w:bottom w:val="none" w:sz="0" w:space="0" w:color="auto"/>
        <w:right w:val="none" w:sz="0" w:space="0" w:color="auto"/>
      </w:divBdr>
    </w:div>
    <w:div w:id="466895712">
      <w:bodyDiv w:val="1"/>
      <w:marLeft w:val="0"/>
      <w:marRight w:val="0"/>
      <w:marTop w:val="0"/>
      <w:marBottom w:val="0"/>
      <w:divBdr>
        <w:top w:val="none" w:sz="0" w:space="0" w:color="auto"/>
        <w:left w:val="none" w:sz="0" w:space="0" w:color="auto"/>
        <w:bottom w:val="none" w:sz="0" w:space="0" w:color="auto"/>
        <w:right w:val="none" w:sz="0" w:space="0" w:color="auto"/>
      </w:divBdr>
    </w:div>
    <w:div w:id="473718253">
      <w:bodyDiv w:val="1"/>
      <w:marLeft w:val="0"/>
      <w:marRight w:val="0"/>
      <w:marTop w:val="0"/>
      <w:marBottom w:val="0"/>
      <w:divBdr>
        <w:top w:val="none" w:sz="0" w:space="0" w:color="auto"/>
        <w:left w:val="none" w:sz="0" w:space="0" w:color="auto"/>
        <w:bottom w:val="none" w:sz="0" w:space="0" w:color="auto"/>
        <w:right w:val="none" w:sz="0" w:space="0" w:color="auto"/>
      </w:divBdr>
    </w:div>
    <w:div w:id="479732728">
      <w:bodyDiv w:val="1"/>
      <w:marLeft w:val="0"/>
      <w:marRight w:val="0"/>
      <w:marTop w:val="0"/>
      <w:marBottom w:val="0"/>
      <w:divBdr>
        <w:top w:val="none" w:sz="0" w:space="0" w:color="auto"/>
        <w:left w:val="none" w:sz="0" w:space="0" w:color="auto"/>
        <w:bottom w:val="none" w:sz="0" w:space="0" w:color="auto"/>
        <w:right w:val="none" w:sz="0" w:space="0" w:color="auto"/>
      </w:divBdr>
    </w:div>
    <w:div w:id="500046224">
      <w:bodyDiv w:val="1"/>
      <w:marLeft w:val="0"/>
      <w:marRight w:val="0"/>
      <w:marTop w:val="0"/>
      <w:marBottom w:val="0"/>
      <w:divBdr>
        <w:top w:val="none" w:sz="0" w:space="0" w:color="auto"/>
        <w:left w:val="none" w:sz="0" w:space="0" w:color="auto"/>
        <w:bottom w:val="none" w:sz="0" w:space="0" w:color="auto"/>
        <w:right w:val="none" w:sz="0" w:space="0" w:color="auto"/>
      </w:divBdr>
    </w:div>
    <w:div w:id="500514033">
      <w:bodyDiv w:val="1"/>
      <w:marLeft w:val="0"/>
      <w:marRight w:val="0"/>
      <w:marTop w:val="0"/>
      <w:marBottom w:val="0"/>
      <w:divBdr>
        <w:top w:val="none" w:sz="0" w:space="0" w:color="auto"/>
        <w:left w:val="none" w:sz="0" w:space="0" w:color="auto"/>
        <w:bottom w:val="none" w:sz="0" w:space="0" w:color="auto"/>
        <w:right w:val="none" w:sz="0" w:space="0" w:color="auto"/>
      </w:divBdr>
    </w:div>
    <w:div w:id="504710467">
      <w:bodyDiv w:val="1"/>
      <w:marLeft w:val="0"/>
      <w:marRight w:val="0"/>
      <w:marTop w:val="0"/>
      <w:marBottom w:val="0"/>
      <w:divBdr>
        <w:top w:val="none" w:sz="0" w:space="0" w:color="auto"/>
        <w:left w:val="none" w:sz="0" w:space="0" w:color="auto"/>
        <w:bottom w:val="none" w:sz="0" w:space="0" w:color="auto"/>
        <w:right w:val="none" w:sz="0" w:space="0" w:color="auto"/>
      </w:divBdr>
    </w:div>
    <w:div w:id="505368488">
      <w:bodyDiv w:val="1"/>
      <w:marLeft w:val="0"/>
      <w:marRight w:val="0"/>
      <w:marTop w:val="0"/>
      <w:marBottom w:val="0"/>
      <w:divBdr>
        <w:top w:val="none" w:sz="0" w:space="0" w:color="auto"/>
        <w:left w:val="none" w:sz="0" w:space="0" w:color="auto"/>
        <w:bottom w:val="none" w:sz="0" w:space="0" w:color="auto"/>
        <w:right w:val="none" w:sz="0" w:space="0" w:color="auto"/>
      </w:divBdr>
    </w:div>
    <w:div w:id="506678141">
      <w:bodyDiv w:val="1"/>
      <w:marLeft w:val="0"/>
      <w:marRight w:val="0"/>
      <w:marTop w:val="0"/>
      <w:marBottom w:val="0"/>
      <w:divBdr>
        <w:top w:val="none" w:sz="0" w:space="0" w:color="auto"/>
        <w:left w:val="none" w:sz="0" w:space="0" w:color="auto"/>
        <w:bottom w:val="none" w:sz="0" w:space="0" w:color="auto"/>
        <w:right w:val="none" w:sz="0" w:space="0" w:color="auto"/>
      </w:divBdr>
    </w:div>
    <w:div w:id="518010719">
      <w:bodyDiv w:val="1"/>
      <w:marLeft w:val="0"/>
      <w:marRight w:val="0"/>
      <w:marTop w:val="0"/>
      <w:marBottom w:val="0"/>
      <w:divBdr>
        <w:top w:val="none" w:sz="0" w:space="0" w:color="auto"/>
        <w:left w:val="none" w:sz="0" w:space="0" w:color="auto"/>
        <w:bottom w:val="none" w:sz="0" w:space="0" w:color="auto"/>
        <w:right w:val="none" w:sz="0" w:space="0" w:color="auto"/>
      </w:divBdr>
    </w:div>
    <w:div w:id="552624591">
      <w:bodyDiv w:val="1"/>
      <w:marLeft w:val="0"/>
      <w:marRight w:val="0"/>
      <w:marTop w:val="0"/>
      <w:marBottom w:val="0"/>
      <w:divBdr>
        <w:top w:val="none" w:sz="0" w:space="0" w:color="auto"/>
        <w:left w:val="none" w:sz="0" w:space="0" w:color="auto"/>
        <w:bottom w:val="none" w:sz="0" w:space="0" w:color="auto"/>
        <w:right w:val="none" w:sz="0" w:space="0" w:color="auto"/>
      </w:divBdr>
    </w:div>
    <w:div w:id="560092272">
      <w:bodyDiv w:val="1"/>
      <w:marLeft w:val="0"/>
      <w:marRight w:val="0"/>
      <w:marTop w:val="0"/>
      <w:marBottom w:val="0"/>
      <w:divBdr>
        <w:top w:val="none" w:sz="0" w:space="0" w:color="auto"/>
        <w:left w:val="none" w:sz="0" w:space="0" w:color="auto"/>
        <w:bottom w:val="none" w:sz="0" w:space="0" w:color="auto"/>
        <w:right w:val="none" w:sz="0" w:space="0" w:color="auto"/>
      </w:divBdr>
    </w:div>
    <w:div w:id="562525867">
      <w:bodyDiv w:val="1"/>
      <w:marLeft w:val="0"/>
      <w:marRight w:val="0"/>
      <w:marTop w:val="0"/>
      <w:marBottom w:val="0"/>
      <w:divBdr>
        <w:top w:val="none" w:sz="0" w:space="0" w:color="auto"/>
        <w:left w:val="none" w:sz="0" w:space="0" w:color="auto"/>
        <w:bottom w:val="none" w:sz="0" w:space="0" w:color="auto"/>
        <w:right w:val="none" w:sz="0" w:space="0" w:color="auto"/>
      </w:divBdr>
    </w:div>
    <w:div w:id="563880715">
      <w:bodyDiv w:val="1"/>
      <w:marLeft w:val="0"/>
      <w:marRight w:val="0"/>
      <w:marTop w:val="0"/>
      <w:marBottom w:val="0"/>
      <w:divBdr>
        <w:top w:val="none" w:sz="0" w:space="0" w:color="auto"/>
        <w:left w:val="none" w:sz="0" w:space="0" w:color="auto"/>
        <w:bottom w:val="none" w:sz="0" w:space="0" w:color="auto"/>
        <w:right w:val="none" w:sz="0" w:space="0" w:color="auto"/>
      </w:divBdr>
    </w:div>
    <w:div w:id="568157627">
      <w:bodyDiv w:val="1"/>
      <w:marLeft w:val="0"/>
      <w:marRight w:val="0"/>
      <w:marTop w:val="0"/>
      <w:marBottom w:val="0"/>
      <w:divBdr>
        <w:top w:val="none" w:sz="0" w:space="0" w:color="auto"/>
        <w:left w:val="none" w:sz="0" w:space="0" w:color="auto"/>
        <w:bottom w:val="none" w:sz="0" w:space="0" w:color="auto"/>
        <w:right w:val="none" w:sz="0" w:space="0" w:color="auto"/>
      </w:divBdr>
    </w:div>
    <w:div w:id="581180744">
      <w:bodyDiv w:val="1"/>
      <w:marLeft w:val="0"/>
      <w:marRight w:val="0"/>
      <w:marTop w:val="0"/>
      <w:marBottom w:val="0"/>
      <w:divBdr>
        <w:top w:val="none" w:sz="0" w:space="0" w:color="auto"/>
        <w:left w:val="none" w:sz="0" w:space="0" w:color="auto"/>
        <w:bottom w:val="none" w:sz="0" w:space="0" w:color="auto"/>
        <w:right w:val="none" w:sz="0" w:space="0" w:color="auto"/>
      </w:divBdr>
    </w:div>
    <w:div w:id="585388144">
      <w:bodyDiv w:val="1"/>
      <w:marLeft w:val="0"/>
      <w:marRight w:val="0"/>
      <w:marTop w:val="0"/>
      <w:marBottom w:val="0"/>
      <w:divBdr>
        <w:top w:val="none" w:sz="0" w:space="0" w:color="auto"/>
        <w:left w:val="none" w:sz="0" w:space="0" w:color="auto"/>
        <w:bottom w:val="none" w:sz="0" w:space="0" w:color="auto"/>
        <w:right w:val="none" w:sz="0" w:space="0" w:color="auto"/>
      </w:divBdr>
    </w:div>
    <w:div w:id="593245684">
      <w:bodyDiv w:val="1"/>
      <w:marLeft w:val="0"/>
      <w:marRight w:val="0"/>
      <w:marTop w:val="0"/>
      <w:marBottom w:val="0"/>
      <w:divBdr>
        <w:top w:val="none" w:sz="0" w:space="0" w:color="auto"/>
        <w:left w:val="none" w:sz="0" w:space="0" w:color="auto"/>
        <w:bottom w:val="none" w:sz="0" w:space="0" w:color="auto"/>
        <w:right w:val="none" w:sz="0" w:space="0" w:color="auto"/>
      </w:divBdr>
    </w:div>
    <w:div w:id="605649312">
      <w:bodyDiv w:val="1"/>
      <w:marLeft w:val="0"/>
      <w:marRight w:val="0"/>
      <w:marTop w:val="0"/>
      <w:marBottom w:val="0"/>
      <w:divBdr>
        <w:top w:val="none" w:sz="0" w:space="0" w:color="auto"/>
        <w:left w:val="none" w:sz="0" w:space="0" w:color="auto"/>
        <w:bottom w:val="none" w:sz="0" w:space="0" w:color="auto"/>
        <w:right w:val="none" w:sz="0" w:space="0" w:color="auto"/>
      </w:divBdr>
    </w:div>
    <w:div w:id="615256978">
      <w:bodyDiv w:val="1"/>
      <w:marLeft w:val="0"/>
      <w:marRight w:val="0"/>
      <w:marTop w:val="0"/>
      <w:marBottom w:val="0"/>
      <w:divBdr>
        <w:top w:val="none" w:sz="0" w:space="0" w:color="auto"/>
        <w:left w:val="none" w:sz="0" w:space="0" w:color="auto"/>
        <w:bottom w:val="none" w:sz="0" w:space="0" w:color="auto"/>
        <w:right w:val="none" w:sz="0" w:space="0" w:color="auto"/>
      </w:divBdr>
    </w:div>
    <w:div w:id="636842331">
      <w:bodyDiv w:val="1"/>
      <w:marLeft w:val="0"/>
      <w:marRight w:val="0"/>
      <w:marTop w:val="0"/>
      <w:marBottom w:val="0"/>
      <w:divBdr>
        <w:top w:val="none" w:sz="0" w:space="0" w:color="auto"/>
        <w:left w:val="none" w:sz="0" w:space="0" w:color="auto"/>
        <w:bottom w:val="none" w:sz="0" w:space="0" w:color="auto"/>
        <w:right w:val="none" w:sz="0" w:space="0" w:color="auto"/>
      </w:divBdr>
    </w:div>
    <w:div w:id="647321828">
      <w:bodyDiv w:val="1"/>
      <w:marLeft w:val="0"/>
      <w:marRight w:val="0"/>
      <w:marTop w:val="0"/>
      <w:marBottom w:val="0"/>
      <w:divBdr>
        <w:top w:val="none" w:sz="0" w:space="0" w:color="auto"/>
        <w:left w:val="none" w:sz="0" w:space="0" w:color="auto"/>
        <w:bottom w:val="none" w:sz="0" w:space="0" w:color="auto"/>
        <w:right w:val="none" w:sz="0" w:space="0" w:color="auto"/>
      </w:divBdr>
    </w:div>
    <w:div w:id="670446758">
      <w:bodyDiv w:val="1"/>
      <w:marLeft w:val="0"/>
      <w:marRight w:val="0"/>
      <w:marTop w:val="0"/>
      <w:marBottom w:val="0"/>
      <w:divBdr>
        <w:top w:val="none" w:sz="0" w:space="0" w:color="auto"/>
        <w:left w:val="none" w:sz="0" w:space="0" w:color="auto"/>
        <w:bottom w:val="none" w:sz="0" w:space="0" w:color="auto"/>
        <w:right w:val="none" w:sz="0" w:space="0" w:color="auto"/>
      </w:divBdr>
    </w:div>
    <w:div w:id="671907259">
      <w:bodyDiv w:val="1"/>
      <w:marLeft w:val="0"/>
      <w:marRight w:val="0"/>
      <w:marTop w:val="0"/>
      <w:marBottom w:val="0"/>
      <w:divBdr>
        <w:top w:val="none" w:sz="0" w:space="0" w:color="auto"/>
        <w:left w:val="none" w:sz="0" w:space="0" w:color="auto"/>
        <w:bottom w:val="none" w:sz="0" w:space="0" w:color="auto"/>
        <w:right w:val="none" w:sz="0" w:space="0" w:color="auto"/>
      </w:divBdr>
    </w:div>
    <w:div w:id="672033146">
      <w:bodyDiv w:val="1"/>
      <w:marLeft w:val="0"/>
      <w:marRight w:val="0"/>
      <w:marTop w:val="0"/>
      <w:marBottom w:val="0"/>
      <w:divBdr>
        <w:top w:val="none" w:sz="0" w:space="0" w:color="auto"/>
        <w:left w:val="none" w:sz="0" w:space="0" w:color="auto"/>
        <w:bottom w:val="none" w:sz="0" w:space="0" w:color="auto"/>
        <w:right w:val="none" w:sz="0" w:space="0" w:color="auto"/>
      </w:divBdr>
    </w:div>
    <w:div w:id="684357891">
      <w:bodyDiv w:val="1"/>
      <w:marLeft w:val="0"/>
      <w:marRight w:val="0"/>
      <w:marTop w:val="0"/>
      <w:marBottom w:val="0"/>
      <w:divBdr>
        <w:top w:val="none" w:sz="0" w:space="0" w:color="auto"/>
        <w:left w:val="none" w:sz="0" w:space="0" w:color="auto"/>
        <w:bottom w:val="none" w:sz="0" w:space="0" w:color="auto"/>
        <w:right w:val="none" w:sz="0" w:space="0" w:color="auto"/>
      </w:divBdr>
    </w:div>
    <w:div w:id="688876195">
      <w:bodyDiv w:val="1"/>
      <w:marLeft w:val="0"/>
      <w:marRight w:val="0"/>
      <w:marTop w:val="0"/>
      <w:marBottom w:val="0"/>
      <w:divBdr>
        <w:top w:val="none" w:sz="0" w:space="0" w:color="auto"/>
        <w:left w:val="none" w:sz="0" w:space="0" w:color="auto"/>
        <w:bottom w:val="none" w:sz="0" w:space="0" w:color="auto"/>
        <w:right w:val="none" w:sz="0" w:space="0" w:color="auto"/>
      </w:divBdr>
    </w:div>
    <w:div w:id="693383791">
      <w:bodyDiv w:val="1"/>
      <w:marLeft w:val="0"/>
      <w:marRight w:val="0"/>
      <w:marTop w:val="0"/>
      <w:marBottom w:val="0"/>
      <w:divBdr>
        <w:top w:val="none" w:sz="0" w:space="0" w:color="auto"/>
        <w:left w:val="none" w:sz="0" w:space="0" w:color="auto"/>
        <w:bottom w:val="none" w:sz="0" w:space="0" w:color="auto"/>
        <w:right w:val="none" w:sz="0" w:space="0" w:color="auto"/>
      </w:divBdr>
    </w:div>
    <w:div w:id="717126547">
      <w:bodyDiv w:val="1"/>
      <w:marLeft w:val="0"/>
      <w:marRight w:val="0"/>
      <w:marTop w:val="0"/>
      <w:marBottom w:val="0"/>
      <w:divBdr>
        <w:top w:val="none" w:sz="0" w:space="0" w:color="auto"/>
        <w:left w:val="none" w:sz="0" w:space="0" w:color="auto"/>
        <w:bottom w:val="none" w:sz="0" w:space="0" w:color="auto"/>
        <w:right w:val="none" w:sz="0" w:space="0" w:color="auto"/>
      </w:divBdr>
    </w:div>
    <w:div w:id="730883013">
      <w:bodyDiv w:val="1"/>
      <w:marLeft w:val="0"/>
      <w:marRight w:val="0"/>
      <w:marTop w:val="0"/>
      <w:marBottom w:val="0"/>
      <w:divBdr>
        <w:top w:val="none" w:sz="0" w:space="0" w:color="auto"/>
        <w:left w:val="none" w:sz="0" w:space="0" w:color="auto"/>
        <w:bottom w:val="none" w:sz="0" w:space="0" w:color="auto"/>
        <w:right w:val="none" w:sz="0" w:space="0" w:color="auto"/>
      </w:divBdr>
    </w:div>
    <w:div w:id="735392544">
      <w:bodyDiv w:val="1"/>
      <w:marLeft w:val="0"/>
      <w:marRight w:val="0"/>
      <w:marTop w:val="0"/>
      <w:marBottom w:val="0"/>
      <w:divBdr>
        <w:top w:val="none" w:sz="0" w:space="0" w:color="auto"/>
        <w:left w:val="none" w:sz="0" w:space="0" w:color="auto"/>
        <w:bottom w:val="none" w:sz="0" w:space="0" w:color="auto"/>
        <w:right w:val="none" w:sz="0" w:space="0" w:color="auto"/>
      </w:divBdr>
    </w:div>
    <w:div w:id="738989501">
      <w:bodyDiv w:val="1"/>
      <w:marLeft w:val="0"/>
      <w:marRight w:val="0"/>
      <w:marTop w:val="0"/>
      <w:marBottom w:val="0"/>
      <w:divBdr>
        <w:top w:val="none" w:sz="0" w:space="0" w:color="auto"/>
        <w:left w:val="none" w:sz="0" w:space="0" w:color="auto"/>
        <w:bottom w:val="none" w:sz="0" w:space="0" w:color="auto"/>
        <w:right w:val="none" w:sz="0" w:space="0" w:color="auto"/>
      </w:divBdr>
    </w:div>
    <w:div w:id="758329306">
      <w:bodyDiv w:val="1"/>
      <w:marLeft w:val="0"/>
      <w:marRight w:val="0"/>
      <w:marTop w:val="0"/>
      <w:marBottom w:val="0"/>
      <w:divBdr>
        <w:top w:val="none" w:sz="0" w:space="0" w:color="auto"/>
        <w:left w:val="none" w:sz="0" w:space="0" w:color="auto"/>
        <w:bottom w:val="none" w:sz="0" w:space="0" w:color="auto"/>
        <w:right w:val="none" w:sz="0" w:space="0" w:color="auto"/>
      </w:divBdr>
    </w:div>
    <w:div w:id="761806199">
      <w:bodyDiv w:val="1"/>
      <w:marLeft w:val="0"/>
      <w:marRight w:val="0"/>
      <w:marTop w:val="0"/>
      <w:marBottom w:val="0"/>
      <w:divBdr>
        <w:top w:val="none" w:sz="0" w:space="0" w:color="auto"/>
        <w:left w:val="none" w:sz="0" w:space="0" w:color="auto"/>
        <w:bottom w:val="none" w:sz="0" w:space="0" w:color="auto"/>
        <w:right w:val="none" w:sz="0" w:space="0" w:color="auto"/>
      </w:divBdr>
    </w:div>
    <w:div w:id="764493794">
      <w:bodyDiv w:val="1"/>
      <w:marLeft w:val="0"/>
      <w:marRight w:val="0"/>
      <w:marTop w:val="0"/>
      <w:marBottom w:val="0"/>
      <w:divBdr>
        <w:top w:val="none" w:sz="0" w:space="0" w:color="auto"/>
        <w:left w:val="none" w:sz="0" w:space="0" w:color="auto"/>
        <w:bottom w:val="none" w:sz="0" w:space="0" w:color="auto"/>
        <w:right w:val="none" w:sz="0" w:space="0" w:color="auto"/>
      </w:divBdr>
    </w:div>
    <w:div w:id="787773718">
      <w:bodyDiv w:val="1"/>
      <w:marLeft w:val="0"/>
      <w:marRight w:val="0"/>
      <w:marTop w:val="0"/>
      <w:marBottom w:val="0"/>
      <w:divBdr>
        <w:top w:val="none" w:sz="0" w:space="0" w:color="auto"/>
        <w:left w:val="none" w:sz="0" w:space="0" w:color="auto"/>
        <w:bottom w:val="none" w:sz="0" w:space="0" w:color="auto"/>
        <w:right w:val="none" w:sz="0" w:space="0" w:color="auto"/>
      </w:divBdr>
    </w:div>
    <w:div w:id="807671678">
      <w:bodyDiv w:val="1"/>
      <w:marLeft w:val="0"/>
      <w:marRight w:val="0"/>
      <w:marTop w:val="0"/>
      <w:marBottom w:val="0"/>
      <w:divBdr>
        <w:top w:val="none" w:sz="0" w:space="0" w:color="auto"/>
        <w:left w:val="none" w:sz="0" w:space="0" w:color="auto"/>
        <w:bottom w:val="none" w:sz="0" w:space="0" w:color="auto"/>
        <w:right w:val="none" w:sz="0" w:space="0" w:color="auto"/>
      </w:divBdr>
    </w:div>
    <w:div w:id="808475506">
      <w:bodyDiv w:val="1"/>
      <w:marLeft w:val="0"/>
      <w:marRight w:val="0"/>
      <w:marTop w:val="0"/>
      <w:marBottom w:val="0"/>
      <w:divBdr>
        <w:top w:val="none" w:sz="0" w:space="0" w:color="auto"/>
        <w:left w:val="none" w:sz="0" w:space="0" w:color="auto"/>
        <w:bottom w:val="none" w:sz="0" w:space="0" w:color="auto"/>
        <w:right w:val="none" w:sz="0" w:space="0" w:color="auto"/>
      </w:divBdr>
    </w:div>
    <w:div w:id="818155893">
      <w:bodyDiv w:val="1"/>
      <w:marLeft w:val="0"/>
      <w:marRight w:val="0"/>
      <w:marTop w:val="0"/>
      <w:marBottom w:val="0"/>
      <w:divBdr>
        <w:top w:val="none" w:sz="0" w:space="0" w:color="auto"/>
        <w:left w:val="none" w:sz="0" w:space="0" w:color="auto"/>
        <w:bottom w:val="none" w:sz="0" w:space="0" w:color="auto"/>
        <w:right w:val="none" w:sz="0" w:space="0" w:color="auto"/>
      </w:divBdr>
    </w:div>
    <w:div w:id="819419440">
      <w:bodyDiv w:val="1"/>
      <w:marLeft w:val="0"/>
      <w:marRight w:val="0"/>
      <w:marTop w:val="0"/>
      <w:marBottom w:val="0"/>
      <w:divBdr>
        <w:top w:val="none" w:sz="0" w:space="0" w:color="auto"/>
        <w:left w:val="none" w:sz="0" w:space="0" w:color="auto"/>
        <w:bottom w:val="none" w:sz="0" w:space="0" w:color="auto"/>
        <w:right w:val="none" w:sz="0" w:space="0" w:color="auto"/>
      </w:divBdr>
    </w:div>
    <w:div w:id="833567485">
      <w:bodyDiv w:val="1"/>
      <w:marLeft w:val="0"/>
      <w:marRight w:val="0"/>
      <w:marTop w:val="0"/>
      <w:marBottom w:val="0"/>
      <w:divBdr>
        <w:top w:val="none" w:sz="0" w:space="0" w:color="auto"/>
        <w:left w:val="none" w:sz="0" w:space="0" w:color="auto"/>
        <w:bottom w:val="none" w:sz="0" w:space="0" w:color="auto"/>
        <w:right w:val="none" w:sz="0" w:space="0" w:color="auto"/>
      </w:divBdr>
    </w:div>
    <w:div w:id="842822735">
      <w:bodyDiv w:val="1"/>
      <w:marLeft w:val="0"/>
      <w:marRight w:val="0"/>
      <w:marTop w:val="0"/>
      <w:marBottom w:val="0"/>
      <w:divBdr>
        <w:top w:val="none" w:sz="0" w:space="0" w:color="auto"/>
        <w:left w:val="none" w:sz="0" w:space="0" w:color="auto"/>
        <w:bottom w:val="none" w:sz="0" w:space="0" w:color="auto"/>
        <w:right w:val="none" w:sz="0" w:space="0" w:color="auto"/>
      </w:divBdr>
    </w:div>
    <w:div w:id="846753741">
      <w:bodyDiv w:val="1"/>
      <w:marLeft w:val="0"/>
      <w:marRight w:val="0"/>
      <w:marTop w:val="0"/>
      <w:marBottom w:val="0"/>
      <w:divBdr>
        <w:top w:val="none" w:sz="0" w:space="0" w:color="auto"/>
        <w:left w:val="none" w:sz="0" w:space="0" w:color="auto"/>
        <w:bottom w:val="none" w:sz="0" w:space="0" w:color="auto"/>
        <w:right w:val="none" w:sz="0" w:space="0" w:color="auto"/>
      </w:divBdr>
    </w:div>
    <w:div w:id="848257358">
      <w:bodyDiv w:val="1"/>
      <w:marLeft w:val="0"/>
      <w:marRight w:val="0"/>
      <w:marTop w:val="0"/>
      <w:marBottom w:val="0"/>
      <w:divBdr>
        <w:top w:val="none" w:sz="0" w:space="0" w:color="auto"/>
        <w:left w:val="none" w:sz="0" w:space="0" w:color="auto"/>
        <w:bottom w:val="none" w:sz="0" w:space="0" w:color="auto"/>
        <w:right w:val="none" w:sz="0" w:space="0" w:color="auto"/>
      </w:divBdr>
    </w:div>
    <w:div w:id="851652431">
      <w:bodyDiv w:val="1"/>
      <w:marLeft w:val="0"/>
      <w:marRight w:val="0"/>
      <w:marTop w:val="0"/>
      <w:marBottom w:val="0"/>
      <w:divBdr>
        <w:top w:val="none" w:sz="0" w:space="0" w:color="auto"/>
        <w:left w:val="none" w:sz="0" w:space="0" w:color="auto"/>
        <w:bottom w:val="none" w:sz="0" w:space="0" w:color="auto"/>
        <w:right w:val="none" w:sz="0" w:space="0" w:color="auto"/>
      </w:divBdr>
    </w:div>
    <w:div w:id="854614963">
      <w:bodyDiv w:val="1"/>
      <w:marLeft w:val="0"/>
      <w:marRight w:val="0"/>
      <w:marTop w:val="0"/>
      <w:marBottom w:val="0"/>
      <w:divBdr>
        <w:top w:val="none" w:sz="0" w:space="0" w:color="auto"/>
        <w:left w:val="none" w:sz="0" w:space="0" w:color="auto"/>
        <w:bottom w:val="none" w:sz="0" w:space="0" w:color="auto"/>
        <w:right w:val="none" w:sz="0" w:space="0" w:color="auto"/>
      </w:divBdr>
    </w:div>
    <w:div w:id="856850351">
      <w:bodyDiv w:val="1"/>
      <w:marLeft w:val="0"/>
      <w:marRight w:val="0"/>
      <w:marTop w:val="0"/>
      <w:marBottom w:val="0"/>
      <w:divBdr>
        <w:top w:val="none" w:sz="0" w:space="0" w:color="auto"/>
        <w:left w:val="none" w:sz="0" w:space="0" w:color="auto"/>
        <w:bottom w:val="none" w:sz="0" w:space="0" w:color="auto"/>
        <w:right w:val="none" w:sz="0" w:space="0" w:color="auto"/>
      </w:divBdr>
    </w:div>
    <w:div w:id="863250041">
      <w:bodyDiv w:val="1"/>
      <w:marLeft w:val="0"/>
      <w:marRight w:val="0"/>
      <w:marTop w:val="0"/>
      <w:marBottom w:val="0"/>
      <w:divBdr>
        <w:top w:val="none" w:sz="0" w:space="0" w:color="auto"/>
        <w:left w:val="none" w:sz="0" w:space="0" w:color="auto"/>
        <w:bottom w:val="none" w:sz="0" w:space="0" w:color="auto"/>
        <w:right w:val="none" w:sz="0" w:space="0" w:color="auto"/>
      </w:divBdr>
    </w:div>
    <w:div w:id="867521291">
      <w:bodyDiv w:val="1"/>
      <w:marLeft w:val="0"/>
      <w:marRight w:val="0"/>
      <w:marTop w:val="0"/>
      <w:marBottom w:val="0"/>
      <w:divBdr>
        <w:top w:val="none" w:sz="0" w:space="0" w:color="auto"/>
        <w:left w:val="none" w:sz="0" w:space="0" w:color="auto"/>
        <w:bottom w:val="none" w:sz="0" w:space="0" w:color="auto"/>
        <w:right w:val="none" w:sz="0" w:space="0" w:color="auto"/>
      </w:divBdr>
    </w:div>
    <w:div w:id="871577689">
      <w:bodyDiv w:val="1"/>
      <w:marLeft w:val="0"/>
      <w:marRight w:val="0"/>
      <w:marTop w:val="0"/>
      <w:marBottom w:val="0"/>
      <w:divBdr>
        <w:top w:val="none" w:sz="0" w:space="0" w:color="auto"/>
        <w:left w:val="none" w:sz="0" w:space="0" w:color="auto"/>
        <w:bottom w:val="none" w:sz="0" w:space="0" w:color="auto"/>
        <w:right w:val="none" w:sz="0" w:space="0" w:color="auto"/>
      </w:divBdr>
    </w:div>
    <w:div w:id="876046972">
      <w:bodyDiv w:val="1"/>
      <w:marLeft w:val="0"/>
      <w:marRight w:val="0"/>
      <w:marTop w:val="0"/>
      <w:marBottom w:val="0"/>
      <w:divBdr>
        <w:top w:val="none" w:sz="0" w:space="0" w:color="auto"/>
        <w:left w:val="none" w:sz="0" w:space="0" w:color="auto"/>
        <w:bottom w:val="none" w:sz="0" w:space="0" w:color="auto"/>
        <w:right w:val="none" w:sz="0" w:space="0" w:color="auto"/>
      </w:divBdr>
    </w:div>
    <w:div w:id="876622513">
      <w:bodyDiv w:val="1"/>
      <w:marLeft w:val="0"/>
      <w:marRight w:val="0"/>
      <w:marTop w:val="0"/>
      <w:marBottom w:val="0"/>
      <w:divBdr>
        <w:top w:val="none" w:sz="0" w:space="0" w:color="auto"/>
        <w:left w:val="none" w:sz="0" w:space="0" w:color="auto"/>
        <w:bottom w:val="none" w:sz="0" w:space="0" w:color="auto"/>
        <w:right w:val="none" w:sz="0" w:space="0" w:color="auto"/>
      </w:divBdr>
    </w:div>
    <w:div w:id="890505391">
      <w:bodyDiv w:val="1"/>
      <w:marLeft w:val="0"/>
      <w:marRight w:val="0"/>
      <w:marTop w:val="0"/>
      <w:marBottom w:val="0"/>
      <w:divBdr>
        <w:top w:val="none" w:sz="0" w:space="0" w:color="auto"/>
        <w:left w:val="none" w:sz="0" w:space="0" w:color="auto"/>
        <w:bottom w:val="none" w:sz="0" w:space="0" w:color="auto"/>
        <w:right w:val="none" w:sz="0" w:space="0" w:color="auto"/>
      </w:divBdr>
    </w:div>
    <w:div w:id="898446131">
      <w:bodyDiv w:val="1"/>
      <w:marLeft w:val="0"/>
      <w:marRight w:val="0"/>
      <w:marTop w:val="0"/>
      <w:marBottom w:val="0"/>
      <w:divBdr>
        <w:top w:val="none" w:sz="0" w:space="0" w:color="auto"/>
        <w:left w:val="none" w:sz="0" w:space="0" w:color="auto"/>
        <w:bottom w:val="none" w:sz="0" w:space="0" w:color="auto"/>
        <w:right w:val="none" w:sz="0" w:space="0" w:color="auto"/>
      </w:divBdr>
    </w:div>
    <w:div w:id="912661029">
      <w:bodyDiv w:val="1"/>
      <w:marLeft w:val="0"/>
      <w:marRight w:val="0"/>
      <w:marTop w:val="0"/>
      <w:marBottom w:val="0"/>
      <w:divBdr>
        <w:top w:val="none" w:sz="0" w:space="0" w:color="auto"/>
        <w:left w:val="none" w:sz="0" w:space="0" w:color="auto"/>
        <w:bottom w:val="none" w:sz="0" w:space="0" w:color="auto"/>
        <w:right w:val="none" w:sz="0" w:space="0" w:color="auto"/>
      </w:divBdr>
    </w:div>
    <w:div w:id="939727490">
      <w:bodyDiv w:val="1"/>
      <w:marLeft w:val="0"/>
      <w:marRight w:val="0"/>
      <w:marTop w:val="0"/>
      <w:marBottom w:val="0"/>
      <w:divBdr>
        <w:top w:val="none" w:sz="0" w:space="0" w:color="auto"/>
        <w:left w:val="none" w:sz="0" w:space="0" w:color="auto"/>
        <w:bottom w:val="none" w:sz="0" w:space="0" w:color="auto"/>
        <w:right w:val="none" w:sz="0" w:space="0" w:color="auto"/>
      </w:divBdr>
    </w:div>
    <w:div w:id="957224940">
      <w:bodyDiv w:val="1"/>
      <w:marLeft w:val="0"/>
      <w:marRight w:val="0"/>
      <w:marTop w:val="0"/>
      <w:marBottom w:val="0"/>
      <w:divBdr>
        <w:top w:val="none" w:sz="0" w:space="0" w:color="auto"/>
        <w:left w:val="none" w:sz="0" w:space="0" w:color="auto"/>
        <w:bottom w:val="none" w:sz="0" w:space="0" w:color="auto"/>
        <w:right w:val="none" w:sz="0" w:space="0" w:color="auto"/>
      </w:divBdr>
    </w:div>
    <w:div w:id="1001273354">
      <w:bodyDiv w:val="1"/>
      <w:marLeft w:val="0"/>
      <w:marRight w:val="0"/>
      <w:marTop w:val="0"/>
      <w:marBottom w:val="0"/>
      <w:divBdr>
        <w:top w:val="none" w:sz="0" w:space="0" w:color="auto"/>
        <w:left w:val="none" w:sz="0" w:space="0" w:color="auto"/>
        <w:bottom w:val="none" w:sz="0" w:space="0" w:color="auto"/>
        <w:right w:val="none" w:sz="0" w:space="0" w:color="auto"/>
      </w:divBdr>
    </w:div>
    <w:div w:id="1031957231">
      <w:bodyDiv w:val="1"/>
      <w:marLeft w:val="0"/>
      <w:marRight w:val="0"/>
      <w:marTop w:val="0"/>
      <w:marBottom w:val="0"/>
      <w:divBdr>
        <w:top w:val="none" w:sz="0" w:space="0" w:color="auto"/>
        <w:left w:val="none" w:sz="0" w:space="0" w:color="auto"/>
        <w:bottom w:val="none" w:sz="0" w:space="0" w:color="auto"/>
        <w:right w:val="none" w:sz="0" w:space="0" w:color="auto"/>
      </w:divBdr>
    </w:div>
    <w:div w:id="1032344708">
      <w:bodyDiv w:val="1"/>
      <w:marLeft w:val="0"/>
      <w:marRight w:val="0"/>
      <w:marTop w:val="0"/>
      <w:marBottom w:val="0"/>
      <w:divBdr>
        <w:top w:val="none" w:sz="0" w:space="0" w:color="auto"/>
        <w:left w:val="none" w:sz="0" w:space="0" w:color="auto"/>
        <w:bottom w:val="none" w:sz="0" w:space="0" w:color="auto"/>
        <w:right w:val="none" w:sz="0" w:space="0" w:color="auto"/>
      </w:divBdr>
    </w:div>
    <w:div w:id="1043749420">
      <w:bodyDiv w:val="1"/>
      <w:marLeft w:val="0"/>
      <w:marRight w:val="0"/>
      <w:marTop w:val="0"/>
      <w:marBottom w:val="0"/>
      <w:divBdr>
        <w:top w:val="none" w:sz="0" w:space="0" w:color="auto"/>
        <w:left w:val="none" w:sz="0" w:space="0" w:color="auto"/>
        <w:bottom w:val="none" w:sz="0" w:space="0" w:color="auto"/>
        <w:right w:val="none" w:sz="0" w:space="0" w:color="auto"/>
      </w:divBdr>
    </w:div>
    <w:div w:id="1044912051">
      <w:bodyDiv w:val="1"/>
      <w:marLeft w:val="0"/>
      <w:marRight w:val="0"/>
      <w:marTop w:val="0"/>
      <w:marBottom w:val="0"/>
      <w:divBdr>
        <w:top w:val="none" w:sz="0" w:space="0" w:color="auto"/>
        <w:left w:val="none" w:sz="0" w:space="0" w:color="auto"/>
        <w:bottom w:val="none" w:sz="0" w:space="0" w:color="auto"/>
        <w:right w:val="none" w:sz="0" w:space="0" w:color="auto"/>
      </w:divBdr>
    </w:div>
    <w:div w:id="1054084307">
      <w:bodyDiv w:val="1"/>
      <w:marLeft w:val="0"/>
      <w:marRight w:val="0"/>
      <w:marTop w:val="0"/>
      <w:marBottom w:val="0"/>
      <w:divBdr>
        <w:top w:val="none" w:sz="0" w:space="0" w:color="auto"/>
        <w:left w:val="none" w:sz="0" w:space="0" w:color="auto"/>
        <w:bottom w:val="none" w:sz="0" w:space="0" w:color="auto"/>
        <w:right w:val="none" w:sz="0" w:space="0" w:color="auto"/>
      </w:divBdr>
    </w:div>
    <w:div w:id="1054237957">
      <w:bodyDiv w:val="1"/>
      <w:marLeft w:val="0"/>
      <w:marRight w:val="0"/>
      <w:marTop w:val="0"/>
      <w:marBottom w:val="0"/>
      <w:divBdr>
        <w:top w:val="none" w:sz="0" w:space="0" w:color="auto"/>
        <w:left w:val="none" w:sz="0" w:space="0" w:color="auto"/>
        <w:bottom w:val="none" w:sz="0" w:space="0" w:color="auto"/>
        <w:right w:val="none" w:sz="0" w:space="0" w:color="auto"/>
      </w:divBdr>
    </w:div>
    <w:div w:id="1055082387">
      <w:bodyDiv w:val="1"/>
      <w:marLeft w:val="0"/>
      <w:marRight w:val="0"/>
      <w:marTop w:val="0"/>
      <w:marBottom w:val="0"/>
      <w:divBdr>
        <w:top w:val="none" w:sz="0" w:space="0" w:color="auto"/>
        <w:left w:val="none" w:sz="0" w:space="0" w:color="auto"/>
        <w:bottom w:val="none" w:sz="0" w:space="0" w:color="auto"/>
        <w:right w:val="none" w:sz="0" w:space="0" w:color="auto"/>
      </w:divBdr>
    </w:div>
    <w:div w:id="1056272909">
      <w:bodyDiv w:val="1"/>
      <w:marLeft w:val="0"/>
      <w:marRight w:val="0"/>
      <w:marTop w:val="0"/>
      <w:marBottom w:val="0"/>
      <w:divBdr>
        <w:top w:val="none" w:sz="0" w:space="0" w:color="auto"/>
        <w:left w:val="none" w:sz="0" w:space="0" w:color="auto"/>
        <w:bottom w:val="none" w:sz="0" w:space="0" w:color="auto"/>
        <w:right w:val="none" w:sz="0" w:space="0" w:color="auto"/>
      </w:divBdr>
    </w:div>
    <w:div w:id="1067730467">
      <w:bodyDiv w:val="1"/>
      <w:marLeft w:val="0"/>
      <w:marRight w:val="0"/>
      <w:marTop w:val="0"/>
      <w:marBottom w:val="0"/>
      <w:divBdr>
        <w:top w:val="none" w:sz="0" w:space="0" w:color="auto"/>
        <w:left w:val="none" w:sz="0" w:space="0" w:color="auto"/>
        <w:bottom w:val="none" w:sz="0" w:space="0" w:color="auto"/>
        <w:right w:val="none" w:sz="0" w:space="0" w:color="auto"/>
      </w:divBdr>
    </w:div>
    <w:div w:id="1070616059">
      <w:bodyDiv w:val="1"/>
      <w:marLeft w:val="0"/>
      <w:marRight w:val="0"/>
      <w:marTop w:val="0"/>
      <w:marBottom w:val="0"/>
      <w:divBdr>
        <w:top w:val="none" w:sz="0" w:space="0" w:color="auto"/>
        <w:left w:val="none" w:sz="0" w:space="0" w:color="auto"/>
        <w:bottom w:val="none" w:sz="0" w:space="0" w:color="auto"/>
        <w:right w:val="none" w:sz="0" w:space="0" w:color="auto"/>
      </w:divBdr>
    </w:div>
    <w:div w:id="1071150316">
      <w:bodyDiv w:val="1"/>
      <w:marLeft w:val="0"/>
      <w:marRight w:val="0"/>
      <w:marTop w:val="0"/>
      <w:marBottom w:val="0"/>
      <w:divBdr>
        <w:top w:val="none" w:sz="0" w:space="0" w:color="auto"/>
        <w:left w:val="none" w:sz="0" w:space="0" w:color="auto"/>
        <w:bottom w:val="none" w:sz="0" w:space="0" w:color="auto"/>
        <w:right w:val="none" w:sz="0" w:space="0" w:color="auto"/>
      </w:divBdr>
    </w:div>
    <w:div w:id="1073162701">
      <w:bodyDiv w:val="1"/>
      <w:marLeft w:val="0"/>
      <w:marRight w:val="0"/>
      <w:marTop w:val="0"/>
      <w:marBottom w:val="0"/>
      <w:divBdr>
        <w:top w:val="none" w:sz="0" w:space="0" w:color="auto"/>
        <w:left w:val="none" w:sz="0" w:space="0" w:color="auto"/>
        <w:bottom w:val="none" w:sz="0" w:space="0" w:color="auto"/>
        <w:right w:val="none" w:sz="0" w:space="0" w:color="auto"/>
      </w:divBdr>
    </w:div>
    <w:div w:id="1099250287">
      <w:bodyDiv w:val="1"/>
      <w:marLeft w:val="0"/>
      <w:marRight w:val="0"/>
      <w:marTop w:val="0"/>
      <w:marBottom w:val="0"/>
      <w:divBdr>
        <w:top w:val="none" w:sz="0" w:space="0" w:color="auto"/>
        <w:left w:val="none" w:sz="0" w:space="0" w:color="auto"/>
        <w:bottom w:val="none" w:sz="0" w:space="0" w:color="auto"/>
        <w:right w:val="none" w:sz="0" w:space="0" w:color="auto"/>
      </w:divBdr>
    </w:div>
    <w:div w:id="1102259088">
      <w:bodyDiv w:val="1"/>
      <w:marLeft w:val="0"/>
      <w:marRight w:val="0"/>
      <w:marTop w:val="0"/>
      <w:marBottom w:val="0"/>
      <w:divBdr>
        <w:top w:val="none" w:sz="0" w:space="0" w:color="auto"/>
        <w:left w:val="none" w:sz="0" w:space="0" w:color="auto"/>
        <w:bottom w:val="none" w:sz="0" w:space="0" w:color="auto"/>
        <w:right w:val="none" w:sz="0" w:space="0" w:color="auto"/>
      </w:divBdr>
    </w:div>
    <w:div w:id="1106652088">
      <w:bodyDiv w:val="1"/>
      <w:marLeft w:val="0"/>
      <w:marRight w:val="0"/>
      <w:marTop w:val="0"/>
      <w:marBottom w:val="0"/>
      <w:divBdr>
        <w:top w:val="none" w:sz="0" w:space="0" w:color="auto"/>
        <w:left w:val="none" w:sz="0" w:space="0" w:color="auto"/>
        <w:bottom w:val="none" w:sz="0" w:space="0" w:color="auto"/>
        <w:right w:val="none" w:sz="0" w:space="0" w:color="auto"/>
      </w:divBdr>
    </w:div>
    <w:div w:id="1124033258">
      <w:bodyDiv w:val="1"/>
      <w:marLeft w:val="0"/>
      <w:marRight w:val="0"/>
      <w:marTop w:val="0"/>
      <w:marBottom w:val="0"/>
      <w:divBdr>
        <w:top w:val="none" w:sz="0" w:space="0" w:color="auto"/>
        <w:left w:val="none" w:sz="0" w:space="0" w:color="auto"/>
        <w:bottom w:val="none" w:sz="0" w:space="0" w:color="auto"/>
        <w:right w:val="none" w:sz="0" w:space="0" w:color="auto"/>
      </w:divBdr>
    </w:div>
    <w:div w:id="1124346869">
      <w:bodyDiv w:val="1"/>
      <w:marLeft w:val="0"/>
      <w:marRight w:val="0"/>
      <w:marTop w:val="0"/>
      <w:marBottom w:val="0"/>
      <w:divBdr>
        <w:top w:val="none" w:sz="0" w:space="0" w:color="auto"/>
        <w:left w:val="none" w:sz="0" w:space="0" w:color="auto"/>
        <w:bottom w:val="none" w:sz="0" w:space="0" w:color="auto"/>
        <w:right w:val="none" w:sz="0" w:space="0" w:color="auto"/>
      </w:divBdr>
    </w:div>
    <w:div w:id="1138379032">
      <w:bodyDiv w:val="1"/>
      <w:marLeft w:val="0"/>
      <w:marRight w:val="0"/>
      <w:marTop w:val="0"/>
      <w:marBottom w:val="0"/>
      <w:divBdr>
        <w:top w:val="none" w:sz="0" w:space="0" w:color="auto"/>
        <w:left w:val="none" w:sz="0" w:space="0" w:color="auto"/>
        <w:bottom w:val="none" w:sz="0" w:space="0" w:color="auto"/>
        <w:right w:val="none" w:sz="0" w:space="0" w:color="auto"/>
      </w:divBdr>
    </w:div>
    <w:div w:id="1141843614">
      <w:bodyDiv w:val="1"/>
      <w:marLeft w:val="0"/>
      <w:marRight w:val="0"/>
      <w:marTop w:val="0"/>
      <w:marBottom w:val="0"/>
      <w:divBdr>
        <w:top w:val="none" w:sz="0" w:space="0" w:color="auto"/>
        <w:left w:val="none" w:sz="0" w:space="0" w:color="auto"/>
        <w:bottom w:val="none" w:sz="0" w:space="0" w:color="auto"/>
        <w:right w:val="none" w:sz="0" w:space="0" w:color="auto"/>
      </w:divBdr>
    </w:div>
    <w:div w:id="1197814587">
      <w:bodyDiv w:val="1"/>
      <w:marLeft w:val="0"/>
      <w:marRight w:val="0"/>
      <w:marTop w:val="0"/>
      <w:marBottom w:val="0"/>
      <w:divBdr>
        <w:top w:val="none" w:sz="0" w:space="0" w:color="auto"/>
        <w:left w:val="none" w:sz="0" w:space="0" w:color="auto"/>
        <w:bottom w:val="none" w:sz="0" w:space="0" w:color="auto"/>
        <w:right w:val="none" w:sz="0" w:space="0" w:color="auto"/>
      </w:divBdr>
    </w:div>
    <w:div w:id="1250502366">
      <w:bodyDiv w:val="1"/>
      <w:marLeft w:val="0"/>
      <w:marRight w:val="0"/>
      <w:marTop w:val="0"/>
      <w:marBottom w:val="0"/>
      <w:divBdr>
        <w:top w:val="none" w:sz="0" w:space="0" w:color="auto"/>
        <w:left w:val="none" w:sz="0" w:space="0" w:color="auto"/>
        <w:bottom w:val="none" w:sz="0" w:space="0" w:color="auto"/>
        <w:right w:val="none" w:sz="0" w:space="0" w:color="auto"/>
      </w:divBdr>
    </w:div>
    <w:div w:id="1250696382">
      <w:bodyDiv w:val="1"/>
      <w:marLeft w:val="0"/>
      <w:marRight w:val="0"/>
      <w:marTop w:val="0"/>
      <w:marBottom w:val="0"/>
      <w:divBdr>
        <w:top w:val="none" w:sz="0" w:space="0" w:color="auto"/>
        <w:left w:val="none" w:sz="0" w:space="0" w:color="auto"/>
        <w:bottom w:val="none" w:sz="0" w:space="0" w:color="auto"/>
        <w:right w:val="none" w:sz="0" w:space="0" w:color="auto"/>
      </w:divBdr>
    </w:div>
    <w:div w:id="1252469300">
      <w:bodyDiv w:val="1"/>
      <w:marLeft w:val="0"/>
      <w:marRight w:val="0"/>
      <w:marTop w:val="0"/>
      <w:marBottom w:val="0"/>
      <w:divBdr>
        <w:top w:val="none" w:sz="0" w:space="0" w:color="auto"/>
        <w:left w:val="none" w:sz="0" w:space="0" w:color="auto"/>
        <w:bottom w:val="none" w:sz="0" w:space="0" w:color="auto"/>
        <w:right w:val="none" w:sz="0" w:space="0" w:color="auto"/>
      </w:divBdr>
    </w:div>
    <w:div w:id="1282373206">
      <w:bodyDiv w:val="1"/>
      <w:marLeft w:val="0"/>
      <w:marRight w:val="0"/>
      <w:marTop w:val="0"/>
      <w:marBottom w:val="0"/>
      <w:divBdr>
        <w:top w:val="none" w:sz="0" w:space="0" w:color="auto"/>
        <w:left w:val="none" w:sz="0" w:space="0" w:color="auto"/>
        <w:bottom w:val="none" w:sz="0" w:space="0" w:color="auto"/>
        <w:right w:val="none" w:sz="0" w:space="0" w:color="auto"/>
      </w:divBdr>
    </w:div>
    <w:div w:id="1286811265">
      <w:bodyDiv w:val="1"/>
      <w:marLeft w:val="0"/>
      <w:marRight w:val="0"/>
      <w:marTop w:val="0"/>
      <w:marBottom w:val="0"/>
      <w:divBdr>
        <w:top w:val="none" w:sz="0" w:space="0" w:color="auto"/>
        <w:left w:val="none" w:sz="0" w:space="0" w:color="auto"/>
        <w:bottom w:val="none" w:sz="0" w:space="0" w:color="auto"/>
        <w:right w:val="none" w:sz="0" w:space="0" w:color="auto"/>
      </w:divBdr>
    </w:div>
    <w:div w:id="1301885857">
      <w:bodyDiv w:val="1"/>
      <w:marLeft w:val="0"/>
      <w:marRight w:val="0"/>
      <w:marTop w:val="0"/>
      <w:marBottom w:val="0"/>
      <w:divBdr>
        <w:top w:val="none" w:sz="0" w:space="0" w:color="auto"/>
        <w:left w:val="none" w:sz="0" w:space="0" w:color="auto"/>
        <w:bottom w:val="none" w:sz="0" w:space="0" w:color="auto"/>
        <w:right w:val="none" w:sz="0" w:space="0" w:color="auto"/>
      </w:divBdr>
    </w:div>
    <w:div w:id="1303461349">
      <w:bodyDiv w:val="1"/>
      <w:marLeft w:val="0"/>
      <w:marRight w:val="0"/>
      <w:marTop w:val="0"/>
      <w:marBottom w:val="0"/>
      <w:divBdr>
        <w:top w:val="none" w:sz="0" w:space="0" w:color="auto"/>
        <w:left w:val="none" w:sz="0" w:space="0" w:color="auto"/>
        <w:bottom w:val="none" w:sz="0" w:space="0" w:color="auto"/>
        <w:right w:val="none" w:sz="0" w:space="0" w:color="auto"/>
      </w:divBdr>
    </w:div>
    <w:div w:id="1308361535">
      <w:bodyDiv w:val="1"/>
      <w:marLeft w:val="0"/>
      <w:marRight w:val="0"/>
      <w:marTop w:val="0"/>
      <w:marBottom w:val="0"/>
      <w:divBdr>
        <w:top w:val="none" w:sz="0" w:space="0" w:color="auto"/>
        <w:left w:val="none" w:sz="0" w:space="0" w:color="auto"/>
        <w:bottom w:val="none" w:sz="0" w:space="0" w:color="auto"/>
        <w:right w:val="none" w:sz="0" w:space="0" w:color="auto"/>
      </w:divBdr>
    </w:div>
    <w:div w:id="1315453617">
      <w:bodyDiv w:val="1"/>
      <w:marLeft w:val="0"/>
      <w:marRight w:val="0"/>
      <w:marTop w:val="0"/>
      <w:marBottom w:val="0"/>
      <w:divBdr>
        <w:top w:val="none" w:sz="0" w:space="0" w:color="auto"/>
        <w:left w:val="none" w:sz="0" w:space="0" w:color="auto"/>
        <w:bottom w:val="none" w:sz="0" w:space="0" w:color="auto"/>
        <w:right w:val="none" w:sz="0" w:space="0" w:color="auto"/>
      </w:divBdr>
    </w:div>
    <w:div w:id="1321346688">
      <w:bodyDiv w:val="1"/>
      <w:marLeft w:val="0"/>
      <w:marRight w:val="0"/>
      <w:marTop w:val="0"/>
      <w:marBottom w:val="0"/>
      <w:divBdr>
        <w:top w:val="none" w:sz="0" w:space="0" w:color="auto"/>
        <w:left w:val="none" w:sz="0" w:space="0" w:color="auto"/>
        <w:bottom w:val="none" w:sz="0" w:space="0" w:color="auto"/>
        <w:right w:val="none" w:sz="0" w:space="0" w:color="auto"/>
      </w:divBdr>
    </w:div>
    <w:div w:id="1349719426">
      <w:bodyDiv w:val="1"/>
      <w:marLeft w:val="0"/>
      <w:marRight w:val="0"/>
      <w:marTop w:val="0"/>
      <w:marBottom w:val="0"/>
      <w:divBdr>
        <w:top w:val="none" w:sz="0" w:space="0" w:color="auto"/>
        <w:left w:val="none" w:sz="0" w:space="0" w:color="auto"/>
        <w:bottom w:val="none" w:sz="0" w:space="0" w:color="auto"/>
        <w:right w:val="none" w:sz="0" w:space="0" w:color="auto"/>
      </w:divBdr>
    </w:div>
    <w:div w:id="1360862183">
      <w:bodyDiv w:val="1"/>
      <w:marLeft w:val="0"/>
      <w:marRight w:val="0"/>
      <w:marTop w:val="0"/>
      <w:marBottom w:val="0"/>
      <w:divBdr>
        <w:top w:val="none" w:sz="0" w:space="0" w:color="auto"/>
        <w:left w:val="none" w:sz="0" w:space="0" w:color="auto"/>
        <w:bottom w:val="none" w:sz="0" w:space="0" w:color="auto"/>
        <w:right w:val="none" w:sz="0" w:space="0" w:color="auto"/>
      </w:divBdr>
    </w:div>
    <w:div w:id="1377974018">
      <w:bodyDiv w:val="1"/>
      <w:marLeft w:val="0"/>
      <w:marRight w:val="0"/>
      <w:marTop w:val="0"/>
      <w:marBottom w:val="0"/>
      <w:divBdr>
        <w:top w:val="none" w:sz="0" w:space="0" w:color="auto"/>
        <w:left w:val="none" w:sz="0" w:space="0" w:color="auto"/>
        <w:bottom w:val="none" w:sz="0" w:space="0" w:color="auto"/>
        <w:right w:val="none" w:sz="0" w:space="0" w:color="auto"/>
      </w:divBdr>
    </w:div>
    <w:div w:id="1382708748">
      <w:bodyDiv w:val="1"/>
      <w:marLeft w:val="0"/>
      <w:marRight w:val="0"/>
      <w:marTop w:val="0"/>
      <w:marBottom w:val="0"/>
      <w:divBdr>
        <w:top w:val="none" w:sz="0" w:space="0" w:color="auto"/>
        <w:left w:val="none" w:sz="0" w:space="0" w:color="auto"/>
        <w:bottom w:val="none" w:sz="0" w:space="0" w:color="auto"/>
        <w:right w:val="none" w:sz="0" w:space="0" w:color="auto"/>
      </w:divBdr>
    </w:div>
    <w:div w:id="1395853127">
      <w:bodyDiv w:val="1"/>
      <w:marLeft w:val="0"/>
      <w:marRight w:val="0"/>
      <w:marTop w:val="0"/>
      <w:marBottom w:val="0"/>
      <w:divBdr>
        <w:top w:val="none" w:sz="0" w:space="0" w:color="auto"/>
        <w:left w:val="none" w:sz="0" w:space="0" w:color="auto"/>
        <w:bottom w:val="none" w:sz="0" w:space="0" w:color="auto"/>
        <w:right w:val="none" w:sz="0" w:space="0" w:color="auto"/>
      </w:divBdr>
    </w:div>
    <w:div w:id="1463888057">
      <w:bodyDiv w:val="1"/>
      <w:marLeft w:val="0"/>
      <w:marRight w:val="0"/>
      <w:marTop w:val="0"/>
      <w:marBottom w:val="0"/>
      <w:divBdr>
        <w:top w:val="none" w:sz="0" w:space="0" w:color="auto"/>
        <w:left w:val="none" w:sz="0" w:space="0" w:color="auto"/>
        <w:bottom w:val="none" w:sz="0" w:space="0" w:color="auto"/>
        <w:right w:val="none" w:sz="0" w:space="0" w:color="auto"/>
      </w:divBdr>
    </w:div>
    <w:div w:id="1490093681">
      <w:bodyDiv w:val="1"/>
      <w:marLeft w:val="0"/>
      <w:marRight w:val="0"/>
      <w:marTop w:val="0"/>
      <w:marBottom w:val="0"/>
      <w:divBdr>
        <w:top w:val="none" w:sz="0" w:space="0" w:color="auto"/>
        <w:left w:val="none" w:sz="0" w:space="0" w:color="auto"/>
        <w:bottom w:val="none" w:sz="0" w:space="0" w:color="auto"/>
        <w:right w:val="none" w:sz="0" w:space="0" w:color="auto"/>
      </w:divBdr>
    </w:div>
    <w:div w:id="1503082198">
      <w:bodyDiv w:val="1"/>
      <w:marLeft w:val="0"/>
      <w:marRight w:val="0"/>
      <w:marTop w:val="0"/>
      <w:marBottom w:val="0"/>
      <w:divBdr>
        <w:top w:val="none" w:sz="0" w:space="0" w:color="auto"/>
        <w:left w:val="none" w:sz="0" w:space="0" w:color="auto"/>
        <w:bottom w:val="none" w:sz="0" w:space="0" w:color="auto"/>
        <w:right w:val="none" w:sz="0" w:space="0" w:color="auto"/>
      </w:divBdr>
    </w:div>
    <w:div w:id="1504663153">
      <w:bodyDiv w:val="1"/>
      <w:marLeft w:val="0"/>
      <w:marRight w:val="0"/>
      <w:marTop w:val="0"/>
      <w:marBottom w:val="0"/>
      <w:divBdr>
        <w:top w:val="none" w:sz="0" w:space="0" w:color="auto"/>
        <w:left w:val="none" w:sz="0" w:space="0" w:color="auto"/>
        <w:bottom w:val="none" w:sz="0" w:space="0" w:color="auto"/>
        <w:right w:val="none" w:sz="0" w:space="0" w:color="auto"/>
      </w:divBdr>
    </w:div>
    <w:div w:id="1550803507">
      <w:bodyDiv w:val="1"/>
      <w:marLeft w:val="0"/>
      <w:marRight w:val="0"/>
      <w:marTop w:val="0"/>
      <w:marBottom w:val="0"/>
      <w:divBdr>
        <w:top w:val="none" w:sz="0" w:space="0" w:color="auto"/>
        <w:left w:val="none" w:sz="0" w:space="0" w:color="auto"/>
        <w:bottom w:val="none" w:sz="0" w:space="0" w:color="auto"/>
        <w:right w:val="none" w:sz="0" w:space="0" w:color="auto"/>
      </w:divBdr>
    </w:div>
    <w:div w:id="1564487652">
      <w:bodyDiv w:val="1"/>
      <w:marLeft w:val="0"/>
      <w:marRight w:val="0"/>
      <w:marTop w:val="0"/>
      <w:marBottom w:val="0"/>
      <w:divBdr>
        <w:top w:val="none" w:sz="0" w:space="0" w:color="auto"/>
        <w:left w:val="none" w:sz="0" w:space="0" w:color="auto"/>
        <w:bottom w:val="none" w:sz="0" w:space="0" w:color="auto"/>
        <w:right w:val="none" w:sz="0" w:space="0" w:color="auto"/>
      </w:divBdr>
    </w:div>
    <w:div w:id="1574971457">
      <w:bodyDiv w:val="1"/>
      <w:marLeft w:val="0"/>
      <w:marRight w:val="0"/>
      <w:marTop w:val="0"/>
      <w:marBottom w:val="0"/>
      <w:divBdr>
        <w:top w:val="none" w:sz="0" w:space="0" w:color="auto"/>
        <w:left w:val="none" w:sz="0" w:space="0" w:color="auto"/>
        <w:bottom w:val="none" w:sz="0" w:space="0" w:color="auto"/>
        <w:right w:val="none" w:sz="0" w:space="0" w:color="auto"/>
      </w:divBdr>
    </w:div>
    <w:div w:id="1575354897">
      <w:bodyDiv w:val="1"/>
      <w:marLeft w:val="0"/>
      <w:marRight w:val="0"/>
      <w:marTop w:val="0"/>
      <w:marBottom w:val="0"/>
      <w:divBdr>
        <w:top w:val="none" w:sz="0" w:space="0" w:color="auto"/>
        <w:left w:val="none" w:sz="0" w:space="0" w:color="auto"/>
        <w:bottom w:val="none" w:sz="0" w:space="0" w:color="auto"/>
        <w:right w:val="none" w:sz="0" w:space="0" w:color="auto"/>
      </w:divBdr>
    </w:div>
    <w:div w:id="1580093784">
      <w:bodyDiv w:val="1"/>
      <w:marLeft w:val="0"/>
      <w:marRight w:val="0"/>
      <w:marTop w:val="0"/>
      <w:marBottom w:val="0"/>
      <w:divBdr>
        <w:top w:val="none" w:sz="0" w:space="0" w:color="auto"/>
        <w:left w:val="none" w:sz="0" w:space="0" w:color="auto"/>
        <w:bottom w:val="none" w:sz="0" w:space="0" w:color="auto"/>
        <w:right w:val="none" w:sz="0" w:space="0" w:color="auto"/>
      </w:divBdr>
    </w:div>
    <w:div w:id="1586302905">
      <w:bodyDiv w:val="1"/>
      <w:marLeft w:val="0"/>
      <w:marRight w:val="0"/>
      <w:marTop w:val="0"/>
      <w:marBottom w:val="0"/>
      <w:divBdr>
        <w:top w:val="none" w:sz="0" w:space="0" w:color="auto"/>
        <w:left w:val="none" w:sz="0" w:space="0" w:color="auto"/>
        <w:bottom w:val="none" w:sz="0" w:space="0" w:color="auto"/>
        <w:right w:val="none" w:sz="0" w:space="0" w:color="auto"/>
      </w:divBdr>
    </w:div>
    <w:div w:id="1599368487">
      <w:bodyDiv w:val="1"/>
      <w:marLeft w:val="0"/>
      <w:marRight w:val="0"/>
      <w:marTop w:val="0"/>
      <w:marBottom w:val="0"/>
      <w:divBdr>
        <w:top w:val="none" w:sz="0" w:space="0" w:color="auto"/>
        <w:left w:val="none" w:sz="0" w:space="0" w:color="auto"/>
        <w:bottom w:val="none" w:sz="0" w:space="0" w:color="auto"/>
        <w:right w:val="none" w:sz="0" w:space="0" w:color="auto"/>
      </w:divBdr>
    </w:div>
    <w:div w:id="1600261079">
      <w:bodyDiv w:val="1"/>
      <w:marLeft w:val="0"/>
      <w:marRight w:val="0"/>
      <w:marTop w:val="0"/>
      <w:marBottom w:val="0"/>
      <w:divBdr>
        <w:top w:val="none" w:sz="0" w:space="0" w:color="auto"/>
        <w:left w:val="none" w:sz="0" w:space="0" w:color="auto"/>
        <w:bottom w:val="none" w:sz="0" w:space="0" w:color="auto"/>
        <w:right w:val="none" w:sz="0" w:space="0" w:color="auto"/>
      </w:divBdr>
    </w:div>
    <w:div w:id="1623345655">
      <w:bodyDiv w:val="1"/>
      <w:marLeft w:val="0"/>
      <w:marRight w:val="0"/>
      <w:marTop w:val="0"/>
      <w:marBottom w:val="0"/>
      <w:divBdr>
        <w:top w:val="none" w:sz="0" w:space="0" w:color="auto"/>
        <w:left w:val="none" w:sz="0" w:space="0" w:color="auto"/>
        <w:bottom w:val="none" w:sz="0" w:space="0" w:color="auto"/>
        <w:right w:val="none" w:sz="0" w:space="0" w:color="auto"/>
      </w:divBdr>
    </w:div>
    <w:div w:id="1627618274">
      <w:bodyDiv w:val="1"/>
      <w:marLeft w:val="0"/>
      <w:marRight w:val="0"/>
      <w:marTop w:val="0"/>
      <w:marBottom w:val="0"/>
      <w:divBdr>
        <w:top w:val="none" w:sz="0" w:space="0" w:color="auto"/>
        <w:left w:val="none" w:sz="0" w:space="0" w:color="auto"/>
        <w:bottom w:val="none" w:sz="0" w:space="0" w:color="auto"/>
        <w:right w:val="none" w:sz="0" w:space="0" w:color="auto"/>
      </w:divBdr>
    </w:div>
    <w:div w:id="1653750680">
      <w:bodyDiv w:val="1"/>
      <w:marLeft w:val="0"/>
      <w:marRight w:val="0"/>
      <w:marTop w:val="0"/>
      <w:marBottom w:val="0"/>
      <w:divBdr>
        <w:top w:val="none" w:sz="0" w:space="0" w:color="auto"/>
        <w:left w:val="none" w:sz="0" w:space="0" w:color="auto"/>
        <w:bottom w:val="none" w:sz="0" w:space="0" w:color="auto"/>
        <w:right w:val="none" w:sz="0" w:space="0" w:color="auto"/>
      </w:divBdr>
    </w:div>
    <w:div w:id="1658263681">
      <w:bodyDiv w:val="1"/>
      <w:marLeft w:val="0"/>
      <w:marRight w:val="0"/>
      <w:marTop w:val="0"/>
      <w:marBottom w:val="0"/>
      <w:divBdr>
        <w:top w:val="none" w:sz="0" w:space="0" w:color="auto"/>
        <w:left w:val="none" w:sz="0" w:space="0" w:color="auto"/>
        <w:bottom w:val="none" w:sz="0" w:space="0" w:color="auto"/>
        <w:right w:val="none" w:sz="0" w:space="0" w:color="auto"/>
      </w:divBdr>
    </w:div>
    <w:div w:id="1684088490">
      <w:bodyDiv w:val="1"/>
      <w:marLeft w:val="0"/>
      <w:marRight w:val="0"/>
      <w:marTop w:val="0"/>
      <w:marBottom w:val="0"/>
      <w:divBdr>
        <w:top w:val="none" w:sz="0" w:space="0" w:color="auto"/>
        <w:left w:val="none" w:sz="0" w:space="0" w:color="auto"/>
        <w:bottom w:val="none" w:sz="0" w:space="0" w:color="auto"/>
        <w:right w:val="none" w:sz="0" w:space="0" w:color="auto"/>
      </w:divBdr>
    </w:div>
    <w:div w:id="1687513527">
      <w:bodyDiv w:val="1"/>
      <w:marLeft w:val="0"/>
      <w:marRight w:val="0"/>
      <w:marTop w:val="0"/>
      <w:marBottom w:val="0"/>
      <w:divBdr>
        <w:top w:val="none" w:sz="0" w:space="0" w:color="auto"/>
        <w:left w:val="none" w:sz="0" w:space="0" w:color="auto"/>
        <w:bottom w:val="none" w:sz="0" w:space="0" w:color="auto"/>
        <w:right w:val="none" w:sz="0" w:space="0" w:color="auto"/>
      </w:divBdr>
    </w:div>
    <w:div w:id="1697269966">
      <w:bodyDiv w:val="1"/>
      <w:marLeft w:val="0"/>
      <w:marRight w:val="0"/>
      <w:marTop w:val="0"/>
      <w:marBottom w:val="0"/>
      <w:divBdr>
        <w:top w:val="none" w:sz="0" w:space="0" w:color="auto"/>
        <w:left w:val="none" w:sz="0" w:space="0" w:color="auto"/>
        <w:bottom w:val="none" w:sz="0" w:space="0" w:color="auto"/>
        <w:right w:val="none" w:sz="0" w:space="0" w:color="auto"/>
      </w:divBdr>
    </w:div>
    <w:div w:id="1701467322">
      <w:bodyDiv w:val="1"/>
      <w:marLeft w:val="0"/>
      <w:marRight w:val="0"/>
      <w:marTop w:val="0"/>
      <w:marBottom w:val="0"/>
      <w:divBdr>
        <w:top w:val="none" w:sz="0" w:space="0" w:color="auto"/>
        <w:left w:val="none" w:sz="0" w:space="0" w:color="auto"/>
        <w:bottom w:val="none" w:sz="0" w:space="0" w:color="auto"/>
        <w:right w:val="none" w:sz="0" w:space="0" w:color="auto"/>
      </w:divBdr>
    </w:div>
    <w:div w:id="1709840535">
      <w:bodyDiv w:val="1"/>
      <w:marLeft w:val="0"/>
      <w:marRight w:val="0"/>
      <w:marTop w:val="0"/>
      <w:marBottom w:val="0"/>
      <w:divBdr>
        <w:top w:val="none" w:sz="0" w:space="0" w:color="auto"/>
        <w:left w:val="none" w:sz="0" w:space="0" w:color="auto"/>
        <w:bottom w:val="none" w:sz="0" w:space="0" w:color="auto"/>
        <w:right w:val="none" w:sz="0" w:space="0" w:color="auto"/>
      </w:divBdr>
    </w:div>
    <w:div w:id="1739400137">
      <w:bodyDiv w:val="1"/>
      <w:marLeft w:val="0"/>
      <w:marRight w:val="0"/>
      <w:marTop w:val="0"/>
      <w:marBottom w:val="0"/>
      <w:divBdr>
        <w:top w:val="none" w:sz="0" w:space="0" w:color="auto"/>
        <w:left w:val="none" w:sz="0" w:space="0" w:color="auto"/>
        <w:bottom w:val="none" w:sz="0" w:space="0" w:color="auto"/>
        <w:right w:val="none" w:sz="0" w:space="0" w:color="auto"/>
      </w:divBdr>
    </w:div>
    <w:div w:id="1743486226">
      <w:bodyDiv w:val="1"/>
      <w:marLeft w:val="0"/>
      <w:marRight w:val="0"/>
      <w:marTop w:val="0"/>
      <w:marBottom w:val="0"/>
      <w:divBdr>
        <w:top w:val="none" w:sz="0" w:space="0" w:color="auto"/>
        <w:left w:val="none" w:sz="0" w:space="0" w:color="auto"/>
        <w:bottom w:val="none" w:sz="0" w:space="0" w:color="auto"/>
        <w:right w:val="none" w:sz="0" w:space="0" w:color="auto"/>
      </w:divBdr>
    </w:div>
    <w:div w:id="1756585111">
      <w:bodyDiv w:val="1"/>
      <w:marLeft w:val="0"/>
      <w:marRight w:val="0"/>
      <w:marTop w:val="0"/>
      <w:marBottom w:val="0"/>
      <w:divBdr>
        <w:top w:val="none" w:sz="0" w:space="0" w:color="auto"/>
        <w:left w:val="none" w:sz="0" w:space="0" w:color="auto"/>
        <w:bottom w:val="none" w:sz="0" w:space="0" w:color="auto"/>
        <w:right w:val="none" w:sz="0" w:space="0" w:color="auto"/>
      </w:divBdr>
    </w:div>
    <w:div w:id="1767115975">
      <w:bodyDiv w:val="1"/>
      <w:marLeft w:val="0"/>
      <w:marRight w:val="0"/>
      <w:marTop w:val="0"/>
      <w:marBottom w:val="0"/>
      <w:divBdr>
        <w:top w:val="none" w:sz="0" w:space="0" w:color="auto"/>
        <w:left w:val="none" w:sz="0" w:space="0" w:color="auto"/>
        <w:bottom w:val="none" w:sz="0" w:space="0" w:color="auto"/>
        <w:right w:val="none" w:sz="0" w:space="0" w:color="auto"/>
      </w:divBdr>
    </w:div>
    <w:div w:id="1793283737">
      <w:bodyDiv w:val="1"/>
      <w:marLeft w:val="0"/>
      <w:marRight w:val="0"/>
      <w:marTop w:val="0"/>
      <w:marBottom w:val="0"/>
      <w:divBdr>
        <w:top w:val="none" w:sz="0" w:space="0" w:color="auto"/>
        <w:left w:val="none" w:sz="0" w:space="0" w:color="auto"/>
        <w:bottom w:val="none" w:sz="0" w:space="0" w:color="auto"/>
        <w:right w:val="none" w:sz="0" w:space="0" w:color="auto"/>
      </w:divBdr>
    </w:div>
    <w:div w:id="1797289685">
      <w:bodyDiv w:val="1"/>
      <w:marLeft w:val="0"/>
      <w:marRight w:val="0"/>
      <w:marTop w:val="0"/>
      <w:marBottom w:val="0"/>
      <w:divBdr>
        <w:top w:val="none" w:sz="0" w:space="0" w:color="auto"/>
        <w:left w:val="none" w:sz="0" w:space="0" w:color="auto"/>
        <w:bottom w:val="none" w:sz="0" w:space="0" w:color="auto"/>
        <w:right w:val="none" w:sz="0" w:space="0" w:color="auto"/>
      </w:divBdr>
    </w:div>
    <w:div w:id="1800148034">
      <w:bodyDiv w:val="1"/>
      <w:marLeft w:val="0"/>
      <w:marRight w:val="0"/>
      <w:marTop w:val="0"/>
      <w:marBottom w:val="0"/>
      <w:divBdr>
        <w:top w:val="none" w:sz="0" w:space="0" w:color="auto"/>
        <w:left w:val="none" w:sz="0" w:space="0" w:color="auto"/>
        <w:bottom w:val="none" w:sz="0" w:space="0" w:color="auto"/>
        <w:right w:val="none" w:sz="0" w:space="0" w:color="auto"/>
      </w:divBdr>
    </w:div>
    <w:div w:id="1805006908">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13907688">
      <w:bodyDiv w:val="1"/>
      <w:marLeft w:val="0"/>
      <w:marRight w:val="0"/>
      <w:marTop w:val="0"/>
      <w:marBottom w:val="0"/>
      <w:divBdr>
        <w:top w:val="none" w:sz="0" w:space="0" w:color="auto"/>
        <w:left w:val="none" w:sz="0" w:space="0" w:color="auto"/>
        <w:bottom w:val="none" w:sz="0" w:space="0" w:color="auto"/>
        <w:right w:val="none" w:sz="0" w:space="0" w:color="auto"/>
      </w:divBdr>
    </w:div>
    <w:div w:id="1831671538">
      <w:bodyDiv w:val="1"/>
      <w:marLeft w:val="0"/>
      <w:marRight w:val="0"/>
      <w:marTop w:val="0"/>
      <w:marBottom w:val="0"/>
      <w:divBdr>
        <w:top w:val="none" w:sz="0" w:space="0" w:color="auto"/>
        <w:left w:val="none" w:sz="0" w:space="0" w:color="auto"/>
        <w:bottom w:val="none" w:sz="0" w:space="0" w:color="auto"/>
        <w:right w:val="none" w:sz="0" w:space="0" w:color="auto"/>
      </w:divBdr>
    </w:div>
    <w:div w:id="1836914314">
      <w:bodyDiv w:val="1"/>
      <w:marLeft w:val="0"/>
      <w:marRight w:val="0"/>
      <w:marTop w:val="0"/>
      <w:marBottom w:val="0"/>
      <w:divBdr>
        <w:top w:val="none" w:sz="0" w:space="0" w:color="auto"/>
        <w:left w:val="none" w:sz="0" w:space="0" w:color="auto"/>
        <w:bottom w:val="none" w:sz="0" w:space="0" w:color="auto"/>
        <w:right w:val="none" w:sz="0" w:space="0" w:color="auto"/>
      </w:divBdr>
    </w:div>
    <w:div w:id="1844859670">
      <w:bodyDiv w:val="1"/>
      <w:marLeft w:val="0"/>
      <w:marRight w:val="0"/>
      <w:marTop w:val="0"/>
      <w:marBottom w:val="0"/>
      <w:divBdr>
        <w:top w:val="none" w:sz="0" w:space="0" w:color="auto"/>
        <w:left w:val="none" w:sz="0" w:space="0" w:color="auto"/>
        <w:bottom w:val="none" w:sz="0" w:space="0" w:color="auto"/>
        <w:right w:val="none" w:sz="0" w:space="0" w:color="auto"/>
      </w:divBdr>
    </w:div>
    <w:div w:id="1857694593">
      <w:bodyDiv w:val="1"/>
      <w:marLeft w:val="0"/>
      <w:marRight w:val="0"/>
      <w:marTop w:val="0"/>
      <w:marBottom w:val="0"/>
      <w:divBdr>
        <w:top w:val="none" w:sz="0" w:space="0" w:color="auto"/>
        <w:left w:val="none" w:sz="0" w:space="0" w:color="auto"/>
        <w:bottom w:val="none" w:sz="0" w:space="0" w:color="auto"/>
        <w:right w:val="none" w:sz="0" w:space="0" w:color="auto"/>
      </w:divBdr>
    </w:div>
    <w:div w:id="1860584287">
      <w:bodyDiv w:val="1"/>
      <w:marLeft w:val="0"/>
      <w:marRight w:val="0"/>
      <w:marTop w:val="0"/>
      <w:marBottom w:val="0"/>
      <w:divBdr>
        <w:top w:val="none" w:sz="0" w:space="0" w:color="auto"/>
        <w:left w:val="none" w:sz="0" w:space="0" w:color="auto"/>
        <w:bottom w:val="none" w:sz="0" w:space="0" w:color="auto"/>
        <w:right w:val="none" w:sz="0" w:space="0" w:color="auto"/>
      </w:divBdr>
    </w:div>
    <w:div w:id="1863087058">
      <w:bodyDiv w:val="1"/>
      <w:marLeft w:val="0"/>
      <w:marRight w:val="0"/>
      <w:marTop w:val="0"/>
      <w:marBottom w:val="0"/>
      <w:divBdr>
        <w:top w:val="none" w:sz="0" w:space="0" w:color="auto"/>
        <w:left w:val="none" w:sz="0" w:space="0" w:color="auto"/>
        <w:bottom w:val="none" w:sz="0" w:space="0" w:color="auto"/>
        <w:right w:val="none" w:sz="0" w:space="0" w:color="auto"/>
      </w:divBdr>
    </w:div>
    <w:div w:id="1889224869">
      <w:bodyDiv w:val="1"/>
      <w:marLeft w:val="0"/>
      <w:marRight w:val="0"/>
      <w:marTop w:val="0"/>
      <w:marBottom w:val="0"/>
      <w:divBdr>
        <w:top w:val="none" w:sz="0" w:space="0" w:color="auto"/>
        <w:left w:val="none" w:sz="0" w:space="0" w:color="auto"/>
        <w:bottom w:val="none" w:sz="0" w:space="0" w:color="auto"/>
        <w:right w:val="none" w:sz="0" w:space="0" w:color="auto"/>
      </w:divBdr>
    </w:div>
    <w:div w:id="1894660804">
      <w:bodyDiv w:val="1"/>
      <w:marLeft w:val="0"/>
      <w:marRight w:val="0"/>
      <w:marTop w:val="0"/>
      <w:marBottom w:val="0"/>
      <w:divBdr>
        <w:top w:val="none" w:sz="0" w:space="0" w:color="auto"/>
        <w:left w:val="none" w:sz="0" w:space="0" w:color="auto"/>
        <w:bottom w:val="none" w:sz="0" w:space="0" w:color="auto"/>
        <w:right w:val="none" w:sz="0" w:space="0" w:color="auto"/>
      </w:divBdr>
    </w:div>
    <w:div w:id="1896351822">
      <w:bodyDiv w:val="1"/>
      <w:marLeft w:val="0"/>
      <w:marRight w:val="0"/>
      <w:marTop w:val="0"/>
      <w:marBottom w:val="0"/>
      <w:divBdr>
        <w:top w:val="none" w:sz="0" w:space="0" w:color="auto"/>
        <w:left w:val="none" w:sz="0" w:space="0" w:color="auto"/>
        <w:bottom w:val="none" w:sz="0" w:space="0" w:color="auto"/>
        <w:right w:val="none" w:sz="0" w:space="0" w:color="auto"/>
      </w:divBdr>
    </w:div>
    <w:div w:id="1909723590">
      <w:bodyDiv w:val="1"/>
      <w:marLeft w:val="0"/>
      <w:marRight w:val="0"/>
      <w:marTop w:val="0"/>
      <w:marBottom w:val="0"/>
      <w:divBdr>
        <w:top w:val="none" w:sz="0" w:space="0" w:color="auto"/>
        <w:left w:val="none" w:sz="0" w:space="0" w:color="auto"/>
        <w:bottom w:val="none" w:sz="0" w:space="0" w:color="auto"/>
        <w:right w:val="none" w:sz="0" w:space="0" w:color="auto"/>
      </w:divBdr>
    </w:div>
    <w:div w:id="1914660808">
      <w:bodyDiv w:val="1"/>
      <w:marLeft w:val="0"/>
      <w:marRight w:val="0"/>
      <w:marTop w:val="0"/>
      <w:marBottom w:val="0"/>
      <w:divBdr>
        <w:top w:val="none" w:sz="0" w:space="0" w:color="auto"/>
        <w:left w:val="none" w:sz="0" w:space="0" w:color="auto"/>
        <w:bottom w:val="none" w:sz="0" w:space="0" w:color="auto"/>
        <w:right w:val="none" w:sz="0" w:space="0" w:color="auto"/>
      </w:divBdr>
    </w:div>
    <w:div w:id="1940335941">
      <w:bodyDiv w:val="1"/>
      <w:marLeft w:val="0"/>
      <w:marRight w:val="0"/>
      <w:marTop w:val="0"/>
      <w:marBottom w:val="0"/>
      <w:divBdr>
        <w:top w:val="none" w:sz="0" w:space="0" w:color="auto"/>
        <w:left w:val="none" w:sz="0" w:space="0" w:color="auto"/>
        <w:bottom w:val="none" w:sz="0" w:space="0" w:color="auto"/>
        <w:right w:val="none" w:sz="0" w:space="0" w:color="auto"/>
      </w:divBdr>
    </w:div>
    <w:div w:id="1981961712">
      <w:bodyDiv w:val="1"/>
      <w:marLeft w:val="0"/>
      <w:marRight w:val="0"/>
      <w:marTop w:val="0"/>
      <w:marBottom w:val="0"/>
      <w:divBdr>
        <w:top w:val="none" w:sz="0" w:space="0" w:color="auto"/>
        <w:left w:val="none" w:sz="0" w:space="0" w:color="auto"/>
        <w:bottom w:val="none" w:sz="0" w:space="0" w:color="auto"/>
        <w:right w:val="none" w:sz="0" w:space="0" w:color="auto"/>
      </w:divBdr>
    </w:div>
    <w:div w:id="1984195221">
      <w:bodyDiv w:val="1"/>
      <w:marLeft w:val="0"/>
      <w:marRight w:val="0"/>
      <w:marTop w:val="0"/>
      <w:marBottom w:val="0"/>
      <w:divBdr>
        <w:top w:val="none" w:sz="0" w:space="0" w:color="auto"/>
        <w:left w:val="none" w:sz="0" w:space="0" w:color="auto"/>
        <w:bottom w:val="none" w:sz="0" w:space="0" w:color="auto"/>
        <w:right w:val="none" w:sz="0" w:space="0" w:color="auto"/>
      </w:divBdr>
    </w:div>
    <w:div w:id="2036151958">
      <w:bodyDiv w:val="1"/>
      <w:marLeft w:val="0"/>
      <w:marRight w:val="0"/>
      <w:marTop w:val="0"/>
      <w:marBottom w:val="0"/>
      <w:divBdr>
        <w:top w:val="none" w:sz="0" w:space="0" w:color="auto"/>
        <w:left w:val="none" w:sz="0" w:space="0" w:color="auto"/>
        <w:bottom w:val="none" w:sz="0" w:space="0" w:color="auto"/>
        <w:right w:val="none" w:sz="0" w:space="0" w:color="auto"/>
      </w:divBdr>
    </w:div>
    <w:div w:id="2041973830">
      <w:bodyDiv w:val="1"/>
      <w:marLeft w:val="0"/>
      <w:marRight w:val="0"/>
      <w:marTop w:val="0"/>
      <w:marBottom w:val="0"/>
      <w:divBdr>
        <w:top w:val="none" w:sz="0" w:space="0" w:color="auto"/>
        <w:left w:val="none" w:sz="0" w:space="0" w:color="auto"/>
        <w:bottom w:val="none" w:sz="0" w:space="0" w:color="auto"/>
        <w:right w:val="none" w:sz="0" w:space="0" w:color="auto"/>
      </w:divBdr>
    </w:div>
    <w:div w:id="2047371962">
      <w:bodyDiv w:val="1"/>
      <w:marLeft w:val="0"/>
      <w:marRight w:val="0"/>
      <w:marTop w:val="0"/>
      <w:marBottom w:val="0"/>
      <w:divBdr>
        <w:top w:val="none" w:sz="0" w:space="0" w:color="auto"/>
        <w:left w:val="none" w:sz="0" w:space="0" w:color="auto"/>
        <w:bottom w:val="none" w:sz="0" w:space="0" w:color="auto"/>
        <w:right w:val="none" w:sz="0" w:space="0" w:color="auto"/>
      </w:divBdr>
    </w:div>
    <w:div w:id="2065399359">
      <w:bodyDiv w:val="1"/>
      <w:marLeft w:val="0"/>
      <w:marRight w:val="0"/>
      <w:marTop w:val="0"/>
      <w:marBottom w:val="0"/>
      <w:divBdr>
        <w:top w:val="none" w:sz="0" w:space="0" w:color="auto"/>
        <w:left w:val="none" w:sz="0" w:space="0" w:color="auto"/>
        <w:bottom w:val="none" w:sz="0" w:space="0" w:color="auto"/>
        <w:right w:val="none" w:sz="0" w:space="0" w:color="auto"/>
      </w:divBdr>
    </w:div>
    <w:div w:id="2072345378">
      <w:bodyDiv w:val="1"/>
      <w:marLeft w:val="0"/>
      <w:marRight w:val="0"/>
      <w:marTop w:val="0"/>
      <w:marBottom w:val="0"/>
      <w:divBdr>
        <w:top w:val="none" w:sz="0" w:space="0" w:color="auto"/>
        <w:left w:val="none" w:sz="0" w:space="0" w:color="auto"/>
        <w:bottom w:val="none" w:sz="0" w:space="0" w:color="auto"/>
        <w:right w:val="none" w:sz="0" w:space="0" w:color="auto"/>
      </w:divBdr>
    </w:div>
    <w:div w:id="2077164472">
      <w:bodyDiv w:val="1"/>
      <w:marLeft w:val="0"/>
      <w:marRight w:val="0"/>
      <w:marTop w:val="0"/>
      <w:marBottom w:val="0"/>
      <w:divBdr>
        <w:top w:val="none" w:sz="0" w:space="0" w:color="auto"/>
        <w:left w:val="none" w:sz="0" w:space="0" w:color="auto"/>
        <w:bottom w:val="none" w:sz="0" w:space="0" w:color="auto"/>
        <w:right w:val="none" w:sz="0" w:space="0" w:color="auto"/>
      </w:divBdr>
    </w:div>
    <w:div w:id="2098942414">
      <w:bodyDiv w:val="1"/>
      <w:marLeft w:val="0"/>
      <w:marRight w:val="0"/>
      <w:marTop w:val="0"/>
      <w:marBottom w:val="0"/>
      <w:divBdr>
        <w:top w:val="none" w:sz="0" w:space="0" w:color="auto"/>
        <w:left w:val="none" w:sz="0" w:space="0" w:color="auto"/>
        <w:bottom w:val="none" w:sz="0" w:space="0" w:color="auto"/>
        <w:right w:val="none" w:sz="0" w:space="0" w:color="auto"/>
      </w:divBdr>
    </w:div>
    <w:div w:id="2109427233">
      <w:bodyDiv w:val="1"/>
      <w:marLeft w:val="0"/>
      <w:marRight w:val="0"/>
      <w:marTop w:val="0"/>
      <w:marBottom w:val="0"/>
      <w:divBdr>
        <w:top w:val="none" w:sz="0" w:space="0" w:color="auto"/>
        <w:left w:val="none" w:sz="0" w:space="0" w:color="auto"/>
        <w:bottom w:val="none" w:sz="0" w:space="0" w:color="auto"/>
        <w:right w:val="none" w:sz="0" w:space="0" w:color="auto"/>
      </w:divBdr>
    </w:div>
    <w:div w:id="2120879767">
      <w:bodyDiv w:val="1"/>
      <w:marLeft w:val="0"/>
      <w:marRight w:val="0"/>
      <w:marTop w:val="0"/>
      <w:marBottom w:val="0"/>
      <w:divBdr>
        <w:top w:val="none" w:sz="0" w:space="0" w:color="auto"/>
        <w:left w:val="none" w:sz="0" w:space="0" w:color="auto"/>
        <w:bottom w:val="none" w:sz="0" w:space="0" w:color="auto"/>
        <w:right w:val="none" w:sz="0" w:space="0" w:color="auto"/>
      </w:divBdr>
    </w:div>
    <w:div w:id="2126848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1ABC-420B-48C2-BEA7-25D4242B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1178</Words>
  <Characters>6718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Серов Андрей Евгеньевич</dc:creator>
  <cp:lastModifiedBy>Серов Андрей Евгеньевич</cp:lastModifiedBy>
  <cp:revision>6</cp:revision>
  <cp:lastPrinted>2024-04-15T11:41:00Z</cp:lastPrinted>
  <dcterms:created xsi:type="dcterms:W3CDTF">2024-04-17T15:13:00Z</dcterms:created>
  <dcterms:modified xsi:type="dcterms:W3CDTF">2024-04-18T07:21:00Z</dcterms:modified>
</cp:coreProperties>
</file>