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D0A6" w14:textId="2375E319" w:rsidR="00B65D8F" w:rsidRPr="006C4935" w:rsidRDefault="00D4162A" w:rsidP="0098411C">
      <w:pPr>
        <w:jc w:val="center"/>
        <w:rPr>
          <w:rFonts w:asciiTheme="minorHAnsi" w:eastAsia="Times New Roman" w:hAnsiTheme="minorHAnsi" w:cstheme="minorHAnsi"/>
          <w:b/>
          <w:bCs/>
          <w:sz w:val="22"/>
          <w:szCs w:val="22"/>
          <w:lang w:val="en-GB"/>
        </w:rPr>
      </w:pPr>
      <w:r w:rsidRPr="006C4935">
        <w:rPr>
          <w:rFonts w:asciiTheme="minorHAnsi" w:hAnsiTheme="minorHAnsi" w:cstheme="minorHAnsi"/>
          <w:noProof/>
          <w:sz w:val="22"/>
          <w:szCs w:val="22"/>
          <w:lang w:val="ru-RU"/>
        </w:rPr>
        <w:drawing>
          <wp:inline distT="0" distB="0" distL="0" distR="0" wp14:anchorId="7C95EC1A" wp14:editId="1E8FA0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CD0403" w:rsidRPr="006C4935" w:rsidRDefault="00CD0403" w:rsidP="00B14B91">
      <w:pPr>
        <w:jc w:val="center"/>
        <w:rPr>
          <w:rFonts w:asciiTheme="minorHAnsi" w:eastAsia="Times New Roman" w:hAnsiTheme="minorHAnsi" w:cstheme="minorHAnsi"/>
          <w:b/>
          <w:bCs/>
          <w:sz w:val="22"/>
          <w:szCs w:val="22"/>
          <w:lang w:val="en-GB"/>
        </w:rPr>
      </w:pPr>
    </w:p>
    <w:p w14:paraId="195927EB" w14:textId="4401A7EA" w:rsidR="00104362" w:rsidRPr="006C4935" w:rsidRDefault="00A4062A" w:rsidP="00977D38">
      <w:pPr>
        <w:spacing w:after="120"/>
        <w:jc w:val="center"/>
        <w:rPr>
          <w:rFonts w:asciiTheme="minorHAnsi" w:hAnsiTheme="minorHAnsi" w:cstheme="minorHAnsi"/>
          <w:b/>
          <w:bCs/>
          <w:sz w:val="22"/>
          <w:szCs w:val="22"/>
          <w:lang w:val="en-GB"/>
        </w:rPr>
      </w:pPr>
      <w:r w:rsidRPr="006C4935">
        <w:rPr>
          <w:rFonts w:asciiTheme="minorHAnsi" w:hAnsiTheme="minorHAnsi" w:cstheme="minorHAnsi"/>
          <w:b/>
          <w:bCs/>
          <w:sz w:val="22"/>
          <w:szCs w:val="22"/>
          <w:lang w:val="en-GB"/>
        </w:rPr>
        <w:t>PhosAgro Reports Operating and Financial Results for 1Q 2024</w:t>
      </w:r>
    </w:p>
    <w:p w14:paraId="0DCB9B63" w14:textId="64487C67" w:rsidR="00A4062A" w:rsidRPr="006C4935" w:rsidRDefault="00F00C73"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
          <w:bCs/>
          <w:color w:val="auto"/>
          <w:sz w:val="22"/>
          <w:szCs w:val="22"/>
          <w:lang w:val="en-GB"/>
        </w:rPr>
        <w:t>Moscow</w:t>
      </w:r>
      <w:r w:rsidR="0039768B" w:rsidRPr="006C4935">
        <w:rPr>
          <w:rFonts w:asciiTheme="minorHAnsi" w:hAnsiTheme="minorHAnsi" w:cstheme="minorHAnsi"/>
          <w:b/>
          <w:bCs/>
          <w:color w:val="auto"/>
          <w:sz w:val="22"/>
          <w:szCs w:val="22"/>
          <w:lang w:val="en-GB"/>
        </w:rPr>
        <w:t xml:space="preserve"> –</w:t>
      </w:r>
      <w:r w:rsidR="00A54A6D">
        <w:rPr>
          <w:rFonts w:asciiTheme="minorHAnsi" w:hAnsiTheme="minorHAnsi" w:cstheme="minorHAnsi"/>
          <w:b/>
          <w:bCs/>
          <w:color w:val="auto"/>
          <w:sz w:val="22"/>
          <w:szCs w:val="22"/>
          <w:lang w:val="en-GB"/>
        </w:rPr>
        <w:t xml:space="preserve"> 27</w:t>
      </w:r>
      <w:r w:rsidR="00A54A6D" w:rsidRPr="00A54A6D">
        <w:rPr>
          <w:rFonts w:asciiTheme="minorHAnsi" w:hAnsiTheme="minorHAnsi" w:cstheme="minorHAnsi"/>
          <w:b/>
          <w:bCs/>
          <w:color w:val="auto"/>
          <w:sz w:val="22"/>
          <w:szCs w:val="22"/>
          <w:vertAlign w:val="superscript"/>
          <w:lang w:val="en-GB"/>
        </w:rPr>
        <w:t>th</w:t>
      </w:r>
      <w:r w:rsidR="00A54A6D">
        <w:rPr>
          <w:rFonts w:asciiTheme="minorHAnsi" w:hAnsiTheme="minorHAnsi" w:cstheme="minorHAnsi"/>
          <w:b/>
          <w:bCs/>
          <w:color w:val="auto"/>
          <w:sz w:val="22"/>
          <w:szCs w:val="22"/>
          <w:lang w:val="en-GB"/>
        </w:rPr>
        <w:t xml:space="preserve"> May 2024 – </w:t>
      </w:r>
      <w:r w:rsidR="00A4062A" w:rsidRPr="006C4935">
        <w:rPr>
          <w:rFonts w:asciiTheme="minorHAnsi" w:hAnsiTheme="minorHAnsi" w:cstheme="minorHAnsi"/>
          <w:bCs/>
          <w:color w:val="auto"/>
          <w:sz w:val="22"/>
          <w:szCs w:val="22"/>
          <w:lang w:val="en-GB"/>
        </w:rPr>
        <w:t xml:space="preserve">PhosAgro (“PhosAgro” or “the Company”) (Moscow Exchange, LSE: PHOR), one of the world’s leading vertically integrated phosphate-based fertilizer producers, today announces its consolidated </w:t>
      </w:r>
      <w:r w:rsidR="006C4935" w:rsidRPr="006C4935">
        <w:rPr>
          <w:rFonts w:asciiTheme="minorHAnsi" w:hAnsiTheme="minorHAnsi" w:cstheme="minorHAnsi"/>
          <w:bCs/>
          <w:color w:val="auto"/>
          <w:sz w:val="22"/>
          <w:szCs w:val="22"/>
          <w:lang w:val="en-GB"/>
        </w:rPr>
        <w:t xml:space="preserve">interim condensed </w:t>
      </w:r>
      <w:r w:rsidR="00A4062A" w:rsidRPr="006C4935">
        <w:rPr>
          <w:rFonts w:asciiTheme="minorHAnsi" w:hAnsiTheme="minorHAnsi" w:cstheme="minorHAnsi"/>
          <w:bCs/>
          <w:color w:val="auto"/>
          <w:sz w:val="22"/>
          <w:szCs w:val="22"/>
          <w:lang w:val="en-GB"/>
        </w:rPr>
        <w:t xml:space="preserve">financial results for the </w:t>
      </w:r>
      <w:r w:rsidR="006C4935" w:rsidRPr="006C4935">
        <w:rPr>
          <w:rFonts w:asciiTheme="minorHAnsi" w:hAnsiTheme="minorHAnsi" w:cstheme="minorHAnsi"/>
          <w:bCs/>
          <w:color w:val="auto"/>
          <w:sz w:val="22"/>
          <w:szCs w:val="22"/>
          <w:lang w:val="en-GB"/>
        </w:rPr>
        <w:t>three months end</w:t>
      </w:r>
      <w:r w:rsidR="00BB3828">
        <w:rPr>
          <w:rFonts w:asciiTheme="minorHAnsi" w:hAnsiTheme="minorHAnsi" w:cstheme="minorHAnsi"/>
          <w:bCs/>
          <w:color w:val="auto"/>
          <w:sz w:val="22"/>
          <w:szCs w:val="22"/>
          <w:lang w:val="en-GB"/>
        </w:rPr>
        <w:t>ed</w:t>
      </w:r>
      <w:r w:rsidR="006C4935" w:rsidRPr="006C4935">
        <w:rPr>
          <w:rFonts w:asciiTheme="minorHAnsi" w:hAnsiTheme="minorHAnsi" w:cstheme="minorHAnsi"/>
          <w:bCs/>
          <w:color w:val="auto"/>
          <w:sz w:val="22"/>
          <w:szCs w:val="22"/>
          <w:lang w:val="en-GB"/>
        </w:rPr>
        <w:t xml:space="preserve"> 31</w:t>
      </w:r>
      <w:r w:rsidR="00BB3828" w:rsidRPr="00BB3828">
        <w:rPr>
          <w:rFonts w:asciiTheme="minorHAnsi" w:hAnsiTheme="minorHAnsi" w:cstheme="minorHAnsi"/>
          <w:bCs/>
          <w:color w:val="auto"/>
          <w:sz w:val="22"/>
          <w:szCs w:val="22"/>
          <w:vertAlign w:val="superscript"/>
          <w:lang w:val="en-GB"/>
        </w:rPr>
        <w:t>st</w:t>
      </w:r>
      <w:r w:rsidR="00BB3828">
        <w:rPr>
          <w:rFonts w:asciiTheme="minorHAnsi" w:hAnsiTheme="minorHAnsi" w:cstheme="minorHAnsi"/>
          <w:bCs/>
          <w:color w:val="auto"/>
          <w:sz w:val="22"/>
          <w:szCs w:val="22"/>
          <w:lang w:val="en-GB"/>
        </w:rPr>
        <w:t xml:space="preserve"> </w:t>
      </w:r>
      <w:r w:rsidR="006C4935" w:rsidRPr="006C4935">
        <w:rPr>
          <w:rFonts w:asciiTheme="minorHAnsi" w:hAnsiTheme="minorHAnsi" w:cstheme="minorHAnsi"/>
          <w:bCs/>
          <w:color w:val="auto"/>
          <w:sz w:val="22"/>
          <w:szCs w:val="22"/>
          <w:lang w:val="en-GB"/>
        </w:rPr>
        <w:t>March</w:t>
      </w:r>
      <w:r w:rsidR="00A4062A" w:rsidRPr="006C4935">
        <w:rPr>
          <w:rFonts w:asciiTheme="minorHAnsi" w:hAnsiTheme="minorHAnsi" w:cstheme="minorHAnsi"/>
          <w:bCs/>
          <w:color w:val="auto"/>
          <w:sz w:val="22"/>
          <w:szCs w:val="22"/>
          <w:lang w:val="en-GB"/>
        </w:rPr>
        <w:t xml:space="preserve"> 2024. </w:t>
      </w:r>
    </w:p>
    <w:p w14:paraId="5714E122" w14:textId="77777777" w:rsidR="00A4062A" w:rsidRPr="006C4935" w:rsidRDefault="00A4062A" w:rsidP="00A4062A">
      <w:pPr>
        <w:spacing w:after="120"/>
        <w:jc w:val="both"/>
        <w:rPr>
          <w:rFonts w:asciiTheme="minorHAnsi" w:hAnsiTheme="minorHAnsi" w:cstheme="minorHAnsi"/>
          <w:b/>
          <w:color w:val="auto"/>
          <w:sz w:val="22"/>
          <w:szCs w:val="22"/>
          <w:lang w:val="en-GB"/>
        </w:rPr>
      </w:pPr>
      <w:r w:rsidRPr="006C4935">
        <w:rPr>
          <w:rFonts w:asciiTheme="minorHAnsi" w:hAnsiTheme="minorHAnsi" w:cstheme="minorHAnsi"/>
          <w:b/>
          <w:color w:val="auto"/>
          <w:sz w:val="22"/>
          <w:szCs w:val="22"/>
          <w:lang w:val="en-GB"/>
        </w:rPr>
        <w:t>1Q 2024 highlights</w:t>
      </w:r>
    </w:p>
    <w:p w14:paraId="570DA9B8" w14:textId="28EAF88C"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Production of agrochemicals in 1Q 2024 increased by 6.9% year-on-year to 3.0</w:t>
      </w:r>
      <w:r w:rsidR="006C4935" w:rsidRPr="006C4935">
        <w:rPr>
          <w:rFonts w:asciiTheme="minorHAnsi" w:hAnsiTheme="minorHAnsi" w:cstheme="minorHAnsi"/>
          <w:bCs/>
          <w:color w:val="auto"/>
          <w:sz w:val="22"/>
          <w:szCs w:val="22"/>
          <w:lang w:val="en-GB"/>
        </w:rPr>
        <w:t>1</w:t>
      </w:r>
      <w:r w:rsidRPr="006C4935">
        <w:rPr>
          <w:rFonts w:asciiTheme="minorHAnsi" w:hAnsiTheme="minorHAnsi" w:cstheme="minorHAnsi"/>
          <w:bCs/>
          <w:color w:val="auto"/>
          <w:sz w:val="22"/>
          <w:szCs w:val="22"/>
          <w:lang w:val="en-GB"/>
        </w:rPr>
        <w:t xml:space="preserve"> million tonnes. This growth was driven mainly by a 9.2% increase in the production of phosphate-based fertilizers and feed phosphates, to 2.26 million tonnes. </w:t>
      </w:r>
    </w:p>
    <w:p w14:paraId="02651555"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Total fertilizer sales in 1Q 2024 increased by 11.4% year-on-year to over 3 million tonnes. At the same time, sales of phosphate-based fertilizers and feed phosphates rose 16%.</w:t>
      </w:r>
    </w:p>
    <w:p w14:paraId="7AF010C0"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Revenue for 1Q 2024 amounted to RUB 119.3 billion (USD 1.31 billion), an increase of 2.7% year-on-year amid increased production and sales. </w:t>
      </w:r>
    </w:p>
    <w:p w14:paraId="66BFA2C4" w14:textId="1C33CF93"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The Company’s EBITDA was RUB 39.1 billion (USD 0.43 billion) in 1Q 2024, down 29.5% year-on-year. </w:t>
      </w:r>
    </w:p>
    <w:p w14:paraId="60D42446" w14:textId="0AAEFAFE"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In 1Q 2024, the Company’s free cash flow amounted to RUB 1.8 billion (USD 18 million)</w:t>
      </w:r>
      <w:r w:rsidR="006C4935" w:rsidRPr="006C4935">
        <w:rPr>
          <w:rFonts w:asciiTheme="minorHAnsi" w:hAnsiTheme="minorHAnsi" w:cstheme="minorHAnsi"/>
          <w:bCs/>
          <w:color w:val="auto"/>
          <w:sz w:val="22"/>
          <w:szCs w:val="22"/>
          <w:lang w:val="en-GB"/>
        </w:rPr>
        <w:t>, having entered positive territory in comparison with the previous quarter</w:t>
      </w:r>
      <w:r w:rsidRPr="006C4935">
        <w:rPr>
          <w:rFonts w:asciiTheme="minorHAnsi" w:hAnsiTheme="minorHAnsi" w:cstheme="minorHAnsi"/>
          <w:bCs/>
          <w:color w:val="auto"/>
          <w:sz w:val="22"/>
          <w:szCs w:val="22"/>
          <w:lang w:val="en-GB"/>
        </w:rPr>
        <w:t xml:space="preserve">. </w:t>
      </w:r>
    </w:p>
    <w:p w14:paraId="458080EC"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Net debt as of 31 March 2024 amounted to RUB 263.8 billion (USD 2.86 billion), and the net debt/EBITDA ratio at the end of the quarter was a comfortable 1.58x. </w:t>
      </w:r>
    </w:p>
    <w:p w14:paraId="6DDEC25C" w14:textId="77777777" w:rsidR="00A4062A" w:rsidRPr="006C4935" w:rsidRDefault="00A4062A" w:rsidP="00A4062A">
      <w:pPr>
        <w:spacing w:after="120"/>
        <w:jc w:val="both"/>
        <w:rPr>
          <w:rFonts w:asciiTheme="minorHAnsi" w:hAnsiTheme="minorHAnsi" w:cstheme="minorHAnsi"/>
          <w:b/>
          <w:color w:val="auto"/>
          <w:sz w:val="22"/>
          <w:szCs w:val="22"/>
          <w:lang w:val="en-GB"/>
        </w:rPr>
      </w:pPr>
      <w:r w:rsidRPr="006C4935">
        <w:rPr>
          <w:rFonts w:asciiTheme="minorHAnsi" w:hAnsiTheme="minorHAnsi" w:cstheme="minorHAnsi"/>
          <w:b/>
          <w:color w:val="auto"/>
          <w:sz w:val="22"/>
          <w:szCs w:val="22"/>
          <w:lang w:val="en-GB"/>
        </w:rPr>
        <w:t>Financial and operating highlights:</w:t>
      </w:r>
    </w:p>
    <w:tbl>
      <w:tblPr>
        <w:tblW w:w="9356" w:type="dxa"/>
        <w:tblLayout w:type="fixed"/>
        <w:tblLook w:val="04A0" w:firstRow="1" w:lastRow="0" w:firstColumn="1" w:lastColumn="0" w:noHBand="0" w:noVBand="1"/>
      </w:tblPr>
      <w:tblGrid>
        <w:gridCol w:w="3231"/>
        <w:gridCol w:w="2156"/>
        <w:gridCol w:w="1843"/>
        <w:gridCol w:w="2126"/>
      </w:tblGrid>
      <w:tr w:rsidR="00A4062A" w:rsidRPr="006C4935" w14:paraId="6482C6B2" w14:textId="77777777" w:rsidTr="002E2876">
        <w:trPr>
          <w:trHeight w:val="330"/>
        </w:trPr>
        <w:tc>
          <w:tcPr>
            <w:tcW w:w="9356" w:type="dxa"/>
            <w:gridSpan w:val="4"/>
            <w:tcBorders>
              <w:top w:val="nil"/>
              <w:left w:val="nil"/>
              <w:bottom w:val="single" w:sz="8" w:space="0" w:color="auto"/>
              <w:right w:val="nil"/>
            </w:tcBorders>
            <w:shd w:val="clear" w:color="000000" w:fill="2B87A2"/>
            <w:vAlign w:val="center"/>
            <w:hideMark/>
          </w:tcPr>
          <w:p w14:paraId="15D34174" w14:textId="77777777" w:rsidR="00A4062A" w:rsidRPr="006C4935" w:rsidRDefault="00A4062A" w:rsidP="002E2876">
            <w:pPr>
              <w:pStyle w:val="P68B1DB1-Normal4"/>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Financial highlights</w:t>
            </w:r>
          </w:p>
        </w:tc>
      </w:tr>
      <w:tr w:rsidR="00A4062A" w:rsidRPr="006C4935" w14:paraId="35F96448" w14:textId="77777777" w:rsidTr="002E2876">
        <w:trPr>
          <w:trHeight w:val="480"/>
        </w:trPr>
        <w:tc>
          <w:tcPr>
            <w:tcW w:w="3231" w:type="dxa"/>
            <w:tcBorders>
              <w:top w:val="nil"/>
              <w:left w:val="nil"/>
              <w:bottom w:val="nil"/>
              <w:right w:val="nil"/>
            </w:tcBorders>
            <w:shd w:val="clear" w:color="auto" w:fill="auto"/>
            <w:vAlign w:val="center"/>
            <w:hideMark/>
          </w:tcPr>
          <w:p w14:paraId="080D866A" w14:textId="77777777" w:rsidR="00A4062A" w:rsidRPr="006C4935" w:rsidRDefault="00A4062A" w:rsidP="002E2876">
            <w:pPr>
              <w:pStyle w:val="P68B1DB1-Normal5"/>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RUB mln</w:t>
            </w:r>
          </w:p>
        </w:tc>
        <w:tc>
          <w:tcPr>
            <w:tcW w:w="2156" w:type="dxa"/>
            <w:tcBorders>
              <w:top w:val="nil"/>
              <w:left w:val="nil"/>
              <w:bottom w:val="nil"/>
              <w:right w:val="nil"/>
            </w:tcBorders>
            <w:shd w:val="clear" w:color="auto" w:fill="auto"/>
            <w:vAlign w:val="center"/>
          </w:tcPr>
          <w:p w14:paraId="09EA4BA1"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2024</w:t>
            </w:r>
          </w:p>
        </w:tc>
        <w:tc>
          <w:tcPr>
            <w:tcW w:w="1843" w:type="dxa"/>
            <w:tcBorders>
              <w:top w:val="nil"/>
              <w:left w:val="nil"/>
              <w:bottom w:val="nil"/>
              <w:right w:val="nil"/>
            </w:tcBorders>
            <w:shd w:val="clear" w:color="auto" w:fill="auto"/>
            <w:vAlign w:val="center"/>
          </w:tcPr>
          <w:p w14:paraId="7C641F06"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2023</w:t>
            </w:r>
          </w:p>
        </w:tc>
        <w:tc>
          <w:tcPr>
            <w:tcW w:w="2126" w:type="dxa"/>
            <w:tcBorders>
              <w:top w:val="nil"/>
              <w:left w:val="nil"/>
              <w:bottom w:val="nil"/>
              <w:right w:val="nil"/>
            </w:tcBorders>
            <w:shd w:val="clear" w:color="000000" w:fill="E3F1F7"/>
            <w:vAlign w:val="center"/>
            <w:hideMark/>
          </w:tcPr>
          <w:p w14:paraId="28072A95" w14:textId="77777777" w:rsidR="00A4062A" w:rsidRPr="006C4935" w:rsidRDefault="00A4062A" w:rsidP="002E2876">
            <w:pPr>
              <w:pStyle w:val="P68B1DB1-Normal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Change, %</w:t>
            </w:r>
          </w:p>
        </w:tc>
      </w:tr>
      <w:tr w:rsidR="00A4062A" w:rsidRPr="006C4935" w14:paraId="77C1F831" w14:textId="77777777" w:rsidTr="002E2876">
        <w:trPr>
          <w:trHeight w:val="300"/>
        </w:trPr>
        <w:tc>
          <w:tcPr>
            <w:tcW w:w="3231" w:type="dxa"/>
            <w:tcBorders>
              <w:top w:val="nil"/>
              <w:left w:val="nil"/>
              <w:bottom w:val="nil"/>
              <w:right w:val="nil"/>
            </w:tcBorders>
            <w:shd w:val="clear" w:color="auto" w:fill="auto"/>
            <w:vAlign w:val="center"/>
            <w:hideMark/>
          </w:tcPr>
          <w:p w14:paraId="3B88E2F1"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Revenue</w:t>
            </w:r>
          </w:p>
        </w:tc>
        <w:tc>
          <w:tcPr>
            <w:tcW w:w="2156" w:type="dxa"/>
            <w:tcBorders>
              <w:top w:val="nil"/>
              <w:left w:val="nil"/>
              <w:bottom w:val="nil"/>
              <w:right w:val="nil"/>
            </w:tcBorders>
            <w:shd w:val="clear" w:color="auto" w:fill="auto"/>
            <w:vAlign w:val="center"/>
          </w:tcPr>
          <w:p w14:paraId="0D7707A7"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119,272</w:t>
            </w:r>
          </w:p>
        </w:tc>
        <w:tc>
          <w:tcPr>
            <w:tcW w:w="1843" w:type="dxa"/>
            <w:tcBorders>
              <w:top w:val="nil"/>
              <w:left w:val="nil"/>
              <w:bottom w:val="nil"/>
              <w:right w:val="nil"/>
            </w:tcBorders>
            <w:shd w:val="clear" w:color="auto" w:fill="auto"/>
            <w:vAlign w:val="center"/>
          </w:tcPr>
          <w:p w14:paraId="2A6D4BD0"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116,178</w:t>
            </w:r>
          </w:p>
        </w:tc>
        <w:tc>
          <w:tcPr>
            <w:tcW w:w="2126" w:type="dxa"/>
            <w:tcBorders>
              <w:top w:val="nil"/>
              <w:left w:val="nil"/>
              <w:bottom w:val="nil"/>
              <w:right w:val="nil"/>
            </w:tcBorders>
            <w:shd w:val="clear" w:color="000000" w:fill="E3F1F7"/>
            <w:vAlign w:val="center"/>
          </w:tcPr>
          <w:p w14:paraId="3E02429B" w14:textId="77777777" w:rsidR="00A4062A" w:rsidRPr="006C4935" w:rsidRDefault="00A4062A" w:rsidP="002E2876">
            <w:pPr>
              <w:pStyle w:val="P68B1DB1-Normal10"/>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2.7%</w:t>
            </w:r>
          </w:p>
        </w:tc>
      </w:tr>
      <w:tr w:rsidR="00A4062A" w:rsidRPr="006C4935" w14:paraId="287CB2E0" w14:textId="77777777" w:rsidTr="002E2876">
        <w:trPr>
          <w:trHeight w:val="300"/>
        </w:trPr>
        <w:tc>
          <w:tcPr>
            <w:tcW w:w="3231" w:type="dxa"/>
            <w:tcBorders>
              <w:top w:val="nil"/>
              <w:left w:val="nil"/>
              <w:bottom w:val="nil"/>
              <w:right w:val="nil"/>
            </w:tcBorders>
            <w:shd w:val="clear" w:color="auto" w:fill="auto"/>
            <w:vAlign w:val="center"/>
            <w:hideMark/>
          </w:tcPr>
          <w:p w14:paraId="675B5F5E"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EBITDA*</w:t>
            </w:r>
          </w:p>
        </w:tc>
        <w:tc>
          <w:tcPr>
            <w:tcW w:w="2156" w:type="dxa"/>
            <w:tcBorders>
              <w:top w:val="nil"/>
              <w:left w:val="nil"/>
              <w:bottom w:val="nil"/>
              <w:right w:val="nil"/>
            </w:tcBorders>
            <w:shd w:val="clear" w:color="auto" w:fill="auto"/>
            <w:vAlign w:val="center"/>
          </w:tcPr>
          <w:p w14:paraId="376684D2"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39,060</w:t>
            </w:r>
          </w:p>
        </w:tc>
        <w:tc>
          <w:tcPr>
            <w:tcW w:w="1843" w:type="dxa"/>
            <w:tcBorders>
              <w:top w:val="nil"/>
              <w:left w:val="nil"/>
              <w:bottom w:val="nil"/>
              <w:right w:val="nil"/>
            </w:tcBorders>
            <w:shd w:val="clear" w:color="auto" w:fill="auto"/>
            <w:vAlign w:val="center"/>
          </w:tcPr>
          <w:p w14:paraId="730246CD"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55,395</w:t>
            </w:r>
          </w:p>
        </w:tc>
        <w:tc>
          <w:tcPr>
            <w:tcW w:w="2126" w:type="dxa"/>
            <w:tcBorders>
              <w:top w:val="nil"/>
              <w:left w:val="nil"/>
              <w:bottom w:val="nil"/>
              <w:right w:val="nil"/>
            </w:tcBorders>
            <w:shd w:val="clear" w:color="000000" w:fill="E3F1F7"/>
            <w:vAlign w:val="center"/>
          </w:tcPr>
          <w:p w14:paraId="3963107F"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-29.5%</w:t>
            </w:r>
          </w:p>
        </w:tc>
      </w:tr>
      <w:tr w:rsidR="00A4062A" w:rsidRPr="006C4935" w14:paraId="42377454" w14:textId="77777777" w:rsidTr="002E2876">
        <w:trPr>
          <w:trHeight w:val="300"/>
        </w:trPr>
        <w:tc>
          <w:tcPr>
            <w:tcW w:w="3231" w:type="dxa"/>
            <w:tcBorders>
              <w:top w:val="nil"/>
              <w:left w:val="nil"/>
              <w:bottom w:val="nil"/>
              <w:right w:val="nil"/>
            </w:tcBorders>
            <w:shd w:val="clear" w:color="auto" w:fill="auto"/>
            <w:vAlign w:val="center"/>
          </w:tcPr>
          <w:p w14:paraId="52E713F0" w14:textId="77777777" w:rsidR="00A4062A" w:rsidRPr="006C4935" w:rsidRDefault="00A4062A" w:rsidP="002E2876">
            <w:pPr>
              <w:pStyle w:val="P68B1DB1-Normal11"/>
              <w:spacing w:after="0" w:line="240" w:lineRule="auto"/>
              <w:jc w:val="right"/>
              <w:rPr>
                <w:rFonts w:asciiTheme="minorHAnsi" w:hAnsiTheme="minorHAnsi" w:cstheme="minorHAnsi"/>
                <w:sz w:val="22"/>
                <w:szCs w:val="22"/>
                <w:lang w:val="en-GB"/>
              </w:rPr>
            </w:pPr>
            <w:r w:rsidRPr="006C4935">
              <w:rPr>
                <w:rFonts w:asciiTheme="minorHAnsi" w:hAnsiTheme="minorHAnsi" w:cstheme="minorHAnsi"/>
                <w:sz w:val="22"/>
                <w:szCs w:val="22"/>
                <w:lang w:val="en-GB"/>
              </w:rPr>
              <w:t>EBITDA margin</w:t>
            </w:r>
          </w:p>
        </w:tc>
        <w:tc>
          <w:tcPr>
            <w:tcW w:w="2156" w:type="dxa"/>
            <w:tcBorders>
              <w:top w:val="nil"/>
              <w:left w:val="nil"/>
              <w:bottom w:val="nil"/>
              <w:right w:val="nil"/>
            </w:tcBorders>
            <w:shd w:val="clear" w:color="auto" w:fill="auto"/>
            <w:vAlign w:val="center"/>
          </w:tcPr>
          <w:p w14:paraId="05F4D2DB"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32.7%</w:t>
            </w:r>
          </w:p>
        </w:tc>
        <w:tc>
          <w:tcPr>
            <w:tcW w:w="1843" w:type="dxa"/>
            <w:tcBorders>
              <w:top w:val="nil"/>
              <w:left w:val="nil"/>
              <w:bottom w:val="nil"/>
              <w:right w:val="nil"/>
            </w:tcBorders>
            <w:shd w:val="clear" w:color="auto" w:fill="auto"/>
            <w:vAlign w:val="center"/>
          </w:tcPr>
          <w:p w14:paraId="1C49C7EB"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47.7%</w:t>
            </w:r>
          </w:p>
        </w:tc>
        <w:tc>
          <w:tcPr>
            <w:tcW w:w="2126" w:type="dxa"/>
            <w:tcBorders>
              <w:top w:val="nil"/>
              <w:left w:val="nil"/>
              <w:bottom w:val="nil"/>
              <w:right w:val="nil"/>
            </w:tcBorders>
            <w:shd w:val="clear" w:color="000000" w:fill="E3F1F7"/>
            <w:vAlign w:val="center"/>
          </w:tcPr>
          <w:p w14:paraId="55874A3A"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 </w:t>
            </w:r>
          </w:p>
        </w:tc>
      </w:tr>
      <w:tr w:rsidR="00A4062A" w:rsidRPr="006C4935" w14:paraId="0D90C474" w14:textId="77777777" w:rsidTr="002E2876">
        <w:trPr>
          <w:trHeight w:val="300"/>
        </w:trPr>
        <w:tc>
          <w:tcPr>
            <w:tcW w:w="3231" w:type="dxa"/>
            <w:tcBorders>
              <w:top w:val="nil"/>
              <w:left w:val="nil"/>
              <w:bottom w:val="nil"/>
              <w:right w:val="nil"/>
            </w:tcBorders>
            <w:shd w:val="clear" w:color="auto" w:fill="auto"/>
            <w:vAlign w:val="center"/>
          </w:tcPr>
          <w:p w14:paraId="64768B83"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Adj. EBITDA**</w:t>
            </w:r>
          </w:p>
        </w:tc>
        <w:tc>
          <w:tcPr>
            <w:tcW w:w="2156" w:type="dxa"/>
            <w:tcBorders>
              <w:top w:val="nil"/>
              <w:left w:val="nil"/>
              <w:bottom w:val="nil"/>
              <w:right w:val="nil"/>
            </w:tcBorders>
            <w:shd w:val="clear" w:color="auto" w:fill="auto"/>
            <w:vAlign w:val="center"/>
          </w:tcPr>
          <w:p w14:paraId="32D307FE"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37,876</w:t>
            </w:r>
          </w:p>
        </w:tc>
        <w:tc>
          <w:tcPr>
            <w:tcW w:w="1843" w:type="dxa"/>
            <w:tcBorders>
              <w:top w:val="nil"/>
              <w:left w:val="nil"/>
              <w:bottom w:val="nil"/>
              <w:right w:val="nil"/>
            </w:tcBorders>
            <w:shd w:val="clear" w:color="auto" w:fill="auto"/>
            <w:vAlign w:val="center"/>
          </w:tcPr>
          <w:p w14:paraId="64E66839"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48,978</w:t>
            </w:r>
          </w:p>
        </w:tc>
        <w:tc>
          <w:tcPr>
            <w:tcW w:w="2126" w:type="dxa"/>
            <w:tcBorders>
              <w:top w:val="nil"/>
              <w:left w:val="nil"/>
              <w:bottom w:val="nil"/>
              <w:right w:val="nil"/>
            </w:tcBorders>
            <w:shd w:val="clear" w:color="000000" w:fill="E3F1F7"/>
            <w:vAlign w:val="center"/>
          </w:tcPr>
          <w:p w14:paraId="76394173" w14:textId="77777777" w:rsidR="00A4062A" w:rsidRPr="006C4935" w:rsidRDefault="00A4062A" w:rsidP="002E2876">
            <w:pPr>
              <w:pStyle w:val="P68B1DB1-Normal10"/>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-22.7%</w:t>
            </w:r>
          </w:p>
        </w:tc>
      </w:tr>
      <w:tr w:rsidR="00A4062A" w:rsidRPr="006C4935" w14:paraId="0A946462" w14:textId="77777777" w:rsidTr="002E2876">
        <w:trPr>
          <w:trHeight w:val="300"/>
        </w:trPr>
        <w:tc>
          <w:tcPr>
            <w:tcW w:w="3231" w:type="dxa"/>
            <w:tcBorders>
              <w:top w:val="nil"/>
              <w:left w:val="nil"/>
              <w:bottom w:val="nil"/>
              <w:right w:val="nil"/>
            </w:tcBorders>
            <w:shd w:val="clear" w:color="auto" w:fill="auto"/>
            <w:vAlign w:val="center"/>
            <w:hideMark/>
          </w:tcPr>
          <w:p w14:paraId="05CD4A5F"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Net profit</w:t>
            </w:r>
          </w:p>
        </w:tc>
        <w:tc>
          <w:tcPr>
            <w:tcW w:w="2156" w:type="dxa"/>
            <w:tcBorders>
              <w:top w:val="nil"/>
              <w:left w:val="nil"/>
              <w:bottom w:val="nil"/>
              <w:right w:val="nil"/>
            </w:tcBorders>
            <w:shd w:val="clear" w:color="auto" w:fill="auto"/>
            <w:vAlign w:val="center"/>
          </w:tcPr>
          <w:p w14:paraId="2FAAC2C7"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18,754</w:t>
            </w:r>
          </w:p>
        </w:tc>
        <w:tc>
          <w:tcPr>
            <w:tcW w:w="1843" w:type="dxa"/>
            <w:tcBorders>
              <w:top w:val="nil"/>
              <w:left w:val="nil"/>
              <w:bottom w:val="nil"/>
              <w:right w:val="nil"/>
            </w:tcBorders>
            <w:shd w:val="clear" w:color="auto" w:fill="auto"/>
            <w:vAlign w:val="center"/>
          </w:tcPr>
          <w:p w14:paraId="44FF22D6"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28,059</w:t>
            </w:r>
          </w:p>
        </w:tc>
        <w:tc>
          <w:tcPr>
            <w:tcW w:w="2126" w:type="dxa"/>
            <w:tcBorders>
              <w:top w:val="nil"/>
              <w:left w:val="nil"/>
              <w:bottom w:val="nil"/>
              <w:right w:val="nil"/>
            </w:tcBorders>
            <w:shd w:val="clear" w:color="000000" w:fill="E3F1F7"/>
            <w:vAlign w:val="center"/>
          </w:tcPr>
          <w:p w14:paraId="0AE83DB8" w14:textId="77777777" w:rsidR="00A4062A" w:rsidRPr="006C4935" w:rsidRDefault="00A4062A" w:rsidP="002E2876">
            <w:pPr>
              <w:pStyle w:val="P68B1DB1-Normal10"/>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-33.2%</w:t>
            </w:r>
          </w:p>
        </w:tc>
      </w:tr>
      <w:tr w:rsidR="00A4062A" w:rsidRPr="006C4935" w14:paraId="4A3A5D57" w14:textId="77777777" w:rsidTr="002E2876">
        <w:trPr>
          <w:trHeight w:val="300"/>
        </w:trPr>
        <w:tc>
          <w:tcPr>
            <w:tcW w:w="3231" w:type="dxa"/>
            <w:tcBorders>
              <w:top w:val="nil"/>
              <w:left w:val="nil"/>
              <w:bottom w:val="nil"/>
              <w:right w:val="nil"/>
            </w:tcBorders>
            <w:shd w:val="clear" w:color="auto" w:fill="auto"/>
            <w:vAlign w:val="center"/>
            <w:hideMark/>
          </w:tcPr>
          <w:p w14:paraId="79DBC157"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Adj. net profit***</w:t>
            </w:r>
          </w:p>
        </w:tc>
        <w:tc>
          <w:tcPr>
            <w:tcW w:w="2156" w:type="dxa"/>
            <w:tcBorders>
              <w:top w:val="nil"/>
              <w:left w:val="nil"/>
              <w:bottom w:val="nil"/>
              <w:right w:val="nil"/>
            </w:tcBorders>
            <w:shd w:val="clear" w:color="auto" w:fill="auto"/>
            <w:vAlign w:val="center"/>
          </w:tcPr>
          <w:p w14:paraId="7E951A37"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21,486</w:t>
            </w:r>
          </w:p>
        </w:tc>
        <w:tc>
          <w:tcPr>
            <w:tcW w:w="1843" w:type="dxa"/>
            <w:tcBorders>
              <w:top w:val="nil"/>
              <w:left w:val="nil"/>
              <w:bottom w:val="nil"/>
              <w:right w:val="nil"/>
            </w:tcBorders>
            <w:shd w:val="clear" w:color="auto" w:fill="auto"/>
            <w:vAlign w:val="center"/>
          </w:tcPr>
          <w:p w14:paraId="391BBAAC"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33,897</w:t>
            </w:r>
          </w:p>
        </w:tc>
        <w:tc>
          <w:tcPr>
            <w:tcW w:w="2126" w:type="dxa"/>
            <w:tcBorders>
              <w:top w:val="nil"/>
              <w:left w:val="nil"/>
              <w:bottom w:val="nil"/>
              <w:right w:val="nil"/>
            </w:tcBorders>
            <w:shd w:val="clear" w:color="000000" w:fill="E3F1F7"/>
            <w:vAlign w:val="center"/>
          </w:tcPr>
          <w:p w14:paraId="77D53AB6" w14:textId="77777777" w:rsidR="00A4062A" w:rsidRPr="006C4935" w:rsidRDefault="00A4062A" w:rsidP="002E2876">
            <w:pPr>
              <w:pStyle w:val="P68B1DB1-Normal10"/>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-36.6%</w:t>
            </w:r>
          </w:p>
        </w:tc>
      </w:tr>
      <w:tr w:rsidR="00A4062A" w:rsidRPr="006C4935" w14:paraId="47FD2263" w14:textId="77777777" w:rsidTr="002E2876">
        <w:trPr>
          <w:trHeight w:val="315"/>
        </w:trPr>
        <w:tc>
          <w:tcPr>
            <w:tcW w:w="3231" w:type="dxa"/>
            <w:tcBorders>
              <w:top w:val="nil"/>
              <w:left w:val="nil"/>
              <w:bottom w:val="nil"/>
              <w:right w:val="nil"/>
            </w:tcBorders>
            <w:shd w:val="clear" w:color="auto" w:fill="auto"/>
            <w:vAlign w:val="center"/>
            <w:hideMark/>
          </w:tcPr>
          <w:p w14:paraId="3C1BAAF2"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Free cash flow</w:t>
            </w:r>
          </w:p>
        </w:tc>
        <w:tc>
          <w:tcPr>
            <w:tcW w:w="2156" w:type="dxa"/>
            <w:tcBorders>
              <w:top w:val="nil"/>
              <w:left w:val="nil"/>
              <w:bottom w:val="nil"/>
              <w:right w:val="nil"/>
            </w:tcBorders>
            <w:shd w:val="clear" w:color="auto" w:fill="auto"/>
            <w:vAlign w:val="center"/>
          </w:tcPr>
          <w:p w14:paraId="0C79E5AD"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1,801</w:t>
            </w:r>
          </w:p>
        </w:tc>
        <w:tc>
          <w:tcPr>
            <w:tcW w:w="1843" w:type="dxa"/>
            <w:tcBorders>
              <w:top w:val="nil"/>
              <w:left w:val="nil"/>
              <w:bottom w:val="nil"/>
              <w:right w:val="nil"/>
            </w:tcBorders>
            <w:shd w:val="clear" w:color="auto" w:fill="auto"/>
            <w:vAlign w:val="center"/>
          </w:tcPr>
          <w:p w14:paraId="3B6CD692"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43,419</w:t>
            </w:r>
          </w:p>
        </w:tc>
        <w:tc>
          <w:tcPr>
            <w:tcW w:w="2126" w:type="dxa"/>
            <w:tcBorders>
              <w:top w:val="nil"/>
              <w:left w:val="nil"/>
              <w:bottom w:val="nil"/>
              <w:right w:val="nil"/>
            </w:tcBorders>
            <w:shd w:val="clear" w:color="000000" w:fill="E3F1F7"/>
            <w:vAlign w:val="center"/>
          </w:tcPr>
          <w:p w14:paraId="597065C5" w14:textId="77777777" w:rsidR="00A4062A" w:rsidRPr="006C4935" w:rsidRDefault="00A4062A" w:rsidP="002E2876">
            <w:pPr>
              <w:pStyle w:val="P68B1DB1-Normal10"/>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-95.9%</w:t>
            </w:r>
          </w:p>
        </w:tc>
      </w:tr>
      <w:tr w:rsidR="00A4062A" w:rsidRPr="006C4935" w14:paraId="493F3EE8" w14:textId="77777777" w:rsidTr="002E2876">
        <w:trPr>
          <w:trHeight w:val="315"/>
        </w:trPr>
        <w:tc>
          <w:tcPr>
            <w:tcW w:w="3231" w:type="dxa"/>
            <w:tcBorders>
              <w:top w:val="single" w:sz="8" w:space="0" w:color="auto"/>
              <w:left w:val="nil"/>
              <w:bottom w:val="single" w:sz="8" w:space="0" w:color="auto"/>
              <w:right w:val="nil"/>
            </w:tcBorders>
            <w:shd w:val="clear" w:color="auto" w:fill="auto"/>
            <w:vAlign w:val="center"/>
            <w:hideMark/>
          </w:tcPr>
          <w:p w14:paraId="551D186A" w14:textId="77777777" w:rsidR="00A4062A" w:rsidRPr="006C4935" w:rsidRDefault="00A4062A" w:rsidP="002E2876">
            <w:pPr>
              <w:pStyle w:val="P68B1DB1-Normal5"/>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 xml:space="preserve"> </w:t>
            </w:r>
          </w:p>
        </w:tc>
        <w:tc>
          <w:tcPr>
            <w:tcW w:w="2156" w:type="dxa"/>
            <w:tcBorders>
              <w:top w:val="single" w:sz="8" w:space="0" w:color="auto"/>
              <w:left w:val="nil"/>
              <w:bottom w:val="single" w:sz="8" w:space="0" w:color="auto"/>
              <w:right w:val="nil"/>
            </w:tcBorders>
            <w:shd w:val="clear" w:color="auto" w:fill="auto"/>
            <w:vAlign w:val="center"/>
          </w:tcPr>
          <w:p w14:paraId="583E7C4A" w14:textId="77777777" w:rsidR="00A4062A" w:rsidRPr="006C4935" w:rsidRDefault="00A4062A" w:rsidP="002E2876">
            <w:pPr>
              <w:pStyle w:val="P68B1DB1-Normal12"/>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31.03.2024</w:t>
            </w:r>
          </w:p>
        </w:tc>
        <w:tc>
          <w:tcPr>
            <w:tcW w:w="1843" w:type="dxa"/>
            <w:tcBorders>
              <w:top w:val="single" w:sz="8" w:space="0" w:color="auto"/>
              <w:left w:val="nil"/>
              <w:bottom w:val="single" w:sz="8" w:space="0" w:color="auto"/>
              <w:right w:val="nil"/>
            </w:tcBorders>
            <w:shd w:val="clear" w:color="auto" w:fill="auto"/>
            <w:vAlign w:val="center"/>
          </w:tcPr>
          <w:p w14:paraId="7032FE4B" w14:textId="77777777" w:rsidR="00A4062A" w:rsidRPr="006C4935" w:rsidRDefault="00A4062A" w:rsidP="002E2876">
            <w:pPr>
              <w:pStyle w:val="P68B1DB1-Normal12"/>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31.12.2023</w:t>
            </w:r>
          </w:p>
        </w:tc>
        <w:tc>
          <w:tcPr>
            <w:tcW w:w="2126" w:type="dxa"/>
            <w:tcBorders>
              <w:top w:val="single" w:sz="8" w:space="0" w:color="auto"/>
              <w:left w:val="nil"/>
              <w:bottom w:val="single" w:sz="8" w:space="0" w:color="auto"/>
              <w:right w:val="nil"/>
            </w:tcBorders>
            <w:shd w:val="clear" w:color="000000" w:fill="E3F1F7"/>
            <w:vAlign w:val="center"/>
            <w:hideMark/>
          </w:tcPr>
          <w:p w14:paraId="6F527429"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 </w:t>
            </w:r>
          </w:p>
        </w:tc>
      </w:tr>
      <w:tr w:rsidR="00A4062A" w:rsidRPr="006C4935" w14:paraId="3EEC603F" w14:textId="77777777" w:rsidTr="002E2876">
        <w:trPr>
          <w:trHeight w:val="300"/>
        </w:trPr>
        <w:tc>
          <w:tcPr>
            <w:tcW w:w="3231" w:type="dxa"/>
            <w:tcBorders>
              <w:top w:val="nil"/>
              <w:left w:val="nil"/>
              <w:bottom w:val="nil"/>
              <w:right w:val="nil"/>
            </w:tcBorders>
            <w:shd w:val="clear" w:color="auto" w:fill="auto"/>
            <w:vAlign w:val="center"/>
            <w:hideMark/>
          </w:tcPr>
          <w:p w14:paraId="1A5D276B"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Net debt</w:t>
            </w:r>
          </w:p>
        </w:tc>
        <w:tc>
          <w:tcPr>
            <w:tcW w:w="2156" w:type="dxa"/>
            <w:tcBorders>
              <w:top w:val="nil"/>
              <w:left w:val="nil"/>
              <w:bottom w:val="nil"/>
              <w:right w:val="nil"/>
            </w:tcBorders>
            <w:shd w:val="clear" w:color="auto" w:fill="auto"/>
            <w:vAlign w:val="center"/>
          </w:tcPr>
          <w:p w14:paraId="02BE053F"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263,839</w:t>
            </w:r>
          </w:p>
        </w:tc>
        <w:tc>
          <w:tcPr>
            <w:tcW w:w="1843" w:type="dxa"/>
            <w:tcBorders>
              <w:top w:val="nil"/>
              <w:left w:val="nil"/>
              <w:bottom w:val="nil"/>
              <w:right w:val="nil"/>
            </w:tcBorders>
            <w:shd w:val="clear" w:color="auto" w:fill="auto"/>
            <w:vAlign w:val="center"/>
          </w:tcPr>
          <w:p w14:paraId="4EDBFF67"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223,207</w:t>
            </w:r>
          </w:p>
        </w:tc>
        <w:tc>
          <w:tcPr>
            <w:tcW w:w="2126" w:type="dxa"/>
            <w:tcBorders>
              <w:top w:val="nil"/>
              <w:left w:val="nil"/>
              <w:bottom w:val="nil"/>
              <w:right w:val="nil"/>
            </w:tcBorders>
            <w:shd w:val="clear" w:color="000000" w:fill="E3F1F7"/>
            <w:vAlign w:val="center"/>
            <w:hideMark/>
          </w:tcPr>
          <w:p w14:paraId="68E1F121"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 </w:t>
            </w:r>
          </w:p>
        </w:tc>
      </w:tr>
      <w:tr w:rsidR="00A4062A" w:rsidRPr="006C4935" w14:paraId="6309C102" w14:textId="77777777" w:rsidTr="002E2876">
        <w:trPr>
          <w:trHeight w:val="315"/>
        </w:trPr>
        <w:tc>
          <w:tcPr>
            <w:tcW w:w="3231" w:type="dxa"/>
            <w:tcBorders>
              <w:top w:val="nil"/>
              <w:left w:val="nil"/>
              <w:bottom w:val="single" w:sz="8" w:space="0" w:color="auto"/>
              <w:right w:val="nil"/>
            </w:tcBorders>
            <w:shd w:val="clear" w:color="auto" w:fill="auto"/>
            <w:vAlign w:val="center"/>
            <w:hideMark/>
          </w:tcPr>
          <w:p w14:paraId="0D3521E3" w14:textId="77777777" w:rsidR="00A4062A" w:rsidRPr="006C4935" w:rsidRDefault="00A4062A" w:rsidP="002E2876">
            <w:pPr>
              <w:pStyle w:val="P68B1DB1-Normal8"/>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ND/LTM EBITDA</w:t>
            </w:r>
          </w:p>
        </w:tc>
        <w:tc>
          <w:tcPr>
            <w:tcW w:w="2156" w:type="dxa"/>
            <w:tcBorders>
              <w:top w:val="nil"/>
              <w:left w:val="nil"/>
              <w:bottom w:val="single" w:sz="8" w:space="0" w:color="auto"/>
              <w:right w:val="nil"/>
            </w:tcBorders>
            <w:shd w:val="clear" w:color="auto" w:fill="auto"/>
            <w:vAlign w:val="center"/>
          </w:tcPr>
          <w:p w14:paraId="4A61C281"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1.58x</w:t>
            </w:r>
          </w:p>
        </w:tc>
        <w:tc>
          <w:tcPr>
            <w:tcW w:w="1843" w:type="dxa"/>
            <w:tcBorders>
              <w:top w:val="nil"/>
              <w:left w:val="nil"/>
              <w:bottom w:val="single" w:sz="8" w:space="0" w:color="auto"/>
              <w:right w:val="nil"/>
            </w:tcBorders>
            <w:shd w:val="clear" w:color="auto" w:fill="auto"/>
            <w:vAlign w:val="center"/>
          </w:tcPr>
          <w:p w14:paraId="236F9BD1" w14:textId="77777777" w:rsidR="00A4062A" w:rsidRPr="006C4935" w:rsidRDefault="00A4062A" w:rsidP="002E2876">
            <w:pPr>
              <w:pStyle w:val="P68B1DB1-Normal9"/>
              <w:spacing w:after="0" w:line="240" w:lineRule="auto"/>
              <w:jc w:val="center"/>
              <w:rPr>
                <w:rFonts w:asciiTheme="minorHAnsi" w:eastAsia="Times New Roman" w:hAnsiTheme="minorHAnsi" w:cstheme="minorHAnsi"/>
                <w:sz w:val="22"/>
                <w:szCs w:val="22"/>
                <w:lang w:val="en-GB"/>
              </w:rPr>
            </w:pPr>
            <w:r w:rsidRPr="006C4935">
              <w:rPr>
                <w:rFonts w:asciiTheme="minorHAnsi" w:hAnsiTheme="minorHAnsi" w:cstheme="minorHAnsi"/>
                <w:sz w:val="22"/>
                <w:szCs w:val="22"/>
                <w:lang w:val="en-GB"/>
              </w:rPr>
              <w:t>1.22x</w:t>
            </w:r>
          </w:p>
        </w:tc>
        <w:tc>
          <w:tcPr>
            <w:tcW w:w="2126" w:type="dxa"/>
            <w:tcBorders>
              <w:top w:val="nil"/>
              <w:left w:val="nil"/>
              <w:bottom w:val="single" w:sz="8" w:space="0" w:color="auto"/>
              <w:right w:val="nil"/>
            </w:tcBorders>
            <w:shd w:val="clear" w:color="000000" w:fill="E3F1F7"/>
            <w:vAlign w:val="center"/>
            <w:hideMark/>
          </w:tcPr>
          <w:p w14:paraId="0BB9694F"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 </w:t>
            </w:r>
          </w:p>
        </w:tc>
      </w:tr>
    </w:tbl>
    <w:p w14:paraId="083E443E" w14:textId="77777777" w:rsidR="00A4062A" w:rsidRPr="006C4935" w:rsidRDefault="00A4062A" w:rsidP="00A4062A">
      <w:pPr>
        <w:pStyle w:val="af1"/>
        <w:tabs>
          <w:tab w:val="clear" w:pos="9026"/>
          <w:tab w:val="right" w:pos="8789"/>
        </w:tabs>
        <w:rPr>
          <w:rFonts w:asciiTheme="minorHAnsi" w:hAnsiTheme="minorHAnsi" w:cstheme="minorHAnsi"/>
          <w:i/>
          <w:sz w:val="22"/>
          <w:szCs w:val="22"/>
          <w:lang w:val="en-GB"/>
        </w:rPr>
      </w:pPr>
    </w:p>
    <w:tbl>
      <w:tblPr>
        <w:tblW w:w="9356" w:type="dxa"/>
        <w:tblLook w:val="04A0" w:firstRow="1" w:lastRow="0" w:firstColumn="1" w:lastColumn="0" w:noHBand="0" w:noVBand="1"/>
      </w:tblPr>
      <w:tblGrid>
        <w:gridCol w:w="3284"/>
        <w:gridCol w:w="2103"/>
        <w:gridCol w:w="1843"/>
        <w:gridCol w:w="2126"/>
      </w:tblGrid>
      <w:tr w:rsidR="00A4062A" w:rsidRPr="006C4935" w14:paraId="65425FBC" w14:textId="77777777" w:rsidTr="002E2876">
        <w:trPr>
          <w:trHeight w:val="330"/>
        </w:trPr>
        <w:tc>
          <w:tcPr>
            <w:tcW w:w="9356" w:type="dxa"/>
            <w:gridSpan w:val="4"/>
            <w:tcBorders>
              <w:top w:val="nil"/>
              <w:left w:val="nil"/>
              <w:bottom w:val="single" w:sz="8" w:space="0" w:color="auto"/>
              <w:right w:val="nil"/>
            </w:tcBorders>
            <w:shd w:val="clear" w:color="000000" w:fill="2B87A2"/>
            <w:vAlign w:val="center"/>
            <w:hideMark/>
          </w:tcPr>
          <w:p w14:paraId="57CCC22F" w14:textId="77777777" w:rsidR="00A4062A" w:rsidRPr="006C4935" w:rsidRDefault="00A4062A" w:rsidP="002E2876">
            <w:pPr>
              <w:pStyle w:val="P68B1DB1-Normal14"/>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Operating highlights</w:t>
            </w:r>
          </w:p>
        </w:tc>
      </w:tr>
      <w:tr w:rsidR="00A4062A" w:rsidRPr="006C4935" w14:paraId="76A06165" w14:textId="77777777" w:rsidTr="002E2876">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3E5FA742" w14:textId="77777777" w:rsidR="00A4062A" w:rsidRPr="006C4935" w:rsidRDefault="00A4062A" w:rsidP="002E2876">
            <w:pPr>
              <w:pStyle w:val="P68B1DB1-Normal15"/>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Production volumes by category</w:t>
            </w:r>
          </w:p>
        </w:tc>
      </w:tr>
      <w:tr w:rsidR="00A4062A" w:rsidRPr="006C4935" w14:paraId="5317073E" w14:textId="77777777" w:rsidTr="002E2876">
        <w:trPr>
          <w:trHeight w:val="540"/>
        </w:trPr>
        <w:tc>
          <w:tcPr>
            <w:tcW w:w="3284" w:type="dxa"/>
            <w:tcBorders>
              <w:top w:val="nil"/>
              <w:left w:val="nil"/>
              <w:bottom w:val="nil"/>
              <w:right w:val="nil"/>
            </w:tcBorders>
            <w:shd w:val="clear" w:color="auto" w:fill="auto"/>
            <w:vAlign w:val="center"/>
            <w:hideMark/>
          </w:tcPr>
          <w:p w14:paraId="01C55868" w14:textId="77777777" w:rsidR="00A4062A" w:rsidRPr="006C4935" w:rsidRDefault="00A4062A" w:rsidP="002E2876">
            <w:pPr>
              <w:pStyle w:val="P68B1DB1-Normal5"/>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kt</w:t>
            </w:r>
          </w:p>
        </w:tc>
        <w:tc>
          <w:tcPr>
            <w:tcW w:w="2103" w:type="dxa"/>
            <w:tcBorders>
              <w:top w:val="nil"/>
              <w:left w:val="nil"/>
              <w:bottom w:val="nil"/>
              <w:right w:val="nil"/>
            </w:tcBorders>
            <w:shd w:val="clear" w:color="auto" w:fill="auto"/>
            <w:vAlign w:val="center"/>
            <w:hideMark/>
          </w:tcPr>
          <w:p w14:paraId="0ADD32E0"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2024</w:t>
            </w:r>
          </w:p>
        </w:tc>
        <w:tc>
          <w:tcPr>
            <w:tcW w:w="1843" w:type="dxa"/>
            <w:tcBorders>
              <w:top w:val="nil"/>
              <w:left w:val="nil"/>
              <w:bottom w:val="nil"/>
              <w:right w:val="nil"/>
            </w:tcBorders>
            <w:shd w:val="clear" w:color="auto" w:fill="auto"/>
            <w:vAlign w:val="center"/>
            <w:hideMark/>
          </w:tcPr>
          <w:p w14:paraId="62F56B7B"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2023</w:t>
            </w:r>
          </w:p>
        </w:tc>
        <w:tc>
          <w:tcPr>
            <w:tcW w:w="2126" w:type="dxa"/>
            <w:tcBorders>
              <w:top w:val="nil"/>
              <w:left w:val="nil"/>
              <w:bottom w:val="nil"/>
              <w:right w:val="nil"/>
            </w:tcBorders>
            <w:shd w:val="clear" w:color="000000" w:fill="E3F1F7"/>
            <w:vAlign w:val="center"/>
            <w:hideMark/>
          </w:tcPr>
          <w:p w14:paraId="7C292FAD" w14:textId="77777777" w:rsidR="00A4062A" w:rsidRPr="006C4935" w:rsidRDefault="00A4062A" w:rsidP="002E2876">
            <w:pPr>
              <w:pStyle w:val="P68B1DB1-Normal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Change, %</w:t>
            </w:r>
          </w:p>
        </w:tc>
      </w:tr>
      <w:tr w:rsidR="00A4062A" w:rsidRPr="006C4935" w14:paraId="30807B6E" w14:textId="77777777" w:rsidTr="002E2876">
        <w:trPr>
          <w:trHeight w:val="480"/>
        </w:trPr>
        <w:tc>
          <w:tcPr>
            <w:tcW w:w="3284" w:type="dxa"/>
            <w:tcBorders>
              <w:top w:val="nil"/>
              <w:left w:val="nil"/>
              <w:bottom w:val="nil"/>
              <w:right w:val="nil"/>
            </w:tcBorders>
            <w:shd w:val="clear" w:color="auto" w:fill="auto"/>
            <w:vAlign w:val="center"/>
            <w:hideMark/>
          </w:tcPr>
          <w:p w14:paraId="357DB80E"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Phosphate-based fertilizers and feed phosphates</w:t>
            </w:r>
          </w:p>
        </w:tc>
        <w:tc>
          <w:tcPr>
            <w:tcW w:w="2103" w:type="dxa"/>
            <w:tcBorders>
              <w:top w:val="nil"/>
              <w:left w:val="nil"/>
              <w:bottom w:val="nil"/>
              <w:right w:val="nil"/>
            </w:tcBorders>
            <w:shd w:val="clear" w:color="auto" w:fill="auto"/>
            <w:vAlign w:val="center"/>
          </w:tcPr>
          <w:p w14:paraId="330AC575"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2,260.3</w:t>
            </w:r>
          </w:p>
        </w:tc>
        <w:tc>
          <w:tcPr>
            <w:tcW w:w="1843" w:type="dxa"/>
            <w:tcBorders>
              <w:top w:val="nil"/>
              <w:left w:val="nil"/>
              <w:bottom w:val="nil"/>
              <w:right w:val="nil"/>
            </w:tcBorders>
            <w:shd w:val="clear" w:color="auto" w:fill="auto"/>
            <w:vAlign w:val="center"/>
          </w:tcPr>
          <w:p w14:paraId="3F45E136"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2,070.3</w:t>
            </w:r>
          </w:p>
        </w:tc>
        <w:tc>
          <w:tcPr>
            <w:tcW w:w="2126" w:type="dxa"/>
            <w:tcBorders>
              <w:top w:val="nil"/>
              <w:left w:val="nil"/>
              <w:bottom w:val="nil"/>
              <w:right w:val="nil"/>
            </w:tcBorders>
            <w:shd w:val="clear" w:color="000000" w:fill="E3F1F7"/>
            <w:vAlign w:val="center"/>
          </w:tcPr>
          <w:p w14:paraId="76DDA7EF"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9.2%</w:t>
            </w:r>
          </w:p>
        </w:tc>
      </w:tr>
      <w:tr w:rsidR="00A4062A" w:rsidRPr="006C4935" w14:paraId="7694B9FA" w14:textId="77777777" w:rsidTr="002E2876">
        <w:trPr>
          <w:trHeight w:val="300"/>
        </w:trPr>
        <w:tc>
          <w:tcPr>
            <w:tcW w:w="3284" w:type="dxa"/>
            <w:tcBorders>
              <w:top w:val="nil"/>
              <w:left w:val="nil"/>
              <w:bottom w:val="nil"/>
              <w:right w:val="nil"/>
            </w:tcBorders>
            <w:shd w:val="clear" w:color="auto" w:fill="auto"/>
            <w:vAlign w:val="center"/>
            <w:hideMark/>
          </w:tcPr>
          <w:p w14:paraId="4C0BEB53"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Nitrogen-based fertilizers</w:t>
            </w:r>
          </w:p>
        </w:tc>
        <w:tc>
          <w:tcPr>
            <w:tcW w:w="2103" w:type="dxa"/>
            <w:tcBorders>
              <w:top w:val="nil"/>
              <w:left w:val="nil"/>
              <w:bottom w:val="nil"/>
              <w:right w:val="nil"/>
            </w:tcBorders>
            <w:shd w:val="clear" w:color="auto" w:fill="auto"/>
            <w:vAlign w:val="center"/>
          </w:tcPr>
          <w:p w14:paraId="004FAA1F"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672.7</w:t>
            </w:r>
          </w:p>
        </w:tc>
        <w:tc>
          <w:tcPr>
            <w:tcW w:w="1843" w:type="dxa"/>
            <w:tcBorders>
              <w:top w:val="nil"/>
              <w:left w:val="nil"/>
              <w:bottom w:val="nil"/>
              <w:right w:val="nil"/>
            </w:tcBorders>
            <w:shd w:val="clear" w:color="auto" w:fill="auto"/>
            <w:vAlign w:val="center"/>
          </w:tcPr>
          <w:p w14:paraId="0B3E0802"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675.6</w:t>
            </w:r>
          </w:p>
        </w:tc>
        <w:tc>
          <w:tcPr>
            <w:tcW w:w="2126" w:type="dxa"/>
            <w:tcBorders>
              <w:top w:val="nil"/>
              <w:left w:val="nil"/>
              <w:bottom w:val="nil"/>
              <w:right w:val="nil"/>
            </w:tcBorders>
            <w:shd w:val="clear" w:color="000000" w:fill="E3F1F7"/>
            <w:vAlign w:val="center"/>
          </w:tcPr>
          <w:p w14:paraId="65C5F6AA"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-0.4%</w:t>
            </w:r>
          </w:p>
        </w:tc>
      </w:tr>
      <w:tr w:rsidR="00A4062A" w:rsidRPr="006C4935" w14:paraId="4E3B8873" w14:textId="77777777" w:rsidTr="002E2876">
        <w:trPr>
          <w:trHeight w:val="315"/>
        </w:trPr>
        <w:tc>
          <w:tcPr>
            <w:tcW w:w="3284" w:type="dxa"/>
            <w:tcBorders>
              <w:top w:val="nil"/>
              <w:left w:val="nil"/>
              <w:bottom w:val="single" w:sz="8" w:space="0" w:color="auto"/>
              <w:right w:val="nil"/>
            </w:tcBorders>
            <w:shd w:val="clear" w:color="auto" w:fill="auto"/>
            <w:vAlign w:val="center"/>
            <w:hideMark/>
          </w:tcPr>
          <w:p w14:paraId="42AFA1C2"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Other products</w:t>
            </w:r>
          </w:p>
        </w:tc>
        <w:tc>
          <w:tcPr>
            <w:tcW w:w="2103" w:type="dxa"/>
            <w:tcBorders>
              <w:top w:val="nil"/>
              <w:left w:val="nil"/>
              <w:bottom w:val="single" w:sz="8" w:space="0" w:color="auto"/>
              <w:right w:val="nil"/>
            </w:tcBorders>
            <w:shd w:val="clear" w:color="auto" w:fill="auto"/>
            <w:vAlign w:val="center"/>
          </w:tcPr>
          <w:p w14:paraId="66DD65B8"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71.5</w:t>
            </w:r>
          </w:p>
        </w:tc>
        <w:tc>
          <w:tcPr>
            <w:tcW w:w="1843" w:type="dxa"/>
            <w:tcBorders>
              <w:top w:val="nil"/>
              <w:left w:val="nil"/>
              <w:bottom w:val="single" w:sz="8" w:space="0" w:color="auto"/>
              <w:right w:val="nil"/>
            </w:tcBorders>
            <w:shd w:val="clear" w:color="auto" w:fill="auto"/>
            <w:vAlign w:val="center"/>
          </w:tcPr>
          <w:p w14:paraId="5694204E"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65.9</w:t>
            </w:r>
          </w:p>
        </w:tc>
        <w:tc>
          <w:tcPr>
            <w:tcW w:w="2126" w:type="dxa"/>
            <w:tcBorders>
              <w:top w:val="nil"/>
              <w:left w:val="nil"/>
              <w:bottom w:val="single" w:sz="8" w:space="0" w:color="auto"/>
              <w:right w:val="nil"/>
            </w:tcBorders>
            <w:shd w:val="clear" w:color="000000" w:fill="E3F1F7"/>
            <w:vAlign w:val="center"/>
          </w:tcPr>
          <w:p w14:paraId="0BA82FB9"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8.5%</w:t>
            </w:r>
          </w:p>
        </w:tc>
      </w:tr>
      <w:tr w:rsidR="00A4062A" w:rsidRPr="006C4935" w14:paraId="4AE44212" w14:textId="77777777" w:rsidTr="002E2876">
        <w:trPr>
          <w:trHeight w:val="315"/>
        </w:trPr>
        <w:tc>
          <w:tcPr>
            <w:tcW w:w="3284" w:type="dxa"/>
            <w:tcBorders>
              <w:top w:val="nil"/>
              <w:left w:val="nil"/>
              <w:bottom w:val="single" w:sz="8" w:space="0" w:color="auto"/>
              <w:right w:val="nil"/>
            </w:tcBorders>
            <w:shd w:val="clear" w:color="auto" w:fill="auto"/>
            <w:vAlign w:val="center"/>
            <w:hideMark/>
          </w:tcPr>
          <w:p w14:paraId="5CEE7F1D" w14:textId="77777777" w:rsidR="00A4062A" w:rsidRPr="006C4935" w:rsidRDefault="00A4062A" w:rsidP="002E2876">
            <w:pPr>
              <w:pStyle w:val="P68B1DB1-Normal16"/>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lastRenderedPageBreak/>
              <w:t>TOTAL agrochemicals</w:t>
            </w:r>
          </w:p>
        </w:tc>
        <w:tc>
          <w:tcPr>
            <w:tcW w:w="2103" w:type="dxa"/>
            <w:tcBorders>
              <w:top w:val="nil"/>
              <w:left w:val="nil"/>
              <w:bottom w:val="single" w:sz="8" w:space="0" w:color="auto"/>
              <w:right w:val="nil"/>
            </w:tcBorders>
            <w:shd w:val="clear" w:color="auto" w:fill="auto"/>
            <w:vAlign w:val="center"/>
          </w:tcPr>
          <w:p w14:paraId="448F657C" w14:textId="77777777" w:rsidR="00A4062A" w:rsidRPr="006C4935" w:rsidRDefault="00A4062A" w:rsidP="002E2876">
            <w:pPr>
              <w:pStyle w:val="P68B1DB1-Normal1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3,004.5</w:t>
            </w:r>
          </w:p>
        </w:tc>
        <w:tc>
          <w:tcPr>
            <w:tcW w:w="1843" w:type="dxa"/>
            <w:tcBorders>
              <w:top w:val="nil"/>
              <w:left w:val="nil"/>
              <w:bottom w:val="single" w:sz="8" w:space="0" w:color="auto"/>
              <w:right w:val="nil"/>
            </w:tcBorders>
            <w:shd w:val="clear" w:color="auto" w:fill="auto"/>
            <w:vAlign w:val="center"/>
          </w:tcPr>
          <w:p w14:paraId="4C3519BE" w14:textId="77777777" w:rsidR="00A4062A" w:rsidRPr="006C4935" w:rsidRDefault="00A4062A" w:rsidP="002E2876">
            <w:pPr>
              <w:pStyle w:val="P68B1DB1-Normal1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2,811.8</w:t>
            </w:r>
          </w:p>
        </w:tc>
        <w:tc>
          <w:tcPr>
            <w:tcW w:w="2126" w:type="dxa"/>
            <w:tcBorders>
              <w:top w:val="nil"/>
              <w:left w:val="nil"/>
              <w:bottom w:val="single" w:sz="8" w:space="0" w:color="auto"/>
              <w:right w:val="nil"/>
            </w:tcBorders>
            <w:shd w:val="clear" w:color="000000" w:fill="E3F1F7"/>
            <w:vAlign w:val="center"/>
          </w:tcPr>
          <w:p w14:paraId="2C2963BE" w14:textId="77777777" w:rsidR="00A4062A" w:rsidRPr="006C4935" w:rsidRDefault="00A4062A" w:rsidP="002E2876">
            <w:pPr>
              <w:pStyle w:val="P68B1DB1-Normal18"/>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6.9%</w:t>
            </w:r>
          </w:p>
        </w:tc>
      </w:tr>
      <w:tr w:rsidR="00A4062A" w:rsidRPr="006C4935" w14:paraId="4DE2AFC4" w14:textId="77777777" w:rsidTr="002E2876">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31C78268" w14:textId="77777777" w:rsidR="00A4062A" w:rsidRPr="006C4935" w:rsidRDefault="00A4062A" w:rsidP="002E2876">
            <w:pPr>
              <w:pStyle w:val="P68B1DB1-Normal15"/>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Sales volumes by category</w:t>
            </w:r>
          </w:p>
        </w:tc>
      </w:tr>
      <w:tr w:rsidR="00A4062A" w:rsidRPr="006C4935" w14:paraId="46972F88" w14:textId="77777777" w:rsidTr="002E2876">
        <w:trPr>
          <w:trHeight w:val="480"/>
        </w:trPr>
        <w:tc>
          <w:tcPr>
            <w:tcW w:w="3284" w:type="dxa"/>
            <w:tcBorders>
              <w:top w:val="nil"/>
              <w:left w:val="nil"/>
              <w:bottom w:val="nil"/>
              <w:right w:val="nil"/>
            </w:tcBorders>
            <w:shd w:val="clear" w:color="auto" w:fill="auto"/>
            <w:vAlign w:val="center"/>
            <w:hideMark/>
          </w:tcPr>
          <w:p w14:paraId="0C7DBFD5" w14:textId="77777777" w:rsidR="00A4062A" w:rsidRPr="006C4935" w:rsidRDefault="00A4062A" w:rsidP="002E2876">
            <w:pPr>
              <w:pStyle w:val="P68B1DB1-Normal5"/>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kt</w:t>
            </w:r>
          </w:p>
        </w:tc>
        <w:tc>
          <w:tcPr>
            <w:tcW w:w="2103" w:type="dxa"/>
            <w:tcBorders>
              <w:top w:val="nil"/>
              <w:left w:val="nil"/>
              <w:bottom w:val="nil"/>
              <w:right w:val="nil"/>
            </w:tcBorders>
            <w:shd w:val="clear" w:color="auto" w:fill="auto"/>
            <w:vAlign w:val="center"/>
            <w:hideMark/>
          </w:tcPr>
          <w:p w14:paraId="4F3508BF"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2024</w:t>
            </w:r>
          </w:p>
        </w:tc>
        <w:tc>
          <w:tcPr>
            <w:tcW w:w="1843" w:type="dxa"/>
            <w:tcBorders>
              <w:top w:val="nil"/>
              <w:left w:val="nil"/>
              <w:bottom w:val="nil"/>
              <w:right w:val="nil"/>
            </w:tcBorders>
            <w:shd w:val="clear" w:color="auto" w:fill="auto"/>
            <w:vAlign w:val="center"/>
            <w:hideMark/>
          </w:tcPr>
          <w:p w14:paraId="409D7455" w14:textId="77777777" w:rsidR="00A4062A" w:rsidRPr="006C4935" w:rsidRDefault="00A4062A" w:rsidP="002E2876">
            <w:pPr>
              <w:pStyle w:val="P68B1DB1-Normal6"/>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1Q 2023</w:t>
            </w:r>
          </w:p>
        </w:tc>
        <w:tc>
          <w:tcPr>
            <w:tcW w:w="2126" w:type="dxa"/>
            <w:tcBorders>
              <w:top w:val="nil"/>
              <w:left w:val="nil"/>
              <w:bottom w:val="nil"/>
              <w:right w:val="nil"/>
            </w:tcBorders>
            <w:shd w:val="clear" w:color="000000" w:fill="E3F1F7"/>
            <w:vAlign w:val="center"/>
            <w:hideMark/>
          </w:tcPr>
          <w:p w14:paraId="7384BEC3" w14:textId="77777777" w:rsidR="00A4062A" w:rsidRPr="006C4935" w:rsidRDefault="00A4062A" w:rsidP="002E2876">
            <w:pPr>
              <w:pStyle w:val="P68B1DB1-Normal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Change, %</w:t>
            </w:r>
          </w:p>
        </w:tc>
      </w:tr>
      <w:tr w:rsidR="00A4062A" w:rsidRPr="006C4935" w14:paraId="6377580E" w14:textId="77777777" w:rsidTr="002E2876">
        <w:trPr>
          <w:trHeight w:val="480"/>
        </w:trPr>
        <w:tc>
          <w:tcPr>
            <w:tcW w:w="3284" w:type="dxa"/>
            <w:tcBorders>
              <w:top w:val="nil"/>
              <w:left w:val="nil"/>
              <w:bottom w:val="nil"/>
              <w:right w:val="nil"/>
            </w:tcBorders>
            <w:shd w:val="clear" w:color="auto" w:fill="auto"/>
            <w:vAlign w:val="center"/>
            <w:hideMark/>
          </w:tcPr>
          <w:p w14:paraId="31075571"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Phosphate-based fertilizers and feed phosphates</w:t>
            </w:r>
          </w:p>
        </w:tc>
        <w:tc>
          <w:tcPr>
            <w:tcW w:w="2103" w:type="dxa"/>
            <w:tcBorders>
              <w:top w:val="nil"/>
              <w:left w:val="nil"/>
              <w:bottom w:val="nil"/>
              <w:right w:val="nil"/>
            </w:tcBorders>
            <w:shd w:val="clear" w:color="auto" w:fill="auto"/>
            <w:vAlign w:val="center"/>
          </w:tcPr>
          <w:p w14:paraId="01658C26"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2,338.5</w:t>
            </w:r>
          </w:p>
        </w:tc>
        <w:tc>
          <w:tcPr>
            <w:tcW w:w="1843" w:type="dxa"/>
            <w:tcBorders>
              <w:top w:val="nil"/>
              <w:left w:val="nil"/>
              <w:bottom w:val="nil"/>
              <w:right w:val="nil"/>
            </w:tcBorders>
            <w:shd w:val="clear" w:color="auto" w:fill="auto"/>
            <w:vAlign w:val="center"/>
          </w:tcPr>
          <w:p w14:paraId="2FBE34D8"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2,016.7</w:t>
            </w:r>
          </w:p>
        </w:tc>
        <w:tc>
          <w:tcPr>
            <w:tcW w:w="2126" w:type="dxa"/>
            <w:tcBorders>
              <w:top w:val="nil"/>
              <w:left w:val="nil"/>
              <w:bottom w:val="nil"/>
              <w:right w:val="nil"/>
            </w:tcBorders>
            <w:shd w:val="clear" w:color="000000" w:fill="E3F1F7"/>
            <w:vAlign w:val="center"/>
          </w:tcPr>
          <w:p w14:paraId="2EFE0E4C"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16.0%</w:t>
            </w:r>
          </w:p>
        </w:tc>
      </w:tr>
      <w:tr w:rsidR="00A4062A" w:rsidRPr="006C4935" w14:paraId="7EBE68E4" w14:textId="77777777" w:rsidTr="002E2876">
        <w:trPr>
          <w:trHeight w:val="300"/>
        </w:trPr>
        <w:tc>
          <w:tcPr>
            <w:tcW w:w="3284" w:type="dxa"/>
            <w:tcBorders>
              <w:top w:val="nil"/>
              <w:left w:val="nil"/>
              <w:bottom w:val="nil"/>
              <w:right w:val="nil"/>
            </w:tcBorders>
            <w:shd w:val="clear" w:color="auto" w:fill="auto"/>
            <w:vAlign w:val="center"/>
            <w:hideMark/>
          </w:tcPr>
          <w:p w14:paraId="7479FC7E"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Nitrogen-based fertilizers</w:t>
            </w:r>
          </w:p>
        </w:tc>
        <w:tc>
          <w:tcPr>
            <w:tcW w:w="2103" w:type="dxa"/>
            <w:tcBorders>
              <w:top w:val="nil"/>
              <w:left w:val="nil"/>
              <w:bottom w:val="nil"/>
              <w:right w:val="nil"/>
            </w:tcBorders>
            <w:shd w:val="clear" w:color="auto" w:fill="auto"/>
            <w:vAlign w:val="center"/>
          </w:tcPr>
          <w:p w14:paraId="06D86969"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676.8</w:t>
            </w:r>
          </w:p>
        </w:tc>
        <w:tc>
          <w:tcPr>
            <w:tcW w:w="1843" w:type="dxa"/>
            <w:tcBorders>
              <w:top w:val="nil"/>
              <w:left w:val="nil"/>
              <w:bottom w:val="nil"/>
              <w:right w:val="nil"/>
            </w:tcBorders>
            <w:shd w:val="clear" w:color="auto" w:fill="auto"/>
            <w:vAlign w:val="center"/>
          </w:tcPr>
          <w:p w14:paraId="37508988"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686.6</w:t>
            </w:r>
          </w:p>
        </w:tc>
        <w:tc>
          <w:tcPr>
            <w:tcW w:w="2126" w:type="dxa"/>
            <w:tcBorders>
              <w:top w:val="nil"/>
              <w:left w:val="nil"/>
              <w:bottom w:val="nil"/>
              <w:right w:val="nil"/>
            </w:tcBorders>
            <w:shd w:val="clear" w:color="000000" w:fill="E3F1F7"/>
            <w:vAlign w:val="center"/>
          </w:tcPr>
          <w:p w14:paraId="27B8FC93"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-1.4%</w:t>
            </w:r>
          </w:p>
        </w:tc>
      </w:tr>
      <w:tr w:rsidR="00A4062A" w:rsidRPr="006C4935" w14:paraId="22D976D5" w14:textId="77777777" w:rsidTr="002E2876">
        <w:trPr>
          <w:trHeight w:val="315"/>
        </w:trPr>
        <w:tc>
          <w:tcPr>
            <w:tcW w:w="3284" w:type="dxa"/>
            <w:tcBorders>
              <w:top w:val="nil"/>
              <w:left w:val="nil"/>
              <w:bottom w:val="single" w:sz="8" w:space="0" w:color="auto"/>
              <w:right w:val="nil"/>
            </w:tcBorders>
            <w:shd w:val="clear" w:color="auto" w:fill="auto"/>
            <w:vAlign w:val="center"/>
            <w:hideMark/>
          </w:tcPr>
          <w:p w14:paraId="69CAFCB2" w14:textId="77777777" w:rsidR="00A4062A" w:rsidRPr="006C4935" w:rsidRDefault="00A4062A" w:rsidP="002E2876">
            <w:pPr>
              <w:pStyle w:val="P68B1DB1-Normal13"/>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Other products</w:t>
            </w:r>
          </w:p>
        </w:tc>
        <w:tc>
          <w:tcPr>
            <w:tcW w:w="2103" w:type="dxa"/>
            <w:tcBorders>
              <w:top w:val="nil"/>
              <w:left w:val="nil"/>
              <w:bottom w:val="single" w:sz="8" w:space="0" w:color="auto"/>
              <w:right w:val="nil"/>
            </w:tcBorders>
            <w:shd w:val="clear" w:color="auto" w:fill="auto"/>
            <w:vAlign w:val="center"/>
          </w:tcPr>
          <w:p w14:paraId="2B4D1AE6"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72.5</w:t>
            </w:r>
          </w:p>
        </w:tc>
        <w:tc>
          <w:tcPr>
            <w:tcW w:w="1843" w:type="dxa"/>
            <w:tcBorders>
              <w:top w:val="nil"/>
              <w:left w:val="nil"/>
              <w:bottom w:val="single" w:sz="8" w:space="0" w:color="auto"/>
              <w:right w:val="nil"/>
            </w:tcBorders>
            <w:shd w:val="clear" w:color="auto" w:fill="auto"/>
            <w:vAlign w:val="center"/>
          </w:tcPr>
          <w:p w14:paraId="480DA20D" w14:textId="77777777" w:rsidR="00A4062A" w:rsidRPr="006C4935" w:rsidRDefault="00A4062A" w:rsidP="002E2876">
            <w:pPr>
              <w:pStyle w:val="P68B1DB1-Normal9"/>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69.2</w:t>
            </w:r>
          </w:p>
        </w:tc>
        <w:tc>
          <w:tcPr>
            <w:tcW w:w="2126" w:type="dxa"/>
            <w:tcBorders>
              <w:top w:val="nil"/>
              <w:left w:val="nil"/>
              <w:bottom w:val="single" w:sz="8" w:space="0" w:color="auto"/>
              <w:right w:val="nil"/>
            </w:tcBorders>
            <w:shd w:val="clear" w:color="000000" w:fill="E3F1F7"/>
            <w:vAlign w:val="center"/>
          </w:tcPr>
          <w:p w14:paraId="4E0EA4EA" w14:textId="77777777" w:rsidR="00A4062A" w:rsidRPr="006C4935" w:rsidRDefault="00A4062A" w:rsidP="002E2876">
            <w:pPr>
              <w:pStyle w:val="P68B1DB1-Normal10"/>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4.8%</w:t>
            </w:r>
          </w:p>
        </w:tc>
      </w:tr>
      <w:tr w:rsidR="00A4062A" w:rsidRPr="006C4935" w14:paraId="679DC8E8" w14:textId="77777777" w:rsidTr="002E2876">
        <w:trPr>
          <w:trHeight w:val="315"/>
        </w:trPr>
        <w:tc>
          <w:tcPr>
            <w:tcW w:w="3284" w:type="dxa"/>
            <w:tcBorders>
              <w:top w:val="nil"/>
              <w:left w:val="nil"/>
              <w:bottom w:val="single" w:sz="8" w:space="0" w:color="auto"/>
              <w:right w:val="nil"/>
            </w:tcBorders>
            <w:shd w:val="clear" w:color="auto" w:fill="auto"/>
            <w:vAlign w:val="center"/>
            <w:hideMark/>
          </w:tcPr>
          <w:p w14:paraId="0BB08A58" w14:textId="77777777" w:rsidR="00A4062A" w:rsidRPr="006C4935" w:rsidRDefault="00A4062A" w:rsidP="002E2876">
            <w:pPr>
              <w:pStyle w:val="P68B1DB1-Normal16"/>
              <w:spacing w:after="0" w:line="240" w:lineRule="auto"/>
              <w:rPr>
                <w:rFonts w:asciiTheme="minorHAnsi" w:hAnsiTheme="minorHAnsi" w:cstheme="minorHAnsi"/>
                <w:sz w:val="22"/>
                <w:szCs w:val="22"/>
                <w:lang w:val="en-GB"/>
              </w:rPr>
            </w:pPr>
            <w:r w:rsidRPr="006C4935">
              <w:rPr>
                <w:rFonts w:asciiTheme="minorHAnsi" w:hAnsiTheme="minorHAnsi" w:cstheme="minorHAnsi"/>
                <w:sz w:val="22"/>
                <w:szCs w:val="22"/>
                <w:lang w:val="en-GB"/>
              </w:rPr>
              <w:t>TOTAL agrochemicals</w:t>
            </w:r>
          </w:p>
        </w:tc>
        <w:tc>
          <w:tcPr>
            <w:tcW w:w="2103" w:type="dxa"/>
            <w:tcBorders>
              <w:top w:val="nil"/>
              <w:left w:val="nil"/>
              <w:bottom w:val="single" w:sz="8" w:space="0" w:color="auto"/>
              <w:right w:val="nil"/>
            </w:tcBorders>
            <w:shd w:val="clear" w:color="auto" w:fill="auto"/>
            <w:vAlign w:val="center"/>
          </w:tcPr>
          <w:p w14:paraId="0EB817F5" w14:textId="77777777" w:rsidR="00A4062A" w:rsidRPr="006C4935" w:rsidRDefault="00A4062A" w:rsidP="002E2876">
            <w:pPr>
              <w:pStyle w:val="P68B1DB1-Normal1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3,087.8</w:t>
            </w:r>
          </w:p>
        </w:tc>
        <w:tc>
          <w:tcPr>
            <w:tcW w:w="1843" w:type="dxa"/>
            <w:tcBorders>
              <w:top w:val="nil"/>
              <w:left w:val="nil"/>
              <w:bottom w:val="single" w:sz="8" w:space="0" w:color="auto"/>
              <w:right w:val="nil"/>
            </w:tcBorders>
            <w:shd w:val="clear" w:color="auto" w:fill="auto"/>
            <w:vAlign w:val="center"/>
          </w:tcPr>
          <w:p w14:paraId="477BB824" w14:textId="77777777" w:rsidR="00A4062A" w:rsidRPr="006C4935" w:rsidRDefault="00A4062A" w:rsidP="002E2876">
            <w:pPr>
              <w:pStyle w:val="P68B1DB1-Normal17"/>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2,772.5</w:t>
            </w:r>
          </w:p>
        </w:tc>
        <w:tc>
          <w:tcPr>
            <w:tcW w:w="2126" w:type="dxa"/>
            <w:tcBorders>
              <w:top w:val="nil"/>
              <w:left w:val="nil"/>
              <w:bottom w:val="single" w:sz="8" w:space="0" w:color="auto"/>
              <w:right w:val="nil"/>
            </w:tcBorders>
            <w:shd w:val="clear" w:color="000000" w:fill="E3F1F7"/>
            <w:vAlign w:val="center"/>
          </w:tcPr>
          <w:p w14:paraId="7054285F" w14:textId="77777777" w:rsidR="00A4062A" w:rsidRPr="006C4935" w:rsidRDefault="00A4062A" w:rsidP="002E2876">
            <w:pPr>
              <w:pStyle w:val="P68B1DB1-Normal18"/>
              <w:spacing w:after="0" w:line="240" w:lineRule="auto"/>
              <w:jc w:val="center"/>
              <w:rPr>
                <w:rFonts w:asciiTheme="minorHAnsi" w:hAnsiTheme="minorHAnsi" w:cstheme="minorHAnsi"/>
                <w:sz w:val="22"/>
                <w:szCs w:val="22"/>
                <w:lang w:val="en-GB"/>
              </w:rPr>
            </w:pPr>
            <w:r w:rsidRPr="006C4935">
              <w:rPr>
                <w:rFonts w:asciiTheme="minorHAnsi" w:hAnsiTheme="minorHAnsi" w:cstheme="minorHAnsi"/>
                <w:sz w:val="22"/>
                <w:szCs w:val="22"/>
                <w:lang w:val="en-GB"/>
              </w:rPr>
              <w:t>11.4%</w:t>
            </w:r>
          </w:p>
        </w:tc>
      </w:tr>
    </w:tbl>
    <w:p w14:paraId="2B316AFD" w14:textId="77777777" w:rsidR="00A4062A" w:rsidRPr="006C4935" w:rsidRDefault="00A4062A" w:rsidP="00A4062A">
      <w:pPr>
        <w:pStyle w:val="af1"/>
        <w:rPr>
          <w:rFonts w:asciiTheme="minorHAnsi" w:hAnsiTheme="minorHAnsi" w:cstheme="minorHAnsi"/>
          <w:i/>
          <w:sz w:val="22"/>
          <w:szCs w:val="22"/>
          <w:lang w:val="en-GB"/>
        </w:rPr>
      </w:pPr>
    </w:p>
    <w:p w14:paraId="21E2254F" w14:textId="77777777" w:rsidR="00A4062A" w:rsidRPr="006C4935" w:rsidRDefault="00A4062A" w:rsidP="00A4062A">
      <w:pPr>
        <w:pStyle w:val="P68B1DB1-Footer19"/>
        <w:rPr>
          <w:sz w:val="22"/>
          <w:szCs w:val="22"/>
          <w:lang w:val="en-GB"/>
        </w:rPr>
      </w:pPr>
      <w:r w:rsidRPr="006C4935">
        <w:rPr>
          <w:sz w:val="22"/>
          <w:szCs w:val="22"/>
          <w:lang w:val="en-GB"/>
        </w:rPr>
        <w:t>RUB/USD exchange rates: average for 1Q 2024: 90.7471; average for 1Q 2023: 72.7738; as of 31 March 2024: 92.3660; as of 31 December 2023: 89.6883.</w:t>
      </w:r>
    </w:p>
    <w:p w14:paraId="7BBE006B" w14:textId="77777777" w:rsidR="00A4062A" w:rsidRPr="006C4935" w:rsidRDefault="00A4062A" w:rsidP="00A4062A">
      <w:pPr>
        <w:pStyle w:val="P68B1DB1-Footer19"/>
        <w:rPr>
          <w:sz w:val="22"/>
          <w:szCs w:val="22"/>
          <w:lang w:val="en-GB"/>
        </w:rPr>
      </w:pPr>
      <w:r w:rsidRPr="006C4935">
        <w:rPr>
          <w:sz w:val="22"/>
          <w:szCs w:val="22"/>
          <w:lang w:val="en-GB"/>
        </w:rPr>
        <w:t>* EBITDA is calculated as operating profit adjusted for depreciation and amortisation.</w:t>
      </w:r>
    </w:p>
    <w:p w14:paraId="4322F5F8" w14:textId="77777777" w:rsidR="00A4062A" w:rsidRPr="006C4935" w:rsidRDefault="00A4062A" w:rsidP="00A4062A">
      <w:pPr>
        <w:pStyle w:val="P68B1DB1-Footer19"/>
        <w:rPr>
          <w:sz w:val="22"/>
          <w:szCs w:val="22"/>
          <w:lang w:val="en-GB"/>
        </w:rPr>
      </w:pPr>
      <w:r w:rsidRPr="006C4935">
        <w:rPr>
          <w:sz w:val="22"/>
          <w:szCs w:val="22"/>
          <w:lang w:val="en-GB"/>
        </w:rPr>
        <w:t>** Adj. EBITDA is calculated as EBITDA adjusted for FX differences from operating activities.</w:t>
      </w:r>
    </w:p>
    <w:p w14:paraId="2F42F08E" w14:textId="77777777" w:rsidR="00A4062A" w:rsidRPr="006C4935" w:rsidRDefault="00A4062A" w:rsidP="00A4062A">
      <w:pPr>
        <w:pStyle w:val="P68B1DB1-Footer19"/>
        <w:tabs>
          <w:tab w:val="clear" w:pos="4513"/>
          <w:tab w:val="clear" w:pos="9026"/>
        </w:tabs>
        <w:snapToGrid w:val="0"/>
        <w:rPr>
          <w:sz w:val="22"/>
          <w:szCs w:val="22"/>
          <w:lang w:val="en-GB"/>
        </w:rPr>
      </w:pPr>
      <w:r w:rsidRPr="006C4935">
        <w:rPr>
          <w:sz w:val="22"/>
          <w:szCs w:val="22"/>
          <w:lang w:val="en-GB"/>
        </w:rPr>
        <w:t>*** Adj. net profit is net profit as reported minus FX gain or loss.</w:t>
      </w:r>
    </w:p>
    <w:p w14:paraId="361339AC" w14:textId="77777777" w:rsidR="00A4062A" w:rsidRPr="006C4935" w:rsidRDefault="00A4062A" w:rsidP="00A4062A">
      <w:pPr>
        <w:pStyle w:val="MediumGrid1-Accent21"/>
        <w:snapToGrid w:val="0"/>
        <w:spacing w:after="0" w:line="240" w:lineRule="auto"/>
        <w:ind w:left="0"/>
        <w:contextualSpacing w:val="0"/>
        <w:jc w:val="both"/>
        <w:rPr>
          <w:rFonts w:asciiTheme="minorHAnsi" w:hAnsiTheme="minorHAnsi" w:cstheme="minorHAnsi"/>
        </w:rPr>
      </w:pPr>
    </w:p>
    <w:p w14:paraId="1A985D45"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The Company’s 1Q 2024 revenue increased year-on-year despite lower average sales prices. Revenue growth was mainly associated with increased production and sales of phosphate-based fertilizers, made possible thanks to the completion of investment projects as part of the Company’s long-term development strategy. </w:t>
      </w:r>
    </w:p>
    <w:p w14:paraId="623ED51D" w14:textId="75DFABC6"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The Company’s EBITDA for the quarter exceeded RUB 39 billion. The year-on-year decrease in EBITDA was the result of lower fertilizer prices in global markets and the payment of export duties introduced in 2023. </w:t>
      </w:r>
    </w:p>
    <w:p w14:paraId="1F82AA74" w14:textId="076D43F8"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At the same time, EBITDA margin </w:t>
      </w:r>
      <w:r w:rsidR="006C4935" w:rsidRPr="006C4935">
        <w:rPr>
          <w:rFonts w:asciiTheme="minorHAnsi" w:hAnsiTheme="minorHAnsi" w:cstheme="minorHAnsi"/>
          <w:bCs/>
          <w:color w:val="auto"/>
          <w:sz w:val="22"/>
          <w:szCs w:val="22"/>
          <w:lang w:val="en-GB"/>
        </w:rPr>
        <w:t xml:space="preserve">in 1Q 2024 was </w:t>
      </w:r>
      <w:r w:rsidRPr="006C4935">
        <w:rPr>
          <w:rFonts w:asciiTheme="minorHAnsi" w:hAnsiTheme="minorHAnsi" w:cstheme="minorHAnsi"/>
          <w:bCs/>
          <w:color w:val="auto"/>
          <w:sz w:val="22"/>
          <w:szCs w:val="22"/>
          <w:lang w:val="en-GB"/>
        </w:rPr>
        <w:t xml:space="preserve">32.7%. This level of profitability was driven by increased production of high-margin fertilizers and basic feedstocks as well as the Company’s flexible sales policy. </w:t>
      </w:r>
    </w:p>
    <w:p w14:paraId="72D1F3B6" w14:textId="5D436E3F"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In 1Q 2024, free cash flow entered positive territory, amounting to around RUB 2 billion. Nevertheless, free cash flow faced pressure during the quarter from factors such as a higher level of capital investments compared with 2023, the payment of </w:t>
      </w:r>
      <w:r w:rsidR="006C4935" w:rsidRPr="006C4935">
        <w:rPr>
          <w:rFonts w:asciiTheme="minorHAnsi" w:hAnsiTheme="minorHAnsi" w:cstheme="minorHAnsi"/>
          <w:bCs/>
          <w:color w:val="auto"/>
          <w:sz w:val="22"/>
          <w:szCs w:val="22"/>
          <w:lang w:val="en-GB"/>
        </w:rPr>
        <w:t xml:space="preserve">customs </w:t>
      </w:r>
      <w:r w:rsidRPr="006C4935">
        <w:rPr>
          <w:rFonts w:asciiTheme="minorHAnsi" w:hAnsiTheme="minorHAnsi" w:cstheme="minorHAnsi"/>
          <w:bCs/>
          <w:color w:val="auto"/>
          <w:sz w:val="22"/>
          <w:szCs w:val="22"/>
          <w:lang w:val="en-GB"/>
        </w:rPr>
        <w:t xml:space="preserve">duties </w:t>
      </w:r>
      <w:r w:rsidR="006C4935" w:rsidRPr="006C4935">
        <w:rPr>
          <w:rFonts w:asciiTheme="minorHAnsi" w:hAnsiTheme="minorHAnsi" w:cstheme="minorHAnsi"/>
          <w:bCs/>
          <w:color w:val="auto"/>
          <w:sz w:val="22"/>
          <w:szCs w:val="22"/>
          <w:lang w:val="en-GB"/>
        </w:rPr>
        <w:t xml:space="preserve">on exports </w:t>
      </w:r>
      <w:r w:rsidRPr="006C4935">
        <w:rPr>
          <w:rFonts w:asciiTheme="minorHAnsi" w:hAnsiTheme="minorHAnsi" w:cstheme="minorHAnsi"/>
          <w:bCs/>
          <w:color w:val="auto"/>
          <w:sz w:val="22"/>
          <w:szCs w:val="22"/>
          <w:lang w:val="en-GB"/>
        </w:rPr>
        <w:t xml:space="preserve">and </w:t>
      </w:r>
      <w:r w:rsidR="006C4935" w:rsidRPr="006C4935">
        <w:rPr>
          <w:rFonts w:asciiTheme="minorHAnsi" w:hAnsiTheme="minorHAnsi" w:cstheme="minorHAnsi"/>
          <w:bCs/>
          <w:color w:val="auto"/>
          <w:sz w:val="22"/>
          <w:szCs w:val="22"/>
          <w:lang w:val="en-GB"/>
        </w:rPr>
        <w:t xml:space="preserve">the </w:t>
      </w:r>
      <w:r w:rsidR="00271D3B">
        <w:rPr>
          <w:rFonts w:asciiTheme="minorHAnsi" w:hAnsiTheme="minorHAnsi" w:cstheme="minorHAnsi"/>
          <w:bCs/>
          <w:color w:val="auto"/>
          <w:sz w:val="22"/>
          <w:szCs w:val="22"/>
          <w:lang w:val="en-GB"/>
        </w:rPr>
        <w:t>use</w:t>
      </w:r>
      <w:r w:rsidR="006C4935" w:rsidRPr="006C4935">
        <w:rPr>
          <w:rFonts w:asciiTheme="minorHAnsi" w:hAnsiTheme="minorHAnsi" w:cstheme="minorHAnsi"/>
          <w:bCs/>
          <w:color w:val="auto"/>
          <w:sz w:val="22"/>
          <w:szCs w:val="22"/>
          <w:lang w:val="en-GB"/>
        </w:rPr>
        <w:t xml:space="preserve"> of </w:t>
      </w:r>
      <w:r w:rsidRPr="006C4935">
        <w:rPr>
          <w:rFonts w:asciiTheme="minorHAnsi" w:hAnsiTheme="minorHAnsi" w:cstheme="minorHAnsi"/>
          <w:bCs/>
          <w:color w:val="auto"/>
          <w:sz w:val="22"/>
          <w:szCs w:val="22"/>
          <w:lang w:val="en-GB"/>
        </w:rPr>
        <w:t>cash for working capital linked to the replenishment of fertilizer stocks in the trader’s warehouses before the start of the spring season</w:t>
      </w:r>
      <w:r w:rsidR="006C4935">
        <w:rPr>
          <w:rFonts w:asciiTheme="minorHAnsi" w:hAnsiTheme="minorHAnsi" w:cstheme="minorHAnsi"/>
          <w:bCs/>
          <w:color w:val="auto"/>
          <w:sz w:val="22"/>
          <w:szCs w:val="22"/>
          <w:lang w:val="en-GB"/>
        </w:rPr>
        <w:t xml:space="preserve"> and increased sales to Latin America</w:t>
      </w:r>
      <w:r w:rsidRPr="006C4935">
        <w:rPr>
          <w:rFonts w:asciiTheme="minorHAnsi" w:hAnsiTheme="minorHAnsi" w:cstheme="minorHAnsi"/>
          <w:bCs/>
          <w:color w:val="auto"/>
          <w:sz w:val="22"/>
          <w:szCs w:val="22"/>
          <w:lang w:val="en-GB"/>
        </w:rPr>
        <w:t>.</w:t>
      </w:r>
    </w:p>
    <w:p w14:paraId="66CD9B00"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Thanks to its strong financial position, the Company was able to service all its debt obligations, including those denominated in foreign currency, on time and in full. As of the end of 1Q 2024, the Company’s debt position remained at a comfortable level. As of 31 March 2024, net debt amounted to RUB 263.8 billion, and the net debt/EBITDA ratio was 1.58x. </w:t>
      </w:r>
    </w:p>
    <w:p w14:paraId="78C03DAA" w14:textId="587E4D8C"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Two of the major factors that increased net debt for the period were cash payments in January 2024 and </w:t>
      </w:r>
      <w:r w:rsidR="00271D3B">
        <w:rPr>
          <w:rFonts w:asciiTheme="minorHAnsi" w:hAnsiTheme="minorHAnsi" w:cstheme="minorHAnsi"/>
          <w:bCs/>
          <w:color w:val="auto"/>
          <w:sz w:val="22"/>
          <w:szCs w:val="22"/>
          <w:lang w:val="en-GB"/>
        </w:rPr>
        <w:t xml:space="preserve">the use of </w:t>
      </w:r>
      <w:r w:rsidR="00271D3B" w:rsidRPr="006C4935">
        <w:rPr>
          <w:rFonts w:asciiTheme="minorHAnsi" w:hAnsiTheme="minorHAnsi" w:cstheme="minorHAnsi"/>
          <w:bCs/>
          <w:color w:val="auto"/>
          <w:sz w:val="22"/>
          <w:szCs w:val="22"/>
          <w:lang w:val="en-GB"/>
        </w:rPr>
        <w:t xml:space="preserve">RUB 10.3 billion </w:t>
      </w:r>
      <w:r w:rsidR="00271D3B">
        <w:rPr>
          <w:rFonts w:asciiTheme="minorHAnsi" w:hAnsiTheme="minorHAnsi" w:cstheme="minorHAnsi"/>
          <w:bCs/>
          <w:color w:val="auto"/>
          <w:sz w:val="22"/>
          <w:szCs w:val="22"/>
          <w:lang w:val="en-GB"/>
        </w:rPr>
        <w:t xml:space="preserve">in </w:t>
      </w:r>
      <w:r w:rsidRPr="006C4935">
        <w:rPr>
          <w:rFonts w:asciiTheme="minorHAnsi" w:hAnsiTheme="minorHAnsi" w:cstheme="minorHAnsi"/>
          <w:bCs/>
          <w:color w:val="auto"/>
          <w:sz w:val="22"/>
          <w:szCs w:val="22"/>
          <w:lang w:val="en-GB"/>
        </w:rPr>
        <w:t>cash for working capital.</w:t>
      </w:r>
    </w:p>
    <w:p w14:paraId="020AADD4" w14:textId="77777777" w:rsidR="00A4062A" w:rsidRPr="006C4935" w:rsidRDefault="00A4062A" w:rsidP="00A4062A">
      <w:pPr>
        <w:shd w:val="clear" w:color="auto" w:fill="FFFFFF"/>
        <w:ind w:firstLine="567"/>
        <w:jc w:val="both"/>
        <w:rPr>
          <w:rFonts w:asciiTheme="minorHAnsi" w:hAnsiTheme="minorHAnsi" w:cstheme="minorHAnsi"/>
          <w:color w:val="FF0000"/>
          <w:sz w:val="22"/>
          <w:szCs w:val="22"/>
          <w:lang w:val="en-GB"/>
        </w:rPr>
      </w:pPr>
    </w:p>
    <w:p w14:paraId="6EBB5649" w14:textId="77777777" w:rsidR="00A4062A" w:rsidRPr="006C4935" w:rsidRDefault="00A4062A" w:rsidP="00A4062A">
      <w:pPr>
        <w:spacing w:after="120"/>
        <w:jc w:val="both"/>
        <w:rPr>
          <w:rFonts w:asciiTheme="minorHAnsi" w:hAnsiTheme="minorHAnsi" w:cstheme="minorHAnsi"/>
          <w:b/>
          <w:color w:val="auto"/>
          <w:sz w:val="22"/>
          <w:szCs w:val="22"/>
          <w:lang w:val="en-GB"/>
        </w:rPr>
      </w:pPr>
      <w:r w:rsidRPr="006C4935">
        <w:rPr>
          <w:rFonts w:asciiTheme="minorHAnsi" w:hAnsiTheme="minorHAnsi" w:cstheme="minorHAnsi"/>
          <w:b/>
          <w:color w:val="auto"/>
          <w:sz w:val="22"/>
          <w:szCs w:val="22"/>
          <w:lang w:val="en-GB"/>
        </w:rPr>
        <w:t>Fertilizer market in 1Q 2024</w:t>
      </w:r>
    </w:p>
    <w:p w14:paraId="23EA182C"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As is typically the case, the beginning of the year in the global fertilizer market saw increased seasonal demand in the domestic markets of China, Russia, Europe and North America. Residual demand in India also provided strong support in fertilizer markets.</w:t>
      </w:r>
    </w:p>
    <w:p w14:paraId="66AE1EE2"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The market for phosphate-based fertilizers remained largely balanced. The off-season in Latin America and in most Asian markets was offset by China’s ongoing export restrictions in favour of supplying the domestic market. As a result, prices for the main types of phosphate-based fertilizers in 1Q 2024 remained stable, above USD 500 per tonne (FOB Baltic). The average price for MAP was USD 514 per tonne (FOB Baltic); for DAP, USD 535 per tonne (FOB Baltic).</w:t>
      </w:r>
    </w:p>
    <w:p w14:paraId="40E3A835" w14:textId="77777777" w:rsidR="00A4062A" w:rsidRPr="006C4935" w:rsidRDefault="00A4062A" w:rsidP="00A4062A">
      <w:pPr>
        <w:spacing w:after="120"/>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The market for nitrogen-based fertilizers enjoyed stable seasonal demand from Western markets, including Europe as well as Central and North America. A major tender in India at the beginning of the quarter resulted in stable supplies from producers in Russia and the Middle East. There were no supplies </w:t>
      </w:r>
      <w:r w:rsidRPr="006C4935">
        <w:rPr>
          <w:rFonts w:asciiTheme="minorHAnsi" w:hAnsiTheme="minorHAnsi" w:cstheme="minorHAnsi"/>
          <w:bCs/>
          <w:color w:val="auto"/>
          <w:sz w:val="22"/>
          <w:szCs w:val="22"/>
          <w:lang w:val="en-GB"/>
        </w:rPr>
        <w:lastRenderedPageBreak/>
        <w:t xml:space="preserve">from China, as the country focused on its domestic market. The average price for urea (prilled) in 1Q 2024 was USD 293 per tonne (FOB Baltic); for ammonium nitrate, USD 224 per tonne (FOB Baltic). </w:t>
      </w:r>
    </w:p>
    <w:p w14:paraId="78B8C680" w14:textId="77777777" w:rsidR="00A4062A" w:rsidRPr="006C4935" w:rsidRDefault="00A4062A" w:rsidP="00A4062A">
      <w:pPr>
        <w:spacing w:after="120"/>
        <w:jc w:val="both"/>
        <w:rPr>
          <w:rFonts w:asciiTheme="minorHAnsi" w:hAnsiTheme="minorHAnsi" w:cstheme="minorHAnsi"/>
          <w:b/>
          <w:color w:val="auto"/>
          <w:sz w:val="22"/>
          <w:szCs w:val="22"/>
          <w:lang w:val="en-GB"/>
        </w:rPr>
      </w:pPr>
      <w:r w:rsidRPr="006C4935">
        <w:rPr>
          <w:rFonts w:asciiTheme="minorHAnsi" w:hAnsiTheme="minorHAnsi" w:cstheme="minorHAnsi"/>
          <w:b/>
          <w:color w:val="auto"/>
          <w:sz w:val="22"/>
          <w:szCs w:val="22"/>
          <w:lang w:val="en-GB"/>
        </w:rPr>
        <w:t xml:space="preserve">Outlook for 2Q 2024 </w:t>
      </w:r>
    </w:p>
    <w:p w14:paraId="68F02727" w14:textId="218C6541" w:rsidR="00FB1BC1" w:rsidRPr="006C4935" w:rsidRDefault="00A4062A"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Historically, the start of the second quarter has seen the end of seasonal demand in markets in the Northern Hemisphere alongside price corrections. The easing of export restrictions in China is another factor putting pressure on prices. In late May and early June, however, demand from markets in Latin America and South Asia (India, Pakistan, Bangladesh) is expected to intensify, which should stabilize prices in the global market as a whole. Low carryover stocks in key markets, including Brazil and India (for phosphate-based fertilizers), are an additional factor that will drive increased fertilizer demand and higher prices.</w:t>
      </w:r>
    </w:p>
    <w:p w14:paraId="22E8BA14" w14:textId="77777777" w:rsidR="00FB1BC1" w:rsidRPr="006C4935" w:rsidRDefault="00FB1BC1" w:rsidP="00FB1BC1">
      <w:pPr>
        <w:jc w:val="both"/>
        <w:rPr>
          <w:rFonts w:asciiTheme="minorHAnsi" w:hAnsiTheme="minorHAnsi" w:cstheme="minorHAnsi"/>
          <w:bCs/>
          <w:color w:val="auto"/>
          <w:sz w:val="22"/>
          <w:szCs w:val="22"/>
          <w:lang w:val="en-GB"/>
        </w:rPr>
      </w:pPr>
    </w:p>
    <w:p w14:paraId="768A7B2D" w14:textId="77777777" w:rsidR="00FB1BC1" w:rsidRPr="006C4935" w:rsidRDefault="00FB1BC1" w:rsidP="00FB1BC1">
      <w:pPr>
        <w:jc w:val="both"/>
        <w:rPr>
          <w:rFonts w:asciiTheme="minorHAnsi" w:hAnsiTheme="minorHAnsi" w:cstheme="minorHAnsi"/>
          <w:b/>
          <w:color w:val="auto"/>
          <w:sz w:val="22"/>
          <w:szCs w:val="22"/>
          <w:lang w:val="en-GB"/>
        </w:rPr>
      </w:pPr>
      <w:r w:rsidRPr="006C4935">
        <w:rPr>
          <w:rFonts w:asciiTheme="minorHAnsi" w:hAnsiTheme="minorHAnsi" w:cstheme="minorHAnsi"/>
          <w:b/>
          <w:color w:val="auto"/>
          <w:sz w:val="22"/>
          <w:szCs w:val="22"/>
          <w:lang w:val="en-GB"/>
        </w:rPr>
        <w:t>For further information, please contact:</w:t>
      </w:r>
    </w:p>
    <w:p w14:paraId="772BEBD8" w14:textId="77777777" w:rsidR="00FB1BC1" w:rsidRPr="006C4935" w:rsidRDefault="00FB1BC1" w:rsidP="00FB1BC1">
      <w:pPr>
        <w:jc w:val="both"/>
        <w:rPr>
          <w:rFonts w:asciiTheme="minorHAnsi" w:hAnsiTheme="minorHAnsi" w:cstheme="minorHAnsi"/>
          <w:b/>
          <w:color w:val="auto"/>
          <w:sz w:val="22"/>
          <w:szCs w:val="22"/>
          <w:lang w:val="en-GB"/>
        </w:rPr>
      </w:pPr>
    </w:p>
    <w:p w14:paraId="39A45832" w14:textId="77777777" w:rsidR="00FB1BC1" w:rsidRPr="006C4935" w:rsidRDefault="00FB1BC1"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PJSC PhosAgro</w:t>
      </w:r>
    </w:p>
    <w:p w14:paraId="70D850E6" w14:textId="77777777" w:rsidR="00FB1BC1" w:rsidRPr="006C4935" w:rsidRDefault="00FB1BC1"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Andrey Serov, Head of the Investor Relations Department</w:t>
      </w:r>
    </w:p>
    <w:p w14:paraId="09738287" w14:textId="77777777" w:rsidR="00FB1BC1" w:rsidRPr="006C4935" w:rsidRDefault="00FB1BC1"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 xml:space="preserve">+7 495 231 2747 ext. 2183 </w:t>
      </w:r>
    </w:p>
    <w:p w14:paraId="35A4867C" w14:textId="729B4651" w:rsidR="00FB1BC1" w:rsidRPr="006C4935" w:rsidRDefault="00814EEF" w:rsidP="00FB1BC1">
      <w:pPr>
        <w:jc w:val="both"/>
        <w:rPr>
          <w:rFonts w:asciiTheme="minorHAnsi" w:hAnsiTheme="minorHAnsi" w:cstheme="minorHAnsi"/>
          <w:bCs/>
          <w:color w:val="auto"/>
          <w:sz w:val="22"/>
          <w:szCs w:val="22"/>
          <w:lang w:val="en-GB"/>
        </w:rPr>
      </w:pPr>
      <w:hyperlink r:id="rId11" w:history="1">
        <w:r w:rsidR="00FB1BC1" w:rsidRPr="006C4935">
          <w:rPr>
            <w:rStyle w:val="af"/>
            <w:rFonts w:asciiTheme="minorHAnsi" w:hAnsiTheme="minorHAnsi" w:cstheme="minorHAnsi"/>
            <w:bCs/>
            <w:sz w:val="22"/>
            <w:szCs w:val="22"/>
            <w:lang w:val="en-GB"/>
          </w:rPr>
          <w:t>ir@phosagro.ru</w:t>
        </w:r>
      </w:hyperlink>
    </w:p>
    <w:p w14:paraId="0B8077B2" w14:textId="77777777" w:rsidR="00FB1BC1" w:rsidRPr="006C4935" w:rsidRDefault="00FB1BC1" w:rsidP="00FB1BC1">
      <w:pPr>
        <w:jc w:val="both"/>
        <w:rPr>
          <w:rFonts w:asciiTheme="minorHAnsi" w:hAnsiTheme="minorHAnsi" w:cstheme="minorHAnsi"/>
          <w:bCs/>
          <w:color w:val="auto"/>
          <w:sz w:val="22"/>
          <w:szCs w:val="22"/>
          <w:lang w:val="en-GB"/>
        </w:rPr>
      </w:pPr>
    </w:p>
    <w:p w14:paraId="03C81180" w14:textId="77777777" w:rsidR="00FB1BC1" w:rsidRPr="006C4935" w:rsidRDefault="00FB1BC1"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Timur Belov, Press Officer</w:t>
      </w:r>
    </w:p>
    <w:p w14:paraId="2D5415CC" w14:textId="77777777" w:rsidR="00FB1BC1" w:rsidRPr="006C4935" w:rsidRDefault="00FB1BC1" w:rsidP="00FB1BC1">
      <w:pPr>
        <w:jc w:val="both"/>
        <w:rPr>
          <w:rFonts w:asciiTheme="minorHAnsi" w:hAnsiTheme="minorHAnsi" w:cstheme="minorHAnsi"/>
          <w:bCs/>
          <w:color w:val="auto"/>
          <w:sz w:val="22"/>
          <w:szCs w:val="22"/>
          <w:lang w:val="en-GB"/>
        </w:rPr>
      </w:pPr>
      <w:r w:rsidRPr="006C4935">
        <w:rPr>
          <w:rFonts w:asciiTheme="minorHAnsi" w:hAnsiTheme="minorHAnsi" w:cstheme="minorHAnsi"/>
          <w:bCs/>
          <w:color w:val="auto"/>
          <w:sz w:val="22"/>
          <w:szCs w:val="22"/>
          <w:lang w:val="en-GB"/>
        </w:rPr>
        <w:t>+7 495 231 2747 ext. 2652</w:t>
      </w:r>
    </w:p>
    <w:p w14:paraId="0DD4F2BA" w14:textId="6C117D54" w:rsidR="00FB1BC1" w:rsidRPr="006C4935" w:rsidRDefault="00814EEF" w:rsidP="00FB1BC1">
      <w:pPr>
        <w:jc w:val="both"/>
        <w:rPr>
          <w:rFonts w:asciiTheme="minorHAnsi" w:hAnsiTheme="minorHAnsi" w:cstheme="minorHAnsi"/>
          <w:bCs/>
          <w:color w:val="auto"/>
          <w:sz w:val="22"/>
          <w:szCs w:val="22"/>
          <w:lang w:val="en-GB"/>
        </w:rPr>
      </w:pPr>
      <w:hyperlink r:id="rId12" w:history="1">
        <w:r w:rsidR="00FB1BC1" w:rsidRPr="006C4935">
          <w:rPr>
            <w:rStyle w:val="af"/>
            <w:rFonts w:asciiTheme="minorHAnsi" w:hAnsiTheme="minorHAnsi" w:cstheme="minorHAnsi"/>
            <w:bCs/>
            <w:sz w:val="22"/>
            <w:szCs w:val="22"/>
            <w:lang w:val="en-GB"/>
          </w:rPr>
          <w:t>pr@phosagro.ru</w:t>
        </w:r>
      </w:hyperlink>
    </w:p>
    <w:p w14:paraId="11ABFB12" w14:textId="77777777" w:rsidR="00A4062A" w:rsidRPr="006C4935" w:rsidRDefault="00A4062A" w:rsidP="0039768B">
      <w:pPr>
        <w:spacing w:after="120"/>
        <w:jc w:val="both"/>
        <w:rPr>
          <w:rFonts w:asciiTheme="minorHAnsi" w:hAnsiTheme="minorHAnsi" w:cstheme="minorHAnsi"/>
          <w:b/>
          <w:bCs/>
          <w:color w:val="auto"/>
          <w:sz w:val="22"/>
          <w:szCs w:val="22"/>
          <w:lang w:val="en-GB"/>
        </w:rPr>
      </w:pPr>
    </w:p>
    <w:p w14:paraId="785E078B" w14:textId="6F378287" w:rsidR="19055EA4" w:rsidRPr="006C4935" w:rsidRDefault="19055EA4" w:rsidP="7C16E36C">
      <w:pPr>
        <w:pStyle w:val="P68B1DB1-Normal22"/>
        <w:spacing w:before="240"/>
        <w:rPr>
          <w:rFonts w:asciiTheme="minorHAnsi" w:hAnsiTheme="minorHAnsi" w:cstheme="minorHAnsi"/>
          <w:sz w:val="22"/>
          <w:szCs w:val="22"/>
          <w:lang w:val="en-GB"/>
        </w:rPr>
      </w:pPr>
      <w:r w:rsidRPr="006C4935">
        <w:rPr>
          <w:rFonts w:asciiTheme="minorHAnsi" w:hAnsiTheme="minorHAnsi" w:cstheme="minorHAnsi"/>
          <w:sz w:val="22"/>
          <w:szCs w:val="22"/>
          <w:lang w:val="en-GB"/>
        </w:rPr>
        <w:t>About the Company</w:t>
      </w:r>
    </w:p>
    <w:p w14:paraId="78C9D680" w14:textId="560C2EEF" w:rsidR="19055EA4" w:rsidRPr="006C4935" w:rsidRDefault="19055EA4" w:rsidP="7C16E36C">
      <w:pPr>
        <w:spacing w:before="60" w:after="60"/>
        <w:jc w:val="both"/>
        <w:rPr>
          <w:rFonts w:asciiTheme="minorHAnsi" w:eastAsiaTheme="minorEastAsia" w:hAnsiTheme="minorHAnsi" w:cstheme="minorHAnsi"/>
          <w:i/>
          <w:iCs/>
          <w:color w:val="auto"/>
          <w:sz w:val="22"/>
          <w:szCs w:val="22"/>
          <w:lang w:val="en-GB" w:eastAsia="en-US"/>
        </w:rPr>
      </w:pPr>
      <w:r w:rsidRPr="006C4935">
        <w:rPr>
          <w:rFonts w:asciiTheme="minorHAnsi" w:eastAsiaTheme="minorEastAsia" w:hAnsiTheme="minorHAnsi" w:cstheme="minorHAnsi"/>
          <w:i/>
          <w:iCs/>
          <w:color w:val="auto"/>
          <w:sz w:val="22"/>
          <w:szCs w:val="22"/>
          <w:lang w:val="en-GB" w:eastAsia="en-US"/>
        </w:rPr>
        <w:t>PhosAgro (</w:t>
      </w:r>
      <w:r w:rsidR="00FB1BC1" w:rsidRPr="006C4935">
        <w:rPr>
          <w:rFonts w:asciiTheme="minorHAnsi" w:eastAsiaTheme="minorEastAsia" w:hAnsiTheme="minorHAnsi" w:cstheme="minorHAnsi"/>
          <w:i/>
          <w:iCs/>
          <w:color w:val="auto"/>
          <w:sz w:val="22"/>
          <w:szCs w:val="22"/>
          <w:lang w:val="en-GB" w:eastAsia="en-US"/>
        </w:rPr>
        <w:t>www.phosagro.com</w:t>
      </w:r>
      <w:r w:rsidRPr="006C4935">
        <w:rPr>
          <w:rFonts w:asciiTheme="minorHAnsi" w:eastAsiaTheme="minorEastAsia" w:hAnsiTheme="minorHAnsi" w:cstheme="minorHAnsi"/>
          <w:i/>
          <w:iCs/>
          <w:color w:val="auto"/>
          <w:sz w:val="22"/>
          <w:szCs w:val="22"/>
          <w:lang w:val="en-GB" w:eastAsia="en-US"/>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0FA0C462" w14:textId="7302E715" w:rsidR="19055EA4" w:rsidRPr="006C4935" w:rsidRDefault="19055EA4" w:rsidP="7C16E36C">
      <w:pPr>
        <w:spacing w:before="60" w:after="60"/>
        <w:jc w:val="both"/>
        <w:rPr>
          <w:rFonts w:asciiTheme="minorHAnsi" w:eastAsiaTheme="minorEastAsia" w:hAnsiTheme="minorHAnsi" w:cstheme="minorHAnsi"/>
          <w:i/>
          <w:iCs/>
          <w:color w:val="auto"/>
          <w:sz w:val="22"/>
          <w:szCs w:val="22"/>
          <w:lang w:val="en-GB" w:eastAsia="en-US"/>
        </w:rPr>
      </w:pPr>
      <w:r w:rsidRPr="006C4935">
        <w:rPr>
          <w:rFonts w:asciiTheme="minorHAnsi" w:eastAsiaTheme="minorEastAsia" w:hAnsiTheme="minorHAnsi" w:cstheme="minorHAnsi"/>
          <w:i/>
          <w:iCs/>
          <w:color w:val="auto"/>
          <w:sz w:val="22"/>
          <w:szCs w:val="22"/>
          <w:lang w:val="en-GB" w:eastAsia="en-US"/>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15779C53" w14:textId="3A77C6F3" w:rsidR="19055EA4" w:rsidRPr="006C4935" w:rsidRDefault="19055EA4" w:rsidP="7C16E36C">
      <w:pPr>
        <w:spacing w:before="60" w:after="60"/>
        <w:jc w:val="both"/>
        <w:rPr>
          <w:rFonts w:asciiTheme="minorHAnsi" w:eastAsiaTheme="minorEastAsia" w:hAnsiTheme="minorHAnsi" w:cstheme="minorHAnsi"/>
          <w:i/>
          <w:iCs/>
          <w:color w:val="auto"/>
          <w:sz w:val="22"/>
          <w:szCs w:val="22"/>
          <w:lang w:val="en-GB" w:eastAsia="en-US"/>
        </w:rPr>
      </w:pPr>
      <w:r w:rsidRPr="006C4935">
        <w:rPr>
          <w:rFonts w:asciiTheme="minorHAnsi" w:eastAsiaTheme="minorEastAsia" w:hAnsiTheme="minorHAnsi" w:cstheme="minorHAnsi"/>
          <w:i/>
          <w:iCs/>
          <w:color w:val="auto"/>
          <w:sz w:val="22"/>
          <w:szCs w:val="22"/>
          <w:lang w:val="en-GB" w:eastAsia="en-US"/>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3171E1C4" w14:textId="32EDB183" w:rsidR="19055EA4" w:rsidRPr="006C4935" w:rsidRDefault="19055EA4" w:rsidP="7C16E36C">
      <w:pPr>
        <w:spacing w:before="60" w:after="60"/>
        <w:jc w:val="both"/>
        <w:rPr>
          <w:rFonts w:asciiTheme="minorHAnsi" w:eastAsiaTheme="minorEastAsia" w:hAnsiTheme="minorHAnsi" w:cstheme="minorHAnsi"/>
          <w:i/>
          <w:iCs/>
          <w:color w:val="auto"/>
          <w:sz w:val="22"/>
          <w:szCs w:val="22"/>
          <w:lang w:val="en-GB" w:eastAsia="en-US"/>
        </w:rPr>
      </w:pPr>
      <w:r w:rsidRPr="006C4935">
        <w:rPr>
          <w:rFonts w:asciiTheme="minorHAnsi" w:eastAsiaTheme="minorEastAsia" w:hAnsiTheme="minorHAnsi" w:cstheme="minorHAnsi"/>
          <w:i/>
          <w:iCs/>
          <w:color w:val="auto"/>
          <w:sz w:val="22"/>
          <w:szCs w:val="22"/>
          <w:lang w:val="en-GB" w:eastAsia="en-US"/>
        </w:rPr>
        <w:t xml:space="preserve">The Company’s shares are listed on the Moscow Exchange and its global depositary receipts (GDRs) are listed on the London Stock Exchange (MOEX and LSE ticker: PHOR). </w:t>
      </w:r>
    </w:p>
    <w:p w14:paraId="3D57EA69" w14:textId="77777777" w:rsidR="00843920" w:rsidRDefault="19055EA4" w:rsidP="7C16E36C">
      <w:pPr>
        <w:spacing w:before="60" w:after="60"/>
        <w:jc w:val="both"/>
        <w:rPr>
          <w:rFonts w:asciiTheme="minorHAnsi" w:eastAsiaTheme="minorEastAsia" w:hAnsiTheme="minorHAnsi" w:cstheme="minorHAnsi"/>
          <w:i/>
          <w:iCs/>
          <w:color w:val="auto"/>
          <w:sz w:val="22"/>
          <w:szCs w:val="22"/>
          <w:lang w:val="en-GB" w:eastAsia="en-US"/>
        </w:rPr>
        <w:sectPr w:rsidR="00843920" w:rsidSect="00735049">
          <w:headerReference w:type="default" r:id="rId13"/>
          <w:pgSz w:w="11906" w:h="16838"/>
          <w:pgMar w:top="1440" w:right="1077" w:bottom="1077" w:left="1440" w:header="709" w:footer="709" w:gutter="0"/>
          <w:cols w:space="708"/>
          <w:docGrid w:linePitch="360"/>
        </w:sectPr>
      </w:pPr>
      <w:r w:rsidRPr="006C4935">
        <w:rPr>
          <w:rFonts w:asciiTheme="minorHAnsi" w:eastAsiaTheme="minorEastAsia" w:hAnsiTheme="minorHAnsi" w:cstheme="minorHAnsi"/>
          <w:i/>
          <w:iCs/>
          <w:color w:val="auto"/>
          <w:sz w:val="22"/>
          <w:szCs w:val="22"/>
          <w:lang w:val="en-GB" w:eastAsia="en-US"/>
        </w:rPr>
        <w:t>More information about PhosAgro can be found on our website: www.phosagro.com.</w:t>
      </w:r>
    </w:p>
    <w:p w14:paraId="610FFCA9" w14:textId="16F6385A" w:rsidR="19055EA4" w:rsidRPr="00262CA3" w:rsidRDefault="19055EA4" w:rsidP="7C16E36C">
      <w:pPr>
        <w:spacing w:before="60" w:after="60"/>
        <w:jc w:val="both"/>
        <w:rPr>
          <w:rFonts w:asciiTheme="minorHAnsi" w:eastAsiaTheme="minorEastAsia" w:hAnsiTheme="minorHAnsi" w:cstheme="minorHAnsi"/>
          <w:i/>
          <w:iCs/>
          <w:color w:val="auto"/>
          <w:sz w:val="22"/>
          <w:szCs w:val="22"/>
          <w:lang w:eastAsia="en-US"/>
        </w:rPr>
      </w:pPr>
    </w:p>
    <w:tbl>
      <w:tblPr>
        <w:tblW w:w="9356" w:type="dxa"/>
        <w:tblLayout w:type="fixed"/>
        <w:tblCellMar>
          <w:left w:w="85" w:type="dxa"/>
          <w:right w:w="85" w:type="dxa"/>
        </w:tblCellMar>
        <w:tblLook w:val="0000" w:firstRow="0" w:lastRow="0" w:firstColumn="0" w:lastColumn="0" w:noHBand="0" w:noVBand="0"/>
      </w:tblPr>
      <w:tblGrid>
        <w:gridCol w:w="5556"/>
        <w:gridCol w:w="1417"/>
        <w:gridCol w:w="2383"/>
      </w:tblGrid>
      <w:tr w:rsidR="00843920" w:rsidRPr="00843920" w14:paraId="1419C775" w14:textId="77777777" w:rsidTr="00843920">
        <w:trPr>
          <w:cantSplit/>
        </w:trPr>
        <w:tc>
          <w:tcPr>
            <w:tcW w:w="5556" w:type="dxa"/>
            <w:tcBorders>
              <w:top w:val="nil"/>
              <w:left w:val="nil"/>
              <w:right w:val="nil"/>
            </w:tcBorders>
            <w:vAlign w:val="bottom"/>
          </w:tcPr>
          <w:p w14:paraId="75781C8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hanging="113"/>
              <w:rPr>
                <w:rFonts w:ascii="Arial" w:eastAsia="Times New Roman" w:hAnsi="Arial" w:cs="Arial"/>
                <w:i/>
                <w:iCs/>
                <w:color w:val="auto"/>
                <w:spacing w:val="-2"/>
                <w:sz w:val="18"/>
                <w:szCs w:val="18"/>
                <w:bdr w:val="none" w:sz="0" w:space="0" w:color="auto"/>
                <w:lang w:val="en-GB"/>
              </w:rPr>
            </w:pPr>
          </w:p>
        </w:tc>
        <w:tc>
          <w:tcPr>
            <w:tcW w:w="3800" w:type="dxa"/>
            <w:gridSpan w:val="2"/>
            <w:tcBorders>
              <w:top w:val="nil"/>
              <w:left w:val="nil"/>
              <w:bottom w:val="single" w:sz="4" w:space="0" w:color="auto"/>
              <w:right w:val="nil"/>
            </w:tcBorders>
            <w:vAlign w:val="bottom"/>
          </w:tcPr>
          <w:p w14:paraId="35302C2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b/>
                <w:bCs/>
                <w:color w:val="auto"/>
                <w:spacing w:val="-2"/>
                <w:sz w:val="18"/>
                <w:szCs w:val="18"/>
                <w:bdr w:val="none" w:sz="0" w:space="0" w:color="auto"/>
                <w:lang w:val="en-GB"/>
              </w:rPr>
            </w:pPr>
            <w:r w:rsidRPr="00843920">
              <w:rPr>
                <w:rFonts w:ascii="Arial" w:eastAsia="Times New Roman" w:hAnsi="Arial" w:cs="Arial"/>
                <w:b/>
                <w:bCs/>
                <w:color w:val="auto"/>
                <w:spacing w:val="-2"/>
                <w:sz w:val="18"/>
                <w:szCs w:val="18"/>
                <w:bdr w:val="none" w:sz="0" w:space="0" w:color="auto"/>
                <w:lang w:val="en-GB"/>
              </w:rPr>
              <w:t>Three months ended 31 March</w:t>
            </w:r>
          </w:p>
        </w:tc>
      </w:tr>
      <w:tr w:rsidR="00843920" w:rsidRPr="00843920" w14:paraId="241255E4" w14:textId="77777777" w:rsidTr="00843920">
        <w:trPr>
          <w:cantSplit/>
        </w:trPr>
        <w:tc>
          <w:tcPr>
            <w:tcW w:w="5556" w:type="dxa"/>
            <w:tcBorders>
              <w:left w:val="nil"/>
              <w:bottom w:val="single" w:sz="4" w:space="0" w:color="auto"/>
              <w:right w:val="nil"/>
            </w:tcBorders>
            <w:vAlign w:val="bottom"/>
          </w:tcPr>
          <w:p w14:paraId="3C05825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hanging="113"/>
              <w:rPr>
                <w:rFonts w:ascii="Arial" w:eastAsia="Times New Roman" w:hAnsi="Arial" w:cs="Arial"/>
                <w:i/>
                <w:iCs/>
                <w:color w:val="auto"/>
                <w:spacing w:val="-2"/>
                <w:sz w:val="18"/>
                <w:szCs w:val="18"/>
                <w:bdr w:val="none" w:sz="0" w:space="0" w:color="auto"/>
                <w:lang w:val="en-GB"/>
              </w:rPr>
            </w:pPr>
            <w:r w:rsidRPr="00843920">
              <w:rPr>
                <w:rFonts w:ascii="Arial" w:eastAsia="Times New Roman" w:hAnsi="Arial" w:cs="Arial"/>
                <w:i/>
                <w:iCs/>
                <w:color w:val="auto"/>
                <w:spacing w:val="-2"/>
                <w:sz w:val="18"/>
                <w:szCs w:val="18"/>
                <w:bdr w:val="none" w:sz="0" w:space="0" w:color="auto"/>
                <w:lang w:val="en-GB"/>
              </w:rPr>
              <w:t xml:space="preserve">RUB </w:t>
            </w:r>
            <w:r w:rsidRPr="00843920">
              <w:rPr>
                <w:rFonts w:ascii="Arial" w:eastAsia="Times New Roman" w:hAnsi="Arial" w:cs="Arial"/>
                <w:i/>
                <w:iCs/>
                <w:color w:val="auto"/>
                <w:spacing w:val="-2"/>
                <w:sz w:val="18"/>
                <w:szCs w:val="18"/>
                <w:bdr w:val="none" w:sz="0" w:space="0" w:color="auto"/>
              </w:rPr>
              <w:t>m</w:t>
            </w:r>
            <w:r w:rsidRPr="00843920">
              <w:rPr>
                <w:rFonts w:ascii="Arial" w:eastAsia="Times New Roman" w:hAnsi="Arial" w:cs="Arial"/>
                <w:i/>
                <w:iCs/>
                <w:color w:val="auto"/>
                <w:spacing w:val="-2"/>
                <w:sz w:val="18"/>
                <w:szCs w:val="18"/>
                <w:bdr w:val="none" w:sz="0" w:space="0" w:color="auto"/>
                <w:lang w:val="en-GB"/>
              </w:rPr>
              <w:t>illion</w:t>
            </w:r>
          </w:p>
        </w:tc>
        <w:tc>
          <w:tcPr>
            <w:tcW w:w="1417" w:type="dxa"/>
            <w:tcBorders>
              <w:top w:val="nil"/>
              <w:left w:val="nil"/>
              <w:bottom w:val="single" w:sz="4" w:space="0" w:color="auto"/>
              <w:right w:val="nil"/>
            </w:tcBorders>
            <w:vAlign w:val="bottom"/>
          </w:tcPr>
          <w:p w14:paraId="720A31B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lang w:val="ru-RU"/>
              </w:rPr>
            </w:pPr>
            <w:r w:rsidRPr="00843920">
              <w:rPr>
                <w:rFonts w:ascii="Arial" w:eastAsia="Times New Roman" w:hAnsi="Arial" w:cs="Arial"/>
                <w:b/>
                <w:bCs/>
                <w:color w:val="auto"/>
                <w:spacing w:val="-2"/>
                <w:sz w:val="18"/>
                <w:szCs w:val="18"/>
                <w:bdr w:val="none" w:sz="0" w:space="0" w:color="auto"/>
                <w:lang w:val="en-GB"/>
              </w:rPr>
              <w:t>202</w:t>
            </w:r>
            <w:r w:rsidRPr="00843920">
              <w:rPr>
                <w:rFonts w:ascii="Arial" w:eastAsia="Times New Roman" w:hAnsi="Arial" w:cs="Arial"/>
                <w:b/>
                <w:bCs/>
                <w:color w:val="auto"/>
                <w:spacing w:val="-2"/>
                <w:sz w:val="18"/>
                <w:szCs w:val="18"/>
                <w:bdr w:val="none" w:sz="0" w:space="0" w:color="auto"/>
                <w:lang w:val="ru-RU"/>
              </w:rPr>
              <w:t>4</w:t>
            </w:r>
          </w:p>
        </w:tc>
        <w:tc>
          <w:tcPr>
            <w:tcW w:w="2383" w:type="dxa"/>
            <w:tcBorders>
              <w:top w:val="nil"/>
              <w:left w:val="nil"/>
              <w:bottom w:val="single" w:sz="4" w:space="0" w:color="auto"/>
              <w:right w:val="nil"/>
            </w:tcBorders>
            <w:vAlign w:val="bottom"/>
          </w:tcPr>
          <w:p w14:paraId="0C2289E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lang w:val="ru-RU"/>
              </w:rPr>
            </w:pPr>
            <w:r w:rsidRPr="00843920">
              <w:rPr>
                <w:rFonts w:ascii="Arial" w:eastAsia="Times New Roman" w:hAnsi="Arial" w:cs="Arial"/>
                <w:b/>
                <w:bCs/>
                <w:color w:val="auto"/>
                <w:spacing w:val="-2"/>
                <w:sz w:val="18"/>
                <w:szCs w:val="18"/>
                <w:bdr w:val="none" w:sz="0" w:space="0" w:color="auto"/>
                <w:lang w:val="en-GB"/>
              </w:rPr>
              <w:t>202</w:t>
            </w:r>
            <w:r w:rsidRPr="00843920">
              <w:rPr>
                <w:rFonts w:ascii="Arial" w:eastAsia="Times New Roman" w:hAnsi="Arial" w:cs="Arial"/>
                <w:b/>
                <w:bCs/>
                <w:color w:val="auto"/>
                <w:spacing w:val="-2"/>
                <w:sz w:val="18"/>
                <w:szCs w:val="18"/>
                <w:bdr w:val="none" w:sz="0" w:space="0" w:color="auto"/>
                <w:lang w:val="ru-RU"/>
              </w:rPr>
              <w:t>3</w:t>
            </w:r>
          </w:p>
        </w:tc>
      </w:tr>
      <w:tr w:rsidR="00843920" w:rsidRPr="00843920" w14:paraId="00D6AF77" w14:textId="77777777" w:rsidTr="00843920">
        <w:trPr>
          <w:cantSplit/>
        </w:trPr>
        <w:tc>
          <w:tcPr>
            <w:tcW w:w="5556" w:type="dxa"/>
            <w:tcBorders>
              <w:top w:val="single" w:sz="4" w:space="0" w:color="auto"/>
              <w:left w:val="nil"/>
              <w:right w:val="nil"/>
            </w:tcBorders>
            <w:vAlign w:val="bottom"/>
          </w:tcPr>
          <w:p w14:paraId="6E75CAE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hanging="113"/>
              <w:jc w:val="right"/>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0458743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2383" w:type="dxa"/>
            <w:tcBorders>
              <w:top w:val="single" w:sz="4" w:space="0" w:color="auto"/>
              <w:left w:val="nil"/>
              <w:right w:val="nil"/>
            </w:tcBorders>
            <w:vAlign w:val="bottom"/>
          </w:tcPr>
          <w:p w14:paraId="5070576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0146D1A6" w14:textId="77777777" w:rsidTr="00843920">
        <w:trPr>
          <w:cantSplit/>
        </w:trPr>
        <w:tc>
          <w:tcPr>
            <w:tcW w:w="5556" w:type="dxa"/>
            <w:tcBorders>
              <w:left w:val="nil"/>
              <w:bottom w:val="nil"/>
              <w:right w:val="nil"/>
            </w:tcBorders>
            <w:vAlign w:val="bottom"/>
          </w:tcPr>
          <w:p w14:paraId="47162A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Revenues</w:t>
            </w:r>
          </w:p>
        </w:tc>
        <w:tc>
          <w:tcPr>
            <w:tcW w:w="1417" w:type="dxa"/>
            <w:tcBorders>
              <w:left w:val="nil"/>
              <w:bottom w:val="nil"/>
              <w:right w:val="nil"/>
            </w:tcBorders>
            <w:vAlign w:val="bottom"/>
          </w:tcPr>
          <w:p w14:paraId="1F85F24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pacing w:val="-2"/>
                <w:sz w:val="18"/>
                <w:szCs w:val="18"/>
                <w:bdr w:val="none" w:sz="0" w:space="0" w:color="auto"/>
                <w:lang w:val="ru-RU" w:eastAsia="en-US"/>
              </w:rPr>
            </w:pPr>
            <w:r w:rsidRPr="00843920">
              <w:rPr>
                <w:rFonts w:ascii="Arial" w:eastAsia="Times New Roman" w:hAnsi="Arial" w:cs="Arial"/>
                <w:color w:val="auto"/>
                <w:spacing w:val="-2"/>
                <w:sz w:val="18"/>
                <w:szCs w:val="18"/>
                <w:bdr w:val="none" w:sz="0" w:space="0" w:color="auto"/>
              </w:rPr>
              <w:t>11</w:t>
            </w:r>
            <w:r w:rsidRPr="00843920">
              <w:rPr>
                <w:rFonts w:ascii="Arial" w:eastAsia="Times New Roman" w:hAnsi="Arial" w:cs="Arial"/>
                <w:color w:val="auto"/>
                <w:spacing w:val="-2"/>
                <w:sz w:val="18"/>
                <w:szCs w:val="18"/>
                <w:bdr w:val="none" w:sz="0" w:space="0" w:color="auto"/>
                <w:lang w:val="ru-RU"/>
              </w:rPr>
              <w:t>9</w:t>
            </w:r>
            <w:r w:rsidRPr="00843920">
              <w:rPr>
                <w:rFonts w:ascii="Arial" w:eastAsia="Times New Roman" w:hAnsi="Arial" w:cs="Arial"/>
                <w:color w:val="auto"/>
                <w:spacing w:val="-2"/>
                <w:sz w:val="18"/>
                <w:szCs w:val="18"/>
                <w:bdr w:val="none" w:sz="0" w:space="0" w:color="auto"/>
              </w:rPr>
              <w:t>,</w:t>
            </w:r>
            <w:r w:rsidRPr="00843920">
              <w:rPr>
                <w:rFonts w:ascii="Arial" w:eastAsia="Times New Roman" w:hAnsi="Arial" w:cs="Arial"/>
                <w:color w:val="auto"/>
                <w:spacing w:val="-2"/>
                <w:sz w:val="18"/>
                <w:szCs w:val="18"/>
                <w:bdr w:val="none" w:sz="0" w:space="0" w:color="auto"/>
                <w:lang w:val="ru-RU"/>
              </w:rPr>
              <w:t>272</w:t>
            </w:r>
          </w:p>
        </w:tc>
        <w:tc>
          <w:tcPr>
            <w:tcW w:w="2383" w:type="dxa"/>
            <w:tcBorders>
              <w:left w:val="nil"/>
              <w:bottom w:val="nil"/>
              <w:right w:val="nil"/>
            </w:tcBorders>
            <w:vAlign w:val="bottom"/>
          </w:tcPr>
          <w:p w14:paraId="70AB938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spacing w:val="-2"/>
                <w:sz w:val="18"/>
                <w:szCs w:val="18"/>
                <w:bdr w:val="none" w:sz="0" w:space="0" w:color="auto"/>
                <w:lang w:eastAsia="en-US"/>
              </w:rPr>
            </w:pPr>
            <w:r w:rsidRPr="00843920">
              <w:rPr>
                <w:rFonts w:ascii="Arial" w:eastAsia="Times New Roman" w:hAnsi="Arial" w:cs="Arial"/>
                <w:color w:val="auto"/>
                <w:spacing w:val="-2"/>
                <w:sz w:val="18"/>
                <w:szCs w:val="18"/>
                <w:bdr w:val="none" w:sz="0" w:space="0" w:color="auto"/>
              </w:rPr>
              <w:t>116,178</w:t>
            </w:r>
          </w:p>
        </w:tc>
      </w:tr>
      <w:tr w:rsidR="00843920" w:rsidRPr="00843920" w14:paraId="3B689752" w14:textId="77777777" w:rsidTr="00843920">
        <w:trPr>
          <w:cantSplit/>
        </w:trPr>
        <w:tc>
          <w:tcPr>
            <w:tcW w:w="5556" w:type="dxa"/>
            <w:tcBorders>
              <w:top w:val="nil"/>
              <w:left w:val="nil"/>
              <w:right w:val="nil"/>
            </w:tcBorders>
            <w:vAlign w:val="bottom"/>
          </w:tcPr>
          <w:p w14:paraId="14E584A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Cost of Group products sold</w:t>
            </w:r>
          </w:p>
        </w:tc>
        <w:tc>
          <w:tcPr>
            <w:tcW w:w="1417" w:type="dxa"/>
            <w:tcBorders>
              <w:top w:val="nil"/>
              <w:left w:val="nil"/>
              <w:right w:val="nil"/>
            </w:tcBorders>
            <w:vAlign w:val="bottom"/>
          </w:tcPr>
          <w:p w14:paraId="119FDFB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spacing w:val="-2"/>
                <w:sz w:val="18"/>
                <w:szCs w:val="18"/>
                <w:bdr w:val="none" w:sz="0" w:space="0" w:color="auto"/>
                <w:lang w:eastAsia="en-US"/>
              </w:rPr>
              <w:t>(</w:t>
            </w:r>
            <w:r w:rsidRPr="00843920">
              <w:rPr>
                <w:rFonts w:ascii="Arial" w:eastAsia="Times New Roman" w:hAnsi="Arial" w:cs="Arial"/>
                <w:color w:val="auto"/>
                <w:spacing w:val="-2"/>
                <w:sz w:val="18"/>
                <w:szCs w:val="18"/>
                <w:bdr w:val="none" w:sz="0" w:space="0" w:color="auto"/>
              </w:rPr>
              <w:t>73,13</w:t>
            </w:r>
            <w:r w:rsidRPr="00843920">
              <w:rPr>
                <w:rFonts w:ascii="Arial" w:eastAsia="Times New Roman" w:hAnsi="Arial" w:cs="Arial"/>
                <w:color w:val="auto"/>
                <w:spacing w:val="-2"/>
                <w:sz w:val="18"/>
                <w:szCs w:val="18"/>
                <w:bdr w:val="none" w:sz="0" w:space="0" w:color="auto"/>
                <w:lang w:val="ru-RU"/>
              </w:rPr>
              <w:t>7</w:t>
            </w:r>
            <w:r w:rsidRPr="00843920">
              <w:rPr>
                <w:rFonts w:ascii="Arial" w:eastAsia="Times New Roman" w:hAnsi="Arial" w:cs="Arial"/>
                <w:spacing w:val="-2"/>
                <w:sz w:val="18"/>
                <w:szCs w:val="18"/>
                <w:bdr w:val="none" w:sz="0" w:space="0" w:color="auto"/>
                <w:lang w:eastAsia="en-US"/>
              </w:rPr>
              <w:t>)</w:t>
            </w:r>
          </w:p>
        </w:tc>
        <w:tc>
          <w:tcPr>
            <w:tcW w:w="2383" w:type="dxa"/>
            <w:tcBorders>
              <w:top w:val="nil"/>
              <w:left w:val="nil"/>
              <w:right w:val="nil"/>
            </w:tcBorders>
            <w:vAlign w:val="bottom"/>
          </w:tcPr>
          <w:p w14:paraId="3D56863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spacing w:val="-2"/>
                <w:sz w:val="18"/>
                <w:szCs w:val="18"/>
                <w:bdr w:val="none" w:sz="0" w:space="0" w:color="auto"/>
                <w:lang w:eastAsia="en-US"/>
              </w:rPr>
              <w:t>(56,678)</w:t>
            </w:r>
          </w:p>
        </w:tc>
      </w:tr>
      <w:tr w:rsidR="00843920" w:rsidRPr="00843920" w14:paraId="15530EE8" w14:textId="77777777" w:rsidTr="00843920">
        <w:trPr>
          <w:cantSplit/>
        </w:trPr>
        <w:tc>
          <w:tcPr>
            <w:tcW w:w="5556" w:type="dxa"/>
            <w:tcBorders>
              <w:top w:val="nil"/>
              <w:left w:val="nil"/>
              <w:right w:val="nil"/>
            </w:tcBorders>
            <w:vAlign w:val="bottom"/>
          </w:tcPr>
          <w:p w14:paraId="3681F15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Cost of products for resale</w:t>
            </w:r>
          </w:p>
        </w:tc>
        <w:tc>
          <w:tcPr>
            <w:tcW w:w="1417" w:type="dxa"/>
            <w:tcBorders>
              <w:top w:val="nil"/>
              <w:left w:val="nil"/>
              <w:right w:val="nil"/>
            </w:tcBorders>
            <w:vAlign w:val="bottom"/>
          </w:tcPr>
          <w:p w14:paraId="7B521FA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spacing w:val="-2"/>
                <w:sz w:val="18"/>
                <w:szCs w:val="18"/>
                <w:bdr w:val="none" w:sz="0" w:space="0" w:color="auto"/>
                <w:lang w:eastAsia="en-US"/>
              </w:rPr>
              <w:t>(2,361)</w:t>
            </w:r>
          </w:p>
        </w:tc>
        <w:tc>
          <w:tcPr>
            <w:tcW w:w="2383" w:type="dxa"/>
            <w:tcBorders>
              <w:top w:val="nil"/>
              <w:left w:val="nil"/>
              <w:right w:val="nil"/>
            </w:tcBorders>
            <w:vAlign w:val="bottom"/>
          </w:tcPr>
          <w:p w14:paraId="189488D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spacing w:val="-2"/>
                <w:sz w:val="18"/>
                <w:szCs w:val="18"/>
                <w:bdr w:val="none" w:sz="0" w:space="0" w:color="auto"/>
                <w:lang w:eastAsia="en-US"/>
              </w:rPr>
            </w:pPr>
            <w:r w:rsidRPr="00843920">
              <w:rPr>
                <w:rFonts w:ascii="Arial" w:eastAsia="Times New Roman" w:hAnsi="Arial" w:cs="Arial"/>
                <w:spacing w:val="-2"/>
                <w:sz w:val="18"/>
                <w:szCs w:val="18"/>
                <w:bdr w:val="none" w:sz="0" w:space="0" w:color="auto"/>
                <w:lang w:eastAsia="en-US"/>
              </w:rPr>
              <w:t>(7,643)</w:t>
            </w:r>
          </w:p>
        </w:tc>
      </w:tr>
      <w:tr w:rsidR="00843920" w:rsidRPr="00843920" w14:paraId="3AE0240C" w14:textId="77777777" w:rsidTr="00843920">
        <w:trPr>
          <w:cantSplit/>
        </w:trPr>
        <w:tc>
          <w:tcPr>
            <w:tcW w:w="5556" w:type="dxa"/>
            <w:tcBorders>
              <w:top w:val="nil"/>
              <w:left w:val="nil"/>
              <w:bottom w:val="single" w:sz="4" w:space="0" w:color="auto"/>
              <w:right w:val="nil"/>
            </w:tcBorders>
            <w:vAlign w:val="bottom"/>
          </w:tcPr>
          <w:p w14:paraId="2E6F897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nil"/>
              <w:left w:val="nil"/>
              <w:bottom w:val="single" w:sz="4" w:space="0" w:color="auto"/>
              <w:right w:val="nil"/>
            </w:tcBorders>
            <w:vAlign w:val="bottom"/>
          </w:tcPr>
          <w:p w14:paraId="2723806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pacing w:val="-2"/>
                <w:sz w:val="10"/>
                <w:szCs w:val="10"/>
                <w:bdr w:val="none" w:sz="0" w:space="0" w:color="auto"/>
                <w:lang w:eastAsia="en-US"/>
              </w:rPr>
            </w:pPr>
          </w:p>
        </w:tc>
        <w:tc>
          <w:tcPr>
            <w:tcW w:w="2383" w:type="dxa"/>
            <w:tcBorders>
              <w:top w:val="nil"/>
              <w:left w:val="nil"/>
              <w:bottom w:val="single" w:sz="4" w:space="0" w:color="auto"/>
              <w:right w:val="nil"/>
            </w:tcBorders>
            <w:vAlign w:val="bottom"/>
          </w:tcPr>
          <w:p w14:paraId="1802B4D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35A7354E" w14:textId="77777777" w:rsidTr="00843920">
        <w:trPr>
          <w:cantSplit/>
        </w:trPr>
        <w:tc>
          <w:tcPr>
            <w:tcW w:w="5556" w:type="dxa"/>
            <w:tcBorders>
              <w:top w:val="single" w:sz="4" w:space="0" w:color="auto"/>
              <w:left w:val="nil"/>
              <w:right w:val="nil"/>
            </w:tcBorders>
            <w:vAlign w:val="bottom"/>
          </w:tcPr>
          <w:p w14:paraId="43D3C3F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52582BB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pacing w:val="-2"/>
                <w:sz w:val="10"/>
                <w:szCs w:val="10"/>
                <w:bdr w:val="none" w:sz="0" w:space="0" w:color="auto"/>
                <w:lang w:eastAsia="en-US"/>
              </w:rPr>
            </w:pPr>
          </w:p>
        </w:tc>
        <w:tc>
          <w:tcPr>
            <w:tcW w:w="2383" w:type="dxa"/>
            <w:tcBorders>
              <w:top w:val="single" w:sz="4" w:space="0" w:color="auto"/>
              <w:left w:val="nil"/>
              <w:right w:val="nil"/>
            </w:tcBorders>
            <w:vAlign w:val="bottom"/>
          </w:tcPr>
          <w:p w14:paraId="1B9170F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3A1D5D62" w14:textId="77777777" w:rsidTr="00843920">
        <w:trPr>
          <w:cantSplit/>
        </w:trPr>
        <w:tc>
          <w:tcPr>
            <w:tcW w:w="5556" w:type="dxa"/>
            <w:tcBorders>
              <w:left w:val="nil"/>
              <w:right w:val="nil"/>
            </w:tcBorders>
            <w:vAlign w:val="bottom"/>
          </w:tcPr>
          <w:p w14:paraId="6AB4C40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Gross profit</w:t>
            </w:r>
          </w:p>
        </w:tc>
        <w:tc>
          <w:tcPr>
            <w:tcW w:w="1417" w:type="dxa"/>
            <w:tcBorders>
              <w:left w:val="nil"/>
              <w:right w:val="nil"/>
            </w:tcBorders>
            <w:vAlign w:val="bottom"/>
          </w:tcPr>
          <w:p w14:paraId="233A009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18"/>
                <w:bdr w:val="none" w:sz="0" w:space="0" w:color="auto"/>
              </w:rPr>
              <w:t>43,</w:t>
            </w:r>
            <w:r w:rsidRPr="00843920">
              <w:rPr>
                <w:rFonts w:ascii="Arial" w:eastAsia="Times New Roman" w:hAnsi="Arial" w:cs="Arial"/>
                <w:b/>
                <w:color w:val="auto"/>
                <w:spacing w:val="-2"/>
                <w:sz w:val="18"/>
                <w:szCs w:val="18"/>
                <w:bdr w:val="none" w:sz="0" w:space="0" w:color="auto"/>
                <w:lang w:val="ru-RU"/>
              </w:rPr>
              <w:t>774</w:t>
            </w:r>
          </w:p>
        </w:tc>
        <w:tc>
          <w:tcPr>
            <w:tcW w:w="2383" w:type="dxa"/>
            <w:tcBorders>
              <w:left w:val="nil"/>
              <w:right w:val="nil"/>
            </w:tcBorders>
            <w:vAlign w:val="bottom"/>
          </w:tcPr>
          <w:p w14:paraId="0335983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18"/>
                <w:bdr w:val="none" w:sz="0" w:space="0" w:color="auto"/>
              </w:rPr>
              <w:t>51,857</w:t>
            </w:r>
          </w:p>
        </w:tc>
      </w:tr>
      <w:tr w:rsidR="00843920" w:rsidRPr="00843920" w14:paraId="68AA8EBB" w14:textId="77777777" w:rsidTr="00843920">
        <w:trPr>
          <w:cantSplit/>
        </w:trPr>
        <w:tc>
          <w:tcPr>
            <w:tcW w:w="5556" w:type="dxa"/>
            <w:tcBorders>
              <w:left w:val="nil"/>
              <w:right w:val="nil"/>
            </w:tcBorders>
            <w:vAlign w:val="bottom"/>
          </w:tcPr>
          <w:p w14:paraId="1394458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417" w:type="dxa"/>
            <w:tcBorders>
              <w:left w:val="nil"/>
              <w:right w:val="nil"/>
            </w:tcBorders>
            <w:vAlign w:val="bottom"/>
          </w:tcPr>
          <w:p w14:paraId="599907B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2383" w:type="dxa"/>
            <w:tcBorders>
              <w:left w:val="nil"/>
              <w:right w:val="nil"/>
            </w:tcBorders>
            <w:vAlign w:val="bottom"/>
          </w:tcPr>
          <w:p w14:paraId="5EC9395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76D2E003" w14:textId="77777777" w:rsidTr="00843920">
        <w:trPr>
          <w:cantSplit/>
        </w:trPr>
        <w:tc>
          <w:tcPr>
            <w:tcW w:w="5556" w:type="dxa"/>
            <w:tcBorders>
              <w:top w:val="nil"/>
              <w:left w:val="nil"/>
              <w:bottom w:val="nil"/>
              <w:right w:val="nil"/>
            </w:tcBorders>
            <w:vAlign w:val="bottom"/>
          </w:tcPr>
          <w:p w14:paraId="723295F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Administrative and selling expenses</w:t>
            </w:r>
          </w:p>
        </w:tc>
        <w:tc>
          <w:tcPr>
            <w:tcW w:w="1417" w:type="dxa"/>
            <w:tcBorders>
              <w:top w:val="nil"/>
              <w:left w:val="nil"/>
              <w:bottom w:val="nil"/>
              <w:right w:val="nil"/>
            </w:tcBorders>
            <w:vAlign w:val="bottom"/>
          </w:tcPr>
          <w:p w14:paraId="376610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(9,597)</w:t>
            </w:r>
          </w:p>
        </w:tc>
        <w:tc>
          <w:tcPr>
            <w:tcW w:w="2383" w:type="dxa"/>
            <w:tcBorders>
              <w:top w:val="nil"/>
              <w:left w:val="nil"/>
              <w:bottom w:val="nil"/>
              <w:right w:val="nil"/>
            </w:tcBorders>
            <w:vAlign w:val="bottom"/>
          </w:tcPr>
          <w:p w14:paraId="618CEFA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(6,932)</w:t>
            </w:r>
          </w:p>
        </w:tc>
      </w:tr>
      <w:tr w:rsidR="00843920" w:rsidRPr="00843920" w14:paraId="1BE2DADC" w14:textId="77777777" w:rsidTr="00843920">
        <w:trPr>
          <w:cantSplit/>
        </w:trPr>
        <w:tc>
          <w:tcPr>
            <w:tcW w:w="5556" w:type="dxa"/>
            <w:tcBorders>
              <w:top w:val="nil"/>
              <w:left w:val="nil"/>
              <w:bottom w:val="nil"/>
              <w:right w:val="nil"/>
            </w:tcBorders>
            <w:vAlign w:val="bottom"/>
          </w:tcPr>
          <w:p w14:paraId="12E8C71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Taxes, other than income tax</w:t>
            </w:r>
          </w:p>
        </w:tc>
        <w:tc>
          <w:tcPr>
            <w:tcW w:w="1417" w:type="dxa"/>
            <w:tcBorders>
              <w:top w:val="nil"/>
              <w:left w:val="nil"/>
              <w:right w:val="nil"/>
            </w:tcBorders>
            <w:vAlign w:val="bottom"/>
          </w:tcPr>
          <w:p w14:paraId="77C0659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(3,457)</w:t>
            </w:r>
          </w:p>
        </w:tc>
        <w:tc>
          <w:tcPr>
            <w:tcW w:w="2383" w:type="dxa"/>
            <w:tcBorders>
              <w:top w:val="nil"/>
              <w:left w:val="nil"/>
              <w:bottom w:val="nil"/>
              <w:right w:val="nil"/>
            </w:tcBorders>
            <w:vAlign w:val="bottom"/>
          </w:tcPr>
          <w:p w14:paraId="2B05E30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(3,064)</w:t>
            </w:r>
          </w:p>
        </w:tc>
      </w:tr>
      <w:tr w:rsidR="00843920" w:rsidRPr="00843920" w14:paraId="5A2E19B6" w14:textId="77777777" w:rsidTr="00843920">
        <w:trPr>
          <w:cantSplit/>
        </w:trPr>
        <w:tc>
          <w:tcPr>
            <w:tcW w:w="5556" w:type="dxa"/>
            <w:tcBorders>
              <w:top w:val="nil"/>
              <w:left w:val="nil"/>
              <w:right w:val="nil"/>
            </w:tcBorders>
            <w:vAlign w:val="bottom"/>
          </w:tcPr>
          <w:p w14:paraId="68F2EB8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Other expenses, net</w:t>
            </w:r>
          </w:p>
        </w:tc>
        <w:tc>
          <w:tcPr>
            <w:tcW w:w="1417" w:type="dxa"/>
            <w:tcBorders>
              <w:top w:val="nil"/>
              <w:left w:val="nil"/>
              <w:right w:val="nil"/>
            </w:tcBorders>
            <w:vAlign w:val="bottom"/>
          </w:tcPr>
          <w:p w14:paraId="210EDD4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(2,099)</w:t>
            </w:r>
          </w:p>
        </w:tc>
        <w:tc>
          <w:tcPr>
            <w:tcW w:w="2383" w:type="dxa"/>
            <w:tcBorders>
              <w:top w:val="nil"/>
              <w:left w:val="nil"/>
              <w:right w:val="nil"/>
            </w:tcBorders>
            <w:vAlign w:val="bottom"/>
          </w:tcPr>
          <w:p w14:paraId="524C74E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(709)</w:t>
            </w:r>
          </w:p>
        </w:tc>
      </w:tr>
      <w:tr w:rsidR="00843920" w:rsidRPr="00843920" w14:paraId="5F53D534" w14:textId="77777777" w:rsidTr="00843920">
        <w:trPr>
          <w:cantSplit/>
        </w:trPr>
        <w:tc>
          <w:tcPr>
            <w:tcW w:w="5556" w:type="dxa"/>
            <w:tcBorders>
              <w:top w:val="nil"/>
              <w:left w:val="nil"/>
              <w:right w:val="nil"/>
            </w:tcBorders>
            <w:vAlign w:val="bottom"/>
          </w:tcPr>
          <w:p w14:paraId="359D39C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Foreign exchange </w:t>
            </w:r>
            <w:r w:rsidRPr="00843920">
              <w:rPr>
                <w:rFonts w:ascii="Arial" w:eastAsia="Times New Roman" w:hAnsi="Arial" w:cs="Arial"/>
                <w:color w:val="auto"/>
                <w:spacing w:val="-2"/>
                <w:sz w:val="18"/>
                <w:szCs w:val="18"/>
                <w:bdr w:val="none" w:sz="0" w:space="0" w:color="auto"/>
              </w:rPr>
              <w:t>gain</w:t>
            </w:r>
            <w:r w:rsidRPr="00843920">
              <w:rPr>
                <w:rFonts w:ascii="Arial" w:eastAsia="Times New Roman" w:hAnsi="Arial" w:cs="Arial"/>
                <w:color w:val="auto"/>
                <w:spacing w:val="-2"/>
                <w:sz w:val="18"/>
                <w:szCs w:val="18"/>
                <w:bdr w:val="none" w:sz="0" w:space="0" w:color="auto"/>
                <w:lang w:val="en-GB"/>
              </w:rPr>
              <w:t xml:space="preserve"> from operating activities, net</w:t>
            </w:r>
          </w:p>
        </w:tc>
        <w:tc>
          <w:tcPr>
            <w:tcW w:w="1417" w:type="dxa"/>
            <w:tcBorders>
              <w:top w:val="nil"/>
              <w:left w:val="nil"/>
              <w:right w:val="nil"/>
            </w:tcBorders>
            <w:vAlign w:val="bottom"/>
          </w:tcPr>
          <w:p w14:paraId="5BC17B3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1,1</w:t>
            </w:r>
            <w:r w:rsidRPr="00843920">
              <w:rPr>
                <w:rFonts w:ascii="Arial" w:eastAsia="Times New Roman" w:hAnsi="Arial" w:cs="Arial"/>
                <w:color w:val="auto"/>
                <w:spacing w:val="-2"/>
                <w:sz w:val="18"/>
                <w:szCs w:val="18"/>
                <w:bdr w:val="none" w:sz="0" w:space="0" w:color="auto"/>
                <w:lang w:val="ru-RU"/>
              </w:rPr>
              <w:t>84</w:t>
            </w:r>
          </w:p>
        </w:tc>
        <w:tc>
          <w:tcPr>
            <w:tcW w:w="2383" w:type="dxa"/>
            <w:tcBorders>
              <w:top w:val="nil"/>
              <w:left w:val="nil"/>
              <w:right w:val="nil"/>
            </w:tcBorders>
            <w:vAlign w:val="bottom"/>
          </w:tcPr>
          <w:p w14:paraId="28A1B97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6,417</w:t>
            </w:r>
          </w:p>
        </w:tc>
      </w:tr>
      <w:tr w:rsidR="00843920" w:rsidRPr="00843920" w14:paraId="30A186E3" w14:textId="77777777" w:rsidTr="00843920">
        <w:trPr>
          <w:cantSplit/>
        </w:trPr>
        <w:tc>
          <w:tcPr>
            <w:tcW w:w="5556" w:type="dxa"/>
            <w:tcBorders>
              <w:top w:val="nil"/>
              <w:left w:val="nil"/>
              <w:bottom w:val="single" w:sz="4" w:space="0" w:color="auto"/>
              <w:right w:val="nil"/>
            </w:tcBorders>
            <w:vAlign w:val="bottom"/>
          </w:tcPr>
          <w:p w14:paraId="2E270BB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nil"/>
              <w:left w:val="nil"/>
              <w:bottom w:val="single" w:sz="4" w:space="0" w:color="auto"/>
              <w:right w:val="nil"/>
            </w:tcBorders>
            <w:vAlign w:val="bottom"/>
          </w:tcPr>
          <w:p w14:paraId="453932F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c>
          <w:tcPr>
            <w:tcW w:w="2383" w:type="dxa"/>
            <w:tcBorders>
              <w:top w:val="nil"/>
              <w:left w:val="nil"/>
              <w:bottom w:val="single" w:sz="4" w:space="0" w:color="auto"/>
              <w:right w:val="nil"/>
            </w:tcBorders>
            <w:vAlign w:val="bottom"/>
          </w:tcPr>
          <w:p w14:paraId="3E64807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458C0F18" w14:textId="77777777" w:rsidTr="00843920">
        <w:trPr>
          <w:cantSplit/>
        </w:trPr>
        <w:tc>
          <w:tcPr>
            <w:tcW w:w="5556" w:type="dxa"/>
            <w:tcBorders>
              <w:top w:val="single" w:sz="4" w:space="0" w:color="auto"/>
              <w:left w:val="nil"/>
              <w:right w:val="nil"/>
            </w:tcBorders>
            <w:vAlign w:val="bottom"/>
          </w:tcPr>
          <w:p w14:paraId="3FC07FA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734E649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c>
          <w:tcPr>
            <w:tcW w:w="2383" w:type="dxa"/>
            <w:tcBorders>
              <w:top w:val="single" w:sz="4" w:space="0" w:color="auto"/>
              <w:left w:val="nil"/>
              <w:right w:val="nil"/>
            </w:tcBorders>
            <w:vAlign w:val="bottom"/>
          </w:tcPr>
          <w:p w14:paraId="2175F6D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5E976D53" w14:textId="77777777" w:rsidTr="00843920">
        <w:trPr>
          <w:cantSplit/>
        </w:trPr>
        <w:tc>
          <w:tcPr>
            <w:tcW w:w="5556" w:type="dxa"/>
            <w:tcBorders>
              <w:left w:val="nil"/>
              <w:right w:val="nil"/>
            </w:tcBorders>
            <w:vAlign w:val="bottom"/>
          </w:tcPr>
          <w:p w14:paraId="292BD5E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Operating profit</w:t>
            </w:r>
          </w:p>
        </w:tc>
        <w:tc>
          <w:tcPr>
            <w:tcW w:w="1417" w:type="dxa"/>
            <w:tcBorders>
              <w:left w:val="nil"/>
              <w:right w:val="nil"/>
            </w:tcBorders>
            <w:vAlign w:val="bottom"/>
          </w:tcPr>
          <w:p w14:paraId="1AFAEA0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18"/>
                <w:bdr w:val="none" w:sz="0" w:space="0" w:color="auto"/>
              </w:rPr>
              <w:t>29,</w:t>
            </w:r>
            <w:r w:rsidRPr="00843920">
              <w:rPr>
                <w:rFonts w:ascii="Arial" w:eastAsia="Times New Roman" w:hAnsi="Arial" w:cs="Arial"/>
                <w:b/>
                <w:color w:val="auto"/>
                <w:spacing w:val="-2"/>
                <w:sz w:val="18"/>
                <w:szCs w:val="18"/>
                <w:bdr w:val="none" w:sz="0" w:space="0" w:color="auto"/>
                <w:lang w:val="ru-RU"/>
              </w:rPr>
              <w:t>805</w:t>
            </w:r>
          </w:p>
        </w:tc>
        <w:tc>
          <w:tcPr>
            <w:tcW w:w="2383" w:type="dxa"/>
            <w:tcBorders>
              <w:left w:val="nil"/>
              <w:right w:val="nil"/>
            </w:tcBorders>
            <w:vAlign w:val="bottom"/>
          </w:tcPr>
          <w:p w14:paraId="26EFF50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rPr>
              <w:t>47,569</w:t>
            </w:r>
          </w:p>
        </w:tc>
      </w:tr>
      <w:tr w:rsidR="00843920" w:rsidRPr="00843920" w14:paraId="71CD6423" w14:textId="77777777" w:rsidTr="00843920">
        <w:trPr>
          <w:cantSplit/>
        </w:trPr>
        <w:tc>
          <w:tcPr>
            <w:tcW w:w="5556" w:type="dxa"/>
            <w:tcBorders>
              <w:left w:val="nil"/>
              <w:right w:val="nil"/>
            </w:tcBorders>
            <w:vAlign w:val="bottom"/>
          </w:tcPr>
          <w:p w14:paraId="7249DEF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417" w:type="dxa"/>
            <w:tcBorders>
              <w:left w:val="nil"/>
              <w:right w:val="nil"/>
            </w:tcBorders>
            <w:vAlign w:val="bottom"/>
          </w:tcPr>
          <w:p w14:paraId="2D14F63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2383" w:type="dxa"/>
            <w:tcBorders>
              <w:left w:val="nil"/>
              <w:right w:val="nil"/>
            </w:tcBorders>
            <w:vAlign w:val="bottom"/>
          </w:tcPr>
          <w:p w14:paraId="18362F9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464C42EB" w14:textId="77777777" w:rsidTr="00843920">
        <w:trPr>
          <w:cantSplit/>
        </w:trPr>
        <w:tc>
          <w:tcPr>
            <w:tcW w:w="5556" w:type="dxa"/>
            <w:tcBorders>
              <w:top w:val="nil"/>
              <w:left w:val="nil"/>
              <w:bottom w:val="nil"/>
              <w:right w:val="nil"/>
            </w:tcBorders>
            <w:vAlign w:val="bottom"/>
          </w:tcPr>
          <w:p w14:paraId="6F87853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Finance income</w:t>
            </w:r>
          </w:p>
        </w:tc>
        <w:tc>
          <w:tcPr>
            <w:tcW w:w="1417" w:type="dxa"/>
            <w:tcBorders>
              <w:top w:val="nil"/>
              <w:left w:val="nil"/>
              <w:bottom w:val="nil"/>
              <w:right w:val="nil"/>
            </w:tcBorders>
            <w:vAlign w:val="bottom"/>
          </w:tcPr>
          <w:p w14:paraId="5EBDB47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1,035</w:t>
            </w:r>
          </w:p>
        </w:tc>
        <w:tc>
          <w:tcPr>
            <w:tcW w:w="2383" w:type="dxa"/>
            <w:tcBorders>
              <w:top w:val="nil"/>
              <w:left w:val="nil"/>
              <w:bottom w:val="nil"/>
              <w:right w:val="nil"/>
            </w:tcBorders>
            <w:vAlign w:val="bottom"/>
          </w:tcPr>
          <w:p w14:paraId="2EC13CF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lang w:eastAsia="en-US"/>
              </w:rPr>
              <w:t>568</w:t>
            </w:r>
          </w:p>
        </w:tc>
      </w:tr>
      <w:tr w:rsidR="00843920" w:rsidRPr="00843920" w14:paraId="0D1C853D" w14:textId="77777777" w:rsidTr="00843920">
        <w:trPr>
          <w:cantSplit/>
        </w:trPr>
        <w:tc>
          <w:tcPr>
            <w:tcW w:w="5556" w:type="dxa"/>
            <w:tcBorders>
              <w:top w:val="nil"/>
              <w:left w:val="nil"/>
              <w:bottom w:val="nil"/>
              <w:right w:val="nil"/>
            </w:tcBorders>
            <w:vAlign w:val="bottom"/>
          </w:tcPr>
          <w:p w14:paraId="76B008E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Finance costs</w:t>
            </w:r>
          </w:p>
        </w:tc>
        <w:tc>
          <w:tcPr>
            <w:tcW w:w="1417" w:type="dxa"/>
            <w:tcBorders>
              <w:top w:val="nil"/>
              <w:left w:val="nil"/>
              <w:bottom w:val="nil"/>
              <w:right w:val="nil"/>
            </w:tcBorders>
            <w:vAlign w:val="bottom"/>
          </w:tcPr>
          <w:p w14:paraId="0F1765B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(3,001)</w:t>
            </w:r>
          </w:p>
        </w:tc>
        <w:tc>
          <w:tcPr>
            <w:tcW w:w="2383" w:type="dxa"/>
            <w:tcBorders>
              <w:top w:val="nil"/>
              <w:left w:val="nil"/>
              <w:bottom w:val="nil"/>
              <w:right w:val="nil"/>
            </w:tcBorders>
            <w:vAlign w:val="bottom"/>
          </w:tcPr>
          <w:p w14:paraId="0FA6CD3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(1,670)</w:t>
            </w:r>
          </w:p>
        </w:tc>
      </w:tr>
      <w:tr w:rsidR="00843920" w:rsidRPr="00843920" w14:paraId="05FFC83B" w14:textId="77777777" w:rsidTr="00843920">
        <w:trPr>
          <w:cantSplit/>
        </w:trPr>
        <w:tc>
          <w:tcPr>
            <w:tcW w:w="5556" w:type="dxa"/>
            <w:tcBorders>
              <w:top w:val="nil"/>
              <w:left w:val="nil"/>
              <w:bottom w:val="nil"/>
              <w:right w:val="nil"/>
            </w:tcBorders>
            <w:shd w:val="clear" w:color="auto" w:fill="FFFFFF"/>
            <w:vAlign w:val="bottom"/>
          </w:tcPr>
          <w:p w14:paraId="1A30341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Foreign exchange</w:t>
            </w:r>
            <w:r w:rsidRPr="00843920">
              <w:rPr>
                <w:rFonts w:ascii="Arial" w:eastAsia="Times New Roman" w:hAnsi="Arial" w:cs="Arial"/>
                <w:color w:val="auto"/>
                <w:spacing w:val="-2"/>
                <w:sz w:val="18"/>
                <w:szCs w:val="18"/>
                <w:bdr w:val="none" w:sz="0" w:space="0" w:color="auto"/>
              </w:rPr>
              <w:t xml:space="preserve"> loss</w:t>
            </w:r>
            <w:r w:rsidRPr="00843920">
              <w:rPr>
                <w:rFonts w:ascii="Arial" w:eastAsia="Times New Roman" w:hAnsi="Arial" w:cs="Arial"/>
                <w:color w:val="auto"/>
                <w:spacing w:val="-2"/>
                <w:sz w:val="18"/>
                <w:szCs w:val="18"/>
                <w:bdr w:val="none" w:sz="0" w:space="0" w:color="auto"/>
                <w:lang w:val="en-GB"/>
              </w:rPr>
              <w:t xml:space="preserve"> from financing activities, net</w:t>
            </w:r>
          </w:p>
        </w:tc>
        <w:tc>
          <w:tcPr>
            <w:tcW w:w="1417" w:type="dxa"/>
            <w:tcBorders>
              <w:top w:val="nil"/>
              <w:left w:val="nil"/>
              <w:right w:val="nil"/>
            </w:tcBorders>
            <w:vAlign w:val="bottom"/>
          </w:tcPr>
          <w:p w14:paraId="5C57152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 xml:space="preserve">  (3,91</w:t>
            </w:r>
            <w:r w:rsidRPr="00843920">
              <w:rPr>
                <w:rFonts w:ascii="Arial" w:eastAsia="Times New Roman" w:hAnsi="Arial" w:cs="Arial"/>
                <w:color w:val="auto"/>
                <w:spacing w:val="-2"/>
                <w:sz w:val="18"/>
                <w:szCs w:val="18"/>
                <w:bdr w:val="none" w:sz="0" w:space="0" w:color="auto"/>
                <w:lang w:val="ru-RU"/>
              </w:rPr>
              <w:t>6</w:t>
            </w:r>
            <w:r w:rsidRPr="00843920">
              <w:rPr>
                <w:rFonts w:ascii="Arial" w:eastAsia="Times New Roman" w:hAnsi="Arial" w:cs="Arial"/>
                <w:color w:val="auto"/>
                <w:spacing w:val="-2"/>
                <w:sz w:val="18"/>
                <w:szCs w:val="18"/>
                <w:bdr w:val="none" w:sz="0" w:space="0" w:color="auto"/>
              </w:rPr>
              <w:t>)</w:t>
            </w:r>
          </w:p>
        </w:tc>
        <w:tc>
          <w:tcPr>
            <w:tcW w:w="2383" w:type="dxa"/>
            <w:tcBorders>
              <w:top w:val="nil"/>
              <w:left w:val="nil"/>
              <w:right w:val="nil"/>
            </w:tcBorders>
            <w:vAlign w:val="bottom"/>
          </w:tcPr>
          <w:p w14:paraId="13D24DC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(12,255)</w:t>
            </w:r>
          </w:p>
        </w:tc>
      </w:tr>
      <w:tr w:rsidR="00843920" w:rsidRPr="00843920" w14:paraId="026408E1" w14:textId="77777777" w:rsidTr="00843920">
        <w:trPr>
          <w:cantSplit/>
        </w:trPr>
        <w:tc>
          <w:tcPr>
            <w:tcW w:w="5556" w:type="dxa"/>
            <w:tcBorders>
              <w:top w:val="nil"/>
              <w:left w:val="nil"/>
              <w:bottom w:val="single" w:sz="4" w:space="0" w:color="auto"/>
              <w:right w:val="nil"/>
            </w:tcBorders>
            <w:vAlign w:val="bottom"/>
          </w:tcPr>
          <w:p w14:paraId="40B1449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nil"/>
              <w:left w:val="nil"/>
              <w:bottom w:val="single" w:sz="4" w:space="0" w:color="auto"/>
              <w:right w:val="nil"/>
            </w:tcBorders>
            <w:vAlign w:val="bottom"/>
          </w:tcPr>
          <w:p w14:paraId="254C290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top w:val="nil"/>
              <w:left w:val="nil"/>
              <w:bottom w:val="single" w:sz="4" w:space="0" w:color="auto"/>
              <w:right w:val="nil"/>
            </w:tcBorders>
            <w:vAlign w:val="bottom"/>
          </w:tcPr>
          <w:p w14:paraId="75CE321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02C7C53C" w14:textId="77777777" w:rsidTr="00843920">
        <w:trPr>
          <w:cantSplit/>
        </w:trPr>
        <w:tc>
          <w:tcPr>
            <w:tcW w:w="5556" w:type="dxa"/>
            <w:tcBorders>
              <w:top w:val="single" w:sz="4" w:space="0" w:color="auto"/>
              <w:left w:val="nil"/>
              <w:bottom w:val="nil"/>
              <w:right w:val="nil"/>
            </w:tcBorders>
            <w:vAlign w:val="bottom"/>
          </w:tcPr>
          <w:p w14:paraId="52B54A8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55C399B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top w:val="single" w:sz="4" w:space="0" w:color="auto"/>
              <w:left w:val="nil"/>
              <w:right w:val="nil"/>
            </w:tcBorders>
            <w:vAlign w:val="bottom"/>
          </w:tcPr>
          <w:p w14:paraId="4BEDF47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78525335" w14:textId="77777777" w:rsidTr="00843920">
        <w:trPr>
          <w:cantSplit/>
        </w:trPr>
        <w:tc>
          <w:tcPr>
            <w:tcW w:w="5556" w:type="dxa"/>
            <w:tcBorders>
              <w:top w:val="nil"/>
              <w:left w:val="nil"/>
              <w:right w:val="nil"/>
            </w:tcBorders>
            <w:vAlign w:val="bottom"/>
          </w:tcPr>
          <w:p w14:paraId="44E6400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Profit before tax</w:t>
            </w:r>
          </w:p>
        </w:tc>
        <w:tc>
          <w:tcPr>
            <w:tcW w:w="1417" w:type="dxa"/>
            <w:tcBorders>
              <w:left w:val="nil"/>
              <w:right w:val="nil"/>
            </w:tcBorders>
            <w:vAlign w:val="bottom"/>
          </w:tcPr>
          <w:p w14:paraId="5185F21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18"/>
                <w:bdr w:val="none" w:sz="0" w:space="0" w:color="auto"/>
              </w:rPr>
              <w:t>23,</w:t>
            </w:r>
            <w:r w:rsidRPr="00843920">
              <w:rPr>
                <w:rFonts w:ascii="Arial" w:eastAsia="Times New Roman" w:hAnsi="Arial" w:cs="Arial"/>
                <w:b/>
                <w:color w:val="auto"/>
                <w:spacing w:val="-2"/>
                <w:sz w:val="18"/>
                <w:szCs w:val="18"/>
                <w:bdr w:val="none" w:sz="0" w:space="0" w:color="auto"/>
                <w:lang w:val="ru-RU"/>
              </w:rPr>
              <w:t>9</w:t>
            </w:r>
            <w:r w:rsidRPr="00843920">
              <w:rPr>
                <w:rFonts w:ascii="Arial" w:eastAsia="Times New Roman" w:hAnsi="Arial" w:cs="Arial"/>
                <w:b/>
                <w:color w:val="auto"/>
                <w:spacing w:val="-2"/>
                <w:sz w:val="18"/>
                <w:szCs w:val="18"/>
                <w:bdr w:val="none" w:sz="0" w:space="0" w:color="auto"/>
              </w:rPr>
              <w:t>2</w:t>
            </w:r>
            <w:r w:rsidRPr="00843920">
              <w:rPr>
                <w:rFonts w:ascii="Arial" w:eastAsia="Times New Roman" w:hAnsi="Arial" w:cs="Arial"/>
                <w:b/>
                <w:color w:val="auto"/>
                <w:spacing w:val="-2"/>
                <w:sz w:val="18"/>
                <w:szCs w:val="18"/>
                <w:bdr w:val="none" w:sz="0" w:space="0" w:color="auto"/>
                <w:lang w:val="ru-RU"/>
              </w:rPr>
              <w:t>3</w:t>
            </w:r>
          </w:p>
        </w:tc>
        <w:tc>
          <w:tcPr>
            <w:tcW w:w="2383" w:type="dxa"/>
            <w:tcBorders>
              <w:left w:val="nil"/>
              <w:right w:val="nil"/>
            </w:tcBorders>
            <w:vAlign w:val="bottom"/>
          </w:tcPr>
          <w:p w14:paraId="1AA6492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rPr>
              <w:t>34,212</w:t>
            </w:r>
          </w:p>
        </w:tc>
      </w:tr>
      <w:tr w:rsidR="00843920" w:rsidRPr="00843920" w14:paraId="00BEFA45" w14:textId="77777777" w:rsidTr="00843920">
        <w:trPr>
          <w:cantSplit/>
        </w:trPr>
        <w:tc>
          <w:tcPr>
            <w:tcW w:w="5556" w:type="dxa"/>
            <w:tcBorders>
              <w:top w:val="nil"/>
              <w:left w:val="nil"/>
              <w:right w:val="nil"/>
            </w:tcBorders>
            <w:vAlign w:val="bottom"/>
          </w:tcPr>
          <w:p w14:paraId="094F0ED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nil"/>
              <w:left w:val="nil"/>
              <w:right w:val="nil"/>
            </w:tcBorders>
            <w:vAlign w:val="bottom"/>
          </w:tcPr>
          <w:p w14:paraId="6F160F9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2383" w:type="dxa"/>
            <w:tcBorders>
              <w:top w:val="nil"/>
              <w:left w:val="nil"/>
              <w:right w:val="nil"/>
            </w:tcBorders>
            <w:vAlign w:val="bottom"/>
          </w:tcPr>
          <w:p w14:paraId="3C616DD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7CFED2DF" w14:textId="77777777" w:rsidTr="00843920">
        <w:trPr>
          <w:cantSplit/>
        </w:trPr>
        <w:tc>
          <w:tcPr>
            <w:tcW w:w="5556" w:type="dxa"/>
            <w:tcBorders>
              <w:top w:val="nil"/>
              <w:left w:val="nil"/>
              <w:right w:val="nil"/>
            </w:tcBorders>
            <w:vAlign w:val="bottom"/>
          </w:tcPr>
          <w:p w14:paraId="3993C88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Income tax expense</w:t>
            </w:r>
          </w:p>
        </w:tc>
        <w:tc>
          <w:tcPr>
            <w:tcW w:w="1417" w:type="dxa"/>
            <w:tcBorders>
              <w:top w:val="nil"/>
              <w:left w:val="nil"/>
              <w:right w:val="nil"/>
            </w:tcBorders>
            <w:vAlign w:val="bottom"/>
          </w:tcPr>
          <w:p w14:paraId="7403EFA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(5,</w:t>
            </w:r>
            <w:r w:rsidRPr="00843920">
              <w:rPr>
                <w:rFonts w:ascii="Arial" w:eastAsia="Times New Roman" w:hAnsi="Arial" w:cs="Arial"/>
                <w:color w:val="auto"/>
                <w:spacing w:val="-2"/>
                <w:sz w:val="18"/>
                <w:szCs w:val="18"/>
                <w:bdr w:val="none" w:sz="0" w:space="0" w:color="auto"/>
                <w:lang w:val="ru-RU"/>
              </w:rPr>
              <w:t>169</w:t>
            </w:r>
            <w:r w:rsidRPr="00843920">
              <w:rPr>
                <w:rFonts w:ascii="Arial" w:eastAsia="Times New Roman" w:hAnsi="Arial" w:cs="Arial"/>
                <w:color w:val="auto"/>
                <w:spacing w:val="-2"/>
                <w:sz w:val="18"/>
                <w:szCs w:val="18"/>
                <w:bdr w:val="none" w:sz="0" w:space="0" w:color="auto"/>
              </w:rPr>
              <w:t>)</w:t>
            </w:r>
          </w:p>
        </w:tc>
        <w:tc>
          <w:tcPr>
            <w:tcW w:w="2383" w:type="dxa"/>
            <w:tcBorders>
              <w:top w:val="nil"/>
              <w:left w:val="nil"/>
              <w:right w:val="nil"/>
            </w:tcBorders>
            <w:vAlign w:val="bottom"/>
          </w:tcPr>
          <w:p w14:paraId="560E487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(6,153)</w:t>
            </w:r>
          </w:p>
        </w:tc>
      </w:tr>
      <w:tr w:rsidR="00843920" w:rsidRPr="00843920" w14:paraId="2BB04651" w14:textId="77777777" w:rsidTr="00843920">
        <w:trPr>
          <w:cantSplit/>
        </w:trPr>
        <w:tc>
          <w:tcPr>
            <w:tcW w:w="5556" w:type="dxa"/>
            <w:tcBorders>
              <w:top w:val="nil"/>
              <w:left w:val="nil"/>
              <w:bottom w:val="single" w:sz="4" w:space="0" w:color="auto"/>
              <w:right w:val="nil"/>
            </w:tcBorders>
            <w:vAlign w:val="bottom"/>
          </w:tcPr>
          <w:p w14:paraId="56ECA67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nil"/>
              <w:left w:val="nil"/>
              <w:bottom w:val="single" w:sz="4" w:space="0" w:color="auto"/>
              <w:right w:val="nil"/>
            </w:tcBorders>
            <w:vAlign w:val="bottom"/>
          </w:tcPr>
          <w:p w14:paraId="4257B35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top w:val="nil"/>
              <w:left w:val="nil"/>
              <w:bottom w:val="single" w:sz="4" w:space="0" w:color="auto"/>
              <w:right w:val="nil"/>
            </w:tcBorders>
            <w:vAlign w:val="bottom"/>
          </w:tcPr>
          <w:p w14:paraId="3987D98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357DEA79" w14:textId="77777777" w:rsidTr="00843920">
        <w:trPr>
          <w:cantSplit/>
        </w:trPr>
        <w:tc>
          <w:tcPr>
            <w:tcW w:w="5556" w:type="dxa"/>
            <w:tcBorders>
              <w:top w:val="single" w:sz="4" w:space="0" w:color="auto"/>
              <w:left w:val="nil"/>
              <w:right w:val="nil"/>
            </w:tcBorders>
            <w:vAlign w:val="bottom"/>
          </w:tcPr>
          <w:p w14:paraId="24864F1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24E0726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top w:val="single" w:sz="4" w:space="0" w:color="auto"/>
              <w:left w:val="nil"/>
              <w:right w:val="nil"/>
            </w:tcBorders>
            <w:vAlign w:val="bottom"/>
          </w:tcPr>
          <w:p w14:paraId="5190A7B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5B88C220" w14:textId="77777777" w:rsidTr="00843920">
        <w:trPr>
          <w:cantSplit/>
        </w:trPr>
        <w:tc>
          <w:tcPr>
            <w:tcW w:w="5556" w:type="dxa"/>
            <w:tcBorders>
              <w:left w:val="nil"/>
              <w:right w:val="nil"/>
            </w:tcBorders>
            <w:vAlign w:val="bottom"/>
          </w:tcPr>
          <w:p w14:paraId="3A98EE2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Profit for the period</w:t>
            </w:r>
          </w:p>
        </w:tc>
        <w:tc>
          <w:tcPr>
            <w:tcW w:w="1417" w:type="dxa"/>
            <w:tcBorders>
              <w:left w:val="nil"/>
              <w:right w:val="nil"/>
            </w:tcBorders>
            <w:vAlign w:val="bottom"/>
          </w:tcPr>
          <w:p w14:paraId="1B0AFAE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18"/>
                <w:bdr w:val="none" w:sz="0" w:space="0" w:color="auto"/>
              </w:rPr>
              <w:t>18,</w:t>
            </w:r>
            <w:r w:rsidRPr="00843920">
              <w:rPr>
                <w:rFonts w:ascii="Arial" w:eastAsia="Times New Roman" w:hAnsi="Arial" w:cs="Arial"/>
                <w:b/>
                <w:color w:val="auto"/>
                <w:spacing w:val="-2"/>
                <w:sz w:val="18"/>
                <w:szCs w:val="18"/>
                <w:bdr w:val="none" w:sz="0" w:space="0" w:color="auto"/>
                <w:lang w:val="ru-RU"/>
              </w:rPr>
              <w:t>754</w:t>
            </w:r>
          </w:p>
        </w:tc>
        <w:tc>
          <w:tcPr>
            <w:tcW w:w="2383" w:type="dxa"/>
            <w:tcBorders>
              <w:left w:val="nil"/>
              <w:right w:val="nil"/>
            </w:tcBorders>
            <w:vAlign w:val="bottom"/>
          </w:tcPr>
          <w:p w14:paraId="0F48163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rPr>
              <w:t>28,059</w:t>
            </w:r>
          </w:p>
        </w:tc>
      </w:tr>
      <w:tr w:rsidR="00843920" w:rsidRPr="00843920" w14:paraId="07D571EE" w14:textId="77777777" w:rsidTr="00843920">
        <w:trPr>
          <w:cantSplit/>
        </w:trPr>
        <w:tc>
          <w:tcPr>
            <w:tcW w:w="5556" w:type="dxa"/>
            <w:tcBorders>
              <w:left w:val="nil"/>
              <w:bottom w:val="nil"/>
              <w:right w:val="nil"/>
            </w:tcBorders>
            <w:vAlign w:val="bottom"/>
          </w:tcPr>
          <w:p w14:paraId="288C1B6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left w:val="nil"/>
              <w:bottom w:val="nil"/>
              <w:right w:val="nil"/>
            </w:tcBorders>
            <w:vAlign w:val="bottom"/>
          </w:tcPr>
          <w:p w14:paraId="2902C63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2383" w:type="dxa"/>
            <w:tcBorders>
              <w:left w:val="nil"/>
              <w:bottom w:val="nil"/>
              <w:right w:val="nil"/>
            </w:tcBorders>
            <w:vAlign w:val="bottom"/>
          </w:tcPr>
          <w:p w14:paraId="6A7AE5F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0F38381D" w14:textId="77777777" w:rsidTr="00843920">
        <w:trPr>
          <w:cantSplit/>
        </w:trPr>
        <w:tc>
          <w:tcPr>
            <w:tcW w:w="5556" w:type="dxa"/>
            <w:tcBorders>
              <w:top w:val="nil"/>
              <w:left w:val="nil"/>
              <w:bottom w:val="nil"/>
              <w:right w:val="nil"/>
            </w:tcBorders>
            <w:vAlign w:val="bottom"/>
          </w:tcPr>
          <w:p w14:paraId="22805D3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Attributable to:</w:t>
            </w:r>
          </w:p>
        </w:tc>
        <w:tc>
          <w:tcPr>
            <w:tcW w:w="1417" w:type="dxa"/>
            <w:tcBorders>
              <w:top w:val="nil"/>
              <w:left w:val="nil"/>
              <w:right w:val="nil"/>
            </w:tcBorders>
            <w:vAlign w:val="bottom"/>
          </w:tcPr>
          <w:p w14:paraId="6056015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2383" w:type="dxa"/>
            <w:tcBorders>
              <w:top w:val="nil"/>
              <w:left w:val="nil"/>
              <w:bottom w:val="nil"/>
              <w:right w:val="nil"/>
            </w:tcBorders>
            <w:vAlign w:val="bottom"/>
          </w:tcPr>
          <w:p w14:paraId="5E7D7D2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3D0EB4A5" w14:textId="77777777" w:rsidTr="00843920">
        <w:trPr>
          <w:cantSplit/>
        </w:trPr>
        <w:tc>
          <w:tcPr>
            <w:tcW w:w="5556" w:type="dxa"/>
            <w:tcBorders>
              <w:top w:val="nil"/>
              <w:left w:val="nil"/>
              <w:right w:val="nil"/>
            </w:tcBorders>
            <w:vAlign w:val="bottom"/>
          </w:tcPr>
          <w:p w14:paraId="7ACD614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Shareholders of the Company</w:t>
            </w:r>
          </w:p>
        </w:tc>
        <w:tc>
          <w:tcPr>
            <w:tcW w:w="1417" w:type="dxa"/>
            <w:tcBorders>
              <w:top w:val="nil"/>
              <w:left w:val="nil"/>
              <w:right w:val="nil"/>
            </w:tcBorders>
            <w:vAlign w:val="bottom"/>
          </w:tcPr>
          <w:p w14:paraId="0F4466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18,</w:t>
            </w:r>
            <w:r w:rsidRPr="00843920">
              <w:rPr>
                <w:rFonts w:ascii="Arial" w:eastAsia="Times New Roman" w:hAnsi="Arial" w:cs="Arial"/>
                <w:color w:val="auto"/>
                <w:spacing w:val="-2"/>
                <w:sz w:val="18"/>
                <w:szCs w:val="18"/>
                <w:bdr w:val="none" w:sz="0" w:space="0" w:color="auto"/>
                <w:lang w:val="ru-RU"/>
              </w:rPr>
              <w:t>762</w:t>
            </w:r>
          </w:p>
        </w:tc>
        <w:tc>
          <w:tcPr>
            <w:tcW w:w="2383" w:type="dxa"/>
            <w:tcBorders>
              <w:top w:val="nil"/>
              <w:left w:val="nil"/>
              <w:right w:val="nil"/>
            </w:tcBorders>
            <w:vAlign w:val="bottom"/>
          </w:tcPr>
          <w:p w14:paraId="4E16001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28,055</w:t>
            </w:r>
          </w:p>
        </w:tc>
      </w:tr>
      <w:tr w:rsidR="00843920" w:rsidRPr="00843920" w14:paraId="0AA7F4C4" w14:textId="77777777" w:rsidTr="00843920">
        <w:trPr>
          <w:cantSplit/>
        </w:trPr>
        <w:tc>
          <w:tcPr>
            <w:tcW w:w="5556" w:type="dxa"/>
            <w:tcBorders>
              <w:top w:val="nil"/>
              <w:left w:val="nil"/>
              <w:right w:val="nil"/>
            </w:tcBorders>
            <w:vAlign w:val="bottom"/>
          </w:tcPr>
          <w:p w14:paraId="7834F78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Non-controlling interests*</w:t>
            </w:r>
          </w:p>
        </w:tc>
        <w:tc>
          <w:tcPr>
            <w:tcW w:w="1417" w:type="dxa"/>
            <w:tcBorders>
              <w:top w:val="nil"/>
              <w:left w:val="nil"/>
              <w:right w:val="nil"/>
            </w:tcBorders>
            <w:vAlign w:val="bottom"/>
          </w:tcPr>
          <w:p w14:paraId="4DBE834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(8)</w:t>
            </w:r>
          </w:p>
        </w:tc>
        <w:tc>
          <w:tcPr>
            <w:tcW w:w="2383" w:type="dxa"/>
            <w:tcBorders>
              <w:top w:val="nil"/>
              <w:left w:val="nil"/>
              <w:right w:val="nil"/>
            </w:tcBorders>
            <w:vAlign w:val="bottom"/>
          </w:tcPr>
          <w:p w14:paraId="20C041C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4</w:t>
            </w:r>
          </w:p>
        </w:tc>
      </w:tr>
      <w:tr w:rsidR="00843920" w:rsidRPr="00843920" w14:paraId="362E58D4" w14:textId="77777777" w:rsidTr="00843920">
        <w:trPr>
          <w:cantSplit/>
        </w:trPr>
        <w:tc>
          <w:tcPr>
            <w:tcW w:w="5556" w:type="dxa"/>
            <w:tcBorders>
              <w:left w:val="nil"/>
              <w:right w:val="nil"/>
            </w:tcBorders>
            <w:vAlign w:val="bottom"/>
          </w:tcPr>
          <w:p w14:paraId="6865C0A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left w:val="nil"/>
              <w:right w:val="nil"/>
            </w:tcBorders>
            <w:vAlign w:val="bottom"/>
          </w:tcPr>
          <w:p w14:paraId="61F674F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left w:val="nil"/>
              <w:right w:val="nil"/>
            </w:tcBorders>
            <w:vAlign w:val="bottom"/>
          </w:tcPr>
          <w:p w14:paraId="46F167F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476B12DE" w14:textId="77777777" w:rsidTr="00843920">
        <w:trPr>
          <w:cantSplit/>
        </w:trPr>
        <w:tc>
          <w:tcPr>
            <w:tcW w:w="5556" w:type="dxa"/>
            <w:tcBorders>
              <w:left w:val="nil"/>
              <w:right w:val="nil"/>
            </w:tcBorders>
            <w:vAlign w:val="bottom"/>
          </w:tcPr>
          <w:p w14:paraId="2B129EA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Basic and diluted earnings per share (in RUB)</w:t>
            </w:r>
          </w:p>
        </w:tc>
        <w:tc>
          <w:tcPr>
            <w:tcW w:w="1417" w:type="dxa"/>
            <w:tcBorders>
              <w:left w:val="nil"/>
              <w:right w:val="nil"/>
            </w:tcBorders>
            <w:vAlign w:val="bottom"/>
          </w:tcPr>
          <w:p w14:paraId="01CCB27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14</w:t>
            </w:r>
            <w:r w:rsidRPr="00843920">
              <w:rPr>
                <w:rFonts w:ascii="Arial" w:eastAsia="Times New Roman" w:hAnsi="Arial" w:cs="Arial"/>
                <w:color w:val="auto"/>
                <w:spacing w:val="-2"/>
                <w:sz w:val="18"/>
                <w:szCs w:val="18"/>
                <w:bdr w:val="none" w:sz="0" w:space="0" w:color="auto"/>
                <w:lang w:val="ru-RU"/>
              </w:rPr>
              <w:t>5</w:t>
            </w:r>
          </w:p>
        </w:tc>
        <w:tc>
          <w:tcPr>
            <w:tcW w:w="2383" w:type="dxa"/>
            <w:tcBorders>
              <w:left w:val="nil"/>
              <w:right w:val="nil"/>
            </w:tcBorders>
            <w:shd w:val="clear" w:color="auto" w:fill="auto"/>
            <w:vAlign w:val="bottom"/>
          </w:tcPr>
          <w:p w14:paraId="24E6DAF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217</w:t>
            </w:r>
          </w:p>
        </w:tc>
      </w:tr>
      <w:tr w:rsidR="00843920" w:rsidRPr="00843920" w14:paraId="269A5D56" w14:textId="77777777" w:rsidTr="00843920">
        <w:trPr>
          <w:cantSplit/>
        </w:trPr>
        <w:tc>
          <w:tcPr>
            <w:tcW w:w="5556" w:type="dxa"/>
            <w:tcBorders>
              <w:left w:val="nil"/>
              <w:bottom w:val="single" w:sz="4" w:space="0" w:color="auto"/>
              <w:right w:val="nil"/>
            </w:tcBorders>
            <w:vAlign w:val="bottom"/>
          </w:tcPr>
          <w:p w14:paraId="71BFB70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left w:val="nil"/>
              <w:bottom w:val="single" w:sz="4" w:space="0" w:color="auto"/>
              <w:right w:val="nil"/>
            </w:tcBorders>
            <w:vAlign w:val="bottom"/>
          </w:tcPr>
          <w:p w14:paraId="5C535EC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left w:val="nil"/>
              <w:bottom w:val="single" w:sz="4" w:space="0" w:color="auto"/>
              <w:right w:val="nil"/>
            </w:tcBorders>
            <w:vAlign w:val="bottom"/>
          </w:tcPr>
          <w:p w14:paraId="0568F56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217385C2" w14:textId="77777777" w:rsidTr="00843920">
        <w:trPr>
          <w:cantSplit/>
        </w:trPr>
        <w:tc>
          <w:tcPr>
            <w:tcW w:w="5556" w:type="dxa"/>
            <w:tcBorders>
              <w:top w:val="single" w:sz="4" w:space="0" w:color="auto"/>
              <w:left w:val="nil"/>
              <w:right w:val="nil"/>
            </w:tcBorders>
            <w:vAlign w:val="bottom"/>
          </w:tcPr>
          <w:p w14:paraId="0AFB709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417" w:type="dxa"/>
            <w:tcBorders>
              <w:top w:val="single" w:sz="4" w:space="0" w:color="auto"/>
              <w:left w:val="nil"/>
              <w:right w:val="nil"/>
            </w:tcBorders>
            <w:vAlign w:val="bottom"/>
          </w:tcPr>
          <w:p w14:paraId="79089DB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0"/>
                <w:szCs w:val="10"/>
                <w:bdr w:val="none" w:sz="0" w:space="0" w:color="auto"/>
              </w:rPr>
            </w:pPr>
          </w:p>
        </w:tc>
        <w:tc>
          <w:tcPr>
            <w:tcW w:w="2383" w:type="dxa"/>
            <w:tcBorders>
              <w:top w:val="single" w:sz="4" w:space="0" w:color="auto"/>
              <w:left w:val="nil"/>
              <w:right w:val="nil"/>
            </w:tcBorders>
            <w:vAlign w:val="bottom"/>
          </w:tcPr>
          <w:p w14:paraId="5A9857F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0"/>
                <w:szCs w:val="10"/>
                <w:bdr w:val="none" w:sz="0" w:space="0" w:color="auto"/>
              </w:rPr>
            </w:pPr>
          </w:p>
        </w:tc>
      </w:tr>
      <w:tr w:rsidR="00843920" w:rsidRPr="00843920" w14:paraId="6D57CBB3" w14:textId="77777777" w:rsidTr="00843920">
        <w:trPr>
          <w:cantSplit/>
        </w:trPr>
        <w:tc>
          <w:tcPr>
            <w:tcW w:w="5556" w:type="dxa"/>
            <w:tcBorders>
              <w:left w:val="nil"/>
              <w:right w:val="nil"/>
            </w:tcBorders>
            <w:vAlign w:val="bottom"/>
          </w:tcPr>
          <w:p w14:paraId="67DF33F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Total comprehensive income for the period</w:t>
            </w:r>
          </w:p>
        </w:tc>
        <w:tc>
          <w:tcPr>
            <w:tcW w:w="1417" w:type="dxa"/>
            <w:tcBorders>
              <w:left w:val="nil"/>
              <w:right w:val="nil"/>
            </w:tcBorders>
            <w:vAlign w:val="bottom"/>
          </w:tcPr>
          <w:p w14:paraId="306DCA2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lang w:val="ru-RU"/>
              </w:rPr>
            </w:pPr>
            <w:r w:rsidRPr="00843920">
              <w:rPr>
                <w:rFonts w:ascii="Arial" w:eastAsia="Times New Roman" w:hAnsi="Arial" w:cs="Arial"/>
                <w:b/>
                <w:color w:val="auto"/>
                <w:spacing w:val="-2"/>
                <w:sz w:val="18"/>
                <w:szCs w:val="18"/>
                <w:bdr w:val="none" w:sz="0" w:space="0" w:color="auto"/>
              </w:rPr>
              <w:t>18,</w:t>
            </w:r>
            <w:r w:rsidRPr="00843920">
              <w:rPr>
                <w:rFonts w:ascii="Arial" w:eastAsia="Times New Roman" w:hAnsi="Arial" w:cs="Arial"/>
                <w:b/>
                <w:color w:val="auto"/>
                <w:spacing w:val="-2"/>
                <w:sz w:val="18"/>
                <w:szCs w:val="18"/>
                <w:bdr w:val="none" w:sz="0" w:space="0" w:color="auto"/>
                <w:lang w:val="ru-RU"/>
              </w:rPr>
              <w:t>754</w:t>
            </w:r>
          </w:p>
        </w:tc>
        <w:tc>
          <w:tcPr>
            <w:tcW w:w="2383" w:type="dxa"/>
            <w:tcBorders>
              <w:left w:val="nil"/>
              <w:right w:val="nil"/>
            </w:tcBorders>
            <w:vAlign w:val="bottom"/>
          </w:tcPr>
          <w:p w14:paraId="7EF08CD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rPr>
            </w:pPr>
            <w:r w:rsidRPr="00843920">
              <w:rPr>
                <w:rFonts w:ascii="Arial" w:eastAsia="Times New Roman" w:hAnsi="Arial" w:cs="Arial"/>
                <w:b/>
                <w:color w:val="auto"/>
                <w:spacing w:val="-2"/>
                <w:sz w:val="18"/>
                <w:szCs w:val="18"/>
                <w:bdr w:val="none" w:sz="0" w:space="0" w:color="auto"/>
              </w:rPr>
              <w:t>28,059</w:t>
            </w:r>
          </w:p>
        </w:tc>
      </w:tr>
      <w:tr w:rsidR="00843920" w:rsidRPr="00843920" w14:paraId="28FD903F" w14:textId="77777777" w:rsidTr="00843920">
        <w:trPr>
          <w:cantSplit/>
        </w:trPr>
        <w:tc>
          <w:tcPr>
            <w:tcW w:w="5556" w:type="dxa"/>
            <w:tcBorders>
              <w:left w:val="nil"/>
              <w:bottom w:val="single" w:sz="12" w:space="0" w:color="auto"/>
              <w:right w:val="nil"/>
            </w:tcBorders>
            <w:vAlign w:val="bottom"/>
          </w:tcPr>
          <w:p w14:paraId="5C2E89D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417" w:type="dxa"/>
            <w:tcBorders>
              <w:left w:val="nil"/>
              <w:bottom w:val="single" w:sz="12" w:space="0" w:color="auto"/>
              <w:right w:val="nil"/>
            </w:tcBorders>
            <w:vAlign w:val="bottom"/>
          </w:tcPr>
          <w:p w14:paraId="1A94785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0"/>
                <w:szCs w:val="10"/>
                <w:bdr w:val="none" w:sz="0" w:space="0" w:color="auto"/>
                <w:lang w:val="ru-RU"/>
              </w:rPr>
            </w:pPr>
          </w:p>
        </w:tc>
        <w:tc>
          <w:tcPr>
            <w:tcW w:w="2383" w:type="dxa"/>
            <w:tcBorders>
              <w:left w:val="nil"/>
              <w:bottom w:val="single" w:sz="12" w:space="0" w:color="auto"/>
              <w:right w:val="nil"/>
            </w:tcBorders>
            <w:vAlign w:val="bottom"/>
          </w:tcPr>
          <w:p w14:paraId="4CD881E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0"/>
                <w:szCs w:val="10"/>
                <w:bdr w:val="none" w:sz="0" w:space="0" w:color="auto"/>
              </w:rPr>
            </w:pPr>
          </w:p>
        </w:tc>
      </w:tr>
      <w:tr w:rsidR="00843920" w:rsidRPr="00843920" w14:paraId="3DABE67E" w14:textId="77777777" w:rsidTr="00843920">
        <w:trPr>
          <w:cantSplit/>
        </w:trPr>
        <w:tc>
          <w:tcPr>
            <w:tcW w:w="5556" w:type="dxa"/>
            <w:tcBorders>
              <w:top w:val="single" w:sz="12" w:space="0" w:color="auto"/>
              <w:left w:val="nil"/>
              <w:bottom w:val="nil"/>
              <w:right w:val="nil"/>
            </w:tcBorders>
            <w:vAlign w:val="bottom"/>
          </w:tcPr>
          <w:p w14:paraId="2293779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top w:val="single" w:sz="12" w:space="0" w:color="auto"/>
              <w:left w:val="nil"/>
              <w:right w:val="nil"/>
            </w:tcBorders>
            <w:vAlign w:val="bottom"/>
          </w:tcPr>
          <w:p w14:paraId="00BA5C3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2383" w:type="dxa"/>
            <w:tcBorders>
              <w:top w:val="single" w:sz="12" w:space="0" w:color="auto"/>
              <w:left w:val="nil"/>
              <w:right w:val="nil"/>
            </w:tcBorders>
            <w:vAlign w:val="bottom"/>
          </w:tcPr>
          <w:p w14:paraId="086FA22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58F701EB" w14:textId="77777777" w:rsidTr="00843920">
        <w:trPr>
          <w:cantSplit/>
        </w:trPr>
        <w:tc>
          <w:tcPr>
            <w:tcW w:w="5556" w:type="dxa"/>
            <w:tcBorders>
              <w:top w:val="nil"/>
              <w:left w:val="nil"/>
              <w:bottom w:val="nil"/>
              <w:right w:val="nil"/>
            </w:tcBorders>
            <w:vAlign w:val="bottom"/>
          </w:tcPr>
          <w:p w14:paraId="06B6439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Attributable to:</w:t>
            </w:r>
          </w:p>
        </w:tc>
        <w:tc>
          <w:tcPr>
            <w:tcW w:w="1417" w:type="dxa"/>
            <w:tcBorders>
              <w:left w:val="nil"/>
              <w:right w:val="nil"/>
            </w:tcBorders>
            <w:vAlign w:val="bottom"/>
          </w:tcPr>
          <w:p w14:paraId="7F4D65E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2383" w:type="dxa"/>
            <w:tcBorders>
              <w:left w:val="nil"/>
              <w:bottom w:val="nil"/>
              <w:right w:val="nil"/>
            </w:tcBorders>
            <w:vAlign w:val="bottom"/>
          </w:tcPr>
          <w:p w14:paraId="574A504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1BB1AAC8" w14:textId="77777777" w:rsidTr="00843920">
        <w:trPr>
          <w:cantSplit/>
        </w:trPr>
        <w:tc>
          <w:tcPr>
            <w:tcW w:w="5556" w:type="dxa"/>
            <w:tcBorders>
              <w:top w:val="nil"/>
              <w:left w:val="nil"/>
              <w:right w:val="nil"/>
            </w:tcBorders>
            <w:vAlign w:val="bottom"/>
          </w:tcPr>
          <w:p w14:paraId="171188D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Shareholders of the Company</w:t>
            </w:r>
          </w:p>
        </w:tc>
        <w:tc>
          <w:tcPr>
            <w:tcW w:w="1417" w:type="dxa"/>
            <w:tcBorders>
              <w:top w:val="nil"/>
              <w:left w:val="nil"/>
              <w:right w:val="nil"/>
            </w:tcBorders>
            <w:vAlign w:val="bottom"/>
          </w:tcPr>
          <w:p w14:paraId="04D0CA7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18"/>
                <w:bdr w:val="none" w:sz="0" w:space="0" w:color="auto"/>
              </w:rPr>
              <w:t>18,</w:t>
            </w:r>
            <w:r w:rsidRPr="00843920">
              <w:rPr>
                <w:rFonts w:ascii="Arial" w:eastAsia="Times New Roman" w:hAnsi="Arial" w:cs="Arial"/>
                <w:color w:val="auto"/>
                <w:spacing w:val="-2"/>
                <w:sz w:val="18"/>
                <w:szCs w:val="18"/>
                <w:bdr w:val="none" w:sz="0" w:space="0" w:color="auto"/>
                <w:lang w:val="ru-RU"/>
              </w:rPr>
              <w:t>762</w:t>
            </w:r>
          </w:p>
        </w:tc>
        <w:tc>
          <w:tcPr>
            <w:tcW w:w="2383" w:type="dxa"/>
            <w:tcBorders>
              <w:top w:val="nil"/>
              <w:left w:val="nil"/>
              <w:right w:val="nil"/>
            </w:tcBorders>
            <w:vAlign w:val="bottom"/>
          </w:tcPr>
          <w:p w14:paraId="58F3CAA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28,055</w:t>
            </w:r>
          </w:p>
        </w:tc>
      </w:tr>
      <w:tr w:rsidR="00843920" w:rsidRPr="00843920" w14:paraId="6FAFC1F6" w14:textId="77777777" w:rsidTr="00843920">
        <w:trPr>
          <w:cantSplit/>
        </w:trPr>
        <w:tc>
          <w:tcPr>
            <w:tcW w:w="5556" w:type="dxa"/>
            <w:tcBorders>
              <w:top w:val="nil"/>
              <w:left w:val="nil"/>
              <w:right w:val="nil"/>
            </w:tcBorders>
            <w:vAlign w:val="bottom"/>
          </w:tcPr>
          <w:p w14:paraId="09F16CC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Non-controlling interests*</w:t>
            </w:r>
          </w:p>
        </w:tc>
        <w:tc>
          <w:tcPr>
            <w:tcW w:w="1417" w:type="dxa"/>
            <w:tcBorders>
              <w:top w:val="nil"/>
              <w:left w:val="nil"/>
              <w:right w:val="nil"/>
            </w:tcBorders>
            <w:vAlign w:val="bottom"/>
          </w:tcPr>
          <w:p w14:paraId="771DAD8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(8)</w:t>
            </w:r>
          </w:p>
        </w:tc>
        <w:tc>
          <w:tcPr>
            <w:tcW w:w="2383" w:type="dxa"/>
            <w:tcBorders>
              <w:top w:val="nil"/>
              <w:left w:val="nil"/>
              <w:right w:val="nil"/>
            </w:tcBorders>
            <w:vAlign w:val="bottom"/>
          </w:tcPr>
          <w:p w14:paraId="48974E9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4</w:t>
            </w:r>
          </w:p>
        </w:tc>
      </w:tr>
      <w:tr w:rsidR="00843920" w:rsidRPr="00843920" w14:paraId="5B4C1103" w14:textId="77777777" w:rsidTr="00843920">
        <w:trPr>
          <w:cantSplit/>
        </w:trPr>
        <w:tc>
          <w:tcPr>
            <w:tcW w:w="5556" w:type="dxa"/>
            <w:tcBorders>
              <w:left w:val="nil"/>
              <w:bottom w:val="single" w:sz="4" w:space="0" w:color="auto"/>
              <w:right w:val="nil"/>
            </w:tcBorders>
            <w:vAlign w:val="bottom"/>
          </w:tcPr>
          <w:p w14:paraId="44B0EDE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hanging="113"/>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417" w:type="dxa"/>
            <w:tcBorders>
              <w:left w:val="nil"/>
              <w:bottom w:val="single" w:sz="4" w:space="0" w:color="auto"/>
              <w:right w:val="nil"/>
            </w:tcBorders>
            <w:vAlign w:val="bottom"/>
          </w:tcPr>
          <w:p w14:paraId="6E3EEBB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383" w:type="dxa"/>
            <w:tcBorders>
              <w:left w:val="nil"/>
              <w:bottom w:val="single" w:sz="4" w:space="0" w:color="auto"/>
              <w:right w:val="nil"/>
            </w:tcBorders>
            <w:vAlign w:val="bottom"/>
          </w:tcPr>
          <w:p w14:paraId="7EE611F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bl>
    <w:p w14:paraId="51A6F528" w14:textId="77777777" w:rsidR="00843920" w:rsidRPr="00843920" w:rsidRDefault="00843920" w:rsidP="7C16E36C">
      <w:pPr>
        <w:spacing w:before="60" w:after="60"/>
        <w:jc w:val="both"/>
        <w:rPr>
          <w:rFonts w:asciiTheme="minorHAnsi" w:eastAsiaTheme="minorEastAsia" w:hAnsiTheme="minorHAnsi" w:cstheme="minorHAnsi"/>
          <w:i/>
          <w:iCs/>
          <w:color w:val="auto"/>
          <w:sz w:val="22"/>
          <w:szCs w:val="22"/>
          <w:lang w:val="ru-RU" w:eastAsia="en-US"/>
        </w:rPr>
      </w:pPr>
    </w:p>
    <w:p w14:paraId="65032B6F" w14:textId="77777777" w:rsidR="00843920" w:rsidRDefault="00843920" w:rsidP="00843920">
      <w:pPr>
        <w:widowControl w:val="0"/>
        <w:autoSpaceDE w:val="0"/>
        <w:autoSpaceDN w:val="0"/>
        <w:adjustRightInd w:val="0"/>
        <w:spacing w:before="120" w:after="120"/>
        <w:jc w:val="both"/>
        <w:rPr>
          <w:rFonts w:ascii="Arial" w:hAnsi="Arial" w:cs="Arial"/>
          <w:i/>
          <w:iCs/>
          <w:sz w:val="18"/>
          <w:szCs w:val="16"/>
          <w:lang w:val="en-GB"/>
        </w:rPr>
        <w:sectPr w:rsidR="00843920" w:rsidSect="00735049">
          <w:headerReference w:type="default" r:id="rId14"/>
          <w:pgSz w:w="11906" w:h="16838"/>
          <w:pgMar w:top="1440" w:right="1077" w:bottom="1077" w:left="1440" w:header="709" w:footer="709" w:gutter="0"/>
          <w:cols w:space="708"/>
          <w:docGrid w:linePitch="360"/>
        </w:sectPr>
      </w:pPr>
      <w:r w:rsidRPr="00E12F3E">
        <w:rPr>
          <w:rFonts w:ascii="Arial" w:hAnsi="Arial" w:cs="Arial"/>
          <w:i/>
          <w:iCs/>
          <w:sz w:val="18"/>
          <w:szCs w:val="16"/>
          <w:lang w:val="en-GB"/>
        </w:rPr>
        <w:t>*Non-controlling interests are the minority shareholders of the subsidiaries of PJSC “PhosAgro”</w:t>
      </w:r>
    </w:p>
    <w:tbl>
      <w:tblPr>
        <w:tblW w:w="9498" w:type="dxa"/>
        <w:tblLayout w:type="fixed"/>
        <w:tblCellMar>
          <w:left w:w="85" w:type="dxa"/>
          <w:right w:w="85" w:type="dxa"/>
        </w:tblCellMar>
        <w:tblLook w:val="0000" w:firstRow="0" w:lastRow="0" w:firstColumn="0" w:lastColumn="0" w:noHBand="0" w:noVBand="0"/>
      </w:tblPr>
      <w:tblGrid>
        <w:gridCol w:w="5272"/>
        <w:gridCol w:w="1531"/>
        <w:gridCol w:w="2695"/>
      </w:tblGrid>
      <w:tr w:rsidR="00843920" w:rsidRPr="00843920" w14:paraId="44A83E19" w14:textId="77777777" w:rsidTr="00843920">
        <w:trPr>
          <w:cantSplit/>
        </w:trPr>
        <w:tc>
          <w:tcPr>
            <w:tcW w:w="5272" w:type="dxa"/>
            <w:tcBorders>
              <w:top w:val="nil"/>
              <w:left w:val="nil"/>
              <w:bottom w:val="single" w:sz="4" w:space="0" w:color="auto"/>
              <w:right w:val="nil"/>
            </w:tcBorders>
            <w:vAlign w:val="bottom"/>
          </w:tcPr>
          <w:p w14:paraId="2D10DE4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highlight w:val="yellow"/>
                <w:bdr w:val="none" w:sz="0" w:space="0" w:color="auto"/>
                <w:lang w:val="en-GB"/>
              </w:rPr>
            </w:pPr>
            <w:r w:rsidRPr="00843920">
              <w:rPr>
                <w:rFonts w:ascii="Arial" w:eastAsia="Times New Roman" w:hAnsi="Arial" w:cs="Arial"/>
                <w:i/>
                <w:iCs/>
                <w:color w:val="auto"/>
                <w:spacing w:val="-2"/>
                <w:sz w:val="18"/>
                <w:szCs w:val="18"/>
                <w:bdr w:val="none" w:sz="0" w:space="0" w:color="auto"/>
                <w:lang w:val="en-GB"/>
              </w:rPr>
              <w:t>RUB million</w:t>
            </w:r>
          </w:p>
        </w:tc>
        <w:tc>
          <w:tcPr>
            <w:tcW w:w="1531" w:type="dxa"/>
            <w:tcBorders>
              <w:top w:val="nil"/>
              <w:left w:val="nil"/>
              <w:bottom w:val="single" w:sz="4" w:space="0" w:color="auto"/>
              <w:right w:val="nil"/>
            </w:tcBorders>
            <w:vAlign w:val="bottom"/>
          </w:tcPr>
          <w:p w14:paraId="6A0ED09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rPr>
            </w:pPr>
            <w:r w:rsidRPr="00843920">
              <w:rPr>
                <w:rFonts w:ascii="Arial" w:eastAsia="Times New Roman" w:hAnsi="Arial" w:cs="Arial"/>
                <w:b/>
                <w:bCs/>
                <w:color w:val="auto"/>
                <w:spacing w:val="-2"/>
                <w:sz w:val="18"/>
                <w:szCs w:val="18"/>
                <w:bdr w:val="none" w:sz="0" w:space="0" w:color="auto"/>
                <w:lang w:val="en-GB"/>
              </w:rPr>
              <w:t>31</w:t>
            </w:r>
            <w:r w:rsidRPr="00843920">
              <w:rPr>
                <w:rFonts w:ascii="Arial" w:eastAsia="Times New Roman" w:hAnsi="Arial" w:cs="Arial"/>
                <w:b/>
                <w:bCs/>
                <w:color w:val="auto"/>
                <w:spacing w:val="-2"/>
                <w:sz w:val="18"/>
                <w:szCs w:val="18"/>
                <w:bdr w:val="none" w:sz="0" w:space="0" w:color="auto"/>
                <w:lang w:val="ru-RU"/>
              </w:rPr>
              <w:t xml:space="preserve"> </w:t>
            </w:r>
            <w:r w:rsidRPr="00843920">
              <w:rPr>
                <w:rFonts w:ascii="Arial" w:eastAsia="Times New Roman" w:hAnsi="Arial" w:cs="Arial"/>
                <w:b/>
                <w:bCs/>
                <w:color w:val="auto"/>
                <w:spacing w:val="-2"/>
                <w:sz w:val="18"/>
                <w:szCs w:val="18"/>
                <w:bdr w:val="none" w:sz="0" w:space="0" w:color="auto"/>
              </w:rPr>
              <w:t>March</w:t>
            </w:r>
            <w:r w:rsidRPr="00843920">
              <w:rPr>
                <w:rFonts w:ascii="Arial" w:eastAsia="Times New Roman" w:hAnsi="Arial" w:cs="Arial"/>
                <w:b/>
                <w:bCs/>
                <w:color w:val="auto"/>
                <w:spacing w:val="-2"/>
                <w:sz w:val="18"/>
                <w:szCs w:val="18"/>
                <w:bdr w:val="none" w:sz="0" w:space="0" w:color="auto"/>
                <w:lang w:val="en-GB"/>
              </w:rPr>
              <w:t xml:space="preserve"> </w:t>
            </w:r>
            <w:r w:rsidRPr="00843920">
              <w:rPr>
                <w:rFonts w:ascii="Arial" w:eastAsia="Times New Roman" w:hAnsi="Arial" w:cs="Arial"/>
                <w:b/>
                <w:bCs/>
                <w:color w:val="auto"/>
                <w:spacing w:val="-2"/>
                <w:sz w:val="18"/>
                <w:szCs w:val="18"/>
                <w:bdr w:val="none" w:sz="0" w:space="0" w:color="auto"/>
                <w:lang w:val="en-GB"/>
              </w:rPr>
              <w:br/>
              <w:t>20</w:t>
            </w:r>
            <w:r w:rsidRPr="00843920">
              <w:rPr>
                <w:rFonts w:ascii="Arial" w:eastAsia="Times New Roman" w:hAnsi="Arial" w:cs="Arial"/>
                <w:b/>
                <w:bCs/>
                <w:color w:val="auto"/>
                <w:spacing w:val="-2"/>
                <w:sz w:val="18"/>
                <w:szCs w:val="18"/>
                <w:bdr w:val="none" w:sz="0" w:space="0" w:color="auto"/>
                <w:lang w:val="ru-RU"/>
              </w:rPr>
              <w:t>2</w:t>
            </w:r>
            <w:r w:rsidRPr="00843920">
              <w:rPr>
                <w:rFonts w:ascii="Arial" w:eastAsia="Times New Roman" w:hAnsi="Arial" w:cs="Arial"/>
                <w:b/>
                <w:bCs/>
                <w:color w:val="auto"/>
                <w:spacing w:val="-2"/>
                <w:sz w:val="18"/>
                <w:szCs w:val="18"/>
                <w:bdr w:val="none" w:sz="0" w:space="0" w:color="auto"/>
              </w:rPr>
              <w:t>4</w:t>
            </w:r>
          </w:p>
        </w:tc>
        <w:tc>
          <w:tcPr>
            <w:tcW w:w="2695" w:type="dxa"/>
            <w:tcBorders>
              <w:top w:val="nil"/>
              <w:left w:val="nil"/>
              <w:bottom w:val="single" w:sz="4" w:space="0" w:color="auto"/>
              <w:right w:val="nil"/>
            </w:tcBorders>
            <w:vAlign w:val="bottom"/>
          </w:tcPr>
          <w:p w14:paraId="5565FD0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lang w:val="ru-RU"/>
              </w:rPr>
            </w:pPr>
            <w:r w:rsidRPr="00843920">
              <w:rPr>
                <w:rFonts w:ascii="Arial" w:eastAsia="Times New Roman" w:hAnsi="Arial" w:cs="Arial"/>
                <w:b/>
                <w:bCs/>
                <w:color w:val="auto"/>
                <w:spacing w:val="-2"/>
                <w:sz w:val="18"/>
                <w:szCs w:val="18"/>
                <w:bdr w:val="none" w:sz="0" w:space="0" w:color="auto"/>
                <w:lang w:val="en-GB"/>
              </w:rPr>
              <w:t xml:space="preserve">31 December </w:t>
            </w:r>
            <w:r w:rsidRPr="00843920">
              <w:rPr>
                <w:rFonts w:ascii="Arial" w:eastAsia="Times New Roman" w:hAnsi="Arial" w:cs="Arial"/>
                <w:b/>
                <w:bCs/>
                <w:color w:val="auto"/>
                <w:spacing w:val="-2"/>
                <w:sz w:val="18"/>
                <w:szCs w:val="18"/>
                <w:bdr w:val="none" w:sz="0" w:space="0" w:color="auto"/>
                <w:lang w:val="en-GB"/>
              </w:rPr>
              <w:br/>
              <w:t>20</w:t>
            </w:r>
            <w:r w:rsidRPr="00843920">
              <w:rPr>
                <w:rFonts w:ascii="Arial" w:eastAsia="Times New Roman" w:hAnsi="Arial" w:cs="Arial"/>
                <w:b/>
                <w:bCs/>
                <w:color w:val="auto"/>
                <w:spacing w:val="-2"/>
                <w:sz w:val="18"/>
                <w:szCs w:val="18"/>
                <w:bdr w:val="none" w:sz="0" w:space="0" w:color="auto"/>
                <w:lang w:val="ru-RU"/>
              </w:rPr>
              <w:t>23</w:t>
            </w:r>
          </w:p>
        </w:tc>
      </w:tr>
      <w:tr w:rsidR="00843920" w:rsidRPr="00843920" w14:paraId="5DFF2724" w14:textId="77777777" w:rsidTr="00843920">
        <w:trPr>
          <w:cantSplit/>
        </w:trPr>
        <w:tc>
          <w:tcPr>
            <w:tcW w:w="5272" w:type="dxa"/>
            <w:tcBorders>
              <w:top w:val="single" w:sz="4" w:space="0" w:color="auto"/>
              <w:left w:val="nil"/>
              <w:right w:val="nil"/>
            </w:tcBorders>
            <w:vAlign w:val="bottom"/>
          </w:tcPr>
          <w:p w14:paraId="05630F0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color w:val="auto"/>
                <w:spacing w:val="-2"/>
                <w:sz w:val="10"/>
                <w:szCs w:val="10"/>
                <w:highlight w:val="yellow"/>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1A405F5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color w:val="auto"/>
                <w:spacing w:val="-2"/>
                <w:sz w:val="10"/>
                <w:szCs w:val="10"/>
                <w:bdr w:val="none" w:sz="0" w:space="0" w:color="auto"/>
                <w:lang w:val="en-GB"/>
              </w:rPr>
            </w:pPr>
          </w:p>
        </w:tc>
        <w:tc>
          <w:tcPr>
            <w:tcW w:w="2695" w:type="dxa"/>
            <w:tcBorders>
              <w:top w:val="single" w:sz="4" w:space="0" w:color="auto"/>
              <w:left w:val="nil"/>
              <w:right w:val="nil"/>
            </w:tcBorders>
            <w:vAlign w:val="bottom"/>
          </w:tcPr>
          <w:p w14:paraId="3296CB3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color w:val="auto"/>
                <w:spacing w:val="-2"/>
                <w:sz w:val="10"/>
                <w:szCs w:val="10"/>
                <w:bdr w:val="none" w:sz="0" w:space="0" w:color="auto"/>
                <w:lang w:val="en-GB"/>
              </w:rPr>
            </w:pPr>
          </w:p>
        </w:tc>
      </w:tr>
      <w:tr w:rsidR="00843920" w:rsidRPr="00843920" w14:paraId="08FF3934" w14:textId="77777777" w:rsidTr="00843920">
        <w:trPr>
          <w:cantSplit/>
        </w:trPr>
        <w:tc>
          <w:tcPr>
            <w:tcW w:w="5272" w:type="dxa"/>
            <w:tcBorders>
              <w:left w:val="nil"/>
              <w:bottom w:val="nil"/>
              <w:right w:val="nil"/>
            </w:tcBorders>
            <w:vAlign w:val="bottom"/>
          </w:tcPr>
          <w:p w14:paraId="208D7D5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i/>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Assets</w:t>
            </w:r>
          </w:p>
        </w:tc>
        <w:tc>
          <w:tcPr>
            <w:tcW w:w="1531" w:type="dxa"/>
            <w:tcBorders>
              <w:left w:val="nil"/>
              <w:bottom w:val="nil"/>
              <w:right w:val="nil"/>
            </w:tcBorders>
            <w:vAlign w:val="bottom"/>
          </w:tcPr>
          <w:p w14:paraId="7AA1571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highlight w:val="yellow"/>
                <w:bdr w:val="none" w:sz="0" w:space="0" w:color="auto"/>
                <w:lang w:val="en-GB"/>
              </w:rPr>
            </w:pPr>
          </w:p>
        </w:tc>
        <w:tc>
          <w:tcPr>
            <w:tcW w:w="2695" w:type="dxa"/>
            <w:tcBorders>
              <w:left w:val="nil"/>
              <w:bottom w:val="nil"/>
              <w:right w:val="nil"/>
            </w:tcBorders>
            <w:vAlign w:val="bottom"/>
          </w:tcPr>
          <w:p w14:paraId="1A9609B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6A2DB675" w14:textId="77777777" w:rsidTr="00843920">
        <w:trPr>
          <w:cantSplit/>
        </w:trPr>
        <w:tc>
          <w:tcPr>
            <w:tcW w:w="5272" w:type="dxa"/>
            <w:tcBorders>
              <w:top w:val="nil"/>
              <w:left w:val="nil"/>
              <w:bottom w:val="nil"/>
              <w:right w:val="nil"/>
            </w:tcBorders>
            <w:vAlign w:val="bottom"/>
          </w:tcPr>
          <w:p w14:paraId="4242283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Property, plant and equipment</w:t>
            </w:r>
          </w:p>
        </w:tc>
        <w:tc>
          <w:tcPr>
            <w:tcW w:w="1531" w:type="dxa"/>
            <w:tcBorders>
              <w:top w:val="nil"/>
              <w:left w:val="nil"/>
              <w:bottom w:val="nil"/>
              <w:right w:val="nil"/>
            </w:tcBorders>
            <w:vAlign w:val="bottom"/>
          </w:tcPr>
          <w:p w14:paraId="35E1A5F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316,375</w:t>
            </w:r>
          </w:p>
        </w:tc>
        <w:tc>
          <w:tcPr>
            <w:tcW w:w="2695" w:type="dxa"/>
            <w:tcBorders>
              <w:top w:val="nil"/>
              <w:left w:val="nil"/>
              <w:bottom w:val="nil"/>
              <w:right w:val="nil"/>
            </w:tcBorders>
            <w:vAlign w:val="bottom"/>
          </w:tcPr>
          <w:p w14:paraId="2CA8FE3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308,663</w:t>
            </w:r>
          </w:p>
        </w:tc>
      </w:tr>
      <w:tr w:rsidR="00843920" w:rsidRPr="00843920" w14:paraId="218D36BE" w14:textId="77777777" w:rsidTr="00843920">
        <w:trPr>
          <w:cantSplit/>
        </w:trPr>
        <w:tc>
          <w:tcPr>
            <w:tcW w:w="5272" w:type="dxa"/>
            <w:tcBorders>
              <w:top w:val="nil"/>
              <w:left w:val="nil"/>
              <w:bottom w:val="nil"/>
              <w:right w:val="nil"/>
            </w:tcBorders>
            <w:vAlign w:val="bottom"/>
          </w:tcPr>
          <w:p w14:paraId="76BD99F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eastAsia="en-US"/>
              </w:rPr>
              <w:t>Advances issued for property, plant and equipment</w:t>
            </w:r>
          </w:p>
        </w:tc>
        <w:tc>
          <w:tcPr>
            <w:tcW w:w="1531" w:type="dxa"/>
            <w:tcBorders>
              <w:top w:val="nil"/>
              <w:left w:val="nil"/>
              <w:bottom w:val="nil"/>
              <w:right w:val="nil"/>
            </w:tcBorders>
            <w:vAlign w:val="bottom"/>
          </w:tcPr>
          <w:p w14:paraId="4418C09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10,286</w:t>
            </w:r>
          </w:p>
        </w:tc>
        <w:tc>
          <w:tcPr>
            <w:tcW w:w="2695" w:type="dxa"/>
            <w:tcBorders>
              <w:top w:val="nil"/>
              <w:left w:val="nil"/>
              <w:bottom w:val="nil"/>
              <w:right w:val="nil"/>
            </w:tcBorders>
            <w:vAlign w:val="bottom"/>
          </w:tcPr>
          <w:p w14:paraId="04A0A2A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10,337</w:t>
            </w:r>
          </w:p>
        </w:tc>
      </w:tr>
      <w:tr w:rsidR="00843920" w:rsidRPr="00843920" w14:paraId="724B29F9" w14:textId="77777777" w:rsidTr="00843920">
        <w:trPr>
          <w:cantSplit/>
        </w:trPr>
        <w:tc>
          <w:tcPr>
            <w:tcW w:w="5272" w:type="dxa"/>
            <w:tcBorders>
              <w:top w:val="nil"/>
              <w:left w:val="nil"/>
              <w:bottom w:val="nil"/>
              <w:right w:val="nil"/>
            </w:tcBorders>
            <w:vAlign w:val="bottom"/>
          </w:tcPr>
          <w:p w14:paraId="4179C87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eastAsia="en-US"/>
              </w:rPr>
            </w:pPr>
            <w:r w:rsidRPr="00843920">
              <w:rPr>
                <w:rFonts w:ascii="Arial" w:eastAsia="Times New Roman" w:hAnsi="Arial" w:cs="Arial"/>
                <w:color w:val="auto"/>
                <w:spacing w:val="-2"/>
                <w:sz w:val="18"/>
                <w:szCs w:val="18"/>
                <w:bdr w:val="none" w:sz="0" w:space="0" w:color="auto"/>
                <w:lang w:val="en-GB"/>
              </w:rPr>
              <w:t>Deferred tax assets</w:t>
            </w:r>
          </w:p>
        </w:tc>
        <w:tc>
          <w:tcPr>
            <w:tcW w:w="1531" w:type="dxa"/>
            <w:tcBorders>
              <w:top w:val="nil"/>
              <w:left w:val="nil"/>
              <w:bottom w:val="nil"/>
              <w:right w:val="nil"/>
            </w:tcBorders>
          </w:tcPr>
          <w:p w14:paraId="1D07E05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rPr>
              <w:t>10,10</w:t>
            </w:r>
            <w:r w:rsidRPr="00843920">
              <w:rPr>
                <w:rFonts w:ascii="Arial" w:eastAsia="Times New Roman" w:hAnsi="Arial" w:cs="Arial"/>
                <w:color w:val="auto"/>
                <w:spacing w:val="-2"/>
                <w:sz w:val="18"/>
                <w:szCs w:val="20"/>
                <w:bdr w:val="none" w:sz="0" w:space="0" w:color="auto"/>
                <w:lang w:val="ru-RU"/>
              </w:rPr>
              <w:t>2</w:t>
            </w:r>
          </w:p>
        </w:tc>
        <w:tc>
          <w:tcPr>
            <w:tcW w:w="2695" w:type="dxa"/>
            <w:tcBorders>
              <w:top w:val="nil"/>
              <w:left w:val="nil"/>
              <w:bottom w:val="nil"/>
              <w:right w:val="nil"/>
            </w:tcBorders>
          </w:tcPr>
          <w:p w14:paraId="5235BAC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9,751</w:t>
            </w:r>
          </w:p>
        </w:tc>
      </w:tr>
      <w:tr w:rsidR="00843920" w:rsidRPr="00843920" w14:paraId="3B9974DA" w14:textId="77777777" w:rsidTr="00843920">
        <w:trPr>
          <w:cantSplit/>
        </w:trPr>
        <w:tc>
          <w:tcPr>
            <w:tcW w:w="5272" w:type="dxa"/>
            <w:tcBorders>
              <w:top w:val="nil"/>
              <w:left w:val="nil"/>
              <w:bottom w:val="nil"/>
              <w:right w:val="nil"/>
            </w:tcBorders>
            <w:vAlign w:val="bottom"/>
          </w:tcPr>
          <w:p w14:paraId="489632D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Other non-current assets</w:t>
            </w:r>
          </w:p>
        </w:tc>
        <w:tc>
          <w:tcPr>
            <w:tcW w:w="1531" w:type="dxa"/>
            <w:tcBorders>
              <w:top w:val="nil"/>
              <w:left w:val="nil"/>
              <w:bottom w:val="nil"/>
              <w:right w:val="nil"/>
            </w:tcBorders>
          </w:tcPr>
          <w:p w14:paraId="31089B9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8,948</w:t>
            </w:r>
          </w:p>
        </w:tc>
        <w:tc>
          <w:tcPr>
            <w:tcW w:w="2695" w:type="dxa"/>
            <w:tcBorders>
              <w:top w:val="nil"/>
              <w:left w:val="nil"/>
              <w:bottom w:val="nil"/>
              <w:right w:val="nil"/>
            </w:tcBorders>
          </w:tcPr>
          <w:p w14:paraId="3245D21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8,262</w:t>
            </w:r>
          </w:p>
        </w:tc>
      </w:tr>
      <w:tr w:rsidR="00843920" w:rsidRPr="00843920" w14:paraId="43126BED" w14:textId="77777777" w:rsidTr="00843920">
        <w:trPr>
          <w:cantSplit/>
        </w:trPr>
        <w:tc>
          <w:tcPr>
            <w:tcW w:w="5272" w:type="dxa"/>
            <w:tcBorders>
              <w:top w:val="nil"/>
              <w:left w:val="nil"/>
              <w:bottom w:val="nil"/>
              <w:right w:val="nil"/>
            </w:tcBorders>
            <w:vAlign w:val="bottom"/>
          </w:tcPr>
          <w:p w14:paraId="0924A76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Non-current</w:t>
            </w:r>
            <w:r w:rsidRPr="00843920">
              <w:rPr>
                <w:rFonts w:ascii="Arial" w:eastAsia="Times New Roman" w:hAnsi="Arial" w:cs="Arial"/>
                <w:color w:val="auto"/>
                <w:spacing w:val="-2"/>
                <w:sz w:val="18"/>
                <w:szCs w:val="18"/>
                <w:bdr w:val="none" w:sz="0" w:space="0" w:color="auto"/>
                <w:lang w:val="en-GB"/>
              </w:rPr>
              <w:t xml:space="preserve"> spare parts</w:t>
            </w:r>
          </w:p>
        </w:tc>
        <w:tc>
          <w:tcPr>
            <w:tcW w:w="1531" w:type="dxa"/>
            <w:tcBorders>
              <w:top w:val="nil"/>
              <w:left w:val="nil"/>
              <w:bottom w:val="nil"/>
              <w:right w:val="nil"/>
            </w:tcBorders>
          </w:tcPr>
          <w:p w14:paraId="6512D05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8,583</w:t>
            </w:r>
          </w:p>
        </w:tc>
        <w:tc>
          <w:tcPr>
            <w:tcW w:w="2695" w:type="dxa"/>
            <w:tcBorders>
              <w:top w:val="nil"/>
              <w:left w:val="nil"/>
              <w:bottom w:val="nil"/>
              <w:right w:val="nil"/>
            </w:tcBorders>
          </w:tcPr>
          <w:p w14:paraId="1DCFAC5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8,059</w:t>
            </w:r>
          </w:p>
        </w:tc>
      </w:tr>
      <w:tr w:rsidR="00843920" w:rsidRPr="00843920" w14:paraId="5FA1A3AF" w14:textId="77777777" w:rsidTr="00843920">
        <w:trPr>
          <w:cantSplit/>
        </w:trPr>
        <w:tc>
          <w:tcPr>
            <w:tcW w:w="5272" w:type="dxa"/>
            <w:tcBorders>
              <w:top w:val="nil"/>
              <w:left w:val="nil"/>
              <w:bottom w:val="nil"/>
              <w:right w:val="nil"/>
            </w:tcBorders>
            <w:vAlign w:val="bottom"/>
          </w:tcPr>
          <w:p w14:paraId="34C34E6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Right-of-use assets</w:t>
            </w:r>
          </w:p>
        </w:tc>
        <w:tc>
          <w:tcPr>
            <w:tcW w:w="1531" w:type="dxa"/>
            <w:tcBorders>
              <w:top w:val="nil"/>
              <w:left w:val="nil"/>
              <w:bottom w:val="nil"/>
              <w:right w:val="nil"/>
            </w:tcBorders>
          </w:tcPr>
          <w:p w14:paraId="6C42F5D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7,244</w:t>
            </w:r>
          </w:p>
        </w:tc>
        <w:tc>
          <w:tcPr>
            <w:tcW w:w="2695" w:type="dxa"/>
            <w:tcBorders>
              <w:top w:val="nil"/>
              <w:left w:val="nil"/>
              <w:bottom w:val="nil"/>
              <w:right w:val="nil"/>
            </w:tcBorders>
          </w:tcPr>
          <w:p w14:paraId="5FDDEB8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7,240</w:t>
            </w:r>
          </w:p>
        </w:tc>
      </w:tr>
      <w:tr w:rsidR="00843920" w:rsidRPr="00843920" w14:paraId="0B64F38B" w14:textId="77777777" w:rsidTr="00843920">
        <w:trPr>
          <w:cantSplit/>
        </w:trPr>
        <w:tc>
          <w:tcPr>
            <w:tcW w:w="5272" w:type="dxa"/>
            <w:tcBorders>
              <w:top w:val="nil"/>
              <w:left w:val="nil"/>
              <w:bottom w:val="nil"/>
              <w:right w:val="nil"/>
            </w:tcBorders>
            <w:vAlign w:val="bottom"/>
          </w:tcPr>
          <w:p w14:paraId="5711644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Catalysts</w:t>
            </w:r>
          </w:p>
        </w:tc>
        <w:tc>
          <w:tcPr>
            <w:tcW w:w="1531" w:type="dxa"/>
            <w:tcBorders>
              <w:top w:val="nil"/>
              <w:left w:val="nil"/>
              <w:bottom w:val="nil"/>
              <w:right w:val="nil"/>
            </w:tcBorders>
          </w:tcPr>
          <w:p w14:paraId="2A52F06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2,917</w:t>
            </w:r>
          </w:p>
        </w:tc>
        <w:tc>
          <w:tcPr>
            <w:tcW w:w="2695" w:type="dxa"/>
            <w:tcBorders>
              <w:top w:val="nil"/>
              <w:left w:val="nil"/>
              <w:bottom w:val="nil"/>
              <w:right w:val="nil"/>
            </w:tcBorders>
          </w:tcPr>
          <w:p w14:paraId="4ADC95A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2,667</w:t>
            </w:r>
          </w:p>
        </w:tc>
      </w:tr>
      <w:tr w:rsidR="00843920" w:rsidRPr="00843920" w14:paraId="65032A73" w14:textId="77777777" w:rsidTr="00843920">
        <w:trPr>
          <w:cantSplit/>
        </w:trPr>
        <w:tc>
          <w:tcPr>
            <w:tcW w:w="5272" w:type="dxa"/>
            <w:tcBorders>
              <w:top w:val="nil"/>
              <w:left w:val="nil"/>
              <w:bottom w:val="nil"/>
              <w:right w:val="nil"/>
            </w:tcBorders>
            <w:vAlign w:val="bottom"/>
          </w:tcPr>
          <w:p w14:paraId="3ADFDBD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Intangible assets</w:t>
            </w:r>
          </w:p>
        </w:tc>
        <w:tc>
          <w:tcPr>
            <w:tcW w:w="1531" w:type="dxa"/>
            <w:tcBorders>
              <w:top w:val="nil"/>
              <w:left w:val="nil"/>
              <w:bottom w:val="nil"/>
              <w:right w:val="nil"/>
            </w:tcBorders>
          </w:tcPr>
          <w:p w14:paraId="2B72089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2,486</w:t>
            </w:r>
          </w:p>
        </w:tc>
        <w:tc>
          <w:tcPr>
            <w:tcW w:w="2695" w:type="dxa"/>
            <w:tcBorders>
              <w:top w:val="nil"/>
              <w:left w:val="nil"/>
              <w:bottom w:val="nil"/>
              <w:right w:val="nil"/>
            </w:tcBorders>
          </w:tcPr>
          <w:p w14:paraId="50BFB15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2,773</w:t>
            </w:r>
          </w:p>
        </w:tc>
      </w:tr>
      <w:tr w:rsidR="00843920" w:rsidRPr="00843920" w14:paraId="786A9E06" w14:textId="77777777" w:rsidTr="00843920">
        <w:trPr>
          <w:cantSplit/>
        </w:trPr>
        <w:tc>
          <w:tcPr>
            <w:tcW w:w="5272" w:type="dxa"/>
            <w:tcBorders>
              <w:top w:val="nil"/>
              <w:left w:val="nil"/>
              <w:bottom w:val="nil"/>
              <w:right w:val="nil"/>
            </w:tcBorders>
            <w:vAlign w:val="bottom"/>
          </w:tcPr>
          <w:p w14:paraId="4580616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Investments in associates and joint ventures</w:t>
            </w:r>
          </w:p>
        </w:tc>
        <w:tc>
          <w:tcPr>
            <w:tcW w:w="1531" w:type="dxa"/>
            <w:tcBorders>
              <w:top w:val="nil"/>
              <w:left w:val="nil"/>
              <w:bottom w:val="nil"/>
              <w:right w:val="nil"/>
            </w:tcBorders>
          </w:tcPr>
          <w:p w14:paraId="0B332D9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693</w:t>
            </w:r>
          </w:p>
        </w:tc>
        <w:tc>
          <w:tcPr>
            <w:tcW w:w="2695" w:type="dxa"/>
            <w:tcBorders>
              <w:top w:val="nil"/>
              <w:left w:val="nil"/>
              <w:bottom w:val="nil"/>
              <w:right w:val="nil"/>
            </w:tcBorders>
            <w:vAlign w:val="bottom"/>
          </w:tcPr>
          <w:p w14:paraId="45696C4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636</w:t>
            </w:r>
          </w:p>
        </w:tc>
      </w:tr>
      <w:tr w:rsidR="00843920" w:rsidRPr="00843920" w14:paraId="56DEDF4E" w14:textId="77777777" w:rsidTr="00843920">
        <w:trPr>
          <w:cantSplit/>
        </w:trPr>
        <w:tc>
          <w:tcPr>
            <w:tcW w:w="5272" w:type="dxa"/>
            <w:tcBorders>
              <w:top w:val="nil"/>
              <w:left w:val="nil"/>
              <w:bottom w:val="single" w:sz="4" w:space="0" w:color="auto"/>
              <w:right w:val="nil"/>
            </w:tcBorders>
            <w:vAlign w:val="bottom"/>
          </w:tcPr>
          <w:p w14:paraId="2D3D570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nil"/>
              <w:left w:val="nil"/>
              <w:bottom w:val="single" w:sz="4" w:space="0" w:color="auto"/>
              <w:right w:val="nil"/>
            </w:tcBorders>
            <w:vAlign w:val="bottom"/>
          </w:tcPr>
          <w:p w14:paraId="2E897C2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nil"/>
              <w:left w:val="nil"/>
              <w:bottom w:val="single" w:sz="4" w:space="0" w:color="auto"/>
              <w:right w:val="nil"/>
            </w:tcBorders>
            <w:vAlign w:val="bottom"/>
          </w:tcPr>
          <w:p w14:paraId="6B6D303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17A6D093" w14:textId="77777777" w:rsidTr="00843920">
        <w:trPr>
          <w:cantSplit/>
        </w:trPr>
        <w:tc>
          <w:tcPr>
            <w:tcW w:w="5272" w:type="dxa"/>
            <w:tcBorders>
              <w:top w:val="single" w:sz="4" w:space="0" w:color="auto"/>
              <w:left w:val="nil"/>
              <w:right w:val="nil"/>
            </w:tcBorders>
            <w:vAlign w:val="bottom"/>
          </w:tcPr>
          <w:p w14:paraId="3F2997F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57DD2E7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5B4C42A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42D36A00" w14:textId="77777777" w:rsidTr="00843920">
        <w:trPr>
          <w:cantSplit/>
        </w:trPr>
        <w:tc>
          <w:tcPr>
            <w:tcW w:w="5272" w:type="dxa"/>
            <w:tcBorders>
              <w:left w:val="nil"/>
              <w:right w:val="nil"/>
            </w:tcBorders>
            <w:vAlign w:val="bottom"/>
          </w:tcPr>
          <w:p w14:paraId="759C563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Non-current assets</w:t>
            </w:r>
          </w:p>
        </w:tc>
        <w:tc>
          <w:tcPr>
            <w:tcW w:w="1531" w:type="dxa"/>
            <w:tcBorders>
              <w:left w:val="nil"/>
              <w:right w:val="nil"/>
            </w:tcBorders>
            <w:vAlign w:val="bottom"/>
          </w:tcPr>
          <w:p w14:paraId="5F3AEA1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367,63</w:t>
            </w:r>
            <w:r w:rsidRPr="00843920">
              <w:rPr>
                <w:rFonts w:ascii="Arial" w:eastAsia="Times New Roman" w:hAnsi="Arial" w:cs="Arial"/>
                <w:b/>
                <w:color w:val="auto"/>
                <w:spacing w:val="-2"/>
                <w:sz w:val="18"/>
                <w:szCs w:val="20"/>
                <w:bdr w:val="none" w:sz="0" w:space="0" w:color="auto"/>
                <w:lang w:val="ru-RU"/>
              </w:rPr>
              <w:t>4</w:t>
            </w:r>
          </w:p>
        </w:tc>
        <w:tc>
          <w:tcPr>
            <w:tcW w:w="2695" w:type="dxa"/>
            <w:tcBorders>
              <w:left w:val="nil"/>
              <w:right w:val="nil"/>
            </w:tcBorders>
            <w:vAlign w:val="bottom"/>
          </w:tcPr>
          <w:p w14:paraId="7233A87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358,388</w:t>
            </w:r>
          </w:p>
        </w:tc>
      </w:tr>
      <w:tr w:rsidR="00843920" w:rsidRPr="00843920" w14:paraId="59A87C7D" w14:textId="77777777" w:rsidTr="00843920">
        <w:trPr>
          <w:cantSplit/>
        </w:trPr>
        <w:tc>
          <w:tcPr>
            <w:tcW w:w="5272" w:type="dxa"/>
            <w:tcBorders>
              <w:left w:val="nil"/>
              <w:bottom w:val="single" w:sz="4" w:space="0" w:color="auto"/>
              <w:right w:val="nil"/>
            </w:tcBorders>
            <w:vAlign w:val="bottom"/>
          </w:tcPr>
          <w:p w14:paraId="43964A7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31496D0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68E94FD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23742663" w14:textId="77777777" w:rsidTr="00843920">
        <w:trPr>
          <w:cantSplit/>
        </w:trPr>
        <w:tc>
          <w:tcPr>
            <w:tcW w:w="5272" w:type="dxa"/>
            <w:tcBorders>
              <w:top w:val="single" w:sz="4" w:space="0" w:color="auto"/>
              <w:left w:val="nil"/>
              <w:right w:val="nil"/>
            </w:tcBorders>
            <w:vAlign w:val="bottom"/>
          </w:tcPr>
          <w:p w14:paraId="2FBCA6A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0"/>
                <w:szCs w:val="10"/>
                <w:bdr w:val="none" w:sz="0" w:space="0" w:color="auto"/>
                <w:lang w:val="en-GB"/>
              </w:rPr>
            </w:pPr>
            <w:r w:rsidRPr="00843920">
              <w:rPr>
                <w:rFonts w:ascii="Arial" w:eastAsia="Times New Roman" w:hAnsi="Arial" w:cs="Arial"/>
                <w:i/>
                <w:iCs/>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2689304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2695" w:type="dxa"/>
            <w:tcBorders>
              <w:top w:val="single" w:sz="4" w:space="0" w:color="auto"/>
              <w:left w:val="nil"/>
              <w:right w:val="nil"/>
            </w:tcBorders>
            <w:vAlign w:val="bottom"/>
          </w:tcPr>
          <w:p w14:paraId="780CF08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2BA03342" w14:textId="77777777" w:rsidTr="00843920">
        <w:trPr>
          <w:cantSplit/>
        </w:trPr>
        <w:tc>
          <w:tcPr>
            <w:tcW w:w="5272" w:type="dxa"/>
            <w:tcBorders>
              <w:top w:val="nil"/>
              <w:left w:val="nil"/>
              <w:bottom w:val="nil"/>
              <w:right w:val="nil"/>
            </w:tcBorders>
            <w:vAlign w:val="bottom"/>
          </w:tcPr>
          <w:p w14:paraId="39F1786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Trade and other receivables</w:t>
            </w:r>
          </w:p>
        </w:tc>
        <w:tc>
          <w:tcPr>
            <w:tcW w:w="1531" w:type="dxa"/>
            <w:tcBorders>
              <w:top w:val="nil"/>
              <w:left w:val="nil"/>
              <w:bottom w:val="nil"/>
              <w:right w:val="nil"/>
            </w:tcBorders>
          </w:tcPr>
          <w:p w14:paraId="7D35A17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7</w:t>
            </w:r>
            <w:r w:rsidRPr="00843920">
              <w:rPr>
                <w:rFonts w:ascii="Arial" w:eastAsia="Times New Roman" w:hAnsi="Arial" w:cs="Arial"/>
                <w:color w:val="auto"/>
                <w:spacing w:val="-2"/>
                <w:sz w:val="18"/>
                <w:szCs w:val="20"/>
                <w:bdr w:val="none" w:sz="0" w:space="0" w:color="auto"/>
                <w:lang w:val="ru-RU"/>
              </w:rPr>
              <w:t>6</w:t>
            </w:r>
            <w:r w:rsidRPr="00843920">
              <w:rPr>
                <w:rFonts w:ascii="Arial" w:eastAsia="Times New Roman" w:hAnsi="Arial" w:cs="Arial"/>
                <w:color w:val="auto"/>
                <w:spacing w:val="-2"/>
                <w:sz w:val="18"/>
                <w:szCs w:val="20"/>
                <w:bdr w:val="none" w:sz="0" w:space="0" w:color="auto"/>
              </w:rPr>
              <w:t>,</w:t>
            </w:r>
            <w:r w:rsidRPr="00843920">
              <w:rPr>
                <w:rFonts w:ascii="Arial" w:eastAsia="Times New Roman" w:hAnsi="Arial" w:cs="Arial"/>
                <w:color w:val="auto"/>
                <w:spacing w:val="-2"/>
                <w:sz w:val="18"/>
                <w:szCs w:val="20"/>
                <w:bdr w:val="none" w:sz="0" w:space="0" w:color="auto"/>
                <w:lang w:val="ru-RU"/>
              </w:rPr>
              <w:t>309</w:t>
            </w:r>
          </w:p>
        </w:tc>
        <w:tc>
          <w:tcPr>
            <w:tcW w:w="2695" w:type="dxa"/>
            <w:tcBorders>
              <w:top w:val="nil"/>
              <w:left w:val="nil"/>
              <w:bottom w:val="nil"/>
              <w:right w:val="nil"/>
            </w:tcBorders>
            <w:vAlign w:val="bottom"/>
          </w:tcPr>
          <w:p w14:paraId="0D81121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66,362</w:t>
            </w:r>
          </w:p>
        </w:tc>
      </w:tr>
      <w:tr w:rsidR="00843920" w:rsidRPr="00843920" w14:paraId="29BE932B" w14:textId="77777777" w:rsidTr="00843920">
        <w:trPr>
          <w:cantSplit/>
        </w:trPr>
        <w:tc>
          <w:tcPr>
            <w:tcW w:w="5272" w:type="dxa"/>
            <w:tcBorders>
              <w:top w:val="nil"/>
              <w:left w:val="nil"/>
              <w:bottom w:val="nil"/>
              <w:right w:val="nil"/>
            </w:tcBorders>
            <w:vAlign w:val="bottom"/>
          </w:tcPr>
          <w:p w14:paraId="3BDB2D3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Inventories</w:t>
            </w:r>
          </w:p>
        </w:tc>
        <w:tc>
          <w:tcPr>
            <w:tcW w:w="1531" w:type="dxa"/>
            <w:tcBorders>
              <w:top w:val="nil"/>
              <w:left w:val="nil"/>
              <w:bottom w:val="nil"/>
              <w:right w:val="nil"/>
            </w:tcBorders>
          </w:tcPr>
          <w:p w14:paraId="7316966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49,9</w:t>
            </w:r>
            <w:r w:rsidRPr="00843920">
              <w:rPr>
                <w:rFonts w:ascii="Arial" w:eastAsia="Times New Roman" w:hAnsi="Arial" w:cs="Arial"/>
                <w:color w:val="auto"/>
                <w:spacing w:val="-2"/>
                <w:sz w:val="18"/>
                <w:szCs w:val="20"/>
                <w:bdr w:val="none" w:sz="0" w:space="0" w:color="auto"/>
                <w:lang w:val="ru-RU"/>
              </w:rPr>
              <w:t>11</w:t>
            </w:r>
          </w:p>
        </w:tc>
        <w:tc>
          <w:tcPr>
            <w:tcW w:w="2695" w:type="dxa"/>
            <w:tcBorders>
              <w:top w:val="nil"/>
              <w:left w:val="nil"/>
              <w:bottom w:val="nil"/>
              <w:right w:val="nil"/>
            </w:tcBorders>
          </w:tcPr>
          <w:p w14:paraId="44952BD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48,468</w:t>
            </w:r>
          </w:p>
        </w:tc>
      </w:tr>
      <w:tr w:rsidR="00843920" w:rsidRPr="00843920" w14:paraId="5CBD6FB2" w14:textId="77777777" w:rsidTr="00843920">
        <w:trPr>
          <w:cantSplit/>
        </w:trPr>
        <w:tc>
          <w:tcPr>
            <w:tcW w:w="5272" w:type="dxa"/>
            <w:tcBorders>
              <w:left w:val="nil"/>
              <w:bottom w:val="nil"/>
              <w:right w:val="nil"/>
            </w:tcBorders>
            <w:vAlign w:val="bottom"/>
          </w:tcPr>
          <w:p w14:paraId="0F20B2D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Cash and cash equivalents</w:t>
            </w:r>
          </w:p>
        </w:tc>
        <w:tc>
          <w:tcPr>
            <w:tcW w:w="1531" w:type="dxa"/>
            <w:tcBorders>
              <w:left w:val="nil"/>
              <w:bottom w:val="nil"/>
              <w:right w:val="nil"/>
            </w:tcBorders>
          </w:tcPr>
          <w:p w14:paraId="75ABDAF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21,638</w:t>
            </w:r>
          </w:p>
        </w:tc>
        <w:tc>
          <w:tcPr>
            <w:tcW w:w="2695" w:type="dxa"/>
            <w:tcBorders>
              <w:left w:val="nil"/>
              <w:bottom w:val="nil"/>
              <w:right w:val="nil"/>
            </w:tcBorders>
          </w:tcPr>
          <w:p w14:paraId="5CFC791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29,163</w:t>
            </w:r>
          </w:p>
        </w:tc>
      </w:tr>
      <w:tr w:rsidR="00843920" w:rsidRPr="00843920" w14:paraId="367849E3" w14:textId="77777777" w:rsidTr="00843920">
        <w:trPr>
          <w:cantSplit/>
        </w:trPr>
        <w:tc>
          <w:tcPr>
            <w:tcW w:w="5272" w:type="dxa"/>
            <w:tcBorders>
              <w:top w:val="nil"/>
              <w:left w:val="nil"/>
              <w:bottom w:val="nil"/>
              <w:right w:val="nil"/>
            </w:tcBorders>
            <w:vAlign w:val="bottom"/>
          </w:tcPr>
          <w:p w14:paraId="6A72D66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VAT and other taxes receivable</w:t>
            </w:r>
          </w:p>
        </w:tc>
        <w:tc>
          <w:tcPr>
            <w:tcW w:w="1531" w:type="dxa"/>
            <w:tcBorders>
              <w:top w:val="nil"/>
              <w:left w:val="nil"/>
              <w:bottom w:val="nil"/>
              <w:right w:val="nil"/>
            </w:tcBorders>
          </w:tcPr>
          <w:p w14:paraId="578D9AA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10,236</w:t>
            </w:r>
          </w:p>
        </w:tc>
        <w:tc>
          <w:tcPr>
            <w:tcW w:w="2695" w:type="dxa"/>
            <w:tcBorders>
              <w:top w:val="nil"/>
              <w:left w:val="nil"/>
              <w:bottom w:val="nil"/>
              <w:right w:val="nil"/>
            </w:tcBorders>
          </w:tcPr>
          <w:p w14:paraId="6E726AC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10,119</w:t>
            </w:r>
          </w:p>
        </w:tc>
      </w:tr>
      <w:tr w:rsidR="00843920" w:rsidRPr="00843920" w14:paraId="5AB2EFC8" w14:textId="77777777" w:rsidTr="00843920">
        <w:trPr>
          <w:cantSplit/>
        </w:trPr>
        <w:tc>
          <w:tcPr>
            <w:tcW w:w="5272" w:type="dxa"/>
            <w:tcBorders>
              <w:top w:val="nil"/>
              <w:left w:val="nil"/>
              <w:bottom w:val="nil"/>
              <w:right w:val="nil"/>
            </w:tcBorders>
            <w:vAlign w:val="bottom"/>
          </w:tcPr>
          <w:p w14:paraId="3FB7566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Other </w:t>
            </w:r>
            <w:r w:rsidRPr="00843920">
              <w:rPr>
                <w:rFonts w:ascii="Arial" w:eastAsia="Times New Roman" w:hAnsi="Arial" w:cs="Arial"/>
                <w:color w:val="auto"/>
                <w:spacing w:val="-2"/>
                <w:sz w:val="18"/>
                <w:szCs w:val="18"/>
                <w:bdr w:val="none" w:sz="0" w:space="0" w:color="auto"/>
              </w:rPr>
              <w:t>financial assets</w:t>
            </w:r>
          </w:p>
        </w:tc>
        <w:tc>
          <w:tcPr>
            <w:tcW w:w="1531" w:type="dxa"/>
            <w:tcBorders>
              <w:top w:val="nil"/>
              <w:left w:val="nil"/>
              <w:bottom w:val="nil"/>
              <w:right w:val="nil"/>
            </w:tcBorders>
          </w:tcPr>
          <w:p w14:paraId="4704F5E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7,599</w:t>
            </w:r>
          </w:p>
        </w:tc>
        <w:tc>
          <w:tcPr>
            <w:tcW w:w="2695" w:type="dxa"/>
            <w:tcBorders>
              <w:top w:val="nil"/>
              <w:left w:val="nil"/>
              <w:bottom w:val="nil"/>
              <w:right w:val="nil"/>
            </w:tcBorders>
            <w:vAlign w:val="bottom"/>
          </w:tcPr>
          <w:p w14:paraId="245B395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5,083</w:t>
            </w:r>
          </w:p>
        </w:tc>
      </w:tr>
      <w:tr w:rsidR="00843920" w:rsidRPr="00843920" w14:paraId="2DE46005" w14:textId="77777777" w:rsidTr="00843920">
        <w:trPr>
          <w:cantSplit/>
        </w:trPr>
        <w:tc>
          <w:tcPr>
            <w:tcW w:w="5272" w:type="dxa"/>
            <w:tcBorders>
              <w:top w:val="nil"/>
              <w:left w:val="nil"/>
              <w:bottom w:val="nil"/>
              <w:right w:val="nil"/>
            </w:tcBorders>
            <w:vAlign w:val="bottom"/>
          </w:tcPr>
          <w:p w14:paraId="1DA5A23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Income tax receivable</w:t>
            </w:r>
          </w:p>
        </w:tc>
        <w:tc>
          <w:tcPr>
            <w:tcW w:w="1531" w:type="dxa"/>
            <w:tcBorders>
              <w:top w:val="nil"/>
              <w:left w:val="nil"/>
              <w:bottom w:val="nil"/>
              <w:right w:val="nil"/>
            </w:tcBorders>
          </w:tcPr>
          <w:p w14:paraId="68B90D6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1,728</w:t>
            </w:r>
          </w:p>
        </w:tc>
        <w:tc>
          <w:tcPr>
            <w:tcW w:w="2695" w:type="dxa"/>
            <w:tcBorders>
              <w:top w:val="nil"/>
              <w:left w:val="nil"/>
              <w:bottom w:val="nil"/>
              <w:right w:val="nil"/>
            </w:tcBorders>
            <w:vAlign w:val="bottom"/>
          </w:tcPr>
          <w:p w14:paraId="1E43E63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1,703</w:t>
            </w:r>
          </w:p>
        </w:tc>
      </w:tr>
      <w:tr w:rsidR="00843920" w:rsidRPr="00843920" w14:paraId="564626EC" w14:textId="77777777" w:rsidTr="00843920">
        <w:trPr>
          <w:cantSplit/>
        </w:trPr>
        <w:tc>
          <w:tcPr>
            <w:tcW w:w="5272" w:type="dxa"/>
            <w:tcBorders>
              <w:top w:val="nil"/>
              <w:left w:val="nil"/>
              <w:bottom w:val="nil"/>
              <w:right w:val="nil"/>
            </w:tcBorders>
            <w:vAlign w:val="bottom"/>
          </w:tcPr>
          <w:p w14:paraId="2D44599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Security payment for windfall tax</w:t>
            </w:r>
          </w:p>
        </w:tc>
        <w:tc>
          <w:tcPr>
            <w:tcW w:w="1531" w:type="dxa"/>
            <w:tcBorders>
              <w:top w:val="nil"/>
              <w:left w:val="nil"/>
              <w:bottom w:val="nil"/>
              <w:right w:val="nil"/>
            </w:tcBorders>
          </w:tcPr>
          <w:p w14:paraId="1D08109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w:t>
            </w:r>
          </w:p>
        </w:tc>
        <w:tc>
          <w:tcPr>
            <w:tcW w:w="2695" w:type="dxa"/>
            <w:tcBorders>
              <w:top w:val="nil"/>
              <w:left w:val="nil"/>
              <w:bottom w:val="nil"/>
              <w:right w:val="nil"/>
            </w:tcBorders>
            <w:vAlign w:val="bottom"/>
          </w:tcPr>
          <w:p w14:paraId="5970C51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6,355</w:t>
            </w:r>
          </w:p>
        </w:tc>
      </w:tr>
      <w:tr w:rsidR="00843920" w:rsidRPr="00843920" w14:paraId="5D87A04E" w14:textId="77777777" w:rsidTr="00843920">
        <w:trPr>
          <w:cantSplit/>
        </w:trPr>
        <w:tc>
          <w:tcPr>
            <w:tcW w:w="5272" w:type="dxa"/>
            <w:tcBorders>
              <w:top w:val="nil"/>
              <w:left w:val="nil"/>
              <w:bottom w:val="single" w:sz="4" w:space="0" w:color="auto"/>
              <w:right w:val="nil"/>
            </w:tcBorders>
            <w:vAlign w:val="bottom"/>
          </w:tcPr>
          <w:p w14:paraId="5C50199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nil"/>
              <w:left w:val="nil"/>
              <w:bottom w:val="single" w:sz="4" w:space="0" w:color="auto"/>
              <w:right w:val="nil"/>
            </w:tcBorders>
            <w:vAlign w:val="bottom"/>
          </w:tcPr>
          <w:p w14:paraId="6FE3E51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nil"/>
              <w:left w:val="nil"/>
              <w:bottom w:val="single" w:sz="4" w:space="0" w:color="auto"/>
              <w:right w:val="nil"/>
            </w:tcBorders>
            <w:vAlign w:val="bottom"/>
          </w:tcPr>
          <w:p w14:paraId="14D8D59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19B5DB4C" w14:textId="77777777" w:rsidTr="00843920">
        <w:trPr>
          <w:cantSplit/>
        </w:trPr>
        <w:tc>
          <w:tcPr>
            <w:tcW w:w="5272" w:type="dxa"/>
            <w:tcBorders>
              <w:top w:val="single" w:sz="4" w:space="0" w:color="auto"/>
              <w:left w:val="nil"/>
              <w:bottom w:val="nil"/>
              <w:right w:val="nil"/>
            </w:tcBorders>
            <w:vAlign w:val="bottom"/>
          </w:tcPr>
          <w:p w14:paraId="371DB9F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3F5EAA2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2DB1D14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397DACF6" w14:textId="77777777" w:rsidTr="00843920">
        <w:trPr>
          <w:cantSplit/>
        </w:trPr>
        <w:tc>
          <w:tcPr>
            <w:tcW w:w="5272" w:type="dxa"/>
            <w:tcBorders>
              <w:top w:val="nil"/>
              <w:left w:val="nil"/>
              <w:right w:val="nil"/>
            </w:tcBorders>
            <w:vAlign w:val="bottom"/>
          </w:tcPr>
          <w:p w14:paraId="70AAB1E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Current assets</w:t>
            </w:r>
          </w:p>
        </w:tc>
        <w:tc>
          <w:tcPr>
            <w:tcW w:w="1531" w:type="dxa"/>
            <w:tcBorders>
              <w:left w:val="nil"/>
              <w:right w:val="nil"/>
            </w:tcBorders>
            <w:vAlign w:val="bottom"/>
          </w:tcPr>
          <w:p w14:paraId="304E8CE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167,</w:t>
            </w:r>
            <w:r w:rsidRPr="00843920">
              <w:rPr>
                <w:rFonts w:ascii="Arial" w:eastAsia="Times New Roman" w:hAnsi="Arial" w:cs="Arial"/>
                <w:b/>
                <w:color w:val="auto"/>
                <w:spacing w:val="-2"/>
                <w:sz w:val="18"/>
                <w:szCs w:val="20"/>
                <w:bdr w:val="none" w:sz="0" w:space="0" w:color="auto"/>
                <w:lang w:val="ru-RU"/>
              </w:rPr>
              <w:t>4</w:t>
            </w:r>
            <w:r w:rsidRPr="00843920">
              <w:rPr>
                <w:rFonts w:ascii="Arial" w:eastAsia="Times New Roman" w:hAnsi="Arial" w:cs="Arial"/>
                <w:b/>
                <w:color w:val="auto"/>
                <w:spacing w:val="-2"/>
                <w:sz w:val="18"/>
                <w:szCs w:val="20"/>
                <w:bdr w:val="none" w:sz="0" w:space="0" w:color="auto"/>
              </w:rPr>
              <w:t>2</w:t>
            </w:r>
            <w:r w:rsidRPr="00843920">
              <w:rPr>
                <w:rFonts w:ascii="Arial" w:eastAsia="Times New Roman" w:hAnsi="Arial" w:cs="Arial"/>
                <w:b/>
                <w:color w:val="auto"/>
                <w:spacing w:val="-2"/>
                <w:sz w:val="18"/>
                <w:szCs w:val="20"/>
                <w:bdr w:val="none" w:sz="0" w:space="0" w:color="auto"/>
                <w:lang w:val="ru-RU"/>
              </w:rPr>
              <w:t>1</w:t>
            </w:r>
          </w:p>
        </w:tc>
        <w:tc>
          <w:tcPr>
            <w:tcW w:w="2695" w:type="dxa"/>
            <w:tcBorders>
              <w:left w:val="nil"/>
              <w:right w:val="nil"/>
            </w:tcBorders>
            <w:vAlign w:val="bottom"/>
          </w:tcPr>
          <w:p w14:paraId="507F2A1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167,</w:t>
            </w:r>
            <w:r w:rsidRPr="00843920">
              <w:rPr>
                <w:rFonts w:ascii="Arial" w:eastAsia="Times New Roman" w:hAnsi="Arial" w:cs="Arial"/>
                <w:b/>
                <w:color w:val="auto"/>
                <w:spacing w:val="-2"/>
                <w:sz w:val="18"/>
                <w:szCs w:val="20"/>
                <w:bdr w:val="none" w:sz="0" w:space="0" w:color="auto"/>
                <w:lang w:val="ru-RU"/>
              </w:rPr>
              <w:t>25</w:t>
            </w:r>
            <w:r w:rsidRPr="00843920">
              <w:rPr>
                <w:rFonts w:ascii="Arial" w:eastAsia="Times New Roman" w:hAnsi="Arial" w:cs="Arial"/>
                <w:b/>
                <w:color w:val="auto"/>
                <w:spacing w:val="-2"/>
                <w:sz w:val="18"/>
                <w:szCs w:val="20"/>
                <w:bdr w:val="none" w:sz="0" w:space="0" w:color="auto"/>
              </w:rPr>
              <w:t>3</w:t>
            </w:r>
          </w:p>
        </w:tc>
      </w:tr>
      <w:tr w:rsidR="00843920" w:rsidRPr="00843920" w14:paraId="3F28B089" w14:textId="77777777" w:rsidTr="00843920">
        <w:trPr>
          <w:cantSplit/>
        </w:trPr>
        <w:tc>
          <w:tcPr>
            <w:tcW w:w="5272" w:type="dxa"/>
            <w:tcBorders>
              <w:left w:val="nil"/>
              <w:bottom w:val="single" w:sz="4" w:space="0" w:color="auto"/>
              <w:right w:val="nil"/>
            </w:tcBorders>
            <w:vAlign w:val="bottom"/>
          </w:tcPr>
          <w:p w14:paraId="25612A9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25DD511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367B9C5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7145F2E1" w14:textId="77777777" w:rsidTr="00843920">
        <w:trPr>
          <w:cantSplit/>
        </w:trPr>
        <w:tc>
          <w:tcPr>
            <w:tcW w:w="5272" w:type="dxa"/>
            <w:tcBorders>
              <w:top w:val="single" w:sz="4" w:space="0" w:color="auto"/>
              <w:left w:val="nil"/>
              <w:right w:val="nil"/>
            </w:tcBorders>
            <w:vAlign w:val="bottom"/>
          </w:tcPr>
          <w:p w14:paraId="17093AD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492C0D9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3A12760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5A699DBA" w14:textId="77777777" w:rsidTr="00843920">
        <w:trPr>
          <w:cantSplit/>
        </w:trPr>
        <w:tc>
          <w:tcPr>
            <w:tcW w:w="5272" w:type="dxa"/>
            <w:tcBorders>
              <w:left w:val="nil"/>
              <w:right w:val="nil"/>
            </w:tcBorders>
            <w:vAlign w:val="bottom"/>
          </w:tcPr>
          <w:p w14:paraId="23839ED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Total assets</w:t>
            </w:r>
          </w:p>
        </w:tc>
        <w:tc>
          <w:tcPr>
            <w:tcW w:w="1531" w:type="dxa"/>
            <w:tcBorders>
              <w:left w:val="nil"/>
              <w:right w:val="nil"/>
            </w:tcBorders>
            <w:vAlign w:val="bottom"/>
          </w:tcPr>
          <w:p w14:paraId="454B6A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53</w:t>
            </w:r>
            <w:r w:rsidRPr="00843920">
              <w:rPr>
                <w:rFonts w:ascii="Arial" w:eastAsia="Times New Roman" w:hAnsi="Arial" w:cs="Arial"/>
                <w:b/>
                <w:color w:val="auto"/>
                <w:spacing w:val="-2"/>
                <w:sz w:val="18"/>
                <w:szCs w:val="20"/>
                <w:bdr w:val="none" w:sz="0" w:space="0" w:color="auto"/>
                <w:lang w:val="ru-RU"/>
              </w:rPr>
              <w:t>5</w:t>
            </w:r>
            <w:r w:rsidRPr="00843920">
              <w:rPr>
                <w:rFonts w:ascii="Arial" w:eastAsia="Times New Roman" w:hAnsi="Arial" w:cs="Arial"/>
                <w:b/>
                <w:color w:val="auto"/>
                <w:spacing w:val="-2"/>
                <w:sz w:val="18"/>
                <w:szCs w:val="20"/>
                <w:bdr w:val="none" w:sz="0" w:space="0" w:color="auto"/>
              </w:rPr>
              <w:t>,</w:t>
            </w:r>
            <w:r w:rsidRPr="00843920">
              <w:rPr>
                <w:rFonts w:ascii="Arial" w:eastAsia="Times New Roman" w:hAnsi="Arial" w:cs="Arial"/>
                <w:b/>
                <w:color w:val="auto"/>
                <w:spacing w:val="-2"/>
                <w:sz w:val="18"/>
                <w:szCs w:val="20"/>
                <w:bdr w:val="none" w:sz="0" w:space="0" w:color="auto"/>
                <w:lang w:val="ru-RU"/>
              </w:rPr>
              <w:t>055</w:t>
            </w:r>
          </w:p>
        </w:tc>
        <w:tc>
          <w:tcPr>
            <w:tcW w:w="2695" w:type="dxa"/>
            <w:tcBorders>
              <w:left w:val="nil"/>
              <w:right w:val="nil"/>
            </w:tcBorders>
            <w:vAlign w:val="bottom"/>
          </w:tcPr>
          <w:p w14:paraId="793AA8C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525,641</w:t>
            </w:r>
          </w:p>
        </w:tc>
      </w:tr>
      <w:tr w:rsidR="00843920" w:rsidRPr="00843920" w14:paraId="332C8B75" w14:textId="77777777" w:rsidTr="00843920">
        <w:trPr>
          <w:cantSplit/>
        </w:trPr>
        <w:tc>
          <w:tcPr>
            <w:tcW w:w="5272" w:type="dxa"/>
            <w:tcBorders>
              <w:left w:val="nil"/>
              <w:bottom w:val="single" w:sz="12" w:space="0" w:color="auto"/>
              <w:right w:val="nil"/>
            </w:tcBorders>
            <w:vAlign w:val="bottom"/>
          </w:tcPr>
          <w:p w14:paraId="20D4D4B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12" w:space="0" w:color="auto"/>
              <w:right w:val="nil"/>
            </w:tcBorders>
            <w:vAlign w:val="bottom"/>
          </w:tcPr>
          <w:p w14:paraId="64DCA3A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12" w:space="0" w:color="auto"/>
              <w:right w:val="nil"/>
            </w:tcBorders>
            <w:vAlign w:val="bottom"/>
          </w:tcPr>
          <w:p w14:paraId="7F7E811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47D25550" w14:textId="77777777" w:rsidTr="00843920">
        <w:trPr>
          <w:cantSplit/>
        </w:trPr>
        <w:tc>
          <w:tcPr>
            <w:tcW w:w="5272" w:type="dxa"/>
            <w:tcBorders>
              <w:top w:val="single" w:sz="12" w:space="0" w:color="auto"/>
              <w:left w:val="nil"/>
              <w:right w:val="nil"/>
            </w:tcBorders>
            <w:vAlign w:val="bottom"/>
          </w:tcPr>
          <w:p w14:paraId="4EEED175" w14:textId="77777777" w:rsidR="00843920" w:rsidRPr="00843920" w:rsidDel="00CD105E"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top w:val="single" w:sz="12" w:space="0" w:color="auto"/>
              <w:left w:val="nil"/>
              <w:right w:val="nil"/>
            </w:tcBorders>
            <w:vAlign w:val="bottom"/>
          </w:tcPr>
          <w:p w14:paraId="3219C226" w14:textId="77777777" w:rsidR="00843920" w:rsidRPr="00843920" w:rsidDel="008324A4"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top w:val="single" w:sz="12" w:space="0" w:color="auto"/>
              <w:left w:val="nil"/>
              <w:right w:val="nil"/>
            </w:tcBorders>
            <w:vAlign w:val="bottom"/>
          </w:tcPr>
          <w:p w14:paraId="2139F75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1397B1C0" w14:textId="77777777" w:rsidTr="00843920">
        <w:trPr>
          <w:cantSplit/>
        </w:trPr>
        <w:tc>
          <w:tcPr>
            <w:tcW w:w="5272" w:type="dxa"/>
            <w:tcBorders>
              <w:left w:val="nil"/>
              <w:bottom w:val="nil"/>
              <w:right w:val="nil"/>
            </w:tcBorders>
            <w:vAlign w:val="bottom"/>
          </w:tcPr>
          <w:p w14:paraId="6B1FCB4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Equity</w:t>
            </w:r>
          </w:p>
        </w:tc>
        <w:tc>
          <w:tcPr>
            <w:tcW w:w="1531" w:type="dxa"/>
            <w:tcBorders>
              <w:left w:val="nil"/>
              <w:bottom w:val="nil"/>
              <w:right w:val="nil"/>
            </w:tcBorders>
            <w:vAlign w:val="bottom"/>
          </w:tcPr>
          <w:p w14:paraId="26179E0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2695" w:type="dxa"/>
            <w:tcBorders>
              <w:left w:val="nil"/>
              <w:bottom w:val="nil"/>
              <w:right w:val="nil"/>
            </w:tcBorders>
            <w:vAlign w:val="bottom"/>
          </w:tcPr>
          <w:p w14:paraId="73154F7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2E09ABE5" w14:textId="77777777" w:rsidTr="00843920">
        <w:trPr>
          <w:cantSplit/>
        </w:trPr>
        <w:tc>
          <w:tcPr>
            <w:tcW w:w="5272" w:type="dxa"/>
            <w:tcBorders>
              <w:top w:val="nil"/>
              <w:left w:val="nil"/>
              <w:bottom w:val="nil"/>
              <w:right w:val="nil"/>
            </w:tcBorders>
            <w:vAlign w:val="bottom"/>
          </w:tcPr>
          <w:p w14:paraId="3D8ADAE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Share capital</w:t>
            </w:r>
          </w:p>
        </w:tc>
        <w:tc>
          <w:tcPr>
            <w:tcW w:w="1531" w:type="dxa"/>
            <w:tcBorders>
              <w:top w:val="nil"/>
              <w:left w:val="nil"/>
              <w:bottom w:val="nil"/>
              <w:right w:val="nil"/>
            </w:tcBorders>
          </w:tcPr>
          <w:p w14:paraId="07532C3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372</w:t>
            </w:r>
          </w:p>
        </w:tc>
        <w:tc>
          <w:tcPr>
            <w:tcW w:w="2695" w:type="dxa"/>
            <w:tcBorders>
              <w:top w:val="nil"/>
              <w:left w:val="nil"/>
              <w:bottom w:val="nil"/>
              <w:right w:val="nil"/>
            </w:tcBorders>
            <w:vAlign w:val="bottom"/>
          </w:tcPr>
          <w:p w14:paraId="1CD4E2B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372</w:t>
            </w:r>
          </w:p>
        </w:tc>
      </w:tr>
      <w:tr w:rsidR="00843920" w:rsidRPr="00843920" w14:paraId="638A0235" w14:textId="77777777" w:rsidTr="00843920">
        <w:trPr>
          <w:cantSplit/>
        </w:trPr>
        <w:tc>
          <w:tcPr>
            <w:tcW w:w="5272" w:type="dxa"/>
            <w:tcBorders>
              <w:top w:val="nil"/>
              <w:left w:val="nil"/>
              <w:bottom w:val="nil"/>
              <w:right w:val="nil"/>
            </w:tcBorders>
            <w:vAlign w:val="bottom"/>
          </w:tcPr>
          <w:p w14:paraId="441432E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Share premium</w:t>
            </w:r>
          </w:p>
        </w:tc>
        <w:tc>
          <w:tcPr>
            <w:tcW w:w="1531" w:type="dxa"/>
            <w:tcBorders>
              <w:top w:val="nil"/>
              <w:left w:val="nil"/>
              <w:bottom w:val="nil"/>
              <w:right w:val="nil"/>
            </w:tcBorders>
          </w:tcPr>
          <w:p w14:paraId="0D64C4F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7,494</w:t>
            </w:r>
          </w:p>
        </w:tc>
        <w:tc>
          <w:tcPr>
            <w:tcW w:w="2695" w:type="dxa"/>
            <w:tcBorders>
              <w:top w:val="nil"/>
              <w:left w:val="nil"/>
              <w:bottom w:val="nil"/>
              <w:right w:val="nil"/>
            </w:tcBorders>
            <w:vAlign w:val="bottom"/>
          </w:tcPr>
          <w:p w14:paraId="6DE41F1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7,494</w:t>
            </w:r>
          </w:p>
        </w:tc>
      </w:tr>
      <w:tr w:rsidR="00843920" w:rsidRPr="00843920" w14:paraId="39471A6B" w14:textId="77777777" w:rsidTr="00843920">
        <w:trPr>
          <w:cantSplit/>
        </w:trPr>
        <w:tc>
          <w:tcPr>
            <w:tcW w:w="5272" w:type="dxa"/>
            <w:tcBorders>
              <w:top w:val="nil"/>
              <w:left w:val="nil"/>
              <w:bottom w:val="nil"/>
              <w:right w:val="nil"/>
            </w:tcBorders>
            <w:vAlign w:val="bottom"/>
          </w:tcPr>
          <w:p w14:paraId="40839C7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Retained earnings</w:t>
            </w:r>
          </w:p>
        </w:tc>
        <w:tc>
          <w:tcPr>
            <w:tcW w:w="1531" w:type="dxa"/>
            <w:tcBorders>
              <w:top w:val="nil"/>
              <w:left w:val="nil"/>
              <w:bottom w:val="nil"/>
              <w:right w:val="nil"/>
            </w:tcBorders>
            <w:vAlign w:val="bottom"/>
          </w:tcPr>
          <w:p w14:paraId="4113D29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163,</w:t>
            </w:r>
            <w:r w:rsidRPr="00843920">
              <w:rPr>
                <w:rFonts w:ascii="Arial" w:eastAsia="Times New Roman" w:hAnsi="Arial" w:cs="Arial"/>
                <w:color w:val="auto"/>
                <w:spacing w:val="-2"/>
                <w:sz w:val="18"/>
                <w:szCs w:val="20"/>
                <w:bdr w:val="none" w:sz="0" w:space="0" w:color="auto"/>
                <w:lang w:val="ru-RU"/>
              </w:rPr>
              <w:t>477</w:t>
            </w:r>
          </w:p>
        </w:tc>
        <w:tc>
          <w:tcPr>
            <w:tcW w:w="2695" w:type="dxa"/>
            <w:tcBorders>
              <w:top w:val="nil"/>
              <w:left w:val="nil"/>
              <w:bottom w:val="nil"/>
              <w:right w:val="nil"/>
            </w:tcBorders>
            <w:vAlign w:val="bottom"/>
          </w:tcPr>
          <w:p w14:paraId="3083545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144,658</w:t>
            </w:r>
          </w:p>
        </w:tc>
      </w:tr>
      <w:tr w:rsidR="00843920" w:rsidRPr="00843920" w14:paraId="498C2F9D" w14:textId="77777777" w:rsidTr="00843920">
        <w:trPr>
          <w:cantSplit/>
        </w:trPr>
        <w:tc>
          <w:tcPr>
            <w:tcW w:w="5272" w:type="dxa"/>
            <w:tcBorders>
              <w:top w:val="nil"/>
              <w:left w:val="nil"/>
              <w:bottom w:val="nil"/>
              <w:right w:val="nil"/>
            </w:tcBorders>
            <w:vAlign w:val="bottom"/>
          </w:tcPr>
          <w:p w14:paraId="77CD570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eastAsia="en-US"/>
              </w:rPr>
              <w:t>Actuarial losses</w:t>
            </w:r>
          </w:p>
        </w:tc>
        <w:tc>
          <w:tcPr>
            <w:tcW w:w="1531" w:type="dxa"/>
            <w:tcBorders>
              <w:top w:val="nil"/>
              <w:left w:val="nil"/>
              <w:bottom w:val="nil"/>
              <w:right w:val="nil"/>
            </w:tcBorders>
            <w:vAlign w:val="bottom"/>
          </w:tcPr>
          <w:p w14:paraId="19E7407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(1,003)</w:t>
            </w:r>
          </w:p>
        </w:tc>
        <w:tc>
          <w:tcPr>
            <w:tcW w:w="2695" w:type="dxa"/>
            <w:tcBorders>
              <w:top w:val="nil"/>
              <w:left w:val="nil"/>
              <w:bottom w:val="nil"/>
              <w:right w:val="nil"/>
            </w:tcBorders>
            <w:vAlign w:val="bottom"/>
          </w:tcPr>
          <w:p w14:paraId="57A0A94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(1,003)</w:t>
            </w:r>
          </w:p>
        </w:tc>
      </w:tr>
      <w:tr w:rsidR="00843920" w:rsidRPr="00843920" w14:paraId="6CAC3147" w14:textId="77777777" w:rsidTr="00843920">
        <w:trPr>
          <w:cantSplit/>
        </w:trPr>
        <w:tc>
          <w:tcPr>
            <w:tcW w:w="5272" w:type="dxa"/>
            <w:tcBorders>
              <w:top w:val="nil"/>
              <w:left w:val="nil"/>
              <w:bottom w:val="single" w:sz="4" w:space="0" w:color="auto"/>
              <w:right w:val="nil"/>
            </w:tcBorders>
            <w:vAlign w:val="bottom"/>
          </w:tcPr>
          <w:p w14:paraId="220B73C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eastAsia="en-US"/>
              </w:rPr>
            </w:pPr>
            <w:r w:rsidRPr="00843920">
              <w:rPr>
                <w:rFonts w:ascii="Arial" w:eastAsia="Times New Roman" w:hAnsi="Arial" w:cs="Arial"/>
                <w:color w:val="auto"/>
                <w:spacing w:val="-2"/>
                <w:sz w:val="10"/>
                <w:szCs w:val="10"/>
                <w:bdr w:val="none" w:sz="0" w:space="0" w:color="auto"/>
                <w:lang w:eastAsia="en-US"/>
              </w:rPr>
              <w:t> </w:t>
            </w:r>
          </w:p>
        </w:tc>
        <w:tc>
          <w:tcPr>
            <w:tcW w:w="1531" w:type="dxa"/>
            <w:tcBorders>
              <w:top w:val="nil"/>
              <w:left w:val="nil"/>
              <w:bottom w:val="single" w:sz="4" w:space="0" w:color="auto"/>
              <w:right w:val="nil"/>
            </w:tcBorders>
            <w:vAlign w:val="bottom"/>
          </w:tcPr>
          <w:p w14:paraId="6B387DD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nil"/>
              <w:left w:val="nil"/>
              <w:bottom w:val="single" w:sz="4" w:space="0" w:color="auto"/>
              <w:right w:val="nil"/>
            </w:tcBorders>
            <w:vAlign w:val="bottom"/>
          </w:tcPr>
          <w:p w14:paraId="71412EC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0BA046CC" w14:textId="77777777" w:rsidTr="00843920">
        <w:trPr>
          <w:cantSplit/>
        </w:trPr>
        <w:tc>
          <w:tcPr>
            <w:tcW w:w="5272" w:type="dxa"/>
            <w:tcBorders>
              <w:top w:val="single" w:sz="4" w:space="0" w:color="auto"/>
              <w:left w:val="nil"/>
              <w:bottom w:val="nil"/>
              <w:right w:val="nil"/>
            </w:tcBorders>
            <w:vAlign w:val="bottom"/>
          </w:tcPr>
          <w:p w14:paraId="24EB586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eastAsia="en-US"/>
              </w:rPr>
            </w:pPr>
            <w:r w:rsidRPr="00843920">
              <w:rPr>
                <w:rFonts w:ascii="Arial" w:eastAsia="Times New Roman" w:hAnsi="Arial" w:cs="Arial"/>
                <w:color w:val="auto"/>
                <w:spacing w:val="-2"/>
                <w:sz w:val="10"/>
                <w:szCs w:val="10"/>
                <w:bdr w:val="none" w:sz="0" w:space="0" w:color="auto"/>
                <w:lang w:eastAsia="en-US"/>
              </w:rPr>
              <w:t> </w:t>
            </w:r>
          </w:p>
        </w:tc>
        <w:tc>
          <w:tcPr>
            <w:tcW w:w="1531" w:type="dxa"/>
            <w:tcBorders>
              <w:top w:val="single" w:sz="4" w:space="0" w:color="auto"/>
              <w:left w:val="nil"/>
              <w:right w:val="nil"/>
            </w:tcBorders>
            <w:vAlign w:val="bottom"/>
          </w:tcPr>
          <w:p w14:paraId="2428BBD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49BA501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7E49535B" w14:textId="77777777" w:rsidTr="00843920">
        <w:trPr>
          <w:cantSplit/>
        </w:trPr>
        <w:tc>
          <w:tcPr>
            <w:tcW w:w="5272" w:type="dxa"/>
            <w:tcBorders>
              <w:top w:val="nil"/>
              <w:left w:val="nil"/>
              <w:bottom w:val="nil"/>
              <w:right w:val="nil"/>
            </w:tcBorders>
            <w:vAlign w:val="bottom"/>
          </w:tcPr>
          <w:p w14:paraId="1EC8C6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Equity attributable to shareholders of the Company</w:t>
            </w:r>
          </w:p>
        </w:tc>
        <w:tc>
          <w:tcPr>
            <w:tcW w:w="1531" w:type="dxa"/>
            <w:tcBorders>
              <w:left w:val="nil"/>
              <w:right w:val="nil"/>
            </w:tcBorders>
            <w:vAlign w:val="bottom"/>
          </w:tcPr>
          <w:p w14:paraId="3BE0037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170,</w:t>
            </w:r>
            <w:r w:rsidRPr="00843920">
              <w:rPr>
                <w:rFonts w:ascii="Arial" w:eastAsia="Times New Roman" w:hAnsi="Arial" w:cs="Arial"/>
                <w:b/>
                <w:color w:val="auto"/>
                <w:spacing w:val="-2"/>
                <w:sz w:val="18"/>
                <w:szCs w:val="20"/>
                <w:bdr w:val="none" w:sz="0" w:space="0" w:color="auto"/>
                <w:lang w:val="ru-RU"/>
              </w:rPr>
              <w:t>340</w:t>
            </w:r>
          </w:p>
        </w:tc>
        <w:tc>
          <w:tcPr>
            <w:tcW w:w="2695" w:type="dxa"/>
            <w:tcBorders>
              <w:left w:val="nil"/>
              <w:right w:val="nil"/>
            </w:tcBorders>
            <w:vAlign w:val="bottom"/>
          </w:tcPr>
          <w:p w14:paraId="1BF0C1D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151,521</w:t>
            </w:r>
          </w:p>
        </w:tc>
      </w:tr>
      <w:tr w:rsidR="00843920" w:rsidRPr="00843920" w14:paraId="52352793" w14:textId="77777777" w:rsidTr="00843920">
        <w:trPr>
          <w:cantSplit/>
        </w:trPr>
        <w:tc>
          <w:tcPr>
            <w:tcW w:w="5272" w:type="dxa"/>
            <w:tcBorders>
              <w:top w:val="nil"/>
              <w:left w:val="nil"/>
              <w:right w:val="nil"/>
            </w:tcBorders>
            <w:vAlign w:val="bottom"/>
          </w:tcPr>
          <w:p w14:paraId="5E0FCCB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Equity attributable to non-controlling interests</w:t>
            </w:r>
          </w:p>
        </w:tc>
        <w:tc>
          <w:tcPr>
            <w:tcW w:w="1531" w:type="dxa"/>
            <w:tcBorders>
              <w:left w:val="nil"/>
              <w:right w:val="nil"/>
            </w:tcBorders>
            <w:vAlign w:val="bottom"/>
          </w:tcPr>
          <w:p w14:paraId="469E78D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19</w:t>
            </w:r>
          </w:p>
        </w:tc>
        <w:tc>
          <w:tcPr>
            <w:tcW w:w="2695" w:type="dxa"/>
            <w:tcBorders>
              <w:left w:val="nil"/>
              <w:right w:val="nil"/>
            </w:tcBorders>
            <w:vAlign w:val="bottom"/>
          </w:tcPr>
          <w:p w14:paraId="488FDD9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84</w:t>
            </w:r>
          </w:p>
        </w:tc>
      </w:tr>
      <w:tr w:rsidR="00843920" w:rsidRPr="00843920" w14:paraId="69623B14" w14:textId="77777777" w:rsidTr="00843920">
        <w:trPr>
          <w:cantSplit/>
        </w:trPr>
        <w:tc>
          <w:tcPr>
            <w:tcW w:w="5272" w:type="dxa"/>
            <w:tcBorders>
              <w:top w:val="nil"/>
              <w:left w:val="nil"/>
              <w:bottom w:val="single" w:sz="4" w:space="0" w:color="auto"/>
              <w:right w:val="nil"/>
            </w:tcBorders>
            <w:vAlign w:val="bottom"/>
          </w:tcPr>
          <w:p w14:paraId="5C3C08F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7A2BBC5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7AE61FE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1B45A52F" w14:textId="77777777" w:rsidTr="00843920">
        <w:trPr>
          <w:cantSplit/>
        </w:trPr>
        <w:tc>
          <w:tcPr>
            <w:tcW w:w="5272" w:type="dxa"/>
            <w:tcBorders>
              <w:top w:val="single" w:sz="4" w:space="0" w:color="auto"/>
              <w:left w:val="nil"/>
              <w:right w:val="nil"/>
            </w:tcBorders>
            <w:vAlign w:val="bottom"/>
          </w:tcPr>
          <w:p w14:paraId="7881529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073901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310B584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2ACABE44" w14:textId="77777777" w:rsidTr="00843920">
        <w:trPr>
          <w:cantSplit/>
        </w:trPr>
        <w:tc>
          <w:tcPr>
            <w:tcW w:w="5272" w:type="dxa"/>
            <w:tcBorders>
              <w:left w:val="nil"/>
              <w:right w:val="nil"/>
            </w:tcBorders>
            <w:vAlign w:val="bottom"/>
          </w:tcPr>
          <w:p w14:paraId="59DEC14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Total equity</w:t>
            </w:r>
          </w:p>
        </w:tc>
        <w:tc>
          <w:tcPr>
            <w:tcW w:w="1531" w:type="dxa"/>
            <w:tcBorders>
              <w:left w:val="nil"/>
              <w:right w:val="nil"/>
            </w:tcBorders>
            <w:vAlign w:val="bottom"/>
          </w:tcPr>
          <w:p w14:paraId="1FAA83A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170,</w:t>
            </w:r>
            <w:r w:rsidRPr="00843920">
              <w:rPr>
                <w:rFonts w:ascii="Arial" w:eastAsia="Times New Roman" w:hAnsi="Arial" w:cs="Arial"/>
                <w:b/>
                <w:color w:val="auto"/>
                <w:spacing w:val="-2"/>
                <w:sz w:val="18"/>
                <w:szCs w:val="20"/>
                <w:bdr w:val="none" w:sz="0" w:space="0" w:color="auto"/>
                <w:lang w:val="ru-RU"/>
              </w:rPr>
              <w:t>359</w:t>
            </w:r>
          </w:p>
        </w:tc>
        <w:tc>
          <w:tcPr>
            <w:tcW w:w="2695" w:type="dxa"/>
            <w:tcBorders>
              <w:left w:val="nil"/>
              <w:right w:val="nil"/>
            </w:tcBorders>
            <w:vAlign w:val="bottom"/>
          </w:tcPr>
          <w:p w14:paraId="6B8A116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151,605</w:t>
            </w:r>
          </w:p>
        </w:tc>
      </w:tr>
      <w:tr w:rsidR="00843920" w:rsidRPr="00843920" w14:paraId="14611133" w14:textId="77777777" w:rsidTr="00843920">
        <w:trPr>
          <w:cantSplit/>
        </w:trPr>
        <w:tc>
          <w:tcPr>
            <w:tcW w:w="5272" w:type="dxa"/>
            <w:tcBorders>
              <w:left w:val="nil"/>
              <w:bottom w:val="single" w:sz="4" w:space="0" w:color="auto"/>
              <w:right w:val="nil"/>
            </w:tcBorders>
            <w:vAlign w:val="bottom"/>
          </w:tcPr>
          <w:p w14:paraId="3EF1F75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4A642DB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003BE23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18DA3E2A" w14:textId="77777777" w:rsidTr="00843920">
        <w:trPr>
          <w:cantSplit/>
        </w:trPr>
        <w:tc>
          <w:tcPr>
            <w:tcW w:w="5272" w:type="dxa"/>
            <w:tcBorders>
              <w:top w:val="single" w:sz="4" w:space="0" w:color="auto"/>
              <w:left w:val="nil"/>
              <w:bottom w:val="nil"/>
              <w:right w:val="nil"/>
            </w:tcBorders>
            <w:vAlign w:val="bottom"/>
          </w:tcPr>
          <w:p w14:paraId="6ADD892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3CFAA6D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76E0604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413EAEA5" w14:textId="77777777" w:rsidTr="00843920">
        <w:trPr>
          <w:cantSplit/>
        </w:trPr>
        <w:tc>
          <w:tcPr>
            <w:tcW w:w="5272" w:type="dxa"/>
            <w:tcBorders>
              <w:top w:val="nil"/>
              <w:left w:val="nil"/>
              <w:bottom w:val="nil"/>
              <w:right w:val="nil"/>
            </w:tcBorders>
            <w:vAlign w:val="bottom"/>
          </w:tcPr>
          <w:p w14:paraId="078F97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Liabilities</w:t>
            </w:r>
          </w:p>
        </w:tc>
        <w:tc>
          <w:tcPr>
            <w:tcW w:w="1531" w:type="dxa"/>
            <w:tcBorders>
              <w:left w:val="nil"/>
              <w:bottom w:val="nil"/>
              <w:right w:val="nil"/>
            </w:tcBorders>
            <w:vAlign w:val="bottom"/>
          </w:tcPr>
          <w:p w14:paraId="3530747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2695" w:type="dxa"/>
            <w:tcBorders>
              <w:left w:val="nil"/>
              <w:bottom w:val="nil"/>
              <w:right w:val="nil"/>
            </w:tcBorders>
            <w:vAlign w:val="bottom"/>
          </w:tcPr>
          <w:p w14:paraId="1EF1E72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0EE23E2E" w14:textId="77777777" w:rsidTr="00843920">
        <w:trPr>
          <w:cantSplit/>
        </w:trPr>
        <w:tc>
          <w:tcPr>
            <w:tcW w:w="5272" w:type="dxa"/>
            <w:tcBorders>
              <w:top w:val="nil"/>
              <w:left w:val="nil"/>
              <w:bottom w:val="nil"/>
              <w:right w:val="nil"/>
            </w:tcBorders>
            <w:vAlign w:val="bottom"/>
          </w:tcPr>
          <w:p w14:paraId="1CBECF1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Loans and borrowings</w:t>
            </w:r>
          </w:p>
        </w:tc>
        <w:tc>
          <w:tcPr>
            <w:tcW w:w="1531" w:type="dxa"/>
            <w:tcBorders>
              <w:top w:val="nil"/>
              <w:left w:val="nil"/>
              <w:bottom w:val="nil"/>
              <w:right w:val="nil"/>
            </w:tcBorders>
            <w:vAlign w:val="bottom"/>
          </w:tcPr>
          <w:p w14:paraId="4C59012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125,238</w:t>
            </w:r>
          </w:p>
        </w:tc>
        <w:tc>
          <w:tcPr>
            <w:tcW w:w="2695" w:type="dxa"/>
            <w:tcBorders>
              <w:top w:val="nil"/>
              <w:left w:val="nil"/>
              <w:bottom w:val="nil"/>
              <w:right w:val="nil"/>
            </w:tcBorders>
            <w:vAlign w:val="bottom"/>
          </w:tcPr>
          <w:p w14:paraId="0D8DAAE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161,710</w:t>
            </w:r>
          </w:p>
        </w:tc>
      </w:tr>
      <w:tr w:rsidR="00843920" w:rsidRPr="00843920" w14:paraId="7AA35115" w14:textId="77777777" w:rsidTr="00843920">
        <w:trPr>
          <w:cantSplit/>
        </w:trPr>
        <w:tc>
          <w:tcPr>
            <w:tcW w:w="5272" w:type="dxa"/>
            <w:tcBorders>
              <w:top w:val="nil"/>
              <w:left w:val="nil"/>
              <w:right w:val="nil"/>
            </w:tcBorders>
            <w:vAlign w:val="bottom"/>
          </w:tcPr>
          <w:p w14:paraId="1878318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Deferred tax liabilities</w:t>
            </w:r>
          </w:p>
        </w:tc>
        <w:tc>
          <w:tcPr>
            <w:tcW w:w="1531" w:type="dxa"/>
            <w:tcBorders>
              <w:left w:val="nil"/>
              <w:right w:val="nil"/>
            </w:tcBorders>
          </w:tcPr>
          <w:p w14:paraId="5334685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12,</w:t>
            </w:r>
            <w:r w:rsidRPr="00843920">
              <w:rPr>
                <w:rFonts w:ascii="Arial" w:eastAsia="Times New Roman" w:hAnsi="Arial" w:cs="Arial"/>
                <w:color w:val="auto"/>
                <w:spacing w:val="-2"/>
                <w:sz w:val="18"/>
                <w:szCs w:val="20"/>
                <w:bdr w:val="none" w:sz="0" w:space="0" w:color="auto"/>
                <w:lang w:val="ru-RU"/>
              </w:rPr>
              <w:t>776</w:t>
            </w:r>
          </w:p>
        </w:tc>
        <w:tc>
          <w:tcPr>
            <w:tcW w:w="2695" w:type="dxa"/>
            <w:tcBorders>
              <w:left w:val="nil"/>
              <w:right w:val="nil"/>
            </w:tcBorders>
            <w:vAlign w:val="bottom"/>
          </w:tcPr>
          <w:p w14:paraId="1C9426D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13,603</w:t>
            </w:r>
          </w:p>
        </w:tc>
      </w:tr>
      <w:tr w:rsidR="00843920" w:rsidRPr="00843920" w14:paraId="3645A4C5" w14:textId="77777777" w:rsidTr="00843920">
        <w:trPr>
          <w:cantSplit/>
        </w:trPr>
        <w:tc>
          <w:tcPr>
            <w:tcW w:w="5272" w:type="dxa"/>
            <w:tcBorders>
              <w:top w:val="nil"/>
              <w:left w:val="nil"/>
              <w:bottom w:val="nil"/>
              <w:right w:val="nil"/>
            </w:tcBorders>
            <w:vAlign w:val="bottom"/>
          </w:tcPr>
          <w:p w14:paraId="666A954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Lease liabilities</w:t>
            </w:r>
          </w:p>
        </w:tc>
        <w:tc>
          <w:tcPr>
            <w:tcW w:w="1531" w:type="dxa"/>
            <w:tcBorders>
              <w:top w:val="nil"/>
              <w:left w:val="nil"/>
              <w:right w:val="nil"/>
            </w:tcBorders>
          </w:tcPr>
          <w:p w14:paraId="5AE7BD8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2,906</w:t>
            </w:r>
          </w:p>
        </w:tc>
        <w:tc>
          <w:tcPr>
            <w:tcW w:w="2695" w:type="dxa"/>
            <w:tcBorders>
              <w:top w:val="nil"/>
              <w:left w:val="nil"/>
              <w:right w:val="nil"/>
            </w:tcBorders>
          </w:tcPr>
          <w:p w14:paraId="075DD87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2,818</w:t>
            </w:r>
          </w:p>
        </w:tc>
      </w:tr>
      <w:tr w:rsidR="00843920" w:rsidRPr="00843920" w14:paraId="7292DA5E" w14:textId="77777777" w:rsidTr="00843920">
        <w:trPr>
          <w:cantSplit/>
        </w:trPr>
        <w:tc>
          <w:tcPr>
            <w:tcW w:w="5272" w:type="dxa"/>
            <w:tcBorders>
              <w:top w:val="nil"/>
              <w:left w:val="nil"/>
              <w:bottom w:val="nil"/>
              <w:right w:val="nil"/>
            </w:tcBorders>
            <w:vAlign w:val="bottom"/>
          </w:tcPr>
          <w:p w14:paraId="28CEF01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Defined benefit obligations</w:t>
            </w:r>
          </w:p>
        </w:tc>
        <w:tc>
          <w:tcPr>
            <w:tcW w:w="1531" w:type="dxa"/>
            <w:tcBorders>
              <w:top w:val="nil"/>
              <w:left w:val="nil"/>
              <w:right w:val="nil"/>
            </w:tcBorders>
          </w:tcPr>
          <w:p w14:paraId="58833E5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1,134</w:t>
            </w:r>
          </w:p>
        </w:tc>
        <w:tc>
          <w:tcPr>
            <w:tcW w:w="2695" w:type="dxa"/>
            <w:tcBorders>
              <w:top w:val="nil"/>
              <w:left w:val="nil"/>
              <w:right w:val="nil"/>
            </w:tcBorders>
          </w:tcPr>
          <w:p w14:paraId="3DFB73B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1,129</w:t>
            </w:r>
          </w:p>
        </w:tc>
      </w:tr>
      <w:tr w:rsidR="00843920" w:rsidRPr="00843920" w14:paraId="040029B1" w14:textId="77777777" w:rsidTr="00843920">
        <w:trPr>
          <w:cantSplit/>
        </w:trPr>
        <w:tc>
          <w:tcPr>
            <w:tcW w:w="5272" w:type="dxa"/>
            <w:tcBorders>
              <w:top w:val="nil"/>
              <w:left w:val="nil"/>
              <w:bottom w:val="single" w:sz="4" w:space="0" w:color="auto"/>
              <w:right w:val="nil"/>
            </w:tcBorders>
            <w:vAlign w:val="bottom"/>
          </w:tcPr>
          <w:p w14:paraId="06D02C6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055B441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194EEDA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7DC77758" w14:textId="77777777" w:rsidTr="00843920">
        <w:trPr>
          <w:cantSplit/>
        </w:trPr>
        <w:tc>
          <w:tcPr>
            <w:tcW w:w="5272" w:type="dxa"/>
            <w:tcBorders>
              <w:top w:val="single" w:sz="4" w:space="0" w:color="auto"/>
              <w:left w:val="nil"/>
              <w:right w:val="nil"/>
            </w:tcBorders>
            <w:vAlign w:val="bottom"/>
          </w:tcPr>
          <w:p w14:paraId="154C0EB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6BEE1D8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28EF421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1B04BC54" w14:textId="77777777" w:rsidTr="00843920">
        <w:trPr>
          <w:cantSplit/>
        </w:trPr>
        <w:tc>
          <w:tcPr>
            <w:tcW w:w="5272" w:type="dxa"/>
            <w:tcBorders>
              <w:left w:val="nil"/>
              <w:right w:val="nil"/>
            </w:tcBorders>
            <w:vAlign w:val="bottom"/>
          </w:tcPr>
          <w:p w14:paraId="683A68F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Non-current liabilities</w:t>
            </w:r>
          </w:p>
        </w:tc>
        <w:tc>
          <w:tcPr>
            <w:tcW w:w="1531" w:type="dxa"/>
            <w:tcBorders>
              <w:left w:val="nil"/>
              <w:right w:val="nil"/>
            </w:tcBorders>
            <w:vAlign w:val="bottom"/>
          </w:tcPr>
          <w:p w14:paraId="20B1EF5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14</w:t>
            </w:r>
            <w:r w:rsidRPr="00843920">
              <w:rPr>
                <w:rFonts w:ascii="Arial" w:eastAsia="Times New Roman" w:hAnsi="Arial" w:cs="Arial"/>
                <w:b/>
                <w:color w:val="auto"/>
                <w:spacing w:val="-2"/>
                <w:sz w:val="18"/>
                <w:szCs w:val="20"/>
                <w:bdr w:val="none" w:sz="0" w:space="0" w:color="auto"/>
                <w:lang w:val="ru-RU"/>
              </w:rPr>
              <w:t>2</w:t>
            </w:r>
            <w:r w:rsidRPr="00843920">
              <w:rPr>
                <w:rFonts w:ascii="Arial" w:eastAsia="Times New Roman" w:hAnsi="Arial" w:cs="Arial"/>
                <w:b/>
                <w:color w:val="auto"/>
                <w:spacing w:val="-2"/>
                <w:sz w:val="18"/>
                <w:szCs w:val="20"/>
                <w:bdr w:val="none" w:sz="0" w:space="0" w:color="auto"/>
              </w:rPr>
              <w:t>,</w:t>
            </w:r>
            <w:r w:rsidRPr="00843920">
              <w:rPr>
                <w:rFonts w:ascii="Arial" w:eastAsia="Times New Roman" w:hAnsi="Arial" w:cs="Arial"/>
                <w:b/>
                <w:color w:val="auto"/>
                <w:spacing w:val="-2"/>
                <w:sz w:val="18"/>
                <w:szCs w:val="20"/>
                <w:bdr w:val="none" w:sz="0" w:space="0" w:color="auto"/>
                <w:lang w:val="ru-RU"/>
              </w:rPr>
              <w:t>054</w:t>
            </w:r>
          </w:p>
        </w:tc>
        <w:tc>
          <w:tcPr>
            <w:tcW w:w="2695" w:type="dxa"/>
            <w:tcBorders>
              <w:left w:val="nil"/>
              <w:right w:val="nil"/>
            </w:tcBorders>
            <w:vAlign w:val="bottom"/>
          </w:tcPr>
          <w:p w14:paraId="6537715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179,2</w:t>
            </w:r>
            <w:r w:rsidRPr="00843920">
              <w:rPr>
                <w:rFonts w:ascii="Arial" w:eastAsia="Times New Roman" w:hAnsi="Arial" w:cs="Arial"/>
                <w:b/>
                <w:color w:val="auto"/>
                <w:spacing w:val="-2"/>
                <w:sz w:val="18"/>
                <w:szCs w:val="20"/>
                <w:bdr w:val="none" w:sz="0" w:space="0" w:color="auto"/>
                <w:lang w:val="ru-RU"/>
              </w:rPr>
              <w:t>60</w:t>
            </w:r>
          </w:p>
        </w:tc>
      </w:tr>
      <w:tr w:rsidR="00843920" w:rsidRPr="00843920" w14:paraId="2AFE6AF8" w14:textId="77777777" w:rsidTr="00843920">
        <w:trPr>
          <w:cantSplit/>
        </w:trPr>
        <w:tc>
          <w:tcPr>
            <w:tcW w:w="5272" w:type="dxa"/>
            <w:tcBorders>
              <w:left w:val="nil"/>
              <w:bottom w:val="single" w:sz="4" w:space="0" w:color="auto"/>
              <w:right w:val="nil"/>
            </w:tcBorders>
            <w:vAlign w:val="bottom"/>
          </w:tcPr>
          <w:p w14:paraId="1FB9973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0530758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2F1A9CC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07389333" w14:textId="77777777" w:rsidTr="00843920">
        <w:trPr>
          <w:cantSplit/>
        </w:trPr>
        <w:tc>
          <w:tcPr>
            <w:tcW w:w="5272" w:type="dxa"/>
            <w:tcBorders>
              <w:top w:val="single" w:sz="4" w:space="0" w:color="auto"/>
              <w:left w:val="nil"/>
              <w:bottom w:val="nil"/>
              <w:right w:val="nil"/>
            </w:tcBorders>
            <w:vAlign w:val="bottom"/>
          </w:tcPr>
          <w:p w14:paraId="7D5A87A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bottom w:val="nil"/>
              <w:right w:val="nil"/>
            </w:tcBorders>
            <w:vAlign w:val="bottom"/>
          </w:tcPr>
          <w:p w14:paraId="176DAC1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bottom w:val="nil"/>
              <w:right w:val="nil"/>
            </w:tcBorders>
            <w:vAlign w:val="bottom"/>
          </w:tcPr>
          <w:p w14:paraId="656FA5C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122BAE3C" w14:textId="77777777" w:rsidTr="00843920">
        <w:trPr>
          <w:cantSplit/>
        </w:trPr>
        <w:tc>
          <w:tcPr>
            <w:tcW w:w="5272" w:type="dxa"/>
            <w:tcBorders>
              <w:top w:val="nil"/>
              <w:left w:val="nil"/>
              <w:bottom w:val="nil"/>
              <w:right w:val="nil"/>
            </w:tcBorders>
            <w:vAlign w:val="bottom"/>
          </w:tcPr>
          <w:p w14:paraId="2073CA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Loans and borrowings</w:t>
            </w:r>
          </w:p>
        </w:tc>
        <w:tc>
          <w:tcPr>
            <w:tcW w:w="1531" w:type="dxa"/>
            <w:tcBorders>
              <w:top w:val="nil"/>
              <w:left w:val="nil"/>
              <w:bottom w:val="nil"/>
              <w:right w:val="nil"/>
            </w:tcBorders>
          </w:tcPr>
          <w:p w14:paraId="5700B72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156,053</w:t>
            </w:r>
          </w:p>
        </w:tc>
        <w:tc>
          <w:tcPr>
            <w:tcW w:w="2695" w:type="dxa"/>
            <w:tcBorders>
              <w:top w:val="nil"/>
              <w:left w:val="nil"/>
              <w:bottom w:val="nil"/>
              <w:right w:val="nil"/>
            </w:tcBorders>
          </w:tcPr>
          <w:p w14:paraId="517F0D3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86,429</w:t>
            </w:r>
          </w:p>
        </w:tc>
      </w:tr>
      <w:tr w:rsidR="00843920" w:rsidRPr="00843920" w14:paraId="157BE2F5" w14:textId="77777777" w:rsidTr="00843920">
        <w:trPr>
          <w:cantSplit/>
        </w:trPr>
        <w:tc>
          <w:tcPr>
            <w:tcW w:w="5272" w:type="dxa"/>
            <w:tcBorders>
              <w:top w:val="nil"/>
              <w:left w:val="nil"/>
              <w:right w:val="nil"/>
            </w:tcBorders>
            <w:vAlign w:val="bottom"/>
          </w:tcPr>
          <w:p w14:paraId="30C7FBC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Trade and other payables</w:t>
            </w:r>
          </w:p>
        </w:tc>
        <w:tc>
          <w:tcPr>
            <w:tcW w:w="1531" w:type="dxa"/>
            <w:tcBorders>
              <w:top w:val="nil"/>
              <w:left w:val="nil"/>
              <w:right w:val="nil"/>
            </w:tcBorders>
          </w:tcPr>
          <w:p w14:paraId="2B1F26E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44,864</w:t>
            </w:r>
          </w:p>
        </w:tc>
        <w:tc>
          <w:tcPr>
            <w:tcW w:w="2695" w:type="dxa"/>
            <w:tcBorders>
              <w:top w:val="nil"/>
              <w:left w:val="nil"/>
              <w:right w:val="nil"/>
            </w:tcBorders>
          </w:tcPr>
          <w:p w14:paraId="6523478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42,653</w:t>
            </w:r>
          </w:p>
        </w:tc>
      </w:tr>
      <w:tr w:rsidR="00843920" w:rsidRPr="00843920" w14:paraId="5F70E865" w14:textId="77777777" w:rsidTr="00843920">
        <w:trPr>
          <w:cantSplit/>
        </w:trPr>
        <w:tc>
          <w:tcPr>
            <w:tcW w:w="5272" w:type="dxa"/>
            <w:tcBorders>
              <w:top w:val="nil"/>
              <w:left w:val="nil"/>
              <w:right w:val="nil"/>
            </w:tcBorders>
            <w:vAlign w:val="bottom"/>
          </w:tcPr>
          <w:p w14:paraId="4CBE8D7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Dividends payable</w:t>
            </w:r>
          </w:p>
        </w:tc>
        <w:tc>
          <w:tcPr>
            <w:tcW w:w="1531" w:type="dxa"/>
            <w:tcBorders>
              <w:top w:val="nil"/>
              <w:left w:val="nil"/>
              <w:right w:val="nil"/>
            </w:tcBorders>
          </w:tcPr>
          <w:p w14:paraId="2F00035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17,141</w:t>
            </w:r>
          </w:p>
        </w:tc>
        <w:tc>
          <w:tcPr>
            <w:tcW w:w="2695" w:type="dxa"/>
            <w:tcBorders>
              <w:top w:val="nil"/>
              <w:left w:val="nil"/>
              <w:right w:val="nil"/>
            </w:tcBorders>
            <w:vAlign w:val="bottom"/>
          </w:tcPr>
          <w:p w14:paraId="2E8C825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54,919</w:t>
            </w:r>
          </w:p>
        </w:tc>
      </w:tr>
      <w:tr w:rsidR="00843920" w:rsidRPr="00843920" w14:paraId="055EE5CA" w14:textId="77777777" w:rsidTr="00843920">
        <w:trPr>
          <w:cantSplit/>
        </w:trPr>
        <w:tc>
          <w:tcPr>
            <w:tcW w:w="5272" w:type="dxa"/>
            <w:tcBorders>
              <w:top w:val="nil"/>
              <w:left w:val="nil"/>
              <w:bottom w:val="nil"/>
              <w:right w:val="nil"/>
            </w:tcBorders>
            <w:vAlign w:val="bottom"/>
          </w:tcPr>
          <w:p w14:paraId="09904BA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VAT and other taxes payable</w:t>
            </w:r>
          </w:p>
        </w:tc>
        <w:tc>
          <w:tcPr>
            <w:tcW w:w="1531" w:type="dxa"/>
            <w:tcBorders>
              <w:top w:val="nil"/>
              <w:left w:val="nil"/>
              <w:bottom w:val="nil"/>
              <w:right w:val="nil"/>
            </w:tcBorders>
          </w:tcPr>
          <w:p w14:paraId="104C0F4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3,04</w:t>
            </w:r>
            <w:r w:rsidRPr="00843920">
              <w:rPr>
                <w:rFonts w:ascii="Arial" w:eastAsia="Times New Roman" w:hAnsi="Arial" w:cs="Arial"/>
                <w:color w:val="auto"/>
                <w:spacing w:val="-2"/>
                <w:sz w:val="18"/>
                <w:szCs w:val="20"/>
                <w:bdr w:val="none" w:sz="0" w:space="0" w:color="auto"/>
                <w:lang w:val="ru-RU"/>
              </w:rPr>
              <w:t>5</w:t>
            </w:r>
          </w:p>
        </w:tc>
        <w:tc>
          <w:tcPr>
            <w:tcW w:w="2695" w:type="dxa"/>
            <w:tcBorders>
              <w:top w:val="nil"/>
              <w:left w:val="nil"/>
              <w:bottom w:val="nil"/>
              <w:right w:val="nil"/>
            </w:tcBorders>
          </w:tcPr>
          <w:p w14:paraId="50F2958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2,799</w:t>
            </w:r>
          </w:p>
        </w:tc>
      </w:tr>
      <w:tr w:rsidR="00843920" w:rsidRPr="00843920" w14:paraId="70AC4C1D" w14:textId="77777777" w:rsidTr="00843920">
        <w:trPr>
          <w:cantSplit/>
        </w:trPr>
        <w:tc>
          <w:tcPr>
            <w:tcW w:w="5272" w:type="dxa"/>
            <w:tcBorders>
              <w:top w:val="nil"/>
              <w:left w:val="nil"/>
              <w:bottom w:val="nil"/>
              <w:right w:val="nil"/>
            </w:tcBorders>
            <w:vAlign w:val="bottom"/>
          </w:tcPr>
          <w:p w14:paraId="24A21B0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Lease liabilities</w:t>
            </w:r>
            <w:r w:rsidRPr="00843920" w:rsidDel="00306420">
              <w:rPr>
                <w:rFonts w:ascii="Arial" w:eastAsia="Times New Roman" w:hAnsi="Arial" w:cs="Arial"/>
                <w:color w:val="auto"/>
                <w:spacing w:val="-2"/>
                <w:sz w:val="18"/>
                <w:szCs w:val="18"/>
                <w:bdr w:val="none" w:sz="0" w:space="0" w:color="auto"/>
                <w:lang w:val="en-GB"/>
              </w:rPr>
              <w:t xml:space="preserve"> </w:t>
            </w:r>
          </w:p>
        </w:tc>
        <w:tc>
          <w:tcPr>
            <w:tcW w:w="1531" w:type="dxa"/>
            <w:tcBorders>
              <w:top w:val="nil"/>
              <w:left w:val="nil"/>
              <w:right w:val="nil"/>
            </w:tcBorders>
          </w:tcPr>
          <w:p w14:paraId="0EBCF04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1,280</w:t>
            </w:r>
          </w:p>
        </w:tc>
        <w:tc>
          <w:tcPr>
            <w:tcW w:w="2695" w:type="dxa"/>
            <w:tcBorders>
              <w:top w:val="nil"/>
              <w:left w:val="nil"/>
              <w:right w:val="nil"/>
            </w:tcBorders>
          </w:tcPr>
          <w:p w14:paraId="0159E4D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1,413</w:t>
            </w:r>
          </w:p>
        </w:tc>
      </w:tr>
      <w:tr w:rsidR="00843920" w:rsidRPr="00843920" w14:paraId="45E48E8D" w14:textId="77777777" w:rsidTr="00843920">
        <w:trPr>
          <w:cantSplit/>
        </w:trPr>
        <w:tc>
          <w:tcPr>
            <w:tcW w:w="5272" w:type="dxa"/>
            <w:tcBorders>
              <w:top w:val="nil"/>
              <w:left w:val="nil"/>
              <w:bottom w:val="nil"/>
              <w:right w:val="nil"/>
            </w:tcBorders>
            <w:vAlign w:val="bottom"/>
          </w:tcPr>
          <w:p w14:paraId="1CF0F01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Income tax payable</w:t>
            </w:r>
          </w:p>
        </w:tc>
        <w:tc>
          <w:tcPr>
            <w:tcW w:w="1531" w:type="dxa"/>
            <w:tcBorders>
              <w:top w:val="nil"/>
              <w:left w:val="nil"/>
              <w:right w:val="nil"/>
            </w:tcBorders>
          </w:tcPr>
          <w:p w14:paraId="0A67250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rPr>
              <w:t>25</w:t>
            </w:r>
            <w:r w:rsidRPr="00843920">
              <w:rPr>
                <w:rFonts w:ascii="Arial" w:eastAsia="Times New Roman" w:hAnsi="Arial" w:cs="Arial"/>
                <w:color w:val="auto"/>
                <w:spacing w:val="-2"/>
                <w:sz w:val="18"/>
                <w:szCs w:val="20"/>
                <w:bdr w:val="none" w:sz="0" w:space="0" w:color="auto"/>
                <w:lang w:val="ru-RU"/>
              </w:rPr>
              <w:t>9</w:t>
            </w:r>
          </w:p>
        </w:tc>
        <w:tc>
          <w:tcPr>
            <w:tcW w:w="2695" w:type="dxa"/>
            <w:tcBorders>
              <w:top w:val="nil"/>
              <w:left w:val="nil"/>
              <w:right w:val="nil"/>
            </w:tcBorders>
            <w:vAlign w:val="bottom"/>
          </w:tcPr>
          <w:p w14:paraId="32035BC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208</w:t>
            </w:r>
          </w:p>
        </w:tc>
      </w:tr>
      <w:tr w:rsidR="00843920" w:rsidRPr="00843920" w14:paraId="75857DED" w14:textId="77777777" w:rsidTr="00843920">
        <w:trPr>
          <w:cantSplit/>
        </w:trPr>
        <w:tc>
          <w:tcPr>
            <w:tcW w:w="5272" w:type="dxa"/>
            <w:tcBorders>
              <w:top w:val="nil"/>
              <w:left w:val="nil"/>
              <w:bottom w:val="nil"/>
              <w:right w:val="nil"/>
            </w:tcBorders>
            <w:vAlign w:val="bottom"/>
          </w:tcPr>
          <w:p w14:paraId="6C3D85F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Windfall tax payable</w:t>
            </w:r>
          </w:p>
        </w:tc>
        <w:tc>
          <w:tcPr>
            <w:tcW w:w="1531" w:type="dxa"/>
            <w:tcBorders>
              <w:top w:val="nil"/>
              <w:left w:val="nil"/>
              <w:right w:val="nil"/>
            </w:tcBorders>
          </w:tcPr>
          <w:p w14:paraId="107F0AC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w:t>
            </w:r>
          </w:p>
        </w:tc>
        <w:tc>
          <w:tcPr>
            <w:tcW w:w="2695" w:type="dxa"/>
            <w:tcBorders>
              <w:top w:val="nil"/>
              <w:left w:val="nil"/>
              <w:right w:val="nil"/>
            </w:tcBorders>
            <w:vAlign w:val="bottom"/>
          </w:tcPr>
          <w:p w14:paraId="74CCF2A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6,355</w:t>
            </w:r>
          </w:p>
        </w:tc>
      </w:tr>
      <w:tr w:rsidR="00843920" w:rsidRPr="00843920" w14:paraId="12F9F4A0" w14:textId="77777777" w:rsidTr="00843920">
        <w:trPr>
          <w:cantSplit/>
        </w:trPr>
        <w:tc>
          <w:tcPr>
            <w:tcW w:w="5272" w:type="dxa"/>
            <w:tcBorders>
              <w:top w:val="nil"/>
              <w:left w:val="nil"/>
              <w:bottom w:val="single" w:sz="4" w:space="0" w:color="auto"/>
              <w:right w:val="nil"/>
            </w:tcBorders>
            <w:vAlign w:val="bottom"/>
          </w:tcPr>
          <w:p w14:paraId="1D3CF32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nil"/>
              <w:left w:val="nil"/>
              <w:bottom w:val="single" w:sz="4" w:space="0" w:color="auto"/>
              <w:right w:val="nil"/>
            </w:tcBorders>
            <w:vAlign w:val="bottom"/>
          </w:tcPr>
          <w:p w14:paraId="6CC6DAA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nil"/>
              <w:left w:val="nil"/>
              <w:bottom w:val="single" w:sz="4" w:space="0" w:color="auto"/>
              <w:right w:val="nil"/>
            </w:tcBorders>
            <w:vAlign w:val="bottom"/>
          </w:tcPr>
          <w:p w14:paraId="23BFDFD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408E610F" w14:textId="77777777" w:rsidTr="00843920">
        <w:trPr>
          <w:cantSplit/>
        </w:trPr>
        <w:tc>
          <w:tcPr>
            <w:tcW w:w="5272" w:type="dxa"/>
            <w:tcBorders>
              <w:top w:val="single" w:sz="4" w:space="0" w:color="auto"/>
              <w:left w:val="nil"/>
              <w:bottom w:val="nil"/>
              <w:right w:val="nil"/>
            </w:tcBorders>
            <w:vAlign w:val="bottom"/>
          </w:tcPr>
          <w:p w14:paraId="1A2A4B3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65D2281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4A58825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2C5EB876" w14:textId="77777777" w:rsidTr="00843920">
        <w:trPr>
          <w:cantSplit/>
        </w:trPr>
        <w:tc>
          <w:tcPr>
            <w:tcW w:w="5272" w:type="dxa"/>
            <w:tcBorders>
              <w:top w:val="nil"/>
              <w:left w:val="nil"/>
              <w:right w:val="nil"/>
            </w:tcBorders>
            <w:vAlign w:val="bottom"/>
          </w:tcPr>
          <w:p w14:paraId="312E618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Current liabilities</w:t>
            </w:r>
          </w:p>
        </w:tc>
        <w:tc>
          <w:tcPr>
            <w:tcW w:w="1531" w:type="dxa"/>
            <w:tcBorders>
              <w:left w:val="nil"/>
              <w:right w:val="nil"/>
            </w:tcBorders>
            <w:vAlign w:val="bottom"/>
          </w:tcPr>
          <w:p w14:paraId="1962FA9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222,642</w:t>
            </w:r>
          </w:p>
        </w:tc>
        <w:tc>
          <w:tcPr>
            <w:tcW w:w="2695" w:type="dxa"/>
            <w:tcBorders>
              <w:left w:val="nil"/>
              <w:right w:val="nil"/>
            </w:tcBorders>
            <w:vAlign w:val="bottom"/>
          </w:tcPr>
          <w:p w14:paraId="0533B97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194,776</w:t>
            </w:r>
          </w:p>
        </w:tc>
      </w:tr>
      <w:tr w:rsidR="00843920" w:rsidRPr="00843920" w14:paraId="1E72361F" w14:textId="77777777" w:rsidTr="00843920">
        <w:trPr>
          <w:cantSplit/>
        </w:trPr>
        <w:tc>
          <w:tcPr>
            <w:tcW w:w="5272" w:type="dxa"/>
            <w:tcBorders>
              <w:left w:val="nil"/>
              <w:bottom w:val="single" w:sz="4" w:space="0" w:color="auto"/>
              <w:right w:val="nil"/>
            </w:tcBorders>
            <w:vAlign w:val="bottom"/>
          </w:tcPr>
          <w:p w14:paraId="48D7637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4" w:space="0" w:color="auto"/>
              <w:right w:val="nil"/>
            </w:tcBorders>
            <w:vAlign w:val="bottom"/>
          </w:tcPr>
          <w:p w14:paraId="298D69F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left w:val="nil"/>
              <w:bottom w:val="single" w:sz="4" w:space="0" w:color="auto"/>
              <w:right w:val="nil"/>
            </w:tcBorders>
            <w:vAlign w:val="bottom"/>
          </w:tcPr>
          <w:p w14:paraId="31261EA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4BFF92A5" w14:textId="77777777" w:rsidTr="00843920">
        <w:trPr>
          <w:cantSplit/>
        </w:trPr>
        <w:tc>
          <w:tcPr>
            <w:tcW w:w="5272" w:type="dxa"/>
            <w:tcBorders>
              <w:top w:val="single" w:sz="4" w:space="0" w:color="auto"/>
              <w:left w:val="nil"/>
              <w:right w:val="nil"/>
            </w:tcBorders>
            <w:vAlign w:val="bottom"/>
          </w:tcPr>
          <w:p w14:paraId="1E93141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top w:val="single" w:sz="4" w:space="0" w:color="auto"/>
              <w:left w:val="nil"/>
              <w:right w:val="nil"/>
            </w:tcBorders>
            <w:vAlign w:val="bottom"/>
          </w:tcPr>
          <w:p w14:paraId="7B36F56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c>
          <w:tcPr>
            <w:tcW w:w="2695" w:type="dxa"/>
            <w:tcBorders>
              <w:top w:val="single" w:sz="4" w:space="0" w:color="auto"/>
              <w:left w:val="nil"/>
              <w:right w:val="nil"/>
            </w:tcBorders>
            <w:vAlign w:val="bottom"/>
          </w:tcPr>
          <w:p w14:paraId="067184C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r w:rsidR="00843920" w:rsidRPr="00843920" w14:paraId="03D12153" w14:textId="77777777" w:rsidTr="00843920">
        <w:trPr>
          <w:cantSplit/>
        </w:trPr>
        <w:tc>
          <w:tcPr>
            <w:tcW w:w="5272" w:type="dxa"/>
            <w:tcBorders>
              <w:left w:val="nil"/>
              <w:right w:val="nil"/>
            </w:tcBorders>
            <w:vAlign w:val="bottom"/>
          </w:tcPr>
          <w:p w14:paraId="26A9A14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Total equity and liabilities</w:t>
            </w:r>
          </w:p>
        </w:tc>
        <w:tc>
          <w:tcPr>
            <w:tcW w:w="1531" w:type="dxa"/>
            <w:tcBorders>
              <w:left w:val="nil"/>
              <w:right w:val="nil"/>
            </w:tcBorders>
            <w:vAlign w:val="bottom"/>
          </w:tcPr>
          <w:p w14:paraId="49A387C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53</w:t>
            </w:r>
            <w:r w:rsidRPr="00843920">
              <w:rPr>
                <w:rFonts w:ascii="Arial" w:eastAsia="Times New Roman" w:hAnsi="Arial" w:cs="Arial"/>
                <w:b/>
                <w:color w:val="auto"/>
                <w:spacing w:val="-2"/>
                <w:sz w:val="18"/>
                <w:szCs w:val="20"/>
                <w:bdr w:val="none" w:sz="0" w:space="0" w:color="auto"/>
                <w:lang w:val="ru-RU"/>
              </w:rPr>
              <w:t>5</w:t>
            </w:r>
            <w:r w:rsidRPr="00843920">
              <w:rPr>
                <w:rFonts w:ascii="Arial" w:eastAsia="Times New Roman" w:hAnsi="Arial" w:cs="Arial"/>
                <w:b/>
                <w:color w:val="auto"/>
                <w:spacing w:val="-2"/>
                <w:sz w:val="18"/>
                <w:szCs w:val="20"/>
                <w:bdr w:val="none" w:sz="0" w:space="0" w:color="auto"/>
              </w:rPr>
              <w:t>,</w:t>
            </w:r>
            <w:r w:rsidRPr="00843920">
              <w:rPr>
                <w:rFonts w:ascii="Arial" w:eastAsia="Times New Roman" w:hAnsi="Arial" w:cs="Arial"/>
                <w:b/>
                <w:color w:val="auto"/>
                <w:spacing w:val="-2"/>
                <w:sz w:val="18"/>
                <w:szCs w:val="20"/>
                <w:bdr w:val="none" w:sz="0" w:space="0" w:color="auto"/>
                <w:lang w:val="ru-RU"/>
              </w:rPr>
              <w:t>055</w:t>
            </w:r>
          </w:p>
        </w:tc>
        <w:tc>
          <w:tcPr>
            <w:tcW w:w="2695" w:type="dxa"/>
            <w:tcBorders>
              <w:left w:val="nil"/>
              <w:right w:val="nil"/>
            </w:tcBorders>
            <w:vAlign w:val="bottom"/>
          </w:tcPr>
          <w:p w14:paraId="219C4A0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rPr>
            </w:pPr>
            <w:r w:rsidRPr="00843920">
              <w:rPr>
                <w:rFonts w:ascii="Arial" w:eastAsia="Times New Roman" w:hAnsi="Arial" w:cs="Arial"/>
                <w:b/>
                <w:color w:val="auto"/>
                <w:spacing w:val="-2"/>
                <w:sz w:val="18"/>
                <w:szCs w:val="20"/>
                <w:bdr w:val="none" w:sz="0" w:space="0" w:color="auto"/>
              </w:rPr>
              <w:t>525,641</w:t>
            </w:r>
          </w:p>
        </w:tc>
      </w:tr>
      <w:tr w:rsidR="00843920" w:rsidRPr="00843920" w14:paraId="7F91A9AC" w14:textId="77777777" w:rsidTr="00843920">
        <w:trPr>
          <w:cantSplit/>
        </w:trPr>
        <w:tc>
          <w:tcPr>
            <w:tcW w:w="5272" w:type="dxa"/>
            <w:tcBorders>
              <w:left w:val="nil"/>
              <w:bottom w:val="single" w:sz="12" w:space="0" w:color="auto"/>
              <w:right w:val="nil"/>
            </w:tcBorders>
            <w:vAlign w:val="bottom"/>
          </w:tcPr>
          <w:p w14:paraId="08F82FC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31" w:type="dxa"/>
            <w:tcBorders>
              <w:left w:val="nil"/>
              <w:bottom w:val="single" w:sz="12" w:space="0" w:color="auto"/>
              <w:right w:val="nil"/>
            </w:tcBorders>
            <w:vAlign w:val="bottom"/>
          </w:tcPr>
          <w:p w14:paraId="116B963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highlight w:val="yellow"/>
                <w:bdr w:val="none" w:sz="0" w:space="0" w:color="auto"/>
                <w:lang w:val="ru-RU"/>
              </w:rPr>
            </w:pPr>
          </w:p>
        </w:tc>
        <w:tc>
          <w:tcPr>
            <w:tcW w:w="2695" w:type="dxa"/>
            <w:tcBorders>
              <w:left w:val="nil"/>
              <w:bottom w:val="single" w:sz="12" w:space="0" w:color="auto"/>
              <w:right w:val="nil"/>
            </w:tcBorders>
            <w:vAlign w:val="bottom"/>
          </w:tcPr>
          <w:p w14:paraId="676DEFB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highlight w:val="green"/>
                <w:bdr w:val="none" w:sz="0" w:space="0" w:color="auto"/>
                <w:lang w:val="ru-RU"/>
              </w:rPr>
            </w:pPr>
          </w:p>
        </w:tc>
      </w:tr>
    </w:tbl>
    <w:p w14:paraId="5DA250D6" w14:textId="77777777" w:rsidR="00843920" w:rsidRDefault="00843920" w:rsidP="00843920">
      <w:pPr>
        <w:widowControl w:val="0"/>
        <w:autoSpaceDE w:val="0"/>
        <w:autoSpaceDN w:val="0"/>
        <w:adjustRightInd w:val="0"/>
        <w:spacing w:before="120" w:after="120"/>
        <w:jc w:val="both"/>
        <w:rPr>
          <w:rFonts w:ascii="Arial" w:hAnsi="Arial" w:cs="Arial"/>
          <w:i/>
          <w:iCs/>
          <w:sz w:val="18"/>
          <w:szCs w:val="16"/>
          <w:highlight w:val="yellow"/>
          <w:lang w:val="ru-RU"/>
        </w:rPr>
        <w:sectPr w:rsidR="00843920" w:rsidSect="00735049">
          <w:headerReference w:type="default" r:id="rId15"/>
          <w:pgSz w:w="11906" w:h="16838"/>
          <w:pgMar w:top="1440" w:right="1077" w:bottom="1077" w:left="1440" w:header="709" w:footer="709" w:gutter="0"/>
          <w:cols w:space="708"/>
          <w:docGrid w:linePitch="360"/>
        </w:sectPr>
      </w:pPr>
    </w:p>
    <w:p w14:paraId="5D3F003A" w14:textId="498095E4" w:rsidR="00A34B41" w:rsidRDefault="00A34B41" w:rsidP="00843920">
      <w:pPr>
        <w:widowControl w:val="0"/>
        <w:autoSpaceDE w:val="0"/>
        <w:autoSpaceDN w:val="0"/>
        <w:adjustRightInd w:val="0"/>
        <w:spacing w:before="120" w:after="120"/>
        <w:jc w:val="both"/>
        <w:rPr>
          <w:rFonts w:ascii="Arial" w:hAnsi="Arial" w:cs="Arial"/>
          <w:i/>
          <w:iCs/>
          <w:sz w:val="18"/>
          <w:szCs w:val="16"/>
          <w:highlight w:val="yellow"/>
          <w:lang w:val="ru-RU"/>
        </w:rPr>
      </w:pPr>
    </w:p>
    <w:tbl>
      <w:tblPr>
        <w:tblW w:w="4982" w:type="pct"/>
        <w:tblLayout w:type="fixed"/>
        <w:tblCellMar>
          <w:left w:w="85" w:type="dxa"/>
          <w:right w:w="85" w:type="dxa"/>
        </w:tblCellMar>
        <w:tblLook w:val="0000" w:firstRow="0" w:lastRow="0" w:firstColumn="0" w:lastColumn="0" w:noHBand="0" w:noVBand="0"/>
      </w:tblPr>
      <w:tblGrid>
        <w:gridCol w:w="5831"/>
        <w:gridCol w:w="1547"/>
        <w:gridCol w:w="1977"/>
      </w:tblGrid>
      <w:tr w:rsidR="00843920" w:rsidRPr="00843920" w14:paraId="0D764CE8" w14:textId="77777777" w:rsidTr="00262CA3">
        <w:trPr>
          <w:cantSplit/>
        </w:trPr>
        <w:tc>
          <w:tcPr>
            <w:tcW w:w="5831" w:type="dxa"/>
            <w:vAlign w:val="bottom"/>
          </w:tcPr>
          <w:p w14:paraId="046AD8A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en-GB"/>
              </w:rPr>
            </w:pPr>
          </w:p>
        </w:tc>
        <w:tc>
          <w:tcPr>
            <w:tcW w:w="3524" w:type="dxa"/>
            <w:gridSpan w:val="2"/>
            <w:tcBorders>
              <w:bottom w:val="single" w:sz="4" w:space="0" w:color="auto"/>
            </w:tcBorders>
            <w:vAlign w:val="bottom"/>
          </w:tcPr>
          <w:p w14:paraId="6BED663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b/>
                <w:bCs/>
                <w:color w:val="auto"/>
                <w:spacing w:val="-2"/>
                <w:sz w:val="18"/>
                <w:szCs w:val="18"/>
                <w:bdr w:val="none" w:sz="0" w:space="0" w:color="auto"/>
                <w:lang w:val="en-GB"/>
              </w:rPr>
            </w:pPr>
            <w:r w:rsidRPr="00843920">
              <w:rPr>
                <w:rFonts w:ascii="Arial" w:eastAsia="Times New Roman" w:hAnsi="Arial" w:cs="Arial"/>
                <w:b/>
                <w:bCs/>
                <w:color w:val="auto"/>
                <w:spacing w:val="-2"/>
                <w:sz w:val="18"/>
                <w:szCs w:val="18"/>
                <w:bdr w:val="none" w:sz="0" w:space="0" w:color="auto"/>
                <w:lang w:val="en-GB"/>
              </w:rPr>
              <w:t>Three months ended 31 March</w:t>
            </w:r>
          </w:p>
        </w:tc>
      </w:tr>
      <w:tr w:rsidR="00843920" w:rsidRPr="00843920" w14:paraId="1EBD9246" w14:textId="77777777" w:rsidTr="00262CA3">
        <w:trPr>
          <w:cantSplit/>
        </w:trPr>
        <w:tc>
          <w:tcPr>
            <w:tcW w:w="5831" w:type="dxa"/>
            <w:tcBorders>
              <w:bottom w:val="single" w:sz="4" w:space="0" w:color="auto"/>
            </w:tcBorders>
            <w:vAlign w:val="bottom"/>
          </w:tcPr>
          <w:p w14:paraId="0E71115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en-GB"/>
              </w:rPr>
            </w:pPr>
            <w:r w:rsidRPr="00843920">
              <w:rPr>
                <w:rFonts w:ascii="Arial" w:eastAsia="Times New Roman" w:hAnsi="Arial" w:cs="Arial"/>
                <w:i/>
                <w:iCs/>
                <w:color w:val="auto"/>
                <w:spacing w:val="-2"/>
                <w:sz w:val="18"/>
                <w:szCs w:val="18"/>
                <w:bdr w:val="none" w:sz="0" w:space="0" w:color="auto"/>
                <w:lang w:val="en-GB"/>
              </w:rPr>
              <w:t>RUB million</w:t>
            </w:r>
          </w:p>
        </w:tc>
        <w:tc>
          <w:tcPr>
            <w:tcW w:w="1547" w:type="dxa"/>
            <w:tcBorders>
              <w:bottom w:val="single" w:sz="4" w:space="0" w:color="auto"/>
            </w:tcBorders>
            <w:vAlign w:val="bottom"/>
          </w:tcPr>
          <w:p w14:paraId="67240DB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rPr>
            </w:pPr>
            <w:r w:rsidRPr="00843920">
              <w:rPr>
                <w:rFonts w:ascii="Arial" w:eastAsia="Times New Roman" w:hAnsi="Arial" w:cs="Arial"/>
                <w:b/>
                <w:bCs/>
                <w:color w:val="auto"/>
                <w:spacing w:val="-2"/>
                <w:sz w:val="18"/>
                <w:szCs w:val="18"/>
                <w:bdr w:val="none" w:sz="0" w:space="0" w:color="auto"/>
                <w:lang w:val="en-GB"/>
              </w:rPr>
              <w:t>20</w:t>
            </w:r>
            <w:r w:rsidRPr="00843920">
              <w:rPr>
                <w:rFonts w:ascii="Arial" w:eastAsia="Times New Roman" w:hAnsi="Arial" w:cs="Arial"/>
                <w:b/>
                <w:bCs/>
                <w:color w:val="auto"/>
                <w:spacing w:val="-2"/>
                <w:sz w:val="18"/>
                <w:szCs w:val="18"/>
                <w:bdr w:val="none" w:sz="0" w:space="0" w:color="auto"/>
                <w:lang w:val="ru-RU"/>
              </w:rPr>
              <w:t>2</w:t>
            </w:r>
            <w:r w:rsidRPr="00843920">
              <w:rPr>
                <w:rFonts w:ascii="Arial" w:eastAsia="Times New Roman" w:hAnsi="Arial" w:cs="Arial"/>
                <w:b/>
                <w:bCs/>
                <w:color w:val="auto"/>
                <w:spacing w:val="-2"/>
                <w:sz w:val="18"/>
                <w:szCs w:val="18"/>
                <w:bdr w:val="none" w:sz="0" w:space="0" w:color="auto"/>
              </w:rPr>
              <w:t>4</w:t>
            </w:r>
          </w:p>
        </w:tc>
        <w:tc>
          <w:tcPr>
            <w:tcW w:w="1977" w:type="dxa"/>
            <w:tcBorders>
              <w:bottom w:val="single" w:sz="4" w:space="0" w:color="auto"/>
            </w:tcBorders>
            <w:vAlign w:val="bottom"/>
          </w:tcPr>
          <w:p w14:paraId="6D2E27E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bCs/>
                <w:color w:val="auto"/>
                <w:spacing w:val="-2"/>
                <w:sz w:val="18"/>
                <w:szCs w:val="18"/>
                <w:bdr w:val="none" w:sz="0" w:space="0" w:color="auto"/>
                <w:lang w:val="ru-RU"/>
              </w:rPr>
            </w:pPr>
            <w:r w:rsidRPr="00843920">
              <w:rPr>
                <w:rFonts w:ascii="Arial" w:eastAsia="Times New Roman" w:hAnsi="Arial" w:cs="Arial"/>
                <w:b/>
                <w:bCs/>
                <w:color w:val="auto"/>
                <w:spacing w:val="-2"/>
                <w:sz w:val="18"/>
                <w:szCs w:val="18"/>
                <w:bdr w:val="none" w:sz="0" w:space="0" w:color="auto"/>
                <w:lang w:val="en-GB"/>
              </w:rPr>
              <w:t>20</w:t>
            </w:r>
            <w:r w:rsidRPr="00843920">
              <w:rPr>
                <w:rFonts w:ascii="Arial" w:eastAsia="Times New Roman" w:hAnsi="Arial" w:cs="Arial"/>
                <w:b/>
                <w:bCs/>
                <w:color w:val="auto"/>
                <w:spacing w:val="-2"/>
                <w:sz w:val="18"/>
                <w:szCs w:val="18"/>
                <w:bdr w:val="none" w:sz="0" w:space="0" w:color="auto"/>
                <w:lang w:val="ru-RU"/>
              </w:rPr>
              <w:t>23</w:t>
            </w:r>
          </w:p>
        </w:tc>
      </w:tr>
      <w:tr w:rsidR="00843920" w:rsidRPr="00843920" w14:paraId="47105281" w14:textId="77777777" w:rsidTr="00262CA3">
        <w:trPr>
          <w:cantSplit/>
        </w:trPr>
        <w:tc>
          <w:tcPr>
            <w:tcW w:w="5831" w:type="dxa"/>
            <w:tcBorders>
              <w:top w:val="single" w:sz="4" w:space="0" w:color="auto"/>
            </w:tcBorders>
            <w:vAlign w:val="bottom"/>
          </w:tcPr>
          <w:p w14:paraId="69A15AA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vAlign w:val="bottom"/>
          </w:tcPr>
          <w:p w14:paraId="6DA076A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3FF5782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imes New Roman" w:hAnsi="Arial" w:cs="Arial"/>
                <w:color w:val="auto"/>
                <w:spacing w:val="-2"/>
                <w:sz w:val="10"/>
                <w:szCs w:val="10"/>
                <w:bdr w:val="none" w:sz="0" w:space="0" w:color="auto"/>
                <w:lang w:val="en-GB"/>
              </w:rPr>
            </w:pPr>
          </w:p>
        </w:tc>
      </w:tr>
      <w:tr w:rsidR="00843920" w:rsidRPr="00843920" w14:paraId="024F8499" w14:textId="77777777" w:rsidTr="00262CA3">
        <w:trPr>
          <w:cantSplit/>
        </w:trPr>
        <w:tc>
          <w:tcPr>
            <w:tcW w:w="5831" w:type="dxa"/>
            <w:vAlign w:val="bottom"/>
          </w:tcPr>
          <w:p w14:paraId="5839F7E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i/>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Cash flows from operating activities</w:t>
            </w:r>
          </w:p>
        </w:tc>
        <w:tc>
          <w:tcPr>
            <w:tcW w:w="1547" w:type="dxa"/>
            <w:vAlign w:val="bottom"/>
          </w:tcPr>
          <w:p w14:paraId="3D3B296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1977" w:type="dxa"/>
            <w:vAlign w:val="bottom"/>
          </w:tcPr>
          <w:p w14:paraId="21B044E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2CD2D7D9" w14:textId="77777777" w:rsidTr="00262CA3">
        <w:trPr>
          <w:cantSplit/>
        </w:trPr>
        <w:tc>
          <w:tcPr>
            <w:tcW w:w="5831" w:type="dxa"/>
            <w:vAlign w:val="bottom"/>
          </w:tcPr>
          <w:p w14:paraId="3F9E83A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Operating profit</w:t>
            </w:r>
          </w:p>
        </w:tc>
        <w:tc>
          <w:tcPr>
            <w:tcW w:w="1547" w:type="dxa"/>
            <w:shd w:val="clear" w:color="auto" w:fill="auto"/>
            <w:vAlign w:val="bottom"/>
          </w:tcPr>
          <w:p w14:paraId="6EC4C90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rPr>
              <w:t>29,</w:t>
            </w:r>
            <w:r w:rsidRPr="00843920">
              <w:rPr>
                <w:rFonts w:ascii="Arial" w:eastAsia="Times New Roman" w:hAnsi="Arial" w:cs="Arial"/>
                <w:color w:val="auto"/>
                <w:spacing w:val="-2"/>
                <w:sz w:val="18"/>
                <w:szCs w:val="20"/>
                <w:bdr w:val="none" w:sz="0" w:space="0" w:color="auto"/>
                <w:lang w:val="ru-RU"/>
              </w:rPr>
              <w:t>805</w:t>
            </w:r>
          </w:p>
        </w:tc>
        <w:tc>
          <w:tcPr>
            <w:tcW w:w="1977" w:type="dxa"/>
            <w:vAlign w:val="bottom"/>
          </w:tcPr>
          <w:p w14:paraId="0E60A62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47,569</w:t>
            </w:r>
          </w:p>
        </w:tc>
      </w:tr>
      <w:tr w:rsidR="00843920" w:rsidRPr="00843920" w14:paraId="3DF45901" w14:textId="77777777" w:rsidTr="00262CA3">
        <w:trPr>
          <w:cantSplit/>
        </w:trPr>
        <w:tc>
          <w:tcPr>
            <w:tcW w:w="5831" w:type="dxa"/>
            <w:vAlign w:val="bottom"/>
          </w:tcPr>
          <w:p w14:paraId="2FAF63B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i/>
                <w:iCs/>
                <w:color w:val="auto"/>
                <w:spacing w:val="-2"/>
                <w:sz w:val="18"/>
                <w:szCs w:val="18"/>
                <w:bdr w:val="none" w:sz="0" w:space="0" w:color="auto"/>
                <w:lang w:val="ru-RU"/>
              </w:rPr>
            </w:pPr>
            <w:r w:rsidRPr="00843920">
              <w:rPr>
                <w:rFonts w:ascii="Arial" w:eastAsia="Times New Roman" w:hAnsi="Arial" w:cs="Arial"/>
                <w:i/>
                <w:iCs/>
                <w:color w:val="auto"/>
                <w:spacing w:val="-2"/>
                <w:sz w:val="18"/>
                <w:szCs w:val="18"/>
                <w:bdr w:val="none" w:sz="0" w:space="0" w:color="auto"/>
                <w:lang w:val="en-GB"/>
              </w:rPr>
              <w:t>Adjustments for:</w:t>
            </w:r>
          </w:p>
        </w:tc>
        <w:tc>
          <w:tcPr>
            <w:tcW w:w="1547" w:type="dxa"/>
            <w:shd w:val="clear" w:color="auto" w:fill="auto"/>
            <w:vAlign w:val="bottom"/>
          </w:tcPr>
          <w:p w14:paraId="402BDEF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p>
        </w:tc>
        <w:tc>
          <w:tcPr>
            <w:tcW w:w="1977" w:type="dxa"/>
            <w:vAlign w:val="bottom"/>
          </w:tcPr>
          <w:p w14:paraId="6E15308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p>
        </w:tc>
      </w:tr>
      <w:tr w:rsidR="00843920" w:rsidRPr="00843920" w14:paraId="711F851A" w14:textId="77777777" w:rsidTr="00262CA3">
        <w:trPr>
          <w:cantSplit/>
        </w:trPr>
        <w:tc>
          <w:tcPr>
            <w:tcW w:w="5831" w:type="dxa"/>
            <w:vAlign w:val="bottom"/>
          </w:tcPr>
          <w:p w14:paraId="620755C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Depreciation and amortisation</w:t>
            </w:r>
          </w:p>
        </w:tc>
        <w:tc>
          <w:tcPr>
            <w:tcW w:w="1547" w:type="dxa"/>
            <w:shd w:val="clear" w:color="auto" w:fill="auto"/>
            <w:vAlign w:val="bottom"/>
          </w:tcPr>
          <w:p w14:paraId="3F7D25D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rPr>
              <w:t>9,25</w:t>
            </w:r>
            <w:r w:rsidRPr="00843920">
              <w:rPr>
                <w:rFonts w:ascii="Arial" w:eastAsia="Times New Roman" w:hAnsi="Arial" w:cs="Arial"/>
                <w:color w:val="auto"/>
                <w:spacing w:val="-2"/>
                <w:sz w:val="18"/>
                <w:szCs w:val="20"/>
                <w:bdr w:val="none" w:sz="0" w:space="0" w:color="auto"/>
                <w:lang w:val="ru-RU"/>
              </w:rPr>
              <w:t>5</w:t>
            </w:r>
          </w:p>
        </w:tc>
        <w:tc>
          <w:tcPr>
            <w:tcW w:w="1977" w:type="dxa"/>
            <w:vAlign w:val="bottom"/>
          </w:tcPr>
          <w:p w14:paraId="3F21073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7,826</w:t>
            </w:r>
          </w:p>
        </w:tc>
      </w:tr>
      <w:tr w:rsidR="00843920" w:rsidRPr="00843920" w14:paraId="2FFCD35A" w14:textId="77777777" w:rsidTr="00262CA3">
        <w:trPr>
          <w:cantSplit/>
        </w:trPr>
        <w:tc>
          <w:tcPr>
            <w:tcW w:w="5831" w:type="dxa"/>
            <w:vAlign w:val="bottom"/>
          </w:tcPr>
          <w:p w14:paraId="61421D6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Loss on disposal of property, plant and equipment and intangible assets</w:t>
            </w:r>
          </w:p>
        </w:tc>
        <w:tc>
          <w:tcPr>
            <w:tcW w:w="1547" w:type="dxa"/>
            <w:shd w:val="clear" w:color="auto" w:fill="auto"/>
            <w:vAlign w:val="bottom"/>
          </w:tcPr>
          <w:p w14:paraId="6E585DC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36</w:t>
            </w:r>
          </w:p>
        </w:tc>
        <w:tc>
          <w:tcPr>
            <w:tcW w:w="1977" w:type="dxa"/>
            <w:vAlign w:val="bottom"/>
          </w:tcPr>
          <w:p w14:paraId="4F133C4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94</w:t>
            </w:r>
          </w:p>
        </w:tc>
      </w:tr>
      <w:tr w:rsidR="00843920" w:rsidRPr="00843920" w14:paraId="0C4F7606" w14:textId="77777777" w:rsidTr="00262CA3">
        <w:trPr>
          <w:cantSplit/>
        </w:trPr>
        <w:tc>
          <w:tcPr>
            <w:tcW w:w="5831" w:type="dxa"/>
            <w:tcBorders>
              <w:bottom w:val="single" w:sz="4" w:space="0" w:color="auto"/>
            </w:tcBorders>
            <w:vAlign w:val="bottom"/>
          </w:tcPr>
          <w:p w14:paraId="1144EFD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560F107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bottom w:val="single" w:sz="4" w:space="0" w:color="auto"/>
            </w:tcBorders>
            <w:vAlign w:val="bottom"/>
          </w:tcPr>
          <w:p w14:paraId="1AF6E22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7DDB4D91" w14:textId="77777777" w:rsidTr="00262CA3">
        <w:trPr>
          <w:cantSplit/>
        </w:trPr>
        <w:tc>
          <w:tcPr>
            <w:tcW w:w="5831" w:type="dxa"/>
            <w:tcBorders>
              <w:top w:val="single" w:sz="4" w:space="0" w:color="auto"/>
            </w:tcBorders>
            <w:vAlign w:val="bottom"/>
          </w:tcPr>
          <w:p w14:paraId="5F6F74F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1C21A3B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top w:val="single" w:sz="4" w:space="0" w:color="auto"/>
            </w:tcBorders>
            <w:vAlign w:val="bottom"/>
          </w:tcPr>
          <w:p w14:paraId="51928A9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3C7F6100" w14:textId="77777777" w:rsidTr="00262CA3">
        <w:trPr>
          <w:cantSplit/>
        </w:trPr>
        <w:tc>
          <w:tcPr>
            <w:tcW w:w="5831" w:type="dxa"/>
            <w:vAlign w:val="bottom"/>
          </w:tcPr>
          <w:p w14:paraId="613BB2E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Operating profit before changes in working capital</w:t>
            </w:r>
          </w:p>
        </w:tc>
        <w:tc>
          <w:tcPr>
            <w:tcW w:w="1547" w:type="dxa"/>
            <w:shd w:val="clear" w:color="auto" w:fill="auto"/>
            <w:vAlign w:val="bottom"/>
          </w:tcPr>
          <w:p w14:paraId="41D344B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3</w:t>
            </w:r>
            <w:r w:rsidRPr="00843920">
              <w:rPr>
                <w:rFonts w:ascii="Arial" w:eastAsia="Times New Roman" w:hAnsi="Arial" w:cs="Arial"/>
                <w:b/>
                <w:color w:val="auto"/>
                <w:spacing w:val="-2"/>
                <w:sz w:val="18"/>
                <w:szCs w:val="20"/>
                <w:bdr w:val="none" w:sz="0" w:space="0" w:color="auto"/>
                <w:lang w:val="ru-RU"/>
              </w:rPr>
              <w:t>9</w:t>
            </w:r>
            <w:r w:rsidRPr="00843920">
              <w:rPr>
                <w:rFonts w:ascii="Arial" w:eastAsia="Times New Roman" w:hAnsi="Arial" w:cs="Arial"/>
                <w:b/>
                <w:color w:val="auto"/>
                <w:spacing w:val="-2"/>
                <w:sz w:val="18"/>
                <w:szCs w:val="20"/>
                <w:bdr w:val="none" w:sz="0" w:space="0" w:color="auto"/>
              </w:rPr>
              <w:t>,</w:t>
            </w:r>
            <w:r w:rsidRPr="00843920">
              <w:rPr>
                <w:rFonts w:ascii="Arial" w:eastAsia="Times New Roman" w:hAnsi="Arial" w:cs="Arial"/>
                <w:b/>
                <w:color w:val="auto"/>
                <w:spacing w:val="-2"/>
                <w:sz w:val="18"/>
                <w:szCs w:val="20"/>
                <w:bdr w:val="none" w:sz="0" w:space="0" w:color="auto"/>
                <w:lang w:val="ru-RU"/>
              </w:rPr>
              <w:t>096</w:t>
            </w:r>
          </w:p>
        </w:tc>
        <w:tc>
          <w:tcPr>
            <w:tcW w:w="1977" w:type="dxa"/>
            <w:vAlign w:val="bottom"/>
          </w:tcPr>
          <w:p w14:paraId="60FF482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55,489</w:t>
            </w:r>
          </w:p>
        </w:tc>
      </w:tr>
      <w:tr w:rsidR="00843920" w:rsidRPr="00843920" w14:paraId="129AFEBD" w14:textId="77777777" w:rsidTr="00262CA3">
        <w:trPr>
          <w:cantSplit/>
        </w:trPr>
        <w:tc>
          <w:tcPr>
            <w:tcW w:w="5831" w:type="dxa"/>
            <w:vAlign w:val="bottom"/>
          </w:tcPr>
          <w:p w14:paraId="7DB9014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0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Increase/ (decrease) in trade and other </w:t>
            </w:r>
            <w:r w:rsidRPr="00843920">
              <w:rPr>
                <w:rFonts w:ascii="Arial" w:eastAsia="Times New Roman" w:hAnsi="Arial" w:cs="Arial"/>
                <w:color w:val="auto"/>
                <w:spacing w:val="-2"/>
                <w:sz w:val="18"/>
                <w:szCs w:val="20"/>
                <w:bdr w:val="none" w:sz="0" w:space="0" w:color="auto"/>
                <w:lang w:val="en-GB"/>
              </w:rPr>
              <w:t>payables</w:t>
            </w:r>
            <w:r w:rsidRPr="00843920">
              <w:rPr>
                <w:rFonts w:ascii="Arial" w:eastAsia="Times New Roman" w:hAnsi="Arial" w:cs="Arial"/>
                <w:color w:val="auto"/>
                <w:spacing w:val="-2"/>
                <w:sz w:val="18"/>
                <w:szCs w:val="20"/>
                <w:bdr w:val="none" w:sz="0" w:space="0" w:color="auto"/>
                <w:vertAlign w:val="superscript"/>
                <w:lang w:eastAsia="en-US"/>
              </w:rPr>
              <w:t>1</w:t>
            </w:r>
          </w:p>
        </w:tc>
        <w:tc>
          <w:tcPr>
            <w:tcW w:w="1547" w:type="dxa"/>
            <w:shd w:val="clear" w:color="auto" w:fill="auto"/>
            <w:vAlign w:val="bottom"/>
          </w:tcPr>
          <w:p w14:paraId="603616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2,252</w:t>
            </w:r>
          </w:p>
        </w:tc>
        <w:tc>
          <w:tcPr>
            <w:tcW w:w="1977" w:type="dxa"/>
            <w:vAlign w:val="bottom"/>
          </w:tcPr>
          <w:p w14:paraId="16032B2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(9,235)</w:t>
            </w:r>
          </w:p>
        </w:tc>
      </w:tr>
      <w:tr w:rsidR="00843920" w:rsidRPr="00843920" w14:paraId="31647496" w14:textId="77777777" w:rsidTr="00262CA3">
        <w:trPr>
          <w:cantSplit/>
        </w:trPr>
        <w:tc>
          <w:tcPr>
            <w:tcW w:w="5831" w:type="dxa"/>
            <w:vAlign w:val="bottom"/>
          </w:tcPr>
          <w:p w14:paraId="5F2B596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0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(Increase)/ decrease in trade and other </w:t>
            </w:r>
            <w:r w:rsidRPr="00843920">
              <w:rPr>
                <w:rFonts w:ascii="Arial" w:eastAsia="Times New Roman" w:hAnsi="Arial" w:cs="Arial"/>
                <w:color w:val="auto"/>
                <w:spacing w:val="-2"/>
                <w:sz w:val="18"/>
                <w:szCs w:val="20"/>
                <w:bdr w:val="none" w:sz="0" w:space="0" w:color="auto"/>
                <w:lang w:val="en-GB"/>
              </w:rPr>
              <w:t>receivables</w:t>
            </w:r>
            <w:r w:rsidRPr="00843920">
              <w:rPr>
                <w:rFonts w:ascii="Arial" w:eastAsia="Times New Roman" w:hAnsi="Arial" w:cs="Arial"/>
                <w:color w:val="auto"/>
                <w:spacing w:val="-2"/>
                <w:sz w:val="18"/>
                <w:szCs w:val="20"/>
                <w:bdr w:val="none" w:sz="0" w:space="0" w:color="auto"/>
                <w:vertAlign w:val="superscript"/>
                <w:lang w:eastAsia="en-US"/>
              </w:rPr>
              <w:t>1</w:t>
            </w:r>
          </w:p>
        </w:tc>
        <w:tc>
          <w:tcPr>
            <w:tcW w:w="1547" w:type="dxa"/>
            <w:shd w:val="clear" w:color="auto" w:fill="auto"/>
            <w:vAlign w:val="bottom"/>
          </w:tcPr>
          <w:p w14:paraId="41D5620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(10,</w:t>
            </w:r>
            <w:r w:rsidRPr="00843920">
              <w:rPr>
                <w:rFonts w:ascii="Arial" w:eastAsia="Times New Roman" w:hAnsi="Arial" w:cs="Arial"/>
                <w:color w:val="auto"/>
                <w:spacing w:val="-2"/>
                <w:sz w:val="18"/>
                <w:szCs w:val="20"/>
                <w:bdr w:val="none" w:sz="0" w:space="0" w:color="auto"/>
                <w:lang w:val="ru-RU"/>
              </w:rPr>
              <w:t>416</w:t>
            </w:r>
            <w:r w:rsidRPr="00843920">
              <w:rPr>
                <w:rFonts w:ascii="Arial" w:eastAsia="Times New Roman" w:hAnsi="Arial" w:cs="Arial"/>
                <w:color w:val="auto"/>
                <w:spacing w:val="-2"/>
                <w:sz w:val="18"/>
                <w:szCs w:val="20"/>
                <w:bdr w:val="none" w:sz="0" w:space="0" w:color="auto"/>
              </w:rPr>
              <w:t>)</w:t>
            </w:r>
          </w:p>
        </w:tc>
        <w:tc>
          <w:tcPr>
            <w:tcW w:w="1977" w:type="dxa"/>
            <w:vAlign w:val="bottom"/>
          </w:tcPr>
          <w:p w14:paraId="321D842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12,060</w:t>
            </w:r>
          </w:p>
        </w:tc>
      </w:tr>
      <w:tr w:rsidR="00843920" w:rsidRPr="00843920" w14:paraId="2DBD7DB2" w14:textId="77777777" w:rsidTr="00262CA3">
        <w:trPr>
          <w:cantSplit/>
        </w:trPr>
        <w:tc>
          <w:tcPr>
            <w:tcW w:w="5831" w:type="dxa"/>
            <w:vAlign w:val="bottom"/>
          </w:tcPr>
          <w:p w14:paraId="75D967D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0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(Increase)/ decrease in inventories, </w:t>
            </w:r>
            <w:r w:rsidRPr="00843920">
              <w:rPr>
                <w:rFonts w:ascii="Arial" w:eastAsia="Times New Roman" w:hAnsi="Arial" w:cs="Arial"/>
                <w:color w:val="auto"/>
                <w:spacing w:val="-2"/>
                <w:sz w:val="18"/>
                <w:szCs w:val="18"/>
                <w:bdr w:val="none" w:sz="0" w:space="0" w:color="auto"/>
                <w:lang w:eastAsia="en-US"/>
              </w:rPr>
              <w:t>catalysts and non-current spare parts</w:t>
            </w:r>
          </w:p>
        </w:tc>
        <w:tc>
          <w:tcPr>
            <w:tcW w:w="1547" w:type="dxa"/>
            <w:shd w:val="clear" w:color="auto" w:fill="auto"/>
            <w:vAlign w:val="bottom"/>
          </w:tcPr>
          <w:p w14:paraId="1752C8D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(2,1</w:t>
            </w:r>
            <w:r w:rsidRPr="00843920">
              <w:rPr>
                <w:rFonts w:ascii="Arial" w:eastAsia="Times New Roman" w:hAnsi="Arial" w:cs="Arial"/>
                <w:color w:val="auto"/>
                <w:spacing w:val="-2"/>
                <w:sz w:val="18"/>
                <w:szCs w:val="20"/>
                <w:bdr w:val="none" w:sz="0" w:space="0" w:color="auto"/>
                <w:lang w:val="ru-RU"/>
              </w:rPr>
              <w:t>32</w:t>
            </w:r>
            <w:r w:rsidRPr="00843920">
              <w:rPr>
                <w:rFonts w:ascii="Arial" w:eastAsia="Times New Roman" w:hAnsi="Arial" w:cs="Arial"/>
                <w:color w:val="auto"/>
                <w:spacing w:val="-2"/>
                <w:sz w:val="18"/>
                <w:szCs w:val="20"/>
                <w:bdr w:val="none" w:sz="0" w:space="0" w:color="auto"/>
              </w:rPr>
              <w:t>)</w:t>
            </w:r>
          </w:p>
        </w:tc>
        <w:tc>
          <w:tcPr>
            <w:tcW w:w="1977" w:type="dxa"/>
            <w:vAlign w:val="bottom"/>
          </w:tcPr>
          <w:p w14:paraId="5DEED06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428</w:t>
            </w:r>
          </w:p>
        </w:tc>
      </w:tr>
      <w:tr w:rsidR="00843920" w:rsidRPr="00843920" w14:paraId="76632F82" w14:textId="77777777" w:rsidTr="00262CA3">
        <w:trPr>
          <w:cantSplit/>
        </w:trPr>
        <w:tc>
          <w:tcPr>
            <w:tcW w:w="5831" w:type="dxa"/>
            <w:tcBorders>
              <w:bottom w:val="single" w:sz="4" w:space="0" w:color="auto"/>
            </w:tcBorders>
            <w:vAlign w:val="bottom"/>
          </w:tcPr>
          <w:p w14:paraId="598BE8A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77BD321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bottom w:val="single" w:sz="4" w:space="0" w:color="auto"/>
            </w:tcBorders>
            <w:vAlign w:val="bottom"/>
          </w:tcPr>
          <w:p w14:paraId="30382EA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2B36724F" w14:textId="77777777" w:rsidTr="00262CA3">
        <w:trPr>
          <w:cantSplit/>
        </w:trPr>
        <w:tc>
          <w:tcPr>
            <w:tcW w:w="5831" w:type="dxa"/>
            <w:tcBorders>
              <w:top w:val="single" w:sz="4" w:space="0" w:color="auto"/>
            </w:tcBorders>
            <w:vAlign w:val="bottom"/>
          </w:tcPr>
          <w:p w14:paraId="562282D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1F8D7A3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top w:val="single" w:sz="4" w:space="0" w:color="auto"/>
            </w:tcBorders>
            <w:vAlign w:val="bottom"/>
          </w:tcPr>
          <w:p w14:paraId="1195645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r>
      <w:tr w:rsidR="00843920" w:rsidRPr="00843920" w14:paraId="7AB462B2" w14:textId="77777777" w:rsidTr="00262CA3">
        <w:trPr>
          <w:cantSplit/>
        </w:trPr>
        <w:tc>
          <w:tcPr>
            <w:tcW w:w="5831" w:type="dxa"/>
            <w:vAlign w:val="bottom"/>
          </w:tcPr>
          <w:p w14:paraId="62CC165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Cash flows from operations before income tax and interest paid</w:t>
            </w:r>
          </w:p>
        </w:tc>
        <w:tc>
          <w:tcPr>
            <w:tcW w:w="1547" w:type="dxa"/>
            <w:shd w:val="clear" w:color="auto" w:fill="auto"/>
            <w:vAlign w:val="bottom"/>
          </w:tcPr>
          <w:p w14:paraId="773C1B5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28,800</w:t>
            </w:r>
          </w:p>
        </w:tc>
        <w:tc>
          <w:tcPr>
            <w:tcW w:w="1977" w:type="dxa"/>
            <w:vAlign w:val="bottom"/>
          </w:tcPr>
          <w:p w14:paraId="57F204F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58,742</w:t>
            </w:r>
          </w:p>
        </w:tc>
      </w:tr>
      <w:tr w:rsidR="00843920" w:rsidRPr="00843920" w14:paraId="7DC46999" w14:textId="77777777" w:rsidTr="00262CA3">
        <w:trPr>
          <w:cantSplit/>
        </w:trPr>
        <w:tc>
          <w:tcPr>
            <w:tcW w:w="5831" w:type="dxa"/>
            <w:vAlign w:val="bottom"/>
          </w:tcPr>
          <w:p w14:paraId="753B3C0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Income tax paid</w:t>
            </w:r>
          </w:p>
        </w:tc>
        <w:tc>
          <w:tcPr>
            <w:tcW w:w="1547" w:type="dxa"/>
            <w:shd w:val="clear" w:color="auto" w:fill="auto"/>
            <w:vAlign w:val="bottom"/>
          </w:tcPr>
          <w:p w14:paraId="6476DCD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(6,321)</w:t>
            </w:r>
          </w:p>
        </w:tc>
        <w:tc>
          <w:tcPr>
            <w:tcW w:w="1977" w:type="dxa"/>
            <w:vAlign w:val="bottom"/>
          </w:tcPr>
          <w:p w14:paraId="3F03544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(3,234)</w:t>
            </w:r>
          </w:p>
        </w:tc>
      </w:tr>
      <w:tr w:rsidR="00843920" w:rsidRPr="00843920" w14:paraId="571FE0E8" w14:textId="77777777" w:rsidTr="00262CA3">
        <w:trPr>
          <w:cantSplit/>
        </w:trPr>
        <w:tc>
          <w:tcPr>
            <w:tcW w:w="5831" w:type="dxa"/>
            <w:vAlign w:val="bottom"/>
          </w:tcPr>
          <w:p w14:paraId="73141BE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Finance costs paid</w:t>
            </w:r>
          </w:p>
        </w:tc>
        <w:tc>
          <w:tcPr>
            <w:tcW w:w="1547" w:type="dxa"/>
            <w:shd w:val="clear" w:color="auto" w:fill="auto"/>
            <w:vAlign w:val="bottom"/>
          </w:tcPr>
          <w:p w14:paraId="00FE084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(2,773)</w:t>
            </w:r>
          </w:p>
        </w:tc>
        <w:tc>
          <w:tcPr>
            <w:tcW w:w="1977" w:type="dxa"/>
            <w:vAlign w:val="bottom"/>
          </w:tcPr>
          <w:p w14:paraId="2C91240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(1,605)</w:t>
            </w:r>
          </w:p>
        </w:tc>
      </w:tr>
      <w:tr w:rsidR="00843920" w:rsidRPr="00843920" w14:paraId="226CD895" w14:textId="77777777" w:rsidTr="00262CA3">
        <w:trPr>
          <w:cantSplit/>
        </w:trPr>
        <w:tc>
          <w:tcPr>
            <w:tcW w:w="5831" w:type="dxa"/>
            <w:tcBorders>
              <w:bottom w:val="single" w:sz="4" w:space="0" w:color="auto"/>
            </w:tcBorders>
            <w:vAlign w:val="bottom"/>
          </w:tcPr>
          <w:p w14:paraId="7D040AB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3A0C38D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bottom w:val="single" w:sz="4" w:space="0" w:color="auto"/>
            </w:tcBorders>
            <w:vAlign w:val="bottom"/>
          </w:tcPr>
          <w:p w14:paraId="01EDFF6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440AA345" w14:textId="77777777" w:rsidTr="00262CA3">
        <w:trPr>
          <w:cantSplit/>
        </w:trPr>
        <w:tc>
          <w:tcPr>
            <w:tcW w:w="5831" w:type="dxa"/>
            <w:tcBorders>
              <w:top w:val="single" w:sz="4" w:space="0" w:color="auto"/>
            </w:tcBorders>
            <w:vAlign w:val="bottom"/>
          </w:tcPr>
          <w:p w14:paraId="44BD99C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4AE900B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ru-RU"/>
              </w:rPr>
            </w:pPr>
          </w:p>
        </w:tc>
        <w:tc>
          <w:tcPr>
            <w:tcW w:w="1977" w:type="dxa"/>
            <w:tcBorders>
              <w:top w:val="single" w:sz="4" w:space="0" w:color="auto"/>
            </w:tcBorders>
            <w:vAlign w:val="bottom"/>
          </w:tcPr>
          <w:p w14:paraId="67CD24D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0F600137" w14:textId="77777777" w:rsidTr="00262CA3">
        <w:trPr>
          <w:cantSplit/>
        </w:trPr>
        <w:tc>
          <w:tcPr>
            <w:tcW w:w="5831" w:type="dxa"/>
            <w:vAlign w:val="bottom"/>
          </w:tcPr>
          <w:p w14:paraId="6726682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Cash flows from operating activities</w:t>
            </w:r>
          </w:p>
        </w:tc>
        <w:tc>
          <w:tcPr>
            <w:tcW w:w="1547" w:type="dxa"/>
            <w:shd w:val="clear" w:color="auto" w:fill="auto"/>
            <w:vAlign w:val="bottom"/>
          </w:tcPr>
          <w:p w14:paraId="069DA7B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19,706</w:t>
            </w:r>
          </w:p>
        </w:tc>
        <w:tc>
          <w:tcPr>
            <w:tcW w:w="1977" w:type="dxa"/>
            <w:vAlign w:val="bottom"/>
          </w:tcPr>
          <w:p w14:paraId="693773B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53,903</w:t>
            </w:r>
          </w:p>
        </w:tc>
      </w:tr>
      <w:tr w:rsidR="00843920" w:rsidRPr="00843920" w14:paraId="521C3662" w14:textId="77777777" w:rsidTr="00262CA3">
        <w:trPr>
          <w:cantSplit/>
        </w:trPr>
        <w:tc>
          <w:tcPr>
            <w:tcW w:w="5831" w:type="dxa"/>
            <w:tcBorders>
              <w:bottom w:val="single" w:sz="4" w:space="0" w:color="auto"/>
            </w:tcBorders>
            <w:vAlign w:val="bottom"/>
          </w:tcPr>
          <w:p w14:paraId="711B4F8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2756523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1977" w:type="dxa"/>
            <w:tcBorders>
              <w:bottom w:val="single" w:sz="4" w:space="0" w:color="auto"/>
            </w:tcBorders>
            <w:vAlign w:val="bottom"/>
          </w:tcPr>
          <w:p w14:paraId="359C8EB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58D54A76" w14:textId="77777777" w:rsidTr="00262CA3">
        <w:trPr>
          <w:cantSplit/>
        </w:trPr>
        <w:tc>
          <w:tcPr>
            <w:tcW w:w="5831" w:type="dxa"/>
            <w:tcBorders>
              <w:top w:val="single" w:sz="4" w:space="0" w:color="auto"/>
            </w:tcBorders>
            <w:vAlign w:val="bottom"/>
          </w:tcPr>
          <w:p w14:paraId="1F5F2C0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20BF2CE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612B652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79FA67D9" w14:textId="77777777" w:rsidTr="00262CA3">
        <w:trPr>
          <w:cantSplit/>
        </w:trPr>
        <w:tc>
          <w:tcPr>
            <w:tcW w:w="5831" w:type="dxa"/>
            <w:vAlign w:val="bottom"/>
          </w:tcPr>
          <w:p w14:paraId="099665E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Cash flows from investing activities</w:t>
            </w:r>
          </w:p>
        </w:tc>
        <w:tc>
          <w:tcPr>
            <w:tcW w:w="1547" w:type="dxa"/>
            <w:shd w:val="clear" w:color="auto" w:fill="auto"/>
            <w:vAlign w:val="bottom"/>
          </w:tcPr>
          <w:p w14:paraId="7E267CF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1977" w:type="dxa"/>
            <w:vAlign w:val="bottom"/>
          </w:tcPr>
          <w:p w14:paraId="2595AC2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26186909" w14:textId="77777777" w:rsidTr="00262CA3">
        <w:trPr>
          <w:cantSplit/>
        </w:trPr>
        <w:tc>
          <w:tcPr>
            <w:tcW w:w="5831" w:type="dxa"/>
            <w:vAlign w:val="bottom"/>
          </w:tcPr>
          <w:p w14:paraId="166EF09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Finance income</w:t>
            </w:r>
          </w:p>
        </w:tc>
        <w:tc>
          <w:tcPr>
            <w:tcW w:w="1547" w:type="dxa"/>
            <w:shd w:val="clear" w:color="auto" w:fill="auto"/>
            <w:vAlign w:val="bottom"/>
          </w:tcPr>
          <w:p w14:paraId="21CF4D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529</w:t>
            </w:r>
          </w:p>
        </w:tc>
        <w:tc>
          <w:tcPr>
            <w:tcW w:w="1977" w:type="dxa"/>
            <w:vAlign w:val="bottom"/>
          </w:tcPr>
          <w:p w14:paraId="28ECF8F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252</w:t>
            </w:r>
          </w:p>
        </w:tc>
      </w:tr>
      <w:tr w:rsidR="00843920" w:rsidRPr="00843920" w14:paraId="04AE43FF" w14:textId="77777777" w:rsidTr="00262CA3">
        <w:trPr>
          <w:cantSplit/>
        </w:trPr>
        <w:tc>
          <w:tcPr>
            <w:tcW w:w="5831" w:type="dxa"/>
            <w:vAlign w:val="bottom"/>
          </w:tcPr>
          <w:p w14:paraId="11824C6C"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Acquisition of property, plant and equipment and intangible assets</w:t>
            </w:r>
          </w:p>
        </w:tc>
        <w:tc>
          <w:tcPr>
            <w:tcW w:w="1547" w:type="dxa"/>
            <w:shd w:val="clear" w:color="auto" w:fill="auto"/>
            <w:vAlign w:val="bottom"/>
          </w:tcPr>
          <w:p w14:paraId="6633DFE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(15,191)</w:t>
            </w:r>
          </w:p>
        </w:tc>
        <w:tc>
          <w:tcPr>
            <w:tcW w:w="1977" w:type="dxa"/>
            <w:vAlign w:val="bottom"/>
          </w:tcPr>
          <w:p w14:paraId="6F21F48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(10,433)</w:t>
            </w:r>
          </w:p>
        </w:tc>
      </w:tr>
      <w:tr w:rsidR="00843920" w:rsidRPr="00843920" w14:paraId="65F8378D" w14:textId="77777777" w:rsidTr="00262CA3">
        <w:trPr>
          <w:cantSplit/>
        </w:trPr>
        <w:tc>
          <w:tcPr>
            <w:tcW w:w="5831" w:type="dxa"/>
            <w:vAlign w:val="bottom"/>
          </w:tcPr>
          <w:p w14:paraId="2C73519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Loans issued</w:t>
            </w:r>
          </w:p>
        </w:tc>
        <w:tc>
          <w:tcPr>
            <w:tcW w:w="1547" w:type="dxa"/>
            <w:shd w:val="clear" w:color="auto" w:fill="auto"/>
            <w:vAlign w:val="bottom"/>
          </w:tcPr>
          <w:p w14:paraId="3D8B159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(2,463)</w:t>
            </w:r>
          </w:p>
        </w:tc>
        <w:tc>
          <w:tcPr>
            <w:tcW w:w="1977" w:type="dxa"/>
            <w:vAlign w:val="bottom"/>
          </w:tcPr>
          <w:p w14:paraId="1BC815C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1</w:t>
            </w:r>
          </w:p>
        </w:tc>
      </w:tr>
      <w:tr w:rsidR="00843920" w:rsidRPr="00843920" w14:paraId="27377A52" w14:textId="77777777" w:rsidTr="00262CA3">
        <w:trPr>
          <w:cantSplit/>
        </w:trPr>
        <w:tc>
          <w:tcPr>
            <w:tcW w:w="5831" w:type="dxa"/>
            <w:vAlign w:val="bottom"/>
          </w:tcPr>
          <w:p w14:paraId="7E78084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Borrowing cost capitalised paid</w:t>
            </w:r>
          </w:p>
        </w:tc>
        <w:tc>
          <w:tcPr>
            <w:tcW w:w="1547" w:type="dxa"/>
            <w:shd w:val="clear" w:color="auto" w:fill="auto"/>
            <w:vAlign w:val="bottom"/>
          </w:tcPr>
          <w:p w14:paraId="457512F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w:t>
            </w:r>
            <w:r w:rsidRPr="00843920">
              <w:rPr>
                <w:rFonts w:ascii="Arial" w:eastAsia="Times New Roman" w:hAnsi="Arial" w:cs="Arial"/>
                <w:color w:val="auto"/>
                <w:spacing w:val="-2"/>
                <w:sz w:val="18"/>
                <w:szCs w:val="18"/>
                <w:bdr w:val="none" w:sz="0" w:space="0" w:color="auto"/>
                <w:lang w:val="ru-RU"/>
              </w:rPr>
              <w:t>774</w:t>
            </w:r>
            <w:r w:rsidRPr="00843920">
              <w:rPr>
                <w:rFonts w:ascii="Arial" w:eastAsia="Times New Roman" w:hAnsi="Arial" w:cs="Arial"/>
                <w:color w:val="auto"/>
                <w:spacing w:val="-2"/>
                <w:sz w:val="18"/>
                <w:szCs w:val="18"/>
                <w:bdr w:val="none" w:sz="0" w:space="0" w:color="auto"/>
              </w:rPr>
              <w:t>)</w:t>
            </w:r>
          </w:p>
        </w:tc>
        <w:tc>
          <w:tcPr>
            <w:tcW w:w="1977" w:type="dxa"/>
            <w:vAlign w:val="bottom"/>
          </w:tcPr>
          <w:p w14:paraId="37648B0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(248)</w:t>
            </w:r>
          </w:p>
        </w:tc>
      </w:tr>
      <w:tr w:rsidR="00843920" w:rsidRPr="00843920" w14:paraId="2C2DBEF0" w14:textId="77777777" w:rsidTr="00262CA3">
        <w:trPr>
          <w:cantSplit/>
        </w:trPr>
        <w:tc>
          <w:tcPr>
            <w:tcW w:w="5831" w:type="dxa"/>
            <w:vAlign w:val="bottom"/>
          </w:tcPr>
          <w:p w14:paraId="165C544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18"/>
                <w:bdr w:val="none" w:sz="0" w:space="0" w:color="auto"/>
              </w:rPr>
              <w:t>Advances issued for right-of-use assets</w:t>
            </w:r>
          </w:p>
        </w:tc>
        <w:tc>
          <w:tcPr>
            <w:tcW w:w="1547" w:type="dxa"/>
            <w:shd w:val="clear" w:color="auto" w:fill="auto"/>
            <w:vAlign w:val="bottom"/>
          </w:tcPr>
          <w:p w14:paraId="5EFDB3F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lang w:val="ru-RU"/>
              </w:rPr>
            </w:pPr>
            <w:r w:rsidRPr="00843920">
              <w:rPr>
                <w:rFonts w:ascii="Arial" w:eastAsia="Times New Roman" w:hAnsi="Arial" w:cs="Arial"/>
                <w:color w:val="auto"/>
                <w:spacing w:val="-2"/>
                <w:sz w:val="18"/>
                <w:szCs w:val="20"/>
                <w:bdr w:val="none" w:sz="0" w:space="0" w:color="auto"/>
                <w:lang w:val="ru-RU"/>
              </w:rPr>
              <w:t>-</w:t>
            </w:r>
          </w:p>
        </w:tc>
        <w:tc>
          <w:tcPr>
            <w:tcW w:w="1977" w:type="dxa"/>
            <w:vAlign w:val="bottom"/>
          </w:tcPr>
          <w:p w14:paraId="45ECE58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(63)</w:t>
            </w:r>
          </w:p>
        </w:tc>
      </w:tr>
      <w:tr w:rsidR="00843920" w:rsidRPr="00843920" w14:paraId="49B6CC9A" w14:textId="77777777" w:rsidTr="00262CA3">
        <w:trPr>
          <w:cantSplit/>
        </w:trPr>
        <w:tc>
          <w:tcPr>
            <w:tcW w:w="5831" w:type="dxa"/>
            <w:vAlign w:val="bottom"/>
          </w:tcPr>
          <w:p w14:paraId="7202C9B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Other</w:t>
            </w:r>
          </w:p>
        </w:tc>
        <w:tc>
          <w:tcPr>
            <w:tcW w:w="1547" w:type="dxa"/>
            <w:shd w:val="clear" w:color="auto" w:fill="auto"/>
            <w:vAlign w:val="bottom"/>
          </w:tcPr>
          <w:p w14:paraId="5712EBD5" w14:textId="77777777" w:rsidR="00843920" w:rsidRPr="00843920" w:rsidDel="00305D7D"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(6)</w:t>
            </w:r>
          </w:p>
        </w:tc>
        <w:tc>
          <w:tcPr>
            <w:tcW w:w="1977" w:type="dxa"/>
            <w:vAlign w:val="bottom"/>
          </w:tcPr>
          <w:p w14:paraId="0BEE22B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ru-RU"/>
              </w:rPr>
            </w:pPr>
            <w:r w:rsidRPr="00843920">
              <w:rPr>
                <w:rFonts w:ascii="Arial" w:eastAsia="Times New Roman" w:hAnsi="Arial" w:cs="Arial"/>
                <w:color w:val="auto"/>
                <w:spacing w:val="-2"/>
                <w:sz w:val="18"/>
                <w:szCs w:val="20"/>
                <w:bdr w:val="none" w:sz="0" w:space="0" w:color="auto"/>
              </w:rPr>
              <w:t>7</w:t>
            </w:r>
          </w:p>
        </w:tc>
      </w:tr>
      <w:tr w:rsidR="00843920" w:rsidRPr="00843920" w14:paraId="26FB0EA1" w14:textId="77777777" w:rsidTr="00262CA3">
        <w:trPr>
          <w:cantSplit/>
        </w:trPr>
        <w:tc>
          <w:tcPr>
            <w:tcW w:w="5831" w:type="dxa"/>
            <w:tcBorders>
              <w:bottom w:val="single" w:sz="4" w:space="0" w:color="auto"/>
            </w:tcBorders>
            <w:vAlign w:val="bottom"/>
          </w:tcPr>
          <w:p w14:paraId="04D40F0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0CC1950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bottom w:val="single" w:sz="4" w:space="0" w:color="auto"/>
            </w:tcBorders>
            <w:vAlign w:val="bottom"/>
          </w:tcPr>
          <w:p w14:paraId="797F62B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47943478" w14:textId="77777777" w:rsidTr="00262CA3">
        <w:trPr>
          <w:cantSplit/>
        </w:trPr>
        <w:tc>
          <w:tcPr>
            <w:tcW w:w="5831" w:type="dxa"/>
            <w:tcBorders>
              <w:top w:val="single" w:sz="4" w:space="0" w:color="auto"/>
            </w:tcBorders>
            <w:vAlign w:val="bottom"/>
          </w:tcPr>
          <w:p w14:paraId="086CEB9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3869B46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4A3AA9E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10FD8C7C" w14:textId="77777777" w:rsidTr="00262CA3">
        <w:trPr>
          <w:cantSplit/>
        </w:trPr>
        <w:tc>
          <w:tcPr>
            <w:tcW w:w="5831" w:type="dxa"/>
            <w:vAlign w:val="bottom"/>
          </w:tcPr>
          <w:p w14:paraId="1BADB29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Cash flows used in investing activities</w:t>
            </w:r>
          </w:p>
        </w:tc>
        <w:tc>
          <w:tcPr>
            <w:tcW w:w="1547" w:type="dxa"/>
            <w:shd w:val="clear" w:color="auto" w:fill="auto"/>
            <w:vAlign w:val="bottom"/>
          </w:tcPr>
          <w:p w14:paraId="24EB73F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(17,905)</w:t>
            </w:r>
          </w:p>
        </w:tc>
        <w:tc>
          <w:tcPr>
            <w:tcW w:w="1977" w:type="dxa"/>
            <w:vAlign w:val="bottom"/>
          </w:tcPr>
          <w:p w14:paraId="77CD107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(10,484)</w:t>
            </w:r>
          </w:p>
        </w:tc>
      </w:tr>
      <w:tr w:rsidR="00843920" w:rsidRPr="00843920" w14:paraId="5E5A47A8" w14:textId="77777777" w:rsidTr="00262CA3">
        <w:trPr>
          <w:cantSplit/>
        </w:trPr>
        <w:tc>
          <w:tcPr>
            <w:tcW w:w="5831" w:type="dxa"/>
            <w:tcBorders>
              <w:bottom w:val="single" w:sz="4" w:space="0" w:color="auto"/>
            </w:tcBorders>
            <w:vAlign w:val="bottom"/>
          </w:tcPr>
          <w:p w14:paraId="6A03303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7525AF0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1977" w:type="dxa"/>
            <w:tcBorders>
              <w:bottom w:val="single" w:sz="4" w:space="0" w:color="auto"/>
            </w:tcBorders>
            <w:vAlign w:val="bottom"/>
          </w:tcPr>
          <w:p w14:paraId="41B881D9"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75895457" w14:textId="77777777" w:rsidTr="00262CA3">
        <w:trPr>
          <w:cantSplit/>
        </w:trPr>
        <w:tc>
          <w:tcPr>
            <w:tcW w:w="5831" w:type="dxa"/>
            <w:tcBorders>
              <w:top w:val="single" w:sz="4" w:space="0" w:color="auto"/>
            </w:tcBorders>
            <w:vAlign w:val="bottom"/>
          </w:tcPr>
          <w:p w14:paraId="487BF27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7B04E66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0607D52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67808CAD" w14:textId="77777777" w:rsidTr="00262CA3">
        <w:trPr>
          <w:cantSplit/>
        </w:trPr>
        <w:tc>
          <w:tcPr>
            <w:tcW w:w="5831" w:type="dxa"/>
            <w:vAlign w:val="bottom"/>
          </w:tcPr>
          <w:p w14:paraId="307594A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i/>
                <w:color w:val="auto"/>
                <w:spacing w:val="-2"/>
                <w:sz w:val="18"/>
                <w:szCs w:val="18"/>
                <w:bdr w:val="none" w:sz="0" w:space="0" w:color="auto"/>
                <w:lang w:val="en-GB"/>
              </w:rPr>
              <w:t>Cash flows from financing activities</w:t>
            </w:r>
          </w:p>
        </w:tc>
        <w:tc>
          <w:tcPr>
            <w:tcW w:w="1547" w:type="dxa"/>
            <w:shd w:val="clear" w:color="auto" w:fill="auto"/>
            <w:vAlign w:val="bottom"/>
          </w:tcPr>
          <w:p w14:paraId="37511B3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c>
          <w:tcPr>
            <w:tcW w:w="1977" w:type="dxa"/>
            <w:vAlign w:val="bottom"/>
          </w:tcPr>
          <w:p w14:paraId="3D8D0EE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1DB7F59C" w14:textId="77777777" w:rsidTr="00262CA3">
        <w:trPr>
          <w:cantSplit/>
        </w:trPr>
        <w:tc>
          <w:tcPr>
            <w:tcW w:w="5831" w:type="dxa"/>
            <w:vAlign w:val="bottom"/>
          </w:tcPr>
          <w:p w14:paraId="49A1B8D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 xml:space="preserve">Proceeds from borrowings, net of transaction costs </w:t>
            </w:r>
          </w:p>
        </w:tc>
        <w:tc>
          <w:tcPr>
            <w:tcW w:w="1547" w:type="dxa"/>
            <w:shd w:val="clear" w:color="auto" w:fill="auto"/>
            <w:vAlign w:val="bottom"/>
          </w:tcPr>
          <w:p w14:paraId="4D93A8B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57,894</w:t>
            </w:r>
          </w:p>
        </w:tc>
        <w:tc>
          <w:tcPr>
            <w:tcW w:w="1977" w:type="dxa"/>
            <w:vAlign w:val="bottom"/>
          </w:tcPr>
          <w:p w14:paraId="34BBA50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14,773</w:t>
            </w:r>
          </w:p>
        </w:tc>
      </w:tr>
      <w:tr w:rsidR="00843920" w:rsidRPr="00843920" w14:paraId="4257B156" w14:textId="77777777" w:rsidTr="00262CA3">
        <w:trPr>
          <w:cantSplit/>
        </w:trPr>
        <w:tc>
          <w:tcPr>
            <w:tcW w:w="5831" w:type="dxa"/>
            <w:vAlign w:val="bottom"/>
          </w:tcPr>
          <w:p w14:paraId="35562E4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Repayment of borrowings</w:t>
            </w:r>
          </w:p>
        </w:tc>
        <w:tc>
          <w:tcPr>
            <w:tcW w:w="1547" w:type="dxa"/>
            <w:shd w:val="clear" w:color="auto" w:fill="auto"/>
            <w:vAlign w:val="bottom"/>
          </w:tcPr>
          <w:p w14:paraId="1786C71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(29,231)</w:t>
            </w:r>
          </w:p>
        </w:tc>
        <w:tc>
          <w:tcPr>
            <w:tcW w:w="1977" w:type="dxa"/>
            <w:vAlign w:val="bottom"/>
          </w:tcPr>
          <w:p w14:paraId="2890494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(8,131)</w:t>
            </w:r>
          </w:p>
        </w:tc>
      </w:tr>
      <w:tr w:rsidR="00843920" w:rsidRPr="00843920" w14:paraId="7D77CB7D" w14:textId="77777777" w:rsidTr="00262CA3">
        <w:trPr>
          <w:cantSplit/>
        </w:trPr>
        <w:tc>
          <w:tcPr>
            <w:tcW w:w="5831" w:type="dxa"/>
            <w:vAlign w:val="bottom"/>
          </w:tcPr>
          <w:p w14:paraId="393AFED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rPr>
              <w:t>Refund of dividends paid</w:t>
            </w:r>
            <w:r w:rsidRPr="00843920">
              <w:rPr>
                <w:rFonts w:ascii="Arial" w:eastAsia="Times New Roman" w:hAnsi="Arial" w:cs="Arial"/>
                <w:color w:val="auto"/>
                <w:spacing w:val="-2"/>
                <w:sz w:val="18"/>
                <w:szCs w:val="18"/>
                <w:bdr w:val="none" w:sz="0" w:space="0" w:color="auto"/>
                <w:vertAlign w:val="superscript"/>
              </w:rPr>
              <w:t>2</w:t>
            </w:r>
          </w:p>
        </w:tc>
        <w:tc>
          <w:tcPr>
            <w:tcW w:w="1547" w:type="dxa"/>
            <w:shd w:val="clear" w:color="auto" w:fill="auto"/>
            <w:vAlign w:val="bottom"/>
          </w:tcPr>
          <w:p w14:paraId="2D09ECC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2</w:t>
            </w:r>
          </w:p>
        </w:tc>
        <w:tc>
          <w:tcPr>
            <w:tcW w:w="1977" w:type="dxa"/>
            <w:vAlign w:val="bottom"/>
          </w:tcPr>
          <w:p w14:paraId="70CCD79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7,143</w:t>
            </w:r>
          </w:p>
        </w:tc>
      </w:tr>
      <w:tr w:rsidR="00843920" w:rsidRPr="00843920" w14:paraId="4EFF7B14" w14:textId="77777777" w:rsidTr="00262CA3">
        <w:trPr>
          <w:cantSplit/>
        </w:trPr>
        <w:tc>
          <w:tcPr>
            <w:tcW w:w="5831" w:type="dxa"/>
            <w:vAlign w:val="bottom"/>
          </w:tcPr>
          <w:p w14:paraId="77C6828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Dividends paid to shareholders of the Company</w:t>
            </w:r>
          </w:p>
        </w:tc>
        <w:tc>
          <w:tcPr>
            <w:tcW w:w="1547" w:type="dxa"/>
            <w:shd w:val="clear" w:color="auto" w:fill="auto"/>
            <w:vAlign w:val="bottom"/>
          </w:tcPr>
          <w:p w14:paraId="1E7E738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(37,780)</w:t>
            </w:r>
          </w:p>
        </w:tc>
        <w:tc>
          <w:tcPr>
            <w:tcW w:w="1977" w:type="dxa"/>
            <w:vAlign w:val="bottom"/>
          </w:tcPr>
          <w:p w14:paraId="7421C7E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p>
        </w:tc>
      </w:tr>
      <w:tr w:rsidR="00843920" w:rsidRPr="00843920" w14:paraId="75647FD1" w14:textId="77777777" w:rsidTr="00262CA3">
        <w:trPr>
          <w:cantSplit/>
        </w:trPr>
        <w:tc>
          <w:tcPr>
            <w:tcW w:w="5831" w:type="dxa"/>
            <w:vAlign w:val="bottom"/>
          </w:tcPr>
          <w:p w14:paraId="3A21A01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Lease payments</w:t>
            </w:r>
          </w:p>
        </w:tc>
        <w:tc>
          <w:tcPr>
            <w:tcW w:w="1547" w:type="dxa"/>
            <w:shd w:val="clear" w:color="auto" w:fill="auto"/>
            <w:vAlign w:val="bottom"/>
          </w:tcPr>
          <w:p w14:paraId="26CDB616"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(493)</w:t>
            </w:r>
          </w:p>
        </w:tc>
        <w:tc>
          <w:tcPr>
            <w:tcW w:w="1977" w:type="dxa"/>
            <w:vAlign w:val="bottom"/>
          </w:tcPr>
          <w:p w14:paraId="3CCF3D0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color w:val="auto"/>
                <w:spacing w:val="-2"/>
                <w:sz w:val="18"/>
                <w:szCs w:val="18"/>
                <w:bdr w:val="none" w:sz="0" w:space="0" w:color="auto"/>
              </w:rPr>
            </w:pPr>
            <w:r w:rsidRPr="00843920">
              <w:rPr>
                <w:rFonts w:ascii="Arial" w:eastAsia="Times New Roman" w:hAnsi="Arial" w:cs="Arial"/>
                <w:color w:val="auto"/>
                <w:spacing w:val="-2"/>
                <w:sz w:val="18"/>
                <w:szCs w:val="20"/>
                <w:bdr w:val="none" w:sz="0" w:space="0" w:color="auto"/>
              </w:rPr>
              <w:t>(332)</w:t>
            </w:r>
          </w:p>
        </w:tc>
      </w:tr>
      <w:tr w:rsidR="00843920" w:rsidRPr="00843920" w14:paraId="430F0A65" w14:textId="77777777" w:rsidTr="00262CA3">
        <w:trPr>
          <w:cantSplit/>
        </w:trPr>
        <w:tc>
          <w:tcPr>
            <w:tcW w:w="5831" w:type="dxa"/>
            <w:tcBorders>
              <w:bottom w:val="single" w:sz="4" w:space="0" w:color="auto"/>
            </w:tcBorders>
            <w:vAlign w:val="bottom"/>
          </w:tcPr>
          <w:p w14:paraId="2B886C1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2BCE93C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bottom w:val="single" w:sz="4" w:space="0" w:color="auto"/>
            </w:tcBorders>
            <w:vAlign w:val="bottom"/>
          </w:tcPr>
          <w:p w14:paraId="2F07387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6D4C43DC" w14:textId="77777777" w:rsidTr="00262CA3">
        <w:trPr>
          <w:cantSplit/>
        </w:trPr>
        <w:tc>
          <w:tcPr>
            <w:tcW w:w="5831" w:type="dxa"/>
            <w:tcBorders>
              <w:top w:val="single" w:sz="4" w:space="0" w:color="auto"/>
            </w:tcBorders>
            <w:vAlign w:val="bottom"/>
          </w:tcPr>
          <w:p w14:paraId="330EAF9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5D87BCB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3B60027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r>
      <w:tr w:rsidR="00843920" w:rsidRPr="00843920" w14:paraId="3E9539F5" w14:textId="77777777" w:rsidTr="00262CA3">
        <w:trPr>
          <w:cantSplit/>
        </w:trPr>
        <w:tc>
          <w:tcPr>
            <w:tcW w:w="5831" w:type="dxa"/>
            <w:vAlign w:val="bottom"/>
          </w:tcPr>
          <w:p w14:paraId="21D42F9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Cash flows (used in)/ from financing activities</w:t>
            </w:r>
          </w:p>
        </w:tc>
        <w:tc>
          <w:tcPr>
            <w:tcW w:w="1547" w:type="dxa"/>
            <w:shd w:val="clear" w:color="auto" w:fill="auto"/>
            <w:vAlign w:val="bottom"/>
          </w:tcPr>
          <w:p w14:paraId="730AE8C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(9,608)</w:t>
            </w:r>
          </w:p>
        </w:tc>
        <w:tc>
          <w:tcPr>
            <w:tcW w:w="1977" w:type="dxa"/>
            <w:vAlign w:val="bottom"/>
          </w:tcPr>
          <w:p w14:paraId="0490B5A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13,453</w:t>
            </w:r>
          </w:p>
        </w:tc>
      </w:tr>
      <w:tr w:rsidR="00843920" w:rsidRPr="00843920" w14:paraId="0F132B8D" w14:textId="77777777" w:rsidTr="00262CA3">
        <w:trPr>
          <w:cantSplit/>
        </w:trPr>
        <w:tc>
          <w:tcPr>
            <w:tcW w:w="5831" w:type="dxa"/>
            <w:tcBorders>
              <w:bottom w:val="single" w:sz="4" w:space="0" w:color="auto"/>
            </w:tcBorders>
            <w:vAlign w:val="bottom"/>
          </w:tcPr>
          <w:p w14:paraId="7DDD3CA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5D73FAF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1977" w:type="dxa"/>
            <w:tcBorders>
              <w:bottom w:val="single" w:sz="4" w:space="0" w:color="auto"/>
            </w:tcBorders>
            <w:vAlign w:val="bottom"/>
          </w:tcPr>
          <w:p w14:paraId="4570AFC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7DA4877B" w14:textId="77777777" w:rsidTr="00262CA3">
        <w:trPr>
          <w:cantSplit/>
        </w:trPr>
        <w:tc>
          <w:tcPr>
            <w:tcW w:w="5831" w:type="dxa"/>
            <w:tcBorders>
              <w:top w:val="single" w:sz="4" w:space="0" w:color="auto"/>
            </w:tcBorders>
            <w:vAlign w:val="bottom"/>
          </w:tcPr>
          <w:p w14:paraId="6D7A68A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3182BD9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1977" w:type="dxa"/>
            <w:tcBorders>
              <w:top w:val="single" w:sz="4" w:space="0" w:color="auto"/>
            </w:tcBorders>
            <w:vAlign w:val="bottom"/>
          </w:tcPr>
          <w:p w14:paraId="7FAF2828"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r>
      <w:tr w:rsidR="00843920" w:rsidRPr="00843920" w14:paraId="2F5285B0" w14:textId="77777777" w:rsidTr="00262CA3">
        <w:trPr>
          <w:cantSplit/>
        </w:trPr>
        <w:tc>
          <w:tcPr>
            <w:tcW w:w="5831" w:type="dxa"/>
            <w:vAlign w:val="bottom"/>
          </w:tcPr>
          <w:p w14:paraId="2BEE6AC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Net (decrease)/ increase in cash and cash equivalents</w:t>
            </w:r>
          </w:p>
        </w:tc>
        <w:tc>
          <w:tcPr>
            <w:tcW w:w="1547" w:type="dxa"/>
            <w:shd w:val="clear" w:color="auto" w:fill="auto"/>
            <w:vAlign w:val="bottom"/>
          </w:tcPr>
          <w:p w14:paraId="3FDF291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7"/>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(7,807)</w:t>
            </w:r>
          </w:p>
        </w:tc>
        <w:tc>
          <w:tcPr>
            <w:tcW w:w="1977" w:type="dxa"/>
            <w:vAlign w:val="bottom"/>
          </w:tcPr>
          <w:p w14:paraId="6F3715F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56,872</w:t>
            </w:r>
          </w:p>
        </w:tc>
      </w:tr>
      <w:tr w:rsidR="00843920" w:rsidRPr="00843920" w14:paraId="461EDD05" w14:textId="77777777" w:rsidTr="00262CA3">
        <w:trPr>
          <w:cantSplit/>
        </w:trPr>
        <w:tc>
          <w:tcPr>
            <w:tcW w:w="5831" w:type="dxa"/>
            <w:vAlign w:val="bottom"/>
          </w:tcPr>
          <w:p w14:paraId="0BDF8C94"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Cash and cash equivalents at 1 January</w:t>
            </w:r>
          </w:p>
        </w:tc>
        <w:tc>
          <w:tcPr>
            <w:tcW w:w="1547" w:type="dxa"/>
            <w:shd w:val="clear" w:color="auto" w:fill="auto"/>
            <w:vAlign w:val="bottom"/>
          </w:tcPr>
          <w:p w14:paraId="75E05B7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29,163</w:t>
            </w:r>
          </w:p>
        </w:tc>
        <w:tc>
          <w:tcPr>
            <w:tcW w:w="1977" w:type="dxa"/>
            <w:vAlign w:val="bottom"/>
          </w:tcPr>
          <w:p w14:paraId="3B22EE5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20"/>
                <w:bdr w:val="none" w:sz="0" w:space="0" w:color="auto"/>
              </w:rPr>
            </w:pPr>
            <w:r w:rsidRPr="00843920">
              <w:rPr>
                <w:rFonts w:ascii="Arial" w:eastAsia="Times New Roman" w:hAnsi="Arial" w:cs="Arial"/>
                <w:color w:val="auto"/>
                <w:spacing w:val="-2"/>
                <w:sz w:val="18"/>
                <w:szCs w:val="20"/>
                <w:bdr w:val="none" w:sz="0" w:space="0" w:color="auto"/>
              </w:rPr>
              <w:t>13,356</w:t>
            </w:r>
          </w:p>
        </w:tc>
      </w:tr>
      <w:tr w:rsidR="00843920" w:rsidRPr="00843920" w14:paraId="6C136B40" w14:textId="77777777" w:rsidTr="00262CA3">
        <w:trPr>
          <w:cantSplit/>
        </w:trPr>
        <w:tc>
          <w:tcPr>
            <w:tcW w:w="5831" w:type="dxa"/>
            <w:vAlign w:val="bottom"/>
          </w:tcPr>
          <w:p w14:paraId="2911D8F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18"/>
                <w:bdr w:val="none" w:sz="0" w:space="0" w:color="auto"/>
                <w:lang w:val="en-GB"/>
              </w:rPr>
              <w:t>Effect of exchange rates fluctuations</w:t>
            </w:r>
          </w:p>
        </w:tc>
        <w:tc>
          <w:tcPr>
            <w:tcW w:w="1547" w:type="dxa"/>
            <w:shd w:val="clear" w:color="auto" w:fill="auto"/>
            <w:vAlign w:val="bottom"/>
          </w:tcPr>
          <w:p w14:paraId="1B122EE3"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282</w:t>
            </w:r>
          </w:p>
        </w:tc>
        <w:tc>
          <w:tcPr>
            <w:tcW w:w="1977" w:type="dxa"/>
            <w:vAlign w:val="bottom"/>
          </w:tcPr>
          <w:p w14:paraId="239D7EBA"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8"/>
                <w:szCs w:val="18"/>
                <w:bdr w:val="none" w:sz="0" w:space="0" w:color="auto"/>
                <w:lang w:val="en-GB"/>
              </w:rPr>
            </w:pPr>
            <w:r w:rsidRPr="00843920">
              <w:rPr>
                <w:rFonts w:ascii="Arial" w:eastAsia="Times New Roman" w:hAnsi="Arial" w:cs="Arial"/>
                <w:color w:val="auto"/>
                <w:spacing w:val="-2"/>
                <w:sz w:val="18"/>
                <w:szCs w:val="20"/>
                <w:bdr w:val="none" w:sz="0" w:space="0" w:color="auto"/>
              </w:rPr>
              <w:t>2,130</w:t>
            </w:r>
          </w:p>
        </w:tc>
      </w:tr>
      <w:tr w:rsidR="00843920" w:rsidRPr="00843920" w14:paraId="6F300794" w14:textId="77777777" w:rsidTr="00262CA3">
        <w:trPr>
          <w:cantSplit/>
        </w:trPr>
        <w:tc>
          <w:tcPr>
            <w:tcW w:w="5831" w:type="dxa"/>
            <w:tcBorders>
              <w:bottom w:val="single" w:sz="4" w:space="0" w:color="auto"/>
            </w:tcBorders>
            <w:vAlign w:val="bottom"/>
          </w:tcPr>
          <w:p w14:paraId="4006739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bottom w:val="single" w:sz="4" w:space="0" w:color="auto"/>
            </w:tcBorders>
            <w:shd w:val="clear" w:color="auto" w:fill="auto"/>
            <w:vAlign w:val="bottom"/>
          </w:tcPr>
          <w:p w14:paraId="267659F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bottom w:val="single" w:sz="4" w:space="0" w:color="auto"/>
            </w:tcBorders>
            <w:vAlign w:val="bottom"/>
          </w:tcPr>
          <w:p w14:paraId="2566AE0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529FE740" w14:textId="77777777" w:rsidTr="00262CA3">
        <w:trPr>
          <w:cantSplit/>
        </w:trPr>
        <w:tc>
          <w:tcPr>
            <w:tcW w:w="5831" w:type="dxa"/>
            <w:tcBorders>
              <w:top w:val="single" w:sz="4" w:space="0" w:color="auto"/>
            </w:tcBorders>
            <w:vAlign w:val="bottom"/>
          </w:tcPr>
          <w:p w14:paraId="209FB752"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pacing w:val="-2"/>
                <w:sz w:val="10"/>
                <w:szCs w:val="10"/>
                <w:bdr w:val="none" w:sz="0" w:space="0" w:color="auto"/>
                <w:lang w:val="en-GB"/>
              </w:rPr>
            </w:pPr>
            <w:r w:rsidRPr="00843920">
              <w:rPr>
                <w:rFonts w:ascii="Arial" w:eastAsia="Times New Roman" w:hAnsi="Arial" w:cs="Arial"/>
                <w:color w:val="auto"/>
                <w:spacing w:val="-2"/>
                <w:sz w:val="10"/>
                <w:szCs w:val="10"/>
                <w:bdr w:val="none" w:sz="0" w:space="0" w:color="auto"/>
                <w:lang w:val="en-GB"/>
              </w:rPr>
              <w:t> </w:t>
            </w:r>
          </w:p>
        </w:tc>
        <w:tc>
          <w:tcPr>
            <w:tcW w:w="1547" w:type="dxa"/>
            <w:tcBorders>
              <w:top w:val="single" w:sz="4" w:space="0" w:color="auto"/>
            </w:tcBorders>
            <w:shd w:val="clear" w:color="auto" w:fill="auto"/>
            <w:vAlign w:val="bottom"/>
          </w:tcPr>
          <w:p w14:paraId="3DC9A5DE"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lang w:val="en-GB"/>
              </w:rPr>
            </w:pPr>
          </w:p>
        </w:tc>
        <w:tc>
          <w:tcPr>
            <w:tcW w:w="1977" w:type="dxa"/>
            <w:tcBorders>
              <w:top w:val="single" w:sz="4" w:space="0" w:color="auto"/>
            </w:tcBorders>
            <w:vAlign w:val="bottom"/>
          </w:tcPr>
          <w:p w14:paraId="7BED1DDF"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color w:val="auto"/>
                <w:spacing w:val="-2"/>
                <w:sz w:val="10"/>
                <w:szCs w:val="10"/>
                <w:bdr w:val="none" w:sz="0" w:space="0" w:color="auto"/>
              </w:rPr>
            </w:pPr>
          </w:p>
        </w:tc>
      </w:tr>
      <w:tr w:rsidR="00843920" w:rsidRPr="00843920" w14:paraId="6751E7D8" w14:textId="77777777" w:rsidTr="00262CA3">
        <w:trPr>
          <w:cantSplit/>
        </w:trPr>
        <w:tc>
          <w:tcPr>
            <w:tcW w:w="5831" w:type="dxa"/>
            <w:vAlign w:val="bottom"/>
          </w:tcPr>
          <w:p w14:paraId="5B776A2D"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18"/>
                <w:bdr w:val="none" w:sz="0" w:space="0" w:color="auto"/>
                <w:lang w:val="en-GB"/>
              </w:rPr>
              <w:t>Cash and cash equivalents at 31 March</w:t>
            </w:r>
          </w:p>
        </w:tc>
        <w:tc>
          <w:tcPr>
            <w:tcW w:w="1547" w:type="dxa"/>
            <w:shd w:val="clear" w:color="auto" w:fill="auto"/>
            <w:vAlign w:val="bottom"/>
          </w:tcPr>
          <w:p w14:paraId="69679960"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ru-RU"/>
              </w:rPr>
            </w:pPr>
            <w:r w:rsidRPr="00843920">
              <w:rPr>
                <w:rFonts w:ascii="Arial" w:eastAsia="Times New Roman" w:hAnsi="Arial" w:cs="Arial"/>
                <w:b/>
                <w:color w:val="auto"/>
                <w:spacing w:val="-2"/>
                <w:sz w:val="18"/>
                <w:szCs w:val="20"/>
                <w:bdr w:val="none" w:sz="0" w:space="0" w:color="auto"/>
              </w:rPr>
              <w:t>21,638</w:t>
            </w:r>
          </w:p>
        </w:tc>
        <w:tc>
          <w:tcPr>
            <w:tcW w:w="1977" w:type="dxa"/>
            <w:vAlign w:val="bottom"/>
          </w:tcPr>
          <w:p w14:paraId="4673E62B"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8"/>
                <w:szCs w:val="18"/>
                <w:bdr w:val="none" w:sz="0" w:space="0" w:color="auto"/>
                <w:lang w:val="en-GB"/>
              </w:rPr>
            </w:pPr>
            <w:r w:rsidRPr="00843920">
              <w:rPr>
                <w:rFonts w:ascii="Arial" w:eastAsia="Times New Roman" w:hAnsi="Arial" w:cs="Arial"/>
                <w:b/>
                <w:color w:val="auto"/>
                <w:spacing w:val="-2"/>
                <w:sz w:val="18"/>
                <w:szCs w:val="20"/>
                <w:bdr w:val="none" w:sz="0" w:space="0" w:color="auto"/>
              </w:rPr>
              <w:t>72,358</w:t>
            </w:r>
          </w:p>
        </w:tc>
      </w:tr>
      <w:tr w:rsidR="00843920" w:rsidRPr="00843920" w14:paraId="30BB1D49" w14:textId="77777777" w:rsidTr="00262CA3">
        <w:trPr>
          <w:cantSplit/>
        </w:trPr>
        <w:tc>
          <w:tcPr>
            <w:tcW w:w="5831" w:type="dxa"/>
            <w:tcBorders>
              <w:bottom w:val="single" w:sz="12" w:space="0" w:color="auto"/>
            </w:tcBorders>
            <w:vAlign w:val="bottom"/>
          </w:tcPr>
          <w:p w14:paraId="4C383CB5"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color w:val="auto"/>
                <w:spacing w:val="-2"/>
                <w:sz w:val="10"/>
                <w:szCs w:val="10"/>
                <w:bdr w:val="none" w:sz="0" w:space="0" w:color="auto"/>
                <w:lang w:val="en-GB"/>
              </w:rPr>
            </w:pPr>
            <w:r w:rsidRPr="00843920">
              <w:rPr>
                <w:rFonts w:ascii="Arial" w:eastAsia="Times New Roman" w:hAnsi="Arial" w:cs="Arial"/>
                <w:b/>
                <w:color w:val="auto"/>
                <w:spacing w:val="-2"/>
                <w:sz w:val="10"/>
                <w:szCs w:val="10"/>
                <w:bdr w:val="none" w:sz="0" w:space="0" w:color="auto"/>
                <w:lang w:val="en-GB"/>
              </w:rPr>
              <w:t> </w:t>
            </w:r>
          </w:p>
        </w:tc>
        <w:tc>
          <w:tcPr>
            <w:tcW w:w="1547" w:type="dxa"/>
            <w:tcBorders>
              <w:bottom w:val="single" w:sz="12" w:space="0" w:color="auto"/>
            </w:tcBorders>
            <w:shd w:val="clear" w:color="auto" w:fill="auto"/>
            <w:vAlign w:val="bottom"/>
          </w:tcPr>
          <w:p w14:paraId="0A28D1D7"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en-GB"/>
              </w:rPr>
            </w:pPr>
          </w:p>
        </w:tc>
        <w:tc>
          <w:tcPr>
            <w:tcW w:w="1977" w:type="dxa"/>
            <w:tcBorders>
              <w:bottom w:val="single" w:sz="12" w:space="0" w:color="auto"/>
            </w:tcBorders>
            <w:vAlign w:val="bottom"/>
          </w:tcPr>
          <w:p w14:paraId="5B06D8E1" w14:textId="77777777" w:rsidR="00843920" w:rsidRPr="00843920" w:rsidRDefault="00843920" w:rsidP="008439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Arial" w:eastAsia="Times New Roman" w:hAnsi="Arial" w:cs="Arial"/>
                <w:b/>
                <w:color w:val="auto"/>
                <w:spacing w:val="-2"/>
                <w:sz w:val="10"/>
                <w:szCs w:val="10"/>
                <w:bdr w:val="none" w:sz="0" w:space="0" w:color="auto"/>
                <w:lang w:val="ru-RU"/>
              </w:rPr>
            </w:pPr>
          </w:p>
        </w:tc>
      </w:tr>
    </w:tbl>
    <w:p w14:paraId="29821BC5" w14:textId="77777777" w:rsidR="00262CA3" w:rsidRDefault="00262CA3" w:rsidP="00262CA3">
      <w:pPr>
        <w:pStyle w:val="af5"/>
        <w:widowControl w:val="0"/>
        <w:spacing w:before="120" w:after="120"/>
        <w:rPr>
          <w:spacing w:val="-2"/>
          <w:sz w:val="18"/>
          <w:vertAlign w:val="superscript"/>
          <w:lang w:val="ru-RU"/>
        </w:rPr>
      </w:pPr>
      <w:bookmarkStart w:id="1" w:name="_Hlk135317038"/>
    </w:p>
    <w:p w14:paraId="3D6EC15F" w14:textId="728D1596" w:rsidR="00262CA3" w:rsidRDefault="00262CA3" w:rsidP="00262CA3">
      <w:pPr>
        <w:pStyle w:val="af5"/>
        <w:widowControl w:val="0"/>
        <w:spacing w:before="120" w:after="120"/>
        <w:rPr>
          <w:lang w:val="en-US"/>
        </w:rPr>
      </w:pPr>
      <w:r>
        <w:rPr>
          <w:spacing w:val="-2"/>
          <w:sz w:val="18"/>
          <w:vertAlign w:val="superscript"/>
        </w:rPr>
        <w:t xml:space="preserve">1 </w:t>
      </w:r>
      <w:r>
        <w:rPr>
          <w:i/>
          <w:spacing w:val="-2"/>
          <w:sz w:val="18"/>
          <w:szCs w:val="18"/>
          <w:lang w:val="en-US" w:eastAsia="ru-RU"/>
        </w:rPr>
        <w:t>Changes in trade and other receivables and changes in trade and other payables include effect of foreign exchange differences from operating activities.</w:t>
      </w:r>
    </w:p>
    <w:p w14:paraId="5CFD244A" w14:textId="77777777" w:rsidR="00262CA3" w:rsidRDefault="00262CA3" w:rsidP="00262CA3">
      <w:pPr>
        <w:pStyle w:val="af5"/>
        <w:widowControl w:val="0"/>
        <w:spacing w:before="200" w:after="200"/>
        <w:rPr>
          <w:spacing w:val="-2"/>
          <w:sz w:val="18"/>
          <w:szCs w:val="18"/>
          <w:lang w:val="en-US" w:eastAsia="ru-RU"/>
        </w:rPr>
      </w:pPr>
      <w:r>
        <w:rPr>
          <w:spacing w:val="-2"/>
          <w:sz w:val="18"/>
          <w:vertAlign w:val="superscript"/>
        </w:rPr>
        <w:t>2</w:t>
      </w:r>
      <w:r>
        <w:rPr>
          <w:spacing w:val="-2"/>
          <w:sz w:val="18"/>
          <w:szCs w:val="18"/>
          <w:lang w:eastAsia="ru-RU"/>
        </w:rPr>
        <w:t xml:space="preserve"> </w:t>
      </w:r>
      <w:r>
        <w:rPr>
          <w:i/>
          <w:spacing w:val="-2"/>
          <w:sz w:val="18"/>
          <w:szCs w:val="18"/>
          <w:lang w:val="en-US" w:eastAsia="ru-RU"/>
        </w:rPr>
        <w:t>The</w:t>
      </w:r>
      <w:r>
        <w:rPr>
          <w:spacing w:val="-2"/>
          <w:sz w:val="18"/>
          <w:szCs w:val="18"/>
          <w:lang w:val="en-US" w:eastAsia="ru-RU"/>
        </w:rPr>
        <w:t xml:space="preserve"> </w:t>
      </w:r>
      <w:r>
        <w:rPr>
          <w:i/>
          <w:spacing w:val="-2"/>
          <w:sz w:val="18"/>
          <w:szCs w:val="18"/>
          <w:lang w:val="en-US" w:eastAsia="ru-RU"/>
        </w:rPr>
        <w:t>Group</w:t>
      </w:r>
      <w:r>
        <w:rPr>
          <w:spacing w:val="-2"/>
          <w:sz w:val="18"/>
          <w:szCs w:val="18"/>
          <w:lang w:val="en-US" w:eastAsia="ru-RU"/>
        </w:rPr>
        <w:t xml:space="preserve"> </w:t>
      </w:r>
      <w:r>
        <w:rPr>
          <w:i/>
          <w:spacing w:val="-2"/>
          <w:sz w:val="18"/>
          <w:szCs w:val="18"/>
          <w:lang w:val="en-US" w:eastAsia="ru-RU"/>
        </w:rPr>
        <w:t>received cash refund from</w:t>
      </w:r>
      <w:r>
        <w:rPr>
          <w:spacing w:val="-2"/>
          <w:sz w:val="18"/>
          <w:szCs w:val="18"/>
          <w:lang w:val="en-US" w:eastAsia="ru-RU"/>
        </w:rPr>
        <w:t xml:space="preserve"> </w:t>
      </w:r>
      <w:r>
        <w:rPr>
          <w:i/>
          <w:spacing w:val="-2"/>
          <w:sz w:val="18"/>
          <w:szCs w:val="18"/>
          <w:lang w:val="en-US" w:eastAsia="ru-RU"/>
        </w:rPr>
        <w:t>depositories</w:t>
      </w:r>
      <w:r>
        <w:rPr>
          <w:spacing w:val="-2"/>
          <w:sz w:val="18"/>
          <w:szCs w:val="18"/>
          <w:lang w:val="en-US" w:eastAsia="ru-RU"/>
        </w:rPr>
        <w:t xml:space="preserve"> </w:t>
      </w:r>
      <w:r>
        <w:rPr>
          <w:i/>
          <w:spacing w:val="-2"/>
          <w:sz w:val="18"/>
          <w:szCs w:val="18"/>
          <w:lang w:val="en-US" w:eastAsia="ru-RU"/>
        </w:rPr>
        <w:t>paid</w:t>
      </w:r>
      <w:r>
        <w:rPr>
          <w:spacing w:val="-2"/>
          <w:sz w:val="18"/>
          <w:szCs w:val="18"/>
          <w:lang w:val="en-US" w:eastAsia="ru-RU"/>
        </w:rPr>
        <w:t xml:space="preserve"> </w:t>
      </w:r>
      <w:r>
        <w:rPr>
          <w:i/>
          <w:spacing w:val="-2"/>
          <w:sz w:val="18"/>
          <w:szCs w:val="18"/>
          <w:lang w:val="en-US" w:eastAsia="ru-RU"/>
        </w:rPr>
        <w:t>as</w:t>
      </w:r>
      <w:r>
        <w:rPr>
          <w:spacing w:val="-2"/>
          <w:sz w:val="18"/>
          <w:szCs w:val="18"/>
          <w:lang w:val="en-US" w:eastAsia="ru-RU"/>
        </w:rPr>
        <w:t xml:space="preserve"> </w:t>
      </w:r>
      <w:r>
        <w:rPr>
          <w:i/>
          <w:spacing w:val="-2"/>
          <w:sz w:val="18"/>
          <w:szCs w:val="18"/>
          <w:lang w:val="en-US" w:eastAsia="ru-RU"/>
        </w:rPr>
        <w:t>dividends</w:t>
      </w:r>
      <w:r>
        <w:rPr>
          <w:spacing w:val="-2"/>
          <w:sz w:val="18"/>
          <w:szCs w:val="18"/>
          <w:lang w:val="en-US" w:eastAsia="ru-RU"/>
        </w:rPr>
        <w:t xml:space="preserve"> </w:t>
      </w:r>
      <w:r>
        <w:rPr>
          <w:i/>
          <w:spacing w:val="-2"/>
          <w:sz w:val="18"/>
          <w:szCs w:val="18"/>
          <w:lang w:val="en-US" w:eastAsia="ru-RU"/>
        </w:rPr>
        <w:t>to</w:t>
      </w:r>
      <w:r>
        <w:rPr>
          <w:spacing w:val="-2"/>
          <w:sz w:val="18"/>
          <w:szCs w:val="18"/>
          <w:lang w:val="en-US" w:eastAsia="ru-RU"/>
        </w:rPr>
        <w:t xml:space="preserve"> </w:t>
      </w:r>
      <w:r>
        <w:rPr>
          <w:i/>
          <w:spacing w:val="-2"/>
          <w:sz w:val="18"/>
          <w:szCs w:val="18"/>
          <w:lang w:val="en-US" w:eastAsia="ru-RU"/>
        </w:rPr>
        <w:t>parties</w:t>
      </w:r>
      <w:r>
        <w:rPr>
          <w:spacing w:val="-2"/>
          <w:sz w:val="18"/>
          <w:szCs w:val="18"/>
          <w:lang w:val="en-US" w:eastAsia="ru-RU"/>
        </w:rPr>
        <w:t xml:space="preserve"> </w:t>
      </w:r>
      <w:r>
        <w:rPr>
          <w:i/>
          <w:spacing w:val="-2"/>
          <w:sz w:val="18"/>
          <w:szCs w:val="18"/>
          <w:lang w:val="en-US" w:eastAsia="ru-RU"/>
        </w:rPr>
        <w:t>who</w:t>
      </w:r>
      <w:r>
        <w:rPr>
          <w:spacing w:val="-2"/>
          <w:sz w:val="18"/>
          <w:szCs w:val="18"/>
          <w:lang w:val="en-US" w:eastAsia="ru-RU"/>
        </w:rPr>
        <w:t xml:space="preserve"> </w:t>
      </w:r>
      <w:r>
        <w:rPr>
          <w:i/>
          <w:spacing w:val="-2"/>
          <w:sz w:val="18"/>
          <w:szCs w:val="18"/>
          <w:lang w:val="en-US" w:eastAsia="ru-RU"/>
        </w:rPr>
        <w:t>were</w:t>
      </w:r>
      <w:r>
        <w:rPr>
          <w:spacing w:val="-2"/>
          <w:sz w:val="18"/>
          <w:szCs w:val="18"/>
          <w:lang w:val="en-US" w:eastAsia="ru-RU"/>
        </w:rPr>
        <w:t xml:space="preserve"> </w:t>
      </w:r>
      <w:r>
        <w:rPr>
          <w:i/>
          <w:spacing w:val="-2"/>
          <w:sz w:val="18"/>
          <w:szCs w:val="18"/>
          <w:lang w:val="en-US" w:eastAsia="ru-RU"/>
        </w:rPr>
        <w:t>entitled</w:t>
      </w:r>
      <w:r>
        <w:rPr>
          <w:spacing w:val="-2"/>
          <w:sz w:val="18"/>
          <w:szCs w:val="18"/>
          <w:lang w:val="en-US" w:eastAsia="ru-RU"/>
        </w:rPr>
        <w:t xml:space="preserve"> </w:t>
      </w:r>
      <w:r>
        <w:rPr>
          <w:i/>
          <w:spacing w:val="-2"/>
          <w:sz w:val="18"/>
          <w:szCs w:val="18"/>
          <w:lang w:val="en-US" w:eastAsia="ru-RU"/>
        </w:rPr>
        <w:t>to</w:t>
      </w:r>
      <w:r>
        <w:rPr>
          <w:spacing w:val="-2"/>
          <w:sz w:val="18"/>
          <w:szCs w:val="18"/>
          <w:lang w:val="en-US" w:eastAsia="ru-RU"/>
        </w:rPr>
        <w:t xml:space="preserve"> </w:t>
      </w:r>
      <w:r>
        <w:rPr>
          <w:i/>
          <w:spacing w:val="-2"/>
          <w:sz w:val="18"/>
          <w:szCs w:val="18"/>
          <w:lang w:val="en-US" w:eastAsia="ru-RU"/>
        </w:rPr>
        <w:t>receive</w:t>
      </w:r>
      <w:r>
        <w:rPr>
          <w:spacing w:val="-2"/>
          <w:sz w:val="18"/>
          <w:szCs w:val="18"/>
          <w:lang w:val="en-US" w:eastAsia="ru-RU"/>
        </w:rPr>
        <w:t xml:space="preserve"> </w:t>
      </w:r>
      <w:r>
        <w:rPr>
          <w:i/>
          <w:spacing w:val="-2"/>
          <w:sz w:val="18"/>
          <w:szCs w:val="18"/>
          <w:lang w:val="en-US" w:eastAsia="ru-RU"/>
        </w:rPr>
        <w:t>them,</w:t>
      </w:r>
      <w:r>
        <w:rPr>
          <w:spacing w:val="-2"/>
          <w:sz w:val="18"/>
          <w:szCs w:val="18"/>
          <w:lang w:val="en-US" w:eastAsia="ru-RU"/>
        </w:rPr>
        <w:t xml:space="preserve"> </w:t>
      </w:r>
      <w:r>
        <w:rPr>
          <w:i/>
          <w:spacing w:val="-2"/>
          <w:sz w:val="18"/>
          <w:szCs w:val="18"/>
          <w:lang w:val="en-US" w:eastAsia="ru-RU"/>
        </w:rPr>
        <w:t>but</w:t>
      </w:r>
      <w:r>
        <w:rPr>
          <w:spacing w:val="-2"/>
          <w:sz w:val="18"/>
          <w:szCs w:val="18"/>
          <w:lang w:val="en-US" w:eastAsia="ru-RU"/>
        </w:rPr>
        <w:t xml:space="preserve"> </w:t>
      </w:r>
      <w:r>
        <w:rPr>
          <w:i/>
          <w:spacing w:val="-2"/>
          <w:sz w:val="18"/>
          <w:szCs w:val="18"/>
          <w:lang w:val="en-US" w:eastAsia="ru-RU"/>
        </w:rPr>
        <w:t>didn’t receive dividends due to reasons beyond the depositories’</w:t>
      </w:r>
      <w:r>
        <w:rPr>
          <w:spacing w:val="-2"/>
          <w:sz w:val="18"/>
          <w:szCs w:val="18"/>
          <w:lang w:val="en-US" w:eastAsia="ru-RU"/>
        </w:rPr>
        <w:t xml:space="preserve"> </w:t>
      </w:r>
      <w:r>
        <w:rPr>
          <w:i/>
          <w:spacing w:val="-2"/>
          <w:sz w:val="18"/>
          <w:szCs w:val="18"/>
          <w:lang w:val="en-US" w:eastAsia="ru-RU"/>
        </w:rPr>
        <w:t>control.</w:t>
      </w:r>
      <w:r>
        <w:rPr>
          <w:spacing w:val="-2"/>
          <w:sz w:val="18"/>
          <w:szCs w:val="18"/>
          <w:lang w:val="en-US" w:eastAsia="ru-RU"/>
        </w:rPr>
        <w:t xml:space="preserve"> </w:t>
      </w:r>
      <w:bookmarkEnd w:id="1"/>
    </w:p>
    <w:p w14:paraId="2C5999B7" w14:textId="77777777" w:rsidR="00843920" w:rsidRPr="00262CA3" w:rsidRDefault="00843920" w:rsidP="00843920">
      <w:pPr>
        <w:widowControl w:val="0"/>
        <w:autoSpaceDE w:val="0"/>
        <w:autoSpaceDN w:val="0"/>
        <w:adjustRightInd w:val="0"/>
        <w:spacing w:before="120" w:after="120"/>
        <w:jc w:val="both"/>
        <w:rPr>
          <w:rFonts w:ascii="Arial" w:hAnsi="Arial" w:cs="Arial"/>
          <w:i/>
          <w:iCs/>
          <w:sz w:val="18"/>
          <w:szCs w:val="16"/>
          <w:highlight w:val="yellow"/>
        </w:rPr>
      </w:pPr>
    </w:p>
    <w:sectPr w:rsidR="00843920" w:rsidRPr="00262CA3" w:rsidSect="00735049">
      <w:headerReference w:type="default" r:id="rId16"/>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7ECE" w14:textId="77777777" w:rsidR="00B211BC" w:rsidRDefault="00B211BC" w:rsidP="00843920">
      <w:r>
        <w:separator/>
      </w:r>
    </w:p>
  </w:endnote>
  <w:endnote w:type="continuationSeparator" w:id="0">
    <w:p w14:paraId="32CB1377" w14:textId="77777777" w:rsidR="00B211BC" w:rsidRDefault="00B211BC" w:rsidP="0084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Calibri"/>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5B712" w14:textId="77777777" w:rsidR="00B211BC" w:rsidRDefault="00B211BC" w:rsidP="00843920">
      <w:r>
        <w:separator/>
      </w:r>
    </w:p>
  </w:footnote>
  <w:footnote w:type="continuationSeparator" w:id="0">
    <w:p w14:paraId="47A2D16D" w14:textId="77777777" w:rsidR="00B211BC" w:rsidRDefault="00B211BC" w:rsidP="0084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242AB" w14:textId="17CC6C60" w:rsidR="00843920" w:rsidRPr="00843920" w:rsidRDefault="00843920">
    <w:pPr>
      <w:pStyle w:val="af3"/>
      <w:rPr>
        <w:lang w:val="ru-RU"/>
      </w:rPr>
    </w:pPr>
  </w:p>
  <w:p w14:paraId="20EBB551" w14:textId="77777777" w:rsidR="00843920" w:rsidRPr="00843920" w:rsidRDefault="00843920">
    <w:pPr>
      <w:pStyle w:val="af3"/>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B3DB" w14:textId="77777777" w:rsidR="00843920" w:rsidRPr="00F96536" w:rsidRDefault="00843920" w:rsidP="00843920">
    <w:pPr>
      <w:spacing w:line="220" w:lineRule="atLeast"/>
      <w:rPr>
        <w:rFonts w:ascii="Arial" w:hAnsi="Arial" w:cs="Arial"/>
        <w:b/>
        <w:bCs/>
        <w:i/>
        <w:sz w:val="20"/>
        <w:szCs w:val="20"/>
        <w:lang w:val="en-GB"/>
      </w:rPr>
    </w:pPr>
    <w:r w:rsidRPr="00F96536">
      <w:rPr>
        <w:rFonts w:ascii="Arial" w:hAnsi="Arial" w:cs="Arial"/>
        <w:b/>
        <w:bCs/>
        <w:i/>
        <w:sz w:val="20"/>
        <w:szCs w:val="20"/>
      </w:rPr>
      <w:t>PJSC “PhosAgro”</w:t>
    </w:r>
  </w:p>
  <w:p w14:paraId="371595ED" w14:textId="77777777" w:rsidR="00843920" w:rsidRDefault="00843920" w:rsidP="00843920">
    <w:pPr>
      <w:pBdr>
        <w:bottom w:val="single" w:sz="4" w:space="1" w:color="auto"/>
      </w:pBdr>
      <w:spacing w:line="220" w:lineRule="atLeast"/>
      <w:rPr>
        <w:rFonts w:ascii="Arial" w:hAnsi="Arial" w:cs="Arial"/>
        <w:i/>
        <w:sz w:val="20"/>
        <w:szCs w:val="20"/>
        <w:lang w:val="en-GB"/>
      </w:rPr>
    </w:pPr>
    <w:bookmarkStart w:id="0" w:name="_Hlk126581593"/>
    <w:r w:rsidRPr="00F96536">
      <w:rPr>
        <w:rFonts w:ascii="Arial" w:hAnsi="Arial" w:cs="Arial"/>
        <w:i/>
        <w:sz w:val="20"/>
        <w:szCs w:val="20"/>
        <w:lang w:val="en-GB"/>
      </w:rPr>
      <w:t>Consolidated</w:t>
    </w:r>
    <w:r w:rsidRPr="00D27767">
      <w:t xml:space="preserve"> </w:t>
    </w:r>
    <w:r w:rsidRPr="00D27767">
      <w:rPr>
        <w:rFonts w:ascii="Arial" w:hAnsi="Arial" w:cs="Arial"/>
        <w:i/>
        <w:sz w:val="20"/>
        <w:szCs w:val="20"/>
        <w:lang w:val="en-GB"/>
      </w:rPr>
      <w:t>Interim Condensed</w:t>
    </w:r>
    <w:r w:rsidRPr="00F96536">
      <w:rPr>
        <w:rFonts w:ascii="Arial" w:hAnsi="Arial" w:cs="Arial"/>
        <w:i/>
        <w:sz w:val="20"/>
        <w:szCs w:val="20"/>
        <w:lang w:val="en-GB"/>
      </w:rPr>
      <w:t xml:space="preserve"> Statement of Profit or Loss and Other Comprehensive Income for</w:t>
    </w:r>
  </w:p>
  <w:p w14:paraId="29DDAB6D" w14:textId="0A453AA6" w:rsidR="00843920" w:rsidRPr="00262CA3" w:rsidRDefault="00843920" w:rsidP="00843920">
    <w:pPr>
      <w:pBdr>
        <w:bottom w:val="single" w:sz="4" w:space="1" w:color="auto"/>
      </w:pBdr>
      <w:spacing w:line="220" w:lineRule="atLeast"/>
      <w:rPr>
        <w:rFonts w:ascii="Arial" w:hAnsi="Arial" w:cs="Arial"/>
        <w:i/>
        <w:sz w:val="18"/>
        <w:szCs w:val="22"/>
      </w:rPr>
    </w:pPr>
    <w:r w:rsidRPr="002A2567">
      <w:rPr>
        <w:rFonts w:ascii="Arial" w:hAnsi="Arial" w:cs="Arial"/>
        <w:i/>
        <w:sz w:val="20"/>
        <w:szCs w:val="20"/>
        <w:lang w:val="en-GB"/>
      </w:rPr>
      <w:t>for the th</w:t>
    </w:r>
    <w:r>
      <w:rPr>
        <w:rFonts w:ascii="Arial" w:hAnsi="Arial" w:cs="Arial"/>
        <w:i/>
        <w:sz w:val="20"/>
        <w:szCs w:val="20"/>
        <w:lang w:val="en-GB"/>
      </w:rPr>
      <w:t>r</w:t>
    </w:r>
    <w:r w:rsidRPr="002A2567">
      <w:rPr>
        <w:rFonts w:ascii="Arial" w:hAnsi="Arial" w:cs="Arial"/>
        <w:i/>
        <w:sz w:val="20"/>
        <w:szCs w:val="20"/>
        <w:lang w:val="en-GB"/>
      </w:rPr>
      <w:t xml:space="preserve">ee months ended 31 March </w:t>
    </w:r>
    <w:r w:rsidRPr="00F96536">
      <w:rPr>
        <w:rFonts w:ascii="Arial" w:hAnsi="Arial" w:cs="Arial"/>
        <w:i/>
        <w:sz w:val="20"/>
        <w:szCs w:val="20"/>
      </w:rPr>
      <w:t>202</w:t>
    </w:r>
    <w:r>
      <w:rPr>
        <w:rFonts w:ascii="Arial" w:hAnsi="Arial" w:cs="Arial"/>
        <w:i/>
        <w:sz w:val="20"/>
        <w:szCs w:val="20"/>
      </w:rPr>
      <w:t>4</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006B" w14:textId="77777777" w:rsidR="00843920" w:rsidRPr="00FE2E4D" w:rsidRDefault="00843920" w:rsidP="00843920">
    <w:pPr>
      <w:pStyle w:val="af3"/>
      <w:rPr>
        <w:rFonts w:ascii="Arial" w:hAnsi="Arial" w:cs="Arial"/>
        <w:b/>
        <w:bCs/>
        <w:i/>
        <w:iCs/>
        <w:sz w:val="20"/>
        <w:lang w:val="en-GB"/>
      </w:rPr>
    </w:pPr>
    <w:r w:rsidRPr="00FE2E4D">
      <w:rPr>
        <w:rFonts w:ascii="Arial" w:hAnsi="Arial" w:cs="Arial"/>
        <w:b/>
        <w:bCs/>
        <w:i/>
        <w:iCs/>
        <w:sz w:val="20"/>
      </w:rPr>
      <w:t>PJSC “PhosAgro”</w:t>
    </w:r>
  </w:p>
  <w:p w14:paraId="2BAD8D0D" w14:textId="263877D0" w:rsidR="00843920" w:rsidRPr="00FE2E4D" w:rsidRDefault="00843920" w:rsidP="00843920">
    <w:pPr>
      <w:pStyle w:val="af3"/>
      <w:pBdr>
        <w:bottom w:val="single" w:sz="4" w:space="1" w:color="auto"/>
      </w:pBdr>
      <w:rPr>
        <w:rFonts w:ascii="Arial" w:hAnsi="Arial" w:cs="Arial"/>
        <w:i/>
        <w:iCs/>
        <w:sz w:val="20"/>
      </w:rPr>
    </w:pPr>
    <w:r w:rsidRPr="00FE2E4D">
      <w:rPr>
        <w:rFonts w:ascii="Arial" w:hAnsi="Arial" w:cs="Arial"/>
        <w:i/>
        <w:iCs/>
        <w:sz w:val="20"/>
        <w:lang w:val="en-GB"/>
      </w:rPr>
      <w:t xml:space="preserve">Consolidated Interim Condensed Statement of Financial Position as at </w:t>
    </w:r>
    <w:r w:rsidRPr="00FE2E4D">
      <w:rPr>
        <w:rFonts w:ascii="Arial" w:hAnsi="Arial" w:cs="Arial"/>
        <w:i/>
        <w:iCs/>
        <w:sz w:val="20"/>
      </w:rPr>
      <w:t>31 March</w:t>
    </w:r>
    <w:r w:rsidRPr="00FE2E4D">
      <w:rPr>
        <w:rFonts w:ascii="Arial" w:hAnsi="Arial" w:cs="Arial"/>
        <w:i/>
        <w:iCs/>
        <w:sz w:val="20"/>
        <w:lang w:val="en-GB"/>
      </w:rPr>
      <w:t xml:space="preserve"> 20</w:t>
    </w:r>
    <w:r w:rsidRPr="00FE2E4D">
      <w:rPr>
        <w:rFonts w:ascii="Arial" w:hAnsi="Arial" w:cs="Arial"/>
        <w:i/>
        <w:iCs/>
        <w:sz w:val="20"/>
      </w:rPr>
      <w:t>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A152" w14:textId="77777777" w:rsidR="00843920" w:rsidRPr="00FE2E4D" w:rsidRDefault="00843920" w:rsidP="00843920">
    <w:pPr>
      <w:pStyle w:val="af3"/>
      <w:tabs>
        <w:tab w:val="left" w:pos="6890"/>
      </w:tabs>
      <w:ind w:right="-31"/>
      <w:rPr>
        <w:rFonts w:ascii="Arial" w:hAnsi="Arial" w:cs="Arial"/>
        <w:b/>
        <w:bCs/>
        <w:i/>
        <w:iCs/>
        <w:sz w:val="20"/>
        <w:lang w:val="en-GB"/>
      </w:rPr>
    </w:pPr>
    <w:r w:rsidRPr="00FE2E4D">
      <w:rPr>
        <w:rFonts w:ascii="Arial" w:hAnsi="Arial" w:cs="Arial"/>
        <w:b/>
        <w:bCs/>
        <w:i/>
        <w:iCs/>
        <w:sz w:val="20"/>
      </w:rPr>
      <w:t>PJSC “PhosAgro”</w:t>
    </w:r>
    <w:r w:rsidRPr="00FE2E4D">
      <w:rPr>
        <w:rFonts w:ascii="Arial" w:hAnsi="Arial" w:cs="Arial"/>
        <w:b/>
        <w:bCs/>
        <w:i/>
        <w:iCs/>
        <w:sz w:val="20"/>
      </w:rPr>
      <w:tab/>
    </w:r>
  </w:p>
  <w:p w14:paraId="344969F7" w14:textId="4B07166E" w:rsidR="00843920" w:rsidRPr="00FE2E4D" w:rsidRDefault="00843920" w:rsidP="00843920">
    <w:pPr>
      <w:pStyle w:val="af3"/>
      <w:pBdr>
        <w:bottom w:val="single" w:sz="4" w:space="1" w:color="auto"/>
      </w:pBdr>
      <w:ind w:right="-29"/>
      <w:rPr>
        <w:rFonts w:ascii="Arial" w:hAnsi="Arial" w:cs="Arial"/>
        <w:i/>
        <w:iCs/>
        <w:sz w:val="20"/>
      </w:rPr>
    </w:pPr>
    <w:r w:rsidRPr="00FE2E4D">
      <w:rPr>
        <w:rFonts w:ascii="Arial" w:hAnsi="Arial" w:cs="Arial"/>
        <w:i/>
        <w:iCs/>
        <w:sz w:val="20"/>
        <w:lang w:val="en-GB"/>
      </w:rPr>
      <w:t>Notes to the Consolidated</w:t>
    </w:r>
    <w:r w:rsidRPr="00FE2E4D">
      <w:rPr>
        <w:rFonts w:ascii="Arial" w:hAnsi="Arial" w:cs="Arial"/>
        <w:i/>
        <w:iCs/>
        <w:sz w:val="20"/>
      </w:rPr>
      <w:t xml:space="preserve"> Interim Condensed Financial </w:t>
    </w:r>
    <w:r w:rsidRPr="00FE2E4D">
      <w:rPr>
        <w:rFonts w:ascii="Arial" w:hAnsi="Arial" w:cs="Arial"/>
        <w:i/>
        <w:iCs/>
        <w:sz w:val="20"/>
        <w:lang w:val="en-GB"/>
      </w:rPr>
      <w:t>Statements for the three months ended 31 March 20</w:t>
    </w:r>
    <w:r w:rsidRPr="00FE2E4D">
      <w:rPr>
        <w:rFonts w:ascii="Arial" w:hAnsi="Arial" w:cs="Arial"/>
        <w:i/>
        <w:iCs/>
        <w:sz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358486">
    <w:abstractNumId w:val="2"/>
  </w:num>
  <w:num w:numId="2" w16cid:durableId="1305742627">
    <w:abstractNumId w:val="4"/>
  </w:num>
  <w:num w:numId="3" w16cid:durableId="1411271672">
    <w:abstractNumId w:val="5"/>
  </w:num>
  <w:num w:numId="4" w16cid:durableId="60104014">
    <w:abstractNumId w:val="1"/>
  </w:num>
  <w:num w:numId="5" w16cid:durableId="477260500">
    <w:abstractNumId w:val="6"/>
  </w:num>
  <w:num w:numId="6" w16cid:durableId="1130585917">
    <w:abstractNumId w:val="0"/>
  </w:num>
  <w:num w:numId="7" w16cid:durableId="151145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0D02"/>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3464F"/>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2CA3"/>
    <w:rsid w:val="00263520"/>
    <w:rsid w:val="0026542B"/>
    <w:rsid w:val="00265E37"/>
    <w:rsid w:val="00266DCD"/>
    <w:rsid w:val="00271D3B"/>
    <w:rsid w:val="00280B83"/>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1ABE"/>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F52"/>
    <w:rsid w:val="003453CA"/>
    <w:rsid w:val="0034645D"/>
    <w:rsid w:val="00347A8D"/>
    <w:rsid w:val="00350F0F"/>
    <w:rsid w:val="00356FFA"/>
    <w:rsid w:val="00357674"/>
    <w:rsid w:val="003579BD"/>
    <w:rsid w:val="0036153C"/>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4687F"/>
    <w:rsid w:val="004627A5"/>
    <w:rsid w:val="00463197"/>
    <w:rsid w:val="00465C33"/>
    <w:rsid w:val="00466E65"/>
    <w:rsid w:val="0047176C"/>
    <w:rsid w:val="00474CD7"/>
    <w:rsid w:val="004842F5"/>
    <w:rsid w:val="00485674"/>
    <w:rsid w:val="00485A53"/>
    <w:rsid w:val="00490A6F"/>
    <w:rsid w:val="0049263D"/>
    <w:rsid w:val="0049449D"/>
    <w:rsid w:val="004A0346"/>
    <w:rsid w:val="004A1844"/>
    <w:rsid w:val="004A79D2"/>
    <w:rsid w:val="004B3096"/>
    <w:rsid w:val="004B3E24"/>
    <w:rsid w:val="004B506F"/>
    <w:rsid w:val="004B72D8"/>
    <w:rsid w:val="004C1D24"/>
    <w:rsid w:val="004C5D27"/>
    <w:rsid w:val="004C6CF4"/>
    <w:rsid w:val="004D2ED5"/>
    <w:rsid w:val="004D5ED7"/>
    <w:rsid w:val="004E0E8C"/>
    <w:rsid w:val="004E4836"/>
    <w:rsid w:val="00501F69"/>
    <w:rsid w:val="00505749"/>
    <w:rsid w:val="00506BE3"/>
    <w:rsid w:val="0051236D"/>
    <w:rsid w:val="005128DF"/>
    <w:rsid w:val="005276E9"/>
    <w:rsid w:val="005330B1"/>
    <w:rsid w:val="00534506"/>
    <w:rsid w:val="00543C26"/>
    <w:rsid w:val="00546C5F"/>
    <w:rsid w:val="00547307"/>
    <w:rsid w:val="005639B2"/>
    <w:rsid w:val="005675F2"/>
    <w:rsid w:val="00573F95"/>
    <w:rsid w:val="005802AA"/>
    <w:rsid w:val="005803EC"/>
    <w:rsid w:val="0058208E"/>
    <w:rsid w:val="00582B25"/>
    <w:rsid w:val="00584537"/>
    <w:rsid w:val="005A2BCD"/>
    <w:rsid w:val="005A3E59"/>
    <w:rsid w:val="005A5842"/>
    <w:rsid w:val="005A7963"/>
    <w:rsid w:val="005B42AB"/>
    <w:rsid w:val="005C2604"/>
    <w:rsid w:val="005C6047"/>
    <w:rsid w:val="005C70FC"/>
    <w:rsid w:val="005D4261"/>
    <w:rsid w:val="005D5C58"/>
    <w:rsid w:val="005D687F"/>
    <w:rsid w:val="005E1CB9"/>
    <w:rsid w:val="005E3EF6"/>
    <w:rsid w:val="005E4BCA"/>
    <w:rsid w:val="005F1336"/>
    <w:rsid w:val="005F6591"/>
    <w:rsid w:val="005F7D34"/>
    <w:rsid w:val="0060360B"/>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946AF"/>
    <w:rsid w:val="006A08D1"/>
    <w:rsid w:val="006B3273"/>
    <w:rsid w:val="006C013A"/>
    <w:rsid w:val="006C3B36"/>
    <w:rsid w:val="006C4935"/>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3BFE"/>
    <w:rsid w:val="00735049"/>
    <w:rsid w:val="007423FD"/>
    <w:rsid w:val="00747987"/>
    <w:rsid w:val="00762B8B"/>
    <w:rsid w:val="00764BAD"/>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4BD0"/>
    <w:rsid w:val="007E5915"/>
    <w:rsid w:val="007F24D9"/>
    <w:rsid w:val="007F2F43"/>
    <w:rsid w:val="007F525F"/>
    <w:rsid w:val="008067DF"/>
    <w:rsid w:val="00807DA3"/>
    <w:rsid w:val="00814EEF"/>
    <w:rsid w:val="00823CAE"/>
    <w:rsid w:val="008264DF"/>
    <w:rsid w:val="00830954"/>
    <w:rsid w:val="00831404"/>
    <w:rsid w:val="00835AF8"/>
    <w:rsid w:val="00837CB0"/>
    <w:rsid w:val="008433D0"/>
    <w:rsid w:val="00843920"/>
    <w:rsid w:val="00845B94"/>
    <w:rsid w:val="008467A0"/>
    <w:rsid w:val="008474B5"/>
    <w:rsid w:val="00852A5D"/>
    <w:rsid w:val="00853EC1"/>
    <w:rsid w:val="00855804"/>
    <w:rsid w:val="00855A9A"/>
    <w:rsid w:val="00863167"/>
    <w:rsid w:val="0086401D"/>
    <w:rsid w:val="0086544D"/>
    <w:rsid w:val="0087535B"/>
    <w:rsid w:val="00881022"/>
    <w:rsid w:val="00887722"/>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050C"/>
    <w:rsid w:val="009729B0"/>
    <w:rsid w:val="00976CDA"/>
    <w:rsid w:val="00976EE0"/>
    <w:rsid w:val="00977771"/>
    <w:rsid w:val="00977D38"/>
    <w:rsid w:val="0098411C"/>
    <w:rsid w:val="00986451"/>
    <w:rsid w:val="00995559"/>
    <w:rsid w:val="00996C56"/>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1759F"/>
    <w:rsid w:val="00A25932"/>
    <w:rsid w:val="00A34513"/>
    <w:rsid w:val="00A34B41"/>
    <w:rsid w:val="00A4062A"/>
    <w:rsid w:val="00A41B63"/>
    <w:rsid w:val="00A4306E"/>
    <w:rsid w:val="00A43A76"/>
    <w:rsid w:val="00A43D1A"/>
    <w:rsid w:val="00A46904"/>
    <w:rsid w:val="00A50B8F"/>
    <w:rsid w:val="00A525CE"/>
    <w:rsid w:val="00A54A6D"/>
    <w:rsid w:val="00A54F64"/>
    <w:rsid w:val="00A56E77"/>
    <w:rsid w:val="00A64226"/>
    <w:rsid w:val="00A660C9"/>
    <w:rsid w:val="00A66120"/>
    <w:rsid w:val="00A70D94"/>
    <w:rsid w:val="00A72A0E"/>
    <w:rsid w:val="00A75347"/>
    <w:rsid w:val="00A76FC1"/>
    <w:rsid w:val="00A77320"/>
    <w:rsid w:val="00A824F4"/>
    <w:rsid w:val="00A86F4C"/>
    <w:rsid w:val="00A907E3"/>
    <w:rsid w:val="00A9632E"/>
    <w:rsid w:val="00AA2881"/>
    <w:rsid w:val="00AA79FF"/>
    <w:rsid w:val="00AB07AF"/>
    <w:rsid w:val="00AB5EF9"/>
    <w:rsid w:val="00AC6BE7"/>
    <w:rsid w:val="00AD3902"/>
    <w:rsid w:val="00AD69DC"/>
    <w:rsid w:val="00AF0B65"/>
    <w:rsid w:val="00AF49B4"/>
    <w:rsid w:val="00AF57CB"/>
    <w:rsid w:val="00B070BC"/>
    <w:rsid w:val="00B078DA"/>
    <w:rsid w:val="00B1236A"/>
    <w:rsid w:val="00B13E03"/>
    <w:rsid w:val="00B14B91"/>
    <w:rsid w:val="00B15B0A"/>
    <w:rsid w:val="00B211BC"/>
    <w:rsid w:val="00B231CC"/>
    <w:rsid w:val="00B243F6"/>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3828"/>
    <w:rsid w:val="00BB52A2"/>
    <w:rsid w:val="00BC24D4"/>
    <w:rsid w:val="00BC61B1"/>
    <w:rsid w:val="00BC6992"/>
    <w:rsid w:val="00BD04CB"/>
    <w:rsid w:val="00BD0DB7"/>
    <w:rsid w:val="00BD3AFE"/>
    <w:rsid w:val="00BD6977"/>
    <w:rsid w:val="00BD783E"/>
    <w:rsid w:val="00BE4F24"/>
    <w:rsid w:val="00BE6627"/>
    <w:rsid w:val="00BF0E2B"/>
    <w:rsid w:val="00BF4DF1"/>
    <w:rsid w:val="00BF7861"/>
    <w:rsid w:val="00C04D69"/>
    <w:rsid w:val="00C0601C"/>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77B5D"/>
    <w:rsid w:val="00C83D6E"/>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5AAF"/>
    <w:rsid w:val="00E17296"/>
    <w:rsid w:val="00E20189"/>
    <w:rsid w:val="00E20A43"/>
    <w:rsid w:val="00E20AAF"/>
    <w:rsid w:val="00E24024"/>
    <w:rsid w:val="00E24C31"/>
    <w:rsid w:val="00E42B11"/>
    <w:rsid w:val="00E44479"/>
    <w:rsid w:val="00E44693"/>
    <w:rsid w:val="00E52871"/>
    <w:rsid w:val="00E624FD"/>
    <w:rsid w:val="00E63155"/>
    <w:rsid w:val="00E6362E"/>
    <w:rsid w:val="00E639C6"/>
    <w:rsid w:val="00E74445"/>
    <w:rsid w:val="00E81536"/>
    <w:rsid w:val="00E83860"/>
    <w:rsid w:val="00E84B93"/>
    <w:rsid w:val="00E91682"/>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0C73"/>
    <w:rsid w:val="00F0244F"/>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84A3B"/>
    <w:rsid w:val="00F866B8"/>
    <w:rsid w:val="00F8773B"/>
    <w:rsid w:val="00F93419"/>
    <w:rsid w:val="00F948EE"/>
    <w:rsid w:val="00F957F8"/>
    <w:rsid w:val="00FA49BE"/>
    <w:rsid w:val="00FA51CE"/>
    <w:rsid w:val="00FB1BC1"/>
    <w:rsid w:val="00FB3148"/>
    <w:rsid w:val="00FB404A"/>
    <w:rsid w:val="00FB5531"/>
    <w:rsid w:val="00FB6183"/>
    <w:rsid w:val="00FC0D82"/>
    <w:rsid w:val="00FC2179"/>
    <w:rsid w:val="00FC4F63"/>
    <w:rsid w:val="00FC5EE6"/>
    <w:rsid w:val="00FC6E2F"/>
    <w:rsid w:val="00FD3A70"/>
    <w:rsid w:val="00FD3CA8"/>
    <w:rsid w:val="00FE2E4D"/>
    <w:rsid w:val="00FE6AF5"/>
    <w:rsid w:val="00FF6822"/>
    <w:rsid w:val="00FF6EEC"/>
    <w:rsid w:val="00FF76B4"/>
    <w:rsid w:val="19055EA4"/>
    <w:rsid w:val="41DCA7F0"/>
    <w:rsid w:val="7C16E3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character" w:customStyle="1" w:styleId="20">
    <w:name w:val="Заголовок 2 Знак"/>
    <w:basedOn w:val="a0"/>
    <w:link w:val="2"/>
    <w:uiPriority w:val="9"/>
    <w:rsid w:val="004B3096"/>
    <w:rPr>
      <w:rFonts w:ascii="Times New Roman" w:eastAsia="Times New Roman" w:hAnsi="Times New Roman" w:cs="Times New Roman"/>
      <w:b/>
      <w:bCs/>
      <w:sz w:val="36"/>
      <w:szCs w:val="36"/>
      <w:lang w:eastAsia="ru-RU"/>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character" w:styleId="ae">
    <w:name w:val="Strong"/>
    <w:basedOn w:val="a0"/>
    <w:uiPriority w:val="22"/>
    <w:qFormat/>
    <w:rsid w:val="004B3096"/>
    <w:rPr>
      <w:b/>
      <w:bCs/>
    </w:rPr>
  </w:style>
  <w:style w:type="paragraph" w:customStyle="1" w:styleId="P68B1DB1-Normal4">
    <w:name w:val="P68B1DB1-Normal4"/>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szCs w:val="20"/>
      <w:bdr w:val="none" w:sz="0" w:space="0" w:color="auto"/>
      <w:lang w:val="en-CA" w:eastAsia="en-US"/>
    </w:rPr>
  </w:style>
  <w:style w:type="paragraph" w:customStyle="1" w:styleId="P68B1DB1-Normal22">
    <w:name w:val="P68B1DB1-Normal22"/>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f">
    <w:name w:val="Hyperlink"/>
    <w:basedOn w:val="a0"/>
    <w:uiPriority w:val="99"/>
    <w:unhideWhenUsed/>
    <w:rsid w:val="00D4162A"/>
    <w:rPr>
      <w:color w:val="0000FF" w:themeColor="hyperlink"/>
      <w:u w:val="single"/>
    </w:rPr>
  </w:style>
  <w:style w:type="paragraph" w:styleId="af0">
    <w:name w:val="Revision"/>
    <w:hidden/>
    <w:uiPriority w:val="99"/>
    <w:semiHidden/>
    <w:rsid w:val="00BE6627"/>
    <w:pPr>
      <w:spacing w:after="0" w:line="240" w:lineRule="auto"/>
    </w:pPr>
    <w:rPr>
      <w:rFonts w:ascii="Calibri" w:eastAsia="Calibri" w:hAnsi="Calibri" w:cs="Calibri"/>
      <w:color w:val="000000"/>
      <w:sz w:val="24"/>
      <w:szCs w:val="24"/>
      <w:u w:color="000000"/>
      <w:bdr w:val="nil"/>
      <w:lang w:val="en-US" w:eastAsia="ru-RU"/>
    </w:rPr>
  </w:style>
  <w:style w:type="paragraph" w:customStyle="1" w:styleId="MediumGrid1-Accent21">
    <w:name w:val="Medium Grid 1 - Accent 21"/>
    <w:basedOn w:val="a"/>
    <w:uiPriority w:val="34"/>
    <w:qFormat/>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SimSun" w:cs="Times New Roman"/>
      <w:color w:val="auto"/>
      <w:sz w:val="22"/>
      <w:szCs w:val="22"/>
      <w:bdr w:val="none" w:sz="0" w:space="0" w:color="auto"/>
      <w:lang w:val="en-GB" w:eastAsia="zh-CN"/>
    </w:rPr>
  </w:style>
  <w:style w:type="paragraph" w:styleId="af1">
    <w:name w:val="footer"/>
    <w:basedOn w:val="a"/>
    <w:link w:val="af2"/>
    <w:uiPriority w:val="99"/>
    <w:rsid w:val="00A4062A"/>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sz w:val="20"/>
      <w:szCs w:val="20"/>
      <w:bdr w:val="none" w:sz="0" w:space="0" w:color="auto"/>
      <w:lang w:val="x-none" w:eastAsia="x-none"/>
    </w:rPr>
  </w:style>
  <w:style w:type="character" w:customStyle="1" w:styleId="af2">
    <w:name w:val="Нижний колонтитул Знак"/>
    <w:basedOn w:val="a0"/>
    <w:link w:val="af1"/>
    <w:uiPriority w:val="99"/>
    <w:rsid w:val="00A4062A"/>
    <w:rPr>
      <w:rFonts w:ascii="Calibri" w:eastAsia="SimSun" w:hAnsi="Calibri" w:cs="Times New Roman"/>
      <w:sz w:val="20"/>
      <w:szCs w:val="20"/>
      <w:lang w:val="x-none" w:eastAsia="x-none"/>
    </w:rPr>
  </w:style>
  <w:style w:type="paragraph" w:customStyle="1" w:styleId="P68B1DB1-Normal1">
    <w:name w:val="P68B1DB1-Normal1"/>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SimSun" w:hAnsiTheme="minorHAnsi" w:cstheme="minorHAnsi"/>
      <w:b/>
      <w:color w:val="auto"/>
      <w:sz w:val="22"/>
      <w:szCs w:val="20"/>
      <w:bdr w:val="none" w:sz="0" w:space="0" w:color="auto"/>
      <w:lang w:val="en-CA" w:eastAsia="en-US"/>
    </w:rPr>
  </w:style>
  <w:style w:type="paragraph" w:customStyle="1" w:styleId="P68B1DB1-Normal2">
    <w:name w:val="P68B1DB1-Normal2"/>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SimSun" w:hAnsiTheme="minorHAnsi" w:cstheme="minorHAnsi"/>
      <w:color w:val="auto"/>
      <w:sz w:val="22"/>
      <w:szCs w:val="20"/>
      <w:bdr w:val="none" w:sz="0" w:space="0" w:color="auto"/>
      <w:lang w:val="en-CA" w:eastAsia="en-US"/>
    </w:rPr>
  </w:style>
  <w:style w:type="paragraph" w:customStyle="1" w:styleId="P68B1DB1-13">
    <w:name w:val="P68B1DB1-13"/>
    <w:basedOn w:val="a"/>
    <w:rsid w:val="00A4062A"/>
    <w:pPr>
      <w:spacing w:after="200" w:line="276" w:lineRule="auto"/>
    </w:pPr>
    <w:rPr>
      <w:b/>
      <w:sz w:val="22"/>
      <w:szCs w:val="20"/>
      <w:lang w:val="en-CA" w:eastAsia="en-US"/>
    </w:rPr>
  </w:style>
  <w:style w:type="paragraph" w:customStyle="1" w:styleId="P68B1DB1-Normal5">
    <w:name w:val="P68B1DB1-Normal5"/>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
      <w:sz w:val="20"/>
      <w:szCs w:val="20"/>
      <w:bdr w:val="none" w:sz="0" w:space="0" w:color="auto"/>
      <w:lang w:val="en-CA" w:eastAsia="en-US"/>
    </w:rPr>
  </w:style>
  <w:style w:type="paragraph" w:customStyle="1" w:styleId="P68B1DB1-Normal6">
    <w:name w:val="P68B1DB1-Normal6"/>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hAnsi="Foco" w:cs="Foco"/>
      <w:b/>
      <w:sz w:val="18"/>
      <w:szCs w:val="20"/>
      <w:bdr w:val="none" w:sz="0" w:space="0" w:color="auto"/>
      <w:lang w:val="en-CA" w:eastAsia="en-US"/>
    </w:rPr>
  </w:style>
  <w:style w:type="paragraph" w:customStyle="1" w:styleId="P68B1DB1-Normal7">
    <w:name w:val="P68B1DB1-Normal7"/>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sz w:val="18"/>
      <w:szCs w:val="20"/>
      <w:bdr w:val="none" w:sz="0" w:space="0" w:color="auto"/>
      <w:lang w:val="en-CA" w:eastAsia="en-US"/>
    </w:rPr>
  </w:style>
  <w:style w:type="paragraph" w:customStyle="1" w:styleId="P68B1DB1-Normal8">
    <w:name w:val="P68B1DB1-Normal8"/>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20"/>
      <w:szCs w:val="20"/>
      <w:bdr w:val="none" w:sz="0" w:space="0" w:color="auto"/>
      <w:lang w:val="en-CA" w:eastAsia="en-US"/>
    </w:rPr>
  </w:style>
  <w:style w:type="paragraph" w:customStyle="1" w:styleId="P68B1DB1-Normal9">
    <w:name w:val="P68B1DB1-Normal9"/>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SimSun" w:hAnsi="Foco" w:cs="Foco"/>
      <w:sz w:val="18"/>
      <w:szCs w:val="20"/>
      <w:bdr w:val="none" w:sz="0" w:space="0" w:color="auto"/>
      <w:lang w:val="en-CA" w:eastAsia="en-US"/>
    </w:rPr>
  </w:style>
  <w:style w:type="paragraph" w:customStyle="1" w:styleId="P68B1DB1-Normal10">
    <w:name w:val="P68B1DB1-Normal10"/>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SimSun" w:hAnsi="Foco" w:cs="Foco"/>
      <w:i/>
      <w:sz w:val="18"/>
      <w:szCs w:val="20"/>
      <w:bdr w:val="none" w:sz="0" w:space="0" w:color="auto"/>
      <w:lang w:val="en-CA" w:eastAsia="en-US"/>
    </w:rPr>
  </w:style>
  <w:style w:type="paragraph" w:customStyle="1" w:styleId="P68B1DB1-Normal11">
    <w:name w:val="P68B1DB1-Normal11"/>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i/>
      <w:sz w:val="20"/>
      <w:szCs w:val="20"/>
      <w:bdr w:val="none" w:sz="0" w:space="0" w:color="auto"/>
      <w:lang w:val="en-CA" w:eastAsia="en-US"/>
    </w:rPr>
  </w:style>
  <w:style w:type="paragraph" w:customStyle="1" w:styleId="P68B1DB1-Normal12">
    <w:name w:val="P68B1DB1-Normal12"/>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SimSun" w:hAnsi="Foco" w:cs="Foco"/>
      <w:b/>
      <w:sz w:val="18"/>
      <w:szCs w:val="20"/>
      <w:bdr w:val="none" w:sz="0" w:space="0" w:color="auto"/>
      <w:lang w:val="en-CA" w:eastAsia="en-US"/>
    </w:rPr>
  </w:style>
  <w:style w:type="paragraph" w:customStyle="1" w:styleId="P68B1DB1-Normal13">
    <w:name w:val="P68B1DB1-Normal13"/>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18"/>
      <w:szCs w:val="20"/>
      <w:bdr w:val="none" w:sz="0" w:space="0" w:color="auto"/>
      <w:lang w:val="en-CA" w:eastAsia="en-US"/>
    </w:rPr>
  </w:style>
  <w:style w:type="paragraph" w:customStyle="1" w:styleId="P68B1DB1-Normal14">
    <w:name w:val="P68B1DB1-Normal14"/>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
      <w:color w:val="FFFFFF"/>
      <w:szCs w:val="20"/>
      <w:bdr w:val="none" w:sz="0" w:space="0" w:color="auto"/>
      <w:lang w:val="en-CA" w:eastAsia="en-US"/>
    </w:rPr>
  </w:style>
  <w:style w:type="paragraph" w:customStyle="1" w:styleId="P68B1DB1-Normal15">
    <w:name w:val="P68B1DB1-Normal15"/>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hAnsi="Foco" w:cs="Foco"/>
      <w:b/>
      <w:color w:val="FFFFFF"/>
      <w:szCs w:val="20"/>
      <w:bdr w:val="none" w:sz="0" w:space="0" w:color="auto"/>
      <w:lang w:val="en-CA" w:eastAsia="en-US"/>
    </w:rPr>
  </w:style>
  <w:style w:type="paragraph" w:customStyle="1" w:styleId="P68B1DB1-Normal16">
    <w:name w:val="P68B1DB1-Normal16"/>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
      <w:sz w:val="18"/>
      <w:szCs w:val="20"/>
      <w:bdr w:val="none" w:sz="0" w:space="0" w:color="auto"/>
      <w:lang w:val="en-CA" w:eastAsia="en-US"/>
    </w:rPr>
  </w:style>
  <w:style w:type="paragraph" w:customStyle="1" w:styleId="P68B1DB1-Normal17">
    <w:name w:val="P68B1DB1-Normal17"/>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SimSun" w:hAnsi="Foco" w:cs="Foco"/>
      <w:b/>
      <w:sz w:val="20"/>
      <w:szCs w:val="20"/>
      <w:bdr w:val="none" w:sz="0" w:space="0" w:color="auto"/>
      <w:lang w:val="en-CA" w:eastAsia="en-US"/>
    </w:rPr>
  </w:style>
  <w:style w:type="paragraph" w:customStyle="1" w:styleId="P68B1DB1-Normal18">
    <w:name w:val="P68B1DB1-Normal18"/>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SimSun" w:hAnsi="Foco" w:cs="Foco"/>
      <w:b/>
      <w:i/>
      <w:sz w:val="20"/>
      <w:szCs w:val="20"/>
      <w:bdr w:val="none" w:sz="0" w:space="0" w:color="auto"/>
      <w:lang w:val="en-CA" w:eastAsia="en-US"/>
    </w:rPr>
  </w:style>
  <w:style w:type="paragraph" w:customStyle="1" w:styleId="P68B1DB1-Footer19">
    <w:name w:val="P68B1DB1-Footer19"/>
    <w:basedOn w:val="af1"/>
    <w:rsid w:val="00A4062A"/>
    <w:rPr>
      <w:rFonts w:asciiTheme="minorHAnsi" w:hAnsiTheme="minorHAnsi" w:cstheme="minorHAnsi"/>
      <w:i/>
      <w:sz w:val="18"/>
      <w:lang w:val="en-CA" w:eastAsia="en-US"/>
    </w:rPr>
  </w:style>
  <w:style w:type="paragraph" w:customStyle="1" w:styleId="P68B1DB1-Normal20">
    <w:name w:val="P68B1DB1-Normal20"/>
    <w:basedOn w:val="a"/>
    <w:rsid w:val="00A4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2"/>
      <w:szCs w:val="20"/>
      <w:bdr w:val="none" w:sz="0" w:space="0" w:color="auto"/>
      <w:lang w:val="en-CA" w:eastAsia="en-US"/>
    </w:rPr>
  </w:style>
  <w:style w:type="character" w:customStyle="1" w:styleId="1">
    <w:name w:val="Неразрешенное упоминание1"/>
    <w:basedOn w:val="a0"/>
    <w:uiPriority w:val="99"/>
    <w:semiHidden/>
    <w:unhideWhenUsed/>
    <w:rsid w:val="00FB1BC1"/>
    <w:rPr>
      <w:color w:val="605E5C"/>
      <w:shd w:val="clear" w:color="auto" w:fill="E1DFDD"/>
    </w:rPr>
  </w:style>
  <w:style w:type="paragraph" w:styleId="af3">
    <w:name w:val="header"/>
    <w:basedOn w:val="a"/>
    <w:link w:val="af4"/>
    <w:uiPriority w:val="99"/>
    <w:unhideWhenUsed/>
    <w:rsid w:val="00843920"/>
    <w:pPr>
      <w:tabs>
        <w:tab w:val="center" w:pos="4677"/>
        <w:tab w:val="right" w:pos="9355"/>
      </w:tabs>
    </w:pPr>
  </w:style>
  <w:style w:type="character" w:customStyle="1" w:styleId="af4">
    <w:name w:val="Верхний колонтитул Знак"/>
    <w:basedOn w:val="a0"/>
    <w:link w:val="af3"/>
    <w:uiPriority w:val="99"/>
    <w:rsid w:val="00843920"/>
    <w:rPr>
      <w:rFonts w:ascii="Calibri" w:eastAsia="Calibri" w:hAnsi="Calibri" w:cs="Calibri"/>
      <w:color w:val="000000"/>
      <w:sz w:val="24"/>
      <w:szCs w:val="24"/>
      <w:u w:color="000000"/>
      <w:bdr w:val="nil"/>
      <w:lang w:val="en-US" w:eastAsia="ru-RU"/>
    </w:rPr>
  </w:style>
  <w:style w:type="paragraph" w:styleId="af5">
    <w:name w:val="Body Text"/>
    <w:basedOn w:val="a"/>
    <w:link w:val="af6"/>
    <w:rsid w:val="00262C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pPr>
    <w:rPr>
      <w:rFonts w:ascii="Arial" w:eastAsia="Times New Roman" w:hAnsi="Arial" w:cs="Arial"/>
      <w:color w:val="auto"/>
      <w:sz w:val="20"/>
      <w:szCs w:val="20"/>
      <w:bdr w:val="none" w:sz="0" w:space="0" w:color="auto"/>
      <w:lang w:val="en-GB" w:eastAsia="en-US"/>
    </w:rPr>
  </w:style>
  <w:style w:type="character" w:customStyle="1" w:styleId="af6">
    <w:name w:val="Основной текст Знак"/>
    <w:basedOn w:val="a0"/>
    <w:link w:val="af5"/>
    <w:rsid w:val="00262CA3"/>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0264">
      <w:bodyDiv w:val="1"/>
      <w:marLeft w:val="0"/>
      <w:marRight w:val="0"/>
      <w:marTop w:val="0"/>
      <w:marBottom w:val="0"/>
      <w:divBdr>
        <w:top w:val="none" w:sz="0" w:space="0" w:color="auto"/>
        <w:left w:val="none" w:sz="0" w:space="0" w:color="auto"/>
        <w:bottom w:val="none" w:sz="0" w:space="0" w:color="auto"/>
        <w:right w:val="none" w:sz="0" w:space="0" w:color="auto"/>
      </w:divBdr>
    </w:div>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phosagro.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phosagro.r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8" ma:contentTypeDescription="Создание документа." ma:contentTypeScope="" ma:versionID="8a1a885677ce8096a89599ae1568e861">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fdad7631cd1c0d2b6832592580dad3db"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ABA8-76B9-45E9-9DBE-E2EFCCE87FCF}">
  <ds:schemaRefs>
    <ds:schemaRef ds:uri="http://schemas.microsoft.com/sharepoint/v3/contenttype/forms"/>
  </ds:schemaRefs>
</ds:datastoreItem>
</file>

<file path=customXml/itemProps2.xml><?xml version="1.0" encoding="utf-8"?>
<ds:datastoreItem xmlns:ds="http://schemas.openxmlformats.org/officeDocument/2006/customXml" ds:itemID="{A3356FC7-4169-4083-89E0-EC78112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9E441-5AC7-4EC5-A2A7-F89D6034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Diana Kuspanova</cp:lastModifiedBy>
  <cp:revision>2</cp:revision>
  <cp:lastPrinted>2023-02-07T17:07:00Z</cp:lastPrinted>
  <dcterms:created xsi:type="dcterms:W3CDTF">2024-05-27T16:55:00Z</dcterms:created>
  <dcterms:modified xsi:type="dcterms:W3CDTF">2024-05-27T16:55:00Z</dcterms:modified>
</cp:coreProperties>
</file>